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90378" w14:textId="3CDCA3FA" w:rsidR="002F42A5" w:rsidRPr="0024065B" w:rsidRDefault="002F42A5" w:rsidP="002F42A5">
      <w:pPr>
        <w:shd w:val="clear" w:color="auto" w:fill="FFFFFF"/>
        <w:spacing w:after="0" w:line="360" w:lineRule="auto"/>
        <w:jc w:val="both"/>
        <w:rPr>
          <w:rFonts w:ascii="Palatino Linotype" w:eastAsia="Times New Roman" w:hAnsi="Palatino Linotype" w:cs="Arial"/>
          <w:color w:val="000000"/>
          <w:sz w:val="24"/>
          <w:szCs w:val="24"/>
          <w:lang w:eastAsia="es-MX"/>
        </w:rPr>
      </w:pPr>
      <w:r w:rsidRPr="0024065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72DF6" w:rsidRPr="0024065B">
        <w:rPr>
          <w:rFonts w:ascii="Palatino Linotype" w:eastAsia="Times New Roman" w:hAnsi="Palatino Linotype" w:cs="Arial"/>
          <w:b/>
          <w:color w:val="000000"/>
          <w:sz w:val="24"/>
          <w:szCs w:val="24"/>
          <w:lang w:eastAsia="es-MX"/>
        </w:rPr>
        <w:t>veinticinco de febrero de dos mil veintiséis</w:t>
      </w:r>
    </w:p>
    <w:p w14:paraId="0866DA74" w14:textId="77777777" w:rsidR="002F42A5" w:rsidRPr="0024065B" w:rsidRDefault="002F42A5" w:rsidP="002F42A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CD74F08" w14:textId="1866E26E" w:rsidR="002F42A5" w:rsidRPr="0024065B" w:rsidRDefault="002F42A5" w:rsidP="002F42A5">
      <w:pPr>
        <w:tabs>
          <w:tab w:val="left" w:pos="1701"/>
        </w:tabs>
        <w:spacing w:after="0" w:line="360" w:lineRule="auto"/>
        <w:jc w:val="both"/>
        <w:rPr>
          <w:rFonts w:ascii="Palatino Linotype" w:hAnsi="Palatino Linotype" w:cs="Arial"/>
          <w:sz w:val="24"/>
          <w:szCs w:val="24"/>
        </w:rPr>
      </w:pPr>
      <w:r w:rsidRPr="0024065B">
        <w:rPr>
          <w:rFonts w:ascii="Palatino Linotype" w:hAnsi="Palatino Linotype" w:cs="Arial"/>
          <w:b/>
          <w:sz w:val="24"/>
          <w:szCs w:val="24"/>
        </w:rPr>
        <w:t>VISTO</w:t>
      </w:r>
      <w:r w:rsidRPr="0024065B">
        <w:rPr>
          <w:rFonts w:ascii="Palatino Linotype" w:hAnsi="Palatino Linotype" w:cs="Arial"/>
          <w:sz w:val="24"/>
          <w:szCs w:val="24"/>
        </w:rPr>
        <w:t xml:space="preserve"> el expediente electrónico formado con motivo del recurso de revisión número </w:t>
      </w:r>
      <w:bookmarkStart w:id="0" w:name="_GoBack"/>
      <w:r w:rsidR="0070552D" w:rsidRPr="0024065B">
        <w:rPr>
          <w:rFonts w:ascii="Palatino Linotype" w:hAnsi="Palatino Linotype" w:cs="Arial"/>
          <w:b/>
          <w:bCs/>
          <w:sz w:val="24"/>
          <w:lang w:eastAsia="es-MX"/>
        </w:rPr>
        <w:t>11525/INFOEM/ICR-41/IP/RR/2025</w:t>
      </w:r>
      <w:bookmarkEnd w:id="0"/>
      <w:r w:rsidRPr="0024065B">
        <w:rPr>
          <w:rFonts w:ascii="Palatino Linotype" w:hAnsi="Palatino Linotype" w:cs="Arial"/>
          <w:sz w:val="24"/>
          <w:szCs w:val="24"/>
        </w:rPr>
        <w:t xml:space="preserve">, </w:t>
      </w:r>
      <w:r w:rsidRPr="0024065B">
        <w:rPr>
          <w:rFonts w:ascii="Palatino Linotype" w:eastAsia="Palatino Linotype" w:hAnsi="Palatino Linotype" w:cs="Palatino Linotype"/>
          <w:color w:val="000000"/>
          <w:sz w:val="24"/>
          <w:szCs w:val="24"/>
        </w:rPr>
        <w:t xml:space="preserve">interpuesto </w:t>
      </w:r>
      <w:r w:rsidR="006B1C16" w:rsidRPr="0024065B">
        <w:rPr>
          <w:rFonts w:ascii="Palatino Linotype" w:eastAsia="Palatino Linotype" w:hAnsi="Palatino Linotype" w:cs="Palatino Linotype"/>
          <w:color w:val="000000"/>
          <w:sz w:val="24"/>
          <w:szCs w:val="24"/>
        </w:rPr>
        <w:t xml:space="preserve">por </w:t>
      </w:r>
      <w:r w:rsidR="00C72DF6" w:rsidRPr="0024065B">
        <w:rPr>
          <w:rFonts w:ascii="Palatino Linotype" w:eastAsia="Palatino Linotype" w:hAnsi="Palatino Linotype" w:cs="Palatino Linotype"/>
          <w:b/>
          <w:color w:val="000000"/>
          <w:sz w:val="24"/>
          <w:szCs w:val="24"/>
        </w:rPr>
        <w:t>un particular que no proporciono nombre o seudónimo para ser identificado</w:t>
      </w:r>
      <w:r w:rsidRPr="0024065B">
        <w:rPr>
          <w:rFonts w:ascii="Palatino Linotype" w:hAnsi="Palatino Linotype" w:cs="Arial"/>
          <w:sz w:val="24"/>
          <w:szCs w:val="24"/>
        </w:rPr>
        <w:t xml:space="preserve">, quien en lo sucesivo y para efectos prácticos se le denominara la parte </w:t>
      </w:r>
      <w:r w:rsidRPr="0024065B">
        <w:rPr>
          <w:rFonts w:ascii="Palatino Linotype" w:hAnsi="Palatino Linotype" w:cs="Arial"/>
          <w:b/>
          <w:sz w:val="24"/>
          <w:szCs w:val="24"/>
        </w:rPr>
        <w:t>Recurrente</w:t>
      </w:r>
      <w:r w:rsidRPr="0024065B">
        <w:rPr>
          <w:rFonts w:ascii="Palatino Linotype" w:hAnsi="Palatino Linotype" w:cs="Arial"/>
          <w:sz w:val="24"/>
          <w:szCs w:val="24"/>
        </w:rPr>
        <w:t xml:space="preserve">, en contra del </w:t>
      </w:r>
      <w:r w:rsidRPr="0024065B">
        <w:rPr>
          <w:rFonts w:ascii="Palatino Linotype" w:hAnsi="Palatino Linotype" w:cs="Arial"/>
          <w:b/>
          <w:sz w:val="24"/>
          <w:szCs w:val="24"/>
        </w:rPr>
        <w:t>Sujeto Obligado</w:t>
      </w:r>
      <w:r w:rsidRPr="0024065B">
        <w:rPr>
          <w:rFonts w:ascii="Palatino Linotype" w:hAnsi="Palatino Linotype" w:cs="Arial"/>
          <w:sz w:val="24"/>
          <w:szCs w:val="24"/>
        </w:rPr>
        <w:t xml:space="preserve">, </w:t>
      </w:r>
      <w:r w:rsidR="00C72DF6" w:rsidRPr="0024065B">
        <w:rPr>
          <w:rFonts w:ascii="Palatino Linotype" w:hAnsi="Palatino Linotype"/>
          <w:b/>
          <w:bCs/>
          <w:color w:val="000000"/>
          <w:sz w:val="24"/>
          <w:szCs w:val="24"/>
        </w:rPr>
        <w:t>Ayuntamiento de Tepotzotlán</w:t>
      </w:r>
      <w:r w:rsidRPr="0024065B">
        <w:rPr>
          <w:rFonts w:ascii="Palatino Linotype" w:hAnsi="Palatino Linotype" w:cs="Arial"/>
          <w:b/>
          <w:sz w:val="24"/>
          <w:szCs w:val="24"/>
        </w:rPr>
        <w:t xml:space="preserve">, </w:t>
      </w:r>
      <w:r w:rsidRPr="0024065B">
        <w:rPr>
          <w:rFonts w:ascii="Palatino Linotype" w:hAnsi="Palatino Linotype" w:cs="Arial"/>
          <w:sz w:val="24"/>
          <w:szCs w:val="24"/>
        </w:rPr>
        <w:t xml:space="preserve">en cumplimiento a la determinación del diverso con número </w:t>
      </w:r>
      <w:r w:rsidR="0070552D" w:rsidRPr="0024065B">
        <w:rPr>
          <w:rFonts w:ascii="Palatino Linotype" w:hAnsi="Palatino Linotype" w:cs="Arial"/>
          <w:b/>
          <w:sz w:val="24"/>
          <w:szCs w:val="24"/>
        </w:rPr>
        <w:t>11525</w:t>
      </w:r>
      <w:r w:rsidRPr="0024065B">
        <w:rPr>
          <w:rFonts w:ascii="Palatino Linotype" w:hAnsi="Palatino Linotype" w:cs="Arial"/>
          <w:b/>
          <w:sz w:val="24"/>
          <w:szCs w:val="24"/>
        </w:rPr>
        <w:t>/INFOEM/IP/RR/202</w:t>
      </w:r>
      <w:r w:rsidR="00C72DF6" w:rsidRPr="0024065B">
        <w:rPr>
          <w:rFonts w:ascii="Palatino Linotype" w:hAnsi="Palatino Linotype" w:cs="Arial"/>
          <w:b/>
          <w:sz w:val="24"/>
          <w:szCs w:val="24"/>
        </w:rPr>
        <w:t>5</w:t>
      </w:r>
      <w:r w:rsidRPr="0024065B">
        <w:rPr>
          <w:rFonts w:ascii="Palatino Linotype" w:hAnsi="Palatino Linotype" w:cs="Arial"/>
          <w:b/>
          <w:sz w:val="24"/>
          <w:szCs w:val="24"/>
        </w:rPr>
        <w:t xml:space="preserve">, </w:t>
      </w:r>
      <w:r w:rsidRPr="0024065B">
        <w:rPr>
          <w:rFonts w:ascii="Palatino Linotype" w:hAnsi="Palatino Linotype" w:cs="Arial"/>
          <w:sz w:val="24"/>
          <w:szCs w:val="24"/>
        </w:rPr>
        <w:t>se procede a dictar la presente resolución.</w:t>
      </w:r>
    </w:p>
    <w:p w14:paraId="4AE3A355" w14:textId="77777777" w:rsidR="00C72DF6" w:rsidRPr="0024065B" w:rsidRDefault="00C72DF6" w:rsidP="002F42A5">
      <w:pPr>
        <w:tabs>
          <w:tab w:val="left" w:pos="1701"/>
        </w:tabs>
        <w:spacing w:after="0" w:line="360" w:lineRule="auto"/>
        <w:jc w:val="both"/>
        <w:rPr>
          <w:rFonts w:ascii="Palatino Linotype" w:hAnsi="Palatino Linotype" w:cs="Arial"/>
          <w:b/>
          <w:sz w:val="24"/>
          <w:szCs w:val="24"/>
        </w:rPr>
      </w:pPr>
    </w:p>
    <w:p w14:paraId="1AFFDD45" w14:textId="77777777" w:rsidR="002F42A5" w:rsidRPr="0024065B" w:rsidRDefault="002F42A5" w:rsidP="002F42A5">
      <w:pPr>
        <w:tabs>
          <w:tab w:val="left" w:pos="6960"/>
        </w:tabs>
        <w:spacing w:after="0" w:line="360" w:lineRule="auto"/>
        <w:jc w:val="both"/>
        <w:rPr>
          <w:rFonts w:ascii="Palatino Linotype" w:hAnsi="Palatino Linotype" w:cs="Arial"/>
          <w:sz w:val="24"/>
          <w:szCs w:val="24"/>
        </w:rPr>
      </w:pPr>
    </w:p>
    <w:p w14:paraId="64D8612D" w14:textId="77777777" w:rsidR="002F42A5" w:rsidRPr="0024065B" w:rsidRDefault="002F42A5" w:rsidP="002F42A5">
      <w:pPr>
        <w:spacing w:after="0" w:line="360" w:lineRule="auto"/>
        <w:jc w:val="center"/>
        <w:rPr>
          <w:rFonts w:ascii="Palatino Linotype" w:hAnsi="Palatino Linotype" w:cs="Arial"/>
          <w:b/>
          <w:sz w:val="28"/>
          <w:szCs w:val="24"/>
        </w:rPr>
      </w:pPr>
      <w:r w:rsidRPr="0024065B">
        <w:rPr>
          <w:rFonts w:ascii="Palatino Linotype" w:hAnsi="Palatino Linotype" w:cs="Arial"/>
          <w:b/>
          <w:sz w:val="28"/>
          <w:szCs w:val="24"/>
        </w:rPr>
        <w:t>A N T E C E D E N T E S</w:t>
      </w:r>
    </w:p>
    <w:p w14:paraId="19FDBF42" w14:textId="77777777" w:rsidR="00C72DF6" w:rsidRPr="0024065B" w:rsidRDefault="00C72DF6" w:rsidP="002F42A5">
      <w:pPr>
        <w:spacing w:after="0" w:line="360" w:lineRule="auto"/>
        <w:jc w:val="center"/>
        <w:rPr>
          <w:rFonts w:ascii="Palatino Linotype" w:hAnsi="Palatino Linotype" w:cs="Arial"/>
          <w:b/>
          <w:sz w:val="28"/>
          <w:szCs w:val="24"/>
        </w:rPr>
      </w:pPr>
    </w:p>
    <w:p w14:paraId="5C14F5A1" w14:textId="77777777" w:rsidR="002F42A5" w:rsidRPr="0024065B" w:rsidRDefault="002F42A5" w:rsidP="002F42A5">
      <w:pPr>
        <w:spacing w:after="0" w:line="360" w:lineRule="auto"/>
        <w:rPr>
          <w:rFonts w:ascii="Palatino Linotype" w:hAnsi="Palatino Linotype" w:cs="Arial"/>
          <w:b/>
          <w:sz w:val="24"/>
          <w:szCs w:val="24"/>
        </w:rPr>
      </w:pPr>
    </w:p>
    <w:p w14:paraId="2B200C1D" w14:textId="77777777" w:rsidR="002F42A5" w:rsidRPr="0024065B" w:rsidRDefault="002F42A5" w:rsidP="002F42A5">
      <w:pPr>
        <w:spacing w:after="0" w:line="360" w:lineRule="auto"/>
        <w:jc w:val="both"/>
        <w:rPr>
          <w:rFonts w:ascii="Palatino Linotype" w:hAnsi="Palatino Linotype"/>
        </w:rPr>
      </w:pPr>
      <w:r w:rsidRPr="0024065B">
        <w:rPr>
          <w:rFonts w:ascii="Palatino Linotype" w:hAnsi="Palatino Linotype" w:cs="Arial"/>
          <w:b/>
          <w:sz w:val="28"/>
        </w:rPr>
        <w:t>PRIMERO.</w:t>
      </w:r>
      <w:r w:rsidRPr="0024065B">
        <w:rPr>
          <w:rFonts w:ascii="Palatino Linotype" w:hAnsi="Palatino Linotype" w:cs="Arial"/>
        </w:rPr>
        <w:t xml:space="preserve"> </w:t>
      </w:r>
      <w:r w:rsidRPr="0024065B">
        <w:rPr>
          <w:rFonts w:ascii="Palatino Linotype" w:hAnsi="Palatino Linotype"/>
          <w:b/>
          <w:sz w:val="28"/>
          <w:szCs w:val="28"/>
        </w:rPr>
        <w:t>De la Solicitud de Información.</w:t>
      </w:r>
    </w:p>
    <w:p w14:paraId="72B14346" w14:textId="77777777" w:rsidR="00FC4DB6" w:rsidRPr="0024065B" w:rsidRDefault="00FC4DB6" w:rsidP="00FC4DB6">
      <w:pPr>
        <w:spacing w:after="0" w:line="360" w:lineRule="auto"/>
        <w:jc w:val="both"/>
        <w:rPr>
          <w:rFonts w:ascii="Palatino Linotype" w:eastAsia="Palatino Linotype" w:hAnsi="Palatino Linotype" w:cs="Palatino Linotype"/>
          <w:b/>
          <w:sz w:val="24"/>
          <w:szCs w:val="24"/>
        </w:rPr>
      </w:pPr>
      <w:r w:rsidRPr="0024065B">
        <w:rPr>
          <w:rFonts w:ascii="Palatino Linotype" w:eastAsia="Palatino Linotype" w:hAnsi="Palatino Linotype" w:cs="Palatino Linotype"/>
          <w:sz w:val="24"/>
          <w:szCs w:val="24"/>
        </w:rPr>
        <w:t xml:space="preserve">En fecha </w:t>
      </w:r>
      <w:r w:rsidRPr="0024065B">
        <w:rPr>
          <w:rFonts w:ascii="Palatino Linotype" w:eastAsia="Palatino Linotype" w:hAnsi="Palatino Linotype" w:cs="Palatino Linotype"/>
          <w:b/>
          <w:sz w:val="24"/>
          <w:szCs w:val="24"/>
        </w:rPr>
        <w:t>catorce de agosto de dos mil veinticinco</w:t>
      </w:r>
      <w:r w:rsidRPr="0024065B">
        <w:rPr>
          <w:rFonts w:ascii="Palatino Linotype" w:eastAsia="Palatino Linotype" w:hAnsi="Palatino Linotype" w:cs="Palatino Linotype"/>
          <w:sz w:val="24"/>
          <w:szCs w:val="24"/>
        </w:rPr>
        <w:t>, la parte</w:t>
      </w:r>
      <w:r w:rsidRPr="0024065B">
        <w:rPr>
          <w:rFonts w:ascii="Palatino Linotype" w:eastAsia="Palatino Linotype" w:hAnsi="Palatino Linotype" w:cs="Palatino Linotype"/>
          <w:b/>
          <w:sz w:val="24"/>
          <w:szCs w:val="24"/>
        </w:rPr>
        <w:t xml:space="preserve"> Recurrente</w:t>
      </w:r>
      <w:r w:rsidRPr="0024065B">
        <w:rPr>
          <w:rFonts w:ascii="Palatino Linotype" w:eastAsia="Palatino Linotype" w:hAnsi="Palatino Linotype" w:cs="Palatino Linotype"/>
          <w:sz w:val="24"/>
          <w:szCs w:val="24"/>
        </w:rPr>
        <w:t xml:space="preserve"> presentó a través del Sistema de Acceso a la Información Mexiquense (</w:t>
      </w:r>
      <w:r w:rsidRPr="0024065B">
        <w:rPr>
          <w:rFonts w:ascii="Palatino Linotype" w:eastAsia="Palatino Linotype" w:hAnsi="Palatino Linotype" w:cs="Palatino Linotype"/>
          <w:b/>
          <w:sz w:val="24"/>
          <w:szCs w:val="24"/>
        </w:rPr>
        <w:t>SAIMEX)</w:t>
      </w:r>
      <w:r w:rsidRPr="0024065B">
        <w:rPr>
          <w:rFonts w:ascii="Palatino Linotype" w:eastAsia="Palatino Linotype" w:hAnsi="Palatino Linotype" w:cs="Palatino Linotype"/>
          <w:sz w:val="24"/>
          <w:szCs w:val="24"/>
        </w:rPr>
        <w:t xml:space="preserve">, la solicitud de acceso a la información pública, con número de folio </w:t>
      </w:r>
      <w:r w:rsidRPr="0024065B">
        <w:rPr>
          <w:rFonts w:ascii="Palatino Linotype" w:eastAsia="Palatino Linotype" w:hAnsi="Palatino Linotype" w:cs="Palatino Linotype"/>
          <w:b/>
          <w:sz w:val="24"/>
          <w:szCs w:val="24"/>
        </w:rPr>
        <w:t>00426/TEPOTZOT/IP/2025</w:t>
      </w:r>
      <w:r w:rsidRPr="0024065B">
        <w:rPr>
          <w:rFonts w:ascii="Palatino Linotype" w:eastAsia="Palatino Linotype" w:hAnsi="Palatino Linotype" w:cs="Palatino Linotype"/>
          <w:sz w:val="24"/>
          <w:szCs w:val="24"/>
        </w:rPr>
        <w:t xml:space="preserve">, de lo siguiente: </w:t>
      </w:r>
    </w:p>
    <w:p w14:paraId="156EB697" w14:textId="77777777" w:rsidR="00FC4DB6" w:rsidRPr="0024065B" w:rsidRDefault="00FC4DB6" w:rsidP="00FC4DB6">
      <w:pPr>
        <w:pStyle w:val="INFOEM"/>
        <w:rPr>
          <w:lang w:val="es-ES_tradnl" w:eastAsia="es-ES"/>
        </w:rPr>
      </w:pPr>
      <w:r w:rsidRPr="0024065B">
        <w:rPr>
          <w:lang w:val="es-ES_tradnl" w:eastAsia="es-ES"/>
        </w:rPr>
        <w:t>“</w:t>
      </w:r>
      <w:r w:rsidRPr="0024065B">
        <w:rPr>
          <w:lang w:val="es-ES" w:eastAsia="es-ES"/>
        </w:rPr>
        <w:t>Los registros de carga de combustible de todos los vehículos de contraloría de todo el 2025</w:t>
      </w:r>
      <w:r w:rsidRPr="0024065B">
        <w:rPr>
          <w:lang w:val="es-ES_tradnl" w:eastAsia="es-ES"/>
        </w:rPr>
        <w:t>” (Sic)</w:t>
      </w:r>
    </w:p>
    <w:p w14:paraId="261FCF60" w14:textId="77777777" w:rsidR="002F42A5" w:rsidRPr="0024065B" w:rsidRDefault="002F42A5" w:rsidP="002F42A5">
      <w:pPr>
        <w:spacing w:after="0" w:line="360" w:lineRule="auto"/>
        <w:jc w:val="both"/>
        <w:rPr>
          <w:rFonts w:ascii="Palatino Linotype" w:hAnsi="Palatino Linotype" w:cs="Arial"/>
          <w:b/>
          <w:sz w:val="24"/>
        </w:rPr>
      </w:pPr>
    </w:p>
    <w:p w14:paraId="2D635531" w14:textId="77777777" w:rsidR="002F42A5" w:rsidRPr="0024065B" w:rsidRDefault="002F42A5" w:rsidP="002F42A5">
      <w:pPr>
        <w:spacing w:after="0" w:line="360" w:lineRule="auto"/>
        <w:jc w:val="both"/>
        <w:rPr>
          <w:rFonts w:ascii="Palatino Linotype" w:hAnsi="Palatino Linotype" w:cs="Arial"/>
          <w:b/>
          <w:sz w:val="24"/>
        </w:rPr>
      </w:pPr>
      <w:r w:rsidRPr="0024065B">
        <w:rPr>
          <w:rFonts w:ascii="Palatino Linotype" w:hAnsi="Palatino Linotype" w:cs="Arial"/>
          <w:b/>
          <w:sz w:val="24"/>
        </w:rPr>
        <w:lastRenderedPageBreak/>
        <w:t xml:space="preserve">Modalidad de entrega: </w:t>
      </w:r>
      <w:r w:rsidRPr="0024065B">
        <w:rPr>
          <w:rFonts w:ascii="Palatino Linotype" w:hAnsi="Palatino Linotype" w:cs="Arial"/>
          <w:sz w:val="24"/>
        </w:rPr>
        <w:t>A través del Sistema de Acceso a la Información Mexiquense</w:t>
      </w:r>
      <w:r w:rsidRPr="0024065B">
        <w:rPr>
          <w:rFonts w:ascii="Palatino Linotype" w:hAnsi="Palatino Linotype" w:cs="Arial"/>
          <w:b/>
          <w:sz w:val="24"/>
        </w:rPr>
        <w:t xml:space="preserve"> (SAIMEX).</w:t>
      </w:r>
    </w:p>
    <w:p w14:paraId="56C7FEEF" w14:textId="77777777" w:rsidR="002F42A5" w:rsidRPr="0024065B" w:rsidRDefault="002F42A5" w:rsidP="002F42A5">
      <w:pPr>
        <w:pStyle w:val="Ttulo2"/>
        <w:rPr>
          <w:rFonts w:eastAsia="Palatino Linotype"/>
          <w:sz w:val="28"/>
        </w:rPr>
      </w:pPr>
    </w:p>
    <w:p w14:paraId="518BF143" w14:textId="77777777" w:rsidR="002F42A5" w:rsidRPr="0024065B" w:rsidRDefault="001C6174" w:rsidP="001C6174">
      <w:pPr>
        <w:pStyle w:val="Ttulo2"/>
      </w:pPr>
      <w:r w:rsidRPr="0024065B">
        <w:rPr>
          <w:rFonts w:eastAsia="Palatino Linotype"/>
          <w:sz w:val="28"/>
        </w:rPr>
        <w:t>SEGUNDO</w:t>
      </w:r>
      <w:r w:rsidR="002F42A5" w:rsidRPr="0024065B">
        <w:rPr>
          <w:rFonts w:cs="Arial"/>
          <w:sz w:val="28"/>
        </w:rPr>
        <w:t xml:space="preserve">. </w:t>
      </w:r>
      <w:r w:rsidR="002F42A5" w:rsidRPr="0024065B">
        <w:rPr>
          <w:rFonts w:cs="Arial"/>
          <w:sz w:val="28"/>
          <w:szCs w:val="20"/>
        </w:rPr>
        <w:t>De la falta de respuesta del Sujeto Obligado.</w:t>
      </w:r>
    </w:p>
    <w:p w14:paraId="00B37A66" w14:textId="77777777" w:rsidR="002F42A5" w:rsidRPr="0024065B" w:rsidRDefault="002F42A5" w:rsidP="002F42A5">
      <w:pPr>
        <w:spacing w:before="24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En el expediente electrónico </w:t>
      </w:r>
      <w:r w:rsidRPr="0024065B">
        <w:rPr>
          <w:rFonts w:ascii="Palatino Linotype" w:hAnsi="Palatino Linotype" w:cs="Arial"/>
          <w:b/>
          <w:sz w:val="24"/>
          <w:szCs w:val="24"/>
        </w:rPr>
        <w:t>SAIMEX</w:t>
      </w:r>
      <w:r w:rsidRPr="0024065B">
        <w:rPr>
          <w:rFonts w:ascii="Palatino Linotype" w:hAnsi="Palatino Linotype" w:cs="Arial"/>
          <w:sz w:val="24"/>
          <w:szCs w:val="24"/>
        </w:rPr>
        <w:t xml:space="preserve">, se aprecia que </w:t>
      </w:r>
      <w:r w:rsidRPr="0024065B">
        <w:rPr>
          <w:rFonts w:ascii="Palatino Linotype" w:hAnsi="Palatino Linotype" w:cs="Arial"/>
          <w:b/>
          <w:sz w:val="24"/>
          <w:szCs w:val="24"/>
        </w:rPr>
        <w:t xml:space="preserve">El Sujeto Obligado </w:t>
      </w:r>
      <w:r w:rsidRPr="0024065B">
        <w:rPr>
          <w:rFonts w:ascii="Palatino Linotype" w:hAnsi="Palatino Linotype" w:cs="Arial"/>
          <w:sz w:val="24"/>
          <w:szCs w:val="24"/>
        </w:rPr>
        <w:t xml:space="preserve">fue omiso en dar respuesta a la solicitud de información presentada por </w:t>
      </w:r>
      <w:r w:rsidRPr="0024065B">
        <w:rPr>
          <w:rFonts w:ascii="Palatino Linotype" w:hAnsi="Palatino Linotype" w:cs="Arial"/>
          <w:b/>
          <w:sz w:val="24"/>
          <w:szCs w:val="24"/>
        </w:rPr>
        <w:t xml:space="preserve">el Recurrente, </w:t>
      </w:r>
      <w:r w:rsidRPr="0024065B">
        <w:rPr>
          <w:rFonts w:ascii="Palatino Linotype" w:hAnsi="Palatino Linotype" w:cs="Arial"/>
          <w:sz w:val="24"/>
          <w:szCs w:val="24"/>
        </w:rPr>
        <w:t xml:space="preserve">derivado de lo anterior, se constituye la figura de la </w:t>
      </w:r>
      <w:r w:rsidRPr="0024065B">
        <w:rPr>
          <w:rFonts w:ascii="Palatino Linotype" w:hAnsi="Palatino Linotype" w:cs="Arial"/>
          <w:b/>
          <w:sz w:val="24"/>
          <w:szCs w:val="24"/>
        </w:rPr>
        <w:t xml:space="preserve">NEGATIVA FICTA, </w:t>
      </w:r>
      <w:r w:rsidRPr="0024065B">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06B537B" w14:textId="77777777" w:rsidR="002F42A5" w:rsidRPr="0024065B" w:rsidRDefault="002F42A5" w:rsidP="002F42A5">
      <w:pPr>
        <w:spacing w:before="240" w:line="360" w:lineRule="auto"/>
        <w:jc w:val="both"/>
        <w:rPr>
          <w:rFonts w:ascii="Palatino Linotype" w:hAnsi="Palatino Linotype" w:cs="Arial"/>
          <w:sz w:val="24"/>
          <w:szCs w:val="24"/>
        </w:rPr>
      </w:pPr>
    </w:p>
    <w:p w14:paraId="306E408C" w14:textId="77777777" w:rsidR="002F42A5" w:rsidRPr="0024065B" w:rsidRDefault="001C6174" w:rsidP="002F42A5">
      <w:pPr>
        <w:spacing w:after="0" w:line="360" w:lineRule="auto"/>
        <w:jc w:val="both"/>
        <w:rPr>
          <w:rFonts w:ascii="Palatino Linotype" w:hAnsi="Palatino Linotype" w:cs="Arial"/>
          <w:b/>
          <w:sz w:val="28"/>
        </w:rPr>
      </w:pPr>
      <w:r w:rsidRPr="0024065B">
        <w:rPr>
          <w:rFonts w:ascii="Palatino Linotype" w:hAnsi="Palatino Linotype" w:cs="Arial"/>
          <w:b/>
          <w:sz w:val="28"/>
        </w:rPr>
        <w:t>TERCER</w:t>
      </w:r>
      <w:r w:rsidR="002F42A5" w:rsidRPr="0024065B">
        <w:rPr>
          <w:rFonts w:ascii="Palatino Linotype" w:hAnsi="Palatino Linotype" w:cs="Arial"/>
          <w:b/>
          <w:sz w:val="28"/>
        </w:rPr>
        <w:t xml:space="preserve">O. </w:t>
      </w:r>
      <w:r w:rsidR="002F42A5" w:rsidRPr="0024065B">
        <w:rPr>
          <w:rFonts w:ascii="Palatino Linotype" w:hAnsi="Palatino Linotype"/>
          <w:b/>
          <w:sz w:val="28"/>
        </w:rPr>
        <w:t>Del recurso de revisión.</w:t>
      </w:r>
    </w:p>
    <w:p w14:paraId="664CA83C" w14:textId="77777777" w:rsidR="00FC4DB6" w:rsidRPr="0024065B" w:rsidRDefault="00FC4DB6" w:rsidP="00FC4DB6">
      <w:pPr>
        <w:spacing w:after="0" w:line="360" w:lineRule="auto"/>
        <w:jc w:val="both"/>
        <w:rPr>
          <w:rFonts w:ascii="Palatino Linotype" w:eastAsia="Palatino Linotype" w:hAnsi="Palatino Linotype" w:cs="Palatino Linotype"/>
          <w:b/>
          <w:sz w:val="24"/>
          <w:szCs w:val="24"/>
        </w:rPr>
      </w:pPr>
      <w:r w:rsidRPr="0024065B">
        <w:rPr>
          <w:rFonts w:ascii="Palatino Linotype" w:eastAsia="Palatino Linotype" w:hAnsi="Palatino Linotype" w:cs="Palatino Linotype"/>
          <w:sz w:val="24"/>
          <w:szCs w:val="24"/>
        </w:rPr>
        <w:t>Ante la falta de respuesta</w:t>
      </w:r>
      <w:r w:rsidRPr="0024065B">
        <w:rPr>
          <w:rFonts w:ascii="Palatino Linotype" w:eastAsia="Palatino Linotype" w:hAnsi="Palatino Linotype" w:cs="Palatino Linotype"/>
          <w:b/>
          <w:sz w:val="24"/>
          <w:szCs w:val="24"/>
        </w:rPr>
        <w:t xml:space="preserve"> </w:t>
      </w:r>
      <w:r w:rsidRPr="0024065B">
        <w:rPr>
          <w:rFonts w:ascii="Palatino Linotype" w:eastAsia="Palatino Linotype" w:hAnsi="Palatino Linotype" w:cs="Palatino Linotype"/>
          <w:sz w:val="24"/>
          <w:szCs w:val="24"/>
        </w:rPr>
        <w:t xml:space="preserve">del </w:t>
      </w:r>
      <w:r w:rsidRPr="0024065B">
        <w:rPr>
          <w:rFonts w:ascii="Palatino Linotype" w:eastAsia="Palatino Linotype" w:hAnsi="Palatino Linotype" w:cs="Palatino Linotype"/>
          <w:b/>
          <w:sz w:val="24"/>
          <w:szCs w:val="24"/>
        </w:rPr>
        <w:t>Sujeto Obligado</w:t>
      </w:r>
      <w:r w:rsidRPr="0024065B">
        <w:rPr>
          <w:rFonts w:ascii="Palatino Linotype" w:eastAsia="Palatino Linotype" w:hAnsi="Palatino Linotype" w:cs="Palatino Linotype"/>
          <w:sz w:val="24"/>
          <w:szCs w:val="24"/>
        </w:rPr>
        <w:t xml:space="preserve">, la parte </w:t>
      </w:r>
      <w:r w:rsidRPr="0024065B">
        <w:rPr>
          <w:rFonts w:ascii="Palatino Linotype" w:eastAsia="Palatino Linotype" w:hAnsi="Palatino Linotype" w:cs="Palatino Linotype"/>
          <w:b/>
          <w:sz w:val="24"/>
          <w:szCs w:val="24"/>
        </w:rPr>
        <w:t>Recurrente</w:t>
      </w:r>
      <w:r w:rsidRPr="0024065B">
        <w:rPr>
          <w:rFonts w:ascii="Palatino Linotype" w:eastAsia="Palatino Linotype" w:hAnsi="Palatino Linotype" w:cs="Palatino Linotype"/>
          <w:sz w:val="24"/>
          <w:szCs w:val="24"/>
        </w:rPr>
        <w:t xml:space="preserve"> interpuso el recurso de revisión en fecha </w:t>
      </w:r>
      <w:r w:rsidRPr="0024065B">
        <w:rPr>
          <w:rFonts w:ascii="Palatino Linotype" w:eastAsia="Palatino Linotype" w:hAnsi="Palatino Linotype" w:cs="Palatino Linotype"/>
          <w:b/>
          <w:sz w:val="24"/>
          <w:szCs w:val="24"/>
        </w:rPr>
        <w:t>cinco de octubre de dos mil veinticinco</w:t>
      </w:r>
      <w:r w:rsidRPr="0024065B">
        <w:rPr>
          <w:rFonts w:ascii="Palatino Linotype" w:eastAsia="Palatino Linotype" w:hAnsi="Palatino Linotype" w:cs="Palatino Linotype"/>
          <w:sz w:val="24"/>
          <w:szCs w:val="24"/>
        </w:rPr>
        <w:t>, registrado</w:t>
      </w:r>
      <w:r w:rsidRPr="0024065B">
        <w:rPr>
          <w:rFonts w:ascii="Palatino Linotype" w:eastAsia="Palatino Linotype" w:hAnsi="Palatino Linotype" w:cs="Palatino Linotype"/>
          <w:b/>
          <w:sz w:val="24"/>
          <w:szCs w:val="24"/>
        </w:rPr>
        <w:t xml:space="preserve"> </w:t>
      </w:r>
      <w:r w:rsidRPr="0024065B">
        <w:rPr>
          <w:rFonts w:ascii="Palatino Linotype" w:eastAsia="Palatino Linotype" w:hAnsi="Palatino Linotype" w:cs="Palatino Linotype"/>
          <w:sz w:val="24"/>
          <w:szCs w:val="24"/>
        </w:rPr>
        <w:t xml:space="preserve">en el </w:t>
      </w:r>
      <w:r w:rsidRPr="0024065B">
        <w:rPr>
          <w:rFonts w:ascii="Palatino Linotype" w:eastAsia="Palatino Linotype" w:hAnsi="Palatino Linotype" w:cs="Palatino Linotype"/>
          <w:b/>
          <w:sz w:val="24"/>
          <w:szCs w:val="24"/>
        </w:rPr>
        <w:t xml:space="preserve">SAIMEX </w:t>
      </w:r>
      <w:r w:rsidRPr="0024065B">
        <w:rPr>
          <w:rFonts w:ascii="Palatino Linotype" w:eastAsia="Palatino Linotype" w:hAnsi="Palatino Linotype" w:cs="Palatino Linotype"/>
          <w:sz w:val="24"/>
          <w:szCs w:val="24"/>
        </w:rPr>
        <w:t xml:space="preserve">con el número de expediente </w:t>
      </w:r>
      <w:r w:rsidRPr="0024065B">
        <w:rPr>
          <w:rFonts w:ascii="Palatino Linotype" w:eastAsia="Palatino Linotype" w:hAnsi="Palatino Linotype" w:cs="Palatino Linotype"/>
          <w:b/>
          <w:sz w:val="24"/>
          <w:szCs w:val="24"/>
        </w:rPr>
        <w:t>011525/INFOEM/IP/RR/2025</w:t>
      </w:r>
      <w:r w:rsidRPr="0024065B">
        <w:rPr>
          <w:rFonts w:ascii="Palatino Linotype" w:eastAsia="Palatino Linotype" w:hAnsi="Palatino Linotype" w:cs="Palatino Linotype"/>
          <w:sz w:val="24"/>
          <w:szCs w:val="24"/>
        </w:rPr>
        <w:t>, y señaló como acto impugnado y razones o motivos de inconformidad, lo siguiente:</w:t>
      </w:r>
    </w:p>
    <w:p w14:paraId="25DEF405" w14:textId="77777777" w:rsidR="00FC4DB6" w:rsidRPr="0024065B" w:rsidRDefault="00FC4DB6" w:rsidP="00FC4DB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75441EB5" w14:textId="77777777" w:rsidR="00FC4DB6" w:rsidRPr="0024065B" w:rsidRDefault="00FC4DB6" w:rsidP="00FC4DB6">
      <w:pPr>
        <w:numPr>
          <w:ilvl w:val="0"/>
          <w:numId w:val="15"/>
        </w:numPr>
        <w:pBdr>
          <w:top w:val="nil"/>
          <w:left w:val="nil"/>
          <w:bottom w:val="nil"/>
          <w:right w:val="nil"/>
          <w:between w:val="nil"/>
        </w:pBdr>
        <w:spacing w:after="0" w:line="360" w:lineRule="auto"/>
        <w:jc w:val="both"/>
        <w:rPr>
          <w:i/>
        </w:rPr>
      </w:pPr>
      <w:r w:rsidRPr="0024065B">
        <w:rPr>
          <w:rFonts w:ascii="Palatino Linotype" w:eastAsia="Palatino Linotype" w:hAnsi="Palatino Linotype" w:cs="Palatino Linotype"/>
          <w:b/>
          <w:i/>
          <w:color w:val="000000"/>
        </w:rPr>
        <w:t xml:space="preserve">Acto Impugnado y Razones o Motivos de Inconformidad: </w:t>
      </w:r>
    </w:p>
    <w:p w14:paraId="515AFD1D" w14:textId="77777777" w:rsidR="00FC4DB6" w:rsidRPr="0024065B" w:rsidRDefault="00FC4DB6" w:rsidP="00FC4DB6">
      <w:pPr>
        <w:pStyle w:val="INFOEM"/>
      </w:pPr>
      <w:r w:rsidRPr="0024065B">
        <w:t xml:space="preserve">“La falta de respuesta a una solicitud de acceso a la información" (Sic) </w:t>
      </w:r>
    </w:p>
    <w:p w14:paraId="530AB2A6" w14:textId="77777777" w:rsidR="002F42A5" w:rsidRPr="0024065B" w:rsidRDefault="002F42A5" w:rsidP="002F42A5">
      <w:pPr>
        <w:spacing w:after="0" w:line="240" w:lineRule="auto"/>
        <w:ind w:left="851" w:right="851"/>
        <w:jc w:val="both"/>
        <w:rPr>
          <w:rFonts w:ascii="Palatino Linotype" w:hAnsi="Palatino Linotype" w:cs="Arial"/>
          <w:i/>
          <w:sz w:val="24"/>
        </w:rPr>
      </w:pPr>
    </w:p>
    <w:p w14:paraId="7366615B" w14:textId="77777777" w:rsidR="002F42A5" w:rsidRPr="0024065B" w:rsidRDefault="002F42A5" w:rsidP="002F42A5">
      <w:pPr>
        <w:spacing w:after="0" w:line="360" w:lineRule="auto"/>
        <w:ind w:right="49"/>
        <w:jc w:val="both"/>
        <w:rPr>
          <w:rFonts w:ascii="Palatino Linotype" w:eastAsia="Times New Roman" w:hAnsi="Palatino Linotype" w:cs="Arial"/>
          <w:sz w:val="24"/>
          <w:lang w:eastAsia="es-ES"/>
        </w:rPr>
      </w:pPr>
    </w:p>
    <w:p w14:paraId="39B1C450" w14:textId="0A5AC99D" w:rsidR="002F42A5" w:rsidRPr="0024065B" w:rsidRDefault="004E0538" w:rsidP="002F42A5">
      <w:pPr>
        <w:spacing w:after="0" w:line="360" w:lineRule="auto"/>
        <w:ind w:right="49"/>
        <w:jc w:val="both"/>
        <w:rPr>
          <w:rFonts w:ascii="Palatino Linotype" w:eastAsia="Times New Roman" w:hAnsi="Palatino Linotype" w:cs="Arial"/>
          <w:b/>
          <w:sz w:val="28"/>
          <w:lang w:eastAsia="es-ES"/>
        </w:rPr>
      </w:pPr>
      <w:r w:rsidRPr="0024065B">
        <w:rPr>
          <w:rFonts w:ascii="Palatino Linotype" w:eastAsia="Times New Roman" w:hAnsi="Palatino Linotype" w:cs="Arial"/>
          <w:b/>
          <w:sz w:val="28"/>
          <w:lang w:eastAsia="es-ES"/>
        </w:rPr>
        <w:t>CUART</w:t>
      </w:r>
      <w:r w:rsidR="002F42A5" w:rsidRPr="0024065B">
        <w:rPr>
          <w:rFonts w:ascii="Palatino Linotype" w:eastAsia="Times New Roman" w:hAnsi="Palatino Linotype" w:cs="Arial"/>
          <w:b/>
          <w:sz w:val="28"/>
          <w:lang w:eastAsia="es-ES"/>
        </w:rPr>
        <w:t xml:space="preserve">O. </w:t>
      </w:r>
      <w:r w:rsidR="002F42A5" w:rsidRPr="0024065B">
        <w:rPr>
          <w:rFonts w:ascii="Palatino Linotype" w:eastAsia="Times New Roman" w:hAnsi="Palatino Linotype" w:cs="Arial"/>
          <w:b/>
          <w:sz w:val="26"/>
          <w:szCs w:val="26"/>
          <w:lang w:eastAsia="es-ES"/>
        </w:rPr>
        <w:t xml:space="preserve">Del trámite y sustanciación del recurso de revisión </w:t>
      </w:r>
      <w:r w:rsidR="0070552D" w:rsidRPr="0024065B">
        <w:rPr>
          <w:rFonts w:ascii="Palatino Linotype" w:eastAsia="Times New Roman" w:hAnsi="Palatino Linotype" w:cs="Arial"/>
          <w:b/>
          <w:sz w:val="26"/>
          <w:szCs w:val="26"/>
          <w:lang w:eastAsia="es-ES"/>
        </w:rPr>
        <w:t>11525</w:t>
      </w:r>
      <w:r w:rsidR="002F42A5" w:rsidRPr="0024065B">
        <w:rPr>
          <w:rFonts w:ascii="Palatino Linotype" w:eastAsia="Times New Roman" w:hAnsi="Palatino Linotype" w:cs="Arial"/>
          <w:b/>
          <w:sz w:val="26"/>
          <w:szCs w:val="26"/>
          <w:lang w:eastAsia="es-ES"/>
        </w:rPr>
        <w:t>/INFOEM/IP/RR/202</w:t>
      </w:r>
      <w:r w:rsidR="00C72DF6" w:rsidRPr="0024065B">
        <w:rPr>
          <w:rFonts w:ascii="Palatino Linotype" w:eastAsia="Times New Roman" w:hAnsi="Palatino Linotype" w:cs="Arial"/>
          <w:b/>
          <w:sz w:val="26"/>
          <w:szCs w:val="26"/>
          <w:lang w:eastAsia="es-ES"/>
        </w:rPr>
        <w:t>5</w:t>
      </w:r>
      <w:r w:rsidR="002F42A5" w:rsidRPr="0024065B">
        <w:rPr>
          <w:rFonts w:ascii="Palatino Linotype" w:eastAsia="Times New Roman" w:hAnsi="Palatino Linotype" w:cs="Arial"/>
          <w:b/>
          <w:sz w:val="26"/>
          <w:szCs w:val="26"/>
          <w:lang w:eastAsia="es-ES"/>
        </w:rPr>
        <w:t>.</w:t>
      </w:r>
    </w:p>
    <w:p w14:paraId="73C50C66" w14:textId="77777777" w:rsidR="002F42A5" w:rsidRPr="0024065B" w:rsidRDefault="002F42A5" w:rsidP="002F42A5">
      <w:pPr>
        <w:spacing w:after="0" w:line="360" w:lineRule="auto"/>
        <w:ind w:right="49"/>
        <w:jc w:val="both"/>
        <w:rPr>
          <w:rFonts w:ascii="Palatino Linotype" w:eastAsia="Times New Roman" w:hAnsi="Palatino Linotype" w:cs="Arial"/>
          <w:sz w:val="24"/>
          <w:szCs w:val="24"/>
          <w:lang w:val="es-ES" w:eastAsia="es-ES"/>
        </w:rPr>
      </w:pPr>
    </w:p>
    <w:p w14:paraId="69798F00" w14:textId="77777777" w:rsidR="002F42A5" w:rsidRPr="0024065B" w:rsidRDefault="002F42A5" w:rsidP="002F42A5">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24065B">
        <w:rPr>
          <w:rFonts w:ascii="Palatino Linotype" w:eastAsia="Times New Roman" w:hAnsi="Palatino Linotype" w:cs="Arial"/>
          <w:b/>
          <w:sz w:val="26"/>
          <w:szCs w:val="26"/>
          <w:lang w:val="es-ES" w:eastAsia="es-ES"/>
        </w:rPr>
        <w:t>Turno del recurso de revisión.</w:t>
      </w:r>
    </w:p>
    <w:p w14:paraId="776FED34" w14:textId="49BC0BC0" w:rsidR="002F42A5" w:rsidRPr="0024065B" w:rsidRDefault="002F42A5" w:rsidP="002F42A5">
      <w:pPr>
        <w:spacing w:after="0" w:line="360" w:lineRule="auto"/>
        <w:ind w:right="49"/>
        <w:jc w:val="both"/>
        <w:rPr>
          <w:rFonts w:ascii="Palatino Linotype" w:eastAsia="Times New Roman" w:hAnsi="Palatino Linotype" w:cs="Arial"/>
          <w:sz w:val="24"/>
          <w:szCs w:val="24"/>
          <w:lang w:val="es-ES_tradnl" w:eastAsia="es-ES"/>
        </w:rPr>
      </w:pPr>
      <w:r w:rsidRPr="0024065B">
        <w:rPr>
          <w:rFonts w:ascii="Palatino Linotype" w:eastAsia="Times New Roman" w:hAnsi="Palatino Linotype" w:cs="Arial"/>
          <w:sz w:val="24"/>
          <w:szCs w:val="24"/>
          <w:lang w:val="es-ES" w:eastAsia="es-ES"/>
        </w:rPr>
        <w:t>En fecha</w:t>
      </w:r>
      <w:r w:rsidR="001C6174" w:rsidRPr="0024065B">
        <w:rPr>
          <w:rFonts w:ascii="Palatino Linotype" w:hAnsi="Palatino Linotype" w:cs="Arial"/>
          <w:sz w:val="24"/>
          <w:szCs w:val="24"/>
        </w:rPr>
        <w:t xml:space="preserve"> </w:t>
      </w:r>
      <w:r w:rsidR="00C72DF6" w:rsidRPr="0024065B">
        <w:rPr>
          <w:rFonts w:ascii="Palatino Linotype" w:hAnsi="Palatino Linotype" w:cs="Arial"/>
          <w:b/>
          <w:sz w:val="24"/>
          <w:szCs w:val="24"/>
        </w:rPr>
        <w:t>cinco de octubre de dos mil veinticinco</w:t>
      </w:r>
      <w:r w:rsidRPr="0024065B">
        <w:rPr>
          <w:rFonts w:ascii="Palatino Linotype" w:hAnsi="Palatino Linotype" w:cs="Arial"/>
          <w:sz w:val="24"/>
          <w:szCs w:val="24"/>
        </w:rPr>
        <w:t>,</w:t>
      </w:r>
      <w:r w:rsidRPr="0024065B">
        <w:rPr>
          <w:rFonts w:ascii="Palatino Linotype" w:eastAsia="Times New Roman" w:hAnsi="Palatino Linotype" w:cs="Arial"/>
          <w:sz w:val="24"/>
          <w:szCs w:val="24"/>
          <w:lang w:val="es-ES" w:eastAsia="es-ES"/>
        </w:rPr>
        <w:t xml:space="preserve"> el </w:t>
      </w:r>
      <w:r w:rsidRPr="0024065B">
        <w:rPr>
          <w:rFonts w:ascii="Palatino Linotype" w:eastAsia="Times New Roman" w:hAnsi="Palatino Linotype" w:cs="Arial"/>
          <w:sz w:val="24"/>
          <w:szCs w:val="24"/>
          <w:lang w:val="es-ES_tradnl" w:eastAsia="es-ES"/>
        </w:rPr>
        <w:t>recurso de que</w:t>
      </w:r>
      <w:r w:rsidRPr="0024065B">
        <w:rPr>
          <w:rFonts w:ascii="Palatino Linotype" w:eastAsia="Times New Roman" w:hAnsi="Palatino Linotype" w:cs="Arial"/>
          <w:sz w:val="24"/>
          <w:szCs w:val="24"/>
          <w:lang w:val="es-ES" w:eastAsia="es-ES"/>
        </w:rPr>
        <w:t xml:space="preserve"> se trata</w:t>
      </w:r>
      <w:r w:rsidRPr="0024065B">
        <w:rPr>
          <w:rFonts w:ascii="Palatino Linotype" w:eastAsia="Times New Roman" w:hAnsi="Palatino Linotype" w:cs="Arial"/>
          <w:sz w:val="24"/>
          <w:szCs w:val="24"/>
          <w:lang w:val="es-ES_tradnl" w:eastAsia="es-ES"/>
        </w:rPr>
        <w:t xml:space="preserve"> se envió electrónicamente al Instituto de </w:t>
      </w:r>
      <w:r w:rsidRPr="0024065B">
        <w:rPr>
          <w:rFonts w:ascii="Palatino Linotype" w:eastAsia="Arial Unicode MS" w:hAnsi="Palatino Linotype" w:cs="Arial"/>
          <w:sz w:val="24"/>
          <w:szCs w:val="24"/>
          <w:lang w:val="es-ES" w:eastAsia="es-ES"/>
        </w:rPr>
        <w:t>Transparencia</w:t>
      </w:r>
      <w:r w:rsidRPr="0024065B">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4065B">
        <w:rPr>
          <w:rFonts w:ascii="Palatino Linotype" w:eastAsia="Times New Roman" w:hAnsi="Palatino Linotype" w:cs="Times New Roman"/>
          <w:sz w:val="24"/>
          <w:szCs w:val="24"/>
          <w:lang w:val="es-ES" w:eastAsia="es-ES"/>
        </w:rPr>
        <w:t>Ley de Transparencia y Acceso a la Información Pública del Estado de México y Municipios</w:t>
      </w:r>
      <w:r w:rsidRPr="0024065B">
        <w:rPr>
          <w:rFonts w:ascii="Palatino Linotype" w:eastAsia="Times New Roman" w:hAnsi="Palatino Linotype" w:cs="Arial"/>
          <w:sz w:val="24"/>
          <w:szCs w:val="24"/>
          <w:lang w:val="es-ES_tradnl" w:eastAsia="es-ES"/>
        </w:rPr>
        <w:t>, se turnó a través del</w:t>
      </w:r>
      <w:r w:rsidRPr="0024065B">
        <w:rPr>
          <w:rFonts w:ascii="Palatino Linotype" w:eastAsia="Arial Unicode MS" w:hAnsi="Palatino Linotype" w:cs="Arial"/>
          <w:sz w:val="24"/>
          <w:szCs w:val="24"/>
          <w:lang w:val="es-ES_tradnl" w:eastAsia="es-ES"/>
        </w:rPr>
        <w:t xml:space="preserve"> </w:t>
      </w:r>
      <w:r w:rsidRPr="0024065B">
        <w:rPr>
          <w:rFonts w:ascii="Palatino Linotype" w:eastAsia="Arial Unicode MS" w:hAnsi="Palatino Linotype" w:cs="Arial"/>
          <w:b/>
          <w:sz w:val="24"/>
          <w:szCs w:val="24"/>
          <w:lang w:val="es-ES_tradnl" w:eastAsia="es-ES"/>
        </w:rPr>
        <w:t>SAIMEX</w:t>
      </w:r>
      <w:r w:rsidRPr="0024065B">
        <w:rPr>
          <w:rFonts w:ascii="Palatino Linotype" w:eastAsia="Times New Roman" w:hAnsi="Palatino Linotype" w:cs="Times New Roman"/>
          <w:sz w:val="24"/>
          <w:szCs w:val="24"/>
          <w:lang w:val="es-ES" w:eastAsia="es-ES"/>
        </w:rPr>
        <w:t xml:space="preserve"> al </w:t>
      </w:r>
      <w:r w:rsidRPr="0024065B">
        <w:rPr>
          <w:rFonts w:ascii="Palatino Linotype" w:eastAsia="Times New Roman" w:hAnsi="Palatino Linotype" w:cs="Arial"/>
          <w:sz w:val="24"/>
          <w:szCs w:val="24"/>
          <w:lang w:val="es-ES_tradnl" w:eastAsia="es-ES"/>
        </w:rPr>
        <w:t xml:space="preserve">Comisionado Presidente </w:t>
      </w:r>
      <w:r w:rsidRPr="0024065B">
        <w:rPr>
          <w:rFonts w:ascii="Palatino Linotype" w:eastAsia="Times New Roman" w:hAnsi="Palatino Linotype" w:cs="Arial"/>
          <w:b/>
          <w:sz w:val="24"/>
          <w:szCs w:val="24"/>
          <w:lang w:val="es-ES_tradnl" w:eastAsia="es-ES"/>
        </w:rPr>
        <w:t xml:space="preserve">JOSÉ MARTÍNEZ VILCHIS, </w:t>
      </w:r>
      <w:r w:rsidRPr="0024065B">
        <w:rPr>
          <w:rFonts w:ascii="Palatino Linotype" w:eastAsia="Times New Roman" w:hAnsi="Palatino Linotype" w:cs="Arial"/>
          <w:sz w:val="24"/>
          <w:szCs w:val="24"/>
          <w:lang w:val="es-ES_tradnl" w:eastAsia="es-ES"/>
        </w:rPr>
        <w:t>a efecto de que decretara su admisión o desechamiento.</w:t>
      </w:r>
    </w:p>
    <w:p w14:paraId="1BEBEDE9" w14:textId="77777777" w:rsidR="002F42A5" w:rsidRPr="0024065B" w:rsidRDefault="002F42A5" w:rsidP="002F42A5">
      <w:pPr>
        <w:spacing w:after="0" w:line="360" w:lineRule="auto"/>
        <w:ind w:right="49"/>
        <w:jc w:val="both"/>
        <w:rPr>
          <w:rFonts w:ascii="Palatino Linotype" w:eastAsia="Times New Roman" w:hAnsi="Palatino Linotype" w:cs="Arial"/>
          <w:sz w:val="24"/>
          <w:szCs w:val="24"/>
          <w:lang w:val="es-ES_tradnl" w:eastAsia="es-ES"/>
        </w:rPr>
      </w:pPr>
    </w:p>
    <w:p w14:paraId="4512CD99" w14:textId="77777777" w:rsidR="002F42A5" w:rsidRPr="0024065B" w:rsidRDefault="002F42A5" w:rsidP="002F42A5">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24065B">
        <w:rPr>
          <w:rFonts w:ascii="Palatino Linotype" w:eastAsia="Times New Roman" w:hAnsi="Palatino Linotype" w:cs="Arial"/>
          <w:b/>
          <w:sz w:val="26"/>
          <w:szCs w:val="26"/>
          <w:lang w:val="es-ES_tradnl" w:eastAsia="es-ES"/>
        </w:rPr>
        <w:t>De la admisión del recursos de revisión</w:t>
      </w:r>
    </w:p>
    <w:p w14:paraId="7D664B22" w14:textId="369950BC" w:rsidR="002F42A5" w:rsidRPr="0024065B" w:rsidRDefault="002F42A5" w:rsidP="002F42A5">
      <w:pPr>
        <w:spacing w:after="0" w:line="360" w:lineRule="auto"/>
        <w:ind w:right="49"/>
        <w:jc w:val="both"/>
        <w:rPr>
          <w:rFonts w:ascii="Palatino Linotype" w:eastAsia="Times New Roman" w:hAnsi="Palatino Linotype" w:cs="Arial"/>
          <w:sz w:val="24"/>
          <w:szCs w:val="24"/>
          <w:lang w:val="es-ES_tradnl" w:eastAsia="es-ES"/>
        </w:rPr>
      </w:pPr>
      <w:r w:rsidRPr="0024065B">
        <w:rPr>
          <w:rFonts w:ascii="Palatino Linotype" w:eastAsia="Times New Roman" w:hAnsi="Palatino Linotype" w:cs="Arial"/>
          <w:sz w:val="24"/>
          <w:szCs w:val="24"/>
          <w:lang w:val="es-ES_tradnl" w:eastAsia="es-ES"/>
        </w:rPr>
        <w:t>E</w:t>
      </w:r>
      <w:r w:rsidRPr="0024065B">
        <w:rPr>
          <w:rFonts w:ascii="Palatino Linotype" w:eastAsia="Times New Roman" w:hAnsi="Palatino Linotype" w:cs="Arial"/>
          <w:sz w:val="24"/>
          <w:szCs w:val="24"/>
          <w:lang w:val="es-ES" w:eastAsia="es-ES"/>
        </w:rPr>
        <w:t xml:space="preserve">n fecha </w:t>
      </w:r>
      <w:r w:rsidR="00FC4DB6" w:rsidRPr="0024065B">
        <w:rPr>
          <w:rFonts w:ascii="Palatino Linotype" w:hAnsi="Palatino Linotype"/>
          <w:b/>
          <w:sz w:val="24"/>
        </w:rPr>
        <w:t>ocho</w:t>
      </w:r>
      <w:r w:rsidR="00C72DF6" w:rsidRPr="0024065B">
        <w:rPr>
          <w:rFonts w:ascii="Palatino Linotype" w:hAnsi="Palatino Linotype"/>
          <w:b/>
          <w:sz w:val="24"/>
        </w:rPr>
        <w:t xml:space="preserve"> de octubre de dos mil veinticinco</w:t>
      </w:r>
      <w:r w:rsidRPr="0024065B">
        <w:rPr>
          <w:rFonts w:ascii="Palatino Linotype" w:eastAsia="Times New Roman" w:hAnsi="Palatino Linotype" w:cs="Arial"/>
          <w:sz w:val="24"/>
          <w:szCs w:val="24"/>
          <w:lang w:val="es-ES" w:eastAsia="es-ES"/>
        </w:rPr>
        <w:t xml:space="preserve">, atento a lo dispuesto en el </w:t>
      </w:r>
      <w:r w:rsidRPr="0024065B">
        <w:rPr>
          <w:rFonts w:ascii="Palatino Linotype" w:eastAsia="Times New Roman" w:hAnsi="Palatino Linotype" w:cs="Arial"/>
          <w:sz w:val="24"/>
          <w:szCs w:val="24"/>
          <w:lang w:val="es-ES_tradnl" w:eastAsia="es-ES"/>
        </w:rPr>
        <w:t>artículo</w:t>
      </w:r>
      <w:r w:rsidRPr="0024065B">
        <w:rPr>
          <w:rFonts w:ascii="Palatino Linotype" w:eastAsia="Times New Roman" w:hAnsi="Palatino Linotype" w:cs="Arial"/>
          <w:sz w:val="24"/>
          <w:szCs w:val="24"/>
          <w:lang w:val="es-ES" w:eastAsia="es-ES"/>
        </w:rPr>
        <w:t xml:space="preserve"> 185 fracciones I, II y IV </w:t>
      </w:r>
      <w:r w:rsidRPr="0024065B">
        <w:rPr>
          <w:rFonts w:ascii="Palatino Linotype" w:eastAsia="Times New Roman" w:hAnsi="Palatino Linotype" w:cs="Arial"/>
          <w:sz w:val="24"/>
          <w:szCs w:val="24"/>
          <w:lang w:val="es-ES_tradnl" w:eastAsia="es-ES"/>
        </w:rPr>
        <w:t xml:space="preserve">de la </w:t>
      </w:r>
      <w:r w:rsidRPr="0024065B">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4065B">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585D4E69" w14:textId="77777777" w:rsidR="002F42A5" w:rsidRPr="0024065B" w:rsidRDefault="002F42A5" w:rsidP="002F42A5">
      <w:pPr>
        <w:spacing w:after="0" w:line="360" w:lineRule="auto"/>
        <w:ind w:right="49"/>
        <w:jc w:val="both"/>
        <w:rPr>
          <w:rFonts w:ascii="Palatino Linotype" w:eastAsia="Times New Roman" w:hAnsi="Palatino Linotype" w:cs="Arial"/>
          <w:sz w:val="24"/>
          <w:szCs w:val="24"/>
          <w:lang w:val="es-ES" w:eastAsia="es-ES"/>
        </w:rPr>
      </w:pPr>
    </w:p>
    <w:p w14:paraId="0E96041D" w14:textId="77777777" w:rsidR="002F42A5" w:rsidRPr="0024065B" w:rsidRDefault="002F42A5" w:rsidP="002F42A5">
      <w:pPr>
        <w:numPr>
          <w:ilvl w:val="0"/>
          <w:numId w:val="1"/>
        </w:numPr>
        <w:spacing w:after="0" w:line="360" w:lineRule="auto"/>
        <w:contextualSpacing/>
        <w:jc w:val="both"/>
        <w:rPr>
          <w:rFonts w:ascii="Palatino Linotype" w:hAnsi="Palatino Linotype" w:cs="Arial"/>
          <w:b/>
          <w:sz w:val="26"/>
          <w:szCs w:val="26"/>
        </w:rPr>
      </w:pPr>
      <w:r w:rsidRPr="0024065B">
        <w:rPr>
          <w:rFonts w:ascii="Palatino Linotype" w:hAnsi="Palatino Linotype" w:cs="Arial"/>
          <w:b/>
          <w:sz w:val="26"/>
          <w:szCs w:val="26"/>
        </w:rPr>
        <w:t>De la etapa de instrucción.</w:t>
      </w:r>
    </w:p>
    <w:p w14:paraId="2C288A94"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De las constancias que obran en el SAIMEX, se advierte que el Sujeto Obligado, </w:t>
      </w:r>
      <w:r w:rsidR="001C6174" w:rsidRPr="0024065B">
        <w:rPr>
          <w:rFonts w:ascii="Palatino Linotype" w:hAnsi="Palatino Linotype" w:cs="Arial"/>
          <w:sz w:val="24"/>
          <w:szCs w:val="24"/>
        </w:rPr>
        <w:t xml:space="preserve"> fue omiso para rendir</w:t>
      </w:r>
      <w:r w:rsidRPr="0024065B">
        <w:rPr>
          <w:rFonts w:ascii="Palatino Linotype" w:hAnsi="Palatino Linotype" w:cs="Arial"/>
          <w:sz w:val="24"/>
          <w:szCs w:val="24"/>
        </w:rPr>
        <w:t xml:space="preserve"> su informe justificado.</w:t>
      </w:r>
      <w:r w:rsidR="001C6174" w:rsidRPr="0024065B">
        <w:rPr>
          <w:rFonts w:ascii="Palatino Linotype" w:hAnsi="Palatino Linotype" w:cs="Arial"/>
          <w:sz w:val="24"/>
          <w:szCs w:val="24"/>
        </w:rPr>
        <w:t xml:space="preserve"> Por su parte el recurrente no rindió manifestaciones. </w:t>
      </w:r>
    </w:p>
    <w:p w14:paraId="2A591287" w14:textId="77777777" w:rsidR="002F42A5" w:rsidRPr="0024065B" w:rsidRDefault="002F42A5" w:rsidP="002F42A5">
      <w:pPr>
        <w:spacing w:after="0" w:line="360" w:lineRule="auto"/>
        <w:jc w:val="both"/>
        <w:rPr>
          <w:rFonts w:ascii="Palatino Linotype" w:hAnsi="Palatino Linotype" w:cs="Arial"/>
          <w:sz w:val="24"/>
          <w:szCs w:val="24"/>
        </w:rPr>
      </w:pPr>
    </w:p>
    <w:p w14:paraId="362898D0"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E7B4040" w14:textId="77777777" w:rsidR="002F42A5" w:rsidRPr="0024065B" w:rsidRDefault="002F42A5" w:rsidP="002F42A5">
      <w:pPr>
        <w:spacing w:after="0" w:line="360" w:lineRule="auto"/>
        <w:jc w:val="both"/>
        <w:rPr>
          <w:rFonts w:ascii="Palatino Linotype" w:hAnsi="Palatino Linotype" w:cs="Arial"/>
          <w:sz w:val="24"/>
          <w:szCs w:val="24"/>
          <w:lang w:val="es-ES"/>
        </w:rPr>
      </w:pPr>
    </w:p>
    <w:p w14:paraId="695CA52C" w14:textId="77777777" w:rsidR="002F42A5" w:rsidRPr="0024065B" w:rsidRDefault="002F42A5" w:rsidP="002F42A5">
      <w:pPr>
        <w:numPr>
          <w:ilvl w:val="0"/>
          <w:numId w:val="1"/>
        </w:numPr>
        <w:spacing w:after="0" w:line="360" w:lineRule="auto"/>
        <w:contextualSpacing/>
        <w:jc w:val="both"/>
        <w:rPr>
          <w:rFonts w:ascii="Palatino Linotype" w:hAnsi="Palatino Linotype" w:cs="Arial"/>
          <w:b/>
          <w:sz w:val="26"/>
          <w:szCs w:val="26"/>
        </w:rPr>
      </w:pPr>
      <w:r w:rsidRPr="0024065B">
        <w:rPr>
          <w:rFonts w:ascii="Palatino Linotype" w:hAnsi="Palatino Linotype" w:cs="Arial"/>
          <w:b/>
          <w:sz w:val="26"/>
          <w:szCs w:val="26"/>
        </w:rPr>
        <w:t>Del cierre de instrucción.</w:t>
      </w:r>
    </w:p>
    <w:p w14:paraId="22398598" w14:textId="4E8F7AF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72DF6" w:rsidRPr="0024065B">
        <w:rPr>
          <w:rFonts w:ascii="Palatino Linotype" w:hAnsi="Palatino Linotype"/>
          <w:b/>
          <w:sz w:val="24"/>
        </w:rPr>
        <w:t>veint</w:t>
      </w:r>
      <w:r w:rsidR="00FC4DB6" w:rsidRPr="0024065B">
        <w:rPr>
          <w:rFonts w:ascii="Palatino Linotype" w:hAnsi="Palatino Linotype"/>
          <w:b/>
          <w:sz w:val="24"/>
        </w:rPr>
        <w:t xml:space="preserve">e </w:t>
      </w:r>
      <w:r w:rsidR="00C72DF6" w:rsidRPr="0024065B">
        <w:rPr>
          <w:rFonts w:ascii="Palatino Linotype" w:hAnsi="Palatino Linotype"/>
          <w:b/>
          <w:sz w:val="24"/>
        </w:rPr>
        <w:t>de octubre de dos mil veinticinco</w:t>
      </w:r>
      <w:r w:rsidRPr="0024065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3C6CE52" w14:textId="77777777" w:rsidR="002F42A5" w:rsidRPr="0024065B" w:rsidRDefault="002F42A5" w:rsidP="002F42A5">
      <w:pPr>
        <w:spacing w:after="0" w:line="360" w:lineRule="auto"/>
        <w:jc w:val="both"/>
        <w:rPr>
          <w:rFonts w:ascii="Palatino Linotype" w:hAnsi="Palatino Linotype" w:cs="Arial"/>
          <w:sz w:val="24"/>
          <w:szCs w:val="24"/>
        </w:rPr>
      </w:pPr>
    </w:p>
    <w:p w14:paraId="4CE5D8CF" w14:textId="74BAEB78" w:rsidR="002F42A5" w:rsidRPr="0024065B" w:rsidRDefault="002F42A5" w:rsidP="002F42A5">
      <w:pPr>
        <w:numPr>
          <w:ilvl w:val="0"/>
          <w:numId w:val="1"/>
        </w:numPr>
        <w:spacing w:after="0" w:line="360" w:lineRule="auto"/>
        <w:ind w:left="851"/>
        <w:contextualSpacing/>
        <w:jc w:val="both"/>
        <w:rPr>
          <w:rFonts w:ascii="Palatino Linotype" w:hAnsi="Palatino Linotype" w:cs="Arial"/>
          <w:b/>
          <w:sz w:val="26"/>
          <w:szCs w:val="26"/>
        </w:rPr>
      </w:pPr>
      <w:r w:rsidRPr="0024065B">
        <w:rPr>
          <w:rFonts w:ascii="Palatino Linotype" w:hAnsi="Palatino Linotype" w:cs="Arial"/>
          <w:b/>
          <w:sz w:val="26"/>
          <w:szCs w:val="26"/>
        </w:rPr>
        <w:t xml:space="preserve">Resolución del recurso de revisión </w:t>
      </w:r>
      <w:r w:rsidR="0070552D" w:rsidRPr="0024065B">
        <w:rPr>
          <w:rFonts w:ascii="Palatino Linotype" w:hAnsi="Palatino Linotype" w:cs="Arial"/>
          <w:b/>
          <w:sz w:val="26"/>
          <w:szCs w:val="26"/>
        </w:rPr>
        <w:t>11525</w:t>
      </w:r>
      <w:r w:rsidRPr="0024065B">
        <w:rPr>
          <w:rFonts w:ascii="Palatino Linotype" w:hAnsi="Palatino Linotype" w:cs="Arial"/>
          <w:b/>
          <w:sz w:val="26"/>
          <w:szCs w:val="26"/>
        </w:rPr>
        <w:t>/INFOEM/IP/RR/202</w:t>
      </w:r>
      <w:r w:rsidR="00C72DF6" w:rsidRPr="0024065B">
        <w:rPr>
          <w:rFonts w:ascii="Palatino Linotype" w:hAnsi="Palatino Linotype" w:cs="Arial"/>
          <w:b/>
          <w:sz w:val="26"/>
          <w:szCs w:val="26"/>
        </w:rPr>
        <w:t>5</w:t>
      </w:r>
    </w:p>
    <w:p w14:paraId="37573D2D" w14:textId="0C5CE604"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En la </w:t>
      </w:r>
      <w:r w:rsidR="00C72DF6" w:rsidRPr="0024065B">
        <w:rPr>
          <w:rFonts w:ascii="Palatino Linotype" w:hAnsi="Palatino Linotype" w:cs="Arial"/>
          <w:b/>
          <w:sz w:val="24"/>
          <w:szCs w:val="24"/>
        </w:rPr>
        <w:t>CUADRAGÉSIMA SESIÓN ORDINARIA de fecha doce de noviembre de dos mil veinticinco</w:t>
      </w:r>
      <w:r w:rsidRPr="0024065B">
        <w:rPr>
          <w:rFonts w:ascii="Palatino Linotype" w:hAnsi="Palatino Linotype" w:cs="Arial"/>
          <w:sz w:val="24"/>
          <w:szCs w:val="24"/>
        </w:rPr>
        <w:t>,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28D2AAEF" w14:textId="3F98A791" w:rsidR="001C6174" w:rsidRPr="0024065B" w:rsidRDefault="002F42A5" w:rsidP="001C6174">
      <w:pPr>
        <w:tabs>
          <w:tab w:val="left" w:pos="8647"/>
        </w:tabs>
        <w:spacing w:after="0" w:line="360" w:lineRule="auto"/>
        <w:ind w:left="567" w:right="567"/>
        <w:jc w:val="both"/>
        <w:rPr>
          <w:rFonts w:ascii="Palatino Linotype" w:hAnsi="Palatino Linotype"/>
          <w:i/>
        </w:rPr>
      </w:pPr>
      <w:r w:rsidRPr="0024065B">
        <w:rPr>
          <w:rFonts w:ascii="Palatino Linotype" w:hAnsi="Palatino Linotype" w:cs="Arial"/>
          <w:b/>
          <w:i/>
        </w:rPr>
        <w:t>“</w:t>
      </w:r>
      <w:r w:rsidR="001C6174" w:rsidRPr="0024065B">
        <w:rPr>
          <w:rFonts w:ascii="Palatino Linotype" w:hAnsi="Palatino Linotype"/>
          <w:i/>
        </w:rPr>
        <w:t xml:space="preserve">PRIMERO. Resultan fundadas las razones o motivos de inconformidad hechos valer por el Recurrente, en términos del considerando </w:t>
      </w:r>
      <w:r w:rsidR="00C72DF6" w:rsidRPr="0024065B">
        <w:rPr>
          <w:rFonts w:ascii="Palatino Linotype" w:hAnsi="Palatino Linotype"/>
          <w:i/>
        </w:rPr>
        <w:t>TERCERO</w:t>
      </w:r>
      <w:r w:rsidR="001C6174" w:rsidRPr="0024065B">
        <w:rPr>
          <w:rFonts w:ascii="Palatino Linotype" w:hAnsi="Palatino Linotype"/>
          <w:i/>
        </w:rPr>
        <w:t xml:space="preserve">, de la presente resolución. </w:t>
      </w:r>
    </w:p>
    <w:p w14:paraId="34F46685" w14:textId="77777777" w:rsidR="001C6174" w:rsidRPr="0024065B" w:rsidRDefault="001C6174" w:rsidP="001C6174">
      <w:pPr>
        <w:tabs>
          <w:tab w:val="left" w:pos="8647"/>
        </w:tabs>
        <w:spacing w:after="0" w:line="360" w:lineRule="auto"/>
        <w:ind w:left="567" w:right="567"/>
        <w:jc w:val="both"/>
        <w:rPr>
          <w:rFonts w:ascii="Palatino Linotype" w:hAnsi="Palatino Linotype"/>
          <w:i/>
        </w:rPr>
      </w:pPr>
    </w:p>
    <w:p w14:paraId="1F0DD209" w14:textId="05C9EC42" w:rsidR="002F42A5" w:rsidRPr="0024065B" w:rsidRDefault="001C6174" w:rsidP="001C6174">
      <w:pPr>
        <w:tabs>
          <w:tab w:val="left" w:pos="8647"/>
        </w:tabs>
        <w:spacing w:after="0" w:line="360" w:lineRule="auto"/>
        <w:ind w:left="567" w:right="567"/>
        <w:jc w:val="both"/>
        <w:rPr>
          <w:rFonts w:ascii="Palatino Linotype" w:hAnsi="Palatino Linotype"/>
          <w:i/>
        </w:rPr>
      </w:pPr>
      <w:r w:rsidRPr="0024065B">
        <w:rPr>
          <w:rFonts w:ascii="Palatino Linotype" w:hAnsi="Palatino Linotype"/>
          <w:i/>
        </w:rPr>
        <w:lastRenderedPageBreak/>
        <w:t xml:space="preserve">SEGUNDO. Se ORDENA al SUJETO OBLIGADO atienda la solicitud de información número </w:t>
      </w:r>
      <w:r w:rsidR="0070552D" w:rsidRPr="0024065B">
        <w:rPr>
          <w:rFonts w:ascii="Palatino Linotype" w:hAnsi="Palatino Linotype"/>
          <w:b/>
          <w:i/>
        </w:rPr>
        <w:t>00426/TEPOTZOT/IP/2025</w:t>
      </w:r>
      <w:r w:rsidR="0060519A" w:rsidRPr="0024065B">
        <w:rPr>
          <w:rFonts w:ascii="Palatino Linotype" w:hAnsi="Palatino Linotype"/>
          <w:i/>
        </w:rPr>
        <w:t xml:space="preserve"> </w:t>
      </w:r>
      <w:r w:rsidRPr="0024065B">
        <w:rPr>
          <w:rFonts w:ascii="Palatino Linotype" w:hAnsi="Palatino Linotype"/>
          <w:i/>
        </w:rPr>
        <w:t xml:space="preserve">en términos del Considerando </w:t>
      </w:r>
      <w:r w:rsidR="0060519A" w:rsidRPr="0024065B">
        <w:rPr>
          <w:rFonts w:ascii="Palatino Linotype" w:hAnsi="Palatino Linotype"/>
          <w:i/>
        </w:rPr>
        <w:t>TERCERO</w:t>
      </w:r>
      <w:r w:rsidRPr="0024065B">
        <w:rPr>
          <w:rFonts w:ascii="Palatino Linotype" w:hAnsi="Palatino Linotype"/>
          <w:i/>
        </w:rPr>
        <w:t xml:space="preserve"> de esta resolución; vía Sistema de Acceso a la Información Mexiquense (SAIMEX)</w:t>
      </w:r>
    </w:p>
    <w:p w14:paraId="703F7550" w14:textId="77777777" w:rsidR="001C6174" w:rsidRPr="0024065B" w:rsidRDefault="001C6174" w:rsidP="001C6174">
      <w:pPr>
        <w:tabs>
          <w:tab w:val="left" w:pos="8647"/>
        </w:tabs>
        <w:spacing w:after="0" w:line="360" w:lineRule="auto"/>
        <w:ind w:left="567" w:right="567"/>
        <w:jc w:val="both"/>
        <w:rPr>
          <w:rFonts w:ascii="Palatino Linotype" w:hAnsi="Palatino Linotype"/>
          <w:i/>
        </w:rPr>
      </w:pPr>
      <w:r w:rsidRPr="0024065B">
        <w:rPr>
          <w:rFonts w:ascii="Palatino Linotype" w:hAnsi="Palatino Linotype"/>
          <w:i/>
        </w:rPr>
        <w:t>(….)”</w:t>
      </w:r>
    </w:p>
    <w:p w14:paraId="4D847A4B" w14:textId="77777777" w:rsidR="001C6174" w:rsidRPr="0024065B" w:rsidRDefault="001C6174" w:rsidP="001C6174">
      <w:pPr>
        <w:tabs>
          <w:tab w:val="left" w:pos="8647"/>
        </w:tabs>
        <w:spacing w:after="0" w:line="240" w:lineRule="auto"/>
        <w:ind w:left="567" w:right="567"/>
        <w:jc w:val="both"/>
        <w:rPr>
          <w:rFonts w:ascii="Palatino Linotype" w:hAnsi="Palatino Linotype" w:cs="Arial"/>
          <w:sz w:val="24"/>
          <w:szCs w:val="24"/>
        </w:rPr>
      </w:pPr>
    </w:p>
    <w:p w14:paraId="6E546F60" w14:textId="07AB6FFC" w:rsidR="002F42A5" w:rsidRPr="0024065B" w:rsidRDefault="002F42A5" w:rsidP="002F42A5">
      <w:pPr>
        <w:numPr>
          <w:ilvl w:val="0"/>
          <w:numId w:val="1"/>
        </w:numPr>
        <w:spacing w:after="0" w:line="360" w:lineRule="auto"/>
        <w:contextualSpacing/>
        <w:jc w:val="both"/>
        <w:rPr>
          <w:rFonts w:ascii="Palatino Linotype" w:hAnsi="Palatino Linotype" w:cs="Arial"/>
          <w:b/>
          <w:sz w:val="26"/>
          <w:szCs w:val="26"/>
        </w:rPr>
      </w:pPr>
      <w:r w:rsidRPr="0024065B">
        <w:rPr>
          <w:rFonts w:ascii="Palatino Linotype" w:hAnsi="Palatino Linotype" w:cs="Arial"/>
          <w:b/>
          <w:sz w:val="26"/>
          <w:szCs w:val="26"/>
        </w:rPr>
        <w:t xml:space="preserve">Notificación de la resolución del recurso de revisión </w:t>
      </w:r>
      <w:r w:rsidR="0070552D" w:rsidRPr="0024065B">
        <w:rPr>
          <w:rFonts w:ascii="Palatino Linotype" w:hAnsi="Palatino Linotype" w:cs="Arial"/>
          <w:b/>
          <w:sz w:val="26"/>
          <w:szCs w:val="26"/>
        </w:rPr>
        <w:t>11525</w:t>
      </w:r>
      <w:r w:rsidRPr="0024065B">
        <w:rPr>
          <w:rFonts w:ascii="Palatino Linotype" w:hAnsi="Palatino Linotype" w:cs="Arial"/>
          <w:b/>
          <w:sz w:val="26"/>
          <w:szCs w:val="26"/>
        </w:rPr>
        <w:t>/INFOEM/IP/RR/202</w:t>
      </w:r>
      <w:r w:rsidR="0060519A" w:rsidRPr="0024065B">
        <w:rPr>
          <w:rFonts w:ascii="Palatino Linotype" w:hAnsi="Palatino Linotype" w:cs="Arial"/>
          <w:b/>
          <w:sz w:val="26"/>
          <w:szCs w:val="26"/>
        </w:rPr>
        <w:t>5</w:t>
      </w:r>
    </w:p>
    <w:p w14:paraId="3841B7CD" w14:textId="3904E618"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De conformidad con las constancias que integran el expediente virtual, se advierte que el día </w:t>
      </w:r>
      <w:r w:rsidR="0060519A" w:rsidRPr="0024065B">
        <w:rPr>
          <w:rFonts w:ascii="Palatino Linotype" w:hAnsi="Palatino Linotype" w:cs="Arial"/>
          <w:b/>
          <w:sz w:val="24"/>
          <w:szCs w:val="24"/>
        </w:rPr>
        <w:t>dieciocho de noviembre de dos mil veinticinco</w:t>
      </w:r>
      <w:r w:rsidRPr="0024065B">
        <w:rPr>
          <w:rFonts w:ascii="Palatino Linotype" w:hAnsi="Palatino Linotype" w:cs="Arial"/>
          <w:b/>
          <w:sz w:val="24"/>
          <w:szCs w:val="24"/>
        </w:rPr>
        <w:t>,</w:t>
      </w:r>
      <w:r w:rsidRPr="0024065B">
        <w:rPr>
          <w:rFonts w:ascii="Palatino Linotype" w:hAnsi="Palatino Linotype" w:cs="Arial"/>
          <w:sz w:val="24"/>
          <w:szCs w:val="24"/>
        </w:rPr>
        <w:t xml:space="preserve"> se notificó a las partes, por medio del Sistema de Acceso a la Información Mexiquense (</w:t>
      </w:r>
      <w:r w:rsidRPr="0024065B">
        <w:rPr>
          <w:rFonts w:ascii="Palatino Linotype" w:hAnsi="Palatino Linotype" w:cs="Arial"/>
          <w:b/>
          <w:sz w:val="24"/>
          <w:szCs w:val="24"/>
        </w:rPr>
        <w:t>SAIMEX</w:t>
      </w:r>
      <w:r w:rsidR="0060519A" w:rsidRPr="0024065B">
        <w:rPr>
          <w:rFonts w:ascii="Palatino Linotype" w:hAnsi="Palatino Linotype" w:cs="Arial"/>
          <w:sz w:val="24"/>
          <w:szCs w:val="24"/>
        </w:rPr>
        <w:t>)</w:t>
      </w:r>
      <w:r w:rsidRPr="0024065B">
        <w:rPr>
          <w:rFonts w:ascii="Palatino Linotype" w:hAnsi="Palatino Linotype" w:cs="Arial"/>
          <w:sz w:val="24"/>
          <w:szCs w:val="24"/>
        </w:rPr>
        <w:t>, la resolución de los Medios de Impugnación previamente referidos.</w:t>
      </w:r>
    </w:p>
    <w:p w14:paraId="4C350C1D" w14:textId="77777777" w:rsidR="002F42A5" w:rsidRPr="0024065B" w:rsidRDefault="002F42A5" w:rsidP="002F42A5">
      <w:pPr>
        <w:spacing w:after="0" w:line="360" w:lineRule="auto"/>
        <w:jc w:val="both"/>
        <w:rPr>
          <w:rFonts w:ascii="Palatino Linotype" w:hAnsi="Palatino Linotype" w:cs="Arial"/>
          <w:sz w:val="24"/>
          <w:szCs w:val="24"/>
        </w:rPr>
      </w:pPr>
    </w:p>
    <w:p w14:paraId="2A1E89CE" w14:textId="77777777" w:rsidR="002F42A5" w:rsidRPr="0024065B" w:rsidRDefault="00F012EE" w:rsidP="002F42A5">
      <w:pPr>
        <w:pStyle w:val="Prrafodelista"/>
        <w:numPr>
          <w:ilvl w:val="0"/>
          <w:numId w:val="1"/>
        </w:numPr>
        <w:spacing w:line="360" w:lineRule="auto"/>
        <w:jc w:val="both"/>
        <w:rPr>
          <w:rFonts w:ascii="Palatino Linotype" w:hAnsi="Palatino Linotype" w:cs="Arial"/>
          <w:b/>
          <w:sz w:val="26"/>
          <w:szCs w:val="26"/>
        </w:rPr>
      </w:pPr>
      <w:r w:rsidRPr="0024065B">
        <w:rPr>
          <w:rFonts w:ascii="Palatino Linotype" w:hAnsi="Palatino Linotype" w:cs="Arial"/>
          <w:b/>
          <w:sz w:val="26"/>
          <w:szCs w:val="26"/>
        </w:rPr>
        <w:t xml:space="preserve">Del acuerdo de </w:t>
      </w:r>
      <w:r w:rsidR="002F42A5" w:rsidRPr="0024065B">
        <w:rPr>
          <w:rFonts w:ascii="Palatino Linotype" w:hAnsi="Palatino Linotype" w:cs="Arial"/>
          <w:b/>
          <w:sz w:val="26"/>
          <w:szCs w:val="26"/>
        </w:rPr>
        <w:t>cumplimiento de la resolución.</w:t>
      </w:r>
    </w:p>
    <w:p w14:paraId="7099726F"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Una vez concluido el término otorgado al Sujeto Obligado para que diera cumplimiento a la resolución, en el expediente electrónico, se observa que </w:t>
      </w:r>
      <w:r w:rsidR="00F012EE" w:rsidRPr="0024065B">
        <w:rPr>
          <w:rFonts w:ascii="Palatino Linotype" w:hAnsi="Palatino Linotype" w:cs="Arial"/>
          <w:sz w:val="24"/>
          <w:szCs w:val="24"/>
        </w:rPr>
        <w:t>envió un archivo electrónico con el cual pretendió</w:t>
      </w:r>
      <w:r w:rsidRPr="0024065B">
        <w:rPr>
          <w:rFonts w:ascii="Palatino Linotype" w:hAnsi="Palatino Linotype" w:cs="Arial"/>
          <w:sz w:val="24"/>
          <w:szCs w:val="24"/>
        </w:rPr>
        <w:t xml:space="preserve"> dar cumplimiento a dicha resolución, sin embargo, de las constancias que obran en el SAIMEX, no se observa que la Dirección de Cumplimiento haya emitido el acuerdo de incumplimiento.</w:t>
      </w:r>
    </w:p>
    <w:p w14:paraId="49C7FAEB" w14:textId="77777777" w:rsidR="002F42A5" w:rsidRPr="0024065B" w:rsidRDefault="002F42A5" w:rsidP="002F42A5">
      <w:pPr>
        <w:spacing w:after="0" w:line="360" w:lineRule="auto"/>
        <w:jc w:val="both"/>
        <w:rPr>
          <w:rFonts w:ascii="Palatino Linotype" w:hAnsi="Palatino Linotype" w:cs="Arial"/>
          <w:sz w:val="24"/>
          <w:szCs w:val="24"/>
        </w:rPr>
      </w:pPr>
    </w:p>
    <w:p w14:paraId="17F1E71C" w14:textId="77777777" w:rsidR="002F42A5" w:rsidRPr="0024065B" w:rsidRDefault="002F42A5" w:rsidP="002F42A5">
      <w:pPr>
        <w:spacing w:after="0" w:line="360" w:lineRule="auto"/>
        <w:jc w:val="both"/>
        <w:rPr>
          <w:rFonts w:ascii="Palatino Linotype" w:hAnsi="Palatino Linotype" w:cs="Arial"/>
          <w:sz w:val="24"/>
          <w:szCs w:val="24"/>
        </w:rPr>
      </w:pPr>
    </w:p>
    <w:p w14:paraId="363BD991" w14:textId="0C6CA83B" w:rsidR="002F42A5" w:rsidRPr="0024065B" w:rsidRDefault="004E0538" w:rsidP="002F42A5">
      <w:pPr>
        <w:spacing w:after="0" w:line="360" w:lineRule="auto"/>
        <w:jc w:val="both"/>
        <w:rPr>
          <w:rFonts w:ascii="Palatino Linotype" w:hAnsi="Palatino Linotype" w:cs="Arial"/>
          <w:b/>
          <w:sz w:val="26"/>
          <w:szCs w:val="26"/>
        </w:rPr>
      </w:pPr>
      <w:r w:rsidRPr="0024065B">
        <w:rPr>
          <w:rFonts w:ascii="Palatino Linotype" w:hAnsi="Palatino Linotype" w:cs="Arial"/>
          <w:b/>
          <w:sz w:val="26"/>
          <w:szCs w:val="26"/>
        </w:rPr>
        <w:t>QUINT</w:t>
      </w:r>
      <w:r w:rsidR="002F42A5" w:rsidRPr="0024065B">
        <w:rPr>
          <w:rFonts w:ascii="Palatino Linotype" w:hAnsi="Palatino Linotype" w:cs="Arial"/>
          <w:b/>
          <w:sz w:val="26"/>
          <w:szCs w:val="26"/>
        </w:rPr>
        <w:t xml:space="preserve">O. De la interposición del recurso de revisión </w:t>
      </w:r>
      <w:r w:rsidR="0070552D" w:rsidRPr="0024065B">
        <w:rPr>
          <w:rFonts w:ascii="Palatino Linotype" w:hAnsi="Palatino Linotype" w:cs="Arial"/>
          <w:b/>
          <w:sz w:val="26"/>
          <w:szCs w:val="26"/>
        </w:rPr>
        <w:t>11525/INFOEM/ICR-41/IP/RR/2025</w:t>
      </w:r>
      <w:r w:rsidR="00660829" w:rsidRPr="0024065B">
        <w:rPr>
          <w:rFonts w:ascii="Palatino Linotype" w:hAnsi="Palatino Linotype" w:cs="Arial"/>
          <w:b/>
          <w:sz w:val="26"/>
          <w:szCs w:val="26"/>
        </w:rPr>
        <w:t>.</w:t>
      </w:r>
    </w:p>
    <w:p w14:paraId="31165297" w14:textId="38A3FF98" w:rsidR="002F42A5" w:rsidRPr="0024065B" w:rsidRDefault="002F42A5" w:rsidP="002F42A5">
      <w:pPr>
        <w:spacing w:after="0" w:line="360" w:lineRule="auto"/>
        <w:jc w:val="both"/>
        <w:rPr>
          <w:rFonts w:ascii="Palatino Linotype" w:hAnsi="Palatino Linotype" w:cs="Arial"/>
          <w:sz w:val="24"/>
          <w:szCs w:val="24"/>
          <w:lang w:val="es-ES"/>
        </w:rPr>
      </w:pPr>
      <w:r w:rsidRPr="0024065B">
        <w:rPr>
          <w:rFonts w:ascii="Palatino Linotype" w:hAnsi="Palatino Linotype" w:cs="Arial"/>
          <w:sz w:val="24"/>
          <w:szCs w:val="24"/>
        </w:rPr>
        <w:t xml:space="preserve">De las constancias que integran el expediente del recurso de revisión </w:t>
      </w:r>
      <w:r w:rsidR="0070552D" w:rsidRPr="0024065B">
        <w:rPr>
          <w:rFonts w:ascii="Palatino Linotype" w:hAnsi="Palatino Linotype" w:cs="Arial"/>
          <w:b/>
          <w:sz w:val="24"/>
          <w:szCs w:val="24"/>
        </w:rPr>
        <w:t>11525</w:t>
      </w:r>
      <w:r w:rsidRPr="0024065B">
        <w:rPr>
          <w:rFonts w:ascii="Palatino Linotype" w:hAnsi="Palatino Linotype" w:cs="Arial"/>
          <w:b/>
          <w:sz w:val="24"/>
          <w:szCs w:val="24"/>
        </w:rPr>
        <w:t>/INFOEM/IP/RR/202</w:t>
      </w:r>
      <w:r w:rsidR="0060519A" w:rsidRPr="0024065B">
        <w:rPr>
          <w:rFonts w:ascii="Palatino Linotype" w:hAnsi="Palatino Linotype" w:cs="Arial"/>
          <w:b/>
          <w:sz w:val="24"/>
          <w:szCs w:val="24"/>
        </w:rPr>
        <w:t>5</w:t>
      </w:r>
      <w:r w:rsidRPr="0024065B">
        <w:rPr>
          <w:rFonts w:ascii="Palatino Linotype" w:hAnsi="Palatino Linotype" w:cs="Arial"/>
          <w:sz w:val="24"/>
          <w:szCs w:val="24"/>
        </w:rPr>
        <w:t>, se advierte que, en</w:t>
      </w:r>
      <w:r w:rsidRPr="0024065B">
        <w:rPr>
          <w:rFonts w:ascii="Palatino Linotype" w:hAnsi="Palatino Linotype" w:cs="Arial"/>
          <w:sz w:val="24"/>
          <w:szCs w:val="24"/>
          <w:lang w:val="es-ES"/>
        </w:rPr>
        <w:t xml:space="preserve"> fecha</w:t>
      </w:r>
      <w:r w:rsidR="00F012EE" w:rsidRPr="0024065B">
        <w:rPr>
          <w:rFonts w:ascii="Palatino Linotype" w:hAnsi="Palatino Linotype" w:cs="Arial"/>
          <w:b/>
          <w:sz w:val="24"/>
          <w:szCs w:val="24"/>
          <w:lang w:val="es-ES"/>
        </w:rPr>
        <w:t xml:space="preserve"> </w:t>
      </w:r>
      <w:r w:rsidR="0060519A" w:rsidRPr="0024065B">
        <w:rPr>
          <w:rFonts w:ascii="Palatino Linotype" w:hAnsi="Palatino Linotype" w:cs="Arial"/>
          <w:b/>
          <w:sz w:val="24"/>
          <w:szCs w:val="24"/>
          <w:lang w:val="es-ES"/>
        </w:rPr>
        <w:t>veinti</w:t>
      </w:r>
      <w:r w:rsidR="00FC4DB6" w:rsidRPr="0024065B">
        <w:rPr>
          <w:rFonts w:ascii="Palatino Linotype" w:hAnsi="Palatino Linotype" w:cs="Arial"/>
          <w:b/>
          <w:sz w:val="24"/>
          <w:szCs w:val="24"/>
          <w:lang w:val="es-ES"/>
        </w:rPr>
        <w:t xml:space="preserve">uno </w:t>
      </w:r>
      <w:r w:rsidR="0060519A" w:rsidRPr="0024065B">
        <w:rPr>
          <w:rFonts w:ascii="Palatino Linotype" w:hAnsi="Palatino Linotype" w:cs="Arial"/>
          <w:b/>
          <w:sz w:val="24"/>
          <w:szCs w:val="24"/>
          <w:lang w:val="es-ES"/>
        </w:rPr>
        <w:t>de enero de dos mil veintiséis</w:t>
      </w:r>
      <w:r w:rsidRPr="0024065B">
        <w:rPr>
          <w:rFonts w:ascii="Palatino Linotype" w:hAnsi="Palatino Linotype" w:cs="Arial"/>
          <w:sz w:val="24"/>
          <w:szCs w:val="24"/>
          <w:lang w:val="es-ES"/>
        </w:rPr>
        <w:t xml:space="preserve">, la parte </w:t>
      </w:r>
      <w:r w:rsidRPr="0024065B">
        <w:rPr>
          <w:rFonts w:ascii="Palatino Linotype" w:hAnsi="Palatino Linotype" w:cs="Arial"/>
          <w:b/>
          <w:sz w:val="24"/>
          <w:szCs w:val="24"/>
          <w:lang w:val="es-ES"/>
        </w:rPr>
        <w:t>Recurrente</w:t>
      </w:r>
      <w:r w:rsidRPr="0024065B">
        <w:rPr>
          <w:rFonts w:ascii="Palatino Linotype" w:hAnsi="Palatino Linotype" w:cs="Arial"/>
          <w:sz w:val="24"/>
          <w:szCs w:val="24"/>
          <w:lang w:val="es-ES"/>
        </w:rPr>
        <w:t xml:space="preserve"> interpuso nuevo recurso de revisión en este Instituto, a </w:t>
      </w:r>
      <w:r w:rsidRPr="0024065B">
        <w:rPr>
          <w:rFonts w:ascii="Palatino Linotype" w:hAnsi="Palatino Linotype" w:cs="Arial"/>
          <w:sz w:val="24"/>
          <w:szCs w:val="24"/>
          <w:lang w:val="es-ES"/>
        </w:rPr>
        <w:lastRenderedPageBreak/>
        <w:t xml:space="preserve">través del Sistema de Acceso a la Información Mexiquense (SAIMEX), en contra de la </w:t>
      </w:r>
      <w:r w:rsidR="00F231B7" w:rsidRPr="0024065B">
        <w:rPr>
          <w:rFonts w:ascii="Palatino Linotype" w:hAnsi="Palatino Linotype" w:cs="Arial"/>
          <w:sz w:val="24"/>
          <w:szCs w:val="24"/>
          <w:lang w:val="es-ES"/>
        </w:rPr>
        <w:t>respuesta</w:t>
      </w:r>
      <w:r w:rsidRPr="0024065B">
        <w:rPr>
          <w:rFonts w:ascii="Palatino Linotype" w:hAnsi="Palatino Linotype" w:cs="Arial"/>
          <w:sz w:val="24"/>
          <w:szCs w:val="24"/>
          <w:lang w:val="es-ES"/>
        </w:rPr>
        <w:t xml:space="preserve"> a la resolución referida en el Antecedente </w:t>
      </w:r>
      <w:r w:rsidRPr="0024065B">
        <w:rPr>
          <w:rFonts w:ascii="Palatino Linotype" w:hAnsi="Palatino Linotype" w:cs="Arial"/>
          <w:b/>
          <w:sz w:val="24"/>
          <w:szCs w:val="24"/>
          <w:lang w:val="es-ES"/>
        </w:rPr>
        <w:t>CUARTO,</w:t>
      </w:r>
      <w:r w:rsidRPr="0024065B">
        <w:rPr>
          <w:rFonts w:ascii="Palatino Linotype" w:hAnsi="Palatino Linotype" w:cs="Arial"/>
          <w:sz w:val="24"/>
          <w:szCs w:val="24"/>
          <w:lang w:val="es-ES"/>
        </w:rPr>
        <w:t xml:space="preserve"> en el cual hizo valer como acto impugnado y razones o motivos de inconformidad los siguientes:</w:t>
      </w:r>
    </w:p>
    <w:p w14:paraId="406B2633" w14:textId="77777777" w:rsidR="004E0538" w:rsidRPr="0024065B" w:rsidRDefault="004E0538" w:rsidP="002F42A5">
      <w:pPr>
        <w:spacing w:after="0" w:line="360" w:lineRule="auto"/>
        <w:jc w:val="both"/>
        <w:rPr>
          <w:rFonts w:ascii="Palatino Linotype" w:hAnsi="Palatino Linotype" w:cs="Arial"/>
          <w:sz w:val="24"/>
          <w:szCs w:val="24"/>
          <w:lang w:val="es-ES"/>
        </w:rPr>
      </w:pPr>
    </w:p>
    <w:p w14:paraId="69A546F8" w14:textId="77777777" w:rsidR="002F42A5" w:rsidRPr="0024065B" w:rsidRDefault="002F42A5" w:rsidP="002F42A5">
      <w:pPr>
        <w:spacing w:after="0" w:line="360" w:lineRule="auto"/>
        <w:jc w:val="both"/>
        <w:rPr>
          <w:rFonts w:ascii="Palatino Linotype" w:hAnsi="Palatino Linotype" w:cs="Arial"/>
          <w:b/>
          <w:sz w:val="24"/>
          <w:szCs w:val="24"/>
          <w:lang w:val="es-ES"/>
        </w:rPr>
      </w:pPr>
      <w:r w:rsidRPr="0024065B">
        <w:rPr>
          <w:rFonts w:ascii="Palatino Linotype" w:hAnsi="Palatino Linotype" w:cs="Arial"/>
          <w:b/>
          <w:sz w:val="24"/>
          <w:szCs w:val="24"/>
          <w:lang w:val="es-ES"/>
        </w:rPr>
        <w:t>Acto impugnado:</w:t>
      </w:r>
    </w:p>
    <w:p w14:paraId="04A08D23" w14:textId="34296C39" w:rsidR="002F42A5" w:rsidRPr="0024065B" w:rsidRDefault="002F42A5" w:rsidP="004E0538">
      <w:pPr>
        <w:spacing w:after="0" w:line="240" w:lineRule="auto"/>
        <w:ind w:right="567"/>
        <w:jc w:val="both"/>
        <w:rPr>
          <w:rFonts w:ascii="Palatino Linotype" w:hAnsi="Palatino Linotype" w:cs="Arial"/>
          <w:i/>
          <w:sz w:val="24"/>
          <w:szCs w:val="24"/>
          <w:lang w:val="es-ES"/>
        </w:rPr>
      </w:pPr>
      <w:r w:rsidRPr="0024065B">
        <w:rPr>
          <w:rFonts w:ascii="Palatino Linotype" w:hAnsi="Palatino Linotype" w:cs="Arial"/>
          <w:sz w:val="24"/>
          <w:szCs w:val="24"/>
          <w:lang w:val="es-ES"/>
        </w:rPr>
        <w:t>“</w:t>
      </w:r>
      <w:r w:rsidR="00FC4DB6" w:rsidRPr="0024065B">
        <w:rPr>
          <w:rFonts w:ascii="Palatino Linotype" w:hAnsi="Palatino Linotype"/>
          <w:i/>
          <w:color w:val="000000"/>
          <w:sz w:val="24"/>
          <w:szCs w:val="24"/>
        </w:rPr>
        <w:t>Información incompleta</w:t>
      </w:r>
      <w:r w:rsidRPr="0024065B">
        <w:rPr>
          <w:rFonts w:ascii="Palatino Linotype" w:hAnsi="Palatino Linotype" w:cs="Arial"/>
          <w:i/>
          <w:sz w:val="24"/>
          <w:szCs w:val="24"/>
          <w:lang w:val="es-ES"/>
        </w:rPr>
        <w:t>”</w:t>
      </w:r>
    </w:p>
    <w:p w14:paraId="1E53208E" w14:textId="77777777" w:rsidR="002F42A5" w:rsidRPr="0024065B" w:rsidRDefault="002F42A5" w:rsidP="002F42A5">
      <w:pPr>
        <w:spacing w:after="0" w:line="360" w:lineRule="auto"/>
        <w:jc w:val="both"/>
        <w:rPr>
          <w:rFonts w:ascii="Palatino Linotype" w:hAnsi="Palatino Linotype" w:cs="Arial"/>
          <w:sz w:val="24"/>
          <w:szCs w:val="24"/>
          <w:lang w:val="es-ES"/>
        </w:rPr>
      </w:pPr>
    </w:p>
    <w:p w14:paraId="76149AD5" w14:textId="77777777" w:rsidR="002F42A5" w:rsidRPr="0024065B" w:rsidRDefault="002F42A5" w:rsidP="002F42A5">
      <w:pPr>
        <w:spacing w:after="0" w:line="360" w:lineRule="auto"/>
        <w:jc w:val="both"/>
        <w:rPr>
          <w:rFonts w:ascii="Palatino Linotype" w:hAnsi="Palatino Linotype" w:cs="Arial"/>
          <w:b/>
          <w:sz w:val="24"/>
          <w:szCs w:val="24"/>
          <w:lang w:val="es-ES"/>
        </w:rPr>
      </w:pPr>
      <w:r w:rsidRPr="0024065B">
        <w:rPr>
          <w:rFonts w:ascii="Palatino Linotype" w:hAnsi="Palatino Linotype" w:cs="Arial"/>
          <w:b/>
          <w:sz w:val="24"/>
          <w:szCs w:val="24"/>
          <w:lang w:val="es-ES"/>
        </w:rPr>
        <w:t>Razones o motivos de inconformidad:</w:t>
      </w:r>
    </w:p>
    <w:p w14:paraId="0F84E6E0" w14:textId="40CD0482" w:rsidR="002F42A5" w:rsidRPr="0024065B" w:rsidRDefault="002F42A5" w:rsidP="004E0538">
      <w:pPr>
        <w:spacing w:after="0" w:line="240" w:lineRule="auto"/>
        <w:ind w:right="567"/>
        <w:jc w:val="both"/>
        <w:rPr>
          <w:rFonts w:ascii="Palatino Linotype" w:hAnsi="Palatino Linotype" w:cs="Arial"/>
          <w:i/>
          <w:sz w:val="24"/>
          <w:szCs w:val="24"/>
          <w:lang w:val="es-ES"/>
        </w:rPr>
      </w:pPr>
      <w:r w:rsidRPr="0024065B">
        <w:rPr>
          <w:rFonts w:ascii="Palatino Linotype" w:hAnsi="Palatino Linotype" w:cs="Arial"/>
          <w:i/>
          <w:sz w:val="24"/>
          <w:szCs w:val="24"/>
          <w:lang w:val="es-ES"/>
        </w:rPr>
        <w:t>“</w:t>
      </w:r>
      <w:r w:rsidR="00FC4DB6" w:rsidRPr="0024065B">
        <w:rPr>
          <w:rFonts w:ascii="Palatino Linotype" w:hAnsi="Palatino Linotype"/>
          <w:i/>
          <w:color w:val="000000"/>
          <w:sz w:val="24"/>
          <w:szCs w:val="24"/>
        </w:rPr>
        <w:t>Esta hojita para nada puede considerarse una respuesta a lo solicitado</w:t>
      </w:r>
      <w:r w:rsidRPr="0024065B">
        <w:rPr>
          <w:rFonts w:ascii="Palatino Linotype" w:hAnsi="Palatino Linotype" w:cs="Arial"/>
          <w:i/>
          <w:sz w:val="24"/>
          <w:szCs w:val="24"/>
          <w:lang w:val="es-ES"/>
        </w:rPr>
        <w:t>”</w:t>
      </w:r>
    </w:p>
    <w:p w14:paraId="7899DED6" w14:textId="77777777" w:rsidR="002F42A5" w:rsidRPr="0024065B" w:rsidRDefault="002F42A5" w:rsidP="002F42A5">
      <w:pPr>
        <w:spacing w:after="0" w:line="360" w:lineRule="auto"/>
        <w:jc w:val="both"/>
        <w:rPr>
          <w:rFonts w:ascii="Palatino Linotype" w:hAnsi="Palatino Linotype" w:cs="Arial"/>
          <w:sz w:val="24"/>
          <w:szCs w:val="26"/>
          <w:lang w:val="es-ES"/>
        </w:rPr>
      </w:pPr>
    </w:p>
    <w:p w14:paraId="4206B22D" w14:textId="77777777" w:rsidR="002F42A5" w:rsidRPr="0024065B" w:rsidRDefault="002F42A5" w:rsidP="002F42A5">
      <w:pPr>
        <w:spacing w:after="0" w:line="360" w:lineRule="auto"/>
        <w:jc w:val="both"/>
        <w:rPr>
          <w:rFonts w:ascii="Palatino Linotype" w:hAnsi="Palatino Linotype" w:cs="Arial"/>
          <w:sz w:val="24"/>
          <w:szCs w:val="26"/>
          <w:lang w:val="es-ES"/>
        </w:rPr>
      </w:pPr>
    </w:p>
    <w:p w14:paraId="15EE3AB2" w14:textId="526BCB8C" w:rsidR="004E0538" w:rsidRPr="0024065B" w:rsidRDefault="002F42A5" w:rsidP="002F42A5">
      <w:pPr>
        <w:spacing w:after="0" w:line="360" w:lineRule="auto"/>
        <w:jc w:val="both"/>
        <w:rPr>
          <w:rFonts w:ascii="Palatino Linotype" w:hAnsi="Palatino Linotype" w:cs="Arial"/>
          <w:b/>
          <w:sz w:val="26"/>
          <w:szCs w:val="26"/>
        </w:rPr>
      </w:pPr>
      <w:r w:rsidRPr="0024065B">
        <w:rPr>
          <w:rFonts w:ascii="Palatino Linotype" w:hAnsi="Palatino Linotype" w:cs="Arial"/>
          <w:b/>
          <w:sz w:val="26"/>
          <w:szCs w:val="26"/>
          <w:lang w:val="es-ES"/>
        </w:rPr>
        <w:t>SÉPTIMO.</w:t>
      </w:r>
      <w:r w:rsidRPr="0024065B">
        <w:rPr>
          <w:rFonts w:ascii="Palatino Linotype" w:hAnsi="Palatino Linotype" w:cs="Arial"/>
          <w:sz w:val="26"/>
          <w:szCs w:val="26"/>
          <w:lang w:val="es-ES"/>
        </w:rPr>
        <w:t xml:space="preserve"> </w:t>
      </w:r>
      <w:r w:rsidRPr="0024065B">
        <w:rPr>
          <w:rFonts w:ascii="Palatino Linotype" w:hAnsi="Palatino Linotype" w:cs="Arial"/>
          <w:b/>
          <w:sz w:val="26"/>
          <w:szCs w:val="26"/>
          <w:lang w:val="es-ES"/>
        </w:rPr>
        <w:t xml:space="preserve">Del turno del recurso de revisión </w:t>
      </w:r>
      <w:r w:rsidR="0070552D" w:rsidRPr="0024065B">
        <w:rPr>
          <w:rFonts w:ascii="Palatino Linotype" w:hAnsi="Palatino Linotype" w:cs="Arial"/>
          <w:b/>
          <w:sz w:val="26"/>
          <w:szCs w:val="26"/>
        </w:rPr>
        <w:t>11525/INFOEM/ICR-41/IP/RR/2025</w:t>
      </w:r>
      <w:r w:rsidR="00660829" w:rsidRPr="0024065B">
        <w:rPr>
          <w:rFonts w:ascii="Palatino Linotype" w:hAnsi="Palatino Linotype" w:cs="Arial"/>
          <w:b/>
          <w:sz w:val="26"/>
          <w:szCs w:val="26"/>
        </w:rPr>
        <w:t>.</w:t>
      </w:r>
    </w:p>
    <w:p w14:paraId="6F4E8A0A" w14:textId="55A98598" w:rsidR="002F42A5" w:rsidRPr="0024065B" w:rsidRDefault="002F42A5" w:rsidP="002F42A5">
      <w:pPr>
        <w:spacing w:after="0" w:line="360" w:lineRule="auto"/>
        <w:jc w:val="both"/>
        <w:rPr>
          <w:rFonts w:ascii="Palatino Linotype" w:hAnsi="Palatino Linotype" w:cs="Arial"/>
          <w:b/>
          <w:sz w:val="26"/>
          <w:szCs w:val="26"/>
        </w:rPr>
      </w:pPr>
      <w:r w:rsidRPr="0024065B">
        <w:rPr>
          <w:rFonts w:ascii="Palatino Linotype" w:hAnsi="Palatino Linotype" w:cs="Arial"/>
          <w:sz w:val="24"/>
          <w:szCs w:val="24"/>
        </w:rPr>
        <w:t>El</w:t>
      </w:r>
      <w:r w:rsidR="00F231B7" w:rsidRPr="0024065B">
        <w:rPr>
          <w:rFonts w:ascii="Palatino Linotype" w:hAnsi="Palatino Linotype" w:cs="Arial"/>
          <w:b/>
          <w:sz w:val="24"/>
          <w:szCs w:val="24"/>
        </w:rPr>
        <w:t xml:space="preserve"> veinti</w:t>
      </w:r>
      <w:r w:rsidR="00FC4DB6" w:rsidRPr="0024065B">
        <w:rPr>
          <w:rFonts w:ascii="Palatino Linotype" w:hAnsi="Palatino Linotype" w:cs="Arial"/>
          <w:b/>
          <w:sz w:val="24"/>
          <w:szCs w:val="24"/>
        </w:rPr>
        <w:t>uno</w:t>
      </w:r>
      <w:r w:rsidR="00F231B7" w:rsidRPr="0024065B">
        <w:rPr>
          <w:rFonts w:ascii="Palatino Linotype" w:hAnsi="Palatino Linotype" w:cs="Arial"/>
          <w:b/>
          <w:sz w:val="24"/>
          <w:szCs w:val="24"/>
        </w:rPr>
        <w:t xml:space="preserve"> de enero de dos mil veintiséis</w:t>
      </w:r>
      <w:r w:rsidRPr="0024065B">
        <w:rPr>
          <w:rFonts w:ascii="Palatino Linotype" w:hAnsi="Palatino Linotype" w:cs="Arial"/>
          <w:sz w:val="24"/>
          <w:szCs w:val="24"/>
        </w:rPr>
        <w:t xml:space="preserve">, el Sistema de Acceso a la Información Mexiquense (SAIMEX), asignó con número de expediente </w:t>
      </w:r>
      <w:r w:rsidR="0070552D" w:rsidRPr="0024065B">
        <w:rPr>
          <w:rFonts w:ascii="Palatino Linotype" w:hAnsi="Palatino Linotype" w:cs="Arial"/>
          <w:b/>
          <w:sz w:val="26"/>
          <w:szCs w:val="26"/>
        </w:rPr>
        <w:t>11525/INFOEM/ICR-41/IP/RR/2025</w:t>
      </w:r>
      <w:r w:rsidRPr="0024065B">
        <w:rPr>
          <w:rFonts w:ascii="Palatino Linotype" w:hAnsi="Palatino Linotype" w:cs="Arial"/>
          <w:b/>
          <w:sz w:val="26"/>
          <w:szCs w:val="26"/>
        </w:rPr>
        <w:t>,</w:t>
      </w:r>
      <w:r w:rsidRPr="0024065B">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24065B">
        <w:rPr>
          <w:rFonts w:ascii="Palatino Linotype" w:hAnsi="Palatino Linotype" w:cs="Arial"/>
          <w:b/>
          <w:sz w:val="24"/>
          <w:szCs w:val="24"/>
        </w:rPr>
        <w:t>José Martínez Vilchis</w:t>
      </w:r>
      <w:r w:rsidRPr="0024065B">
        <w:rPr>
          <w:rFonts w:ascii="Palatino Linotype" w:hAnsi="Palatino Linotype" w:cs="Arial"/>
          <w:sz w:val="24"/>
          <w:szCs w:val="24"/>
        </w:rPr>
        <w:t>, para los efectos del artículo 185, fracción I de la Ley de Transparencia y Acceso a la Información Pública del Estado de México y Municipios.</w:t>
      </w:r>
    </w:p>
    <w:p w14:paraId="3312977F" w14:textId="77777777" w:rsidR="002F42A5" w:rsidRPr="0024065B" w:rsidRDefault="002F42A5" w:rsidP="002F42A5">
      <w:pPr>
        <w:spacing w:after="0" w:line="360" w:lineRule="auto"/>
        <w:jc w:val="both"/>
        <w:rPr>
          <w:rFonts w:ascii="Palatino Linotype" w:hAnsi="Palatino Linotype" w:cs="Arial"/>
          <w:sz w:val="24"/>
          <w:szCs w:val="24"/>
        </w:rPr>
      </w:pPr>
    </w:p>
    <w:p w14:paraId="35BCCCEB" w14:textId="2F5B08C2" w:rsidR="00F231B7" w:rsidRPr="0024065B" w:rsidRDefault="002F42A5" w:rsidP="00F231B7">
      <w:pPr>
        <w:spacing w:after="0" w:line="360" w:lineRule="auto"/>
        <w:jc w:val="both"/>
        <w:rPr>
          <w:rFonts w:ascii="Palatino Linotype" w:hAnsi="Palatino Linotype" w:cs="Arial"/>
          <w:b/>
          <w:sz w:val="26"/>
          <w:szCs w:val="26"/>
        </w:rPr>
      </w:pPr>
      <w:r w:rsidRPr="0024065B">
        <w:rPr>
          <w:rFonts w:ascii="Palatino Linotype" w:hAnsi="Palatino Linotype" w:cs="Arial"/>
          <w:b/>
          <w:sz w:val="26"/>
          <w:szCs w:val="26"/>
        </w:rPr>
        <w:t xml:space="preserve">OCTAVO. De la admisión del recurso de revisión </w:t>
      </w:r>
      <w:r w:rsidR="0070552D" w:rsidRPr="0024065B">
        <w:rPr>
          <w:rFonts w:ascii="Palatino Linotype" w:hAnsi="Palatino Linotype" w:cs="Arial"/>
          <w:b/>
          <w:sz w:val="26"/>
          <w:szCs w:val="26"/>
        </w:rPr>
        <w:t>11525/INFOEM/ICR-41/IP/RR/2025</w:t>
      </w:r>
      <w:r w:rsidR="00660829" w:rsidRPr="0024065B">
        <w:rPr>
          <w:rFonts w:ascii="Palatino Linotype" w:hAnsi="Palatino Linotype" w:cs="Arial"/>
          <w:b/>
          <w:sz w:val="26"/>
          <w:szCs w:val="26"/>
        </w:rPr>
        <w:t>.</w:t>
      </w:r>
    </w:p>
    <w:p w14:paraId="2BA866DC" w14:textId="5F437E6B" w:rsidR="002F42A5" w:rsidRPr="0024065B" w:rsidRDefault="002F42A5" w:rsidP="002F42A5">
      <w:pPr>
        <w:spacing w:after="0" w:line="360" w:lineRule="auto"/>
        <w:jc w:val="both"/>
        <w:rPr>
          <w:rFonts w:ascii="Palatino Linotype" w:hAnsi="Palatino Linotype" w:cs="Arial"/>
          <w:sz w:val="24"/>
          <w:szCs w:val="24"/>
          <w:lang w:val="es-ES_tradnl"/>
        </w:rPr>
      </w:pPr>
      <w:r w:rsidRPr="0024065B">
        <w:rPr>
          <w:rFonts w:ascii="Palatino Linotype" w:hAnsi="Palatino Linotype" w:cs="Arial"/>
          <w:sz w:val="24"/>
          <w:szCs w:val="24"/>
          <w:lang w:val="es-ES_tradnl"/>
        </w:rPr>
        <w:t xml:space="preserve">El </w:t>
      </w:r>
      <w:r w:rsidR="00F231B7" w:rsidRPr="0024065B">
        <w:rPr>
          <w:rFonts w:ascii="Palatino Linotype" w:hAnsi="Palatino Linotype" w:cs="Arial"/>
          <w:b/>
          <w:sz w:val="24"/>
          <w:szCs w:val="24"/>
          <w:lang w:val="es-ES_tradnl"/>
        </w:rPr>
        <w:t>veinti</w:t>
      </w:r>
      <w:r w:rsidR="00FC4DB6" w:rsidRPr="0024065B">
        <w:rPr>
          <w:rFonts w:ascii="Palatino Linotype" w:hAnsi="Palatino Linotype" w:cs="Arial"/>
          <w:b/>
          <w:sz w:val="24"/>
          <w:szCs w:val="24"/>
          <w:lang w:val="es-ES_tradnl"/>
        </w:rPr>
        <w:t>siete</w:t>
      </w:r>
      <w:r w:rsidR="00F231B7" w:rsidRPr="0024065B">
        <w:rPr>
          <w:rFonts w:ascii="Palatino Linotype" w:hAnsi="Palatino Linotype" w:cs="Arial"/>
          <w:b/>
          <w:sz w:val="24"/>
          <w:szCs w:val="24"/>
          <w:lang w:val="es-ES_tradnl"/>
        </w:rPr>
        <w:t xml:space="preserve"> de enero de dos mil veintiséis</w:t>
      </w:r>
      <w:r w:rsidRPr="0024065B">
        <w:rPr>
          <w:rFonts w:ascii="Palatino Linotype" w:hAnsi="Palatino Linotype" w:cs="Arial"/>
          <w:b/>
          <w:sz w:val="24"/>
          <w:szCs w:val="24"/>
          <w:lang w:val="es-ES_tradnl"/>
        </w:rPr>
        <w:t>,</w:t>
      </w:r>
      <w:r w:rsidRPr="0024065B">
        <w:rPr>
          <w:rFonts w:ascii="Palatino Linotype" w:hAnsi="Palatino Linotype" w:cs="Arial"/>
          <w:sz w:val="24"/>
          <w:szCs w:val="24"/>
          <w:lang w:val="es-ES_tradnl"/>
        </w:rPr>
        <w:t xml:space="preserve"> se acordó la admisión del recurso de revisión interpuesto por el </w:t>
      </w:r>
      <w:r w:rsidRPr="0024065B">
        <w:rPr>
          <w:rFonts w:ascii="Palatino Linotype" w:hAnsi="Palatino Linotype" w:cs="Arial"/>
          <w:b/>
          <w:sz w:val="24"/>
          <w:szCs w:val="24"/>
          <w:lang w:val="es-ES_tradnl"/>
        </w:rPr>
        <w:t>Recurrente</w:t>
      </w:r>
      <w:r w:rsidRPr="0024065B">
        <w:rPr>
          <w:rFonts w:ascii="Palatino Linotype" w:hAnsi="Palatino Linotype" w:cs="Arial"/>
          <w:sz w:val="24"/>
          <w:szCs w:val="24"/>
          <w:lang w:val="es-ES_tradnl"/>
        </w:rPr>
        <w:t xml:space="preserve"> en contra del </w:t>
      </w:r>
      <w:r w:rsidRPr="0024065B">
        <w:rPr>
          <w:rFonts w:ascii="Palatino Linotype" w:hAnsi="Palatino Linotype" w:cs="Arial"/>
          <w:b/>
          <w:sz w:val="24"/>
          <w:szCs w:val="24"/>
          <w:lang w:val="es-ES_tradnl"/>
        </w:rPr>
        <w:t>Sujeto</w:t>
      </w:r>
      <w:r w:rsidRPr="0024065B">
        <w:rPr>
          <w:rFonts w:ascii="Palatino Linotype" w:hAnsi="Palatino Linotype" w:cs="Arial"/>
          <w:sz w:val="24"/>
          <w:szCs w:val="24"/>
          <w:lang w:val="es-ES_tradnl"/>
        </w:rPr>
        <w:t xml:space="preserve"> </w:t>
      </w:r>
      <w:r w:rsidRPr="0024065B">
        <w:rPr>
          <w:rFonts w:ascii="Palatino Linotype" w:hAnsi="Palatino Linotype" w:cs="Arial"/>
          <w:b/>
          <w:sz w:val="24"/>
          <w:szCs w:val="24"/>
          <w:lang w:val="es-ES_tradnl"/>
        </w:rPr>
        <w:t>Obligado</w:t>
      </w:r>
      <w:r w:rsidRPr="0024065B">
        <w:rPr>
          <w:rFonts w:ascii="Palatino Linotype" w:hAnsi="Palatino Linotype" w:cs="Arial"/>
          <w:sz w:val="24"/>
          <w:szCs w:val="24"/>
          <w:lang w:val="es-ES_tradnl"/>
        </w:rPr>
        <w:t xml:space="preserve">, en términos del artículo 185, fracciones I, II y IV de la Ley de Transparencia y Acceso a la Información </w:t>
      </w:r>
      <w:r w:rsidRPr="0024065B">
        <w:rPr>
          <w:rFonts w:ascii="Palatino Linotype" w:hAnsi="Palatino Linotype" w:cs="Arial"/>
          <w:sz w:val="24"/>
          <w:szCs w:val="24"/>
          <w:lang w:val="es-ES_tradnl"/>
        </w:rPr>
        <w:lastRenderedPageBreak/>
        <w:t xml:space="preserve">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77FFBFB0" w14:textId="77777777" w:rsidR="002F42A5" w:rsidRPr="0024065B" w:rsidRDefault="002F42A5" w:rsidP="002F42A5">
      <w:pPr>
        <w:spacing w:after="0" w:line="360" w:lineRule="auto"/>
        <w:jc w:val="both"/>
        <w:rPr>
          <w:rFonts w:ascii="Palatino Linotype" w:hAnsi="Palatino Linotype" w:cs="Arial"/>
          <w:sz w:val="24"/>
          <w:szCs w:val="24"/>
          <w:lang w:val="es-ES_tradnl"/>
        </w:rPr>
      </w:pPr>
    </w:p>
    <w:p w14:paraId="2969B68E" w14:textId="77777777" w:rsidR="002F42A5" w:rsidRPr="0024065B" w:rsidRDefault="002F42A5" w:rsidP="002F42A5">
      <w:pPr>
        <w:spacing w:after="0" w:line="360" w:lineRule="auto"/>
        <w:jc w:val="both"/>
        <w:rPr>
          <w:rFonts w:ascii="Palatino Linotype" w:hAnsi="Palatino Linotype" w:cs="Arial"/>
          <w:sz w:val="24"/>
          <w:szCs w:val="24"/>
          <w:lang w:val="es-ES_tradnl"/>
        </w:rPr>
      </w:pPr>
      <w:r w:rsidRPr="0024065B">
        <w:rPr>
          <w:rFonts w:ascii="Palatino Linotype" w:hAnsi="Palatino Linotype" w:cs="Arial"/>
          <w:b/>
          <w:sz w:val="28"/>
          <w:szCs w:val="28"/>
        </w:rPr>
        <w:t>NOVENO. De la etapa de manifestaciones.</w:t>
      </w:r>
    </w:p>
    <w:p w14:paraId="22FCB3E1" w14:textId="67E462C9" w:rsidR="00F231B7" w:rsidRPr="0024065B" w:rsidRDefault="002F42A5" w:rsidP="002F42A5">
      <w:pPr>
        <w:spacing w:after="0" w:line="360" w:lineRule="auto"/>
        <w:jc w:val="both"/>
        <w:rPr>
          <w:rFonts w:ascii="Palatino Linotype" w:hAnsi="Palatino Linotype" w:cs="Arial"/>
          <w:sz w:val="24"/>
          <w:szCs w:val="24"/>
          <w:lang w:val="es-ES_tradnl"/>
        </w:rPr>
      </w:pPr>
      <w:r w:rsidRPr="0024065B">
        <w:rPr>
          <w:rFonts w:ascii="Palatino Linotype" w:hAnsi="Palatino Linotype" w:cs="Arial"/>
          <w:sz w:val="24"/>
          <w:szCs w:val="24"/>
          <w:lang w:val="es-ES_tradnl"/>
        </w:rPr>
        <w:t xml:space="preserve">Cabe señalar, que </w:t>
      </w:r>
      <w:r w:rsidRPr="0024065B">
        <w:rPr>
          <w:rFonts w:ascii="Palatino Linotype" w:hAnsi="Palatino Linotype" w:cs="Arial"/>
          <w:b/>
          <w:sz w:val="24"/>
          <w:szCs w:val="24"/>
          <w:lang w:val="es-ES_tradnl"/>
        </w:rPr>
        <w:t>las partes fueron omisas en emitir manifestaciones o alegatos</w:t>
      </w:r>
      <w:r w:rsidRPr="0024065B">
        <w:rPr>
          <w:rFonts w:ascii="Palatino Linotype" w:hAnsi="Palatino Linotype" w:cs="Arial"/>
          <w:sz w:val="24"/>
          <w:szCs w:val="24"/>
          <w:lang w:val="es-ES_tradnl"/>
        </w:rPr>
        <w:t xml:space="preserve">, por lo que en fecha </w:t>
      </w:r>
      <w:r w:rsidR="004E0538" w:rsidRPr="0024065B">
        <w:rPr>
          <w:rFonts w:ascii="Palatino Linotype" w:hAnsi="Palatino Linotype" w:cs="Arial"/>
          <w:sz w:val="24"/>
          <w:szCs w:val="24"/>
          <w:lang w:val="es-ES_tradnl"/>
        </w:rPr>
        <w:t>dieciocho de abril de dos mil veinticuatro</w:t>
      </w:r>
      <w:r w:rsidRPr="0024065B">
        <w:rPr>
          <w:rFonts w:ascii="Palatino Linotype" w:hAnsi="Palatino Linotype" w:cs="Arial"/>
          <w:sz w:val="24"/>
          <w:szCs w:val="24"/>
          <w:lang w:val="es-ES_tradnl"/>
        </w:rPr>
        <w:t>,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w:t>
      </w:r>
      <w:r w:rsidRPr="0024065B">
        <w:rPr>
          <w:rFonts w:ascii="Palatino Linotype" w:hAnsi="Palatino Linotype" w:cs="Arial"/>
          <w:b/>
          <w:sz w:val="24"/>
          <w:szCs w:val="24"/>
          <w:lang w:val="es-ES_tradnl"/>
        </w:rPr>
        <w:t>SAIMEX</w:t>
      </w:r>
      <w:r w:rsidRPr="0024065B">
        <w:rPr>
          <w:rFonts w:ascii="Palatino Linotype" w:hAnsi="Palatino Linotype" w:cs="Arial"/>
          <w:sz w:val="24"/>
          <w:szCs w:val="24"/>
          <w:lang w:val="es-ES_tradnl"/>
        </w:rPr>
        <w:t>).</w:t>
      </w:r>
    </w:p>
    <w:p w14:paraId="418F3E6F" w14:textId="77777777" w:rsidR="00660829" w:rsidRPr="0024065B" w:rsidRDefault="00660829" w:rsidP="002F42A5">
      <w:pPr>
        <w:spacing w:after="0" w:line="360" w:lineRule="auto"/>
        <w:jc w:val="both"/>
        <w:rPr>
          <w:rFonts w:ascii="Palatino Linotype" w:hAnsi="Palatino Linotype" w:cs="Arial"/>
          <w:sz w:val="24"/>
          <w:szCs w:val="24"/>
          <w:lang w:val="es-ES_tradnl"/>
        </w:rPr>
      </w:pPr>
    </w:p>
    <w:p w14:paraId="011E1DA2" w14:textId="52C65DD3" w:rsidR="00F231B7" w:rsidRPr="0024065B" w:rsidRDefault="00F231B7" w:rsidP="00F231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4065B">
        <w:rPr>
          <w:rFonts w:ascii="Palatino Linotype" w:eastAsia="Times New Roman" w:hAnsi="Palatino Linotype" w:cs="Times New Roman"/>
          <w:b/>
          <w:color w:val="000000" w:themeColor="text1"/>
          <w:sz w:val="28"/>
          <w:szCs w:val="28"/>
          <w:lang w:val="es-ES_tradnl" w:eastAsia="es-MX"/>
        </w:rPr>
        <w:t>DÉCIMO. Del cierre de instrucción.</w:t>
      </w:r>
    </w:p>
    <w:p w14:paraId="538D7DE7" w14:textId="2C7FE55F" w:rsidR="00F231B7" w:rsidRPr="0024065B" w:rsidRDefault="00F231B7" w:rsidP="002F42A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4065B">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24065B">
        <w:rPr>
          <w:rFonts w:ascii="Palatino Linotype" w:eastAsia="Times New Roman" w:hAnsi="Palatino Linotype" w:cs="Palatino Linotype"/>
          <w:b/>
          <w:color w:val="000000"/>
          <w:sz w:val="24"/>
          <w:szCs w:val="24"/>
          <w:lang w:val="es-ES_tradnl" w:eastAsia="es-MX"/>
        </w:rPr>
        <w:t xml:space="preserve"> d</w:t>
      </w:r>
      <w:r w:rsidR="00660829" w:rsidRPr="0024065B">
        <w:rPr>
          <w:rFonts w:ascii="Palatino Linotype" w:eastAsia="Times New Roman" w:hAnsi="Palatino Linotype" w:cs="Palatino Linotype"/>
          <w:b/>
          <w:color w:val="000000"/>
          <w:sz w:val="24"/>
          <w:szCs w:val="24"/>
          <w:lang w:val="es-ES_tradnl" w:eastAsia="es-MX"/>
        </w:rPr>
        <w:t>oce</w:t>
      </w:r>
      <w:r w:rsidRPr="0024065B">
        <w:rPr>
          <w:rFonts w:ascii="Palatino Linotype" w:eastAsia="Times New Roman" w:hAnsi="Palatino Linotype" w:cs="Palatino Linotype"/>
          <w:b/>
          <w:color w:val="000000"/>
          <w:sz w:val="24"/>
          <w:szCs w:val="24"/>
          <w:lang w:val="es-ES_tradnl" w:eastAsia="es-MX"/>
        </w:rPr>
        <w:t xml:space="preserve"> de febrero de dos mil veintiséis</w:t>
      </w:r>
      <w:r w:rsidRPr="0024065B">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DF2BAC2" w14:textId="77777777" w:rsidR="00F231B7" w:rsidRPr="0024065B" w:rsidRDefault="00F231B7" w:rsidP="002F42A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C99BA61" w14:textId="77777777" w:rsidR="002F42A5" w:rsidRPr="0024065B" w:rsidRDefault="002F42A5" w:rsidP="002F42A5">
      <w:pPr>
        <w:spacing w:after="0" w:line="360" w:lineRule="auto"/>
        <w:jc w:val="both"/>
        <w:rPr>
          <w:rFonts w:ascii="Palatino Linotype" w:hAnsi="Palatino Linotype" w:cs="Arial"/>
          <w:sz w:val="24"/>
          <w:szCs w:val="24"/>
          <w:lang w:val="es-ES_tradnl"/>
        </w:rPr>
      </w:pPr>
    </w:p>
    <w:p w14:paraId="108FF322" w14:textId="77777777" w:rsidR="002F42A5" w:rsidRPr="0024065B" w:rsidRDefault="002F42A5" w:rsidP="002F42A5">
      <w:pPr>
        <w:spacing w:after="0" w:line="360" w:lineRule="auto"/>
        <w:jc w:val="center"/>
        <w:rPr>
          <w:rFonts w:ascii="Palatino Linotype" w:hAnsi="Palatino Linotype" w:cs="Arial"/>
          <w:b/>
          <w:sz w:val="28"/>
          <w:szCs w:val="24"/>
        </w:rPr>
      </w:pPr>
      <w:r w:rsidRPr="0024065B">
        <w:rPr>
          <w:rFonts w:ascii="Palatino Linotype" w:hAnsi="Palatino Linotype" w:cs="Arial"/>
          <w:b/>
          <w:sz w:val="28"/>
          <w:szCs w:val="24"/>
        </w:rPr>
        <w:t xml:space="preserve">C O N S I D E R A N D O </w:t>
      </w:r>
    </w:p>
    <w:p w14:paraId="28E60B3F" w14:textId="77777777" w:rsidR="00F231B7" w:rsidRPr="0024065B" w:rsidRDefault="00F231B7" w:rsidP="002F42A5">
      <w:pPr>
        <w:spacing w:after="0" w:line="360" w:lineRule="auto"/>
        <w:jc w:val="center"/>
        <w:rPr>
          <w:rFonts w:ascii="Palatino Linotype" w:hAnsi="Palatino Linotype" w:cs="Arial"/>
          <w:b/>
          <w:sz w:val="28"/>
          <w:szCs w:val="24"/>
        </w:rPr>
      </w:pPr>
    </w:p>
    <w:p w14:paraId="7D6F154C" w14:textId="77777777" w:rsidR="002F42A5" w:rsidRPr="0024065B" w:rsidRDefault="002F42A5" w:rsidP="002F42A5">
      <w:pPr>
        <w:spacing w:after="0" w:line="360" w:lineRule="auto"/>
        <w:jc w:val="center"/>
        <w:rPr>
          <w:rFonts w:ascii="Palatino Linotype" w:hAnsi="Palatino Linotype" w:cs="Arial"/>
          <w:b/>
          <w:sz w:val="24"/>
          <w:szCs w:val="24"/>
        </w:rPr>
      </w:pPr>
    </w:p>
    <w:p w14:paraId="2990FC6C" w14:textId="77777777" w:rsidR="002F42A5" w:rsidRPr="0024065B" w:rsidRDefault="002F42A5" w:rsidP="002F42A5">
      <w:pPr>
        <w:spacing w:after="0" w:line="360" w:lineRule="auto"/>
        <w:jc w:val="both"/>
        <w:rPr>
          <w:rFonts w:ascii="Palatino Linotype" w:hAnsi="Palatino Linotype" w:cs="Arial"/>
          <w:sz w:val="28"/>
          <w:szCs w:val="28"/>
        </w:rPr>
      </w:pPr>
      <w:r w:rsidRPr="0024065B">
        <w:rPr>
          <w:rFonts w:ascii="Palatino Linotype" w:hAnsi="Palatino Linotype" w:cs="Arial"/>
          <w:b/>
          <w:sz w:val="28"/>
          <w:szCs w:val="28"/>
        </w:rPr>
        <w:t>PRIMERO. De la competencia</w:t>
      </w:r>
      <w:r w:rsidRPr="0024065B">
        <w:rPr>
          <w:rFonts w:ascii="Palatino Linotype" w:hAnsi="Palatino Linotype" w:cs="Arial"/>
          <w:sz w:val="28"/>
          <w:szCs w:val="28"/>
        </w:rPr>
        <w:t>.</w:t>
      </w:r>
    </w:p>
    <w:p w14:paraId="299D9891" w14:textId="77777777" w:rsidR="00F231B7" w:rsidRPr="0024065B" w:rsidRDefault="00F231B7" w:rsidP="00F231B7">
      <w:pPr>
        <w:autoSpaceDE w:val="0"/>
        <w:autoSpaceDN w:val="0"/>
        <w:adjustRightInd w:val="0"/>
        <w:spacing w:line="360" w:lineRule="auto"/>
        <w:jc w:val="both"/>
        <w:rPr>
          <w:rFonts w:ascii="Palatino Linotype" w:hAnsi="Palatino Linotype" w:cs="Arial"/>
          <w:sz w:val="24"/>
          <w:szCs w:val="24"/>
          <w:lang w:val="es-ES" w:eastAsia="es-ES"/>
        </w:rPr>
      </w:pPr>
      <w:r w:rsidRPr="0024065B">
        <w:rPr>
          <w:rFonts w:ascii="Palatino Linotype"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5,párrafos trigésimo segundo, trigésimo tercero y trigésimo cuarto fracciones IV y V, de la Constitución Política del Estado Libre y Soberano de México; artículos 1, 2 fracción II, 13, 29, 36 fracciones I y II, </w:t>
      </w:r>
      <w:hyperlink r:id="rId7" w:history="1">
        <w:r w:rsidRPr="0024065B">
          <w:rPr>
            <w:rFonts w:ascii="Palatino Linotype" w:hAnsi="Palatino Linotype" w:cs="Arial"/>
            <w:sz w:val="24"/>
            <w:szCs w:val="24"/>
            <w:lang w:val="es-ES" w:eastAsia="es-ES"/>
          </w:rPr>
          <w:t>176, 178, 179, 181</w:t>
        </w:r>
      </w:hyperlink>
      <w:r w:rsidRPr="0024065B">
        <w:rPr>
          <w:rFonts w:ascii="Palatino Linotype"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1A3704D" w14:textId="77777777" w:rsidR="002F42A5" w:rsidRPr="0024065B" w:rsidRDefault="002F42A5" w:rsidP="002F42A5">
      <w:pPr>
        <w:spacing w:after="0" w:line="360" w:lineRule="auto"/>
        <w:jc w:val="both"/>
        <w:rPr>
          <w:rFonts w:ascii="Palatino Linotype" w:hAnsi="Palatino Linotype" w:cs="Arial"/>
          <w:sz w:val="24"/>
          <w:szCs w:val="24"/>
        </w:rPr>
      </w:pPr>
    </w:p>
    <w:p w14:paraId="03F37447" w14:textId="77777777" w:rsidR="00F231B7" w:rsidRPr="0024065B" w:rsidRDefault="00F231B7" w:rsidP="002F42A5">
      <w:pPr>
        <w:spacing w:after="0" w:line="360" w:lineRule="auto"/>
        <w:jc w:val="both"/>
        <w:rPr>
          <w:rFonts w:ascii="Palatino Linotype" w:hAnsi="Palatino Linotype" w:cs="Arial"/>
          <w:sz w:val="24"/>
          <w:szCs w:val="24"/>
        </w:rPr>
      </w:pPr>
    </w:p>
    <w:p w14:paraId="261826D8" w14:textId="77777777" w:rsidR="002F42A5" w:rsidRPr="0024065B" w:rsidRDefault="002F42A5" w:rsidP="002F42A5">
      <w:pPr>
        <w:autoSpaceDE w:val="0"/>
        <w:autoSpaceDN w:val="0"/>
        <w:adjustRightInd w:val="0"/>
        <w:spacing w:after="0" w:line="360" w:lineRule="auto"/>
        <w:jc w:val="both"/>
        <w:rPr>
          <w:rFonts w:ascii="Palatino Linotype" w:hAnsi="Palatino Linotype" w:cs="Arial"/>
          <w:b/>
          <w:sz w:val="28"/>
          <w:szCs w:val="28"/>
        </w:rPr>
      </w:pPr>
      <w:r w:rsidRPr="0024065B">
        <w:rPr>
          <w:rFonts w:ascii="Palatino Linotype" w:hAnsi="Palatino Linotype" w:cs="Arial"/>
          <w:b/>
          <w:sz w:val="28"/>
          <w:szCs w:val="28"/>
        </w:rPr>
        <w:t xml:space="preserve">SEGUNDO. Alcances del recurso de revisión. </w:t>
      </w:r>
    </w:p>
    <w:p w14:paraId="07970377" w14:textId="77777777" w:rsidR="002F42A5" w:rsidRPr="0024065B"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4065B">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76C9B49" w14:textId="77777777" w:rsidR="002F42A5" w:rsidRPr="0024065B"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D72B70" w14:textId="4ED81A1F"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r w:rsidRPr="0024065B">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w:t>
      </w:r>
      <w:r w:rsidR="00F231B7" w:rsidRPr="0024065B">
        <w:rPr>
          <w:rFonts w:ascii="Palatino Linotype" w:hAnsi="Palatino Linotype" w:cs="Arial"/>
          <w:sz w:val="24"/>
          <w:szCs w:val="24"/>
        </w:rPr>
        <w:t>ulo 163 se indica lo siguiente:</w:t>
      </w:r>
    </w:p>
    <w:p w14:paraId="73AA462B" w14:textId="77777777" w:rsidR="002F42A5" w:rsidRPr="0024065B"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4065B">
        <w:rPr>
          <w:rFonts w:ascii="Palatino Linotype" w:eastAsia="Times New Roman" w:hAnsi="Palatino Linotype" w:cs="Arial"/>
          <w:i/>
          <w:lang w:val="es-ES" w:eastAsia="es-ES"/>
        </w:rPr>
        <w:t>“</w:t>
      </w:r>
      <w:r w:rsidRPr="0024065B">
        <w:rPr>
          <w:rFonts w:ascii="Palatino Linotype" w:eastAsia="Times New Roman" w:hAnsi="Palatino Linotype" w:cs="Arial"/>
          <w:b/>
          <w:i/>
          <w:lang w:val="es-ES" w:eastAsia="es-ES"/>
        </w:rPr>
        <w:t>Artículo 163.</w:t>
      </w:r>
      <w:r w:rsidRPr="0024065B">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652E1B2" w14:textId="77777777" w:rsidR="004E0538" w:rsidRPr="0024065B" w:rsidRDefault="004E0538"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4A95018" w14:textId="77777777" w:rsidR="002F42A5" w:rsidRPr="0024065B"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4065B">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7267CF" w14:textId="77777777"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p>
    <w:p w14:paraId="460547CA" w14:textId="77777777"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De la interpretación al precepto legal inserto, se advierte que el plazo que les asiste a los </w:t>
      </w:r>
      <w:r w:rsidRPr="0024065B">
        <w:rPr>
          <w:rFonts w:ascii="Palatino Linotype" w:hAnsi="Palatino Linotype" w:cs="Arial"/>
          <w:b/>
          <w:sz w:val="24"/>
          <w:szCs w:val="24"/>
        </w:rPr>
        <w:t>sujetos</w:t>
      </w:r>
      <w:r w:rsidRPr="0024065B">
        <w:rPr>
          <w:rFonts w:ascii="Palatino Linotype" w:hAnsi="Palatino Linotype" w:cs="Arial"/>
          <w:sz w:val="24"/>
          <w:szCs w:val="24"/>
        </w:rPr>
        <w:t xml:space="preserve"> </w:t>
      </w:r>
      <w:r w:rsidRPr="0024065B">
        <w:rPr>
          <w:rFonts w:ascii="Palatino Linotype" w:hAnsi="Palatino Linotype" w:cs="Arial"/>
          <w:b/>
          <w:sz w:val="24"/>
          <w:szCs w:val="24"/>
        </w:rPr>
        <w:t>obligados</w:t>
      </w:r>
      <w:r w:rsidRPr="0024065B">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39FF72F" w14:textId="77777777"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p>
    <w:p w14:paraId="716C17B6" w14:textId="06671E8F" w:rsidR="002F42A5" w:rsidRPr="0024065B" w:rsidRDefault="002F42A5" w:rsidP="000A7D9E">
      <w:pPr>
        <w:autoSpaceDE w:val="0"/>
        <w:autoSpaceDN w:val="0"/>
        <w:adjustRightInd w:val="0"/>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Se constituye la figura jurídica de la </w:t>
      </w:r>
      <w:r w:rsidRPr="0024065B">
        <w:rPr>
          <w:rFonts w:ascii="Palatino Linotype" w:hAnsi="Palatino Linotype" w:cs="Arial"/>
          <w:b/>
          <w:i/>
          <w:sz w:val="24"/>
          <w:szCs w:val="24"/>
        </w:rPr>
        <w:t>NEGATIVA FICTA</w:t>
      </w:r>
      <w:r w:rsidRPr="0024065B">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Ley de Transparencia y Acceso a la Información Pública del Estado de </w:t>
      </w:r>
      <w:r w:rsidR="000A7D9E" w:rsidRPr="0024065B">
        <w:rPr>
          <w:rFonts w:ascii="Palatino Linotype" w:hAnsi="Palatino Linotype" w:cs="Arial"/>
          <w:sz w:val="24"/>
          <w:szCs w:val="24"/>
        </w:rPr>
        <w:t>México y Municipios, establece:</w:t>
      </w:r>
    </w:p>
    <w:p w14:paraId="5AD689CA" w14:textId="77777777" w:rsidR="002F42A5" w:rsidRPr="0024065B"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4065B">
        <w:rPr>
          <w:rFonts w:ascii="Palatino Linotype" w:eastAsia="Times New Roman" w:hAnsi="Palatino Linotype" w:cs="Arial"/>
          <w:i/>
          <w:lang w:val="es-ES" w:eastAsia="es-ES"/>
        </w:rPr>
        <w:t>“</w:t>
      </w:r>
      <w:r w:rsidRPr="0024065B">
        <w:rPr>
          <w:rFonts w:ascii="Palatino Linotype" w:eastAsia="Times New Roman" w:hAnsi="Palatino Linotype" w:cs="Arial"/>
          <w:b/>
          <w:i/>
          <w:lang w:val="es-ES" w:eastAsia="es-ES"/>
        </w:rPr>
        <w:t>Artículo 178.</w:t>
      </w:r>
      <w:r w:rsidRPr="0024065B">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w:t>
      </w:r>
      <w:r w:rsidRPr="0024065B">
        <w:rPr>
          <w:rFonts w:ascii="Palatino Linotype" w:eastAsia="Times New Roman" w:hAnsi="Palatino Linotype" w:cs="Arial"/>
          <w:i/>
          <w:lang w:val="es-ES" w:eastAsia="es-ES"/>
        </w:rPr>
        <w:lastRenderedPageBreak/>
        <w:t>Unidad de Transparencia que haya conocido de la solicitud dentro de los quince días hábiles, siguientes a la fecha de la notificación de la respuesta.</w:t>
      </w:r>
    </w:p>
    <w:p w14:paraId="73710124" w14:textId="77777777" w:rsidR="002F42A5" w:rsidRPr="0024065B"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145BE75" w14:textId="77777777" w:rsidR="002F42A5" w:rsidRPr="0024065B"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4065B">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24065B">
        <w:rPr>
          <w:rFonts w:ascii="Palatino Linotype" w:eastAsia="Times New Roman" w:hAnsi="Palatino Linotype" w:cs="Arial"/>
          <w:i/>
          <w:lang w:val="es-ES" w:eastAsia="es-ES"/>
        </w:rPr>
        <w:t>, acompañado con el documento que pruebe la fecha en que presentó la solicitud.</w:t>
      </w:r>
    </w:p>
    <w:p w14:paraId="7BA87C6C" w14:textId="77777777" w:rsidR="002F42A5" w:rsidRPr="0024065B" w:rsidRDefault="002F42A5" w:rsidP="002F42A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ABB3137" w14:textId="24F40F5F" w:rsidR="002F42A5" w:rsidRPr="0024065B" w:rsidRDefault="002F42A5" w:rsidP="00F231B7">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24065B">
        <w:rPr>
          <w:rFonts w:ascii="Palatino Linotype" w:eastAsia="Times New Roman" w:hAnsi="Palatino Linotype" w:cs="Arial"/>
          <w:i/>
          <w:lang w:val="es-ES" w:eastAsia="es-ES"/>
        </w:rPr>
        <w:t xml:space="preserve">En el caso de que se interponga ante la Unidad de Transparencia, ésta deberá remitir el recurso de revisión al Instituto a más tardar al día </w:t>
      </w:r>
      <w:r w:rsidR="00F231B7" w:rsidRPr="0024065B">
        <w:rPr>
          <w:rFonts w:ascii="Palatino Linotype" w:eastAsia="Times New Roman" w:hAnsi="Palatino Linotype" w:cs="Arial"/>
          <w:i/>
          <w:lang w:val="es-ES" w:eastAsia="es-ES"/>
        </w:rPr>
        <w:t xml:space="preserve">siguiente de haberlo recibido.” </w:t>
      </w:r>
      <w:r w:rsidR="00F231B7" w:rsidRPr="0024065B">
        <w:rPr>
          <w:rFonts w:ascii="Palatino Linotype" w:eastAsia="Times New Roman" w:hAnsi="Palatino Linotype" w:cs="Arial"/>
          <w:lang w:val="es-ES" w:eastAsia="es-ES"/>
        </w:rPr>
        <w:t>(Énfasis añadido)</w:t>
      </w:r>
    </w:p>
    <w:p w14:paraId="41FE6649" w14:textId="77777777" w:rsidR="00F231B7" w:rsidRPr="0024065B" w:rsidRDefault="00F231B7" w:rsidP="00F231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3EB7121" w14:textId="77777777" w:rsidR="00F231B7" w:rsidRPr="0024065B" w:rsidRDefault="00F231B7" w:rsidP="00F231B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p>
    <w:p w14:paraId="50BF90F9" w14:textId="3D0C0866"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4065B">
        <w:rPr>
          <w:rFonts w:ascii="Palatino Linotype" w:hAnsi="Palatino Linotype" w:cs="Arial"/>
          <w:b/>
          <w:sz w:val="24"/>
          <w:szCs w:val="24"/>
        </w:rPr>
        <w:t>Sujeto Obligado</w:t>
      </w:r>
      <w:r w:rsidRPr="0024065B">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02971D4" w14:textId="77777777"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r w:rsidRPr="0024065B">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24065B">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3100B5E5" w14:textId="77777777"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p>
    <w:p w14:paraId="034EF0E8" w14:textId="77777777" w:rsidR="002F42A5" w:rsidRPr="0024065B" w:rsidRDefault="002F42A5" w:rsidP="002F42A5">
      <w:pPr>
        <w:autoSpaceDE w:val="0"/>
        <w:autoSpaceDN w:val="0"/>
        <w:adjustRightInd w:val="0"/>
        <w:spacing w:after="0" w:line="360" w:lineRule="auto"/>
        <w:jc w:val="both"/>
        <w:rPr>
          <w:rFonts w:ascii="Palatino Linotype" w:hAnsi="Palatino Linotype" w:cs="Arial"/>
          <w:sz w:val="24"/>
          <w:szCs w:val="24"/>
        </w:rPr>
      </w:pPr>
      <w:r w:rsidRPr="0024065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67C982D" w14:textId="77777777" w:rsidR="002F42A5" w:rsidRPr="0024065B"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4E6AA0C" w14:textId="77777777" w:rsidR="002F42A5" w:rsidRPr="0024065B" w:rsidRDefault="002F42A5" w:rsidP="002F42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168BEE" w14:textId="47D7D5D8" w:rsidR="002F42A5" w:rsidRPr="0024065B" w:rsidRDefault="002F42A5" w:rsidP="002F42A5">
      <w:pPr>
        <w:spacing w:after="0" w:line="360" w:lineRule="auto"/>
        <w:jc w:val="both"/>
        <w:rPr>
          <w:rFonts w:ascii="Palatino Linotype" w:eastAsiaTheme="minorEastAsia" w:hAnsi="Palatino Linotype" w:cs="Arial"/>
          <w:b/>
          <w:sz w:val="28"/>
          <w:szCs w:val="28"/>
          <w:lang w:val="es-ES_tradnl" w:eastAsia="es-ES"/>
        </w:rPr>
      </w:pPr>
      <w:r w:rsidRPr="0024065B">
        <w:rPr>
          <w:rFonts w:ascii="Palatino Linotype" w:eastAsiaTheme="minorEastAsia" w:hAnsi="Palatino Linotype" w:cs="Arial"/>
          <w:b/>
          <w:sz w:val="28"/>
          <w:szCs w:val="28"/>
          <w:lang w:val="es-ES_tradnl" w:eastAsia="es-ES"/>
        </w:rPr>
        <w:t>TERCERO</w:t>
      </w:r>
      <w:r w:rsidR="00F231B7" w:rsidRPr="0024065B">
        <w:rPr>
          <w:rFonts w:ascii="Palatino Linotype" w:eastAsiaTheme="minorEastAsia" w:hAnsi="Palatino Linotype" w:cs="Arial"/>
          <w:b/>
          <w:sz w:val="28"/>
          <w:szCs w:val="28"/>
          <w:lang w:val="es-ES_tradnl" w:eastAsia="es-ES"/>
        </w:rPr>
        <w:t>.</w:t>
      </w:r>
      <w:r w:rsidR="00F231B7" w:rsidRPr="0024065B">
        <w:rPr>
          <w:rFonts w:ascii="Palatino Linotype" w:hAnsi="Palatino Linotype" w:cs="Arial"/>
          <w:b/>
          <w:sz w:val="28"/>
          <w:szCs w:val="28"/>
        </w:rPr>
        <w:t>Del estudio de las causas de improcedencia y sobreseimiento</w:t>
      </w:r>
    </w:p>
    <w:p w14:paraId="0C0304A7" w14:textId="77777777" w:rsidR="002F42A5" w:rsidRPr="0024065B"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4065B">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D63050" w14:textId="77777777" w:rsidR="002F42A5" w:rsidRPr="0024065B"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6086F5D" w14:textId="77777777" w:rsidR="002F42A5" w:rsidRPr="0024065B"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4065B">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7CA517D3" w14:textId="77777777" w:rsidR="002F42A5" w:rsidRPr="0024065B"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4900012" w14:textId="77777777" w:rsidR="002F42A5" w:rsidRPr="0024065B" w:rsidRDefault="002F42A5" w:rsidP="002F42A5">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24065B">
        <w:rPr>
          <w:rFonts w:ascii="Palatino Linotype" w:eastAsiaTheme="minorEastAsia" w:hAnsi="Palatino Linotype" w:cs="Arial"/>
          <w:i/>
          <w:szCs w:val="24"/>
          <w:lang w:val="es-ES_tradnl" w:eastAsia="es-ES"/>
        </w:rPr>
        <w:lastRenderedPageBreak/>
        <w:t>“</w:t>
      </w:r>
      <w:r w:rsidRPr="0024065B">
        <w:rPr>
          <w:rFonts w:ascii="Palatino Linotype" w:eastAsiaTheme="minorEastAsia" w:hAnsi="Palatino Linotype" w:cs="Arial"/>
          <w:b/>
          <w:i/>
          <w:szCs w:val="24"/>
          <w:lang w:val="es-ES_tradnl" w:eastAsia="es-ES"/>
        </w:rPr>
        <w:t>IMPROCEDENCIA, CAUSALES DE. EN EL JUICIO DE AMPARO.</w:t>
      </w:r>
      <w:r w:rsidRPr="0024065B">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035FADA6" w14:textId="77777777" w:rsidR="002F42A5" w:rsidRPr="0024065B"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E339B55" w14:textId="7703E58E" w:rsidR="00F231B7" w:rsidRPr="0024065B" w:rsidRDefault="002F42A5" w:rsidP="002F42A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4065B">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24065B">
        <w:rPr>
          <w:rFonts w:ascii="Palatino Linotype" w:eastAsiaTheme="minorEastAsia" w:hAnsi="Palatino Linotype" w:cs="Arial"/>
          <w:sz w:val="24"/>
          <w:szCs w:val="24"/>
          <w:vertAlign w:val="superscript"/>
          <w:lang w:val="es-ES_tradnl" w:eastAsia="es-ES"/>
        </w:rPr>
        <w:footnoteReference w:id="1"/>
      </w:r>
      <w:r w:rsidRPr="0024065B">
        <w:rPr>
          <w:rFonts w:ascii="Palatino Linotype" w:eastAsiaTheme="minorEastAsia" w:hAnsi="Palatino Linotype" w:cs="Arial"/>
          <w:sz w:val="24"/>
          <w:szCs w:val="24"/>
          <w:lang w:val="es-ES_tradnl" w:eastAsia="es-ES"/>
        </w:rPr>
        <w:t>.</w:t>
      </w:r>
    </w:p>
    <w:p w14:paraId="0504DB87" w14:textId="52E569F3" w:rsidR="002F42A5" w:rsidRPr="0024065B" w:rsidRDefault="002F42A5" w:rsidP="002F42A5">
      <w:pPr>
        <w:spacing w:beforeLines="20" w:before="48" w:afterLines="20" w:after="48" w:line="360" w:lineRule="auto"/>
        <w:jc w:val="both"/>
        <w:rPr>
          <w:rFonts w:ascii="Palatino Linotype" w:eastAsia="Calibri" w:hAnsi="Palatino Linotype" w:cs="Arial"/>
          <w:sz w:val="24"/>
          <w:szCs w:val="24"/>
          <w:lang w:val="es-ES_tradnl"/>
        </w:rPr>
      </w:pPr>
      <w:r w:rsidRPr="0024065B">
        <w:rPr>
          <w:rFonts w:ascii="Palatino Linotype" w:eastAsia="Calibri" w:hAnsi="Palatino Linotype" w:cs="Arial"/>
          <w:sz w:val="24"/>
          <w:szCs w:val="24"/>
          <w:lang w:val="es-ES_tradnl"/>
        </w:rPr>
        <w:t xml:space="preserve">Para efectos del artículo 185, fracción I, el que suscribe procede a analizar las causales de procedencia establecidas en el artículo 179 de la Ley Local en la materia, </w:t>
      </w:r>
      <w:r w:rsidRPr="0024065B">
        <w:rPr>
          <w:rFonts w:ascii="Palatino Linotype" w:eastAsia="Calibri" w:hAnsi="Palatino Linotype" w:cs="Arial"/>
          <w:sz w:val="24"/>
          <w:szCs w:val="24"/>
          <w:u w:val="single"/>
          <w:lang w:val="es-ES_tradnl"/>
        </w:rPr>
        <w:t xml:space="preserve">para la </w:t>
      </w:r>
      <w:r w:rsidRPr="0024065B">
        <w:rPr>
          <w:rFonts w:ascii="Palatino Linotype" w:eastAsia="Calibri" w:hAnsi="Palatino Linotype" w:cs="Arial"/>
          <w:sz w:val="24"/>
          <w:szCs w:val="24"/>
          <w:u w:val="single"/>
          <w:lang w:val="es-ES_tradnl"/>
        </w:rPr>
        <w:lastRenderedPageBreak/>
        <w:t>interposición del segundo recurso de revisión en comento</w:t>
      </w:r>
      <w:r w:rsidRPr="0024065B">
        <w:rPr>
          <w:rFonts w:ascii="Palatino Linotype" w:eastAsia="Calibri" w:hAnsi="Palatino Linotype" w:cs="Arial"/>
          <w:sz w:val="24"/>
          <w:szCs w:val="24"/>
          <w:lang w:val="es-ES_tradnl"/>
        </w:rPr>
        <w:t>, por tratarse de una cuestión de orden público y de estudio preferente, preceptos legales que se citan a continuación para pronta ref</w:t>
      </w:r>
      <w:r w:rsidR="00F231B7" w:rsidRPr="0024065B">
        <w:rPr>
          <w:rFonts w:ascii="Palatino Linotype" w:eastAsia="Calibri" w:hAnsi="Palatino Linotype" w:cs="Arial"/>
          <w:sz w:val="24"/>
          <w:szCs w:val="24"/>
          <w:lang w:val="es-ES_tradnl"/>
        </w:rPr>
        <w:t>erencia:</w:t>
      </w:r>
    </w:p>
    <w:p w14:paraId="266678BA"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lang w:val="es-ES_tradnl"/>
        </w:rPr>
        <w:t>“</w:t>
      </w:r>
      <w:r w:rsidRPr="0024065B">
        <w:rPr>
          <w:rFonts w:ascii="Palatino Linotype" w:eastAsia="Calibri" w:hAnsi="Palatino Linotype" w:cs="Arial"/>
          <w:b/>
          <w:i/>
          <w:szCs w:val="24"/>
        </w:rPr>
        <w:t xml:space="preserve">Artículo 185. </w:t>
      </w:r>
      <w:r w:rsidRPr="0024065B">
        <w:rPr>
          <w:rFonts w:ascii="Palatino Linotype" w:eastAsia="Calibri" w:hAnsi="Palatino Linotype" w:cs="Arial"/>
          <w:i/>
          <w:szCs w:val="24"/>
        </w:rPr>
        <w:t xml:space="preserve">El Instituto resolverá el recurso de revisión conforme a lo siguiente: </w:t>
      </w:r>
    </w:p>
    <w:p w14:paraId="44323144"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b/>
          <w:i/>
          <w:szCs w:val="24"/>
        </w:rPr>
        <w:t>I.</w:t>
      </w:r>
      <w:r w:rsidRPr="0024065B">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5498D24C"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w:t>
      </w:r>
    </w:p>
    <w:p w14:paraId="05C88A3A"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p>
    <w:p w14:paraId="796B73A9"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b/>
          <w:i/>
          <w:szCs w:val="24"/>
        </w:rPr>
        <w:t>Artículo 179</w:t>
      </w:r>
      <w:r w:rsidRPr="0024065B">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14:paraId="2A411B1F"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I. La negativa a la información solicitada; </w:t>
      </w:r>
    </w:p>
    <w:p w14:paraId="1EBA5080"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II. La clasificación de la información; </w:t>
      </w:r>
    </w:p>
    <w:p w14:paraId="6CAF08FA"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III. La declaración de inexistencia de la información; </w:t>
      </w:r>
    </w:p>
    <w:p w14:paraId="11F84DCB"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IV. La declaración de incompetencia por el sujeto obligado; </w:t>
      </w:r>
    </w:p>
    <w:p w14:paraId="7DCD18AB"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V. La entrega de información incompleta; </w:t>
      </w:r>
    </w:p>
    <w:p w14:paraId="4038539A"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VI. La entrega de información que no corresponda con lo solicitado; </w:t>
      </w:r>
    </w:p>
    <w:p w14:paraId="4BEC21F9"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VII. La falta de respuesta a una solicitud de acceso a la información; </w:t>
      </w:r>
    </w:p>
    <w:p w14:paraId="3CE01DEE"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VIII. La notificación, entrega o puesta a disposición de información en una modalidad o formato distinto al solicitado; </w:t>
      </w:r>
    </w:p>
    <w:p w14:paraId="7CE91072"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IX. La entrega o puesta a disposición de información en un formato incomprensible y/o no accesible para el solicitante; </w:t>
      </w:r>
    </w:p>
    <w:p w14:paraId="1428CF37"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X. Los costos o tiempos de entrega de la información; </w:t>
      </w:r>
    </w:p>
    <w:p w14:paraId="7CA236BC"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XI. La falta de trámite a una solicitud; </w:t>
      </w:r>
    </w:p>
    <w:p w14:paraId="761ACE9E"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XII. La negativa a permitir la consulta directa de la información; </w:t>
      </w:r>
    </w:p>
    <w:p w14:paraId="7D757B35"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XIII. La falta, deficiencia o insuficiencia de la fundamentación y/o motivación en la respuesta; y </w:t>
      </w:r>
    </w:p>
    <w:p w14:paraId="1F048B2E"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i/>
          <w:szCs w:val="24"/>
        </w:rPr>
        <w:t xml:space="preserve">XIV. La orientación a un trámite específico. </w:t>
      </w:r>
    </w:p>
    <w:p w14:paraId="0C5C1EFC" w14:textId="77777777" w:rsidR="002F42A5" w:rsidRPr="0024065B" w:rsidRDefault="002F42A5" w:rsidP="002F42A5">
      <w:pPr>
        <w:spacing w:beforeLines="20" w:before="48" w:afterLines="20" w:after="48" w:line="240" w:lineRule="auto"/>
        <w:ind w:left="567" w:right="567"/>
        <w:jc w:val="both"/>
        <w:rPr>
          <w:rFonts w:ascii="Palatino Linotype" w:eastAsia="Calibri" w:hAnsi="Palatino Linotype" w:cs="Arial"/>
          <w:i/>
          <w:szCs w:val="24"/>
        </w:rPr>
      </w:pPr>
      <w:r w:rsidRPr="0024065B">
        <w:rPr>
          <w:rFonts w:ascii="Palatino Linotype" w:eastAsia="Calibri" w:hAnsi="Palatino Linotype" w:cs="Arial"/>
          <w:b/>
          <w:i/>
          <w:szCs w:val="24"/>
        </w:rPr>
        <w:t>La respuesta que den</w:t>
      </w:r>
      <w:r w:rsidRPr="0024065B">
        <w:rPr>
          <w:rFonts w:ascii="Palatino Linotype" w:eastAsia="Calibri" w:hAnsi="Palatino Linotype" w:cs="Arial"/>
          <w:i/>
          <w:szCs w:val="24"/>
        </w:rPr>
        <w:t xml:space="preserve"> los sujetos obligados </w:t>
      </w:r>
      <w:r w:rsidRPr="0024065B">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14:paraId="451D50A9" w14:textId="77777777" w:rsidR="002F42A5" w:rsidRPr="0024065B" w:rsidRDefault="002F42A5" w:rsidP="002F42A5">
      <w:pPr>
        <w:spacing w:beforeLines="20" w:before="48" w:afterLines="20" w:after="48" w:line="240" w:lineRule="auto"/>
        <w:ind w:left="567" w:right="567"/>
        <w:jc w:val="right"/>
        <w:rPr>
          <w:rFonts w:ascii="Palatino Linotype" w:eastAsia="Calibri" w:hAnsi="Palatino Linotype" w:cs="Arial"/>
          <w:szCs w:val="24"/>
        </w:rPr>
      </w:pPr>
      <w:r w:rsidRPr="0024065B">
        <w:rPr>
          <w:rFonts w:ascii="Palatino Linotype" w:eastAsia="Calibri" w:hAnsi="Palatino Linotype" w:cs="Arial"/>
          <w:szCs w:val="24"/>
        </w:rPr>
        <w:t>(Énfasis añadido)</w:t>
      </w:r>
    </w:p>
    <w:p w14:paraId="10AC3632" w14:textId="77777777" w:rsidR="002F42A5" w:rsidRPr="0024065B"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14:paraId="39A7C4A0" w14:textId="77777777" w:rsidR="002F42A5" w:rsidRPr="0024065B" w:rsidRDefault="002F42A5" w:rsidP="002F42A5">
      <w:pPr>
        <w:widowControl w:val="0"/>
        <w:spacing w:beforeLines="20" w:before="48" w:afterLines="20" w:after="48" w:line="360" w:lineRule="auto"/>
        <w:jc w:val="both"/>
        <w:rPr>
          <w:rFonts w:ascii="Palatino Linotype" w:eastAsia="Palatino Linotype" w:hAnsi="Palatino Linotype"/>
          <w:sz w:val="24"/>
          <w:szCs w:val="24"/>
        </w:rPr>
      </w:pPr>
      <w:r w:rsidRPr="0024065B">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24065B">
        <w:rPr>
          <w:rFonts w:ascii="Palatino Linotype" w:eastAsia="Palatino Linotype" w:hAnsi="Palatino Linotype"/>
          <w:b/>
          <w:sz w:val="24"/>
          <w:szCs w:val="24"/>
        </w:rPr>
        <w:t>la respuesta</w:t>
      </w:r>
      <w:r w:rsidRPr="0024065B">
        <w:rPr>
          <w:rFonts w:ascii="Palatino Linotype" w:eastAsia="Palatino Linotype" w:hAnsi="Palatino Linotype"/>
          <w:sz w:val="24"/>
          <w:szCs w:val="24"/>
        </w:rPr>
        <w:t xml:space="preserve"> proporcionada por el Sujeto Obligado derivada del </w:t>
      </w:r>
      <w:r w:rsidRPr="0024065B">
        <w:rPr>
          <w:rFonts w:ascii="Palatino Linotype" w:eastAsia="Palatino Linotype" w:hAnsi="Palatino Linotype"/>
          <w:b/>
          <w:sz w:val="24"/>
          <w:szCs w:val="24"/>
        </w:rPr>
        <w:t>cumplimiento a una resolución.</w:t>
      </w:r>
    </w:p>
    <w:p w14:paraId="742F0B42" w14:textId="77777777" w:rsidR="002F42A5" w:rsidRPr="0024065B" w:rsidRDefault="002F42A5" w:rsidP="002F42A5">
      <w:pPr>
        <w:widowControl w:val="0"/>
        <w:spacing w:beforeLines="20" w:before="48" w:afterLines="20" w:after="48" w:line="360" w:lineRule="auto"/>
        <w:jc w:val="both"/>
        <w:rPr>
          <w:rFonts w:ascii="Palatino Linotype" w:eastAsia="Palatino Linotype" w:hAnsi="Palatino Linotype"/>
          <w:sz w:val="24"/>
          <w:szCs w:val="24"/>
        </w:rPr>
      </w:pPr>
    </w:p>
    <w:p w14:paraId="35F13069" w14:textId="77A75B71" w:rsidR="00460CAD" w:rsidRPr="0024065B" w:rsidRDefault="00F231B7" w:rsidP="00460CAD">
      <w:pPr>
        <w:pStyle w:val="Textoindependiente"/>
        <w:spacing w:beforeLines="40" w:before="96" w:afterLines="40" w:after="96" w:line="360" w:lineRule="auto"/>
        <w:ind w:left="0"/>
        <w:jc w:val="both"/>
        <w:rPr>
          <w:sz w:val="24"/>
          <w:szCs w:val="24"/>
        </w:rPr>
      </w:pPr>
      <w:r w:rsidRPr="0024065B">
        <w:rPr>
          <w:sz w:val="24"/>
          <w:szCs w:val="24"/>
        </w:rPr>
        <w:t xml:space="preserve">Ahora bien, este Instituto no pasa por desapercibido que </w:t>
      </w:r>
      <w:r w:rsidR="00460CAD" w:rsidRPr="0024065B">
        <w:rPr>
          <w:sz w:val="24"/>
          <w:szCs w:val="24"/>
        </w:rPr>
        <w:t xml:space="preserve"> se acredita de forma parcial la procedencia del segundo recurso de revisión en virtud de las siguientes consideraciones; </w:t>
      </w:r>
    </w:p>
    <w:p w14:paraId="00DB0EFB" w14:textId="6CBDE021" w:rsidR="00460CAD" w:rsidRPr="0024065B" w:rsidRDefault="00460CAD" w:rsidP="00460CAD">
      <w:pPr>
        <w:pStyle w:val="Prrafodelista"/>
        <w:numPr>
          <w:ilvl w:val="0"/>
          <w:numId w:val="14"/>
        </w:numPr>
        <w:spacing w:line="360" w:lineRule="auto"/>
        <w:contextualSpacing/>
        <w:jc w:val="both"/>
        <w:rPr>
          <w:rFonts w:ascii="Palatino Linotype" w:eastAsia="Palatino Linotype" w:hAnsi="Palatino Linotype" w:cs="Palatino Linotype"/>
        </w:rPr>
      </w:pPr>
      <w:r w:rsidRPr="0024065B">
        <w:rPr>
          <w:rFonts w:ascii="Palatino Linotype" w:eastAsia="Palatino Linotype" w:hAnsi="Palatino Linotype" w:cs="Palatino Linotype"/>
        </w:rPr>
        <w:t xml:space="preserve">Conforme al citado antecedente </w:t>
      </w:r>
      <w:r w:rsidRPr="0024065B">
        <w:rPr>
          <w:rFonts w:ascii="Palatino Linotype" w:eastAsia="Palatino Linotype" w:hAnsi="Palatino Linotype" w:cs="Palatino Linotype"/>
          <w:b/>
          <w:bCs/>
        </w:rPr>
        <w:t>QUINTO</w:t>
      </w:r>
      <w:r w:rsidRPr="0024065B">
        <w:rPr>
          <w:rFonts w:ascii="Palatino Linotype" w:eastAsia="Palatino Linotype" w:hAnsi="Palatino Linotype" w:cs="Palatino Linotype"/>
        </w:rPr>
        <w:t xml:space="preserve">, se acredita la emisión de la resolución al recurso de revisión </w:t>
      </w:r>
      <w:r w:rsidR="0070552D" w:rsidRPr="0024065B">
        <w:rPr>
          <w:rFonts w:ascii="Palatino Linotype" w:eastAsia="Palatino Linotype" w:hAnsi="Palatino Linotype" w:cs="Palatino Linotype"/>
          <w:b/>
          <w:bCs/>
        </w:rPr>
        <w:t>11525</w:t>
      </w:r>
      <w:r w:rsidRPr="0024065B">
        <w:rPr>
          <w:rFonts w:ascii="Palatino Linotype" w:eastAsia="Palatino Linotype" w:hAnsi="Palatino Linotype" w:cs="Palatino Linotype"/>
          <w:b/>
          <w:bCs/>
        </w:rPr>
        <w:t>/INFOEM/IP/RR/2025</w:t>
      </w:r>
      <w:r w:rsidRPr="0024065B">
        <w:rPr>
          <w:rFonts w:ascii="Palatino Linotype" w:eastAsia="Palatino Linotype" w:hAnsi="Palatino Linotype" w:cs="Palatino Linotype"/>
        </w:rPr>
        <w:t>, al encuadrar en la fracción VII, del multicitado artículo 179; y</w:t>
      </w:r>
    </w:p>
    <w:p w14:paraId="6EDA56B2" w14:textId="77777777" w:rsidR="00460CAD" w:rsidRPr="0024065B" w:rsidRDefault="00460CAD" w:rsidP="00460CAD">
      <w:pPr>
        <w:pStyle w:val="Prrafodelista"/>
        <w:spacing w:line="360" w:lineRule="auto"/>
        <w:ind w:left="1080"/>
        <w:jc w:val="both"/>
        <w:rPr>
          <w:rFonts w:ascii="Palatino Linotype" w:eastAsia="Palatino Linotype" w:hAnsi="Palatino Linotype" w:cs="Palatino Linotype"/>
        </w:rPr>
      </w:pPr>
    </w:p>
    <w:p w14:paraId="493CEE9D" w14:textId="48BAE1D4" w:rsidR="00460CAD" w:rsidRPr="0024065B" w:rsidRDefault="00460CAD" w:rsidP="00460CAD">
      <w:pPr>
        <w:pStyle w:val="Prrafodelista"/>
        <w:numPr>
          <w:ilvl w:val="0"/>
          <w:numId w:val="14"/>
        </w:numPr>
        <w:spacing w:line="360" w:lineRule="auto"/>
        <w:contextualSpacing/>
        <w:jc w:val="both"/>
        <w:rPr>
          <w:rFonts w:ascii="Palatino Linotype" w:eastAsia="Palatino Linotype" w:hAnsi="Palatino Linotype" w:cs="Palatino Linotype"/>
        </w:rPr>
      </w:pPr>
      <w:r w:rsidRPr="0024065B">
        <w:rPr>
          <w:rFonts w:ascii="Palatino Linotype" w:eastAsia="Palatino Linotype" w:hAnsi="Palatino Linotype" w:cs="Palatino Linotype"/>
        </w:rPr>
        <w:t xml:space="preserve">En el antecedente </w:t>
      </w:r>
      <w:r w:rsidRPr="0024065B">
        <w:rPr>
          <w:rFonts w:ascii="Palatino Linotype" w:eastAsia="Palatino Linotype" w:hAnsi="Palatino Linotype" w:cs="Palatino Linotype"/>
          <w:b/>
          <w:bCs/>
        </w:rPr>
        <w:t>SÉPTIMO</w:t>
      </w:r>
      <w:r w:rsidRPr="0024065B">
        <w:rPr>
          <w:rFonts w:ascii="Palatino Linotype" w:eastAsia="Palatino Linotype" w:hAnsi="Palatino Linotype" w:cs="Palatino Linotype"/>
        </w:rPr>
        <w:t xml:space="preserve">, se observa la existencia de respuesta o pronunciamiento por parte del </w:t>
      </w:r>
      <w:r w:rsidRPr="0024065B">
        <w:rPr>
          <w:rFonts w:ascii="Palatino Linotype" w:eastAsia="Palatino Linotype" w:hAnsi="Palatino Linotype" w:cs="Palatino Linotype"/>
          <w:b/>
          <w:bCs/>
        </w:rPr>
        <w:t>Sujeto Obligado</w:t>
      </w:r>
      <w:r w:rsidRPr="0024065B">
        <w:rPr>
          <w:rFonts w:ascii="Palatino Linotype" w:eastAsia="Palatino Linotype" w:hAnsi="Palatino Linotype" w:cs="Palatino Linotype"/>
        </w:rPr>
        <w:t xml:space="preserve">, a lo ordenado en la resolución del recurso de revisión </w:t>
      </w:r>
      <w:r w:rsidR="0070552D" w:rsidRPr="0024065B">
        <w:rPr>
          <w:rFonts w:ascii="Palatino Linotype" w:eastAsia="Palatino Linotype" w:hAnsi="Palatino Linotype" w:cs="Palatino Linotype"/>
          <w:b/>
          <w:bCs/>
        </w:rPr>
        <w:t>11525</w:t>
      </w:r>
      <w:r w:rsidRPr="0024065B">
        <w:rPr>
          <w:rFonts w:ascii="Palatino Linotype" w:eastAsia="Palatino Linotype" w:hAnsi="Palatino Linotype" w:cs="Palatino Linotype"/>
          <w:b/>
          <w:bCs/>
        </w:rPr>
        <w:t>/INFOEM/IP/RR/2025</w:t>
      </w:r>
      <w:r w:rsidRPr="0024065B">
        <w:rPr>
          <w:rFonts w:ascii="Palatino Linotype" w:eastAsia="Palatino Linotype" w:hAnsi="Palatino Linotype" w:cs="Palatino Linotype"/>
        </w:rPr>
        <w:t>.</w:t>
      </w:r>
    </w:p>
    <w:p w14:paraId="419ADD78" w14:textId="77777777" w:rsidR="00460CAD" w:rsidRPr="0024065B" w:rsidRDefault="00460CAD" w:rsidP="00460CAD">
      <w:pPr>
        <w:pStyle w:val="Prrafodelista"/>
        <w:rPr>
          <w:rFonts w:ascii="Palatino Linotype" w:eastAsia="Palatino Linotype" w:hAnsi="Palatino Linotype" w:cs="Palatino Linotype"/>
        </w:rPr>
      </w:pPr>
    </w:p>
    <w:p w14:paraId="6D2F15AA" w14:textId="6E990DF6" w:rsidR="00460CAD" w:rsidRPr="0024065B" w:rsidRDefault="00460CAD" w:rsidP="00460CAD">
      <w:pPr>
        <w:pStyle w:val="Prrafodelista"/>
        <w:numPr>
          <w:ilvl w:val="0"/>
          <w:numId w:val="14"/>
        </w:numPr>
        <w:spacing w:line="360" w:lineRule="auto"/>
        <w:contextualSpacing/>
        <w:jc w:val="both"/>
        <w:rPr>
          <w:rFonts w:ascii="Palatino Linotype" w:eastAsia="Palatino Linotype" w:hAnsi="Palatino Linotype" w:cs="Palatino Linotype"/>
        </w:rPr>
      </w:pPr>
      <w:r w:rsidRPr="0024065B">
        <w:rPr>
          <w:rFonts w:ascii="Palatino Linotype" w:eastAsia="Palatino Linotype" w:hAnsi="Palatino Linotype" w:cs="Palatino Linotype"/>
        </w:rPr>
        <w:t xml:space="preserve">Que el Segundo Recurso de Revisión </w:t>
      </w:r>
      <w:r w:rsidRPr="0024065B">
        <w:rPr>
          <w:rFonts w:ascii="Palatino Linotype" w:eastAsia="Palatino Linotype" w:hAnsi="Palatino Linotype" w:cs="Palatino Linotype"/>
          <w:b/>
        </w:rPr>
        <w:t xml:space="preserve">fue interpuesto con </w:t>
      </w:r>
      <w:r w:rsidR="0078299E" w:rsidRPr="0024065B">
        <w:rPr>
          <w:rFonts w:ascii="Palatino Linotype" w:eastAsia="Palatino Linotype" w:hAnsi="Palatino Linotype" w:cs="Palatino Linotype"/>
          <w:b/>
        </w:rPr>
        <w:t>veintiún</w:t>
      </w:r>
      <w:r w:rsidRPr="0024065B">
        <w:rPr>
          <w:rFonts w:ascii="Palatino Linotype" w:eastAsia="Palatino Linotype" w:hAnsi="Palatino Linotype" w:cs="Palatino Linotype"/>
          <w:b/>
        </w:rPr>
        <w:t xml:space="preserve"> días hábiles posteriores a la entrega de la información</w:t>
      </w:r>
      <w:r w:rsidRPr="0024065B">
        <w:rPr>
          <w:rFonts w:ascii="Palatino Linotype" w:eastAsia="Palatino Linotype" w:hAnsi="Palatino Linotype" w:cs="Palatino Linotype"/>
        </w:rPr>
        <w:t xml:space="preserve"> en términos del calendario Oficial en materia de Transparencia Acceso a la Información Pública y Protección de Datos Personales de este Instituto.</w:t>
      </w:r>
    </w:p>
    <w:p w14:paraId="425F0921" w14:textId="77777777" w:rsidR="00460CAD" w:rsidRPr="0024065B" w:rsidRDefault="00460CAD" w:rsidP="00460CAD">
      <w:pPr>
        <w:spacing w:after="0" w:line="360" w:lineRule="auto"/>
        <w:jc w:val="both"/>
        <w:rPr>
          <w:rFonts w:ascii="Palatino Linotype" w:eastAsia="Palatino Linotype" w:hAnsi="Palatino Linotype" w:cs="Palatino Linotype"/>
          <w:sz w:val="24"/>
        </w:rPr>
      </w:pPr>
    </w:p>
    <w:p w14:paraId="52EDFFE5" w14:textId="77777777" w:rsidR="00460CAD" w:rsidRPr="0024065B" w:rsidRDefault="00460CAD" w:rsidP="00460CAD">
      <w:pPr>
        <w:spacing w:after="0" w:line="360" w:lineRule="auto"/>
        <w:jc w:val="both"/>
        <w:rPr>
          <w:rFonts w:ascii="Palatino Linotype" w:eastAsia="Palatino Linotype" w:hAnsi="Palatino Linotype" w:cs="Palatino Linotype"/>
          <w:sz w:val="24"/>
        </w:rPr>
      </w:pPr>
      <w:r w:rsidRPr="0024065B">
        <w:rPr>
          <w:rFonts w:ascii="Palatino Linotype" w:eastAsia="Palatino Linotype" w:hAnsi="Palatino Linotype" w:cs="Palatino Linotype"/>
          <w:sz w:val="24"/>
        </w:rPr>
        <w:t xml:space="preserve">Con base en lo anterior, no se acredita la procedencia de la interposición de segundo recurso de revisión, pues </w:t>
      </w:r>
      <w:r w:rsidRPr="0024065B">
        <w:rPr>
          <w:rFonts w:ascii="Palatino Linotype" w:hAnsi="Palatino Linotype"/>
          <w:sz w:val="24"/>
          <w:szCs w:val="24"/>
        </w:rPr>
        <w:t xml:space="preserve"> se</w:t>
      </w:r>
      <w:r w:rsidRPr="0024065B">
        <w:rPr>
          <w:rFonts w:ascii="Palatino Linotype" w:hAnsi="Palatino Linotype"/>
          <w:spacing w:val="37"/>
          <w:sz w:val="24"/>
          <w:szCs w:val="24"/>
        </w:rPr>
        <w:t xml:space="preserve"> </w:t>
      </w:r>
      <w:r w:rsidRPr="0024065B">
        <w:rPr>
          <w:rFonts w:ascii="Palatino Linotype" w:hAnsi="Palatino Linotype"/>
          <w:sz w:val="24"/>
          <w:szCs w:val="24"/>
        </w:rPr>
        <w:t>observa</w:t>
      </w:r>
      <w:r w:rsidRPr="0024065B">
        <w:rPr>
          <w:rFonts w:ascii="Palatino Linotype" w:hAnsi="Palatino Linotype"/>
          <w:spacing w:val="39"/>
          <w:sz w:val="24"/>
          <w:szCs w:val="24"/>
        </w:rPr>
        <w:t xml:space="preserve"> </w:t>
      </w:r>
      <w:r w:rsidRPr="0024065B">
        <w:rPr>
          <w:rFonts w:ascii="Palatino Linotype" w:hAnsi="Palatino Linotype"/>
          <w:sz w:val="24"/>
          <w:szCs w:val="24"/>
        </w:rPr>
        <w:t>que</w:t>
      </w:r>
      <w:r w:rsidRPr="0024065B">
        <w:rPr>
          <w:rFonts w:ascii="Palatino Linotype" w:hAnsi="Palatino Linotype"/>
          <w:spacing w:val="40"/>
          <w:sz w:val="24"/>
          <w:szCs w:val="24"/>
        </w:rPr>
        <w:t xml:space="preserve"> </w:t>
      </w:r>
      <w:r w:rsidRPr="0024065B">
        <w:rPr>
          <w:rFonts w:ascii="Palatino Linotype" w:hAnsi="Palatino Linotype"/>
          <w:sz w:val="24"/>
          <w:szCs w:val="24"/>
        </w:rPr>
        <w:t>el</w:t>
      </w:r>
      <w:r w:rsidRPr="0024065B">
        <w:rPr>
          <w:rFonts w:ascii="Palatino Linotype" w:hAnsi="Palatino Linotype"/>
          <w:spacing w:val="38"/>
          <w:sz w:val="24"/>
          <w:szCs w:val="24"/>
        </w:rPr>
        <w:t xml:space="preserve"> </w:t>
      </w:r>
      <w:r w:rsidRPr="0024065B">
        <w:rPr>
          <w:rFonts w:ascii="Palatino Linotype" w:hAnsi="Palatino Linotype"/>
          <w:sz w:val="24"/>
          <w:szCs w:val="24"/>
        </w:rPr>
        <w:t>recurso</w:t>
      </w:r>
      <w:r w:rsidRPr="0024065B">
        <w:rPr>
          <w:rFonts w:ascii="Palatino Linotype" w:hAnsi="Palatino Linotype"/>
          <w:spacing w:val="38"/>
          <w:sz w:val="24"/>
          <w:szCs w:val="24"/>
        </w:rPr>
        <w:t xml:space="preserve"> </w:t>
      </w:r>
      <w:r w:rsidRPr="0024065B">
        <w:rPr>
          <w:rFonts w:ascii="Palatino Linotype" w:hAnsi="Palatino Linotype"/>
          <w:sz w:val="24"/>
          <w:szCs w:val="24"/>
        </w:rPr>
        <w:t xml:space="preserve">de revisión </w:t>
      </w:r>
      <w:r w:rsidRPr="0024065B">
        <w:rPr>
          <w:rFonts w:ascii="Palatino Linotype" w:hAnsi="Palatino Linotype"/>
          <w:b/>
          <w:sz w:val="24"/>
          <w:szCs w:val="24"/>
          <w:u w:val="single"/>
        </w:rPr>
        <w:t xml:space="preserve">no se interpuso de </w:t>
      </w:r>
      <w:r w:rsidRPr="0024065B">
        <w:rPr>
          <w:rFonts w:ascii="Palatino Linotype" w:hAnsi="Palatino Linotype"/>
          <w:b/>
          <w:sz w:val="24"/>
          <w:szCs w:val="24"/>
          <w:u w:val="single"/>
        </w:rPr>
        <w:lastRenderedPageBreak/>
        <w:t>forma oportuna</w:t>
      </w:r>
      <w:r w:rsidRPr="0024065B">
        <w:rPr>
          <w:rFonts w:ascii="Palatino Linotype" w:hAnsi="Palatino Linotype"/>
          <w:sz w:val="24"/>
          <w:szCs w:val="24"/>
        </w:rPr>
        <w:t>, ya que al momento en que se tuvo</w:t>
      </w:r>
      <w:r w:rsidRPr="0024065B">
        <w:rPr>
          <w:rFonts w:ascii="Palatino Linotype" w:hAnsi="Palatino Linotype"/>
          <w:spacing w:val="7"/>
          <w:sz w:val="24"/>
          <w:szCs w:val="24"/>
        </w:rPr>
        <w:t xml:space="preserve"> </w:t>
      </w:r>
      <w:r w:rsidRPr="0024065B">
        <w:rPr>
          <w:rFonts w:ascii="Palatino Linotype" w:hAnsi="Palatino Linotype"/>
          <w:sz w:val="24"/>
          <w:szCs w:val="24"/>
        </w:rPr>
        <w:t>por presentado,</w:t>
      </w:r>
      <w:r w:rsidRPr="0024065B">
        <w:rPr>
          <w:rFonts w:ascii="Palatino Linotype" w:hAnsi="Palatino Linotype"/>
          <w:spacing w:val="7"/>
          <w:sz w:val="24"/>
          <w:szCs w:val="24"/>
        </w:rPr>
        <w:t xml:space="preserve"> </w:t>
      </w:r>
      <w:r w:rsidRPr="0024065B">
        <w:rPr>
          <w:rFonts w:ascii="Palatino Linotype" w:hAnsi="Palatino Linotype"/>
          <w:sz w:val="24"/>
          <w:szCs w:val="24"/>
        </w:rPr>
        <w:t>el</w:t>
      </w:r>
      <w:r w:rsidRPr="0024065B">
        <w:rPr>
          <w:rFonts w:ascii="Palatino Linotype" w:hAnsi="Palatino Linotype"/>
          <w:spacing w:val="9"/>
          <w:sz w:val="24"/>
          <w:szCs w:val="24"/>
        </w:rPr>
        <w:t xml:space="preserve"> </w:t>
      </w:r>
      <w:r w:rsidRPr="0024065B">
        <w:rPr>
          <w:rFonts w:ascii="Palatino Linotype" w:hAnsi="Palatino Linotype"/>
          <w:sz w:val="24"/>
          <w:szCs w:val="24"/>
        </w:rPr>
        <w:t xml:space="preserve">plazo para interponer recurso de revisión ya había fenecido en términos de lo establecido por el artículo 178 de la Ley de Transparencia Local. </w:t>
      </w:r>
    </w:p>
    <w:p w14:paraId="7446143F" w14:textId="77777777" w:rsidR="00460CAD" w:rsidRPr="0024065B" w:rsidRDefault="00460CAD" w:rsidP="00F231B7">
      <w:pPr>
        <w:pStyle w:val="Textoindependiente"/>
        <w:spacing w:beforeLines="40" w:before="96" w:afterLines="40" w:after="96" w:line="360" w:lineRule="auto"/>
        <w:ind w:left="0"/>
        <w:jc w:val="both"/>
        <w:rPr>
          <w:sz w:val="24"/>
          <w:szCs w:val="24"/>
        </w:rPr>
      </w:pPr>
    </w:p>
    <w:p w14:paraId="318E05EB" w14:textId="59D544ED" w:rsidR="00F231B7" w:rsidRPr="0024065B" w:rsidRDefault="0031447E" w:rsidP="00F231B7">
      <w:pPr>
        <w:pStyle w:val="Textoindependiente"/>
        <w:spacing w:beforeLines="40" w:before="96" w:afterLines="40" w:after="96" w:line="360" w:lineRule="auto"/>
        <w:ind w:left="0"/>
        <w:jc w:val="both"/>
        <w:rPr>
          <w:sz w:val="24"/>
          <w:szCs w:val="24"/>
        </w:rPr>
      </w:pPr>
      <w:r w:rsidRPr="0024065B">
        <w:rPr>
          <w:sz w:val="24"/>
          <w:szCs w:val="24"/>
        </w:rPr>
        <w:t xml:space="preserve">De lo anterior se trae a colación que </w:t>
      </w:r>
      <w:r w:rsidR="00F231B7" w:rsidRPr="0024065B">
        <w:rPr>
          <w:sz w:val="24"/>
          <w:szCs w:val="24"/>
        </w:rPr>
        <w:t xml:space="preserve">en fecha </w:t>
      </w:r>
      <w:r w:rsidRPr="0024065B">
        <w:rPr>
          <w:b/>
          <w:sz w:val="24"/>
          <w:szCs w:val="24"/>
          <w:u w:val="single"/>
        </w:rPr>
        <w:t>dos de diciembre de dos mil veinticinco</w:t>
      </w:r>
      <w:r w:rsidR="00F231B7" w:rsidRPr="0024065B">
        <w:rPr>
          <w:b/>
          <w:sz w:val="24"/>
          <w:szCs w:val="24"/>
          <w:u w:val="single"/>
        </w:rPr>
        <w:t>,</w:t>
      </w:r>
      <w:r w:rsidRPr="0024065B">
        <w:rPr>
          <w:rFonts w:cs="Palatino Linotype"/>
          <w:sz w:val="24"/>
        </w:rPr>
        <w:t xml:space="preserve"> se observa la existencia de respuesta o pronunciamiento por parte del </w:t>
      </w:r>
      <w:r w:rsidRPr="0024065B">
        <w:rPr>
          <w:rFonts w:cs="Palatino Linotype"/>
          <w:b/>
          <w:bCs/>
          <w:sz w:val="24"/>
        </w:rPr>
        <w:t>Sujeto Obligado</w:t>
      </w:r>
      <w:r w:rsidRPr="0024065B">
        <w:rPr>
          <w:rFonts w:cs="Palatino Linotype"/>
          <w:sz w:val="24"/>
        </w:rPr>
        <w:t xml:space="preserve">, a lo ordenado en la resolución del recurso de revisión </w:t>
      </w:r>
      <w:r w:rsidR="0070552D" w:rsidRPr="0024065B">
        <w:rPr>
          <w:rFonts w:cs="Palatino Linotype"/>
          <w:b/>
          <w:bCs/>
        </w:rPr>
        <w:t>11525</w:t>
      </w:r>
      <w:r w:rsidRPr="0024065B">
        <w:rPr>
          <w:rFonts w:cs="Palatino Linotype"/>
          <w:b/>
          <w:bCs/>
          <w:sz w:val="24"/>
        </w:rPr>
        <w:t>/INFOEM/IP/RR/2025</w:t>
      </w:r>
      <w:r w:rsidRPr="0024065B">
        <w:t xml:space="preserve"> mediante el archivo electrónico </w:t>
      </w:r>
      <w:r w:rsidR="0078299E" w:rsidRPr="0024065B">
        <w:t>“</w:t>
      </w:r>
      <w:r w:rsidR="0078299E" w:rsidRPr="0024065B">
        <w:rPr>
          <w:rFonts w:cs="Arial"/>
          <w:b/>
          <w:bCs/>
          <w:i/>
          <w:sz w:val="24"/>
          <w:szCs w:val="24"/>
        </w:rPr>
        <w:t xml:space="preserve">bitácora.pdf” </w:t>
      </w:r>
      <w:r w:rsidRPr="0024065B">
        <w:rPr>
          <w:sz w:val="24"/>
          <w:szCs w:val="24"/>
        </w:rPr>
        <w:t>que consta de una foja en formato PDF</w:t>
      </w:r>
      <w:r w:rsidR="0078299E" w:rsidRPr="0024065B">
        <w:rPr>
          <w:sz w:val="24"/>
          <w:szCs w:val="24"/>
        </w:rPr>
        <w:t>, contiene una bitácora de consumo de gasolina/diésel.</w:t>
      </w:r>
    </w:p>
    <w:p w14:paraId="19193C40" w14:textId="77777777" w:rsidR="00F231B7" w:rsidRPr="0024065B" w:rsidRDefault="00F231B7" w:rsidP="0031447E">
      <w:pPr>
        <w:pStyle w:val="Textoindependiente"/>
        <w:spacing w:beforeLines="40" w:before="96" w:afterLines="40" w:after="96" w:line="360" w:lineRule="auto"/>
        <w:ind w:left="0"/>
        <w:jc w:val="both"/>
        <w:rPr>
          <w:sz w:val="24"/>
          <w:szCs w:val="24"/>
        </w:rPr>
      </w:pPr>
    </w:p>
    <w:p w14:paraId="5F7E5F85" w14:textId="7ADE0EF0" w:rsidR="00F231B7" w:rsidRPr="0024065B" w:rsidRDefault="00F231B7" w:rsidP="0031447E">
      <w:pPr>
        <w:pStyle w:val="Textoindependiente"/>
        <w:spacing w:beforeLines="40" w:before="96" w:afterLines="40" w:after="96" w:line="360" w:lineRule="auto"/>
        <w:ind w:left="0" w:hanging="1"/>
        <w:jc w:val="both"/>
        <w:rPr>
          <w:b/>
          <w:sz w:val="24"/>
          <w:szCs w:val="24"/>
          <w:u w:val="single"/>
        </w:rPr>
      </w:pPr>
      <w:r w:rsidRPr="0024065B">
        <w:rPr>
          <w:sz w:val="24"/>
          <w:szCs w:val="24"/>
        </w:rPr>
        <w:t xml:space="preserve">Por lo que el </w:t>
      </w:r>
      <w:r w:rsidRPr="0024065B">
        <w:rPr>
          <w:sz w:val="24"/>
          <w:szCs w:val="24"/>
          <w:u w:val="single"/>
        </w:rPr>
        <w:t>día límite para interponer el recurso de revisión</w:t>
      </w:r>
      <w:r w:rsidRPr="0024065B">
        <w:rPr>
          <w:sz w:val="24"/>
          <w:szCs w:val="24"/>
        </w:rPr>
        <w:t xml:space="preserve"> ocurrió en fecha</w:t>
      </w:r>
      <w:r w:rsidR="0031447E" w:rsidRPr="0024065B">
        <w:rPr>
          <w:sz w:val="24"/>
          <w:szCs w:val="24"/>
        </w:rPr>
        <w:t xml:space="preserve"> trece de enero de dos mil veintiséis</w:t>
      </w:r>
      <w:r w:rsidRPr="0024065B">
        <w:rPr>
          <w:sz w:val="24"/>
          <w:szCs w:val="24"/>
        </w:rPr>
        <w:t>, puesto que el artículo 178 de la Ley de Transparencia y Acceso a la Información Pública del Estado de México y Municipios, establece lo siguiente:</w:t>
      </w:r>
    </w:p>
    <w:p w14:paraId="0E2358A5" w14:textId="77777777" w:rsidR="00F231B7" w:rsidRPr="0024065B" w:rsidRDefault="00F231B7" w:rsidP="00F231B7">
      <w:pPr>
        <w:pStyle w:val="Textoindependiente"/>
        <w:spacing w:beforeLines="40" w:before="96" w:afterLines="40" w:after="96"/>
        <w:ind w:left="567" w:right="567" w:firstLine="1"/>
        <w:jc w:val="both"/>
        <w:rPr>
          <w:sz w:val="22"/>
          <w:szCs w:val="24"/>
        </w:rPr>
      </w:pPr>
      <w:r w:rsidRPr="0024065B">
        <w:rPr>
          <w:b/>
          <w:i/>
          <w:sz w:val="22"/>
          <w:szCs w:val="24"/>
        </w:rPr>
        <w:t>Artículo 178.</w:t>
      </w:r>
      <w:r w:rsidRPr="0024065B">
        <w:rPr>
          <w:i/>
          <w:sz w:val="22"/>
          <w:szCs w:val="24"/>
        </w:rPr>
        <w:t xml:space="preserve"> El solicitante podrá interponer, por sí mismo o a través de su representante, de manera directa o por medios electrónicos, recurso de revisión ante el Instituto o ante la Unidad de Transparencia que haya conocido de la solicitud </w:t>
      </w:r>
      <w:r w:rsidRPr="0024065B">
        <w:rPr>
          <w:b/>
          <w:i/>
          <w:sz w:val="22"/>
          <w:szCs w:val="24"/>
          <w:u w:val="single"/>
        </w:rPr>
        <w:t>dentro de los quince días hábiles, siguientes a la fecha de la notificación de la respuesta</w:t>
      </w:r>
      <w:r w:rsidRPr="0024065B">
        <w:rPr>
          <w:i/>
          <w:sz w:val="22"/>
          <w:szCs w:val="24"/>
        </w:rPr>
        <w:t>.</w:t>
      </w:r>
    </w:p>
    <w:p w14:paraId="62618B99" w14:textId="77777777" w:rsidR="00F231B7" w:rsidRPr="0024065B" w:rsidRDefault="00F231B7" w:rsidP="0031447E">
      <w:pPr>
        <w:pStyle w:val="Textoindependiente"/>
        <w:spacing w:beforeLines="40" w:before="96" w:afterLines="40" w:after="96" w:line="360" w:lineRule="auto"/>
        <w:ind w:left="0"/>
        <w:jc w:val="both"/>
        <w:rPr>
          <w:sz w:val="24"/>
          <w:szCs w:val="24"/>
        </w:rPr>
      </w:pPr>
    </w:p>
    <w:p w14:paraId="533557F4" w14:textId="123BEB9E" w:rsidR="00F231B7" w:rsidRPr="0024065B" w:rsidRDefault="00F231B7" w:rsidP="00F231B7">
      <w:pPr>
        <w:pStyle w:val="Textoindependiente"/>
        <w:spacing w:beforeLines="40" w:before="96" w:afterLines="40" w:after="96" w:line="360" w:lineRule="auto"/>
        <w:ind w:left="0" w:hanging="1"/>
        <w:jc w:val="both"/>
        <w:rPr>
          <w:sz w:val="24"/>
          <w:szCs w:val="24"/>
        </w:rPr>
      </w:pPr>
      <w:r w:rsidRPr="0024065B">
        <w:rPr>
          <w:sz w:val="24"/>
          <w:szCs w:val="24"/>
        </w:rPr>
        <w:t xml:space="preserve">De tal forma que es necesario estarse a lo dispuesto en el Calendario Oficial en Materia de Transparencia, Acceso a la Información Pública y Protección de Datos Personales del Estado de México y Municipios, así como de labores del Instituto para el año dos mil </w:t>
      </w:r>
      <w:r w:rsidR="00EF1A91" w:rsidRPr="0024065B">
        <w:rPr>
          <w:sz w:val="24"/>
          <w:szCs w:val="24"/>
        </w:rPr>
        <w:t>veinticinco y dos mil veintiséis</w:t>
      </w:r>
      <w:r w:rsidRPr="0024065B">
        <w:rPr>
          <w:sz w:val="24"/>
          <w:szCs w:val="24"/>
        </w:rPr>
        <w:t xml:space="preserve">, publicado en el Periódico Oficial “Gaceta del Gobierno”, con el propósito de realizar el cómputo de los días a fin de verificar si el recurso de revisión fue interpuesto dentro del plazo establecido en la Ley de la materia </w:t>
      </w:r>
      <w:r w:rsidRPr="0024065B">
        <w:rPr>
          <w:sz w:val="24"/>
          <w:szCs w:val="24"/>
        </w:rPr>
        <w:lastRenderedPageBreak/>
        <w:t>o, por el contrario, fue interpuesto extemporáneamente.</w:t>
      </w:r>
    </w:p>
    <w:p w14:paraId="407C10A5" w14:textId="77777777" w:rsidR="00F231B7" w:rsidRPr="0024065B" w:rsidRDefault="00F231B7" w:rsidP="00F231B7">
      <w:pPr>
        <w:pStyle w:val="Textoindependiente"/>
        <w:spacing w:beforeLines="40" w:before="96" w:afterLines="40" w:after="96" w:line="360" w:lineRule="auto"/>
        <w:ind w:left="0" w:hanging="1"/>
        <w:jc w:val="both"/>
        <w:rPr>
          <w:sz w:val="24"/>
          <w:szCs w:val="24"/>
        </w:rPr>
      </w:pPr>
    </w:p>
    <w:p w14:paraId="72975E15" w14:textId="5A3C4051" w:rsidR="00F231B7" w:rsidRPr="0024065B" w:rsidRDefault="00F231B7" w:rsidP="00F231B7">
      <w:pPr>
        <w:pStyle w:val="Textoindependiente"/>
        <w:spacing w:beforeLines="40" w:before="96" w:afterLines="40" w:after="96" w:line="360" w:lineRule="auto"/>
        <w:ind w:left="0" w:hanging="1"/>
        <w:jc w:val="both"/>
        <w:rPr>
          <w:b/>
          <w:sz w:val="24"/>
          <w:szCs w:val="24"/>
          <w:u w:val="single"/>
        </w:rPr>
      </w:pPr>
      <w:r w:rsidRPr="0024065B">
        <w:rPr>
          <w:sz w:val="24"/>
          <w:szCs w:val="24"/>
        </w:rPr>
        <w:t>En esa tesitu</w:t>
      </w:r>
      <w:r w:rsidR="00EF1A91" w:rsidRPr="0024065B">
        <w:rPr>
          <w:sz w:val="24"/>
          <w:szCs w:val="24"/>
        </w:rPr>
        <w:t xml:space="preserve">ra, dado que la notificación de la entrega de la información </w:t>
      </w:r>
      <w:r w:rsidRPr="0024065B">
        <w:rPr>
          <w:sz w:val="24"/>
          <w:szCs w:val="24"/>
        </w:rPr>
        <w:t xml:space="preserve">se practicó el día </w:t>
      </w:r>
      <w:r w:rsidR="00EF1A91" w:rsidRPr="0024065B">
        <w:rPr>
          <w:b/>
          <w:spacing w:val="-3"/>
          <w:sz w:val="24"/>
          <w:szCs w:val="24"/>
          <w:u w:val="single"/>
        </w:rPr>
        <w:t>dos de diciembre de dos mil veinticinco</w:t>
      </w:r>
      <w:r w:rsidRPr="0024065B">
        <w:rPr>
          <w:sz w:val="24"/>
          <w:szCs w:val="24"/>
        </w:rPr>
        <w:t xml:space="preserve">, el término se inició el día </w:t>
      </w:r>
      <w:r w:rsidR="0078299E" w:rsidRPr="0024065B">
        <w:rPr>
          <w:sz w:val="24"/>
          <w:szCs w:val="24"/>
        </w:rPr>
        <w:t>tres</w:t>
      </w:r>
      <w:r w:rsidR="00EF1A91" w:rsidRPr="0024065B">
        <w:rPr>
          <w:sz w:val="24"/>
          <w:szCs w:val="24"/>
        </w:rPr>
        <w:t xml:space="preserve">, cuatro, cinco, ocho, nueve, diez, once, doce, quince, dieciséis, diecisiete, dieciocho y </w:t>
      </w:r>
      <w:r w:rsidR="0078299E" w:rsidRPr="0024065B">
        <w:rPr>
          <w:sz w:val="24"/>
          <w:szCs w:val="24"/>
        </w:rPr>
        <w:t xml:space="preserve">diecinueve de </w:t>
      </w:r>
      <w:r w:rsidR="00EF1A91" w:rsidRPr="0024065B">
        <w:rPr>
          <w:sz w:val="24"/>
          <w:szCs w:val="24"/>
        </w:rPr>
        <w:t>diciembre de dos mil veinticinco así como los días doce y trece de enero de dos mil veintiséis por tratarse de días hábiles.</w:t>
      </w:r>
    </w:p>
    <w:p w14:paraId="34014B28" w14:textId="77777777" w:rsidR="00F231B7" w:rsidRPr="0024065B" w:rsidRDefault="00F231B7" w:rsidP="00F231B7">
      <w:pPr>
        <w:pStyle w:val="Textoindependiente"/>
        <w:spacing w:beforeLines="40" w:before="96" w:afterLines="40" w:after="96" w:line="360" w:lineRule="auto"/>
        <w:ind w:left="0" w:hanging="1"/>
        <w:jc w:val="both"/>
        <w:rPr>
          <w:sz w:val="24"/>
          <w:szCs w:val="24"/>
        </w:rPr>
      </w:pPr>
    </w:p>
    <w:p w14:paraId="30AD1D5E" w14:textId="0C0F4EF8" w:rsidR="00F231B7" w:rsidRPr="0024065B" w:rsidRDefault="00F231B7" w:rsidP="00F231B7">
      <w:pPr>
        <w:pStyle w:val="Textoindependiente"/>
        <w:spacing w:beforeLines="40" w:before="96" w:afterLines="40" w:after="96" w:line="360" w:lineRule="auto"/>
        <w:ind w:left="0" w:hanging="1"/>
        <w:jc w:val="both"/>
        <w:rPr>
          <w:sz w:val="24"/>
          <w:szCs w:val="24"/>
        </w:rPr>
      </w:pPr>
      <w:r w:rsidRPr="0024065B">
        <w:rPr>
          <w:sz w:val="24"/>
          <w:szCs w:val="24"/>
        </w:rPr>
        <w:t xml:space="preserve">Ahora bien, el recurso de revisión se presentó ante el Instituto mediante el Sistema de Acceso a la Información Mexiquense (SAIMEX) en fecha </w:t>
      </w:r>
      <w:r w:rsidR="00EF1A91" w:rsidRPr="0024065B">
        <w:rPr>
          <w:b/>
          <w:sz w:val="24"/>
          <w:szCs w:val="24"/>
          <w:u w:val="single"/>
        </w:rPr>
        <w:t>veinti</w:t>
      </w:r>
      <w:r w:rsidR="0078299E" w:rsidRPr="0024065B">
        <w:rPr>
          <w:b/>
          <w:sz w:val="24"/>
          <w:szCs w:val="24"/>
          <w:u w:val="single"/>
        </w:rPr>
        <w:t xml:space="preserve">uno </w:t>
      </w:r>
      <w:r w:rsidR="00EF1A91" w:rsidRPr="0024065B">
        <w:rPr>
          <w:b/>
          <w:sz w:val="24"/>
          <w:szCs w:val="24"/>
          <w:u w:val="single"/>
        </w:rPr>
        <w:t>de enero de dos mil veintiséis</w:t>
      </w:r>
      <w:r w:rsidRPr="0024065B">
        <w:rPr>
          <w:sz w:val="24"/>
          <w:szCs w:val="24"/>
        </w:rPr>
        <w:t>. Del</w:t>
      </w:r>
      <w:r w:rsidRPr="0024065B">
        <w:rPr>
          <w:spacing w:val="38"/>
          <w:sz w:val="24"/>
          <w:szCs w:val="24"/>
        </w:rPr>
        <w:t xml:space="preserve"> </w:t>
      </w:r>
      <w:r w:rsidRPr="0024065B">
        <w:rPr>
          <w:sz w:val="24"/>
          <w:szCs w:val="24"/>
        </w:rPr>
        <w:t>cómputo</w:t>
      </w:r>
      <w:r w:rsidRPr="0024065B">
        <w:rPr>
          <w:spacing w:val="39"/>
          <w:sz w:val="24"/>
          <w:szCs w:val="24"/>
        </w:rPr>
        <w:t xml:space="preserve"> </w:t>
      </w:r>
      <w:r w:rsidRPr="0024065B">
        <w:rPr>
          <w:sz w:val="24"/>
          <w:szCs w:val="24"/>
        </w:rPr>
        <w:t>del</w:t>
      </w:r>
      <w:r w:rsidRPr="0024065B">
        <w:rPr>
          <w:spacing w:val="39"/>
          <w:sz w:val="24"/>
          <w:szCs w:val="24"/>
        </w:rPr>
        <w:t xml:space="preserve"> </w:t>
      </w:r>
      <w:r w:rsidRPr="0024065B">
        <w:rPr>
          <w:sz w:val="24"/>
          <w:szCs w:val="24"/>
        </w:rPr>
        <w:t>plazo</w:t>
      </w:r>
      <w:r w:rsidRPr="0024065B">
        <w:rPr>
          <w:spacing w:val="37"/>
          <w:sz w:val="24"/>
          <w:szCs w:val="24"/>
        </w:rPr>
        <w:t xml:space="preserve"> </w:t>
      </w:r>
      <w:r w:rsidRPr="0024065B">
        <w:rPr>
          <w:sz w:val="24"/>
          <w:szCs w:val="24"/>
        </w:rPr>
        <w:t>antes</w:t>
      </w:r>
      <w:r w:rsidRPr="0024065B">
        <w:rPr>
          <w:spacing w:val="38"/>
          <w:sz w:val="24"/>
          <w:szCs w:val="24"/>
        </w:rPr>
        <w:t xml:space="preserve"> </w:t>
      </w:r>
      <w:r w:rsidRPr="0024065B">
        <w:rPr>
          <w:sz w:val="24"/>
          <w:szCs w:val="24"/>
        </w:rPr>
        <w:t>descrito</w:t>
      </w:r>
      <w:r w:rsidRPr="0024065B">
        <w:rPr>
          <w:spacing w:val="37"/>
          <w:sz w:val="24"/>
          <w:szCs w:val="24"/>
        </w:rPr>
        <w:t xml:space="preserve"> </w:t>
      </w:r>
      <w:r w:rsidRPr="0024065B">
        <w:rPr>
          <w:sz w:val="24"/>
          <w:szCs w:val="24"/>
        </w:rPr>
        <w:t>se</w:t>
      </w:r>
      <w:r w:rsidRPr="0024065B">
        <w:rPr>
          <w:spacing w:val="37"/>
          <w:sz w:val="24"/>
          <w:szCs w:val="24"/>
        </w:rPr>
        <w:t xml:space="preserve"> </w:t>
      </w:r>
      <w:r w:rsidRPr="0024065B">
        <w:rPr>
          <w:sz w:val="24"/>
          <w:szCs w:val="24"/>
        </w:rPr>
        <w:t>observa</w:t>
      </w:r>
      <w:r w:rsidRPr="0024065B">
        <w:rPr>
          <w:spacing w:val="39"/>
          <w:sz w:val="24"/>
          <w:szCs w:val="24"/>
        </w:rPr>
        <w:t xml:space="preserve"> </w:t>
      </w:r>
      <w:r w:rsidRPr="0024065B">
        <w:rPr>
          <w:sz w:val="24"/>
          <w:szCs w:val="24"/>
        </w:rPr>
        <w:t>que</w:t>
      </w:r>
      <w:r w:rsidRPr="0024065B">
        <w:rPr>
          <w:spacing w:val="40"/>
          <w:sz w:val="24"/>
          <w:szCs w:val="24"/>
        </w:rPr>
        <w:t xml:space="preserve"> </w:t>
      </w:r>
      <w:r w:rsidRPr="0024065B">
        <w:rPr>
          <w:sz w:val="24"/>
          <w:szCs w:val="24"/>
        </w:rPr>
        <w:t>el</w:t>
      </w:r>
      <w:r w:rsidRPr="0024065B">
        <w:rPr>
          <w:spacing w:val="38"/>
          <w:sz w:val="24"/>
          <w:szCs w:val="24"/>
        </w:rPr>
        <w:t xml:space="preserve"> </w:t>
      </w:r>
      <w:r w:rsidRPr="0024065B">
        <w:rPr>
          <w:sz w:val="24"/>
          <w:szCs w:val="24"/>
        </w:rPr>
        <w:t>recurso</w:t>
      </w:r>
      <w:r w:rsidRPr="0024065B">
        <w:rPr>
          <w:spacing w:val="38"/>
          <w:sz w:val="24"/>
          <w:szCs w:val="24"/>
        </w:rPr>
        <w:t xml:space="preserve"> </w:t>
      </w:r>
      <w:r w:rsidRPr="0024065B">
        <w:rPr>
          <w:sz w:val="24"/>
          <w:szCs w:val="24"/>
        </w:rPr>
        <w:t xml:space="preserve">de revisión </w:t>
      </w:r>
      <w:r w:rsidRPr="0024065B">
        <w:rPr>
          <w:b/>
          <w:sz w:val="24"/>
          <w:szCs w:val="24"/>
          <w:u w:val="single"/>
        </w:rPr>
        <w:t>no se interpuso de forma oportuna</w:t>
      </w:r>
      <w:r w:rsidRPr="0024065B">
        <w:rPr>
          <w:sz w:val="24"/>
          <w:szCs w:val="24"/>
        </w:rPr>
        <w:t>, ya que al momento en que se tuvo</w:t>
      </w:r>
      <w:r w:rsidRPr="0024065B">
        <w:rPr>
          <w:spacing w:val="7"/>
          <w:sz w:val="24"/>
          <w:szCs w:val="24"/>
        </w:rPr>
        <w:t xml:space="preserve"> </w:t>
      </w:r>
      <w:r w:rsidRPr="0024065B">
        <w:rPr>
          <w:sz w:val="24"/>
          <w:szCs w:val="24"/>
        </w:rPr>
        <w:t>por presentado,</w:t>
      </w:r>
      <w:r w:rsidRPr="0024065B">
        <w:rPr>
          <w:spacing w:val="7"/>
          <w:sz w:val="24"/>
          <w:szCs w:val="24"/>
        </w:rPr>
        <w:t xml:space="preserve"> </w:t>
      </w:r>
      <w:r w:rsidRPr="0024065B">
        <w:rPr>
          <w:sz w:val="24"/>
          <w:szCs w:val="24"/>
        </w:rPr>
        <w:t>el</w:t>
      </w:r>
      <w:r w:rsidRPr="0024065B">
        <w:rPr>
          <w:spacing w:val="9"/>
          <w:sz w:val="24"/>
          <w:szCs w:val="24"/>
        </w:rPr>
        <w:t xml:space="preserve"> </w:t>
      </w:r>
      <w:r w:rsidRPr="0024065B">
        <w:rPr>
          <w:sz w:val="24"/>
          <w:szCs w:val="24"/>
        </w:rPr>
        <w:t xml:space="preserve">plazo para interponer recurso de revisión </w:t>
      </w:r>
      <w:r w:rsidRPr="0024065B">
        <w:rPr>
          <w:b/>
          <w:sz w:val="24"/>
          <w:szCs w:val="24"/>
        </w:rPr>
        <w:t>ya había fenecido</w:t>
      </w:r>
      <w:r w:rsidRPr="0024065B">
        <w:rPr>
          <w:sz w:val="24"/>
          <w:szCs w:val="24"/>
        </w:rPr>
        <w:t>.</w:t>
      </w:r>
    </w:p>
    <w:p w14:paraId="7C4C5ED6" w14:textId="77777777" w:rsidR="00F231B7" w:rsidRPr="0024065B" w:rsidRDefault="00F231B7" w:rsidP="00F231B7">
      <w:pPr>
        <w:pStyle w:val="Textoindependiente"/>
        <w:spacing w:beforeLines="40" w:before="96" w:afterLines="40" w:after="96" w:line="360" w:lineRule="auto"/>
        <w:ind w:left="0" w:hanging="1"/>
        <w:jc w:val="both"/>
        <w:rPr>
          <w:sz w:val="24"/>
          <w:szCs w:val="24"/>
        </w:rPr>
      </w:pPr>
    </w:p>
    <w:p w14:paraId="42F6F8C1" w14:textId="6EF79E83" w:rsidR="00F231B7" w:rsidRPr="0024065B" w:rsidRDefault="00F231B7" w:rsidP="00EF1A91">
      <w:pPr>
        <w:spacing w:line="360" w:lineRule="auto"/>
        <w:jc w:val="both"/>
        <w:rPr>
          <w:rFonts w:ascii="Palatino Linotype" w:hAnsi="Palatino Linotype" w:cs="Arial"/>
          <w:sz w:val="24"/>
        </w:rPr>
      </w:pPr>
      <w:r w:rsidRPr="0024065B">
        <w:rPr>
          <w:rFonts w:ascii="Palatino Linotype" w:hAnsi="Palatino Linotype" w:cs="Arial"/>
          <w:sz w:val="24"/>
        </w:rPr>
        <w:t>Por tales circunstancias, este Instituto se encuentra impedido a entrar al</w:t>
      </w:r>
      <w:r w:rsidR="00EF1A91" w:rsidRPr="0024065B">
        <w:rPr>
          <w:rFonts w:ascii="Palatino Linotype" w:hAnsi="Palatino Linotype" w:cs="Arial"/>
          <w:sz w:val="24"/>
        </w:rPr>
        <w:t xml:space="preserve"> estudio de fondo, </w:t>
      </w:r>
      <w:r w:rsidRPr="0024065B">
        <w:rPr>
          <w:rFonts w:ascii="Palatino Linotype" w:hAnsi="Palatino Linotype" w:cs="Arial"/>
          <w:sz w:val="24"/>
        </w:rPr>
        <w:t xml:space="preserve">por lo que se actualiza la hipótesis prevista </w:t>
      </w:r>
      <w:r w:rsidR="00EF1A91" w:rsidRPr="0024065B">
        <w:rPr>
          <w:rFonts w:ascii="Palatino Linotype" w:hAnsi="Palatino Linotype" w:cs="Arial"/>
          <w:sz w:val="24"/>
        </w:rPr>
        <w:t>en el artículo 191, fracción I</w:t>
      </w:r>
      <w:r w:rsidRPr="0024065B">
        <w:rPr>
          <w:rFonts w:ascii="Palatino Linotype" w:hAnsi="Palatino Linotype" w:cs="Arial"/>
          <w:sz w:val="24"/>
        </w:rPr>
        <w:t>, de la Ley de Transparencia y Acceso a la Información Pública del Estado de México y Municipios en vigor, que a l</w:t>
      </w:r>
      <w:r w:rsidR="00EF1A91" w:rsidRPr="0024065B">
        <w:rPr>
          <w:rFonts w:ascii="Palatino Linotype" w:hAnsi="Palatino Linotype" w:cs="Arial"/>
          <w:sz w:val="24"/>
        </w:rPr>
        <w:t>a letra establece lo siguiente:</w:t>
      </w:r>
    </w:p>
    <w:p w14:paraId="17B1C9A6" w14:textId="77777777" w:rsidR="00F231B7" w:rsidRPr="0024065B" w:rsidRDefault="00F231B7" w:rsidP="00F231B7">
      <w:pPr>
        <w:pStyle w:val="Textoindependiente"/>
        <w:spacing w:beforeLines="40" w:before="96" w:afterLines="40" w:after="96"/>
        <w:ind w:left="567" w:right="567" w:firstLine="1"/>
        <w:jc w:val="both"/>
        <w:rPr>
          <w:i/>
          <w:sz w:val="22"/>
          <w:szCs w:val="24"/>
        </w:rPr>
      </w:pPr>
      <w:r w:rsidRPr="0024065B">
        <w:rPr>
          <w:b/>
          <w:i/>
          <w:sz w:val="22"/>
          <w:szCs w:val="24"/>
        </w:rPr>
        <w:t>Artículo 191</w:t>
      </w:r>
      <w:r w:rsidRPr="0024065B">
        <w:rPr>
          <w:i/>
          <w:sz w:val="22"/>
          <w:szCs w:val="24"/>
        </w:rPr>
        <w:t>. El recurso será desechado por improcedente cuando:</w:t>
      </w:r>
    </w:p>
    <w:p w14:paraId="1A91AE5D" w14:textId="77777777" w:rsidR="00F231B7" w:rsidRPr="0024065B" w:rsidRDefault="00F231B7" w:rsidP="00F231B7">
      <w:pPr>
        <w:pStyle w:val="Textoindependiente"/>
        <w:spacing w:beforeLines="40" w:before="96" w:afterLines="40" w:after="96"/>
        <w:ind w:left="567" w:right="567" w:firstLine="1"/>
        <w:jc w:val="both"/>
        <w:rPr>
          <w:i/>
          <w:sz w:val="22"/>
          <w:szCs w:val="24"/>
        </w:rPr>
      </w:pPr>
    </w:p>
    <w:p w14:paraId="0F4689C7" w14:textId="77777777" w:rsidR="00DA0B28" w:rsidRPr="0024065B" w:rsidRDefault="00F231B7" w:rsidP="00DA0B28">
      <w:pPr>
        <w:pStyle w:val="Textoindependiente"/>
        <w:numPr>
          <w:ilvl w:val="0"/>
          <w:numId w:val="13"/>
        </w:numPr>
        <w:spacing w:beforeLines="40" w:before="96" w:afterLines="40" w:after="96"/>
        <w:ind w:right="567"/>
        <w:jc w:val="both"/>
        <w:rPr>
          <w:i/>
          <w:sz w:val="22"/>
          <w:szCs w:val="24"/>
        </w:rPr>
      </w:pPr>
      <w:r w:rsidRPr="0024065B">
        <w:rPr>
          <w:b/>
          <w:i/>
          <w:sz w:val="22"/>
          <w:szCs w:val="24"/>
          <w:u w:val="single"/>
        </w:rPr>
        <w:t>Sea extemporáneo por haber transcurrido el plazo establecido en la presente Ley, a partir de la respuesta;</w:t>
      </w:r>
    </w:p>
    <w:p w14:paraId="24604A6B" w14:textId="20205017" w:rsidR="00F231B7" w:rsidRPr="0024065B" w:rsidRDefault="00F231B7" w:rsidP="00DA0B28">
      <w:pPr>
        <w:pStyle w:val="Textoindependiente"/>
        <w:spacing w:beforeLines="40" w:before="96" w:afterLines="40" w:after="96"/>
        <w:ind w:left="1572" w:right="567"/>
        <w:jc w:val="both"/>
        <w:rPr>
          <w:i/>
          <w:sz w:val="22"/>
          <w:szCs w:val="24"/>
        </w:rPr>
      </w:pPr>
      <w:r w:rsidRPr="0024065B">
        <w:rPr>
          <w:i/>
          <w:sz w:val="22"/>
          <w:szCs w:val="24"/>
        </w:rPr>
        <w:t>(…)</w:t>
      </w:r>
    </w:p>
    <w:p w14:paraId="1D13B1E8" w14:textId="77777777" w:rsidR="00F231B7" w:rsidRPr="0024065B" w:rsidRDefault="00F231B7" w:rsidP="00F231B7">
      <w:pPr>
        <w:autoSpaceDE w:val="0"/>
        <w:autoSpaceDN w:val="0"/>
        <w:adjustRightInd w:val="0"/>
        <w:spacing w:line="360" w:lineRule="auto"/>
        <w:jc w:val="both"/>
        <w:rPr>
          <w:rFonts w:ascii="Palatino Linotype" w:hAnsi="Palatino Linotype" w:cs="Arial"/>
        </w:rPr>
      </w:pPr>
    </w:p>
    <w:p w14:paraId="179CCC41" w14:textId="77777777" w:rsidR="00F231B7" w:rsidRPr="0024065B" w:rsidRDefault="00F231B7" w:rsidP="00F231B7">
      <w:pPr>
        <w:autoSpaceDE w:val="0"/>
        <w:autoSpaceDN w:val="0"/>
        <w:adjustRightInd w:val="0"/>
        <w:spacing w:line="360" w:lineRule="auto"/>
        <w:jc w:val="both"/>
        <w:rPr>
          <w:rFonts w:ascii="Palatino Linotype" w:hAnsi="Palatino Linotype" w:cs="Arial"/>
          <w:sz w:val="24"/>
        </w:rPr>
      </w:pPr>
      <w:r w:rsidRPr="0024065B">
        <w:rPr>
          <w:rFonts w:ascii="Palatino Linotype" w:hAnsi="Palatino Linotype" w:cs="Arial"/>
          <w:sz w:val="24"/>
        </w:rPr>
        <w:lastRenderedPageBreak/>
        <w:t>Por lo tanto, el presente recurso de revisión se actualiza el supuesto previsto en la fracción IV, del artículo 192, de la Ley de Transparencia y Acceso a la Información Pública del Estado de México y Municipios en vigor:</w:t>
      </w:r>
    </w:p>
    <w:p w14:paraId="75548B36" w14:textId="77777777" w:rsidR="00F231B7" w:rsidRPr="0024065B" w:rsidRDefault="00F231B7" w:rsidP="00F231B7">
      <w:pPr>
        <w:autoSpaceDE w:val="0"/>
        <w:autoSpaceDN w:val="0"/>
        <w:adjustRightInd w:val="0"/>
        <w:ind w:left="708"/>
        <w:jc w:val="both"/>
        <w:rPr>
          <w:rFonts w:ascii="Palatino Linotype" w:hAnsi="Palatino Linotype"/>
          <w:i/>
        </w:rPr>
      </w:pPr>
      <w:r w:rsidRPr="0024065B">
        <w:rPr>
          <w:rFonts w:ascii="Palatino Linotype" w:hAnsi="Palatino Linotype"/>
          <w:i/>
        </w:rPr>
        <w:t>“</w:t>
      </w:r>
      <w:r w:rsidRPr="0024065B">
        <w:rPr>
          <w:rFonts w:ascii="Palatino Linotype" w:hAnsi="Palatino Linotype"/>
          <w:b/>
          <w:i/>
        </w:rPr>
        <w:t xml:space="preserve">Artículo 192. </w:t>
      </w:r>
      <w:r w:rsidRPr="0024065B">
        <w:rPr>
          <w:rFonts w:ascii="Palatino Linotype" w:hAnsi="Palatino Linotype"/>
          <w:b/>
          <w:i/>
          <w:u w:val="single"/>
        </w:rPr>
        <w:t>El recurso será sobreseído, en todo o en parte, cuando una vez admitido, se actualicen alguno de los siguientes supuestos</w:t>
      </w:r>
      <w:r w:rsidRPr="0024065B">
        <w:rPr>
          <w:rFonts w:ascii="Palatino Linotype" w:hAnsi="Palatino Linotype"/>
          <w:i/>
        </w:rPr>
        <w:t>:</w:t>
      </w:r>
    </w:p>
    <w:p w14:paraId="476DA043" w14:textId="77777777" w:rsidR="00F231B7" w:rsidRPr="0024065B" w:rsidRDefault="00F231B7" w:rsidP="00F231B7">
      <w:pPr>
        <w:autoSpaceDE w:val="0"/>
        <w:autoSpaceDN w:val="0"/>
        <w:adjustRightInd w:val="0"/>
        <w:ind w:left="708"/>
        <w:jc w:val="both"/>
        <w:rPr>
          <w:rFonts w:ascii="Palatino Linotype" w:hAnsi="Palatino Linotype"/>
          <w:i/>
        </w:rPr>
      </w:pPr>
    </w:p>
    <w:p w14:paraId="53A9F7BD" w14:textId="77777777" w:rsidR="00F231B7" w:rsidRPr="0024065B" w:rsidRDefault="00F231B7" w:rsidP="00F231B7">
      <w:pPr>
        <w:numPr>
          <w:ilvl w:val="0"/>
          <w:numId w:val="12"/>
        </w:numPr>
        <w:autoSpaceDE w:val="0"/>
        <w:autoSpaceDN w:val="0"/>
        <w:adjustRightInd w:val="0"/>
        <w:spacing w:after="0" w:line="240" w:lineRule="auto"/>
        <w:jc w:val="both"/>
        <w:rPr>
          <w:rFonts w:ascii="Palatino Linotype" w:hAnsi="Palatino Linotype"/>
          <w:i/>
        </w:rPr>
      </w:pPr>
      <w:r w:rsidRPr="0024065B">
        <w:rPr>
          <w:rFonts w:ascii="Palatino Linotype" w:hAnsi="Palatino Linotype"/>
          <w:i/>
        </w:rPr>
        <w:t xml:space="preserve">El recurrente se desista expresamente del recurso; </w:t>
      </w:r>
    </w:p>
    <w:p w14:paraId="3A91FFDA" w14:textId="77777777" w:rsidR="00F231B7" w:rsidRPr="0024065B"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24065B">
        <w:rPr>
          <w:rFonts w:ascii="Palatino Linotype" w:hAnsi="Palatino Linotype"/>
          <w:i/>
        </w:rPr>
        <w:t xml:space="preserve">El recurrente fallezca o, tratándose de personas jurídicas colectivas, se disuelva; </w:t>
      </w:r>
    </w:p>
    <w:p w14:paraId="0E112125" w14:textId="77777777" w:rsidR="00F231B7" w:rsidRPr="0024065B"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24065B">
        <w:rPr>
          <w:rFonts w:ascii="Palatino Linotype" w:hAnsi="Palatino Linotype"/>
          <w:i/>
        </w:rPr>
        <w:t xml:space="preserve">El sujeto obligado responsable del acto lo modifique o revoque de tal manera que el recurso de revisión quede sin materia; </w:t>
      </w:r>
    </w:p>
    <w:p w14:paraId="42313ED7" w14:textId="77777777" w:rsidR="00F231B7" w:rsidRPr="0024065B"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24065B">
        <w:rPr>
          <w:rFonts w:ascii="Palatino Linotype" w:hAnsi="Palatino Linotype"/>
          <w:b/>
          <w:i/>
          <w:u w:val="single"/>
        </w:rPr>
        <w:t>Admitido el recurso de revisión, aparezca alguna causal de improcedencia en los términos de la presente Ley</w:t>
      </w:r>
      <w:r w:rsidRPr="0024065B">
        <w:rPr>
          <w:rFonts w:ascii="Palatino Linotype" w:hAnsi="Palatino Linotype"/>
          <w:i/>
        </w:rPr>
        <w:t xml:space="preserve">; y </w:t>
      </w:r>
    </w:p>
    <w:p w14:paraId="764492FF" w14:textId="77777777" w:rsidR="00F231B7" w:rsidRPr="0024065B" w:rsidRDefault="00F231B7" w:rsidP="00F231B7">
      <w:pPr>
        <w:numPr>
          <w:ilvl w:val="0"/>
          <w:numId w:val="12"/>
        </w:numPr>
        <w:autoSpaceDE w:val="0"/>
        <w:autoSpaceDN w:val="0"/>
        <w:adjustRightInd w:val="0"/>
        <w:spacing w:after="0" w:line="240" w:lineRule="auto"/>
        <w:jc w:val="both"/>
        <w:rPr>
          <w:rFonts w:ascii="Palatino Linotype" w:hAnsi="Palatino Linotype" w:cs="Arial"/>
          <w:i/>
        </w:rPr>
      </w:pPr>
      <w:r w:rsidRPr="0024065B">
        <w:rPr>
          <w:rFonts w:ascii="Palatino Linotype" w:hAnsi="Palatino Linotype"/>
          <w:i/>
        </w:rPr>
        <w:t>Cuando por cualquier motivo quede sin materia el recurso.”</w:t>
      </w:r>
    </w:p>
    <w:p w14:paraId="3FC8391F" w14:textId="77777777" w:rsidR="00F231B7" w:rsidRPr="0024065B" w:rsidRDefault="00F231B7" w:rsidP="00F231B7">
      <w:pPr>
        <w:spacing w:line="360" w:lineRule="auto"/>
        <w:jc w:val="both"/>
        <w:rPr>
          <w:rFonts w:ascii="Palatino Linotype" w:hAnsi="Palatino Linotype" w:cs="Arial"/>
        </w:rPr>
      </w:pPr>
    </w:p>
    <w:p w14:paraId="6A897443" w14:textId="046982A0" w:rsidR="000A7D9E" w:rsidRPr="0024065B" w:rsidRDefault="00F231B7" w:rsidP="00F231B7">
      <w:pPr>
        <w:spacing w:before="240" w:after="240" w:line="360" w:lineRule="auto"/>
        <w:jc w:val="both"/>
        <w:rPr>
          <w:rFonts w:ascii="Palatino Linotype" w:hAnsi="Palatino Linotype"/>
          <w:sz w:val="24"/>
        </w:rPr>
      </w:pPr>
      <w:r w:rsidRPr="0024065B">
        <w:rPr>
          <w:rFonts w:ascii="Palatino Linotype" w:hAnsi="Palatino Linotype"/>
          <w:sz w:val="24"/>
        </w:rPr>
        <w:t xml:space="preserve">Por ello, en términos del artículo 191, fracción I de la Ley de Transparencia y Acceso a la Información Pública del Estado de México y Municipios, este Órgano Garante considera procedente </w:t>
      </w:r>
      <w:r w:rsidRPr="0024065B">
        <w:rPr>
          <w:rFonts w:ascii="Palatino Linotype" w:hAnsi="Palatino Linotype"/>
          <w:b/>
          <w:sz w:val="24"/>
        </w:rPr>
        <w:t xml:space="preserve">SOBRESEER </w:t>
      </w:r>
      <w:r w:rsidRPr="0024065B">
        <w:rPr>
          <w:rFonts w:ascii="Palatino Linotype" w:hAnsi="Palatino Linotype"/>
          <w:sz w:val="24"/>
        </w:rPr>
        <w:t>el presente recurso de revisión, toda vez que se actualiza la fracción IV del artículo 192 del citado ordenamiento legal.</w:t>
      </w:r>
    </w:p>
    <w:p w14:paraId="43858A27" w14:textId="77777777" w:rsidR="00005A36" w:rsidRPr="0024065B" w:rsidRDefault="00005A36" w:rsidP="00F231B7">
      <w:pPr>
        <w:spacing w:before="240" w:after="240" w:line="360" w:lineRule="auto"/>
        <w:jc w:val="both"/>
        <w:rPr>
          <w:rFonts w:ascii="Palatino Linotype" w:hAnsi="Palatino Linotype"/>
          <w:sz w:val="24"/>
        </w:rPr>
      </w:pPr>
    </w:p>
    <w:p w14:paraId="770295F1" w14:textId="7224809C" w:rsidR="00F231B7" w:rsidRPr="0024065B" w:rsidRDefault="00F231B7" w:rsidP="00F231B7">
      <w:pPr>
        <w:autoSpaceDE w:val="0"/>
        <w:autoSpaceDN w:val="0"/>
        <w:adjustRightInd w:val="0"/>
        <w:spacing w:line="360" w:lineRule="auto"/>
        <w:jc w:val="both"/>
        <w:rPr>
          <w:rFonts w:ascii="Palatino Linotype" w:hAnsi="Palatino Linotype"/>
          <w:sz w:val="24"/>
        </w:rPr>
      </w:pPr>
      <w:r w:rsidRPr="0024065B">
        <w:rPr>
          <w:rFonts w:ascii="Palatino Linotype" w:hAnsi="Palatino Linotype"/>
          <w:sz w:val="24"/>
        </w:rPr>
        <w:t>En este orden de ideas, es conducente colegir que en el presente Recurso de Revisión, se actualizó la causal de improcede</w:t>
      </w:r>
      <w:r w:rsidR="000A7D9E" w:rsidRPr="0024065B">
        <w:rPr>
          <w:rFonts w:ascii="Palatino Linotype" w:hAnsi="Palatino Linotype"/>
          <w:sz w:val="24"/>
        </w:rPr>
        <w:t>ncia prevista en la fracción I</w:t>
      </w:r>
      <w:r w:rsidRPr="0024065B">
        <w:rPr>
          <w:rFonts w:ascii="Palatino Linotype" w:hAnsi="Palatino Linotype"/>
          <w:sz w:val="24"/>
        </w:rPr>
        <w:t>, del numeral 191, de la Ley 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14:paraId="393F3311" w14:textId="77777777" w:rsidR="00F231B7" w:rsidRPr="0024065B" w:rsidRDefault="00F231B7" w:rsidP="00F231B7">
      <w:pPr>
        <w:autoSpaceDE w:val="0"/>
        <w:autoSpaceDN w:val="0"/>
        <w:adjustRightInd w:val="0"/>
        <w:spacing w:line="360" w:lineRule="auto"/>
        <w:jc w:val="both"/>
        <w:rPr>
          <w:rFonts w:ascii="Palatino Linotype" w:hAnsi="Palatino Linotype"/>
        </w:rPr>
      </w:pPr>
    </w:p>
    <w:p w14:paraId="5DEAA856" w14:textId="0A80DCB0" w:rsidR="00F231B7" w:rsidRPr="0024065B" w:rsidRDefault="00F231B7" w:rsidP="00F231B7">
      <w:pPr>
        <w:spacing w:line="360" w:lineRule="auto"/>
        <w:ind w:right="49"/>
        <w:jc w:val="both"/>
        <w:rPr>
          <w:rFonts w:ascii="Palatino Linotype" w:hAnsi="Palatino Linotype" w:cs="Arial"/>
          <w:sz w:val="24"/>
        </w:rPr>
      </w:pPr>
      <w:r w:rsidRPr="0024065B">
        <w:rPr>
          <w:rFonts w:ascii="Palatino Linotype" w:hAnsi="Palatino Linotype" w:cs="Arial"/>
          <w:sz w:val="24"/>
        </w:rPr>
        <w:t>Sirve como criterio orientador, lo establecido en la Jurisprudencia 1ª./J 3/99 de la Novena Época, emitida por la Primera Sala de la Suprema Corte de Justicia de la Nación, publicada en el Semanario Judicial de la Federación y su Gaceta,</w:t>
      </w:r>
      <w:r w:rsidR="000A7D9E" w:rsidRPr="0024065B">
        <w:rPr>
          <w:rFonts w:ascii="Palatino Linotype" w:hAnsi="Palatino Linotype" w:cs="Arial"/>
          <w:sz w:val="24"/>
        </w:rPr>
        <w:t xml:space="preserve"> que en lo conducente dispone: </w:t>
      </w:r>
    </w:p>
    <w:p w14:paraId="0E48C7A2" w14:textId="77777777" w:rsidR="00F231B7" w:rsidRPr="0024065B" w:rsidRDefault="00F231B7" w:rsidP="00F231B7">
      <w:pPr>
        <w:ind w:left="567" w:right="567"/>
        <w:jc w:val="both"/>
        <w:rPr>
          <w:rFonts w:ascii="Palatino Linotype" w:hAnsi="Palatino Linotype" w:cs="Arial"/>
          <w:i/>
          <w:szCs w:val="20"/>
        </w:rPr>
      </w:pPr>
      <w:r w:rsidRPr="0024065B">
        <w:rPr>
          <w:rFonts w:ascii="Palatino Linotype" w:hAnsi="Palatino Linotype" w:cs="Arial"/>
          <w:b/>
          <w:i/>
          <w:szCs w:val="20"/>
        </w:rPr>
        <w:t xml:space="preserve">“IMPROCEDENCIA. ESTUDIO PREFERENCIAL DE LAS CAUSALES PREVISTAS EN EL ARTÍCULO 73 DE LA LEY DE AMPARO. </w:t>
      </w:r>
      <w:r w:rsidRPr="0024065B">
        <w:rPr>
          <w:rFonts w:ascii="Palatino Linotype" w:hAnsi="Palatino Linotype" w:cs="Arial"/>
          <w:i/>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91F43E8" w14:textId="77777777" w:rsidR="00F231B7" w:rsidRPr="0024065B" w:rsidRDefault="00F231B7" w:rsidP="00F231B7">
      <w:pPr>
        <w:autoSpaceDE w:val="0"/>
        <w:autoSpaceDN w:val="0"/>
        <w:adjustRightInd w:val="0"/>
        <w:spacing w:line="360" w:lineRule="auto"/>
        <w:jc w:val="both"/>
        <w:rPr>
          <w:rFonts w:ascii="Palatino Linotype" w:hAnsi="Palatino Linotype"/>
          <w:sz w:val="24"/>
        </w:rPr>
      </w:pPr>
    </w:p>
    <w:p w14:paraId="5F7CDBA5" w14:textId="77777777" w:rsidR="00F231B7" w:rsidRPr="0024065B" w:rsidRDefault="00F231B7" w:rsidP="00F231B7">
      <w:pPr>
        <w:autoSpaceDE w:val="0"/>
        <w:autoSpaceDN w:val="0"/>
        <w:adjustRightInd w:val="0"/>
        <w:spacing w:line="360" w:lineRule="auto"/>
        <w:jc w:val="both"/>
        <w:rPr>
          <w:rFonts w:ascii="Palatino Linotype" w:hAnsi="Palatino Linotype"/>
          <w:b/>
          <w:sz w:val="24"/>
          <w:u w:val="single"/>
        </w:rPr>
      </w:pPr>
      <w:r w:rsidRPr="0024065B">
        <w:rPr>
          <w:rFonts w:ascii="Palatino Linotype" w:hAnsi="Palatino Linotype"/>
          <w:sz w:val="24"/>
        </w:rPr>
        <w:t xml:space="preserve">Es importante resaltar a manera de analogía que la Suprema Corte de Justicia de la Nación mediante el número 2 de la Serie </w:t>
      </w:r>
      <w:r w:rsidRPr="0024065B">
        <w:rPr>
          <w:rFonts w:ascii="Palatino Linotype" w:hAnsi="Palatino Linotype"/>
          <w:i/>
          <w:sz w:val="24"/>
        </w:rPr>
        <w:t xml:space="preserve">Estudios Introductorios sobre el Juicio de Amparo </w:t>
      </w:r>
      <w:r w:rsidRPr="0024065B">
        <w:rPr>
          <w:rFonts w:ascii="Palatino Linotype" w:hAnsi="Palatino Linotype"/>
          <w:sz w:val="24"/>
        </w:rPr>
        <w:t xml:space="preserve">relativo a </w:t>
      </w:r>
      <w:r w:rsidRPr="0024065B">
        <w:rPr>
          <w:rFonts w:ascii="Palatino Linotype" w:hAnsi="Palatino Linotype"/>
          <w:i/>
          <w:sz w:val="24"/>
        </w:rPr>
        <w:t xml:space="preserve">LA IMPROCEDENCIA DE LA ACCIÓN DE AMPARO </w:t>
      </w:r>
      <w:r w:rsidRPr="0024065B">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4065B">
        <w:rPr>
          <w:rFonts w:ascii="Palatino Linotype" w:hAnsi="Palatino Linotype"/>
          <w:b/>
          <w:sz w:val="24"/>
          <w:u w:val="single"/>
        </w:rPr>
        <w:t>lo que generará que la demanda sea desechada; o bien, después de admitida la demanda, lo que tendrá como consecuencia que se sobresea en el juicio.</w:t>
      </w:r>
    </w:p>
    <w:p w14:paraId="540323E7" w14:textId="77777777" w:rsidR="00F231B7" w:rsidRPr="0024065B" w:rsidRDefault="00F231B7" w:rsidP="00F231B7">
      <w:pPr>
        <w:autoSpaceDE w:val="0"/>
        <w:autoSpaceDN w:val="0"/>
        <w:adjustRightInd w:val="0"/>
        <w:spacing w:line="360" w:lineRule="auto"/>
        <w:jc w:val="both"/>
        <w:rPr>
          <w:rFonts w:ascii="Palatino Linotype" w:hAnsi="Palatino Linotype"/>
          <w:b/>
          <w:sz w:val="24"/>
          <w:u w:val="single"/>
        </w:rPr>
      </w:pPr>
    </w:p>
    <w:p w14:paraId="6E50B843" w14:textId="0E414215" w:rsidR="00F231B7" w:rsidRPr="0024065B" w:rsidRDefault="00F231B7" w:rsidP="000A7D9E">
      <w:pPr>
        <w:spacing w:line="360" w:lineRule="auto"/>
        <w:ind w:right="51"/>
        <w:jc w:val="both"/>
        <w:rPr>
          <w:rFonts w:ascii="Palatino Linotype" w:hAnsi="Palatino Linotype" w:cs="Arial"/>
          <w:bCs/>
          <w:sz w:val="24"/>
          <w:lang w:eastAsia="es-MX"/>
        </w:rPr>
      </w:pPr>
      <w:r w:rsidRPr="0024065B">
        <w:rPr>
          <w:rFonts w:ascii="Palatino Linotype" w:hAnsi="Palatino Linotype" w:cs="Arial"/>
          <w:sz w:val="24"/>
        </w:rPr>
        <w:lastRenderedPageBreak/>
        <w:t>En mérito de lo expuesto en líneas anteriores</w:t>
      </w:r>
      <w:r w:rsidRPr="0024065B">
        <w:rPr>
          <w:rFonts w:ascii="Palatino Linotype" w:hAnsi="Palatino Linotype"/>
          <w:noProof/>
          <w:sz w:val="24"/>
          <w:lang w:eastAsia="es-MX"/>
        </w:rPr>
        <w:t xml:space="preserve">, resultan improcedentes los motivos de inconformidad que arguye </w:t>
      </w:r>
      <w:r w:rsidRPr="0024065B">
        <w:rPr>
          <w:rFonts w:ascii="Palatino Linotype" w:hAnsi="Palatino Linotype"/>
          <w:b/>
          <w:noProof/>
          <w:sz w:val="24"/>
          <w:lang w:eastAsia="es-MX"/>
        </w:rPr>
        <w:t>el Recurrente</w:t>
      </w:r>
      <w:r w:rsidRPr="0024065B">
        <w:rPr>
          <w:rFonts w:ascii="Palatino Linotype" w:hAnsi="Palatino Linotype"/>
          <w:noProof/>
          <w:sz w:val="24"/>
          <w:lang w:eastAsia="es-MX"/>
        </w:rPr>
        <w:t xml:space="preserve"> en su medio de impugnación que fue materia de estudio, </w:t>
      </w:r>
      <w:r w:rsidRPr="0024065B">
        <w:rPr>
          <w:rFonts w:ascii="Palatino Linotype" w:hAnsi="Palatino Linotype" w:cs="Arial"/>
          <w:sz w:val="24"/>
        </w:rPr>
        <w:t xml:space="preserve">por ello con fundamento en el artículo 186, fracción I, en concordancia con el artículo 192, fracción IV, de la Ley de Transparencia y Acceso a la Información Pública del Estado de México y Municipios, se </w:t>
      </w:r>
      <w:r w:rsidRPr="0024065B">
        <w:rPr>
          <w:rFonts w:ascii="Palatino Linotype" w:hAnsi="Palatino Linotype" w:cs="Arial"/>
          <w:b/>
          <w:sz w:val="24"/>
        </w:rPr>
        <w:t>SOBRESEE</w:t>
      </w:r>
      <w:r w:rsidRPr="0024065B">
        <w:rPr>
          <w:rFonts w:ascii="Palatino Linotype" w:hAnsi="Palatino Linotype" w:cs="Arial"/>
          <w:sz w:val="24"/>
        </w:rPr>
        <w:t xml:space="preserve"> el recurso de revisión </w:t>
      </w:r>
      <w:r w:rsidR="0070552D" w:rsidRPr="0024065B">
        <w:rPr>
          <w:rFonts w:ascii="Palatino Linotype" w:hAnsi="Palatino Linotype" w:cs="Arial"/>
          <w:b/>
          <w:bCs/>
          <w:sz w:val="24"/>
          <w:lang w:eastAsia="es-MX"/>
        </w:rPr>
        <w:t>11525/INFOEM/ICR-41/IP/RR/2025</w:t>
      </w:r>
      <w:r w:rsidRPr="0024065B">
        <w:rPr>
          <w:rFonts w:ascii="Palatino Linotype" w:eastAsiaTheme="minorEastAsia" w:hAnsi="Palatino Linotype"/>
          <w:sz w:val="24"/>
          <w:lang w:val="es-ES_tradnl"/>
        </w:rPr>
        <w:t>,</w:t>
      </w:r>
      <w:r w:rsidRPr="0024065B">
        <w:rPr>
          <w:rFonts w:ascii="Palatino Linotype" w:eastAsiaTheme="minorEastAsia" w:hAnsi="Palatino Linotype"/>
          <w:b/>
          <w:sz w:val="24"/>
          <w:lang w:val="es-ES_tradnl"/>
        </w:rPr>
        <w:t xml:space="preserve"> </w:t>
      </w:r>
      <w:r w:rsidRPr="0024065B">
        <w:rPr>
          <w:rFonts w:ascii="Palatino Linotype" w:hAnsi="Palatino Linotype" w:cs="Arial"/>
          <w:bCs/>
          <w:sz w:val="24"/>
          <w:lang w:eastAsia="es-MX"/>
        </w:rPr>
        <w:t>que ha s</w:t>
      </w:r>
      <w:r w:rsidR="000A7D9E" w:rsidRPr="0024065B">
        <w:rPr>
          <w:rFonts w:ascii="Palatino Linotype" w:hAnsi="Palatino Linotype" w:cs="Arial"/>
          <w:bCs/>
          <w:sz w:val="24"/>
          <w:lang w:eastAsia="es-MX"/>
        </w:rPr>
        <w:t>ido materia del presente fallo.</w:t>
      </w:r>
    </w:p>
    <w:p w14:paraId="5A4ECA96" w14:textId="45CBBBBF" w:rsidR="00F231B7" w:rsidRPr="0024065B" w:rsidRDefault="00F231B7" w:rsidP="00F231B7">
      <w:pPr>
        <w:tabs>
          <w:tab w:val="left" w:pos="8931"/>
        </w:tabs>
        <w:spacing w:line="360" w:lineRule="auto"/>
        <w:ind w:right="51"/>
        <w:jc w:val="both"/>
        <w:rPr>
          <w:rFonts w:ascii="Palatino Linotype" w:hAnsi="Palatino Linotype"/>
          <w:sz w:val="24"/>
        </w:rPr>
      </w:pPr>
      <w:r w:rsidRPr="0024065B">
        <w:rPr>
          <w:rFonts w:ascii="Palatino Linotype" w:hAnsi="Palatino Linotype"/>
          <w:sz w:val="24"/>
        </w:rPr>
        <w:t>Por lo antes expuest</w:t>
      </w:r>
      <w:r w:rsidR="00005A36" w:rsidRPr="0024065B">
        <w:rPr>
          <w:rFonts w:ascii="Palatino Linotype" w:hAnsi="Palatino Linotype"/>
          <w:sz w:val="24"/>
        </w:rPr>
        <w:t>o y fundado es de resolverse y,</w:t>
      </w:r>
    </w:p>
    <w:p w14:paraId="33EE6A06" w14:textId="77777777" w:rsidR="00005A36" w:rsidRPr="0024065B" w:rsidRDefault="00005A36" w:rsidP="00F231B7">
      <w:pPr>
        <w:tabs>
          <w:tab w:val="left" w:pos="8931"/>
        </w:tabs>
        <w:spacing w:line="360" w:lineRule="auto"/>
        <w:ind w:right="51"/>
        <w:jc w:val="both"/>
        <w:rPr>
          <w:rFonts w:ascii="Palatino Linotype" w:hAnsi="Palatino Linotype"/>
          <w:sz w:val="24"/>
        </w:rPr>
      </w:pPr>
    </w:p>
    <w:p w14:paraId="1BBED3A1" w14:textId="77777777" w:rsidR="00F231B7" w:rsidRPr="0024065B" w:rsidRDefault="00F231B7" w:rsidP="00F231B7">
      <w:pPr>
        <w:spacing w:line="360" w:lineRule="auto"/>
        <w:jc w:val="center"/>
        <w:rPr>
          <w:rFonts w:ascii="Palatino Linotype" w:hAnsi="Palatino Linotype"/>
          <w:b/>
          <w:bCs/>
          <w:spacing w:val="60"/>
          <w:sz w:val="28"/>
          <w:lang w:val="es-ES_tradnl"/>
        </w:rPr>
      </w:pPr>
      <w:r w:rsidRPr="0024065B">
        <w:rPr>
          <w:rFonts w:ascii="Palatino Linotype" w:hAnsi="Palatino Linotype"/>
          <w:b/>
          <w:bCs/>
          <w:spacing w:val="60"/>
          <w:sz w:val="28"/>
          <w:lang w:val="es-ES_tradnl"/>
        </w:rPr>
        <w:t>SE    RESUELVE</w:t>
      </w:r>
    </w:p>
    <w:p w14:paraId="02C999FD" w14:textId="77777777" w:rsidR="00F231B7" w:rsidRPr="0024065B" w:rsidRDefault="00F231B7" w:rsidP="00F231B7">
      <w:pPr>
        <w:spacing w:line="360" w:lineRule="auto"/>
        <w:jc w:val="center"/>
        <w:rPr>
          <w:rFonts w:ascii="Palatino Linotype" w:hAnsi="Palatino Linotype"/>
          <w:b/>
          <w:bCs/>
          <w:spacing w:val="60"/>
          <w:lang w:val="es-ES_tradnl"/>
        </w:rPr>
      </w:pPr>
    </w:p>
    <w:p w14:paraId="0B2531DD" w14:textId="68BD106F" w:rsidR="00F231B7" w:rsidRPr="0024065B" w:rsidRDefault="00F231B7" w:rsidP="00F231B7">
      <w:pPr>
        <w:spacing w:line="360" w:lineRule="auto"/>
        <w:jc w:val="both"/>
        <w:rPr>
          <w:rFonts w:ascii="Palatino Linotype" w:eastAsiaTheme="minorEastAsia" w:hAnsi="Palatino Linotype"/>
          <w:sz w:val="24"/>
          <w:lang w:val="es-ES_tradnl"/>
        </w:rPr>
      </w:pPr>
      <w:r w:rsidRPr="0024065B">
        <w:rPr>
          <w:rFonts w:ascii="Palatino Linotype" w:hAnsi="Palatino Linotype"/>
          <w:b/>
          <w:bCs/>
          <w:sz w:val="28"/>
          <w:lang w:eastAsia="es-MX"/>
        </w:rPr>
        <w:t>PRIMERO</w:t>
      </w:r>
      <w:r w:rsidRPr="0024065B">
        <w:rPr>
          <w:rFonts w:ascii="Palatino Linotype" w:hAnsi="Palatino Linotype"/>
          <w:sz w:val="28"/>
          <w:lang w:eastAsia="es-MX"/>
        </w:rPr>
        <w:t xml:space="preserve">. </w:t>
      </w:r>
      <w:r w:rsidRPr="0024065B">
        <w:rPr>
          <w:rFonts w:ascii="Palatino Linotype" w:hAnsi="Palatino Linotype" w:cs="Arial"/>
          <w:sz w:val="24"/>
          <w:lang w:val="es-ES_tradnl"/>
        </w:rPr>
        <w:t xml:space="preserve">Se </w:t>
      </w:r>
      <w:r w:rsidRPr="0024065B">
        <w:rPr>
          <w:rFonts w:ascii="Palatino Linotype" w:hAnsi="Palatino Linotype" w:cs="Arial"/>
          <w:b/>
          <w:sz w:val="24"/>
          <w:lang w:val="es-ES_tradnl"/>
        </w:rPr>
        <w:t>SOBRESEE</w:t>
      </w:r>
      <w:r w:rsidRPr="0024065B">
        <w:rPr>
          <w:rFonts w:ascii="Palatino Linotype" w:hAnsi="Palatino Linotype" w:cs="Arial"/>
          <w:sz w:val="24"/>
          <w:lang w:val="es-ES_tradnl"/>
        </w:rPr>
        <w:t xml:space="preserve"> el recurso de revisión número </w:t>
      </w:r>
      <w:r w:rsidR="0070552D" w:rsidRPr="0024065B">
        <w:rPr>
          <w:rFonts w:ascii="Palatino Linotype" w:hAnsi="Palatino Linotype" w:cs="Arial"/>
          <w:b/>
          <w:bCs/>
          <w:sz w:val="24"/>
          <w:lang w:eastAsia="es-MX"/>
        </w:rPr>
        <w:t>11525/INFOEM/ICR-41/IP/RR/2025</w:t>
      </w:r>
      <w:r w:rsidRPr="0024065B">
        <w:rPr>
          <w:rFonts w:ascii="Palatino Linotype" w:eastAsiaTheme="minorEastAsia" w:hAnsi="Palatino Linotype"/>
          <w:sz w:val="24"/>
          <w:lang w:val="es-ES_tradnl"/>
        </w:rPr>
        <w:t xml:space="preserve">, por improcedente en términos de los artículos 191, fracción I y 192, fracción IV, de la Ley de Transparencia y Acceso a la Información Pública del Estado de México y Municipios, y en términos del Considerando </w:t>
      </w:r>
      <w:r w:rsidRPr="0024065B">
        <w:rPr>
          <w:rFonts w:ascii="Palatino Linotype" w:eastAsiaTheme="minorEastAsia" w:hAnsi="Palatino Linotype"/>
          <w:b/>
          <w:sz w:val="24"/>
          <w:lang w:val="es-ES_tradnl"/>
        </w:rPr>
        <w:t>TERCERO</w:t>
      </w:r>
      <w:r w:rsidRPr="0024065B">
        <w:rPr>
          <w:rFonts w:ascii="Palatino Linotype" w:eastAsiaTheme="minorEastAsia" w:hAnsi="Palatino Linotype"/>
          <w:sz w:val="24"/>
          <w:lang w:val="es-ES_tradnl"/>
        </w:rPr>
        <w:t xml:space="preserve"> de la presente resolución.</w:t>
      </w:r>
    </w:p>
    <w:p w14:paraId="2CF6B28C" w14:textId="77777777" w:rsidR="00F231B7" w:rsidRPr="0024065B" w:rsidRDefault="00F231B7" w:rsidP="00F231B7">
      <w:pPr>
        <w:spacing w:line="360" w:lineRule="auto"/>
        <w:jc w:val="both"/>
        <w:rPr>
          <w:rFonts w:ascii="Palatino Linotype" w:eastAsiaTheme="minorEastAsia" w:hAnsi="Palatino Linotype"/>
          <w:lang w:val="es-ES_tradnl"/>
        </w:rPr>
      </w:pPr>
    </w:p>
    <w:p w14:paraId="0F2C655E" w14:textId="77777777" w:rsidR="00F231B7" w:rsidRPr="0024065B" w:rsidRDefault="00F231B7" w:rsidP="00F231B7">
      <w:pPr>
        <w:spacing w:line="360" w:lineRule="auto"/>
        <w:jc w:val="both"/>
        <w:rPr>
          <w:rFonts w:ascii="Palatino Linotype" w:hAnsi="Palatino Linotype"/>
          <w:sz w:val="24"/>
        </w:rPr>
      </w:pPr>
      <w:r w:rsidRPr="0024065B">
        <w:rPr>
          <w:rFonts w:ascii="Palatino Linotype" w:hAnsi="Palatino Linotype"/>
          <w:b/>
          <w:sz w:val="28"/>
        </w:rPr>
        <w:t>SEGUNDO.</w:t>
      </w:r>
      <w:r w:rsidRPr="0024065B">
        <w:rPr>
          <w:rFonts w:ascii="Palatino Linotype" w:hAnsi="Palatino Linotype" w:cs="Arial"/>
          <w:sz w:val="28"/>
        </w:rPr>
        <w:t xml:space="preserve"> </w:t>
      </w:r>
      <w:r w:rsidRPr="0024065B">
        <w:rPr>
          <w:rFonts w:ascii="Palatino Linotype" w:hAnsi="Palatino Linotype"/>
          <w:b/>
          <w:sz w:val="24"/>
        </w:rPr>
        <w:t>NOTIFÍQUESE</w:t>
      </w:r>
      <w:r w:rsidRPr="0024065B">
        <w:rPr>
          <w:rFonts w:ascii="Palatino Linotype" w:hAnsi="Palatino Linotype"/>
          <w:sz w:val="24"/>
        </w:rPr>
        <w:t xml:space="preserve"> vía Sistema de Acceso a la Información Mexiquense </w:t>
      </w:r>
      <w:r w:rsidRPr="0024065B">
        <w:rPr>
          <w:rFonts w:ascii="Palatino Linotype" w:hAnsi="Palatino Linotype"/>
          <w:b/>
          <w:sz w:val="24"/>
        </w:rPr>
        <w:t>(SAIMEX)</w:t>
      </w:r>
      <w:r w:rsidRPr="0024065B">
        <w:rPr>
          <w:rFonts w:ascii="Palatino Linotype" w:hAnsi="Palatino Linotype"/>
          <w:sz w:val="24"/>
        </w:rPr>
        <w:t xml:space="preserve">, la presente resolución al Titular de la Unidad de Transparencia del </w:t>
      </w:r>
      <w:r w:rsidRPr="0024065B">
        <w:rPr>
          <w:rFonts w:ascii="Palatino Linotype" w:hAnsi="Palatino Linotype"/>
          <w:b/>
          <w:sz w:val="24"/>
        </w:rPr>
        <w:t>Sujeto Obligado</w:t>
      </w:r>
      <w:r w:rsidRPr="0024065B">
        <w:rPr>
          <w:rFonts w:ascii="Palatino Linotype" w:hAnsi="Palatino Linotype"/>
          <w:sz w:val="24"/>
        </w:rPr>
        <w:t>.</w:t>
      </w:r>
    </w:p>
    <w:p w14:paraId="35397A70" w14:textId="77777777" w:rsidR="00F231B7" w:rsidRPr="0024065B" w:rsidRDefault="00F231B7" w:rsidP="00F231B7">
      <w:pPr>
        <w:spacing w:line="360" w:lineRule="auto"/>
        <w:jc w:val="both"/>
        <w:rPr>
          <w:rFonts w:ascii="Palatino Linotype" w:hAnsi="Palatino Linotype"/>
        </w:rPr>
      </w:pPr>
    </w:p>
    <w:p w14:paraId="791AEE1E" w14:textId="77777777" w:rsidR="00F231B7" w:rsidRPr="0024065B" w:rsidRDefault="00F231B7" w:rsidP="00F231B7">
      <w:pPr>
        <w:spacing w:line="360" w:lineRule="auto"/>
        <w:jc w:val="both"/>
        <w:rPr>
          <w:rFonts w:ascii="Palatino Linotype" w:hAnsi="Palatino Linotype"/>
        </w:rPr>
      </w:pPr>
      <w:r w:rsidRPr="0024065B">
        <w:rPr>
          <w:rFonts w:ascii="Palatino Linotype" w:hAnsi="Palatino Linotype" w:cs="Arial"/>
          <w:b/>
          <w:sz w:val="28"/>
        </w:rPr>
        <w:t xml:space="preserve">TERCERO. </w:t>
      </w:r>
      <w:r w:rsidRPr="0024065B">
        <w:rPr>
          <w:rFonts w:ascii="Palatino Linotype" w:hAnsi="Palatino Linotype"/>
          <w:b/>
          <w:sz w:val="24"/>
        </w:rPr>
        <w:t>NOTIFÍQUESE</w:t>
      </w:r>
      <w:r w:rsidRPr="0024065B">
        <w:rPr>
          <w:rFonts w:ascii="Palatino Linotype" w:hAnsi="Palatino Linotype"/>
          <w:sz w:val="24"/>
        </w:rPr>
        <w:t xml:space="preserve"> al </w:t>
      </w:r>
      <w:r w:rsidRPr="0024065B">
        <w:rPr>
          <w:rFonts w:ascii="Palatino Linotype" w:hAnsi="Palatino Linotype"/>
          <w:b/>
          <w:sz w:val="24"/>
        </w:rPr>
        <w:t xml:space="preserve">Recurrente </w:t>
      </w:r>
      <w:r w:rsidRPr="0024065B">
        <w:rPr>
          <w:rFonts w:ascii="Palatino Linotype" w:hAnsi="Palatino Linotype"/>
          <w:sz w:val="24"/>
        </w:rPr>
        <w:t xml:space="preserve">la presente resolución vía Sistema de Acceso a la Información Mexiquense </w:t>
      </w:r>
      <w:r w:rsidRPr="0024065B">
        <w:rPr>
          <w:rFonts w:ascii="Palatino Linotype" w:hAnsi="Palatino Linotype"/>
          <w:b/>
          <w:sz w:val="24"/>
        </w:rPr>
        <w:t>(SAIMEX)</w:t>
      </w:r>
      <w:r w:rsidRPr="0024065B">
        <w:rPr>
          <w:rFonts w:ascii="Palatino Linotype" w:hAnsi="Palatino Linotype"/>
          <w:sz w:val="24"/>
        </w:rPr>
        <w:t xml:space="preserve">, y </w:t>
      </w:r>
      <w:r w:rsidRPr="0024065B">
        <w:rPr>
          <w:rFonts w:ascii="Palatino Linotype" w:hAnsi="Palatino Linotype" w:cs="Arial"/>
          <w:sz w:val="24"/>
        </w:rPr>
        <w:t>hágase</w:t>
      </w:r>
      <w:r w:rsidRPr="0024065B">
        <w:rPr>
          <w:rFonts w:ascii="Palatino Linotype" w:hAnsi="Palatino Linotype"/>
          <w:sz w:val="24"/>
        </w:rPr>
        <w:t xml:space="preserve"> de su conocimiento que en </w:t>
      </w:r>
      <w:r w:rsidRPr="0024065B">
        <w:rPr>
          <w:rFonts w:ascii="Palatino Linotype" w:hAnsi="Palatino Linotype"/>
          <w:sz w:val="24"/>
        </w:rPr>
        <w:lastRenderedPageBreak/>
        <w:t>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418FB39" w14:textId="77777777" w:rsidR="00F231B7" w:rsidRPr="0024065B" w:rsidRDefault="00F231B7" w:rsidP="002F42A5">
      <w:pPr>
        <w:autoSpaceDE w:val="0"/>
        <w:autoSpaceDN w:val="0"/>
        <w:adjustRightInd w:val="0"/>
        <w:spacing w:after="0" w:line="360" w:lineRule="auto"/>
        <w:ind w:right="49"/>
        <w:jc w:val="both"/>
        <w:rPr>
          <w:rFonts w:ascii="Palatino Linotype" w:eastAsia="Palatino Linotype" w:hAnsi="Palatino Linotype"/>
          <w:b/>
          <w:sz w:val="28"/>
          <w:szCs w:val="28"/>
        </w:rPr>
      </w:pPr>
    </w:p>
    <w:p w14:paraId="60275A4D" w14:textId="77777777" w:rsidR="00F231B7" w:rsidRPr="0024065B" w:rsidRDefault="00F231B7" w:rsidP="002F42A5">
      <w:pPr>
        <w:autoSpaceDE w:val="0"/>
        <w:autoSpaceDN w:val="0"/>
        <w:adjustRightInd w:val="0"/>
        <w:spacing w:after="0" w:line="360" w:lineRule="auto"/>
        <w:ind w:right="49"/>
        <w:jc w:val="both"/>
        <w:rPr>
          <w:rFonts w:ascii="Palatino Linotype" w:hAnsi="Palatino Linotype" w:cs="Arial"/>
          <w:sz w:val="24"/>
          <w:szCs w:val="24"/>
          <w:lang w:val="es-ES"/>
        </w:rPr>
      </w:pPr>
    </w:p>
    <w:p w14:paraId="45D041C1" w14:textId="43F3565D"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ASÍ LO RESUELVE, POR UNANIMIDAD DE VOTOS EL PLENO DEL</w:t>
      </w:r>
      <w:r w:rsidRPr="0024065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065B">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8299E" w:rsidRPr="0024065B">
        <w:rPr>
          <w:rFonts w:ascii="Palatino Linotype" w:hAnsi="Palatino Linotype" w:cs="Arial"/>
          <w:sz w:val="24"/>
          <w:szCs w:val="24"/>
        </w:rPr>
        <w:t>SÉPTIMA</w:t>
      </w:r>
      <w:r w:rsidRPr="0024065B">
        <w:rPr>
          <w:rFonts w:ascii="Palatino Linotype" w:hAnsi="Palatino Linotype" w:cs="Arial"/>
          <w:sz w:val="24"/>
          <w:szCs w:val="24"/>
        </w:rPr>
        <w:t xml:space="preserve"> SESIÓN ORDINARIA CELEBRADA EL </w:t>
      </w:r>
      <w:r w:rsidR="0078299E" w:rsidRPr="0024065B">
        <w:rPr>
          <w:rFonts w:ascii="Palatino Linotype" w:hAnsi="Palatino Linotype" w:cs="Arial"/>
          <w:sz w:val="24"/>
          <w:szCs w:val="24"/>
        </w:rPr>
        <w:t>VEINTICINCO DE</w:t>
      </w:r>
      <w:r w:rsidR="0017450A" w:rsidRPr="0024065B">
        <w:rPr>
          <w:rFonts w:ascii="Palatino Linotype" w:hAnsi="Palatino Linotype" w:cs="Arial"/>
          <w:sz w:val="24"/>
          <w:szCs w:val="24"/>
        </w:rPr>
        <w:t xml:space="preserve"> FEBRERO DE DOS MIL VEINTISÉIS</w:t>
      </w:r>
      <w:r w:rsidRPr="0024065B">
        <w:rPr>
          <w:rFonts w:ascii="Palatino Linotype" w:hAnsi="Palatino Linotype" w:cs="Arial"/>
          <w:sz w:val="24"/>
          <w:szCs w:val="24"/>
        </w:rPr>
        <w:t>, ANTE EL SECRETARIO TÉCNICO DEL PLENO, ALEXIS TAPIA RAMÍREZ. ----------------------------------------------------------------------------</w:t>
      </w:r>
      <w:r w:rsidR="0017450A" w:rsidRPr="0024065B">
        <w:rPr>
          <w:rFonts w:ascii="Palatino Linotype" w:hAnsi="Palatino Linotype" w:cs="Arial"/>
          <w:sz w:val="24"/>
          <w:szCs w:val="24"/>
        </w:rPr>
        <w:t>------------</w:t>
      </w:r>
    </w:p>
    <w:p w14:paraId="61777143"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3E41039D"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5F346391"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77DCA117"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661CF361"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7FB1AC2C"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5E270F51" w14:textId="77777777" w:rsidR="002F42A5" w:rsidRPr="0024065B" w:rsidRDefault="002F42A5" w:rsidP="002F42A5">
      <w:pPr>
        <w:spacing w:after="0" w:line="360" w:lineRule="auto"/>
        <w:jc w:val="both"/>
        <w:rPr>
          <w:rFonts w:ascii="Palatino Linotype" w:hAnsi="Palatino Linotype" w:cs="Arial"/>
          <w:sz w:val="24"/>
          <w:szCs w:val="24"/>
        </w:rPr>
      </w:pPr>
      <w:r w:rsidRPr="0024065B">
        <w:rPr>
          <w:rFonts w:ascii="Palatino Linotype" w:hAnsi="Palatino Linotype" w:cs="Arial"/>
          <w:sz w:val="24"/>
          <w:szCs w:val="24"/>
        </w:rPr>
        <w:t>-----------------------------------------------------------------------------------------------------------------</w:t>
      </w:r>
    </w:p>
    <w:p w14:paraId="1B836FAB" w14:textId="6B758EAD" w:rsidR="002F42A5" w:rsidRPr="005323D1" w:rsidRDefault="002F42A5" w:rsidP="002F42A5">
      <w:pPr>
        <w:spacing w:after="0" w:line="360" w:lineRule="auto"/>
        <w:jc w:val="both"/>
        <w:rPr>
          <w:rFonts w:ascii="Palatino Linotype" w:hAnsi="Palatino Linotype" w:cs="Arial"/>
          <w:sz w:val="20"/>
        </w:rPr>
      </w:pPr>
      <w:r w:rsidRPr="0024065B">
        <w:rPr>
          <w:rFonts w:ascii="Palatino Linotype" w:hAnsi="Palatino Linotype" w:cs="Arial"/>
          <w:sz w:val="20"/>
        </w:rPr>
        <w:t>CCR/</w:t>
      </w:r>
      <w:r w:rsidR="0017450A" w:rsidRPr="0024065B">
        <w:rPr>
          <w:rFonts w:ascii="Palatino Linotype" w:hAnsi="Palatino Linotype" w:cs="Arial"/>
          <w:sz w:val="20"/>
        </w:rPr>
        <w:t>LMST</w:t>
      </w:r>
    </w:p>
    <w:p w14:paraId="1C5FB369" w14:textId="77777777" w:rsidR="002F42A5" w:rsidRDefault="002F42A5" w:rsidP="002F42A5">
      <w:pPr>
        <w:spacing w:after="0" w:line="360" w:lineRule="auto"/>
        <w:jc w:val="both"/>
        <w:rPr>
          <w:rFonts w:ascii="Palatino Linotype" w:hAnsi="Palatino Linotype" w:cs="Arial"/>
          <w:sz w:val="24"/>
          <w:szCs w:val="24"/>
        </w:rPr>
      </w:pPr>
    </w:p>
    <w:p w14:paraId="1E729724" w14:textId="77777777" w:rsidR="002F42A5" w:rsidRDefault="002F42A5" w:rsidP="002F42A5">
      <w:pPr>
        <w:spacing w:after="0" w:line="360" w:lineRule="auto"/>
        <w:jc w:val="both"/>
        <w:rPr>
          <w:rFonts w:ascii="Palatino Linotype" w:hAnsi="Palatino Linotype" w:cs="Arial"/>
          <w:sz w:val="24"/>
          <w:szCs w:val="24"/>
        </w:rPr>
      </w:pPr>
    </w:p>
    <w:p w14:paraId="2D1D0B4F" w14:textId="77777777" w:rsidR="002F42A5" w:rsidRDefault="002F42A5" w:rsidP="002F42A5">
      <w:pPr>
        <w:spacing w:after="0" w:line="360" w:lineRule="auto"/>
        <w:jc w:val="both"/>
        <w:rPr>
          <w:rFonts w:ascii="Palatino Linotype" w:hAnsi="Palatino Linotype" w:cs="Arial"/>
          <w:sz w:val="24"/>
          <w:szCs w:val="24"/>
        </w:rPr>
      </w:pPr>
    </w:p>
    <w:p w14:paraId="4E479743" w14:textId="77777777" w:rsidR="002F42A5" w:rsidRDefault="002F42A5" w:rsidP="002F42A5">
      <w:pPr>
        <w:spacing w:after="0"/>
      </w:pPr>
    </w:p>
    <w:p w14:paraId="2B82BCB5" w14:textId="77777777" w:rsidR="002F42A5" w:rsidRDefault="002F42A5" w:rsidP="002F42A5">
      <w:pPr>
        <w:spacing w:after="0"/>
      </w:pPr>
    </w:p>
    <w:p w14:paraId="518E3DA6" w14:textId="77777777" w:rsidR="002F42A5" w:rsidRDefault="002F42A5" w:rsidP="002F42A5">
      <w:pPr>
        <w:spacing w:after="0"/>
      </w:pPr>
    </w:p>
    <w:p w14:paraId="58DFF799" w14:textId="77777777" w:rsidR="002F42A5" w:rsidRDefault="002F42A5" w:rsidP="002F42A5">
      <w:pPr>
        <w:spacing w:after="0"/>
      </w:pPr>
    </w:p>
    <w:p w14:paraId="232A90CF" w14:textId="77777777" w:rsidR="002F42A5" w:rsidRDefault="002F42A5" w:rsidP="002F42A5">
      <w:pPr>
        <w:spacing w:after="0"/>
      </w:pPr>
    </w:p>
    <w:p w14:paraId="33022214" w14:textId="77777777" w:rsidR="002F42A5" w:rsidRDefault="002F42A5" w:rsidP="002F42A5">
      <w:pPr>
        <w:spacing w:after="0"/>
      </w:pPr>
    </w:p>
    <w:p w14:paraId="73E21AAD" w14:textId="77777777" w:rsidR="002F42A5" w:rsidRDefault="002F42A5" w:rsidP="002F42A5">
      <w:pPr>
        <w:spacing w:after="0"/>
      </w:pPr>
    </w:p>
    <w:p w14:paraId="44264EA4" w14:textId="77777777" w:rsidR="002F42A5" w:rsidRDefault="002F42A5" w:rsidP="002F42A5">
      <w:pPr>
        <w:spacing w:after="0"/>
      </w:pPr>
    </w:p>
    <w:p w14:paraId="0CA3C3B8" w14:textId="77777777" w:rsidR="002F42A5" w:rsidRDefault="002F42A5" w:rsidP="002F42A5">
      <w:pPr>
        <w:spacing w:after="0"/>
      </w:pPr>
    </w:p>
    <w:p w14:paraId="01983108" w14:textId="77777777" w:rsidR="002F42A5" w:rsidRDefault="002F42A5" w:rsidP="002F42A5">
      <w:pPr>
        <w:spacing w:after="0"/>
      </w:pPr>
    </w:p>
    <w:p w14:paraId="469DA273" w14:textId="77777777" w:rsidR="002F42A5" w:rsidRDefault="002F42A5" w:rsidP="002F42A5">
      <w:pPr>
        <w:spacing w:after="0"/>
      </w:pPr>
    </w:p>
    <w:p w14:paraId="286DE581" w14:textId="77777777" w:rsidR="002F42A5" w:rsidRDefault="002F42A5" w:rsidP="002F42A5">
      <w:pPr>
        <w:spacing w:after="0"/>
      </w:pPr>
    </w:p>
    <w:p w14:paraId="1B0A4EFF" w14:textId="77777777" w:rsidR="002F42A5" w:rsidRDefault="002F42A5" w:rsidP="002F42A5">
      <w:pPr>
        <w:spacing w:after="0"/>
      </w:pPr>
    </w:p>
    <w:p w14:paraId="75854AE6" w14:textId="77777777" w:rsidR="002F42A5" w:rsidRDefault="002F42A5" w:rsidP="002F42A5"/>
    <w:p w14:paraId="15975796" w14:textId="77777777" w:rsidR="002F42A5" w:rsidRDefault="002F42A5" w:rsidP="002F42A5"/>
    <w:p w14:paraId="6A07DD0C" w14:textId="77777777" w:rsidR="009F6C77" w:rsidRDefault="009F6C77"/>
    <w:sectPr w:rsidR="009F6C77" w:rsidSect="00AF62D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26A43" w14:textId="77777777" w:rsidR="00302A0C" w:rsidRDefault="00302A0C" w:rsidP="002F42A5">
      <w:pPr>
        <w:spacing w:after="0" w:line="240" w:lineRule="auto"/>
      </w:pPr>
      <w:r>
        <w:separator/>
      </w:r>
    </w:p>
  </w:endnote>
  <w:endnote w:type="continuationSeparator" w:id="0">
    <w:p w14:paraId="24454A13" w14:textId="77777777" w:rsidR="00302A0C" w:rsidRDefault="00302A0C" w:rsidP="002F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B5598D8" w14:textId="77777777" w:rsidR="0031447E" w:rsidRPr="002D6DD8" w:rsidRDefault="0031447E" w:rsidP="00C72D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12C">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512C">
              <w:rPr>
                <w:rFonts w:ascii="Palatino Linotype" w:hAnsi="Palatino Linotype"/>
                <w:bCs/>
                <w:noProof/>
                <w:sz w:val="20"/>
              </w:rPr>
              <w:t>21</w:t>
            </w:r>
            <w:r>
              <w:rPr>
                <w:rFonts w:ascii="Palatino Linotype" w:hAnsi="Palatino Linotype"/>
                <w:bCs/>
                <w:noProof/>
                <w:sz w:val="20"/>
              </w:rPr>
              <w:fldChar w:fldCharType="end"/>
            </w:r>
          </w:p>
        </w:sdtContent>
      </w:sdt>
    </w:sdtContent>
  </w:sdt>
  <w:p w14:paraId="3DD55F26" w14:textId="77777777" w:rsidR="0031447E" w:rsidRDefault="003144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315B9" w14:textId="77777777" w:rsidR="0031447E" w:rsidRPr="000B69FA" w:rsidRDefault="0031447E" w:rsidP="00C72D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1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512C">
      <w:rPr>
        <w:rFonts w:ascii="Palatino Linotype" w:hAnsi="Palatino Linotype"/>
        <w:bCs/>
        <w:noProof/>
        <w:sz w:val="20"/>
      </w:rPr>
      <w:t>21</w:t>
    </w:r>
    <w:r>
      <w:rPr>
        <w:rFonts w:ascii="Palatino Linotype" w:hAnsi="Palatino Linotype"/>
        <w:bCs/>
        <w:noProof/>
        <w:sz w:val="20"/>
      </w:rPr>
      <w:fldChar w:fldCharType="end"/>
    </w:r>
  </w:p>
  <w:p w14:paraId="41D51B8B" w14:textId="77777777" w:rsidR="0031447E" w:rsidRDefault="003144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3B41E" w14:textId="77777777" w:rsidR="00302A0C" w:rsidRDefault="00302A0C" w:rsidP="002F42A5">
      <w:pPr>
        <w:spacing w:after="0" w:line="240" w:lineRule="auto"/>
      </w:pPr>
      <w:r>
        <w:separator/>
      </w:r>
    </w:p>
  </w:footnote>
  <w:footnote w:type="continuationSeparator" w:id="0">
    <w:p w14:paraId="02970BCF" w14:textId="77777777" w:rsidR="00302A0C" w:rsidRDefault="00302A0C" w:rsidP="002F42A5">
      <w:pPr>
        <w:spacing w:after="0" w:line="240" w:lineRule="auto"/>
      </w:pPr>
      <w:r>
        <w:continuationSeparator/>
      </w:r>
    </w:p>
  </w:footnote>
  <w:footnote w:id="1">
    <w:p w14:paraId="1C77448A" w14:textId="77777777" w:rsidR="0031447E" w:rsidRPr="009535FD" w:rsidRDefault="0031447E" w:rsidP="002F42A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68D1815" w14:textId="77777777" w:rsidR="0031447E" w:rsidRPr="009535FD" w:rsidRDefault="0031447E" w:rsidP="002F42A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31447E" w14:paraId="4750D72B" w14:textId="77777777" w:rsidTr="00C72DF6">
      <w:trPr>
        <w:trHeight w:val="227"/>
      </w:trPr>
      <w:tc>
        <w:tcPr>
          <w:tcW w:w="4820" w:type="dxa"/>
          <w:hideMark/>
        </w:tcPr>
        <w:p w14:paraId="4A2EA98C" w14:textId="77777777" w:rsidR="0031447E" w:rsidRPr="00641471" w:rsidRDefault="0031447E" w:rsidP="00C72D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B2B4DB3" w14:textId="4142BE49" w:rsidR="0031447E" w:rsidRPr="00641471" w:rsidRDefault="0070552D" w:rsidP="0077712A">
          <w:pPr>
            <w:spacing w:after="120" w:line="256" w:lineRule="auto"/>
            <w:ind w:left="-486" w:right="214" w:firstLine="557"/>
            <w:jc w:val="right"/>
            <w:rPr>
              <w:rFonts w:ascii="Palatino Linotype" w:hAnsi="Palatino Linotype" w:cs="Arial"/>
              <w:b/>
              <w:szCs w:val="20"/>
            </w:rPr>
          </w:pPr>
          <w:r w:rsidRPr="0070552D">
            <w:rPr>
              <w:rFonts w:ascii="Palatino Linotype" w:hAnsi="Palatino Linotype" w:cs="Arial"/>
              <w:b/>
              <w:bCs/>
              <w:sz w:val="24"/>
              <w:lang w:eastAsia="es-MX"/>
            </w:rPr>
            <w:t>11525/INFOEM/ICR-41/IP/RR/2025</w:t>
          </w:r>
        </w:p>
      </w:tc>
    </w:tr>
    <w:tr w:rsidR="0031447E" w14:paraId="42BC783F" w14:textId="77777777" w:rsidTr="00C72DF6">
      <w:trPr>
        <w:trHeight w:val="242"/>
      </w:trPr>
      <w:tc>
        <w:tcPr>
          <w:tcW w:w="4820" w:type="dxa"/>
          <w:hideMark/>
        </w:tcPr>
        <w:p w14:paraId="035B724E" w14:textId="77777777" w:rsidR="0031447E" w:rsidRPr="00641471" w:rsidRDefault="0031447E" w:rsidP="00C72D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63CBA1B" w14:textId="76CD68DA" w:rsidR="0031447E" w:rsidRPr="00641471" w:rsidRDefault="0031447E" w:rsidP="00C72DF6">
          <w:pPr>
            <w:spacing w:after="120" w:line="256" w:lineRule="auto"/>
            <w:ind w:left="-486" w:right="214" w:firstLine="284"/>
            <w:jc w:val="right"/>
            <w:rPr>
              <w:rFonts w:ascii="Palatino Linotype" w:hAnsi="Palatino Linotype" w:cs="Arial"/>
              <w:b/>
              <w:szCs w:val="20"/>
            </w:rPr>
          </w:pPr>
          <w:r w:rsidRPr="00C72DF6">
            <w:rPr>
              <w:rFonts w:ascii="Palatino Linotype" w:hAnsi="Palatino Linotype"/>
              <w:b/>
              <w:bCs/>
              <w:color w:val="000000"/>
              <w:sz w:val="24"/>
              <w:szCs w:val="24"/>
            </w:rPr>
            <w:t>Ayuntamiento de Tepotzotlán</w:t>
          </w:r>
        </w:p>
      </w:tc>
    </w:tr>
    <w:tr w:rsidR="0031447E" w14:paraId="6189C376" w14:textId="77777777" w:rsidTr="00C72DF6">
      <w:trPr>
        <w:trHeight w:val="342"/>
      </w:trPr>
      <w:tc>
        <w:tcPr>
          <w:tcW w:w="4820" w:type="dxa"/>
          <w:hideMark/>
        </w:tcPr>
        <w:p w14:paraId="535DEBF1" w14:textId="77777777" w:rsidR="0031447E" w:rsidRPr="00641471" w:rsidRDefault="0031447E" w:rsidP="00C72D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55315B56" w14:textId="77777777" w:rsidR="0031447E" w:rsidRPr="00641471" w:rsidRDefault="0031447E" w:rsidP="00C72D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D1C822B" w14:textId="77777777" w:rsidR="0031447E" w:rsidRPr="00AE046A" w:rsidRDefault="0031447E" w:rsidP="00C72D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6A2D87" wp14:editId="576186D5">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31447E" w14:paraId="274420B2" w14:textId="77777777" w:rsidTr="00C72DF6">
      <w:trPr>
        <w:trHeight w:val="227"/>
      </w:trPr>
      <w:tc>
        <w:tcPr>
          <w:tcW w:w="4679" w:type="dxa"/>
          <w:hideMark/>
        </w:tcPr>
        <w:p w14:paraId="274854F1" w14:textId="77777777" w:rsidR="0031447E" w:rsidRPr="00641471" w:rsidRDefault="0031447E" w:rsidP="00C72D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1CEF66B6" w14:textId="239D33AE" w:rsidR="0031447E" w:rsidRPr="00641471" w:rsidRDefault="0070552D" w:rsidP="0070552D">
          <w:pPr>
            <w:spacing w:after="120" w:line="256" w:lineRule="auto"/>
            <w:ind w:left="-486" w:right="214" w:firstLine="558"/>
            <w:jc w:val="right"/>
            <w:rPr>
              <w:rFonts w:ascii="Palatino Linotype" w:hAnsi="Palatino Linotype" w:cs="Arial"/>
              <w:b/>
              <w:szCs w:val="20"/>
            </w:rPr>
          </w:pPr>
          <w:r w:rsidRPr="0070552D">
            <w:rPr>
              <w:rFonts w:ascii="Palatino Linotype" w:hAnsi="Palatino Linotype" w:cs="Arial"/>
              <w:b/>
              <w:bCs/>
              <w:sz w:val="24"/>
              <w:lang w:eastAsia="es-MX"/>
            </w:rPr>
            <w:t>11525/INFOEM/ICR-41/IP/RR/2025</w:t>
          </w:r>
        </w:p>
      </w:tc>
    </w:tr>
    <w:tr w:rsidR="0031447E" w14:paraId="7395157E" w14:textId="77777777" w:rsidTr="00C72DF6">
      <w:trPr>
        <w:trHeight w:val="242"/>
      </w:trPr>
      <w:tc>
        <w:tcPr>
          <w:tcW w:w="4679" w:type="dxa"/>
          <w:hideMark/>
        </w:tcPr>
        <w:p w14:paraId="7BA71890" w14:textId="77777777" w:rsidR="0031447E" w:rsidRPr="00641471" w:rsidRDefault="0031447E" w:rsidP="00C72D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54664C97" w14:textId="5C0BB3E5" w:rsidR="0031447E" w:rsidRPr="00C72DF6" w:rsidRDefault="0031447E" w:rsidP="001C6174">
          <w:pPr>
            <w:spacing w:after="120" w:line="256" w:lineRule="auto"/>
            <w:ind w:left="-486" w:right="214" w:firstLine="284"/>
            <w:jc w:val="right"/>
            <w:rPr>
              <w:rFonts w:ascii="Palatino Linotype" w:hAnsi="Palatino Linotype" w:cs="Arial"/>
              <w:b/>
              <w:sz w:val="24"/>
              <w:szCs w:val="24"/>
            </w:rPr>
          </w:pPr>
          <w:r w:rsidRPr="00C72DF6">
            <w:rPr>
              <w:rFonts w:ascii="Palatino Linotype" w:hAnsi="Palatino Linotype"/>
              <w:b/>
              <w:bCs/>
              <w:color w:val="000000"/>
              <w:sz w:val="24"/>
              <w:szCs w:val="24"/>
            </w:rPr>
            <w:t>Ayuntamiento de Tepotzotlán</w:t>
          </w:r>
        </w:p>
      </w:tc>
    </w:tr>
    <w:tr w:rsidR="0031447E" w14:paraId="69C87992" w14:textId="77777777" w:rsidTr="00C72DF6">
      <w:trPr>
        <w:trHeight w:val="342"/>
      </w:trPr>
      <w:tc>
        <w:tcPr>
          <w:tcW w:w="4679" w:type="dxa"/>
        </w:tcPr>
        <w:p w14:paraId="39667E68" w14:textId="77777777" w:rsidR="0031447E" w:rsidRPr="00641471" w:rsidRDefault="0031447E" w:rsidP="00C72D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2C0C2A88" w14:textId="2549E5D4" w:rsidR="0031447E" w:rsidRPr="00641471" w:rsidRDefault="0044512C" w:rsidP="00C72DF6">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31447E" w14:paraId="16428BE6" w14:textId="77777777" w:rsidTr="00C72DF6">
      <w:trPr>
        <w:trHeight w:val="342"/>
      </w:trPr>
      <w:tc>
        <w:tcPr>
          <w:tcW w:w="4679" w:type="dxa"/>
        </w:tcPr>
        <w:p w14:paraId="4AECD1E5" w14:textId="77777777" w:rsidR="0031447E" w:rsidRPr="00641471" w:rsidRDefault="0031447E" w:rsidP="00C72D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7A3D21B1" w14:textId="77777777" w:rsidR="0031447E" w:rsidRPr="00641471" w:rsidRDefault="0031447E" w:rsidP="00C72D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FDAF21" w14:textId="77777777" w:rsidR="0031447E" w:rsidRPr="00C222C0" w:rsidRDefault="0031447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37E7DB5" wp14:editId="36A96AE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862"/>
    <w:multiLevelType w:val="hybridMultilevel"/>
    <w:tmpl w:val="04D00A92"/>
    <w:lvl w:ilvl="0" w:tplc="2B2A5A0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806168"/>
    <w:multiLevelType w:val="hybridMultilevel"/>
    <w:tmpl w:val="907C8270"/>
    <w:lvl w:ilvl="0" w:tplc="64185D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5" w15:restartNumberingAfterBreak="0">
    <w:nsid w:val="25375C73"/>
    <w:multiLevelType w:val="hybridMultilevel"/>
    <w:tmpl w:val="29622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FB024F"/>
    <w:multiLevelType w:val="hybridMultilevel"/>
    <w:tmpl w:val="9C362F16"/>
    <w:lvl w:ilvl="0" w:tplc="760E68F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D63DDB"/>
    <w:multiLevelType w:val="hybridMultilevel"/>
    <w:tmpl w:val="80DE2D02"/>
    <w:lvl w:ilvl="0" w:tplc="A238EE1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0" w15:restartNumberingAfterBreak="0">
    <w:nsid w:val="5A646A67"/>
    <w:multiLevelType w:val="hybridMultilevel"/>
    <w:tmpl w:val="55FC2AEA"/>
    <w:lvl w:ilvl="0" w:tplc="B78E675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6A2C51"/>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12"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836CB6"/>
    <w:multiLevelType w:val="hybridMultilevel"/>
    <w:tmpl w:val="EF4CE4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D4034"/>
    <w:multiLevelType w:val="hybridMultilevel"/>
    <w:tmpl w:val="FD904A48"/>
    <w:lvl w:ilvl="0" w:tplc="D0EA2280">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2"/>
  </w:num>
  <w:num w:numId="6">
    <w:abstractNumId w:val="13"/>
  </w:num>
  <w:num w:numId="7">
    <w:abstractNumId w:val="14"/>
  </w:num>
  <w:num w:numId="8">
    <w:abstractNumId w:val="9"/>
  </w:num>
  <w:num w:numId="9">
    <w:abstractNumId w:val="6"/>
  </w:num>
  <w:num w:numId="10">
    <w:abstractNumId w:val="0"/>
  </w:num>
  <w:num w:numId="11">
    <w:abstractNumId w:val="5"/>
  </w:num>
  <w:num w:numId="12">
    <w:abstractNumId w:val="7"/>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A5"/>
    <w:rsid w:val="00005A36"/>
    <w:rsid w:val="000401D8"/>
    <w:rsid w:val="0004050A"/>
    <w:rsid w:val="000A6754"/>
    <w:rsid w:val="000A7D9E"/>
    <w:rsid w:val="000C5E3D"/>
    <w:rsid w:val="00111FE9"/>
    <w:rsid w:val="00131325"/>
    <w:rsid w:val="0017450A"/>
    <w:rsid w:val="001C6174"/>
    <w:rsid w:val="00215C28"/>
    <w:rsid w:val="0024065B"/>
    <w:rsid w:val="002521D6"/>
    <w:rsid w:val="0025633D"/>
    <w:rsid w:val="00266DB8"/>
    <w:rsid w:val="002F42A5"/>
    <w:rsid w:val="00302A0C"/>
    <w:rsid w:val="0031447E"/>
    <w:rsid w:val="0044512C"/>
    <w:rsid w:val="00460CAD"/>
    <w:rsid w:val="00467DE3"/>
    <w:rsid w:val="004E0538"/>
    <w:rsid w:val="00522F51"/>
    <w:rsid w:val="00553454"/>
    <w:rsid w:val="00584080"/>
    <w:rsid w:val="00604DC8"/>
    <w:rsid w:val="0060519A"/>
    <w:rsid w:val="00660829"/>
    <w:rsid w:val="006B1C16"/>
    <w:rsid w:val="0070552D"/>
    <w:rsid w:val="007108DB"/>
    <w:rsid w:val="0077712A"/>
    <w:rsid w:val="0078299E"/>
    <w:rsid w:val="008067C9"/>
    <w:rsid w:val="008F618A"/>
    <w:rsid w:val="009E5ADD"/>
    <w:rsid w:val="009F6C77"/>
    <w:rsid w:val="00A67C82"/>
    <w:rsid w:val="00A77CD6"/>
    <w:rsid w:val="00AF62D9"/>
    <w:rsid w:val="00B05597"/>
    <w:rsid w:val="00C17EC6"/>
    <w:rsid w:val="00C43E1C"/>
    <w:rsid w:val="00C72DF6"/>
    <w:rsid w:val="00CF025A"/>
    <w:rsid w:val="00D22D73"/>
    <w:rsid w:val="00D354BE"/>
    <w:rsid w:val="00D93604"/>
    <w:rsid w:val="00DA0B28"/>
    <w:rsid w:val="00DB58B4"/>
    <w:rsid w:val="00E46B14"/>
    <w:rsid w:val="00EB723D"/>
    <w:rsid w:val="00EF1A91"/>
    <w:rsid w:val="00F012EE"/>
    <w:rsid w:val="00F231B7"/>
    <w:rsid w:val="00F24071"/>
    <w:rsid w:val="00F35426"/>
    <w:rsid w:val="00FA2F7C"/>
    <w:rsid w:val="00FC4D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07A3C"/>
  <w15:chartTrackingRefBased/>
  <w15:docId w15:val="{B4033867-8FC5-450E-A304-50DDF7E7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A5"/>
  </w:style>
  <w:style w:type="paragraph" w:styleId="Ttulo2">
    <w:name w:val="heading 2"/>
    <w:aliases w:val="Subtítulos"/>
    <w:basedOn w:val="Normal"/>
    <w:next w:val="Normal"/>
    <w:link w:val="Ttulo2Car"/>
    <w:uiPriority w:val="9"/>
    <w:unhideWhenUsed/>
    <w:qFormat/>
    <w:rsid w:val="002F42A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2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42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42A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42A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42A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F42A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42A5"/>
  </w:style>
  <w:style w:type="character" w:styleId="Hipervnculo">
    <w:name w:val="Hyperlink"/>
    <w:aliases w:val="Hipervínculo1,Hipervínculo11,Hipervínculo12,Hipervínculo13,Hipervínculo14,Hipervínculo15"/>
    <w:basedOn w:val="Fuentedeprrafopredeter"/>
    <w:uiPriority w:val="99"/>
    <w:unhideWhenUsed/>
    <w:rsid w:val="002F42A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42A5"/>
    <w:rPr>
      <w:vertAlign w:val="superscript"/>
    </w:rPr>
  </w:style>
  <w:style w:type="character" w:customStyle="1" w:styleId="Ttulo2Car">
    <w:name w:val="Título 2 Car"/>
    <w:aliases w:val="Subtítulos Car"/>
    <w:basedOn w:val="Fuentedeprrafopredeter"/>
    <w:link w:val="Ttulo2"/>
    <w:uiPriority w:val="9"/>
    <w:rsid w:val="002F42A5"/>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2F42A5"/>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1FE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11FE9"/>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A67C82"/>
    <w:rPr>
      <w:color w:val="954F72" w:themeColor="followedHyperlink"/>
      <w:u w:val="single"/>
    </w:rPr>
  </w:style>
  <w:style w:type="character" w:styleId="Refdecomentario">
    <w:name w:val="annotation reference"/>
    <w:basedOn w:val="Fuentedeprrafopredeter"/>
    <w:uiPriority w:val="99"/>
    <w:semiHidden/>
    <w:unhideWhenUsed/>
    <w:rsid w:val="000401D8"/>
    <w:rPr>
      <w:sz w:val="16"/>
      <w:szCs w:val="16"/>
    </w:rPr>
  </w:style>
  <w:style w:type="paragraph" w:styleId="Textocomentario">
    <w:name w:val="annotation text"/>
    <w:basedOn w:val="Normal"/>
    <w:link w:val="TextocomentarioCar"/>
    <w:uiPriority w:val="99"/>
    <w:semiHidden/>
    <w:unhideWhenUsed/>
    <w:rsid w:val="000401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1D8"/>
    <w:rPr>
      <w:sz w:val="20"/>
      <w:szCs w:val="20"/>
    </w:rPr>
  </w:style>
  <w:style w:type="paragraph" w:styleId="Asuntodelcomentario">
    <w:name w:val="annotation subject"/>
    <w:basedOn w:val="Textocomentario"/>
    <w:next w:val="Textocomentario"/>
    <w:link w:val="AsuntodelcomentarioCar"/>
    <w:uiPriority w:val="99"/>
    <w:semiHidden/>
    <w:unhideWhenUsed/>
    <w:rsid w:val="000401D8"/>
    <w:rPr>
      <w:b/>
      <w:bCs/>
    </w:rPr>
  </w:style>
  <w:style w:type="character" w:customStyle="1" w:styleId="AsuntodelcomentarioCar">
    <w:name w:val="Asunto del comentario Car"/>
    <w:basedOn w:val="TextocomentarioCar"/>
    <w:link w:val="Asuntodelcomentario"/>
    <w:uiPriority w:val="99"/>
    <w:semiHidden/>
    <w:rsid w:val="000401D8"/>
    <w:rPr>
      <w:b/>
      <w:bCs/>
      <w:sz w:val="20"/>
      <w:szCs w:val="20"/>
    </w:rPr>
  </w:style>
  <w:style w:type="paragraph" w:styleId="Textoindependiente">
    <w:name w:val="Body Text"/>
    <w:basedOn w:val="Normal"/>
    <w:link w:val="TextoindependienteCar"/>
    <w:uiPriority w:val="1"/>
    <w:qFormat/>
    <w:rsid w:val="00F231B7"/>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F231B7"/>
    <w:rPr>
      <w:rFonts w:ascii="Palatino Linotype" w:eastAsia="Palatino Linotype" w:hAnsi="Palatino Linotype"/>
      <w:sz w:val="23"/>
      <w:szCs w:val="23"/>
    </w:rPr>
  </w:style>
  <w:style w:type="paragraph" w:customStyle="1" w:styleId="INFOEM">
    <w:name w:val="INFOEM"/>
    <w:basedOn w:val="Normal"/>
    <w:qFormat/>
    <w:rsid w:val="00FC4DB6"/>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21</Pages>
  <Words>4656</Words>
  <Characters>25613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2026-02-27T16:56:00Z</cp:lastPrinted>
  <dcterms:created xsi:type="dcterms:W3CDTF">2026-02-17T19:35:00Z</dcterms:created>
  <dcterms:modified xsi:type="dcterms:W3CDTF">2026-04-07T18:44:00Z</dcterms:modified>
</cp:coreProperties>
</file>