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3D41" w:rsidRDefault="004D6380">
      <w:pPr>
        <w:tabs>
          <w:tab w:val="left" w:pos="3465"/>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00925551">
        <w:rPr>
          <w:rFonts w:ascii="Palatino Linotype" w:eastAsia="Palatino Linotype" w:hAnsi="Palatino Linotype" w:cs="Palatino Linotype"/>
          <w:b/>
          <w:bCs/>
        </w:rPr>
        <w:t>fecha veintisiete</w:t>
      </w:r>
      <w:r w:rsidR="00B30840">
        <w:rPr>
          <w:rFonts w:ascii="Palatino Linotype" w:eastAsia="Palatino Linotype" w:hAnsi="Palatino Linotype" w:cs="Palatino Linotype"/>
          <w:b/>
          <w:bCs/>
        </w:rPr>
        <w:t xml:space="preserve"> (27)</w:t>
      </w:r>
      <w:r w:rsidR="00925551">
        <w:rPr>
          <w:rFonts w:ascii="Palatino Linotype" w:eastAsia="Palatino Linotype" w:hAnsi="Palatino Linotype" w:cs="Palatino Linotype"/>
          <w:b/>
          <w:bCs/>
        </w:rPr>
        <w:t xml:space="preserve"> </w:t>
      </w:r>
      <w:r>
        <w:rPr>
          <w:rFonts w:ascii="Palatino Linotype" w:eastAsia="Palatino Linotype" w:hAnsi="Palatino Linotype" w:cs="Palatino Linotype"/>
          <w:b/>
          <w:bCs/>
        </w:rPr>
        <w:t>de mayo de dos mil veintiséis.</w:t>
      </w:r>
    </w:p>
    <w:p w:rsidR="00913D41" w:rsidRDefault="00913D41">
      <w:pPr>
        <w:tabs>
          <w:tab w:val="left" w:pos="3465"/>
        </w:tabs>
        <w:spacing w:line="360" w:lineRule="auto"/>
        <w:ind w:right="-787"/>
        <w:jc w:val="both"/>
        <w:rPr>
          <w:rFonts w:ascii="Palatino Linotype" w:eastAsia="Palatino Linotype" w:hAnsi="Palatino Linotype" w:cs="Palatino Linotype"/>
        </w:rPr>
      </w:pPr>
    </w:p>
    <w:p w:rsidR="00913D41" w:rsidRDefault="004D6380">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13803/INFOEM/IP/RR/2025</w:t>
      </w:r>
      <w:r>
        <w:rPr>
          <w:rFonts w:ascii="Palatino Linotype" w:eastAsia="Palatino Linotype" w:hAnsi="Palatino Linotype" w:cs="Palatino Linotype"/>
          <w:color w:val="000000"/>
        </w:rPr>
        <w:t xml:space="preserve">, promovido por </w:t>
      </w:r>
      <w:r w:rsidR="000D1C32">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w:t>
      </w:r>
      <w:r>
        <w:rPr>
          <w:rFonts w:ascii="Palatino Linotype" w:eastAsia="Palatino Linotype" w:hAnsi="Palatino Linotype" w:cs="Palatino Linotype"/>
        </w:rPr>
        <w:t xml:space="preserve"> en lo sucesivo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w:t>
      </w:r>
      <w:r>
        <w:rPr>
          <w:rFonts w:ascii="Palatino Linotype" w:eastAsia="Palatino Linotype" w:hAnsi="Palatino Linotype" w:cs="Palatino Linotype"/>
          <w:b/>
          <w:bCs/>
        </w:rPr>
        <w:t>00190/HRZUM/IP/2025,</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Hospital Regional de Alta Especialidad de Zumpango,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se emite la presente resolución con base en los siguientes:  </w:t>
      </w:r>
    </w:p>
    <w:p w:rsidR="00913D41" w:rsidRDefault="00913D41">
      <w:pPr>
        <w:spacing w:line="360" w:lineRule="auto"/>
        <w:ind w:right="-787"/>
        <w:jc w:val="both"/>
        <w:rPr>
          <w:rFonts w:ascii="Palatino Linotype" w:eastAsia="Palatino Linotype" w:hAnsi="Palatino Linotype" w:cs="Palatino Linotype"/>
        </w:rPr>
      </w:pPr>
    </w:p>
    <w:p w:rsidR="00913D41" w:rsidRDefault="004D6380">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0" w:name="_heading=h.gjdgxs" w:colFirst="0" w:colLast="0"/>
      <w:bookmarkEnd w:id="0"/>
      <w:r>
        <w:rPr>
          <w:rFonts w:ascii="Palatino Linotype" w:eastAsia="Palatino Linotype" w:hAnsi="Palatino Linotype" w:cs="Palatino Linotype"/>
          <w:b/>
          <w:bCs/>
          <w:color w:val="000000"/>
          <w:sz w:val="24"/>
          <w:szCs w:val="24"/>
        </w:rPr>
        <w:t>A N T E C E D E N T E S</w:t>
      </w:r>
    </w:p>
    <w:p w:rsidR="00913D41" w:rsidRDefault="00913D41">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913D41" w:rsidRDefault="004D6380">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treinta y uno de octubre de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Pr>
          <w:rFonts w:ascii="Palatino Linotype" w:eastAsia="Palatino Linotype" w:hAnsi="Palatino Linotype" w:cs="Palatino Linotype"/>
          <w:b/>
          <w:bCs/>
          <w:color w:val="000000"/>
        </w:rPr>
        <w:t>solicitud de información pública</w:t>
      </w:r>
      <w:r>
        <w:rPr>
          <w:rFonts w:ascii="Palatino Linotype" w:eastAsia="Palatino Linotype" w:hAnsi="Palatino Linotype" w:cs="Palatino Linotype"/>
          <w:color w:val="000000"/>
        </w:rPr>
        <w:t>:</w:t>
      </w:r>
    </w:p>
    <w:p w:rsidR="00913D41" w:rsidRDefault="00913D41">
      <w:pPr>
        <w:pBdr>
          <w:top w:val="nil"/>
          <w:left w:val="nil"/>
          <w:bottom w:val="nil"/>
          <w:right w:val="nil"/>
          <w:between w:val="nil"/>
        </w:pBdr>
        <w:ind w:right="-788"/>
        <w:jc w:val="both"/>
        <w:rPr>
          <w:rFonts w:ascii="Palatino Linotype" w:eastAsia="Palatino Linotype" w:hAnsi="Palatino Linotype" w:cs="Palatino Linotype"/>
          <w:color w:val="000000"/>
        </w:rPr>
      </w:pPr>
    </w:p>
    <w:p w:rsidR="00913D41" w:rsidRDefault="004D6380">
      <w:pPr>
        <w:pBdr>
          <w:top w:val="nil"/>
          <w:left w:val="nil"/>
          <w:bottom w:val="nil"/>
          <w:right w:val="nil"/>
          <w:between w:val="nil"/>
        </w:pBdr>
        <w:ind w:left="426"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“Proporcionar de</w:t>
      </w:r>
      <w:bookmarkStart w:id="1" w:name="_GoBack"/>
      <w:bookmarkEnd w:id="1"/>
      <w:r>
        <w:rPr>
          <w:rFonts w:ascii="Palatino Linotype" w:eastAsia="Palatino Linotype" w:hAnsi="Palatino Linotype" w:cs="Palatino Linotype"/>
          <w:i/>
          <w:iCs/>
          <w:color w:val="000000"/>
        </w:rPr>
        <w:t xml:space="preserve"> forma electrónica el Catálogo de Disposición documental del Hospital debidamente validado o las distintas versiones en caso de contar con actualización, adjuntar los documentos que soporten su validación y en caso de inexistencia indicar las causas.” (Sic)</w:t>
      </w:r>
    </w:p>
    <w:p w:rsidR="00913D41" w:rsidRDefault="00913D41">
      <w:pPr>
        <w:pBdr>
          <w:top w:val="nil"/>
          <w:left w:val="nil"/>
          <w:bottom w:val="nil"/>
          <w:right w:val="nil"/>
          <w:between w:val="nil"/>
        </w:pBdr>
        <w:ind w:right="-787"/>
        <w:jc w:val="both"/>
        <w:rPr>
          <w:rFonts w:ascii="Palatino Linotype" w:eastAsia="Palatino Linotype" w:hAnsi="Palatino Linotype" w:cs="Palatino Linotype"/>
          <w:i/>
          <w:iCs/>
        </w:rPr>
      </w:pPr>
    </w:p>
    <w:p w:rsidR="00913D41" w:rsidRDefault="00913D41">
      <w:pPr>
        <w:pBdr>
          <w:top w:val="nil"/>
          <w:left w:val="nil"/>
          <w:bottom w:val="nil"/>
          <w:right w:val="nil"/>
          <w:between w:val="nil"/>
        </w:pBdr>
        <w:ind w:right="-787"/>
        <w:jc w:val="both"/>
        <w:rPr>
          <w:rFonts w:ascii="Palatino Linotype" w:eastAsia="Palatino Linotype" w:hAnsi="Palatino Linotype" w:cs="Palatino Linotype"/>
          <w:i/>
          <w:iCs/>
        </w:rPr>
      </w:pPr>
    </w:p>
    <w:p w:rsidR="00913D41" w:rsidRDefault="004D6380">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913D41" w:rsidRDefault="00913D41">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913D41" w:rsidRDefault="004D6380">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trece de noviembre de dos mil veinticinco</w:t>
      </w:r>
      <w:r>
        <w:rPr>
          <w:rFonts w:ascii="Palatino Linotype" w:eastAsia="Palatino Linotype" w:hAnsi="Palatino Linotype" w:cs="Palatino Linotype"/>
          <w:color w:val="000000"/>
        </w:rPr>
        <w:t>, el Sujeto Obligado</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dio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 través del siguiente archivo electrónico</w:t>
      </w:r>
      <w:r>
        <w:rPr>
          <w:rFonts w:ascii="Palatino Linotype" w:eastAsia="Palatino Linotype" w:hAnsi="Palatino Linotype" w:cs="Palatino Linotype"/>
          <w:b/>
          <w:bCs/>
          <w:i/>
          <w:iCs/>
          <w:color w:val="000000"/>
        </w:rPr>
        <w:t>:</w:t>
      </w:r>
    </w:p>
    <w:p w:rsidR="00913D41" w:rsidRDefault="004D6380">
      <w:pPr>
        <w:pBdr>
          <w:top w:val="nil"/>
          <w:left w:val="nil"/>
          <w:bottom w:val="nil"/>
          <w:right w:val="nil"/>
          <w:between w:val="nil"/>
        </w:pBdr>
        <w:tabs>
          <w:tab w:val="left" w:pos="426"/>
        </w:tabs>
        <w:ind w:left="567" w:right="-71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 xml:space="preserve">OF_1365_SOL_00190.pdf </w:t>
      </w:r>
    </w:p>
    <w:p w:rsidR="00913D41" w:rsidRDefault="004D6380">
      <w:pPr>
        <w:pBdr>
          <w:top w:val="nil"/>
          <w:left w:val="nil"/>
          <w:bottom w:val="nil"/>
          <w:right w:val="nil"/>
          <w:between w:val="nil"/>
        </w:pBdr>
        <w:tabs>
          <w:tab w:val="left" w:pos="426"/>
        </w:tabs>
        <w:ind w:left="567" w:right="-71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Oficio 208C0401010000L/1365/2025 de fecha 06 de noviembre de 2025, firmado por la Encargada de la Dirección General y Médica a través del cual refiere:</w:t>
      </w:r>
    </w:p>
    <w:p w:rsidR="00913D41" w:rsidRDefault="00913D41">
      <w:pPr>
        <w:pBdr>
          <w:top w:val="nil"/>
          <w:left w:val="nil"/>
          <w:bottom w:val="nil"/>
          <w:right w:val="nil"/>
          <w:between w:val="nil"/>
        </w:pBdr>
        <w:tabs>
          <w:tab w:val="left" w:pos="426"/>
        </w:tabs>
        <w:ind w:left="567" w:right="-716"/>
        <w:jc w:val="both"/>
        <w:rPr>
          <w:rFonts w:ascii="Palatino Linotype" w:eastAsia="Palatino Linotype" w:hAnsi="Palatino Linotype" w:cs="Palatino Linotype"/>
          <w:color w:val="000000"/>
        </w:rPr>
      </w:pPr>
    </w:p>
    <w:p w:rsidR="00913D41" w:rsidRDefault="004D6380">
      <w:pPr>
        <w:pBdr>
          <w:top w:val="nil"/>
          <w:left w:val="nil"/>
          <w:bottom w:val="nil"/>
          <w:right w:val="nil"/>
          <w:between w:val="nil"/>
        </w:pBdr>
        <w:tabs>
          <w:tab w:val="left" w:pos="426"/>
        </w:tabs>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se realizó una búsqueda suficiente, exhaustiva y razonable en los archivos que obran en esta Dirección Médica, </w:t>
      </w:r>
      <w:r>
        <w:rPr>
          <w:rFonts w:ascii="Palatino Linotype" w:eastAsia="Palatino Linotype" w:hAnsi="Palatino Linotype" w:cs="Palatino Linotype"/>
          <w:b/>
          <w:bCs/>
          <w:i/>
          <w:iCs/>
          <w:color w:val="000000"/>
        </w:rPr>
        <w:t>sin localizar la información solicitada</w:t>
      </w:r>
      <w:r>
        <w:rPr>
          <w:rFonts w:ascii="Palatino Linotype" w:eastAsia="Palatino Linotype" w:hAnsi="Palatino Linotype" w:cs="Palatino Linotype"/>
          <w:i/>
          <w:iCs/>
          <w:color w:val="000000"/>
        </w:rPr>
        <w:t xml:space="preserve"> con las características que el solicitante requiere. </w:t>
      </w:r>
    </w:p>
    <w:p w:rsidR="00913D41" w:rsidRDefault="00913D41">
      <w:pPr>
        <w:pBdr>
          <w:top w:val="nil"/>
          <w:left w:val="nil"/>
          <w:bottom w:val="nil"/>
          <w:right w:val="nil"/>
          <w:between w:val="nil"/>
        </w:pBdr>
        <w:tabs>
          <w:tab w:val="left" w:pos="426"/>
        </w:tabs>
        <w:ind w:left="567" w:right="-716"/>
        <w:jc w:val="both"/>
        <w:rPr>
          <w:rFonts w:ascii="Palatino Linotype" w:eastAsia="Palatino Linotype" w:hAnsi="Palatino Linotype" w:cs="Palatino Linotype"/>
          <w:i/>
          <w:iCs/>
          <w:color w:val="000000"/>
        </w:rPr>
      </w:pPr>
    </w:p>
    <w:p w:rsidR="00913D41" w:rsidRDefault="004D6380">
      <w:pPr>
        <w:pBdr>
          <w:top w:val="nil"/>
          <w:left w:val="nil"/>
          <w:bottom w:val="nil"/>
          <w:right w:val="nil"/>
          <w:between w:val="nil"/>
        </w:pBdr>
        <w:tabs>
          <w:tab w:val="left" w:pos="426"/>
        </w:tabs>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No obstante, y con el objetivo de atender puntualmente su solicitud, se realizó nuevamente una búsqueda razonable y detallada en los archivos físicos y digitales disponibles, esta Unidad Administrativa </w:t>
      </w:r>
      <w:r>
        <w:rPr>
          <w:rFonts w:ascii="Palatino Linotype" w:eastAsia="Palatino Linotype" w:hAnsi="Palatino Linotype" w:cs="Palatino Linotype"/>
          <w:b/>
          <w:bCs/>
          <w:i/>
          <w:iCs/>
          <w:color w:val="000000"/>
        </w:rPr>
        <w:t>identificó</w:t>
      </w:r>
      <w:r>
        <w:rPr>
          <w:rFonts w:ascii="Palatino Linotype" w:eastAsia="Palatino Linotype" w:hAnsi="Palatino Linotype" w:cs="Palatino Linotype"/>
          <w:i/>
          <w:iCs/>
          <w:color w:val="000000"/>
        </w:rPr>
        <w:t xml:space="preserve"> en las acciones que se realizaron con antelación </w:t>
      </w:r>
      <w:r>
        <w:rPr>
          <w:rFonts w:ascii="Palatino Linotype" w:eastAsia="Palatino Linotype" w:hAnsi="Palatino Linotype" w:cs="Palatino Linotype"/>
          <w:b/>
          <w:bCs/>
          <w:i/>
          <w:iCs/>
          <w:color w:val="000000"/>
        </w:rPr>
        <w:t>un documento denominado "CATÁLOGO DE DISPOSICIÓN DOCUMENTAL" con fecha de mayo de 2023</w:t>
      </w:r>
      <w:r>
        <w:rPr>
          <w:rFonts w:ascii="Palatino Linotype" w:eastAsia="Palatino Linotype" w:hAnsi="Palatino Linotype" w:cs="Palatino Linotype"/>
          <w:i/>
          <w:iCs/>
          <w:color w:val="000000"/>
        </w:rPr>
        <w:t xml:space="preserve">, no omito mencionar que dicho documento no fue realizado conforme a las normativas vigentes en materia archivística; no obstante, </w:t>
      </w:r>
      <w:r>
        <w:rPr>
          <w:rFonts w:ascii="Palatino Linotype" w:eastAsia="Palatino Linotype" w:hAnsi="Palatino Linotype" w:cs="Palatino Linotype"/>
          <w:b/>
          <w:bCs/>
          <w:i/>
          <w:iCs/>
          <w:color w:val="000000"/>
        </w:rPr>
        <w:t>el mismo tiene la leyenda de "DOCUMENTO EN PROCESO DE INTEGRACIÓN"</w:t>
      </w:r>
      <w:r>
        <w:rPr>
          <w:rFonts w:ascii="Palatino Linotype" w:eastAsia="Palatino Linotype" w:hAnsi="Palatino Linotype" w:cs="Palatino Linotype"/>
          <w:i/>
          <w:iCs/>
          <w:color w:val="000000"/>
        </w:rPr>
        <w:t xml:space="preserve">; es decir que, </w:t>
      </w:r>
      <w:r>
        <w:rPr>
          <w:rFonts w:ascii="Palatino Linotype" w:eastAsia="Palatino Linotype" w:hAnsi="Palatino Linotype" w:cs="Palatino Linotype"/>
          <w:b/>
          <w:bCs/>
          <w:i/>
          <w:iCs/>
          <w:color w:val="000000"/>
        </w:rPr>
        <w:t>no tiene ninguna validación</w:t>
      </w:r>
      <w:r>
        <w:rPr>
          <w:rFonts w:ascii="Palatino Linotype" w:eastAsia="Palatino Linotype" w:hAnsi="Palatino Linotype" w:cs="Palatino Linotype"/>
          <w:i/>
          <w:iCs/>
          <w:color w:val="000000"/>
        </w:rPr>
        <w:t>. Este documento se encuentra disponible al público en el portal de Información Pública de Oficio Mexiquense (IPOMEX) en las obligaciones del Hospital Regional de Alta Especialidad de Zumpango en el artículo 92, fracción XLIX C; sin embargo, con el objetivo de atender puntualmente su solicitud y de acuerdo al artículo 3, fracción XXIX de la Ley de Transparencia y Acceso a la Información Pública del Estado de México y Municipios para su pronta consulta en el siguiente medio electrónico:</w:t>
      </w:r>
    </w:p>
    <w:p w:rsidR="00913D41" w:rsidRDefault="00913D41">
      <w:pPr>
        <w:pBdr>
          <w:top w:val="nil"/>
          <w:left w:val="nil"/>
          <w:bottom w:val="nil"/>
          <w:right w:val="nil"/>
          <w:between w:val="nil"/>
        </w:pBdr>
        <w:tabs>
          <w:tab w:val="left" w:pos="426"/>
        </w:tabs>
        <w:ind w:left="567" w:right="-716"/>
        <w:jc w:val="both"/>
        <w:rPr>
          <w:rFonts w:ascii="Palatino Linotype" w:eastAsia="Palatino Linotype" w:hAnsi="Palatino Linotype" w:cs="Palatino Linotype"/>
          <w:i/>
          <w:iCs/>
          <w:color w:val="000000"/>
        </w:rPr>
      </w:pPr>
    </w:p>
    <w:p w:rsidR="00913D41" w:rsidRDefault="004D6380">
      <w:pPr>
        <w:pBdr>
          <w:top w:val="nil"/>
          <w:left w:val="nil"/>
          <w:bottom w:val="nil"/>
          <w:right w:val="nil"/>
          <w:between w:val="nil"/>
        </w:pBdr>
        <w:tabs>
          <w:tab w:val="left" w:pos="426"/>
        </w:tabs>
        <w:ind w:left="567" w:right="-716"/>
        <w:jc w:val="center"/>
        <w:rPr>
          <w:rFonts w:ascii="Palatino Linotype" w:eastAsia="Palatino Linotype" w:hAnsi="Palatino Linotype" w:cs="Palatino Linotype"/>
          <w:i/>
          <w:iCs/>
          <w:color w:val="000000"/>
        </w:rPr>
      </w:pPr>
      <w:r>
        <w:rPr>
          <w:rFonts w:ascii="Palatino Linotype" w:eastAsia="Palatino Linotype" w:hAnsi="Palatino Linotype" w:cs="Palatino Linotype"/>
          <w:i/>
          <w:iCs/>
          <w:noProof/>
          <w:color w:val="000000"/>
          <w:lang w:val="es-MX"/>
        </w:rPr>
        <w:drawing>
          <wp:inline distT="0" distB="0" distL="0" distR="0">
            <wp:extent cx="4766411" cy="19927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66411" cy="199279"/>
                    </a:xfrm>
                    <a:prstGeom prst="rect">
                      <a:avLst/>
                    </a:prstGeom>
                    <a:ln/>
                  </pic:spPr>
                </pic:pic>
              </a:graphicData>
            </a:graphic>
          </wp:inline>
        </w:drawing>
      </w:r>
    </w:p>
    <w:p w:rsidR="00913D41" w:rsidRDefault="00913D41">
      <w:pPr>
        <w:pBdr>
          <w:top w:val="nil"/>
          <w:left w:val="nil"/>
          <w:bottom w:val="nil"/>
          <w:right w:val="nil"/>
          <w:between w:val="nil"/>
        </w:pBdr>
        <w:tabs>
          <w:tab w:val="left" w:pos="426"/>
        </w:tabs>
        <w:ind w:left="567" w:right="-716"/>
        <w:jc w:val="center"/>
        <w:rPr>
          <w:rFonts w:ascii="Palatino Linotype" w:eastAsia="Palatino Linotype" w:hAnsi="Palatino Linotype" w:cs="Palatino Linotype"/>
          <w:i/>
          <w:iCs/>
          <w:color w:val="000000"/>
        </w:rPr>
      </w:pPr>
    </w:p>
    <w:p w:rsidR="00913D41" w:rsidRDefault="004D6380">
      <w:pPr>
        <w:pBdr>
          <w:top w:val="nil"/>
          <w:left w:val="nil"/>
          <w:bottom w:val="nil"/>
          <w:right w:val="nil"/>
          <w:between w:val="nil"/>
        </w:pBdr>
        <w:tabs>
          <w:tab w:val="left" w:pos="426"/>
        </w:tabs>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Asimismo, refiere que de conformidad a la normatividad vigente en materia archivística, </w:t>
      </w:r>
      <w:r>
        <w:rPr>
          <w:rFonts w:ascii="Palatino Linotype" w:eastAsia="Palatino Linotype" w:hAnsi="Palatino Linotype" w:cs="Palatino Linotype"/>
          <w:i/>
          <w:iCs/>
          <w:color w:val="000000"/>
        </w:rPr>
        <w:t xml:space="preserve">esta Dirección Médica como persona responsable del Área Coordinadora de Archivos de este Hospital, ha tenido a bien llevar a cabo la ejecución de diversas gestiones, para lograr la culminación del instrumento de control archivístico denominado </w:t>
      </w:r>
      <w:r>
        <w:rPr>
          <w:rFonts w:ascii="Palatino Linotype" w:eastAsia="Palatino Linotype" w:hAnsi="Palatino Linotype" w:cs="Palatino Linotype"/>
          <w:b/>
          <w:bCs/>
          <w:i/>
          <w:iCs/>
          <w:color w:val="000000"/>
        </w:rPr>
        <w:t>Catálogo de Disposición Documental</w:t>
      </w:r>
      <w:r>
        <w:rPr>
          <w:rFonts w:ascii="Palatino Linotype" w:eastAsia="Palatino Linotype" w:hAnsi="Palatino Linotype" w:cs="Palatino Linotype"/>
          <w:i/>
          <w:iCs/>
          <w:color w:val="000000"/>
        </w:rPr>
        <w:t xml:space="preserve"> así como, la correcta integración de acuerdo a lo establecido en las normativas antes señaladas.</w:t>
      </w:r>
    </w:p>
    <w:p w:rsidR="00913D41" w:rsidRDefault="00913D41">
      <w:pPr>
        <w:pBdr>
          <w:top w:val="nil"/>
          <w:left w:val="nil"/>
          <w:bottom w:val="nil"/>
          <w:right w:val="nil"/>
          <w:between w:val="nil"/>
        </w:pBdr>
        <w:tabs>
          <w:tab w:val="left" w:pos="0"/>
        </w:tabs>
        <w:ind w:right="-787"/>
        <w:jc w:val="both"/>
        <w:rPr>
          <w:rFonts w:ascii="Palatino Linotype" w:eastAsia="Palatino Linotype" w:hAnsi="Palatino Linotype" w:cs="Palatino Linotype"/>
          <w:i/>
          <w:iCs/>
          <w:color w:val="000000"/>
        </w:rPr>
      </w:pPr>
    </w:p>
    <w:p w:rsidR="00913D41" w:rsidRDefault="004D6380">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cinco de diciembre de dos mil veinticinco</w:t>
      </w:r>
      <w:r>
        <w:rPr>
          <w:rFonts w:ascii="Palatino Linotype" w:eastAsia="Palatino Linotype" w:hAnsi="Palatino Linotype" w:cs="Palatino Linotype"/>
          <w:color w:val="000000"/>
        </w:rPr>
        <w:t xml:space="preserve">, el particular interpuso el </w:t>
      </w:r>
      <w:r>
        <w:rPr>
          <w:rFonts w:ascii="Palatino Linotype" w:eastAsia="Palatino Linotype" w:hAnsi="Palatino Linotype" w:cs="Palatino Linotype"/>
          <w:b/>
          <w:bCs/>
          <w:color w:val="000000"/>
        </w:rPr>
        <w:t>recurso de revisión</w:t>
      </w:r>
      <w:r>
        <w:rPr>
          <w:rFonts w:ascii="Palatino Linotype" w:eastAsia="Palatino Linotype" w:hAnsi="Palatino Linotype" w:cs="Palatino Linotype"/>
          <w:color w:val="000000"/>
        </w:rPr>
        <w:t xml:space="preserve"> al que se le asignó el folio </w:t>
      </w:r>
      <w:r>
        <w:rPr>
          <w:rFonts w:ascii="Palatino Linotype" w:eastAsia="Palatino Linotype" w:hAnsi="Palatino Linotype" w:cs="Palatino Linotype"/>
          <w:b/>
          <w:bCs/>
          <w:color w:val="000000"/>
        </w:rPr>
        <w:t xml:space="preserve">13803/INFOEM/IP/RR/2025 </w:t>
      </w:r>
      <w:r>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913D41" w:rsidRDefault="00913D41">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913D41" w:rsidRDefault="004D6380">
      <w:pPr>
        <w:pBdr>
          <w:top w:val="nil"/>
          <w:left w:val="nil"/>
          <w:bottom w:val="nil"/>
          <w:right w:val="nil"/>
          <w:between w:val="nil"/>
        </w:pBdr>
        <w:ind w:left="567" w:right="-7"/>
        <w:jc w:val="both"/>
        <w:rPr>
          <w:rFonts w:ascii="Palatino Linotype" w:eastAsia="Palatino Linotype" w:hAnsi="Palatino Linotype" w:cs="Palatino Linotype"/>
          <w:i/>
          <w:iCs/>
          <w:color w:val="000000"/>
        </w:rPr>
      </w:pPr>
      <w:bookmarkStart w:id="2" w:name="_heading=h.30j0zll" w:colFirst="0" w:colLast="0"/>
      <w:bookmarkEnd w:id="2"/>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“La respuesta proporcionada por la Autoridad Responsable es parcial e incompleta, pues derivado de la simple lectura de la misma, la autoridad refiere realizar una busqueda suficiente,exhaustiva y razonable en los archivos que obran en la Direccion Medica, pero el Catálogo de Disposición documental solicitado es del Hospital debidamente validado, no así de una sola Direccion y en su caso la respuesta no se acompaña de la consecuente dictaminacion de la declaratoria de inexistencia. De igual manera en el mismo cuerpo de la respuesta la autoridad refiere poner a disposición del solicitante información de forma electrónica el Catálogo de Disposición documental del Hospital, mismo que refiere hacer publico a traves del sitio web IPOMEX del propio Hospital, mismo que a decir de la propia autoridad es un documento carente de validacion, denominado Catalogo de Disposicion Documental, con la leyenda en proceso de integracion, lo cual da cuenta parcialmente de la informacion solicitada, al hacer alusion de lo anterior, no así a motivar o fundamentar la inexistencia del mismo o en su caso aportar los soportes del proceso de validacion, misma que no se acompaña a la respuesta proporcionada. Por lo que impugno la respuesta requiriendo la información resultante que a decir de la autoridad responsable, deriva de la ejecusion de diversas gestiones para la culminacion del instrumento de control archivistico denominado Catalogo de Disposicion Documental del Hospital.” (Sic)</w:t>
      </w:r>
    </w:p>
    <w:p w:rsidR="00913D41" w:rsidRDefault="00913D41">
      <w:pPr>
        <w:pBdr>
          <w:top w:val="nil"/>
          <w:left w:val="nil"/>
          <w:bottom w:val="nil"/>
          <w:right w:val="nil"/>
          <w:between w:val="nil"/>
        </w:pBdr>
        <w:ind w:left="567" w:right="-7"/>
        <w:jc w:val="both"/>
        <w:rPr>
          <w:rFonts w:ascii="Palatino Linotype" w:eastAsia="Palatino Linotype" w:hAnsi="Palatino Linotype" w:cs="Palatino Linotype"/>
          <w:i/>
          <w:iCs/>
          <w:color w:val="000000"/>
        </w:rPr>
      </w:pPr>
    </w:p>
    <w:p w:rsidR="00913D41" w:rsidRDefault="004D6380">
      <w:pPr>
        <w:pBdr>
          <w:top w:val="nil"/>
          <w:left w:val="nil"/>
          <w:bottom w:val="nil"/>
          <w:right w:val="nil"/>
          <w:between w:val="nil"/>
        </w:pBdr>
        <w:ind w:left="567" w:right="-7"/>
        <w:jc w:val="both"/>
        <w:rPr>
          <w:rFonts w:ascii="Palatino Linotype" w:eastAsia="Palatino Linotype" w:hAnsi="Palatino Linotype" w:cs="Palatino Linotype"/>
          <w:i/>
          <w:iCs/>
          <w:color w:val="000000"/>
        </w:rPr>
      </w:pPr>
      <w:bookmarkStart w:id="3" w:name="_heading=h.1fob9te" w:colFirst="0" w:colLast="0"/>
      <w:bookmarkEnd w:id="3"/>
      <w:r>
        <w:rPr>
          <w:rFonts w:ascii="Palatino Linotype" w:eastAsia="Palatino Linotype" w:hAnsi="Palatino Linotype" w:cs="Palatino Linotype"/>
          <w:b/>
          <w:bCs/>
          <w:color w:val="000000"/>
        </w:rPr>
        <w:t xml:space="preserve">Razones o Motivos de inconformidad: </w:t>
      </w:r>
      <w:r>
        <w:rPr>
          <w:rFonts w:ascii="Palatino Linotype" w:eastAsia="Palatino Linotype" w:hAnsi="Palatino Linotype" w:cs="Palatino Linotype"/>
          <w:i/>
          <w:iCs/>
          <w:color w:val="000000"/>
        </w:rPr>
        <w:t xml:space="preserve">“La autoridad es omisa al proporcionar la respuesta parcial, incompleta y que a decir de la propia autoridad se contrapone.” </w:t>
      </w:r>
      <w:r>
        <w:rPr>
          <w:rFonts w:ascii="Palatino Linotype" w:eastAsia="Palatino Linotype" w:hAnsi="Palatino Linotype" w:cs="Palatino Linotype"/>
          <w:color w:val="000000"/>
        </w:rPr>
        <w:t>(Sic)</w:t>
      </w:r>
    </w:p>
    <w:p w:rsidR="00913D41" w:rsidRDefault="00913D41">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913D41" w:rsidRDefault="004D6380">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diez de diciembre de dos mil veinticinco,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913D41" w:rsidRDefault="00913D41">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913D41" w:rsidRDefault="004D638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El Recurrente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realizó las manifestaciones que a su derecho conviniera y asistiera, a través de escrito libre en el que medularmente </w:t>
      </w:r>
      <w:r>
        <w:rPr>
          <w:rFonts w:ascii="Palatino Linotype" w:eastAsia="Palatino Linotype" w:hAnsi="Palatino Linotype" w:cs="Palatino Linotype"/>
        </w:rPr>
        <w:t>se duele</w:t>
      </w:r>
      <w:r>
        <w:rPr>
          <w:rFonts w:ascii="Palatino Linotype" w:eastAsia="Palatino Linotype" w:hAnsi="Palatino Linotype" w:cs="Palatino Linotype"/>
          <w:color w:val="000000"/>
        </w:rPr>
        <w:t xml:space="preserve"> por la entrega de información incompleta.</w:t>
      </w:r>
    </w:p>
    <w:p w:rsidR="00913D41" w:rsidRDefault="00913D4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913D41" w:rsidRDefault="004D638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su parte, el Sujeto Obligado,</w:t>
      </w:r>
      <w:r>
        <w:rPr>
          <w:rFonts w:ascii="Palatino Linotype" w:eastAsia="Palatino Linotype" w:hAnsi="Palatino Linotype" w:cs="Palatino Linotype"/>
          <w:b/>
          <w:bCs/>
          <w:color w:val="000000"/>
        </w:rPr>
        <w:t xml:space="preserve"> no presentó informe justificado</w:t>
      </w:r>
      <w:r>
        <w:rPr>
          <w:rFonts w:ascii="Palatino Linotype" w:eastAsia="Palatino Linotype" w:hAnsi="Palatino Linotype" w:cs="Palatino Linotype"/>
          <w:color w:val="000000"/>
        </w:rPr>
        <w:t>.</w:t>
      </w:r>
    </w:p>
    <w:p w:rsidR="00913D41" w:rsidRDefault="00913D4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913D41" w:rsidRDefault="004D638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3znysh7" w:colFirst="0" w:colLast="0"/>
      <w:bookmarkEnd w:id="4"/>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xml:space="preserve"> doce de febrero de dos mil veintiséis</w:t>
      </w:r>
      <w:r>
        <w:rPr>
          <w:rFonts w:ascii="Palatino Linotype" w:eastAsia="Palatino Linotype" w:hAnsi="Palatino Linotype" w:cs="Palatino Linotype"/>
          <w:color w:val="000000"/>
        </w:rPr>
        <w:t xml:space="preserve">, se acordó </w:t>
      </w:r>
      <w:r>
        <w:rPr>
          <w:rFonts w:ascii="Palatino Linotype" w:eastAsia="Palatino Linotype" w:hAnsi="Palatino Linotype" w:cs="Palatino Linotype"/>
          <w:b/>
          <w:bCs/>
          <w:color w:val="000000"/>
        </w:rPr>
        <w:t xml:space="preserve">ampliar el </w:t>
      </w:r>
      <w:r>
        <w:rPr>
          <w:rFonts w:ascii="Palatino Linotype" w:eastAsia="Palatino Linotype" w:hAnsi="Palatino Linotype" w:cs="Palatino Linotype"/>
          <w:b/>
          <w:bCs/>
        </w:rPr>
        <w:t>plazo</w:t>
      </w:r>
      <w:r>
        <w:rPr>
          <w:rFonts w:ascii="Palatino Linotype" w:eastAsia="Palatino Linotype" w:hAnsi="Palatino Linotype" w:cs="Palatino Linotype"/>
          <w:b/>
          <w:bCs/>
          <w:color w:val="000000"/>
        </w:rPr>
        <w:t xml:space="preserve"> para resolver</w:t>
      </w:r>
      <w:r>
        <w:rPr>
          <w:rFonts w:ascii="Palatino Linotype" w:eastAsia="Palatino Linotype" w:hAnsi="Palatino Linotype" w:cs="Palatino Linotype"/>
          <w:color w:val="000000"/>
        </w:rPr>
        <w:t xml:space="preserve"> el presente Recurso de Revisión.</w:t>
      </w:r>
    </w:p>
    <w:p w:rsidR="00913D41" w:rsidRDefault="00913D41">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913D41" w:rsidRDefault="004D638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dieciocho de mayo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 de acuerdo a las siguientes:</w:t>
      </w:r>
    </w:p>
    <w:p w:rsidR="00913D41" w:rsidRDefault="00913D41">
      <w:pPr>
        <w:pBdr>
          <w:top w:val="nil"/>
          <w:left w:val="nil"/>
          <w:bottom w:val="nil"/>
          <w:right w:val="nil"/>
          <w:between w:val="nil"/>
        </w:pBdr>
        <w:ind w:left="720" w:right="-787"/>
        <w:rPr>
          <w:rFonts w:ascii="Palatino Linotype" w:eastAsia="Palatino Linotype" w:hAnsi="Palatino Linotype" w:cs="Palatino Linotype"/>
          <w:b/>
          <w:bCs/>
          <w:color w:val="000000"/>
        </w:rPr>
      </w:pPr>
    </w:p>
    <w:p w:rsidR="00913D41" w:rsidRDefault="004D6380">
      <w:pPr>
        <w:keepNext/>
        <w:keepLines/>
        <w:spacing w:line="36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rsidR="00913D41" w:rsidRDefault="00913D41">
      <w:pPr>
        <w:spacing w:line="360" w:lineRule="auto"/>
        <w:rPr>
          <w:rFonts w:ascii="Palatino Linotype" w:eastAsia="Palatino Linotype" w:hAnsi="Palatino Linotype" w:cs="Palatino Linotype"/>
        </w:rPr>
      </w:pPr>
    </w:p>
    <w:p w:rsidR="00913D41" w:rsidRDefault="004D6380">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913D41" w:rsidRDefault="004D638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w:t>
      </w:r>
      <w:r>
        <w:rPr>
          <w:rFonts w:ascii="Palatino Linotype" w:eastAsia="Palatino Linotype" w:hAnsi="Palatino Linotype" w:cs="Palatino Linotype"/>
          <w:color w:val="000000"/>
        </w:rPr>
        <w:lastRenderedPageBreak/>
        <w:t>Reglamento Interior del Instituto de Transparencia, Acceso a la Información Pública y Protección de Datos Personales del Estado de México y Municipios.</w:t>
      </w:r>
    </w:p>
    <w:p w:rsidR="00913D41" w:rsidRDefault="00913D41">
      <w:pPr>
        <w:tabs>
          <w:tab w:val="left" w:pos="426"/>
        </w:tabs>
        <w:spacing w:line="360" w:lineRule="auto"/>
        <w:jc w:val="both"/>
        <w:rPr>
          <w:rFonts w:ascii="Palatino Linotype" w:eastAsia="Palatino Linotype" w:hAnsi="Palatino Linotype" w:cs="Palatino Linotype"/>
          <w:color w:val="000000"/>
        </w:rPr>
      </w:pPr>
    </w:p>
    <w:p w:rsidR="00913D41" w:rsidRDefault="004D6380">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913D41" w:rsidRDefault="004D638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color w:val="000000"/>
        </w:rPr>
        <w:t>medio</w:t>
      </w:r>
      <w:r>
        <w:rPr>
          <w:rFonts w:ascii="Palatino Linotype" w:eastAsia="Palatino Linotype" w:hAnsi="Palatino Linotype" w:cs="Palatino Linotype"/>
        </w:rPr>
        <w:t xml:space="preserve"> de </w:t>
      </w:r>
      <w:r>
        <w:rPr>
          <w:rFonts w:ascii="Palatino Linotype" w:eastAsia="Palatino Linotype" w:hAnsi="Palatino Linotype" w:cs="Palatino Linotype"/>
          <w:color w:val="000000"/>
        </w:rPr>
        <w:t>impugnación</w:t>
      </w:r>
      <w:r>
        <w:rPr>
          <w:rFonts w:ascii="Palatino Linotype" w:eastAsia="Palatino Linotype" w:hAnsi="Palatino Linotype" w:cs="Palatino Linotype"/>
        </w:rPr>
        <w:t xml:space="preserve">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trece de noviembre de dos mil veinticinco</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catorce de noviembre al cinco de diciembre de dos mil veinticinco,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cinco de diciembre de dos mil veinticinco</w:t>
      </w:r>
      <w:r>
        <w:rPr>
          <w:rFonts w:ascii="Palatino Linotype" w:eastAsia="Palatino Linotype" w:hAnsi="Palatino Linotype" w:cs="Palatino Linotype"/>
        </w:rPr>
        <w:t xml:space="preserve">, este  se encuentra dentro de los márgenes temporales previstos en el </w:t>
      </w:r>
      <w:r>
        <w:rPr>
          <w:rFonts w:ascii="Palatino Linotype" w:eastAsia="Palatino Linotype" w:hAnsi="Palatino Linotype" w:cs="Palatino Linotype"/>
          <w:b/>
          <w:bCs/>
        </w:rPr>
        <w:t>artículo 178</w:t>
      </w:r>
      <w:r>
        <w:rPr>
          <w:rFonts w:ascii="Palatino Linotype" w:eastAsia="Palatino Linotype" w:hAnsi="Palatino Linotype" w:cs="Palatino Linotype"/>
        </w:rPr>
        <w:t xml:space="preserve">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913D41" w:rsidRDefault="00913D41">
      <w:pPr>
        <w:spacing w:line="360" w:lineRule="auto"/>
        <w:ind w:right="49"/>
        <w:jc w:val="both"/>
        <w:rPr>
          <w:rFonts w:ascii="Palatino Linotype" w:eastAsia="Palatino Linotype" w:hAnsi="Palatino Linotype" w:cs="Palatino Linotype"/>
        </w:rPr>
      </w:pPr>
      <w:bookmarkStart w:id="5" w:name="_heading=h.2et92p0" w:colFirst="0" w:colLast="0"/>
      <w:bookmarkEnd w:id="5"/>
    </w:p>
    <w:p w:rsidR="00913D41" w:rsidRDefault="004D6380">
      <w:pPr>
        <w:pStyle w:val="Ttulo2"/>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913D41" w:rsidRDefault="004D638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solicitó</w:t>
      </w:r>
      <w:r>
        <w:rPr>
          <w:rFonts w:ascii="Palatino Linotype" w:eastAsia="Palatino Linotype" w:hAnsi="Palatino Linotype" w:cs="Palatino Linotype"/>
          <w:color w:val="000000"/>
        </w:rPr>
        <w:t xml:space="preserve"> tener acceso, a la información que a continuación se simplifica:</w:t>
      </w:r>
    </w:p>
    <w:p w:rsidR="00913D41" w:rsidRDefault="004D6380">
      <w:pPr>
        <w:numPr>
          <w:ilvl w:val="0"/>
          <w:numId w:val="5"/>
        </w:numPr>
        <w:pBdr>
          <w:top w:val="nil"/>
          <w:left w:val="nil"/>
          <w:bottom w:val="nil"/>
          <w:right w:val="nil"/>
          <w:between w:val="nil"/>
        </w:pBdr>
        <w:ind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Catálogo de Disposición Documental del Hospital debidamente validado o las distintas versiones en caso de contar con actualización, adjuntar los documentos que soporten su validación, en caso de inexistencia indicar las causas.</w:t>
      </w:r>
    </w:p>
    <w:p w:rsidR="00913D41" w:rsidRDefault="00913D41">
      <w:pPr>
        <w:pBdr>
          <w:top w:val="nil"/>
          <w:left w:val="nil"/>
          <w:bottom w:val="nil"/>
          <w:right w:val="nil"/>
          <w:between w:val="nil"/>
        </w:pBdr>
        <w:ind w:left="851" w:right="-788"/>
        <w:jc w:val="both"/>
        <w:rPr>
          <w:rFonts w:ascii="Palatino Linotype" w:eastAsia="Palatino Linotype" w:hAnsi="Palatino Linotype" w:cs="Palatino Linotype"/>
          <w:color w:val="000000"/>
        </w:rPr>
      </w:pPr>
    </w:p>
    <w:p w:rsidR="00913D41" w:rsidRDefault="004D638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el archivo ya descrito en el párrafo 2, inconforme con la respuesta, se interpuso recurso de revisión argumentando sustancialmente la entrega de información incompleta.</w:t>
      </w:r>
    </w:p>
    <w:p w:rsidR="00913D41" w:rsidRDefault="00913D41">
      <w:pPr>
        <w:ind w:left="720" w:right="-788"/>
        <w:jc w:val="both"/>
        <w:rPr>
          <w:rFonts w:ascii="Palatino Linotype" w:eastAsia="Palatino Linotype" w:hAnsi="Palatino Linotype" w:cs="Palatino Linotype"/>
          <w:i/>
          <w:iCs/>
          <w:color w:val="000000"/>
        </w:rPr>
      </w:pPr>
    </w:p>
    <w:p w:rsidR="00913D41" w:rsidRDefault="004D638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Pr>
          <w:rFonts w:ascii="Palatino Linotype" w:eastAsia="Palatino Linotype" w:hAnsi="Palatino Linotype" w:cs="Palatino Linotype"/>
          <w:b/>
          <w:bCs/>
        </w:rPr>
        <w:t xml:space="preserve">artículo 179, fracción V, de </w:t>
      </w:r>
      <w:r>
        <w:rPr>
          <w:rFonts w:ascii="Palatino Linotype" w:eastAsia="Palatino Linotype" w:hAnsi="Palatino Linotype" w:cs="Palatino Linotype"/>
          <w:b/>
          <w:bCs/>
        </w:rPr>
        <w:lastRenderedPageBreak/>
        <w:t>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hipótesis relativa a </w:t>
      </w:r>
      <w:r>
        <w:rPr>
          <w:rFonts w:ascii="Palatino Linotype" w:eastAsia="Palatino Linotype" w:hAnsi="Palatino Linotype" w:cs="Palatino Linotype"/>
          <w:b/>
          <w:bCs/>
          <w:color w:val="000000"/>
        </w:rPr>
        <w:t>la entrega de información incompleta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señalada.</w:t>
      </w:r>
    </w:p>
    <w:p w:rsidR="00913D41" w:rsidRDefault="00913D41">
      <w:pPr>
        <w:spacing w:line="360" w:lineRule="auto"/>
        <w:ind w:right="-787"/>
        <w:rPr>
          <w:rFonts w:ascii="Palatino Linotype" w:eastAsia="Palatino Linotype" w:hAnsi="Palatino Linotype" w:cs="Palatino Linotype"/>
        </w:rPr>
      </w:pPr>
    </w:p>
    <w:p w:rsidR="00913D41" w:rsidRDefault="004D6380">
      <w:pPr>
        <w:pStyle w:val="Ttulo2"/>
        <w:rPr>
          <w:rFonts w:ascii="Palatino Linotype" w:eastAsia="Palatino Linotype" w:hAnsi="Palatino Linotype" w:cs="Palatino Linotype"/>
          <w:b/>
          <w:bCs/>
          <w:color w:val="000000"/>
          <w:sz w:val="24"/>
          <w:szCs w:val="24"/>
        </w:rPr>
      </w:pPr>
      <w:bookmarkStart w:id="6" w:name="_heading=h.1t3h5sf" w:colFirst="0" w:colLast="0"/>
      <w:bookmarkEnd w:id="6"/>
      <w:r>
        <w:rPr>
          <w:rFonts w:ascii="Palatino Linotype" w:eastAsia="Palatino Linotype" w:hAnsi="Palatino Linotype" w:cs="Palatino Linotype"/>
          <w:b/>
          <w:bCs/>
          <w:color w:val="000000"/>
          <w:sz w:val="24"/>
          <w:szCs w:val="24"/>
        </w:rPr>
        <w:t>CUARTO. Del estudio y resolución del asunto.</w:t>
      </w:r>
    </w:p>
    <w:p w:rsidR="00913D41" w:rsidRDefault="004D638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913D41" w:rsidRDefault="00913D41">
      <w:pPr>
        <w:spacing w:line="360" w:lineRule="auto"/>
        <w:ind w:right="-787"/>
        <w:jc w:val="both"/>
        <w:rPr>
          <w:rFonts w:ascii="Palatino Linotype" w:eastAsia="Palatino Linotype" w:hAnsi="Palatino Linotype" w:cs="Palatino Linotype"/>
        </w:rPr>
      </w:pPr>
    </w:p>
    <w:p w:rsidR="00913D41" w:rsidRDefault="004D638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B30840" w:rsidRDefault="00B30840" w:rsidP="00B30840">
      <w:pPr>
        <w:pStyle w:val="Prrafodelista"/>
        <w:rPr>
          <w:rFonts w:ascii="Palatino Linotype" w:eastAsia="Palatino Linotype" w:hAnsi="Palatino Linotype" w:cs="Palatino Linotype"/>
        </w:rPr>
      </w:pPr>
    </w:p>
    <w:p w:rsidR="00B30840" w:rsidRDefault="00B30840" w:rsidP="00B30840">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913D41" w:rsidRDefault="004D638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913D41" w:rsidRDefault="00913D41">
      <w:pPr>
        <w:ind w:right="-788"/>
        <w:jc w:val="both"/>
        <w:rPr>
          <w:rFonts w:ascii="Palatino Linotype" w:eastAsia="Palatino Linotype" w:hAnsi="Palatino Linotype" w:cs="Palatino Linotype"/>
        </w:rPr>
      </w:pPr>
    </w:p>
    <w:p w:rsidR="00913D41" w:rsidRDefault="004D6380">
      <w:pPr>
        <w:numPr>
          <w:ilvl w:val="0"/>
          <w:numId w:val="4"/>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rsidR="00913D41" w:rsidRDefault="004D6380">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conformidad con el Manual General de Organización del Hospital Regional de Alta Especialidad de Zumpango, cuenta con diversas unidades administrativas, entre ellas la </w:t>
      </w:r>
      <w:r>
        <w:rPr>
          <w:rFonts w:ascii="Palatino Linotype" w:eastAsia="Palatino Linotype" w:hAnsi="Palatino Linotype" w:cs="Palatino Linotype"/>
          <w:b/>
          <w:bCs/>
        </w:rPr>
        <w:t>Dirección Médica</w:t>
      </w:r>
      <w:r>
        <w:rPr>
          <w:rFonts w:ascii="Palatino Linotype" w:eastAsia="Palatino Linotype" w:hAnsi="Palatino Linotype" w:cs="Palatino Linotype"/>
        </w:rPr>
        <w:t>, dependiente de la Dirección General, misma que cuenta con el objetivo y funciones siguientes:</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208C0401010000L DIRECCIÓN MÉDICA OBJETIVO: </w:t>
      </w:r>
    </w:p>
    <w:p w:rsidR="00913D41" w:rsidRDefault="00913D41">
      <w:pPr>
        <w:pBdr>
          <w:top w:val="nil"/>
          <w:left w:val="nil"/>
          <w:bottom w:val="nil"/>
          <w:right w:val="nil"/>
          <w:between w:val="nil"/>
        </w:pBdr>
        <w:ind w:left="567" w:right="-716"/>
        <w:jc w:val="both"/>
        <w:rPr>
          <w:rFonts w:ascii="Palatino Linotype" w:eastAsia="Palatino Linotype" w:hAnsi="Palatino Linotype" w:cs="Palatino Linotype"/>
          <w:b/>
          <w:bCs/>
          <w:i/>
          <w:iCs/>
          <w:color w:val="000000"/>
        </w:rPr>
      </w:pP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Planear, coordinar y evaluar las acciones derivadas de la prestación y ejecución de los servicios médicos, de enfermería, clínicos, quirúrgicos y críticos otorgados en el Hospital, para proporcionar atención de la más alta calidad a pacientes y familiares, de conformidad con la normatividad vigente en la materia. </w:t>
      </w:r>
    </w:p>
    <w:p w:rsidR="00913D41" w:rsidRDefault="00913D41">
      <w:pPr>
        <w:pBdr>
          <w:top w:val="nil"/>
          <w:left w:val="nil"/>
          <w:bottom w:val="nil"/>
          <w:right w:val="nil"/>
          <w:between w:val="nil"/>
        </w:pBdr>
        <w:ind w:left="567" w:right="-716"/>
        <w:jc w:val="both"/>
        <w:rPr>
          <w:rFonts w:ascii="Palatino Linotype" w:eastAsia="Palatino Linotype" w:hAnsi="Palatino Linotype" w:cs="Palatino Linotype"/>
          <w:i/>
          <w:iCs/>
          <w:color w:val="000000"/>
        </w:rPr>
      </w:pP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FUNCIONES</w:t>
      </w:r>
      <w:r>
        <w:rPr>
          <w:rFonts w:ascii="Palatino Linotype" w:eastAsia="Palatino Linotype" w:hAnsi="Palatino Linotype" w:cs="Palatino Linotype"/>
          <w:i/>
          <w:iCs/>
          <w:color w:val="000000"/>
        </w:rPr>
        <w:t xml:space="preserve">: </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Diseñar los mecanismos idóneos para que los servicios médicos que se proporcionan en el Hospital sean de la más alta calidad. </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Elaborar e implementar estrategias para atender la demanda de alta especialidad de los servicios de salud en la región. </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 Participar en la elaboración de programas de investigación clínica, médica y administrativa que permitan elevar la calidad de la atención que se proporciona en el Hospital. </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Coordinar la implantación de las guías de práctica clínica que coadyuven a mejorar la efectividad y la variabilidad de la atención, así como a establecer los estándares y parámetros mínimos que se deben cumplir durante la atención médica. </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Participar en los programas de capacitación y enseñanza permanente, dirigidos al desarrollo del personal médico y de enfermería y de las áreas de servicios clínicos, quirúrgicos y críticos. </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Coordinar los procesos de atención médica (quirúrgica, clínica, crítica y enfermería) en el Hospital Regional, así como verificar que el desarrollo de los mismos se oriente al cuidado de la o del paciente y de su familia. </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Coordinar los comités intrahospitalarios con el propósito de establecer y adecuar las demandas actuales de la población en el ámbito de la salud, buscando atender y resolver sus necesidades. </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Coordinar los servicios de atención médica que se proporcionan en el Hospital en el marco del Sistema Nacional de Hospitales de Alta Especialidad. </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Proporcionar asesoría en materia de conflictos éticos, técnicos y administrativos, relacionados con los servicios de atención médica. </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Verificar que los servicios de atención médica del Hospital, se proporcionen con eficiencia, calidad y calidez. </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Verificar que en cada etapa del proceso para la prestación de los servicios médicos se aplique la normatividad vigente en la materia, así como evaluar y supervisar su cumplimiento y, en su caso, de existir inobservancia, hacerlo de conocimiento del área competente.</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Realizar la supervisión y evaluación médica de los servicios que se proporcionan en el Hospital. </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Verificar que la atención médica y quirúrgica se proporcione conforme a los estándares de calidad y costos establecidos y dentro de los principios éticos y profesionales en la materia, a efecto de optimizar los recursos con que cuenta el Hospital. </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Certificar y cotejar, cuando así se solicite, las copias de los documentos existentes en los archivos de las áreas y unidades funcionales de su competencia. </w:t>
      </w:r>
    </w:p>
    <w:p w:rsidR="00913D41" w:rsidRDefault="004D6380">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Desarrollar las demás funciones inherentes al área de su competencia.</w:t>
      </w:r>
    </w:p>
    <w:p w:rsidR="00913D41" w:rsidRDefault="00913D41">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Ley de Archivos y Administración de Documentos del Estado de México y Municipios, de conformidad con su artículo 4, fracción XI, define al </w:t>
      </w:r>
      <w:r>
        <w:rPr>
          <w:rFonts w:ascii="Palatino Linotype" w:eastAsia="Palatino Linotype" w:hAnsi="Palatino Linotype" w:cs="Palatino Linotype"/>
          <w:b/>
          <w:bCs/>
        </w:rPr>
        <w:t>Área Coordinadora de Archivos</w:t>
      </w:r>
      <w:r>
        <w:rPr>
          <w:rFonts w:ascii="Palatino Linotype" w:eastAsia="Palatino Linotype" w:hAnsi="Palatino Linotype" w:cs="Palatino Linotype"/>
        </w:rPr>
        <w:t>, como la instancia encargada de promover y vigilar el cumplimiento de las disposiciones en materia de Gestión Documental y Administración de Archivos, así como de coordinar las Áreas Operativas del Sistema Institucional de cada Sujeto Obligado.</w:t>
      </w: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El Sistema Institucional es el conjunto de registros, procesos, procedimientos, criterios, estructuras, herramientas y funciones que desarrolla cada Sujeto Obligado y sustenta la Actividad Archivística, de acuerdo con los procesos de Gestión Documental. Todos los Documentos de Archivo en posesión de los Sujetos Obligados formarán parte del Sistema Institucional; deberán agruparse en Expedientes de manera lógica y cronológica, y relacionarse con un mismo asunto, reflejando con exactitud la información contenida en ellos, en los términos que establezca el Consejo Estatal y las disposiciones jurídicas aplicables. El Sistema Institucional de cada Sujeto Obligado, deberá integrarse por un área Coordinadora de Archivos, de conformidad con el artículo 21, fracción I, de la Ley citada en el párrafo anterior.</w:t>
      </w:r>
    </w:p>
    <w:p w:rsidR="00913D41" w:rsidRDefault="00913D41">
      <w:pPr>
        <w:spacing w:line="360" w:lineRule="auto"/>
        <w:ind w:right="-787"/>
        <w:jc w:val="both"/>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Área Coordinadora de Archivos</w:t>
      </w:r>
      <w:r>
        <w:rPr>
          <w:rFonts w:ascii="Palatino Linotype" w:eastAsia="Palatino Linotype" w:hAnsi="Palatino Linotype" w:cs="Palatino Linotype"/>
        </w:rPr>
        <w:t xml:space="preserve"> promoverá que las Áreas Operativas lleven a cabo las acciones de Gestión Documental y Administración de Archivos, de manera conjunta con las unidades administrativas o áreas competentes de cada Sujeto Obligado, y tendrá dentro de sus funciones las establecidas en el artículo 27, de la Ley de Archivos ya citada, tal como se describe a continuación:</w:t>
      </w:r>
    </w:p>
    <w:p w:rsidR="00913D41" w:rsidRDefault="004D6380">
      <w:pPr>
        <w:ind w:left="567" w:right="-220"/>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Ley de Archivos y Administración de Documentos del Estado de México y Municipios</w:t>
      </w:r>
    </w:p>
    <w:p w:rsidR="00913D41" w:rsidRDefault="00913D41">
      <w:pPr>
        <w:ind w:left="567" w:right="-220"/>
        <w:jc w:val="center"/>
        <w:rPr>
          <w:rFonts w:ascii="Palatino Linotype" w:eastAsia="Palatino Linotype" w:hAnsi="Palatino Linotype" w:cs="Palatino Linotype"/>
          <w:b/>
          <w:bCs/>
          <w:i/>
          <w:iCs/>
          <w:color w:val="000000"/>
        </w:rPr>
      </w:pPr>
    </w:p>
    <w:p w:rsidR="00913D41" w:rsidRDefault="004D6380">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28.</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El Área Coordinadora de Archivos tendrá las siguientes funciones</w:t>
      </w:r>
      <w:r>
        <w:rPr>
          <w:rFonts w:ascii="Palatino Linotype" w:eastAsia="Palatino Linotype" w:hAnsi="Palatino Linotype" w:cs="Palatino Linotype"/>
          <w:i/>
          <w:iCs/>
          <w:color w:val="000000"/>
        </w:rPr>
        <w:t xml:space="preserve">: </w:t>
      </w:r>
    </w:p>
    <w:p w:rsidR="00913D41" w:rsidRDefault="00913D41">
      <w:pPr>
        <w:ind w:left="567" w:right="-220"/>
        <w:jc w:val="both"/>
        <w:rPr>
          <w:rFonts w:ascii="Palatino Linotype" w:eastAsia="Palatino Linotype" w:hAnsi="Palatino Linotype" w:cs="Palatino Linotype"/>
          <w:i/>
          <w:iCs/>
          <w:color w:val="000000"/>
        </w:rPr>
      </w:pPr>
    </w:p>
    <w:p w:rsidR="00913D41" w:rsidRDefault="004D6380">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Elaborar, con la colaboración de los responsables de los Archivos de Trámite, los Archivos de Concentración y en su caso Histórico, los Instrumentos de Control Archivístico previstos en esta Ley, y demás disposiciones jurídicas aplicables; </w:t>
      </w:r>
    </w:p>
    <w:p w:rsidR="00913D41" w:rsidRDefault="00913D41">
      <w:pPr>
        <w:ind w:left="567" w:right="-220"/>
        <w:jc w:val="both"/>
        <w:rPr>
          <w:rFonts w:ascii="Palatino Linotype" w:eastAsia="Palatino Linotype" w:hAnsi="Palatino Linotype" w:cs="Palatino Linotype"/>
          <w:i/>
          <w:iCs/>
          <w:color w:val="000000"/>
        </w:rPr>
      </w:pPr>
    </w:p>
    <w:p w:rsidR="00913D41" w:rsidRDefault="004D6380">
      <w:pPr>
        <w:ind w:left="567" w:right="-22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II. Elaborar criterios específicos y recomendaciones en materia de organización y Conservación de Archivos, cuando la especialidad del Sujeto Obligado así lo requiera; </w:t>
      </w:r>
    </w:p>
    <w:p w:rsidR="00913D41" w:rsidRDefault="00913D41">
      <w:pPr>
        <w:ind w:left="567" w:right="-220"/>
        <w:jc w:val="both"/>
        <w:rPr>
          <w:rFonts w:ascii="Palatino Linotype" w:eastAsia="Palatino Linotype" w:hAnsi="Palatino Linotype" w:cs="Palatino Linotype"/>
          <w:i/>
          <w:iCs/>
          <w:color w:val="000000"/>
        </w:rPr>
      </w:pPr>
    </w:p>
    <w:p w:rsidR="00913D41" w:rsidRDefault="004D6380">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Elaborar y someter a consideración de la persona titular del Sujeto Obligado o a quien ésta designe, el Programa Anual; </w:t>
      </w:r>
    </w:p>
    <w:p w:rsidR="00913D41" w:rsidRDefault="00913D41">
      <w:pPr>
        <w:ind w:left="567" w:right="-220"/>
        <w:jc w:val="both"/>
        <w:rPr>
          <w:rFonts w:ascii="Palatino Linotype" w:eastAsia="Palatino Linotype" w:hAnsi="Palatino Linotype" w:cs="Palatino Linotype"/>
          <w:i/>
          <w:iCs/>
          <w:color w:val="000000"/>
        </w:rPr>
      </w:pPr>
    </w:p>
    <w:p w:rsidR="00913D41" w:rsidRDefault="004D6380">
      <w:pPr>
        <w:ind w:left="567" w:right="-22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IV. Coordinar los procesos de Valoración y Disposición Documental que realicen las Áreas Operativas; </w:t>
      </w:r>
    </w:p>
    <w:p w:rsidR="00913D41" w:rsidRDefault="00913D41">
      <w:pPr>
        <w:ind w:left="567" w:right="-220"/>
        <w:jc w:val="both"/>
        <w:rPr>
          <w:rFonts w:ascii="Palatino Linotype" w:eastAsia="Palatino Linotype" w:hAnsi="Palatino Linotype" w:cs="Palatino Linotype"/>
          <w:b/>
          <w:bCs/>
          <w:i/>
          <w:iCs/>
          <w:color w:val="000000"/>
        </w:rPr>
      </w:pPr>
    </w:p>
    <w:p w:rsidR="00913D41" w:rsidRDefault="004D6380">
      <w:pPr>
        <w:ind w:left="567" w:right="-22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V. Coordinar las actividades destinadas a la modernización y automatización de los procesos archivísticos y a la gestión de documentos electrónicos de las Áreas Operativas; </w:t>
      </w:r>
    </w:p>
    <w:p w:rsidR="00913D41" w:rsidRDefault="00913D41">
      <w:pPr>
        <w:ind w:left="567" w:right="-220"/>
        <w:jc w:val="both"/>
        <w:rPr>
          <w:rFonts w:ascii="Palatino Linotype" w:eastAsia="Palatino Linotype" w:hAnsi="Palatino Linotype" w:cs="Palatino Linotype"/>
          <w:i/>
          <w:iCs/>
          <w:color w:val="000000"/>
        </w:rPr>
      </w:pPr>
    </w:p>
    <w:p w:rsidR="00913D41" w:rsidRDefault="004D6380">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Brindar asesoría técnica para la operación de los Archivos y dar visto bueno al proceso de Disposición Documental realizado por las Áreas Operativas; </w:t>
      </w:r>
    </w:p>
    <w:p w:rsidR="00913D41" w:rsidRDefault="00913D41">
      <w:pPr>
        <w:ind w:left="567" w:right="-220"/>
        <w:jc w:val="both"/>
        <w:rPr>
          <w:rFonts w:ascii="Palatino Linotype" w:eastAsia="Palatino Linotype" w:hAnsi="Palatino Linotype" w:cs="Palatino Linotype"/>
          <w:i/>
          <w:iCs/>
          <w:color w:val="000000"/>
        </w:rPr>
      </w:pPr>
    </w:p>
    <w:p w:rsidR="00913D41" w:rsidRDefault="004D6380">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VII. Elaborar programas de capacitación en Gestión Documental y Administración de Archivos para las Áreas Operativas con las cuales se coordina; </w:t>
      </w:r>
    </w:p>
    <w:p w:rsidR="00913D41" w:rsidRDefault="00913D41">
      <w:pPr>
        <w:ind w:left="567" w:right="-220"/>
        <w:jc w:val="both"/>
        <w:rPr>
          <w:rFonts w:ascii="Palatino Linotype" w:eastAsia="Palatino Linotype" w:hAnsi="Palatino Linotype" w:cs="Palatino Linotype"/>
          <w:i/>
          <w:iCs/>
          <w:color w:val="000000"/>
        </w:rPr>
      </w:pPr>
    </w:p>
    <w:p w:rsidR="00913D41" w:rsidRDefault="004D6380">
      <w:pPr>
        <w:ind w:left="567" w:right="-22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VIII. Coordinar, con las áreas o unidades administrativas, las políticas de acceso y la conservación de los Archivos; </w:t>
      </w:r>
    </w:p>
    <w:p w:rsidR="00913D41" w:rsidRDefault="00913D41">
      <w:pPr>
        <w:ind w:left="567" w:right="-220"/>
        <w:jc w:val="both"/>
        <w:rPr>
          <w:rFonts w:ascii="Palatino Linotype" w:eastAsia="Palatino Linotype" w:hAnsi="Palatino Linotype" w:cs="Palatino Linotype"/>
          <w:i/>
          <w:iCs/>
          <w:color w:val="000000"/>
        </w:rPr>
      </w:pPr>
    </w:p>
    <w:p w:rsidR="00913D41" w:rsidRDefault="004D6380">
      <w:pPr>
        <w:ind w:left="567" w:right="-22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IX. Coordinar la operación de los Archivos de trámite, concentración y, en su caso, histórico, de acuerdo con la normativa aplicable;</w:t>
      </w:r>
    </w:p>
    <w:p w:rsidR="00913D41" w:rsidRDefault="00913D41">
      <w:pPr>
        <w:ind w:left="567" w:right="-220"/>
        <w:jc w:val="both"/>
        <w:rPr>
          <w:rFonts w:ascii="Palatino Linotype" w:eastAsia="Palatino Linotype" w:hAnsi="Palatino Linotype" w:cs="Palatino Linotype"/>
          <w:i/>
          <w:iCs/>
          <w:color w:val="000000"/>
        </w:rPr>
      </w:pPr>
    </w:p>
    <w:p w:rsidR="00913D41" w:rsidRDefault="004D6380">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 Autorizar la Transferencia de los Archivos cuando un área o unidad del Sujeto Obligado sea sometida a procesos de fusión, escisión, extinción o cambio de adscripción; o cualquier modificación de conformidad con las disposiciones jurídicas aplicables; </w:t>
      </w:r>
    </w:p>
    <w:p w:rsidR="00913D41" w:rsidRDefault="00913D41">
      <w:pPr>
        <w:ind w:left="567" w:right="-220"/>
        <w:jc w:val="both"/>
        <w:rPr>
          <w:rFonts w:ascii="Palatino Linotype" w:eastAsia="Palatino Linotype" w:hAnsi="Palatino Linotype" w:cs="Palatino Linotype"/>
          <w:i/>
          <w:iCs/>
          <w:color w:val="000000"/>
        </w:rPr>
      </w:pPr>
    </w:p>
    <w:p w:rsidR="00913D41" w:rsidRDefault="004D6380">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XI. Coadyuvar con el área responsable del desarrollo y aplicación de las tecnologías de la información de cada Sujeto Obligado y con el Archivo General del Estado, en las actividades destinadas a la automatización y digitalización de los Archivos y a la Gestión Documental de Archivos electrónicos, de conformidad con esta Ley, la Ley de Gobierno Digital del Estado de México y Municipios, su Reglamento, y </w:t>
      </w:r>
    </w:p>
    <w:p w:rsidR="00913D41" w:rsidRDefault="00913D41">
      <w:pPr>
        <w:ind w:left="567" w:right="-220"/>
        <w:jc w:val="both"/>
        <w:rPr>
          <w:rFonts w:ascii="Palatino Linotype" w:eastAsia="Palatino Linotype" w:hAnsi="Palatino Linotype" w:cs="Palatino Linotype"/>
          <w:i/>
          <w:iCs/>
          <w:color w:val="000000"/>
        </w:rPr>
      </w:pPr>
    </w:p>
    <w:p w:rsidR="00913D41" w:rsidRDefault="004D6380">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XII. Las que establezcan las demás disposiciones jurídicas aplicables.</w:t>
      </w:r>
    </w:p>
    <w:p w:rsidR="00913D41" w:rsidRDefault="004D6380">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913D41" w:rsidRDefault="00913D41">
      <w:pPr>
        <w:ind w:right="-220"/>
        <w:jc w:val="both"/>
        <w:rPr>
          <w:rFonts w:ascii="Palatino Linotype" w:eastAsia="Palatino Linotype" w:hAnsi="Palatino Linotype" w:cs="Palatino Linotype"/>
          <w:i/>
          <w:iCs/>
          <w:color w:val="000000"/>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este orden de ideas, la citada ley define a los </w:t>
      </w:r>
      <w:r>
        <w:rPr>
          <w:rFonts w:ascii="Palatino Linotype" w:eastAsia="Palatino Linotype" w:hAnsi="Palatino Linotype" w:cs="Palatino Linotype"/>
          <w:b/>
          <w:bCs/>
        </w:rPr>
        <w:t>Instrumentos de Control Archivístico</w:t>
      </w:r>
      <w:r>
        <w:rPr>
          <w:rFonts w:ascii="Palatino Linotype" w:eastAsia="Palatino Linotype" w:hAnsi="Palatino Linotype" w:cs="Palatino Linotype"/>
        </w:rPr>
        <w:t xml:space="preserve">: A los instrumentos técnicos que propicien la organización, control y conservación de los Documentos de Archivo a lo largo de su Ciclo Vital, que son el </w:t>
      </w:r>
      <w:r>
        <w:rPr>
          <w:rFonts w:ascii="Palatino Linotype" w:eastAsia="Palatino Linotype" w:hAnsi="Palatino Linotype" w:cs="Palatino Linotype"/>
          <w:u w:val="single"/>
        </w:rPr>
        <w:t>Cuadro General de Clasificación Archivística</w:t>
      </w:r>
      <w:r>
        <w:rPr>
          <w:rFonts w:ascii="Palatino Linotype" w:eastAsia="Palatino Linotype" w:hAnsi="Palatino Linotype" w:cs="Palatino Linotype"/>
        </w:rPr>
        <w:t xml:space="preserve"> y el </w:t>
      </w:r>
      <w:r>
        <w:rPr>
          <w:rFonts w:ascii="Palatino Linotype" w:eastAsia="Palatino Linotype" w:hAnsi="Palatino Linotype" w:cs="Palatino Linotype"/>
          <w:u w:val="single"/>
        </w:rPr>
        <w:t>Catálogo de Disposición Documental</w:t>
      </w:r>
      <w:r>
        <w:rPr>
          <w:rFonts w:ascii="Palatino Linotype" w:eastAsia="Palatino Linotype" w:hAnsi="Palatino Linotype" w:cs="Palatino Linotype"/>
        </w:rPr>
        <w:t>;</w:t>
      </w:r>
    </w:p>
    <w:p w:rsidR="00913D41" w:rsidRDefault="00913D41">
      <w:pPr>
        <w:spacing w:line="360" w:lineRule="auto"/>
        <w:ind w:right="-787"/>
        <w:jc w:val="both"/>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este sentido, es de precisar que el área coordinadora de archivos es la encargada de coordinar la organización y Conservación de Archivos, y de acuerdo a la respuesta proporcionada por el Sujeto Obligado, la </w:t>
      </w:r>
      <w:r>
        <w:rPr>
          <w:rFonts w:ascii="Palatino Linotype" w:eastAsia="Palatino Linotype" w:hAnsi="Palatino Linotype" w:cs="Palatino Linotype"/>
          <w:b/>
          <w:bCs/>
        </w:rPr>
        <w:t>Dirección Médica</w:t>
      </w:r>
      <w:r>
        <w:rPr>
          <w:rFonts w:ascii="Palatino Linotype" w:eastAsia="Palatino Linotype" w:hAnsi="Palatino Linotype" w:cs="Palatino Linotype"/>
        </w:rPr>
        <w:t>, es la responsable del Área Coordinadora de Archivos del Sujeto Obligado.</w:t>
      </w:r>
    </w:p>
    <w:p w:rsidR="00913D41" w:rsidRDefault="00913D41">
      <w:pPr>
        <w:spacing w:line="360" w:lineRule="auto"/>
        <w:ind w:right="-787"/>
        <w:jc w:val="both"/>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pPr>
      <w:r>
        <w:rPr>
          <w:rFonts w:ascii="Palatino Linotype" w:eastAsia="Palatino Linotype" w:hAnsi="Palatino Linotype" w:cs="Palatino Linotype"/>
        </w:rPr>
        <w:t xml:space="preserve">De lo expuesto es de precisar que la respuesta fue emitida por la </w:t>
      </w:r>
      <w:r>
        <w:rPr>
          <w:rFonts w:ascii="Palatino Linotype" w:eastAsia="Palatino Linotype" w:hAnsi="Palatino Linotype" w:cs="Palatino Linotype"/>
          <w:b/>
          <w:bCs/>
        </w:rPr>
        <w:t>Dirección Médica</w:t>
      </w:r>
      <w:r>
        <w:rPr>
          <w:rFonts w:ascii="Palatino Linotype" w:eastAsia="Palatino Linotype" w:hAnsi="Palatino Linotype" w:cs="Palatino Linotype"/>
        </w:rPr>
        <w:t xml:space="preserve">, por lo que podemos advertir que </w:t>
      </w:r>
      <w:r>
        <w:rPr>
          <w:rFonts w:ascii="Palatino Linotype" w:eastAsia="Palatino Linotype" w:hAnsi="Palatino Linotype" w:cs="Palatino Linotype"/>
          <w:b/>
          <w:bCs/>
        </w:rPr>
        <w:t xml:space="preserve">EL SUJETO OBLIGADO </w:t>
      </w:r>
      <w:r>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913D41" w:rsidRDefault="004D6380">
      <w:pPr>
        <w:ind w:left="567" w:right="62"/>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913D41" w:rsidRDefault="00913D41">
      <w:pPr>
        <w:spacing w:line="360" w:lineRule="auto"/>
        <w:ind w:left="708" w:right="62"/>
        <w:jc w:val="both"/>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pPr>
      <w:r>
        <w:rPr>
          <w:rFonts w:ascii="Palatino Linotype" w:eastAsia="Palatino Linotype" w:hAnsi="Palatino Linotype" w:cs="Palatino Linotype"/>
        </w:rPr>
        <w:lastRenderedPageBreak/>
        <w:t>Así las cosas, se advierte que efectivamente la Unidad de Transparencia cumplió con lo establecido en el artículo 162 de la Ley de Transparencia y Acceso a la Información Pública del Estado de México y Municipios, el cual menciona lo siguiente:</w:t>
      </w:r>
    </w:p>
    <w:p w:rsidR="00913D41" w:rsidRDefault="004D6380">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913D41" w:rsidRDefault="00913D41">
      <w:pPr>
        <w:spacing w:line="360" w:lineRule="auto"/>
        <w:ind w:right="-787"/>
        <w:jc w:val="both"/>
        <w:rPr>
          <w:color w:val="000000"/>
        </w:rPr>
      </w:pPr>
    </w:p>
    <w:p w:rsidR="00913D41" w:rsidRDefault="004D6380">
      <w:pPr>
        <w:numPr>
          <w:ilvl w:val="0"/>
          <w:numId w:val="3"/>
        </w:numPr>
        <w:spacing w:line="360" w:lineRule="auto"/>
        <w:ind w:left="0" w:right="-787" w:firstLine="0"/>
        <w:jc w:val="both"/>
        <w:rPr>
          <w:color w:val="000000"/>
        </w:rPr>
      </w:pPr>
      <w:r>
        <w:rPr>
          <w:rFonts w:ascii="Palatino Linotype" w:eastAsia="Palatino Linotype" w:hAnsi="Palatino Linotype" w:cs="Palatino Linotype"/>
        </w:rPr>
        <w:t>Por otro lado, es</w:t>
      </w:r>
      <w:r>
        <w:rPr>
          <w:rFonts w:ascii="Palatino Linotype" w:eastAsia="Palatino Linotype" w:hAnsi="Palatino Linotype" w:cs="Palatino Linotype"/>
          <w:color w:val="000000"/>
        </w:rPr>
        <w:t xml:space="preserve"> de subrayar que el derecho de acceso a la información pública, consiste en que la </w:t>
      </w:r>
      <w:r>
        <w:rPr>
          <w:rFonts w:ascii="Palatino Linotype" w:eastAsia="Palatino Linotype" w:hAnsi="Palatino Linotype" w:cs="Palatino Linotype"/>
        </w:rPr>
        <w:t>información</w:t>
      </w:r>
      <w:r>
        <w:rPr>
          <w:rFonts w:ascii="Palatino Linotype" w:eastAsia="Palatino Linotype" w:hAnsi="Palatino Linotype" w:cs="Palatino Linotype"/>
          <w:color w:val="000000"/>
        </w:rPr>
        <w:t xml:space="preserve">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913D41" w:rsidRDefault="004D6380">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913D41" w:rsidRDefault="004D6380">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913D41" w:rsidRDefault="004D6380">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913D41" w:rsidRDefault="004D6380">
      <w:pPr>
        <w:spacing w:line="360" w:lineRule="auto"/>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913D41" w:rsidRDefault="00913D41">
      <w:pPr>
        <w:ind w:right="-787"/>
        <w:jc w:val="both"/>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color w:val="000000"/>
        </w:rPr>
      </w:pPr>
      <w:r>
        <w:rPr>
          <w:rFonts w:ascii="Palatino Linotype" w:eastAsia="Palatino Linotype" w:hAnsi="Palatino Linotype" w:cs="Palatino Linotype"/>
          <w:color w:val="000000"/>
        </w:rPr>
        <w:lastRenderedPageBreak/>
        <w:t xml:space="preserve">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 </w:t>
      </w:r>
    </w:p>
    <w:p w:rsidR="00913D41" w:rsidRDefault="004D6380">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913D41" w:rsidRDefault="004D6380">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913D41" w:rsidRDefault="004D6380">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913D41" w:rsidRDefault="004D6380">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913D41" w:rsidRDefault="004D6380">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913D41" w:rsidRDefault="004D6380">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913D41" w:rsidRDefault="004D6380">
      <w:pPr>
        <w:tabs>
          <w:tab w:val="left" w:pos="851"/>
        </w:tabs>
        <w:spacing w:line="360" w:lineRule="auto"/>
        <w:ind w:left="567" w:right="-220"/>
        <w:rPr>
          <w:rFonts w:ascii="Palatino Linotype" w:eastAsia="Palatino Linotype" w:hAnsi="Palatino Linotype" w:cs="Palatino Linotype"/>
        </w:rPr>
      </w:pPr>
      <w:r>
        <w:rPr>
          <w:rFonts w:ascii="Palatino Linotype" w:eastAsia="Palatino Linotype" w:hAnsi="Palatino Linotype" w:cs="Palatino Linotype"/>
        </w:rPr>
        <w:t>(Énfasis Añadido)</w:t>
      </w:r>
    </w:p>
    <w:p w:rsidR="00913D41" w:rsidRDefault="00913D41">
      <w:pPr>
        <w:pBdr>
          <w:top w:val="nil"/>
          <w:left w:val="nil"/>
          <w:bottom w:val="nil"/>
          <w:right w:val="nil"/>
          <w:between w:val="nil"/>
        </w:pBdr>
        <w:ind w:right="-787"/>
        <w:jc w:val="both"/>
        <w:rPr>
          <w:rFonts w:ascii="Palatino Linotype" w:eastAsia="Palatino Linotype" w:hAnsi="Palatino Linotype" w:cs="Palatino Linotype"/>
          <w:color w:val="000000"/>
        </w:rPr>
      </w:pPr>
    </w:p>
    <w:p w:rsidR="00913D41" w:rsidRDefault="004D6380">
      <w:pPr>
        <w:numPr>
          <w:ilvl w:val="0"/>
          <w:numId w:val="3"/>
        </w:numPr>
        <w:spacing w:line="360" w:lineRule="auto"/>
        <w:ind w:left="0" w:right="-787" w:firstLine="0"/>
        <w:jc w:val="both"/>
        <w:rPr>
          <w:color w:val="000000"/>
        </w:rPr>
      </w:pPr>
      <w:r>
        <w:rPr>
          <w:rFonts w:ascii="Palatino Linotype" w:eastAsia="Palatino Linotype" w:hAnsi="Palatino Linotype" w:cs="Palatino Linotype"/>
          <w:color w:val="000000"/>
        </w:rPr>
        <w:t>Por su parte los artículos 160 y 166, de la Ley local en la materia, que se reproduce de la siguiente forma:</w:t>
      </w:r>
    </w:p>
    <w:p w:rsidR="00913D41" w:rsidRDefault="004D6380">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913D41" w:rsidRDefault="00913D41">
      <w:pPr>
        <w:ind w:left="566" w:right="-220"/>
        <w:jc w:val="both"/>
        <w:rPr>
          <w:rFonts w:ascii="Palatino Linotype" w:eastAsia="Palatino Linotype" w:hAnsi="Palatino Linotype" w:cs="Palatino Linotype"/>
          <w:i/>
          <w:iCs/>
        </w:rPr>
      </w:pPr>
    </w:p>
    <w:p w:rsidR="00913D41" w:rsidRDefault="004D6380">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En caso que la información solicitada consista en bases de datos se deberá privilegiar la entrega de la misma en formatos abiertos.</w:t>
      </w:r>
    </w:p>
    <w:p w:rsidR="00913D41" w:rsidRDefault="004D6380">
      <w:pPr>
        <w:ind w:left="566" w:right="-220"/>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913D41" w:rsidRDefault="004D6380">
      <w:pPr>
        <w:spacing w:line="360" w:lineRule="auto"/>
        <w:ind w:left="566" w:right="-220"/>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913D41" w:rsidRDefault="00913D41">
      <w:pPr>
        <w:ind w:right="-787"/>
        <w:jc w:val="both"/>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color w:val="000000"/>
        </w:rPr>
      </w:pPr>
      <w:r>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913D41" w:rsidRDefault="00913D41">
      <w:pPr>
        <w:spacing w:line="360" w:lineRule="auto"/>
        <w:ind w:right="-787"/>
        <w:jc w:val="both"/>
        <w:rPr>
          <w:rFonts w:ascii="Palatino Linotype" w:eastAsia="Palatino Linotype" w:hAnsi="Palatino Linotype" w:cs="Palatino Linotype"/>
          <w:color w:val="000000"/>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Ahora</w:t>
      </w:r>
      <w:r>
        <w:rPr>
          <w:rFonts w:ascii="Palatino Linotype" w:eastAsia="Palatino Linotype" w:hAnsi="Palatino Linotype" w:cs="Palatino Linotype"/>
        </w:rPr>
        <w:t xml:space="preserve"> bien, es de recordar que el particular solicitó el </w:t>
      </w:r>
      <w:r>
        <w:rPr>
          <w:rFonts w:ascii="Palatino Linotype" w:eastAsia="Palatino Linotype" w:hAnsi="Palatino Linotype" w:cs="Palatino Linotype"/>
          <w:i/>
          <w:iCs/>
          <w:u w:val="single"/>
        </w:rPr>
        <w:t>Catálogo de Disposición Documental del Hospital debidamente validado o las distintas versiones en caso de contar con actualización, adjuntar los documentos que soporten su validación, en caso de inexistencia indicar las causas</w:t>
      </w:r>
      <w:r>
        <w:rPr>
          <w:rFonts w:ascii="Palatino Linotype" w:eastAsia="Palatino Linotype" w:hAnsi="Palatino Linotype" w:cs="Palatino Linotype"/>
        </w:rPr>
        <w:t xml:space="preserve">, en respuesta el Sujeto Obligado refirió que se localizó el documento denominado </w:t>
      </w:r>
      <w:r>
        <w:rPr>
          <w:rFonts w:ascii="Palatino Linotype" w:eastAsia="Palatino Linotype" w:hAnsi="Palatino Linotype" w:cs="Palatino Linotype"/>
          <w:b/>
          <w:bCs/>
          <w:i/>
          <w:iCs/>
        </w:rPr>
        <w:t>"CATÁLOGO DE DISPOSICIÓN DOCUMENTAL" con fecha de mayo de 2023</w:t>
      </w:r>
      <w:r>
        <w:rPr>
          <w:rFonts w:ascii="Palatino Linotype" w:eastAsia="Palatino Linotype" w:hAnsi="Palatino Linotype" w:cs="Palatino Linotype"/>
        </w:rPr>
        <w:t xml:space="preserve">, mismo que tiene la leyenda de </w:t>
      </w:r>
      <w:r>
        <w:rPr>
          <w:rFonts w:ascii="Palatino Linotype" w:eastAsia="Palatino Linotype" w:hAnsi="Palatino Linotype" w:cs="Palatino Linotype"/>
          <w:b/>
          <w:bCs/>
          <w:i/>
          <w:iCs/>
        </w:rPr>
        <w:t>el mismo tiene la leyenda de "DOCUMENTO EN PROCESO DE INTEGRACIÓN"</w:t>
      </w:r>
      <w:r>
        <w:rPr>
          <w:rFonts w:ascii="Palatino Linotype" w:eastAsia="Palatino Linotype" w:hAnsi="Palatino Linotype" w:cs="Palatino Linotype"/>
          <w:i/>
          <w:iCs/>
        </w:rPr>
        <w:t xml:space="preserve">; es decir que, </w:t>
      </w:r>
      <w:r>
        <w:rPr>
          <w:rFonts w:ascii="Palatino Linotype" w:eastAsia="Palatino Linotype" w:hAnsi="Palatino Linotype" w:cs="Palatino Linotype"/>
          <w:b/>
          <w:bCs/>
          <w:i/>
          <w:iCs/>
        </w:rPr>
        <w:t>no tiene ninguna validación</w:t>
      </w:r>
      <w:r>
        <w:rPr>
          <w:rFonts w:ascii="Palatino Linotype" w:eastAsia="Palatino Linotype" w:hAnsi="Palatino Linotype" w:cs="Palatino Linotype"/>
          <w:b/>
          <w:bCs/>
        </w:rPr>
        <w:t xml:space="preserve">, </w:t>
      </w:r>
      <w:r>
        <w:rPr>
          <w:rFonts w:ascii="Palatino Linotype" w:eastAsia="Palatino Linotype" w:hAnsi="Palatino Linotype" w:cs="Palatino Linotype"/>
        </w:rPr>
        <w:t>y se encuentra disponible al público en la plataforma IPOMEX, describiendo un hipervínculo en formato cerrado, asimismo manifestó que la</w:t>
      </w:r>
      <w:r>
        <w:rPr>
          <w:rFonts w:ascii="Palatino Linotype" w:eastAsia="Palatino Linotype" w:hAnsi="Palatino Linotype" w:cs="Palatino Linotype"/>
          <w:i/>
          <w:iCs/>
        </w:rPr>
        <w:t xml:space="preserve"> Dirección Médica como persona responsable del Área Coordinadora de Archivos de este Hospital, ha tenido a bien llevar a cabo la ejecución de diversas gestiones, para lograr la culminación del instrumento de control archivístico denominado </w:t>
      </w:r>
      <w:r>
        <w:rPr>
          <w:rFonts w:ascii="Palatino Linotype" w:eastAsia="Palatino Linotype" w:hAnsi="Palatino Linotype" w:cs="Palatino Linotype"/>
          <w:b/>
          <w:bCs/>
          <w:i/>
          <w:iCs/>
        </w:rPr>
        <w:t>Catálogo de Disposición Documental</w:t>
      </w:r>
      <w:r>
        <w:rPr>
          <w:rFonts w:ascii="Palatino Linotype" w:eastAsia="Palatino Linotype" w:hAnsi="Palatino Linotype" w:cs="Palatino Linotype"/>
          <w:b/>
          <w:bCs/>
        </w:rPr>
        <w:t>;</w:t>
      </w:r>
      <w:r>
        <w:rPr>
          <w:rFonts w:ascii="Palatino Linotype" w:eastAsia="Palatino Linotype" w:hAnsi="Palatino Linotype" w:cs="Palatino Linotype"/>
        </w:rPr>
        <w:t xml:space="preserve"> en consecuencia, el recurrente se dolió por la entrega de información incompleta. En la etapa de instrucción el particular adjuntó escrito libre en el que medularmente se ratifica su inconformidad y el Sujeto Obligado fue omiso en rendir informe justificado.</w:t>
      </w: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primer lugar es de precisar que el link en el que ha dicho del Sujeto Obligado se puede consultar la información se entregó en formato cerrado, lo que </w:t>
      </w:r>
      <w:r>
        <w:rPr>
          <w:rFonts w:ascii="Palatino Linotype" w:eastAsia="Palatino Linotype" w:hAnsi="Palatino Linotype" w:cs="Palatino Linotype"/>
          <w:color w:val="000000"/>
        </w:rPr>
        <w:t xml:space="preserve">implica que se digite dato por dato de cada uno de los caracteres, lo que facilita la existencia del error humano; por lo cual, en atención a los artículos 3° fracción VIII, XVI, 24, fracción V, 41 y 160 de la Ley de Transparencia vigente en la Entidad, los Sujetos Obligados y este Organismo Garante, deben velar por la generación y entrega de la información a los Particulares </w:t>
      </w:r>
      <w:r>
        <w:rPr>
          <w:rFonts w:ascii="Palatino Linotype" w:eastAsia="Palatino Linotype" w:hAnsi="Palatino Linotype" w:cs="Palatino Linotype"/>
          <w:b/>
          <w:bCs/>
          <w:color w:val="000000"/>
        </w:rPr>
        <w:t>en formatos abiertos, con los efectos de facilitar la reutilización de la información</w:t>
      </w:r>
      <w:r>
        <w:rPr>
          <w:rFonts w:ascii="Palatino Linotype" w:eastAsia="Palatino Linotype" w:hAnsi="Palatino Linotype" w:cs="Palatino Linotype"/>
          <w:color w:val="000000"/>
        </w:rPr>
        <w:t>, tal como a la letra refiere:</w:t>
      </w:r>
    </w:p>
    <w:p w:rsidR="00913D41" w:rsidRDefault="004D6380">
      <w:pPr>
        <w:ind w:left="56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Ley de Transparencia y Acceso a la Información Pública del Estado de México y Municipios</w:t>
      </w:r>
    </w:p>
    <w:p w:rsidR="00913D41" w:rsidRDefault="00913D41">
      <w:pPr>
        <w:ind w:left="566"/>
        <w:jc w:val="center"/>
        <w:rPr>
          <w:rFonts w:ascii="Palatino Linotype" w:eastAsia="Palatino Linotype" w:hAnsi="Palatino Linotype" w:cs="Palatino Linotype"/>
          <w:b/>
          <w:bCs/>
          <w:i/>
          <w:iCs/>
        </w:rPr>
      </w:pP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w:t>
      </w:r>
      <w:r>
        <w:rPr>
          <w:rFonts w:ascii="Palatino Linotype" w:eastAsia="Palatino Linotype" w:hAnsi="Palatino Linotype" w:cs="Palatino Linotype"/>
          <w:i/>
          <w:iCs/>
        </w:rPr>
        <w:t>. Para los efectos de la presente Ley se entenderá por:</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b/>
          <w:bCs/>
          <w:i/>
          <w:iCs/>
        </w:rPr>
        <w:t>VIII. Datos abiertos</w:t>
      </w:r>
      <w:r>
        <w:rPr>
          <w:rFonts w:ascii="Palatino Linotype" w:eastAsia="Palatino Linotype" w:hAnsi="Palatino Linotype" w:cs="Palatino Linotype"/>
          <w:i/>
          <w:iCs/>
        </w:rPr>
        <w:t xml:space="preserve">: Los datos digitales de carácter público que son accesibles en línea que pueden ser usados, reutilizados y redistribuidos por cualquier interesado y que tienen las siguientes características: </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w:t>
      </w:r>
      <w:r>
        <w:rPr>
          <w:rFonts w:ascii="Palatino Linotype" w:eastAsia="Palatino Linotype" w:hAnsi="Palatino Linotype" w:cs="Palatino Linotype"/>
          <w:b/>
          <w:bCs/>
          <w:i/>
          <w:iCs/>
        </w:rPr>
        <w:t>Accesibles</w:t>
      </w:r>
      <w:r>
        <w:rPr>
          <w:rFonts w:ascii="Palatino Linotype" w:eastAsia="Palatino Linotype" w:hAnsi="Palatino Linotype" w:cs="Palatino Linotype"/>
          <w:i/>
          <w:iCs/>
        </w:rPr>
        <w:t xml:space="preserve">: Los datos están disponibles para la gama más amplia de usuarios, para cualquier propósito; </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w:t>
      </w:r>
      <w:r>
        <w:rPr>
          <w:rFonts w:ascii="Palatino Linotype" w:eastAsia="Palatino Linotype" w:hAnsi="Palatino Linotype" w:cs="Palatino Linotype"/>
          <w:b/>
          <w:bCs/>
          <w:i/>
          <w:iCs/>
        </w:rPr>
        <w:t>Integrales</w:t>
      </w:r>
      <w:r>
        <w:rPr>
          <w:rFonts w:ascii="Palatino Linotype" w:eastAsia="Palatino Linotype" w:hAnsi="Palatino Linotype" w:cs="Palatino Linotype"/>
          <w:i/>
          <w:iCs/>
        </w:rPr>
        <w:t>: Contienen el tema que describen a detalle y con los metadatos necesarios;</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w:t>
      </w:r>
      <w:r>
        <w:rPr>
          <w:rFonts w:ascii="Palatino Linotype" w:eastAsia="Palatino Linotype" w:hAnsi="Palatino Linotype" w:cs="Palatino Linotype"/>
          <w:b/>
          <w:bCs/>
          <w:i/>
          <w:iCs/>
        </w:rPr>
        <w:t>Gratuitos</w:t>
      </w:r>
      <w:r>
        <w:rPr>
          <w:rFonts w:ascii="Palatino Linotype" w:eastAsia="Palatino Linotype" w:hAnsi="Palatino Linotype" w:cs="Palatino Linotype"/>
          <w:i/>
          <w:iCs/>
        </w:rPr>
        <w:t xml:space="preserve">: Se obtienen sin entregar a cambio contraprestación alguna; </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 </w:t>
      </w:r>
      <w:r>
        <w:rPr>
          <w:rFonts w:ascii="Palatino Linotype" w:eastAsia="Palatino Linotype" w:hAnsi="Palatino Linotype" w:cs="Palatino Linotype"/>
          <w:b/>
          <w:bCs/>
          <w:i/>
          <w:iCs/>
        </w:rPr>
        <w:t>No discriminatorios</w:t>
      </w:r>
      <w:r>
        <w:rPr>
          <w:rFonts w:ascii="Palatino Linotype" w:eastAsia="Palatino Linotype" w:hAnsi="Palatino Linotype" w:cs="Palatino Linotype"/>
          <w:i/>
          <w:iCs/>
        </w:rPr>
        <w:t xml:space="preserve">: Los datos están disponibles para cualquier persona, sin necesidad de registro; </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 </w:t>
      </w:r>
      <w:r>
        <w:rPr>
          <w:rFonts w:ascii="Palatino Linotype" w:eastAsia="Palatino Linotype" w:hAnsi="Palatino Linotype" w:cs="Palatino Linotype"/>
          <w:b/>
          <w:bCs/>
          <w:i/>
          <w:iCs/>
        </w:rPr>
        <w:t>Oportunos</w:t>
      </w:r>
      <w:r>
        <w:rPr>
          <w:rFonts w:ascii="Palatino Linotype" w:eastAsia="Palatino Linotype" w:hAnsi="Palatino Linotype" w:cs="Palatino Linotype"/>
          <w:i/>
          <w:iCs/>
        </w:rPr>
        <w:t>: Son actualizados, periódicamente, conforme se generen;</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f) </w:t>
      </w:r>
      <w:r>
        <w:rPr>
          <w:rFonts w:ascii="Palatino Linotype" w:eastAsia="Palatino Linotype" w:hAnsi="Palatino Linotype" w:cs="Palatino Linotype"/>
          <w:b/>
          <w:bCs/>
          <w:i/>
          <w:iCs/>
        </w:rPr>
        <w:t>Permanentes</w:t>
      </w:r>
      <w:r>
        <w:rPr>
          <w:rFonts w:ascii="Palatino Linotype" w:eastAsia="Palatino Linotype" w:hAnsi="Palatino Linotype" w:cs="Palatino Linotype"/>
          <w:i/>
          <w:iCs/>
        </w:rPr>
        <w:t xml:space="preserve">: Se conservan en el tiempo, para lo cual, las versiones históricas relevantes para uso público se mantendrán disponibles con identificadores adecuados al efecto; </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g) </w:t>
      </w:r>
      <w:r>
        <w:rPr>
          <w:rFonts w:ascii="Palatino Linotype" w:eastAsia="Palatino Linotype" w:hAnsi="Palatino Linotype" w:cs="Palatino Linotype"/>
          <w:b/>
          <w:bCs/>
          <w:i/>
          <w:iCs/>
        </w:rPr>
        <w:t>Primarios</w:t>
      </w:r>
      <w:r>
        <w:rPr>
          <w:rFonts w:ascii="Palatino Linotype" w:eastAsia="Palatino Linotype" w:hAnsi="Palatino Linotype" w:cs="Palatino Linotype"/>
          <w:i/>
          <w:iCs/>
        </w:rPr>
        <w:t xml:space="preserve">: Provienen de la fuente de origen con el máximo nivel de desagregación posible; </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h) </w:t>
      </w:r>
      <w:r>
        <w:rPr>
          <w:rFonts w:ascii="Palatino Linotype" w:eastAsia="Palatino Linotype" w:hAnsi="Palatino Linotype" w:cs="Palatino Linotype"/>
          <w:b/>
          <w:bCs/>
          <w:i/>
          <w:iCs/>
        </w:rPr>
        <w:t>Legibles por máquinas</w:t>
      </w:r>
      <w:r>
        <w:rPr>
          <w:rFonts w:ascii="Palatino Linotype" w:eastAsia="Palatino Linotype" w:hAnsi="Palatino Linotype" w:cs="Palatino Linotype"/>
          <w:i/>
          <w:iCs/>
        </w:rPr>
        <w:t xml:space="preserve">: Deberán estar estructurados, total o parcialmente, para ser procesados e interpretados por equipos electrónicos de manera automática; </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w:t>
      </w:r>
      <w:r>
        <w:rPr>
          <w:rFonts w:ascii="Palatino Linotype" w:eastAsia="Palatino Linotype" w:hAnsi="Palatino Linotype" w:cs="Palatino Linotype"/>
          <w:b/>
          <w:bCs/>
          <w:i/>
          <w:iCs/>
        </w:rPr>
        <w:t>En formatos abiertos</w:t>
      </w:r>
      <w:r>
        <w:rPr>
          <w:rFonts w:ascii="Palatino Linotype" w:eastAsia="Palatino Linotype" w:hAnsi="Palatino Linotype" w:cs="Palatino Linotype"/>
          <w:i/>
          <w:iCs/>
        </w:rPr>
        <w:t xml:space="preserve">: Los datos estarán disponibles con el conjunto de características técnicas y de presentación que corresponden a la estructura lógica usada para almacenar datos en un archivo digital, cuyas especificaciones técnicas están disponibles </w:t>
      </w:r>
      <w:r>
        <w:rPr>
          <w:rFonts w:ascii="Palatino Linotype" w:eastAsia="Palatino Linotype" w:hAnsi="Palatino Linotype" w:cs="Palatino Linotype"/>
          <w:i/>
          <w:iCs/>
        </w:rPr>
        <w:lastRenderedPageBreak/>
        <w:t xml:space="preserve">públicamente, que no suponen una dificultad de acceso y que su aplicación y reproducción no estén condicionadas a contraprestación alguna; y </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j) </w:t>
      </w:r>
      <w:r>
        <w:rPr>
          <w:rFonts w:ascii="Palatino Linotype" w:eastAsia="Palatino Linotype" w:hAnsi="Palatino Linotype" w:cs="Palatino Linotype"/>
          <w:b/>
          <w:bCs/>
          <w:i/>
          <w:iCs/>
        </w:rPr>
        <w:t>De libre uso</w:t>
      </w:r>
      <w:r>
        <w:rPr>
          <w:rFonts w:ascii="Palatino Linotype" w:eastAsia="Palatino Linotype" w:hAnsi="Palatino Linotype" w:cs="Palatino Linotype"/>
          <w:i/>
          <w:iCs/>
        </w:rPr>
        <w:t>: Citan la fuente de origen como único requerimiento para ser utilizados libremente.</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13D41" w:rsidRDefault="00913D41">
      <w:pPr>
        <w:ind w:left="566"/>
        <w:jc w:val="both"/>
        <w:rPr>
          <w:rFonts w:ascii="Palatino Linotype" w:eastAsia="Palatino Linotype" w:hAnsi="Palatino Linotype" w:cs="Palatino Linotype"/>
          <w:i/>
          <w:iCs/>
        </w:rPr>
      </w:pP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b/>
          <w:bCs/>
          <w:i/>
          <w:iCs/>
        </w:rPr>
        <w:t>XVI. Formatos abiertos</w:t>
      </w:r>
      <w:r>
        <w:rPr>
          <w:rFonts w:ascii="Palatino Linotype" w:eastAsia="Palatino Linotype" w:hAnsi="Palatino Linotype" w:cs="Palatino Linotype"/>
          <w:i/>
          <w:iCs/>
        </w:rPr>
        <w:t>: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los usuarios;</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13D41" w:rsidRDefault="00913D41">
      <w:pPr>
        <w:ind w:left="566"/>
        <w:jc w:val="both"/>
        <w:rPr>
          <w:rFonts w:ascii="Palatino Linotype" w:eastAsia="Palatino Linotype" w:hAnsi="Palatino Linotype" w:cs="Palatino Linotype"/>
          <w:i/>
          <w:iCs/>
        </w:rPr>
      </w:pP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24</w:t>
      </w:r>
      <w:r>
        <w:rPr>
          <w:rFonts w:ascii="Palatino Linotype" w:eastAsia="Palatino Linotype" w:hAnsi="Palatino Linotype" w:cs="Palatino Linotype"/>
          <w:i/>
          <w:iCs/>
        </w:rPr>
        <w:t>. Para el cumplimiento de los objetivos de esta Ley, los sujetos obligados deberán cumplir con las siguientes obligaciones, según corresponda, de acuerdo a su naturaleza:</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V. Promover la generación, documentación y publicación de la información en formatos abiertos y accesibles;</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13D41" w:rsidRDefault="00913D41">
      <w:pPr>
        <w:ind w:left="566"/>
        <w:jc w:val="both"/>
        <w:rPr>
          <w:rFonts w:ascii="Palatino Linotype" w:eastAsia="Palatino Linotype" w:hAnsi="Palatino Linotype" w:cs="Palatino Linotype"/>
          <w:i/>
          <w:iCs/>
        </w:rPr>
      </w:pP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41</w:t>
      </w:r>
      <w:r>
        <w:rPr>
          <w:rFonts w:ascii="Palatino Linotype" w:eastAsia="Palatino Linotype" w:hAnsi="Palatino Linotype" w:cs="Palatino Linotype"/>
          <w:i/>
          <w:iCs/>
        </w:rPr>
        <w:t>. El Instituto promoverá la publicación de la información en datos abiertos y accesibles.</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13D41" w:rsidRDefault="00913D41">
      <w:pPr>
        <w:ind w:left="566"/>
        <w:jc w:val="both"/>
        <w:rPr>
          <w:rFonts w:ascii="Palatino Linotype" w:eastAsia="Palatino Linotype" w:hAnsi="Palatino Linotype" w:cs="Palatino Linotype"/>
          <w:i/>
          <w:iCs/>
        </w:rPr>
      </w:pP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 En caso que la información solicitada consista en bases de datos se deberá privilegiar la entrega de la misma en formatos abiertos.</w:t>
      </w:r>
    </w:p>
    <w:p w:rsidR="00913D41" w:rsidRDefault="00913D41">
      <w:pPr>
        <w:ind w:left="566"/>
        <w:jc w:val="both"/>
        <w:rPr>
          <w:rFonts w:ascii="Palatino Linotype" w:eastAsia="Palatino Linotype" w:hAnsi="Palatino Linotype" w:cs="Palatino Linotype"/>
          <w:i/>
          <w:iCs/>
        </w:rPr>
      </w:pPr>
    </w:p>
    <w:p w:rsidR="00913D41" w:rsidRDefault="00913D41">
      <w:pPr>
        <w:ind w:left="566"/>
        <w:jc w:val="both"/>
        <w:rPr>
          <w:rFonts w:ascii="Palatino Linotype" w:eastAsia="Palatino Linotype" w:hAnsi="Palatino Linotype" w:cs="Palatino Linotype"/>
          <w:i/>
          <w:iCs/>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Es así que, los </w:t>
      </w:r>
      <w:r>
        <w:rPr>
          <w:rFonts w:ascii="Palatino Linotype" w:eastAsia="Palatino Linotype" w:hAnsi="Palatino Linotype" w:cs="Palatino Linotype"/>
        </w:rPr>
        <w:t>Sujetos</w:t>
      </w:r>
      <w:r>
        <w:rPr>
          <w:rFonts w:ascii="Palatino Linotype" w:eastAsia="Palatino Linotype" w:hAnsi="Palatino Linotype" w:cs="Palatino Linotype"/>
          <w:color w:val="000000"/>
        </w:rPr>
        <w:t xml:space="preserve"> Obligados y este Organismo Garante, deben velar por la generación y entrega de la información a los </w:t>
      </w:r>
      <w:r>
        <w:rPr>
          <w:rFonts w:ascii="Palatino Linotype" w:eastAsia="Palatino Linotype" w:hAnsi="Palatino Linotype" w:cs="Palatino Linotype"/>
        </w:rPr>
        <w:t>particulares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en formatos abiertos, con los efectos de facilitar la reutilización de la información.</w:t>
      </w:r>
    </w:p>
    <w:p w:rsidR="00913D41" w:rsidRDefault="004D6380">
      <w:pPr>
        <w:numPr>
          <w:ilvl w:val="0"/>
          <w:numId w:val="3"/>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este sentido,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Pr>
          <w:rFonts w:ascii="Palatino Linotype" w:eastAsia="Palatino Linotype" w:hAnsi="Palatino Linotype" w:cs="Palatino Linotype"/>
          <w:b/>
          <w:bCs/>
          <w:color w:val="000000"/>
          <w:u w:val="single"/>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w:t>
      </w:r>
    </w:p>
    <w:p w:rsidR="00913D41" w:rsidRDefault="00913D41">
      <w:pPr>
        <w:spacing w:line="360" w:lineRule="auto"/>
        <w:ind w:right="-787"/>
        <w:jc w:val="both"/>
        <w:rPr>
          <w:rFonts w:ascii="Palatino Linotype" w:eastAsia="Palatino Linotype" w:hAnsi="Palatino Linotype" w:cs="Palatino Linotype"/>
          <w:color w:val="000000"/>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Continuando con el estudio de la naturaleza jurídica de la información requerida, es de traer a contexto lo que la Ley de Archivos y Administración de Documentos del Estado de México y Municipios establece en su artículo 13 que Los Sujetos Obligados deberán contar con los Instrumentos de Control y Consulta Archivísticos conforme a sus atribuciones y funciones, manteniéndolos actualizados y disponibles; y contarán al menos con los siguientes:</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Cuadro General de Clasificación Archivística; </w:t>
      </w:r>
    </w:p>
    <w:p w:rsidR="00913D41" w:rsidRDefault="004D6380">
      <w:pPr>
        <w:ind w:left="56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II. Catálogo de Disposición Documental,</w:t>
      </w:r>
      <w:r>
        <w:rPr>
          <w:rFonts w:ascii="Palatino Linotype" w:eastAsia="Palatino Linotype" w:hAnsi="Palatino Linotype" w:cs="Palatino Linotype"/>
          <w:i/>
          <w:iCs/>
        </w:rPr>
        <w:t xml:space="preserve"> y</w:t>
      </w:r>
      <w:r>
        <w:rPr>
          <w:rFonts w:ascii="Palatino Linotype" w:eastAsia="Palatino Linotype" w:hAnsi="Palatino Linotype" w:cs="Palatino Linotype"/>
          <w:b/>
          <w:bCs/>
          <w:i/>
          <w:iCs/>
        </w:rPr>
        <w:t xml:space="preserve"> </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Inventarios Documentales. </w:t>
      </w:r>
    </w:p>
    <w:p w:rsidR="00913D41" w:rsidRDefault="00913D41">
      <w:pPr>
        <w:ind w:left="566"/>
        <w:jc w:val="both"/>
        <w:rPr>
          <w:rFonts w:ascii="Palatino Linotype" w:eastAsia="Palatino Linotype" w:hAnsi="Palatino Linotype" w:cs="Palatino Linotype"/>
          <w:i/>
          <w:iCs/>
        </w:rPr>
      </w:pP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La estructura del Cuadro General de Clasificación Archivística atenderá los niveles de Fondo Documental, Sección y Serie, sin que esto excluya la posibilidad de que existan niveles intermedios, los cuales serán identificados mediante una clave alfanumérica.</w:t>
      </w:r>
    </w:p>
    <w:p w:rsidR="00913D41" w:rsidRDefault="00913D41">
      <w:pPr>
        <w:ind w:left="566"/>
        <w:jc w:val="both"/>
        <w:rPr>
          <w:rFonts w:ascii="Palatino Linotype" w:eastAsia="Palatino Linotype" w:hAnsi="Palatino Linotype" w:cs="Palatino Linotype"/>
          <w:i/>
          <w:iCs/>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artículo 2,8 fracciones I de esta misma ley, establece que corresponde al </w:t>
      </w:r>
      <w:r>
        <w:rPr>
          <w:rFonts w:ascii="Palatino Linotype" w:eastAsia="Palatino Linotype" w:hAnsi="Palatino Linotype" w:cs="Palatino Linotype"/>
          <w:b/>
          <w:bCs/>
        </w:rPr>
        <w:t>Área Coordinadora de Archivo</w:t>
      </w:r>
      <w:r>
        <w:rPr>
          <w:rFonts w:ascii="Palatino Linotype" w:eastAsia="Palatino Linotype" w:hAnsi="Palatino Linotype" w:cs="Palatino Linotype"/>
        </w:rPr>
        <w:t xml:space="preserve">s como una de sus funciones </w:t>
      </w:r>
      <w:r>
        <w:rPr>
          <w:rFonts w:ascii="Palatino Linotype" w:eastAsia="Palatino Linotype" w:hAnsi="Palatino Linotype" w:cs="Palatino Linotype"/>
          <w:b/>
          <w:bCs/>
        </w:rPr>
        <w:t>elaborar</w:t>
      </w:r>
      <w:r>
        <w:rPr>
          <w:rFonts w:ascii="Palatino Linotype" w:eastAsia="Palatino Linotype" w:hAnsi="Palatino Linotype" w:cs="Palatino Linotype"/>
        </w:rPr>
        <w:t xml:space="preserve">, con la colaboración de los responsables de los Archivos de Trámite, los Archivos de Concentración y en su caso Histórico, </w:t>
      </w:r>
      <w:r>
        <w:rPr>
          <w:rFonts w:ascii="Palatino Linotype" w:eastAsia="Palatino Linotype" w:hAnsi="Palatino Linotype" w:cs="Palatino Linotype"/>
          <w:b/>
          <w:bCs/>
        </w:rPr>
        <w:t>los Instrumentos de Control Archivístico</w:t>
      </w:r>
      <w:r>
        <w:rPr>
          <w:rFonts w:ascii="Palatino Linotype" w:eastAsia="Palatino Linotype" w:hAnsi="Palatino Linotype" w:cs="Palatino Linotype"/>
        </w:rPr>
        <w:t xml:space="preserve">, mismos que como ya fue mencionado, </w:t>
      </w:r>
      <w:r>
        <w:rPr>
          <w:rFonts w:ascii="Palatino Linotype" w:eastAsia="Palatino Linotype" w:hAnsi="Palatino Linotype" w:cs="Palatino Linotype"/>
        </w:rPr>
        <w:lastRenderedPageBreak/>
        <w:t xml:space="preserve">son el Cuadro General de Clasificación Archivística y el </w:t>
      </w:r>
      <w:r>
        <w:rPr>
          <w:rFonts w:ascii="Palatino Linotype" w:eastAsia="Palatino Linotype" w:hAnsi="Palatino Linotype" w:cs="Palatino Linotype"/>
          <w:b/>
          <w:bCs/>
        </w:rPr>
        <w:t>Catálogo de Disposición Documental</w:t>
      </w:r>
      <w:r>
        <w:rPr>
          <w:rFonts w:ascii="Palatino Linotype" w:eastAsia="Palatino Linotype" w:hAnsi="Palatino Linotype" w:cs="Palatino Linotype"/>
        </w:rPr>
        <w:t>, instrumentos técnicos que propicien la organización, control y conservación de los Documentos de Archivo a lo largo de su Ciclo Vital.</w:t>
      </w:r>
    </w:p>
    <w:p w:rsidR="00913D41" w:rsidRDefault="00913D41">
      <w:pPr>
        <w:spacing w:line="360" w:lineRule="auto"/>
        <w:ind w:right="-787"/>
        <w:jc w:val="both"/>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Como ya fue referido anteriormente, dicha ley define al </w:t>
      </w:r>
      <w:r>
        <w:rPr>
          <w:rFonts w:ascii="Palatino Linotype" w:eastAsia="Palatino Linotype" w:hAnsi="Palatino Linotype" w:cs="Palatino Linotype"/>
          <w:b/>
          <w:bCs/>
        </w:rPr>
        <w:t>Catálogo de Disposición Documental</w:t>
      </w:r>
      <w:r>
        <w:rPr>
          <w:rFonts w:ascii="Palatino Linotype" w:eastAsia="Palatino Linotype" w:hAnsi="Palatino Linotype" w:cs="Palatino Linotype"/>
        </w:rPr>
        <w:t>: Al registro general y sistemático que establece los valores documentales, la Vigencia Documental, los plazos de conservación y la Disposición Documental.</w:t>
      </w:r>
    </w:p>
    <w:p w:rsidR="00913D41" w:rsidRDefault="00913D41">
      <w:pPr>
        <w:spacing w:line="360" w:lineRule="auto"/>
        <w:ind w:right="-787"/>
        <w:jc w:val="both"/>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Área Coordinadora de Archivos</w:t>
      </w:r>
      <w:r>
        <w:rPr>
          <w:rFonts w:ascii="Palatino Linotype" w:eastAsia="Palatino Linotype" w:hAnsi="Palatino Linotype" w:cs="Palatino Linotype"/>
        </w:rPr>
        <w:t xml:space="preserve"> propiciará la integración y formalización del Grupo Interdisciplinario, convocará a las reuniones de trabajo y fungirá como moderadora en las mismas, por lo que será el encargado de llevar el registro y seguimiento de los acuerdos y compromisos establecidos, dicho grupo multidisciplinario se encargará de </w:t>
      </w:r>
      <w:r>
        <w:rPr>
          <w:rFonts w:ascii="Palatino Linotype" w:eastAsia="Palatino Linotype" w:hAnsi="Palatino Linotype" w:cs="Palatino Linotype"/>
          <w:b/>
          <w:bCs/>
        </w:rPr>
        <w:t>Integrar el Catálogo de Disposición Documental.</w:t>
      </w:r>
    </w:p>
    <w:p w:rsidR="00913D41" w:rsidRDefault="00913D41">
      <w:pPr>
        <w:spacing w:line="360" w:lineRule="auto"/>
        <w:ind w:left="502" w:right="-787"/>
        <w:jc w:val="both"/>
        <w:rPr>
          <w:rFonts w:ascii="Palatino Linotype" w:eastAsia="Palatino Linotype" w:hAnsi="Palatino Linotype" w:cs="Palatino Linotype"/>
          <w:b/>
          <w:bCs/>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Asimismo, los CRITERIOS TÉCNICOS QUE DEBERÁN OBSERVAR LAS DEPENDENCIAS Y ORGANISMOS AUXILIARES DE LA ADMINISTRACIÓN PÚBLICA ESTATAL PARA LA ELABORACIÓN, ACTUALIZACIÓN, REGISTRO Y VALIDACIÓN DEL CATÁLOGO DE DISPOSICIÓN DOCUMENTAL, publicados el 5 de julio de 2023 en el Periódico Oficial Gaceta del Gobierno, del Estado Libre y Soberano de México, establecen los principios generales para que las dependencias y organismos auxiliares del Poder Ejecutivo del Estado de México, </w:t>
      </w:r>
      <w:r>
        <w:rPr>
          <w:rFonts w:ascii="Palatino Linotype" w:eastAsia="Palatino Linotype" w:hAnsi="Palatino Linotype" w:cs="Palatino Linotype"/>
          <w:b/>
          <w:bCs/>
        </w:rPr>
        <w:t>elaboren y actualicen su Catálogo de Disposición Documental y tramiten, ante el Archivo General del Estado de México, su registro y validación</w:t>
      </w:r>
      <w:r>
        <w:rPr>
          <w:rFonts w:ascii="Palatino Linotype" w:eastAsia="Palatino Linotype" w:hAnsi="Palatino Linotype" w:cs="Palatino Linotype"/>
        </w:rPr>
        <w:t>.</w:t>
      </w:r>
    </w:p>
    <w:p w:rsidR="00913D41" w:rsidRDefault="00913D41">
      <w:pPr>
        <w:spacing w:line="360" w:lineRule="auto"/>
        <w:ind w:right="-787"/>
        <w:jc w:val="both"/>
        <w:rPr>
          <w:rFonts w:ascii="Palatino Linotype" w:eastAsia="Palatino Linotype" w:hAnsi="Palatino Linotype" w:cs="Palatino Linotype"/>
          <w:b/>
          <w:bCs/>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Una vez obtenido el Dictamen del Archivo General del Estado, la persona responsable del Área Coordinadora de la dependencia u organismo deberá Formalizar el Catálogo al interior de la dependencia u organismo, a través de los mecanismos existentes para su implantación y difusión al interior del Sistema Institucional de Archivos.</w:t>
      </w:r>
    </w:p>
    <w:p w:rsidR="00913D41" w:rsidRDefault="00913D41">
      <w:pPr>
        <w:spacing w:line="360" w:lineRule="auto"/>
        <w:ind w:right="-787"/>
        <w:jc w:val="both"/>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En este mismo orden de ideas tales criterios refieren que </w:t>
      </w:r>
      <w:r>
        <w:rPr>
          <w:rFonts w:ascii="Palatino Linotype" w:eastAsia="Palatino Linotype" w:hAnsi="Palatino Linotype" w:cs="Palatino Linotype"/>
          <w:b/>
          <w:bCs/>
        </w:rPr>
        <w:t>cuando se efectúe alguna actualización al contenido del Catálogo</w:t>
      </w:r>
      <w:r>
        <w:rPr>
          <w:rFonts w:ascii="Palatino Linotype" w:eastAsia="Palatino Linotype" w:hAnsi="Palatino Linotype" w:cs="Palatino Linotype"/>
        </w:rPr>
        <w:t xml:space="preserve">, la persona responsable del Área Coordinadora deberá </w:t>
      </w:r>
      <w:r>
        <w:rPr>
          <w:rFonts w:ascii="Palatino Linotype" w:eastAsia="Palatino Linotype" w:hAnsi="Palatino Linotype" w:cs="Palatino Linotype"/>
          <w:b/>
          <w:bCs/>
        </w:rPr>
        <w:t>solicitar al Archivo General del Estado la</w:t>
      </w:r>
      <w:r>
        <w:rPr>
          <w:rFonts w:ascii="Palatino Linotype" w:eastAsia="Palatino Linotype" w:hAnsi="Palatino Linotype" w:cs="Palatino Linotype"/>
        </w:rPr>
        <w:t xml:space="preserve"> consecuente </w:t>
      </w:r>
      <w:r>
        <w:rPr>
          <w:rFonts w:ascii="Palatino Linotype" w:eastAsia="Palatino Linotype" w:hAnsi="Palatino Linotype" w:cs="Palatino Linotype"/>
          <w:b/>
          <w:bCs/>
        </w:rPr>
        <w:t>actualización del Dictamen</w:t>
      </w:r>
      <w:r>
        <w:rPr>
          <w:rFonts w:ascii="Palatino Linotype" w:eastAsia="Palatino Linotype" w:hAnsi="Palatino Linotype" w:cs="Palatino Linotype"/>
        </w:rPr>
        <w:t>.</w:t>
      </w:r>
    </w:p>
    <w:p w:rsidR="00913D41" w:rsidRDefault="00913D41">
      <w:pPr>
        <w:spacing w:line="360" w:lineRule="auto"/>
        <w:ind w:right="-787"/>
        <w:jc w:val="both"/>
        <w:rPr>
          <w:rFonts w:ascii="Palatino Linotype" w:eastAsia="Palatino Linotype" w:hAnsi="Palatino Linotype" w:cs="Palatino Linotype"/>
          <w:b/>
          <w:bCs/>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Ahora bien, en el artículo cuarto transitorio, establece que </w:t>
      </w:r>
      <w:r>
        <w:rPr>
          <w:rFonts w:ascii="Palatino Linotype" w:eastAsia="Palatino Linotype" w:hAnsi="Palatino Linotype" w:cs="Palatino Linotype"/>
          <w:b/>
          <w:bCs/>
        </w:rPr>
        <w:t>Los Dictámenes expedidos por el Archivo General del Estado, antes de la entrada en vigor de los presentes Criterios Técnicos, seguirán vigentes en tanto la dependencia u organismo no realice actualización alguna del Catálogo registrado y validado.</w:t>
      </w:r>
    </w:p>
    <w:p w:rsidR="00913D41" w:rsidRDefault="00913D41">
      <w:pPr>
        <w:spacing w:line="360" w:lineRule="auto"/>
        <w:ind w:right="-787"/>
        <w:jc w:val="both"/>
        <w:rPr>
          <w:rFonts w:ascii="Palatino Linotype" w:eastAsia="Palatino Linotype" w:hAnsi="Palatino Linotype" w:cs="Palatino Linotype"/>
          <w:b/>
          <w:bCs/>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De lo expuesto se presume que la información debe existir si se refiere a las facultades, competencias y funciones que los ordenamientos jurídicos aplicables otorgan a los sujetos obligados, por lo que se concluye que el Sujeto Obligado a través del área coordinadora de archivos, es competente para conocer de la información requerida. Asimismo, el Catálogo de Disposición Documental es una obligación normativa, mismo que de conformidad con el artículo transitorio ya descrito, para el caso de los Dictámenes de registro y validación de dicho Catálogo siguen vigentes en tanto no se realice actualización alguna.</w:t>
      </w:r>
    </w:p>
    <w:p w:rsidR="00913D41" w:rsidRDefault="00913D41">
      <w:pPr>
        <w:spacing w:line="360" w:lineRule="auto"/>
        <w:ind w:right="-787"/>
        <w:jc w:val="both"/>
        <w:rPr>
          <w:rFonts w:ascii="Palatino Linotype" w:eastAsia="Palatino Linotype" w:hAnsi="Palatino Linotype" w:cs="Palatino Linotype"/>
          <w:b/>
          <w:bCs/>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En tal sentido </w:t>
      </w:r>
      <w:r>
        <w:rPr>
          <w:rFonts w:ascii="Palatino Linotype" w:eastAsia="Palatino Linotype" w:hAnsi="Palatino Linotype" w:cs="Palatino Linotype"/>
          <w:b/>
          <w:bCs/>
        </w:rPr>
        <w:t>debe existir un Catálogo de Disposición Documental</w:t>
      </w:r>
      <w:r>
        <w:rPr>
          <w:rFonts w:ascii="Palatino Linotype" w:eastAsia="Palatino Linotype" w:hAnsi="Palatino Linotype" w:cs="Palatino Linotype"/>
        </w:rPr>
        <w:t xml:space="preserve"> vigente a la solicitud de información, mismo que deberá estar </w:t>
      </w:r>
      <w:r>
        <w:rPr>
          <w:rFonts w:ascii="Palatino Linotype" w:eastAsia="Palatino Linotype" w:hAnsi="Palatino Linotype" w:cs="Palatino Linotype"/>
          <w:b/>
          <w:bCs/>
        </w:rPr>
        <w:t>integrado por</w:t>
      </w:r>
      <w:r>
        <w:rPr>
          <w:rFonts w:ascii="Palatino Linotype" w:eastAsia="Palatino Linotype" w:hAnsi="Palatino Linotype" w:cs="Palatino Linotype"/>
        </w:rPr>
        <w:t xml:space="preserve"> diversos apartados que </w:t>
      </w:r>
      <w:r>
        <w:rPr>
          <w:rFonts w:ascii="Palatino Linotype" w:eastAsia="Palatino Linotype" w:hAnsi="Palatino Linotype" w:cs="Palatino Linotype"/>
        </w:rPr>
        <w:lastRenderedPageBreak/>
        <w:t xml:space="preserve">conforman la estructura del Catálogo, entre ellos los anexos, que incluyen el apartado del </w:t>
      </w:r>
      <w:r>
        <w:rPr>
          <w:rFonts w:ascii="Palatino Linotype" w:eastAsia="Palatino Linotype" w:hAnsi="Palatino Linotype" w:cs="Palatino Linotype"/>
          <w:b/>
          <w:bCs/>
        </w:rPr>
        <w:t>Dictamen de registro y validación expedido por el Archivo General del Estado</w:t>
      </w:r>
      <w:r>
        <w:rPr>
          <w:rFonts w:ascii="Palatino Linotype" w:eastAsia="Palatino Linotype" w:hAnsi="Palatino Linotype" w:cs="Palatino Linotype"/>
        </w:rPr>
        <w:t>, de conformidad con el artículo 9, fracción XIV, inciso a), de los Criterios citados.</w:t>
      </w:r>
    </w:p>
    <w:p w:rsidR="00913D41" w:rsidRDefault="00913D41">
      <w:pPr>
        <w:spacing w:line="360" w:lineRule="auto"/>
        <w:ind w:right="-787"/>
        <w:jc w:val="both"/>
        <w:rPr>
          <w:rFonts w:ascii="Palatino Linotype" w:eastAsia="Palatino Linotype" w:hAnsi="Palatino Linotype" w:cs="Palatino Linotype"/>
          <w:b/>
          <w:bCs/>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Adicionalmente a lo anterior, es una obligación de transparencia común poner a disposición del público la información que es de interés del solicitante, tal como se señala en el artículo 92 de la Ley de Transparencia Local:</w:t>
      </w:r>
    </w:p>
    <w:p w:rsidR="00913D41" w:rsidRDefault="004D6380">
      <w:pPr>
        <w:ind w:left="56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Capítulo II</w:t>
      </w:r>
    </w:p>
    <w:p w:rsidR="00913D41" w:rsidRDefault="004D6380">
      <w:pPr>
        <w:ind w:left="56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las Obligaciones de Transparencia Comunes</w:t>
      </w:r>
    </w:p>
    <w:p w:rsidR="00913D41" w:rsidRDefault="00913D41">
      <w:pPr>
        <w:ind w:left="566"/>
        <w:jc w:val="both"/>
        <w:rPr>
          <w:rFonts w:ascii="Palatino Linotype" w:eastAsia="Palatino Linotype" w:hAnsi="Palatino Linotype" w:cs="Palatino Linotype"/>
          <w:i/>
          <w:iCs/>
        </w:rPr>
      </w:pP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Artículo 92</w:t>
      </w:r>
      <w:r>
        <w:rPr>
          <w:rFonts w:ascii="Palatino Linotype" w:eastAsia="Palatino Linotype" w:hAnsi="Palatino Linotype" w:cs="Palatino Linotype"/>
          <w:i/>
          <w:iCs/>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13D41" w:rsidRDefault="004D6380">
      <w:pPr>
        <w:ind w:left="56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XLIX. El catálogo de disposición y guía de archivo documental;</w:t>
      </w:r>
    </w:p>
    <w:p w:rsidR="00913D41" w:rsidRDefault="004D6380">
      <w:pPr>
        <w:ind w:left="56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13D41" w:rsidRDefault="00913D41">
      <w:pPr>
        <w:spacing w:line="360" w:lineRule="auto"/>
        <w:ind w:right="-787"/>
        <w:jc w:val="both"/>
        <w:rPr>
          <w:rFonts w:ascii="Palatino Linotype" w:eastAsia="Palatino Linotype" w:hAnsi="Palatino Linotype" w:cs="Palatino Linotype"/>
          <w:b/>
          <w:bCs/>
        </w:rPr>
      </w:pPr>
    </w:p>
    <w:p w:rsidR="00913D41" w:rsidRDefault="004D6380">
      <w:pPr>
        <w:numPr>
          <w:ilvl w:val="0"/>
          <w:numId w:val="3"/>
        </w:numPr>
        <w:spacing w:line="360" w:lineRule="auto"/>
        <w:ind w:left="0" w:right="-787" w:firstLine="0"/>
        <w:rPr>
          <w:rFonts w:ascii="Palatino Linotype" w:eastAsia="Palatino Linotype" w:hAnsi="Palatino Linotype" w:cs="Palatino Linotype"/>
          <w:b/>
          <w:bCs/>
        </w:rPr>
      </w:pPr>
      <w:r>
        <w:rPr>
          <w:rFonts w:ascii="Palatino Linotype" w:eastAsia="Palatino Linotype" w:hAnsi="Palatino Linotype" w:cs="Palatino Linotype"/>
        </w:rPr>
        <w:t xml:space="preserve"> Por lo anterior, este Organismo Garante estima procedente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REVOCAR</w:t>
      </w:r>
      <w:r>
        <w:rPr>
          <w:rFonts w:ascii="Palatino Linotype" w:eastAsia="Palatino Linotype" w:hAnsi="Palatino Linotype" w:cs="Palatino Linotype"/>
          <w:color w:val="000000"/>
        </w:rPr>
        <w:t xml:space="preserve"> la respuesta emitida por el Sujeto Obligado y </w:t>
      </w:r>
      <w:r>
        <w:rPr>
          <w:rFonts w:ascii="Palatino Linotype" w:eastAsia="Palatino Linotype" w:hAnsi="Palatino Linotype" w:cs="Palatino Linotype"/>
          <w:b/>
          <w:bCs/>
          <w:color w:val="000000"/>
        </w:rPr>
        <w:t>ORDENAR,</w:t>
      </w:r>
      <w:r>
        <w:rPr>
          <w:rFonts w:ascii="Palatino Linotype" w:eastAsia="Palatino Linotype" w:hAnsi="Palatino Linotype" w:cs="Palatino Linotype"/>
          <w:color w:val="000000"/>
        </w:rPr>
        <w:t xml:space="preserve"> previa búsqueda exhaustiva y razonable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haga entrega </w:t>
      </w:r>
      <w:r>
        <w:rPr>
          <w:rFonts w:ascii="Palatino Linotype" w:eastAsia="Palatino Linotype" w:hAnsi="Palatino Linotype" w:cs="Palatino Linotype"/>
        </w:rPr>
        <w:t xml:space="preserve">de la información siguiente: </w:t>
      </w:r>
      <w:r>
        <w:rPr>
          <w:rFonts w:ascii="Palatino Linotype" w:eastAsia="Palatino Linotype" w:hAnsi="Palatino Linotype" w:cs="Palatino Linotype"/>
          <w:b/>
          <w:bCs/>
        </w:rPr>
        <w:t>el Catálogo de Disposición Documental vigente al 31 de octubre de 2025, y el documento en el que conste su validación. Para el caso de contar con actualización, las distintas versiones correspondientes.</w:t>
      </w:r>
    </w:p>
    <w:p w:rsidR="00913D41" w:rsidRDefault="00913D41">
      <w:pPr>
        <w:spacing w:line="360" w:lineRule="auto"/>
        <w:jc w:val="both"/>
        <w:rPr>
          <w:color w:val="000000"/>
        </w:rPr>
      </w:pPr>
    </w:p>
    <w:p w:rsidR="00B30840" w:rsidRDefault="00B30840">
      <w:pPr>
        <w:pBdr>
          <w:top w:val="nil"/>
          <w:left w:val="nil"/>
          <w:bottom w:val="nil"/>
          <w:right w:val="nil"/>
          <w:between w:val="nil"/>
        </w:pBdr>
        <w:spacing w:before="240" w:after="240" w:line="360" w:lineRule="auto"/>
        <w:jc w:val="both"/>
        <w:rPr>
          <w:rFonts w:ascii="Palatino Linotype" w:eastAsia="Palatino Linotype" w:hAnsi="Palatino Linotype" w:cs="Palatino Linotype"/>
          <w:b/>
          <w:bCs/>
          <w:color w:val="000000"/>
        </w:rPr>
      </w:pPr>
    </w:p>
    <w:p w:rsidR="00B30840" w:rsidRDefault="00B30840">
      <w:pPr>
        <w:pBdr>
          <w:top w:val="nil"/>
          <w:left w:val="nil"/>
          <w:bottom w:val="nil"/>
          <w:right w:val="nil"/>
          <w:between w:val="nil"/>
        </w:pBdr>
        <w:spacing w:before="240" w:after="240" w:line="360" w:lineRule="auto"/>
        <w:jc w:val="both"/>
        <w:rPr>
          <w:rFonts w:ascii="Palatino Linotype" w:eastAsia="Palatino Linotype" w:hAnsi="Palatino Linotype" w:cs="Palatino Linotype"/>
          <w:b/>
          <w:bCs/>
          <w:color w:val="000000"/>
        </w:rPr>
      </w:pPr>
    </w:p>
    <w:p w:rsidR="00913D41" w:rsidRDefault="00B30840">
      <w:pPr>
        <w:pBdr>
          <w:top w:val="nil"/>
          <w:left w:val="nil"/>
          <w:bottom w:val="nil"/>
          <w:right w:val="nil"/>
          <w:between w:val="nil"/>
        </w:pBdr>
        <w:spacing w:before="240" w:after="240" w:line="360" w:lineRule="auto"/>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D</w:t>
      </w:r>
      <w:r w:rsidR="004D6380">
        <w:rPr>
          <w:rFonts w:ascii="Palatino Linotype" w:eastAsia="Palatino Linotype" w:hAnsi="Palatino Linotype" w:cs="Palatino Linotype"/>
          <w:b/>
          <w:bCs/>
          <w:color w:val="000000"/>
        </w:rPr>
        <w:t>e la inexistencia.</w:t>
      </w: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Para el caso de que derivado de la búsqueda exhaustiva y razonable, </w:t>
      </w:r>
      <w:r>
        <w:rPr>
          <w:rFonts w:ascii="Palatino Linotype" w:eastAsia="Palatino Linotype" w:hAnsi="Palatino Linotype" w:cs="Palatino Linotype"/>
          <w:b/>
          <w:bCs/>
        </w:rPr>
        <w:t>no se localice el</w:t>
      </w:r>
      <w:r>
        <w:rPr>
          <w:rFonts w:ascii="Palatino Linotype" w:eastAsia="Palatino Linotype" w:hAnsi="Palatino Linotype" w:cs="Palatino Linotype"/>
        </w:rPr>
        <w:t xml:space="preserve"> </w:t>
      </w:r>
      <w:r>
        <w:rPr>
          <w:rFonts w:ascii="Palatino Linotype" w:eastAsia="Palatino Linotype" w:hAnsi="Palatino Linotype" w:cs="Palatino Linotype"/>
          <w:b/>
          <w:bCs/>
        </w:rPr>
        <w:t>Catálogo de Disposición Documental vigente al 31 de octubre de 2025</w:t>
      </w:r>
      <w:r>
        <w:rPr>
          <w:rFonts w:ascii="Palatino Linotype" w:eastAsia="Palatino Linotype" w:hAnsi="Palatino Linotype" w:cs="Palatino Linotype"/>
        </w:rPr>
        <w:t xml:space="preserve">, deberá emitir el Acuerdo de Inexistencia en términos de los artículos 19, párrafo tercero, 49, fracciones II y XIII, 169 y 170 de la Ley de Transparencia y Acceso a la Información Pública del Estado de México y Municipios, debiendo notificarlo a 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al momento de dar cumplimiento a la presente resolución.</w:t>
      </w:r>
    </w:p>
    <w:p w:rsidR="00913D41" w:rsidRDefault="00913D41">
      <w:pPr>
        <w:spacing w:line="360" w:lineRule="auto"/>
        <w:ind w:right="-787"/>
        <w:jc w:val="both"/>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orden de ideas, es de destacar que las actas que sustentan la </w:t>
      </w:r>
      <w:r>
        <w:rPr>
          <w:rFonts w:ascii="Palatino Linotype" w:eastAsia="Palatino Linotype" w:hAnsi="Palatino Linotype" w:cs="Palatino Linotype"/>
          <w:u w:val="single"/>
        </w:rPr>
        <w:t>inexistencia de la información</w:t>
      </w:r>
      <w:r>
        <w:rPr>
          <w:rFonts w:ascii="Palatino Linotype" w:eastAsia="Palatino Linotype" w:hAnsi="Palatino Linotype" w:cs="Palatino Linotype"/>
        </w:rPr>
        <w:t>, deberán observar ciertas formalidades exigidas por la Ley de Transparencia y Acceso a la Información Pública del Estado de México y Municipios</w:t>
      </w:r>
      <w:r>
        <w:rPr>
          <w:rFonts w:ascii="Palatino Linotype" w:eastAsia="Palatino Linotype" w:hAnsi="Palatino Linotype" w:cs="Palatino Linotype"/>
          <w:i/>
          <w:iCs/>
        </w:rPr>
        <w:t xml:space="preserve">, </w:t>
      </w:r>
      <w:r>
        <w:rPr>
          <w:rFonts w:ascii="Palatino Linotype" w:eastAsia="Palatino Linotype" w:hAnsi="Palatino Linotype" w:cs="Palatino Linotype"/>
        </w:rPr>
        <w:t>la Ley General de Transparencia y Acceso a la Información Pública, y el numeral trigésimo fracción I de los Lineamientos Generales en Materia de Clasificación y Desclasificación de la Información así como por los criterios orientadores aprobados por el Pleno de este Instituto, que establecen el criterio de inexistencia y en qué circunstancia debe emitirse la declaratoria de la misma:</w:t>
      </w:r>
    </w:p>
    <w:p w:rsidR="00913D41" w:rsidRDefault="004D6380">
      <w:pPr>
        <w:pBdr>
          <w:top w:val="nil"/>
          <w:left w:val="nil"/>
          <w:bottom w:val="nil"/>
          <w:right w:val="nil"/>
          <w:between w:val="nil"/>
        </w:pBdr>
        <w:ind w:left="567" w:right="709"/>
        <w:jc w:val="both"/>
        <w:rPr>
          <w:rFonts w:ascii="Palatino Linotype" w:eastAsia="Palatino Linotype" w:hAnsi="Palatino Linotype" w:cs="Palatino Linotype"/>
        </w:rPr>
      </w:pPr>
      <w:r>
        <w:rPr>
          <w:rFonts w:ascii="Palatino Linotype" w:eastAsia="Palatino Linotype" w:hAnsi="Palatino Linotype" w:cs="Palatino Linotype"/>
          <w:b/>
          <w:bCs/>
          <w:i/>
          <w:iCs/>
        </w:rPr>
        <w:t>INEXISTENCIA, CONCEPTO DE, EN MATERIA DE TRANSPARENCIA</w:t>
      </w:r>
      <w:r>
        <w:rPr>
          <w:rFonts w:ascii="Palatino Linotype" w:eastAsia="Palatino Linotype" w:hAnsi="Palatino Linotype" w:cs="Palatino Linotype"/>
          <w:i/>
          <w:iCs/>
        </w:rPr>
        <w:t>.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supuestos:</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a) 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w:t>
      </w: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lastRenderedPageBreak/>
        <w:t>b) En los casos en que por las atribuciones conferidas al Sujeto Obligado éste debió generar, administrar o poseer la información, pero en incumplimiento a la normatividad respectiva no llevó a cabo ninguna de esas acciones.</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center"/>
        <w:rPr>
          <w:rFonts w:ascii="Palatino Linotype" w:eastAsia="Palatino Linotype" w:hAnsi="Palatino Linotype" w:cs="Palatino Linotype"/>
        </w:rPr>
      </w:pPr>
      <w:r>
        <w:rPr>
          <w:rFonts w:ascii="Palatino Linotype" w:eastAsia="Palatino Linotype" w:hAnsi="Palatino Linotype" w:cs="Palatino Linotype"/>
          <w:b/>
          <w:bCs/>
          <w:i/>
          <w:iCs/>
        </w:rPr>
        <w:t>CRITERIO 0004-11</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b/>
          <w:bCs/>
          <w:i/>
          <w:iCs/>
        </w:rPr>
        <w:t>INEXISTENCIA. DECLARATORIA DE LA. ALCANCES Y PROCEDIMIENTOS</w:t>
      </w:r>
      <w:r>
        <w:rPr>
          <w:rFonts w:ascii="Palatino Linotype" w:eastAsia="Palatino Linotype" w:hAnsi="Palatino Linotype" w:cs="Palatino Linotype"/>
          <w:i/>
          <w:iCs/>
        </w:rPr>
        <w:t>.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Bajo el entendido de que dicha búsqueda exhaustiva permitirá dos determinaciones:</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1ª) Que se localice la documentación que contenga la información solicitada y de ser así la información pueda entregarse al solicitante en la forma en que se encuentra disponible, o</w:t>
      </w: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lastRenderedPageBreak/>
        <w:t>2ª)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w:t>
      </w: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i/>
          <w:iCs/>
        </w:rPr>
      </w:pPr>
      <w:r>
        <w:rPr>
          <w:rFonts w:ascii="Palatino Linotype" w:eastAsia="Palatino Linotype" w:hAnsi="Palatino Linotype" w:cs="Palatino Linotype"/>
          <w:i/>
          <w:iCs/>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rsidR="00B30840" w:rsidRDefault="00B30840">
      <w:pPr>
        <w:pBdr>
          <w:top w:val="nil"/>
          <w:left w:val="nil"/>
          <w:bottom w:val="nil"/>
          <w:right w:val="nil"/>
          <w:between w:val="nil"/>
        </w:pBdr>
        <w:ind w:left="567" w:right="567"/>
        <w:jc w:val="both"/>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que, se colige que, el Comité de Transparencia deberá emitir el correspondiente Acuerdo de Inexistencia de la Información y notificar al </w:t>
      </w:r>
      <w:r>
        <w:rPr>
          <w:rFonts w:ascii="Palatino Linotype" w:eastAsia="Palatino Linotype" w:hAnsi="Palatino Linotype" w:cs="Palatino Linotype"/>
          <w:b/>
          <w:bCs/>
        </w:rPr>
        <w:t>Recurrente</w:t>
      </w:r>
      <w:r>
        <w:rPr>
          <w:rFonts w:ascii="Palatino Linotype" w:eastAsia="Palatino Linotype" w:hAnsi="Palatino Linotype" w:cs="Palatino Linotype"/>
        </w:rPr>
        <w:t>. </w:t>
      </w:r>
    </w:p>
    <w:p w:rsidR="00913D41" w:rsidRDefault="00913D41">
      <w:pPr>
        <w:spacing w:line="360" w:lineRule="auto"/>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Dicho acuerdo deberá exponer las razones por las que se buscó la información, las áreas en las que se instruyó la búsqueda, los criterios y los métodos de búsqueda de la información utilizados, las respuestas otorgadas por los Servidores Públicos Habilitados y en general, todas aquellas circunstancias de modo, tiempo y lugar que se tomaron en cuenta para llegar a determinar que no obra en sus archivos la información requerida. </w:t>
      </w:r>
    </w:p>
    <w:p w:rsidR="00913D41" w:rsidRDefault="00913D41">
      <w:pPr>
        <w:spacing w:line="360" w:lineRule="auto"/>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este modo, el particular puede tener la certeza de que se hizo una búsqueda exhaustiva de la información solicitada y de que se le dio la adecuada atención a su solicitud por lo que, de manera fundada y motivada, sustente las razones por las cuales no se tiene la información para hacer entrega de ella es una facultad que le corresponde al Comité de Transparencia del Sujeto Obligado correspondiente, de acuerdo con los artículos 47 y 49, fracciones II y XIII, de la Ley en estudio:</w:t>
      </w: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b/>
          <w:bCs/>
          <w:i/>
          <w:iCs/>
        </w:rPr>
        <w:t>Artículo 47.</w:t>
      </w:r>
      <w:r>
        <w:rPr>
          <w:rFonts w:ascii="Palatino Linotype" w:eastAsia="Palatino Linotype" w:hAnsi="Palatino Linotype" w:cs="Palatino Linotype"/>
          <w:i/>
          <w:iCs/>
        </w:rPr>
        <w:t xml:space="preserve"> El Comité de Transparencia será la autoridad máxima al interior del sujeto obligado en materia del derecho de acceso a la información.</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lastRenderedPageBreak/>
        <w:t>El Comité de Transparencia adoptará sus resoluciones por mayoría de votos. En caso de empate, la o el Presidente tendrá voto de calidad. A sus sesiones podrán asistir como invitados aquellos que sus integrantes consideren necesarios, quienes tendrán voz pero no voto.</w:t>
      </w: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El Comité se reunirá en sesión ordinaria o extraordinaria las veces que estime necesario. El tipo de sesión se precisará en la convocatoria emitida.</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Los integrantes del Comité de Transparencia tendrán acceso a la información para determinar su clasificación, conforme a la normatividad aplicable previamente establecida por los sujetos obligados para el resguardo o salvaguarda de la información.</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En las sesiones y trabajos del Comité, podrán participar como invitados permanentes, los representantes de las áreas que decida el Comité, y contará con derecho de voz, pero no voto.</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 xml:space="preserve">Los titulares de las unidades administrativas que propongan la reserva, confidencialidad o declaren la </w:t>
      </w:r>
      <w:r>
        <w:rPr>
          <w:rFonts w:ascii="Palatino Linotype" w:eastAsia="Palatino Linotype" w:hAnsi="Palatino Linotype" w:cs="Palatino Linotype"/>
          <w:i/>
          <w:iCs/>
          <w:u w:val="single"/>
        </w:rPr>
        <w:t>inexistencia</w:t>
      </w:r>
      <w:r>
        <w:rPr>
          <w:rFonts w:ascii="Palatino Linotype" w:eastAsia="Palatino Linotype" w:hAnsi="Palatino Linotype" w:cs="Palatino Linotype"/>
          <w:i/>
          <w:iCs/>
        </w:rPr>
        <w:t xml:space="preserve"> de información, acudirán a las sesiones de dicho Comité donde se discuta la propuesta correspondiente.”</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49.</w:t>
      </w:r>
      <w:r>
        <w:rPr>
          <w:rFonts w:ascii="Palatino Linotype" w:eastAsia="Palatino Linotype" w:hAnsi="Palatino Linotype" w:cs="Palatino Linotype"/>
          <w:i/>
          <w:iCs/>
        </w:rPr>
        <w:t xml:space="preserve"> Los Comités de Transparencia tendrán las siguientes atribuciones:</w:t>
      </w: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w:t>
      </w: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 xml:space="preserve">II. Confirmar, modificar o revocar las determinaciones que en materia de ampliación del plazo de respuesta, clasificación de la información y </w:t>
      </w:r>
      <w:r>
        <w:rPr>
          <w:rFonts w:ascii="Palatino Linotype" w:eastAsia="Palatino Linotype" w:hAnsi="Palatino Linotype" w:cs="Palatino Linotype"/>
          <w:i/>
          <w:iCs/>
          <w:u w:val="single"/>
        </w:rPr>
        <w:t xml:space="preserve">declaración de inexistencia </w:t>
      </w:r>
      <w:r>
        <w:rPr>
          <w:rFonts w:ascii="Palatino Linotype" w:eastAsia="Palatino Linotype" w:hAnsi="Palatino Linotype" w:cs="Palatino Linotype"/>
          <w:i/>
          <w:iCs/>
        </w:rPr>
        <w:t>o de incompetencia realicen los titulares de las áreas de los sujetos obligados;</w:t>
      </w: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w:t>
      </w: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XIII. Dictaminar las declaratorias de inexistencia de la información que les remitan las unidades administrativas y resolver en consecuencia;</w:t>
      </w:r>
    </w:p>
    <w:p w:rsidR="00913D41" w:rsidRDefault="00913D41">
      <w:pPr>
        <w:spacing w:line="360" w:lineRule="auto"/>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Asimismo, el acuerdo de inexistencia deberá apegarse a lo dispuesto por los artículos 169 y 170, de la Ley de la materia que ordenan: </w:t>
      </w: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b/>
          <w:bCs/>
          <w:i/>
          <w:iCs/>
        </w:rPr>
        <w:t>Artículo 169.</w:t>
      </w:r>
      <w:r>
        <w:rPr>
          <w:rFonts w:ascii="Palatino Linotype" w:eastAsia="Palatino Linotype" w:hAnsi="Palatino Linotype" w:cs="Palatino Linotype"/>
          <w:i/>
          <w:iCs/>
        </w:rPr>
        <w:t xml:space="preserve"> Cuando la información no se encuentre en los archivos del sujeto obligado, el Comité de Transparencia:</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I. Analizará el caso y tomará las medidas necesarias para localizar la información;</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II. Expedirá una resolución que confirme la inexistencia del documento;</w:t>
      </w: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b/>
          <w:bCs/>
          <w:i/>
          <w:iCs/>
        </w:rPr>
        <w:t>IV. Notificará al órgano interno de control o equivalente del sujeto obligado quien, en su caso, deberá iniciar el procedimiento de responsabilidad administrativa que corresponda</w:t>
      </w:r>
      <w:r>
        <w:rPr>
          <w:rFonts w:ascii="Palatino Linotype" w:eastAsia="Palatino Linotype" w:hAnsi="Palatino Linotype" w:cs="Palatino Linotype"/>
          <w:i/>
          <w:iCs/>
        </w:rPr>
        <w:t>.</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La Unidad de Transparencia deberá notificarlo al solicitante por escrito, en un plazo que no exceda de quince días hábiles contados a partir del día siguiente a la presentación de la solicitud.</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i/>
          <w:iCs/>
        </w:rPr>
        <w:t>Este plazo podrá ampliarse hasta por otros siete días hábiles, siempre que existan razones para ello, debiendo notificarse por escrito al solicitante.</w:t>
      </w:r>
    </w:p>
    <w:p w:rsidR="00913D41" w:rsidRDefault="00913D41">
      <w:pPr>
        <w:rPr>
          <w:rFonts w:ascii="Palatino Linotype" w:eastAsia="Palatino Linotype" w:hAnsi="Palatino Linotype" w:cs="Palatino Linotype"/>
        </w:rPr>
      </w:pPr>
    </w:p>
    <w:p w:rsidR="00913D41" w:rsidRDefault="004D6380">
      <w:pPr>
        <w:pBdr>
          <w:top w:val="nil"/>
          <w:left w:val="nil"/>
          <w:bottom w:val="nil"/>
          <w:right w:val="nil"/>
          <w:between w:val="nil"/>
        </w:pBdr>
        <w:ind w:left="567" w:right="567"/>
        <w:jc w:val="both"/>
        <w:rPr>
          <w:rFonts w:ascii="Palatino Linotype" w:eastAsia="Palatino Linotype" w:hAnsi="Palatino Linotype" w:cs="Palatino Linotype"/>
        </w:rPr>
      </w:pPr>
      <w:r>
        <w:rPr>
          <w:rFonts w:ascii="Palatino Linotype" w:eastAsia="Palatino Linotype" w:hAnsi="Palatino Linotype" w:cs="Palatino Linotype"/>
          <w:b/>
          <w:bCs/>
          <w:i/>
          <w:iCs/>
        </w:rPr>
        <w:t>Artículo 170.</w:t>
      </w:r>
      <w:r>
        <w:rPr>
          <w:rFonts w:ascii="Palatino Linotype" w:eastAsia="Palatino Linotype" w:hAnsi="Palatino Linotype" w:cs="Palatino Linotype"/>
          <w:i/>
          <w:iCs/>
        </w:rPr>
        <w:t xml:space="preserve">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 </w:t>
      </w:r>
    </w:p>
    <w:p w:rsidR="00913D41" w:rsidRDefault="00913D41">
      <w:pPr>
        <w:spacing w:line="360" w:lineRule="auto"/>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Conforme a lo anterior,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rsidR="00913D41" w:rsidRDefault="00913D41">
      <w:pPr>
        <w:spacing w:line="360" w:lineRule="auto"/>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En ese contexto, de conformidad con los criterios orientadores 12/10 y 04/19, emitidos por el entonces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rsidR="00913D41" w:rsidRDefault="004D6380">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Motivación por las que se buscó la información, en determinadas unidades administrativas;</w:t>
      </w:r>
    </w:p>
    <w:p w:rsidR="00913D41" w:rsidRDefault="004D6380">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Los criterios de búsqueda utilizados, y</w:t>
      </w:r>
    </w:p>
    <w:p w:rsidR="00913D41" w:rsidRDefault="004D6380">
      <w:pPr>
        <w:numPr>
          <w:ilvl w:val="0"/>
          <w:numId w:val="6"/>
        </w:numPr>
        <w:pBdr>
          <w:top w:val="nil"/>
          <w:left w:val="nil"/>
          <w:bottom w:val="nil"/>
          <w:right w:val="nil"/>
          <w:between w:val="nil"/>
        </w:pBd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Las circunstancias que fueron tomadas en cuenta.</w:t>
      </w:r>
    </w:p>
    <w:p w:rsidR="00913D41" w:rsidRDefault="00913D41">
      <w:pPr>
        <w:spacing w:line="360" w:lineRule="auto"/>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tales circunstancias, se considera que para que los Sujetos Obligados justifiquen que realizaron una búsqueda exhaustiva y razonable, deben indicar de manera clara, lo siguiente:</w:t>
      </w:r>
    </w:p>
    <w:p w:rsidR="00913D41" w:rsidRDefault="004D6380">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Las áreas donde se buscó la información;</w:t>
      </w:r>
    </w:p>
    <w:p w:rsidR="00913D41" w:rsidRDefault="004D6380">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Tipo de archivos buscados (físicos o electrónicos);</w:t>
      </w:r>
    </w:p>
    <w:p w:rsidR="00913D41" w:rsidRDefault="004D6380">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Los criterios de búsqueda utilizados, y </w:t>
      </w:r>
    </w:p>
    <w:p w:rsidR="00913D41" w:rsidRDefault="004D6380">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Las circunstancias que fueron tomadas en cuenta.</w:t>
      </w:r>
    </w:p>
    <w:p w:rsidR="00913D41" w:rsidRDefault="00913D41">
      <w:pPr>
        <w:spacing w:line="360" w:lineRule="auto"/>
        <w:rPr>
          <w:rFonts w:ascii="Palatino Linotype" w:eastAsia="Palatino Linotype" w:hAnsi="Palatino Linotype" w:cs="Palatino Linotype"/>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Los elementos antes mencionados son los que debe acreditar el Sujeto Obligado mediante el acuerdo del Comité de Transparencia, a efecto de brindar total certeza al Recurrente, en el que </w:t>
      </w:r>
      <w:r>
        <w:rPr>
          <w:rFonts w:ascii="Palatino Linotype" w:eastAsia="Palatino Linotype" w:hAnsi="Palatino Linotype" w:cs="Palatino Linotype"/>
          <w:u w:val="single"/>
        </w:rPr>
        <w:t>deberá declarar formalmente la inexistencia de la información requerida</w:t>
      </w:r>
      <w:r>
        <w:rPr>
          <w:rFonts w:ascii="Palatino Linotype" w:eastAsia="Palatino Linotype" w:hAnsi="Palatino Linotype" w:cs="Palatino Linotype"/>
        </w:rPr>
        <w:t xml:space="preserve"> a través de su Comité de Transparencia en términos de los artículos 19, 49, fracciones II y XIII, 169 y 170 de la Ley de Transparencia y Acceso a la Información Pública del Estado de México y Municipios.</w:t>
      </w:r>
    </w:p>
    <w:p w:rsidR="00913D41" w:rsidRDefault="00913D41">
      <w:pPr>
        <w:spacing w:line="360" w:lineRule="auto"/>
        <w:jc w:val="both"/>
        <w:rPr>
          <w:color w:val="000000"/>
        </w:rPr>
      </w:pPr>
    </w:p>
    <w:p w:rsidR="00913D41" w:rsidRDefault="004D6380">
      <w:pPr>
        <w:numPr>
          <w:ilvl w:val="0"/>
          <w:numId w:val="3"/>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Por lo expuesto, y con fundamento en lo prescrito en los artículos </w:t>
      </w:r>
      <w:r>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913D41" w:rsidRDefault="00913D41">
      <w:pPr>
        <w:ind w:right="278"/>
        <w:rPr>
          <w:rFonts w:ascii="Palatino Linotype" w:eastAsia="Palatino Linotype" w:hAnsi="Palatino Linotype" w:cs="Palatino Linotype"/>
        </w:rPr>
      </w:pPr>
    </w:p>
    <w:p w:rsidR="00913D41" w:rsidRDefault="004D6380">
      <w:pPr>
        <w:spacing w:line="360" w:lineRule="auto"/>
        <w:ind w:right="-858"/>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913D41" w:rsidRDefault="00913D41">
      <w:pPr>
        <w:spacing w:line="360" w:lineRule="auto"/>
        <w:ind w:right="-787"/>
        <w:jc w:val="center"/>
        <w:rPr>
          <w:rFonts w:ascii="Palatino Linotype" w:eastAsia="Palatino Linotype" w:hAnsi="Palatino Linotype" w:cs="Palatino Linotype"/>
          <w:b/>
          <w:bCs/>
        </w:rPr>
      </w:pPr>
    </w:p>
    <w:p w:rsidR="00913D41" w:rsidRDefault="004D6380">
      <w:pPr>
        <w:spacing w:line="360" w:lineRule="auto"/>
        <w:ind w:right="-7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PRIMERO</w:t>
      </w:r>
      <w:r>
        <w:rPr>
          <w:rFonts w:ascii="Palatino Linotype" w:eastAsia="Palatino Linotype" w:hAnsi="Palatino Linotype" w:cs="Palatino Linotype"/>
          <w:color w:val="000000"/>
        </w:rPr>
        <w:t xml:space="preserve">. Resultan </w:t>
      </w:r>
      <w:r>
        <w:rPr>
          <w:rFonts w:ascii="Palatino Linotype" w:eastAsia="Palatino Linotype" w:hAnsi="Palatino Linotype" w:cs="Palatino Linotype"/>
          <w:b/>
          <w:bCs/>
          <w:color w:val="000000"/>
        </w:rPr>
        <w:t>FUNDADAS</w:t>
      </w:r>
      <w:r>
        <w:rPr>
          <w:rFonts w:ascii="Palatino Linotype" w:eastAsia="Palatino Linotype" w:hAnsi="Palatino Linotype" w:cs="Palatino Linotype"/>
          <w:color w:val="000000"/>
        </w:rPr>
        <w:t xml:space="preserve"> las razones o motivos de inconformidad hechos valer en el Recurso de Revisión </w:t>
      </w:r>
      <w:r>
        <w:rPr>
          <w:rFonts w:ascii="Palatino Linotype" w:eastAsia="Palatino Linotype" w:hAnsi="Palatino Linotype" w:cs="Palatino Linotype"/>
          <w:b/>
          <w:bCs/>
          <w:color w:val="000000"/>
        </w:rPr>
        <w:t>13803/INFOEM/IP/RR/2025</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en términos de los Considerandos </w:t>
      </w:r>
      <w:r>
        <w:rPr>
          <w:rFonts w:ascii="Palatino Linotype" w:eastAsia="Palatino Linotype" w:hAnsi="Palatino Linotype" w:cs="Palatino Linotype"/>
          <w:b/>
          <w:bCs/>
          <w:color w:val="000000"/>
        </w:rPr>
        <w:t xml:space="preserve">Cuarto </w:t>
      </w:r>
      <w:r>
        <w:rPr>
          <w:rFonts w:ascii="Palatino Linotype" w:eastAsia="Palatino Linotype" w:hAnsi="Palatino Linotype" w:cs="Palatino Linotype"/>
          <w:color w:val="000000"/>
        </w:rPr>
        <w:t xml:space="preserve">de la presente Resolución. </w:t>
      </w:r>
    </w:p>
    <w:p w:rsidR="00913D41" w:rsidRDefault="00913D41">
      <w:pPr>
        <w:spacing w:line="360" w:lineRule="auto"/>
        <w:ind w:right="-716"/>
        <w:jc w:val="both"/>
        <w:rPr>
          <w:rFonts w:ascii="Palatino Linotype" w:eastAsia="Palatino Linotype" w:hAnsi="Palatino Linotype" w:cs="Palatino Linotype"/>
          <w:color w:val="000000"/>
        </w:rPr>
      </w:pPr>
    </w:p>
    <w:p w:rsidR="00913D41" w:rsidRDefault="004D6380">
      <w:pPr>
        <w:spacing w:line="360" w:lineRule="auto"/>
        <w:ind w:right="-716"/>
        <w:jc w:val="both"/>
        <w:rPr>
          <w:rFonts w:ascii="Palatino Linotype" w:eastAsia="Palatino Linotype" w:hAnsi="Palatino Linotype" w:cs="Palatino Linotype"/>
          <w:color w:val="000000"/>
        </w:rPr>
      </w:pPr>
      <w:bookmarkStart w:id="7" w:name="_heading=h.vihmelcub0eb" w:colFirst="0" w:colLast="0"/>
      <w:bookmarkEnd w:id="7"/>
      <w:r>
        <w:rPr>
          <w:rFonts w:ascii="Palatino Linotype" w:eastAsia="Palatino Linotype" w:hAnsi="Palatino Linotype" w:cs="Palatino Linotype"/>
          <w:b/>
          <w:bCs/>
          <w:color w:val="000000"/>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rPr>
        <w:t xml:space="preserve">Hospital Regional de Alta Especialidad de Zumpango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a través del Sistema de Acceso a la Información Mexiquense (SAIMEX), previa búsqueda exhaustiva y razonable, la siguiente información:</w:t>
      </w:r>
    </w:p>
    <w:p w:rsidR="00913D41" w:rsidRDefault="00913D41">
      <w:pPr>
        <w:spacing w:line="360" w:lineRule="auto"/>
        <w:ind w:right="-716"/>
        <w:jc w:val="both"/>
        <w:rPr>
          <w:rFonts w:ascii="Palatino Linotype" w:eastAsia="Palatino Linotype" w:hAnsi="Palatino Linotype" w:cs="Palatino Linotype"/>
          <w:color w:val="000000"/>
        </w:rPr>
      </w:pPr>
    </w:p>
    <w:p w:rsidR="00913D41" w:rsidRDefault="004D6380">
      <w:pPr>
        <w:numPr>
          <w:ilvl w:val="0"/>
          <w:numId w:val="2"/>
        </w:numPr>
        <w:pBdr>
          <w:top w:val="nil"/>
          <w:left w:val="nil"/>
          <w:bottom w:val="nil"/>
          <w:right w:val="nil"/>
          <w:between w:val="nil"/>
        </w:pBdr>
        <w:ind w:right="-433"/>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Catálogo de Disposición Documental vigente al 31 de octubre de 2025, y el documento en el que conste su validación. </w:t>
      </w:r>
    </w:p>
    <w:p w:rsidR="00913D41" w:rsidRDefault="004D6380">
      <w:pPr>
        <w:numPr>
          <w:ilvl w:val="1"/>
          <w:numId w:val="2"/>
        </w:numPr>
        <w:pBdr>
          <w:top w:val="nil"/>
          <w:left w:val="nil"/>
          <w:bottom w:val="nil"/>
          <w:right w:val="nil"/>
          <w:between w:val="nil"/>
        </w:pBdr>
        <w:ind w:right="-433"/>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Para el caso de contar con actualización, las distintas versiones correspondientes.</w:t>
      </w:r>
    </w:p>
    <w:p w:rsidR="00913D41" w:rsidRDefault="00913D41">
      <w:pPr>
        <w:pBdr>
          <w:top w:val="nil"/>
          <w:left w:val="nil"/>
          <w:bottom w:val="nil"/>
          <w:right w:val="nil"/>
          <w:between w:val="nil"/>
        </w:pBdr>
        <w:spacing w:line="360" w:lineRule="auto"/>
        <w:ind w:left="1571" w:right="-716"/>
        <w:jc w:val="both"/>
        <w:rPr>
          <w:rFonts w:ascii="Palatino Linotype" w:eastAsia="Palatino Linotype" w:hAnsi="Palatino Linotype" w:cs="Palatino Linotype"/>
          <w:b/>
          <w:bCs/>
          <w:color w:val="000000"/>
        </w:rPr>
      </w:pPr>
    </w:p>
    <w:p w:rsidR="00913D41" w:rsidRDefault="004D6380">
      <w:pPr>
        <w:pBdr>
          <w:top w:val="nil"/>
          <w:left w:val="nil"/>
          <w:bottom w:val="nil"/>
          <w:right w:val="nil"/>
          <w:between w:val="nil"/>
        </w:pBdr>
        <w:tabs>
          <w:tab w:val="left" w:pos="8080"/>
        </w:tabs>
        <w:spacing w:line="360" w:lineRule="auto"/>
        <w:ind w:left="993" w:right="-4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Para el caso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derivado de la búsqueda exhaustiva y razonable, no se localice el Catálogo de Disposición Documental vigente al 31 de octubre de 2025, y el documento en el que conste su validación, deberá emitir el Acuerdo de Inexistencia en términos de los artículos 19, párrafo tercero, 49, </w:t>
      </w:r>
      <w:r>
        <w:rPr>
          <w:rFonts w:ascii="Palatino Linotype" w:eastAsia="Palatino Linotype" w:hAnsi="Palatino Linotype" w:cs="Palatino Linotype"/>
          <w:color w:val="000000"/>
        </w:rPr>
        <w:lastRenderedPageBreak/>
        <w:t xml:space="preserve">fracciones II y XIII, 169 y 170 de la Ley de Transparencia y Acceso a la Información Pública del Estado de México y Municipios, debiendo notificarlo a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al momento de dar cumplimiento a la presente resolución.</w:t>
      </w:r>
    </w:p>
    <w:p w:rsidR="00913D41" w:rsidRDefault="00913D41">
      <w:pPr>
        <w:pBdr>
          <w:top w:val="nil"/>
          <w:left w:val="nil"/>
          <w:bottom w:val="nil"/>
          <w:right w:val="nil"/>
          <w:between w:val="nil"/>
        </w:pBdr>
        <w:tabs>
          <w:tab w:val="left" w:pos="8080"/>
        </w:tabs>
        <w:spacing w:line="360" w:lineRule="auto"/>
        <w:ind w:left="993" w:right="-433"/>
        <w:jc w:val="both"/>
        <w:rPr>
          <w:rFonts w:ascii="Palatino Linotype" w:eastAsia="Palatino Linotype" w:hAnsi="Palatino Linotype" w:cs="Palatino Linotype"/>
          <w:color w:val="000000"/>
        </w:rPr>
      </w:pPr>
    </w:p>
    <w:p w:rsidR="00913D41" w:rsidRDefault="004D6380">
      <w:pPr>
        <w:pBdr>
          <w:top w:val="nil"/>
          <w:left w:val="nil"/>
          <w:bottom w:val="nil"/>
          <w:right w:val="nil"/>
          <w:between w:val="nil"/>
        </w:pBdr>
        <w:tabs>
          <w:tab w:val="left" w:pos="8080"/>
        </w:tabs>
        <w:spacing w:line="360" w:lineRule="auto"/>
        <w:ind w:left="993" w:right="-43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color w:val="000000"/>
        </w:rPr>
        <w:t xml:space="preserve">Para el caso de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luego de la búsqueda exhaustiva y razonable no localice la información ordenada en el inciso 1), apartado a. por no haberse generado, poseído o administrado, bastará que lo haga del conocimiento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al momento de dar cumplimiento a la presente Resolución, en términos del artículo 19, párrafo segundo, de la Ley de Transparencia y Acceso a la Información Pública del Estado de México y Municipios.</w:t>
      </w:r>
    </w:p>
    <w:p w:rsidR="00913D41" w:rsidRDefault="00913D41">
      <w:pPr>
        <w:spacing w:line="360" w:lineRule="auto"/>
        <w:ind w:right="-716"/>
        <w:jc w:val="both"/>
        <w:rPr>
          <w:rFonts w:ascii="Palatino Linotype" w:eastAsia="Palatino Linotype" w:hAnsi="Palatino Linotype" w:cs="Palatino Linotype"/>
          <w:b/>
          <w:bCs/>
          <w:color w:val="000000"/>
        </w:rPr>
      </w:pPr>
      <w:bookmarkStart w:id="8" w:name="_heading=h.tbyxw1au001x" w:colFirst="0" w:colLast="0"/>
      <w:bookmarkEnd w:id="8"/>
    </w:p>
    <w:p w:rsidR="00913D41" w:rsidRDefault="004D6380">
      <w:pPr>
        <w:spacing w:line="360" w:lineRule="auto"/>
        <w:ind w:right="-7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TERCERO. Notifíquese </w:t>
      </w:r>
      <w:r>
        <w:rPr>
          <w:rFonts w:ascii="Palatino Linotype" w:eastAsia="Palatino Linotype" w:hAnsi="Palatino Linotype" w:cs="Palatino Linotype"/>
          <w:color w:val="000000"/>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000000"/>
        </w:rPr>
        <w:t>dé cumplimiento a lo ordenado dentro del plazo de diez días hábiles</w:t>
      </w:r>
      <w:r>
        <w:rPr>
          <w:rFonts w:ascii="Palatino Linotype" w:eastAsia="Palatino Linotype" w:hAnsi="Palatino Linotype" w:cs="Palatino Linotype"/>
          <w:color w:val="000000"/>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13D41" w:rsidRDefault="00913D41">
      <w:pPr>
        <w:spacing w:line="360" w:lineRule="auto"/>
        <w:ind w:right="-716"/>
        <w:jc w:val="both"/>
        <w:rPr>
          <w:rFonts w:ascii="Palatino Linotype" w:eastAsia="Palatino Linotype" w:hAnsi="Palatino Linotype" w:cs="Palatino Linotype"/>
          <w:color w:val="000000"/>
        </w:rPr>
      </w:pPr>
    </w:p>
    <w:p w:rsidR="00913D41" w:rsidRDefault="004D6380">
      <w:pPr>
        <w:spacing w:line="360" w:lineRule="auto"/>
        <w:ind w:right="-7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CUARTO. </w:t>
      </w:r>
      <w:r>
        <w:rPr>
          <w:rFonts w:ascii="Palatino Linotype" w:eastAsia="Palatino Linotype" w:hAnsi="Palatino Linotype" w:cs="Palatino Linotype"/>
          <w:color w:val="000000"/>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color w:val="000000"/>
        </w:rPr>
        <w:lastRenderedPageBreak/>
        <w:t>Sujeto Obligado</w:t>
      </w:r>
      <w:r>
        <w:rPr>
          <w:rFonts w:ascii="Palatino Linotype" w:eastAsia="Palatino Linotype" w:hAnsi="Palatino Linotype" w:cs="Palatino Linotype"/>
          <w:color w:val="000000"/>
        </w:rPr>
        <w:t xml:space="preserve"> de manera fundada y motivada, podrá solicitar una ampliación de plazo para el cumplimiento de la presente resolución.</w:t>
      </w:r>
    </w:p>
    <w:p w:rsidR="00913D41" w:rsidRDefault="00913D41">
      <w:pPr>
        <w:spacing w:line="360" w:lineRule="auto"/>
        <w:ind w:right="-716"/>
        <w:jc w:val="both"/>
        <w:rPr>
          <w:rFonts w:ascii="Palatino Linotype" w:eastAsia="Palatino Linotype" w:hAnsi="Palatino Linotype" w:cs="Palatino Linotype"/>
          <w:color w:val="000000"/>
        </w:rPr>
      </w:pPr>
    </w:p>
    <w:p w:rsidR="00913D41" w:rsidRDefault="004D6380">
      <w:pPr>
        <w:tabs>
          <w:tab w:val="left" w:pos="8080"/>
        </w:tabs>
        <w:spacing w:line="360" w:lineRule="auto"/>
        <w:ind w:right="-716"/>
        <w:jc w:val="both"/>
        <w:rPr>
          <w:rFonts w:ascii="Palatino Linotype" w:eastAsia="Palatino Linotype" w:hAnsi="Palatino Linotype" w:cs="Palatino Linotype"/>
          <w:color w:val="000000"/>
        </w:rPr>
      </w:pPr>
      <w:bookmarkStart w:id="9" w:name="_heading=h.xhr981y4g39w" w:colFirst="0" w:colLast="0"/>
      <w:bookmarkEnd w:id="9"/>
      <w:r>
        <w:rPr>
          <w:rFonts w:ascii="Palatino Linotype" w:eastAsia="Palatino Linotype" w:hAnsi="Palatino Linotype" w:cs="Palatino Linotype"/>
          <w:b/>
          <w:bCs/>
          <w:color w:val="000000"/>
        </w:rPr>
        <w:t xml:space="preserve">QUINTO. </w:t>
      </w:r>
      <w:r>
        <w:rPr>
          <w:rFonts w:ascii="Palatino Linotype" w:eastAsia="Palatino Linotype" w:hAnsi="Palatino Linotype" w:cs="Palatino Linotype"/>
          <w:color w:val="000000"/>
        </w:rPr>
        <w:t xml:space="preserve">Notifíquese al Recurrente la presente resolución, vía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w:t>
      </w:r>
    </w:p>
    <w:p w:rsidR="00913D41" w:rsidRDefault="00913D41">
      <w:pPr>
        <w:tabs>
          <w:tab w:val="left" w:pos="8080"/>
        </w:tabs>
        <w:spacing w:line="360" w:lineRule="auto"/>
        <w:ind w:right="-716"/>
        <w:jc w:val="both"/>
        <w:rPr>
          <w:rFonts w:ascii="Palatino Linotype" w:eastAsia="Palatino Linotype" w:hAnsi="Palatino Linotype" w:cs="Palatino Linotype"/>
          <w:color w:val="000000"/>
        </w:rPr>
      </w:pPr>
    </w:p>
    <w:p w:rsidR="00913D41" w:rsidRDefault="004D6380">
      <w:pPr>
        <w:shd w:val="clear" w:color="auto" w:fill="FFFFFF"/>
        <w:spacing w:line="360" w:lineRule="auto"/>
        <w:ind w:right="-7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SEXTO. </w:t>
      </w:r>
      <w:r>
        <w:rPr>
          <w:rFonts w:ascii="Palatino Linotype" w:eastAsia="Palatino Linotype" w:hAnsi="Palatino Linotype" w:cs="Palatino Linotype"/>
          <w:color w:val="000000"/>
        </w:rPr>
        <w:t>Se hace del conocimiento del</w:t>
      </w:r>
      <w:r>
        <w:rPr>
          <w:rFonts w:ascii="Palatino Linotype" w:eastAsia="Palatino Linotype" w:hAnsi="Palatino Linotype" w:cs="Palatino Linotype"/>
          <w:b/>
          <w:bCs/>
          <w:color w:val="000000"/>
        </w:rPr>
        <w:t xml:space="preserve"> Recurrente </w:t>
      </w:r>
      <w:r>
        <w:rPr>
          <w:rFonts w:ascii="Palatino Linotype" w:eastAsia="Palatino Linotype" w:hAnsi="Palatino Linotype" w:cs="Palatino Linotype"/>
          <w:color w:val="000000"/>
        </w:rPr>
        <w:t xml:space="preserve">que, de conformidad con lo establecido en el artículo 196 de la Ley de Transparencia y Acceso a la Información Pública del Estado de México y Municipios, 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Juicio de Amparo en los términos de las leyes aplicables.</w:t>
      </w:r>
    </w:p>
    <w:p w:rsidR="00913D41" w:rsidRDefault="00913D41">
      <w:pPr>
        <w:spacing w:line="360" w:lineRule="auto"/>
        <w:ind w:right="-787"/>
        <w:jc w:val="both"/>
        <w:rPr>
          <w:rFonts w:ascii="Palatino Linotype" w:eastAsia="Palatino Linotype" w:hAnsi="Palatino Linotype" w:cs="Palatino Linotype"/>
          <w:b/>
          <w:bCs/>
        </w:rPr>
      </w:pPr>
    </w:p>
    <w:p w:rsidR="00925551" w:rsidRPr="003E2295" w:rsidRDefault="00925551" w:rsidP="00925551">
      <w:pPr>
        <w:spacing w:before="240" w:after="240" w:line="360" w:lineRule="auto"/>
        <w:ind w:right="-716" w:firstLine="1"/>
        <w:jc w:val="both"/>
        <w:rPr>
          <w:rFonts w:ascii="Palatino Linotype" w:hAnsi="Palatino Linotype"/>
        </w:rPr>
      </w:pPr>
      <w:bookmarkStart w:id="10" w:name="_heading=h.6fdsxojh0ru1" w:colFirst="0" w:colLast="0"/>
      <w:bookmarkStart w:id="11" w:name="_Hlk99014733"/>
      <w:bookmarkEnd w:id="10"/>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1"/>
    <w:p w:rsidR="00913D41" w:rsidRDefault="00913D41" w:rsidP="00925551">
      <w:pPr>
        <w:spacing w:line="360" w:lineRule="auto"/>
        <w:ind w:right="-716"/>
        <w:jc w:val="both"/>
        <w:rPr>
          <w:rFonts w:ascii="Palatino Linotype" w:eastAsia="Palatino Linotype" w:hAnsi="Palatino Linotype" w:cs="Palatino Linotype"/>
        </w:rPr>
      </w:pPr>
    </w:p>
    <w:p w:rsidR="00913D41" w:rsidRDefault="00913D41" w:rsidP="00925551">
      <w:pPr>
        <w:spacing w:line="360" w:lineRule="auto"/>
        <w:ind w:right="-716"/>
        <w:jc w:val="both"/>
        <w:rPr>
          <w:rFonts w:ascii="Palatino Linotype" w:eastAsia="Palatino Linotype" w:hAnsi="Palatino Linotype" w:cs="Palatino Linotype"/>
        </w:rPr>
      </w:pPr>
    </w:p>
    <w:p w:rsidR="00913D41" w:rsidRDefault="00913D41">
      <w:pPr>
        <w:spacing w:line="360" w:lineRule="auto"/>
        <w:ind w:right="-787"/>
        <w:jc w:val="both"/>
        <w:rPr>
          <w:rFonts w:ascii="Palatino Linotype" w:eastAsia="Palatino Linotype" w:hAnsi="Palatino Linotype" w:cs="Palatino Linotype"/>
        </w:rPr>
      </w:pPr>
    </w:p>
    <w:p w:rsidR="00913D41" w:rsidRDefault="00913D41">
      <w:pPr>
        <w:spacing w:line="360" w:lineRule="auto"/>
        <w:ind w:right="-787"/>
        <w:jc w:val="both"/>
        <w:rPr>
          <w:rFonts w:ascii="Palatino Linotype" w:eastAsia="Palatino Linotype" w:hAnsi="Palatino Linotype" w:cs="Palatino Linotype"/>
        </w:rPr>
      </w:pPr>
    </w:p>
    <w:p w:rsidR="00913D41" w:rsidRDefault="00913D41">
      <w:pPr>
        <w:spacing w:line="360" w:lineRule="auto"/>
        <w:ind w:right="-787"/>
        <w:jc w:val="both"/>
        <w:rPr>
          <w:rFonts w:ascii="Palatino Linotype" w:eastAsia="Palatino Linotype" w:hAnsi="Palatino Linotype" w:cs="Palatino Linotype"/>
        </w:rPr>
      </w:pPr>
    </w:p>
    <w:p w:rsidR="00913D41" w:rsidRDefault="00913D41">
      <w:pPr>
        <w:spacing w:line="360" w:lineRule="auto"/>
        <w:ind w:right="-787"/>
        <w:jc w:val="both"/>
        <w:rPr>
          <w:rFonts w:ascii="Palatino Linotype" w:eastAsia="Palatino Linotype" w:hAnsi="Palatino Linotype" w:cs="Palatino Linotype"/>
        </w:rPr>
      </w:pPr>
    </w:p>
    <w:p w:rsidR="00913D41" w:rsidRDefault="00913D41">
      <w:pPr>
        <w:spacing w:line="360" w:lineRule="auto"/>
        <w:ind w:right="-787"/>
        <w:jc w:val="both"/>
        <w:rPr>
          <w:rFonts w:ascii="Palatino Linotype" w:eastAsia="Palatino Linotype" w:hAnsi="Palatino Linotype" w:cs="Palatino Linotype"/>
        </w:rPr>
      </w:pPr>
    </w:p>
    <w:p w:rsidR="00913D41" w:rsidRDefault="00913D41">
      <w:pPr>
        <w:spacing w:line="360" w:lineRule="auto"/>
        <w:ind w:right="-787"/>
        <w:rPr>
          <w:rFonts w:ascii="Palatino Linotype" w:eastAsia="Palatino Linotype" w:hAnsi="Palatino Linotype" w:cs="Palatino Linotype"/>
        </w:rPr>
      </w:pPr>
    </w:p>
    <w:p w:rsidR="00913D41" w:rsidRDefault="00913D41">
      <w:pPr>
        <w:spacing w:line="360" w:lineRule="auto"/>
        <w:ind w:right="-787"/>
        <w:rPr>
          <w:rFonts w:ascii="Palatino Linotype" w:eastAsia="Palatino Linotype" w:hAnsi="Palatino Linotype" w:cs="Palatino Linotype"/>
        </w:rPr>
      </w:pPr>
    </w:p>
    <w:p w:rsidR="00913D41" w:rsidRDefault="00913D41">
      <w:pPr>
        <w:tabs>
          <w:tab w:val="left" w:pos="3374"/>
        </w:tabs>
        <w:spacing w:line="360" w:lineRule="auto"/>
        <w:ind w:right="-787"/>
        <w:rPr>
          <w:rFonts w:ascii="Palatino Linotype" w:eastAsia="Palatino Linotype" w:hAnsi="Palatino Linotype" w:cs="Palatino Linotype"/>
        </w:rPr>
      </w:pPr>
      <w:bookmarkStart w:id="12" w:name="_heading=h.lnxbz9" w:colFirst="0" w:colLast="0"/>
      <w:bookmarkEnd w:id="12"/>
    </w:p>
    <w:sectPr w:rsidR="00913D41">
      <w:headerReference w:type="even" r:id="rId9"/>
      <w:headerReference w:type="default" r:id="rId10"/>
      <w:footerReference w:type="default" r:id="rId11"/>
      <w:headerReference w:type="first" r:id="rId12"/>
      <w:footerReference w:type="first" r:id="rId13"/>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D7A" w:rsidRDefault="00923D7A">
      <w:r>
        <w:separator/>
      </w:r>
    </w:p>
  </w:endnote>
  <w:endnote w:type="continuationSeparator" w:id="0">
    <w:p w:rsidR="00923D7A" w:rsidRDefault="00923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F81AABBC-0862-4D03-9549-80DE7CF608DE}"/>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12B63B65-AB14-47D1-944C-AF4BC2A54C71}"/>
    <w:embedBold r:id="rId3" w:fontKey="{C8CD3083-34BB-4311-9211-1C9558D21016}"/>
    <w:embedItalic r:id="rId4" w:fontKey="{E93C069F-6A08-4F89-8458-9980AD708DA4}"/>
    <w:embedBoldItalic r:id="rId5" w:fontKey="{4FE9EAB7-1E91-4D68-8501-094429CE7866}"/>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50FBB33B-46B5-495D-B891-20B8E70AA2E4}"/>
    <w:embedBold r:id="rId7" w:fontKey="{CBF770F3-A4DD-402D-AC6F-53E76F4024B0}"/>
  </w:font>
  <w:font w:name="Georgia">
    <w:panose1 w:val="02040502050405020303"/>
    <w:charset w:val="00"/>
    <w:family w:val="roman"/>
    <w:pitch w:val="variable"/>
    <w:sig w:usb0="00000287" w:usb1="00000000" w:usb2="00000000" w:usb3="00000000" w:csb0="0000009F" w:csb1="00000000"/>
    <w:embedItalic r:id="rId8" w:fontKey="{ECF8BB9E-050E-49B9-AE4D-9585DEBA730E}"/>
  </w:font>
  <w:font w:name="Cambria">
    <w:panose1 w:val="02040503050406030204"/>
    <w:charset w:val="00"/>
    <w:family w:val="roman"/>
    <w:pitch w:val="variable"/>
    <w:sig w:usb0="E00006FF" w:usb1="420024FF" w:usb2="02000000" w:usb3="00000000" w:csb0="0000019F" w:csb1="00000000"/>
    <w:embedRegular r:id="rId9" w:fontKey="{EE09B7B2-C2C9-4C1C-9E08-C9B6243E85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D41" w:rsidRDefault="004D6380">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0D1C32">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0D1C32">
      <w:rPr>
        <w:rFonts w:ascii="Palatino Linotype" w:eastAsia="Palatino Linotype" w:hAnsi="Palatino Linotype" w:cs="Palatino Linotype"/>
        <w:noProof/>
        <w:color w:val="000000"/>
        <w:sz w:val="22"/>
        <w:szCs w:val="22"/>
      </w:rPr>
      <w:t>30</w:t>
    </w:r>
    <w:r>
      <w:rPr>
        <w:rFonts w:ascii="Palatino Linotype" w:eastAsia="Palatino Linotype" w:hAnsi="Palatino Linotype" w:cs="Palatino Linotype"/>
        <w:color w:val="000000"/>
        <w:sz w:val="22"/>
        <w:szCs w:val="22"/>
      </w:rPr>
      <w:fldChar w:fldCharType="end"/>
    </w:r>
  </w:p>
  <w:p w:rsidR="00913D41" w:rsidRDefault="00913D4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D41" w:rsidRDefault="004D6380">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0D1C32">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0D1C32">
      <w:rPr>
        <w:rFonts w:ascii="Palatino Linotype" w:eastAsia="Palatino Linotype" w:hAnsi="Palatino Linotype" w:cs="Palatino Linotype"/>
        <w:noProof/>
        <w:color w:val="000000"/>
        <w:sz w:val="22"/>
        <w:szCs w:val="22"/>
      </w:rPr>
      <w:t>30</w:t>
    </w:r>
    <w:r>
      <w:rPr>
        <w:rFonts w:ascii="Palatino Linotype" w:eastAsia="Palatino Linotype" w:hAnsi="Palatino Linotype" w:cs="Palatino Linotype"/>
        <w:color w:val="000000"/>
        <w:sz w:val="22"/>
        <w:szCs w:val="22"/>
      </w:rPr>
      <w:fldChar w:fldCharType="end"/>
    </w:r>
  </w:p>
  <w:p w:rsidR="00913D41" w:rsidRDefault="00913D4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D7A" w:rsidRDefault="00923D7A">
      <w:r>
        <w:separator/>
      </w:r>
    </w:p>
  </w:footnote>
  <w:footnote w:type="continuationSeparator" w:id="0">
    <w:p w:rsidR="00923D7A" w:rsidRDefault="00923D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D41" w:rsidRDefault="00923D7A">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6750" w:type="dxa"/>
      <w:tblInd w:w="3261" w:type="dxa"/>
      <w:tblLayout w:type="fixed"/>
      <w:tblLook w:val="0400" w:firstRow="0" w:lastRow="0" w:firstColumn="0" w:lastColumn="0" w:noHBand="0" w:noVBand="1"/>
    </w:tblPr>
    <w:tblGrid>
      <w:gridCol w:w="3039"/>
      <w:gridCol w:w="3711"/>
    </w:tblGrid>
    <w:tr w:rsidR="00913D41" w:rsidTr="00B30840">
      <w:trPr>
        <w:trHeight w:val="227"/>
      </w:trPr>
      <w:tc>
        <w:tcPr>
          <w:tcW w:w="3039" w:type="dxa"/>
        </w:tcPr>
        <w:p w:rsidR="00913D41" w:rsidRDefault="004D6380">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11" w:type="dxa"/>
        </w:tcPr>
        <w:p w:rsidR="00913D41" w:rsidRDefault="004D6380">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13803/INFOEM/IP/RR/2025</w:t>
          </w:r>
        </w:p>
      </w:tc>
    </w:tr>
    <w:tr w:rsidR="00913D41" w:rsidTr="00B30840">
      <w:trPr>
        <w:trHeight w:val="342"/>
      </w:trPr>
      <w:tc>
        <w:tcPr>
          <w:tcW w:w="3039" w:type="dxa"/>
        </w:tcPr>
        <w:p w:rsidR="00913D41" w:rsidRDefault="004D6380">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11" w:type="dxa"/>
        </w:tcPr>
        <w:p w:rsidR="00913D41" w:rsidRDefault="004D6380">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Hospital Regional de Alta Especialidad de Zumpango</w:t>
          </w:r>
        </w:p>
      </w:tc>
    </w:tr>
    <w:tr w:rsidR="00913D41" w:rsidTr="00B30840">
      <w:trPr>
        <w:trHeight w:val="342"/>
      </w:trPr>
      <w:tc>
        <w:tcPr>
          <w:tcW w:w="3039" w:type="dxa"/>
        </w:tcPr>
        <w:p w:rsidR="00913D41" w:rsidRDefault="004D6380">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11" w:type="dxa"/>
        </w:tcPr>
        <w:p w:rsidR="00913D41" w:rsidRDefault="004D6380">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913D41" w:rsidRDefault="00923D7A">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080" w:type="dxa"/>
      <w:tblInd w:w="3261" w:type="dxa"/>
      <w:tblLayout w:type="fixed"/>
      <w:tblLook w:val="0400" w:firstRow="0" w:lastRow="0" w:firstColumn="0" w:lastColumn="0" w:noHBand="0" w:noVBand="1"/>
    </w:tblPr>
    <w:tblGrid>
      <w:gridCol w:w="2895"/>
      <w:gridCol w:w="4185"/>
    </w:tblGrid>
    <w:tr w:rsidR="00913D41">
      <w:trPr>
        <w:trHeight w:val="227"/>
      </w:trPr>
      <w:tc>
        <w:tcPr>
          <w:tcW w:w="2895" w:type="dxa"/>
        </w:tcPr>
        <w:p w:rsidR="00913D41" w:rsidRDefault="004D6380">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85" w:type="dxa"/>
        </w:tcPr>
        <w:p w:rsidR="00913D41" w:rsidRDefault="004D6380">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13803/INFOEM/IP/RR/2025</w:t>
          </w:r>
        </w:p>
      </w:tc>
    </w:tr>
    <w:tr w:rsidR="00913D41">
      <w:trPr>
        <w:trHeight w:val="242"/>
      </w:trPr>
      <w:tc>
        <w:tcPr>
          <w:tcW w:w="2895" w:type="dxa"/>
        </w:tcPr>
        <w:p w:rsidR="00913D41" w:rsidRDefault="004D6380">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185" w:type="dxa"/>
        </w:tcPr>
        <w:p w:rsidR="00913D41" w:rsidRDefault="000D1C32">
          <w:pPr>
            <w:rPr>
              <w:rFonts w:ascii="Palatino Linotype" w:eastAsia="Palatino Linotype" w:hAnsi="Palatino Linotype" w:cs="Palatino Linotype"/>
              <w:color w:val="000000"/>
            </w:rPr>
          </w:pPr>
          <w:r>
            <w:rPr>
              <w:rFonts w:ascii="Palatino Linotype" w:eastAsia="Palatino Linotype" w:hAnsi="Palatino Linotype" w:cs="Palatino Linotype"/>
              <w:color w:val="000000"/>
            </w:rPr>
            <w:t>XXXX</w:t>
          </w:r>
        </w:p>
      </w:tc>
    </w:tr>
    <w:tr w:rsidR="00913D41">
      <w:trPr>
        <w:trHeight w:val="342"/>
      </w:trPr>
      <w:tc>
        <w:tcPr>
          <w:tcW w:w="2895" w:type="dxa"/>
        </w:tcPr>
        <w:p w:rsidR="00913D41" w:rsidRDefault="004D6380">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85" w:type="dxa"/>
        </w:tcPr>
        <w:p w:rsidR="00913D41" w:rsidRDefault="004D6380">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Hospital Regional de Alta</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Especialidad de Zumpango</w:t>
          </w:r>
        </w:p>
      </w:tc>
    </w:tr>
    <w:tr w:rsidR="00913D41">
      <w:trPr>
        <w:trHeight w:val="342"/>
      </w:trPr>
      <w:tc>
        <w:tcPr>
          <w:tcW w:w="2895" w:type="dxa"/>
        </w:tcPr>
        <w:p w:rsidR="00913D41" w:rsidRDefault="004D6380">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85" w:type="dxa"/>
        </w:tcPr>
        <w:p w:rsidR="00913D41" w:rsidRDefault="004D6380">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913D41" w:rsidRDefault="00923D7A">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D5826"/>
    <w:multiLevelType w:val="multilevel"/>
    <w:tmpl w:val="DDDE414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31CC10FC"/>
    <w:multiLevelType w:val="multilevel"/>
    <w:tmpl w:val="9B4673BC"/>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38607EE3"/>
    <w:multiLevelType w:val="multilevel"/>
    <w:tmpl w:val="60B0B60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 w15:restartNumberingAfterBreak="0">
    <w:nsid w:val="420E50A9"/>
    <w:multiLevelType w:val="multilevel"/>
    <w:tmpl w:val="555649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1AD2C36"/>
    <w:multiLevelType w:val="multilevel"/>
    <w:tmpl w:val="BE2E6AE2"/>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8D52399"/>
    <w:multiLevelType w:val="multilevel"/>
    <w:tmpl w:val="9EB4F9FE"/>
    <w:lvl w:ilvl="0">
      <w:start w:val="1"/>
      <w:numFmt w:val="lowerLetter"/>
      <w:lvlText w:val="%1."/>
      <w:lvlJc w:val="left"/>
      <w:pPr>
        <w:ind w:left="720" w:hanging="360"/>
      </w:pPr>
      <w:rPr>
        <w:rFonts w:ascii="Arial" w:eastAsia="Arial" w:hAnsi="Arial" w:cs="Arial"/>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7B606C61"/>
    <w:multiLevelType w:val="multilevel"/>
    <w:tmpl w:val="2C96BF1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num w:numId="1">
    <w:abstractNumId w:val="2"/>
  </w:num>
  <w:num w:numId="2">
    <w:abstractNumId w:val="0"/>
  </w:num>
  <w:num w:numId="3">
    <w:abstractNumId w:val="4"/>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D41"/>
    <w:rsid w:val="000D1C32"/>
    <w:rsid w:val="004D0994"/>
    <w:rsid w:val="004D6380"/>
    <w:rsid w:val="00913D41"/>
    <w:rsid w:val="00923D7A"/>
    <w:rsid w:val="00925551"/>
    <w:rsid w:val="00B30840"/>
    <w:rsid w:val="00E16EDC"/>
    <w:rsid w:val="00F442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FC6AECFE-0389-4E6B-B93A-7F887BACF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B30840"/>
    <w:pPr>
      <w:tabs>
        <w:tab w:val="center" w:pos="4419"/>
        <w:tab w:val="right" w:pos="8838"/>
      </w:tabs>
    </w:pPr>
  </w:style>
  <w:style w:type="character" w:customStyle="1" w:styleId="PiedepginaCar">
    <w:name w:val="Pie de página Car"/>
    <w:basedOn w:val="Fuentedeprrafopredeter"/>
    <w:link w:val="Piedepgina"/>
    <w:uiPriority w:val="99"/>
    <w:rsid w:val="00B30840"/>
  </w:style>
  <w:style w:type="paragraph" w:styleId="Prrafodelista">
    <w:name w:val="List Paragraph"/>
    <w:basedOn w:val="Normal"/>
    <w:uiPriority w:val="34"/>
    <w:qFormat/>
    <w:rsid w:val="00B30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8LCJe/X5GVASt4oGsFog/MuA1g==">CgMxLjAyCGguZ2pkZ3hzMgloLjMwajB6bGwyCWguMWZvYjl0ZTIJaC4zem55c2g3MgloLjJldDkycDAyCWguMXQzaDVzZjIOaC52aWhtZWxjdWIwZWIyDmgudGJ5eHcxYXUwMDF4Mg5oLnhocjk4MXk0ZzM5dzIOaC42ZmRzeG9qaDBydTEyCGgubG54Yno5OAByITFtUnFDZGxmRU85S2lpNDRpVTRJdUFDVndYMlVaTkRHdw==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7978</Words>
  <Characters>43884</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2026-05-29T00:17:00Z</cp:lastPrinted>
  <dcterms:created xsi:type="dcterms:W3CDTF">2026-05-27T21:53:00Z</dcterms:created>
  <dcterms:modified xsi:type="dcterms:W3CDTF">2026-06-03T00:17:00Z</dcterms:modified>
</cp:coreProperties>
</file>