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868" w:rsidRDefault="00C30952">
      <w:pPr>
        <w:tabs>
          <w:tab w:val="left" w:pos="3465"/>
        </w:tabs>
        <w:spacing w:line="360" w:lineRule="auto"/>
        <w:ind w:right="49"/>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034868" w:rsidRDefault="00034868">
      <w:pPr>
        <w:tabs>
          <w:tab w:val="left" w:pos="3465"/>
        </w:tabs>
        <w:spacing w:line="360" w:lineRule="auto"/>
        <w:ind w:right="49"/>
        <w:jc w:val="both"/>
        <w:rPr>
          <w:rFonts w:ascii="Palatino Linotype" w:eastAsia="Palatino Linotype" w:hAnsi="Palatino Linotype" w:cs="Palatino Linotype"/>
        </w:rPr>
      </w:pPr>
    </w:p>
    <w:p w:rsidR="00034868" w:rsidRDefault="00C30952">
      <w:pPr>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13373/INFOEM/IP/RR/2025,</w:t>
      </w:r>
      <w:r>
        <w:rPr>
          <w:rFonts w:ascii="Palatino Linotype" w:eastAsia="Palatino Linotype" w:hAnsi="Palatino Linotype" w:cs="Palatino Linotype"/>
        </w:rPr>
        <w:t xml:space="preserve"> presentado por </w:t>
      </w:r>
      <w:r w:rsidR="00CB0044">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00906/ECATEPEC/IP/2025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Ayun</w:t>
      </w:r>
      <w:bookmarkStart w:id="0" w:name="_GoBack"/>
      <w:bookmarkEnd w:id="0"/>
      <w:r>
        <w:rPr>
          <w:rFonts w:ascii="Palatino Linotype" w:eastAsia="Palatino Linotype" w:hAnsi="Palatino Linotype" w:cs="Palatino Linotype"/>
          <w:b/>
          <w:bCs/>
        </w:rPr>
        <w:t xml:space="preserve">tamiento de Ecatepec de Morelos,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034868" w:rsidRDefault="00034868">
      <w:pPr>
        <w:spacing w:line="360" w:lineRule="auto"/>
        <w:ind w:right="49"/>
        <w:jc w:val="both"/>
        <w:rPr>
          <w:rFonts w:ascii="Palatino Linotype" w:eastAsia="Palatino Linotype" w:hAnsi="Palatino Linotype" w:cs="Palatino Linotype"/>
        </w:rPr>
      </w:pPr>
    </w:p>
    <w:p w:rsidR="00034868" w:rsidRDefault="00C30952">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034868" w:rsidRDefault="00C30952">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once de noviembre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 xml:space="preserve">Se me entregue por este medio un inventario QUE CONTENGA marca del vehículo, modelo del vehículo, número de serie del vehículo y número de placade del vehículo, de los vehículos que se han retirado de las vialidades locales y primarias del territorio municipal de Ecatepec de Morelos, a partir del 01 de enero del 2025 al 11 de noviembre de 2025, de acuerdo a lo estipulado en el artículo 28 fracciones XX y XXII de la Ley de Movilidad y Seguridad Vial del Estado de México y sus Municipios. asimismo, se me entregue por este medio las notificaciones realizadas por cada uno de los vehículos que se hayan retirado, las ordenes de retiro y las garantías de audiencia que se han celebrado por </w:t>
      </w:r>
      <w:r>
        <w:rPr>
          <w:rFonts w:ascii="Palatino Linotype" w:eastAsia="Palatino Linotype" w:hAnsi="Palatino Linotype" w:cs="Palatino Linotype"/>
          <w:i/>
          <w:iCs/>
        </w:rPr>
        <w:lastRenderedPageBreak/>
        <w:t>cada uno de los vehículos que se informen. también solicito el contrato, convenio o documento de colaboración que haya celebrado el ente público con la concesionaria, para que grúas concesionadas realicen la tarea de arrastre al depósito vehicular.</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color w:val="000000"/>
        </w:rPr>
      </w:pPr>
    </w:p>
    <w:p w:rsidR="00034868" w:rsidRDefault="00C30952">
      <w:pPr>
        <w:numPr>
          <w:ilvl w:val="0"/>
          <w:numId w:val="10"/>
        </w:numPr>
        <w:pBdr>
          <w:top w:val="nil"/>
          <w:left w:val="nil"/>
          <w:bottom w:val="nil"/>
          <w:right w:val="nil"/>
          <w:between w:val="nil"/>
        </w:pBdr>
        <w:spacing w:line="360" w:lineRule="auto"/>
        <w:ind w:left="426" w:right="49" w:hanging="4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034868" w:rsidRDefault="00034868">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doce de noviembre de dos mil veinticinco,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giró el requerimiento para que fuera atendida la solicitud de información </w:t>
      </w:r>
      <w:r>
        <w:rPr>
          <w:rFonts w:ascii="Palatino Linotype" w:eastAsia="Palatino Linotype" w:hAnsi="Palatino Linotype" w:cs="Palatino Linotype"/>
          <w:b/>
          <w:bCs/>
        </w:rPr>
        <w:t>00906/ECATEPEC/IP/2025.</w:t>
      </w:r>
    </w:p>
    <w:p w:rsidR="00034868" w:rsidRDefault="0003486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uno de diciembre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anexó tres archivos electrónicos en formato pdf, cuyo contenido grosso modo es el siguiente.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 Transparencia folio 906.pdf: </w:t>
      </w:r>
      <w:r>
        <w:rPr>
          <w:rFonts w:ascii="Palatino Linotype" w:eastAsia="Palatino Linotype" w:hAnsi="Palatino Linotype" w:cs="Palatino Linotype"/>
          <w:i/>
          <w:iCs/>
        </w:rPr>
        <w:t xml:space="preserve">oficio del Consejero Jurídico, mediante el cual informa que el área competente para conocer de la solicitud de información es la Dirección de Movilidad Urbana.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Respuesta.pdf: </w:t>
      </w:r>
      <w:r>
        <w:rPr>
          <w:rFonts w:ascii="Palatino Linotype" w:eastAsia="Palatino Linotype" w:hAnsi="Palatino Linotype" w:cs="Palatino Linotype"/>
          <w:i/>
          <w:iCs/>
        </w:rPr>
        <w:t xml:space="preserve">oficio del Director de Movilidad Urbana, mediante el cual informa que lo respectivo a </w:t>
      </w:r>
      <w:r>
        <w:rPr>
          <w:rFonts w:ascii="Palatino Linotype" w:eastAsia="Palatino Linotype" w:hAnsi="Palatino Linotype" w:cs="Palatino Linotype"/>
          <w:b/>
          <w:bCs/>
          <w:i/>
          <w:iCs/>
        </w:rPr>
        <w:t xml:space="preserve">la marca, modelo, número de serie y placas de los vehículos retirados de las vialidades, </w:t>
      </w:r>
      <w:r>
        <w:rPr>
          <w:rFonts w:ascii="Palatino Linotype" w:eastAsia="Palatino Linotype" w:hAnsi="Palatino Linotype" w:cs="Palatino Linotype"/>
          <w:i/>
          <w:iCs/>
        </w:rPr>
        <w:t xml:space="preserve">es información considerada como confidencial, </w:t>
      </w:r>
      <w:r>
        <w:rPr>
          <w:rFonts w:ascii="Palatino Linotype" w:eastAsia="Palatino Linotype" w:hAnsi="Palatino Linotype" w:cs="Palatino Linotype"/>
          <w:b/>
          <w:bCs/>
          <w:i/>
          <w:iCs/>
        </w:rPr>
        <w:t xml:space="preserve">toda vez que constituye a datos personales y datos relativos a bienes de propiedad privada, </w:t>
      </w:r>
      <w:r>
        <w:rPr>
          <w:rFonts w:ascii="Palatino Linotype" w:eastAsia="Palatino Linotype" w:hAnsi="Palatino Linotype" w:cs="Palatino Linotype"/>
          <w:i/>
          <w:iCs/>
        </w:rPr>
        <w:t xml:space="preserve">por lo que para entregarla se debe de acreditar el interés jurídico.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Respecto a los contratos o convenios con concesionarias o grúas informa que lo solicitado lo puede tener la Consejería Jurídica. </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b/>
          <w:bCs/>
          <w:i/>
          <w:iCs/>
        </w:rPr>
      </w:pP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CT_UT_ECA_1325_2025 contestacion a sol. 0906.pdf: </w:t>
      </w:r>
      <w:r>
        <w:rPr>
          <w:rFonts w:ascii="Palatino Linotype" w:eastAsia="Palatino Linotype" w:hAnsi="Palatino Linotype" w:cs="Palatino Linotype"/>
          <w:i/>
          <w:iCs/>
        </w:rPr>
        <w:t xml:space="preserve">oficio del Titular de la Unidad de Transparencia y Acceso a la Información, mediante el cual informa que anexa la respuesta de los servidores públicos habilitados. </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i/>
          <w:iCs/>
        </w:rPr>
      </w:pPr>
    </w:p>
    <w:p w:rsidR="00034868" w:rsidRDefault="00C30952">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dos de diciembre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034868" w:rsidRDefault="0003486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034868" w:rsidRDefault="00C30952">
      <w:pPr>
        <w:numPr>
          <w:ilvl w:val="0"/>
          <w:numId w:val="1"/>
        </w:numPr>
        <w:pBdr>
          <w:top w:val="nil"/>
          <w:left w:val="nil"/>
          <w:bottom w:val="nil"/>
          <w:right w:val="nil"/>
          <w:between w:val="nil"/>
        </w:pBdr>
        <w:tabs>
          <w:tab w:val="left" w:pos="2745"/>
        </w:tabs>
        <w:spacing w:line="360" w:lineRule="auto"/>
        <w:ind w:right="184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034868" w:rsidRDefault="00C30952">
      <w:pPr>
        <w:spacing w:line="360" w:lineRule="auto"/>
        <w:ind w:left="1134" w:right="616"/>
        <w:jc w:val="both"/>
        <w:rPr>
          <w:rFonts w:ascii="Palatino Linotype" w:eastAsia="Palatino Linotype" w:hAnsi="Palatino Linotype" w:cs="Palatino Linotype"/>
          <w:i/>
          <w:iCs/>
        </w:rPr>
      </w:pPr>
      <w:r>
        <w:rPr>
          <w:rFonts w:ascii="Palatino Linotype" w:eastAsia="Palatino Linotype" w:hAnsi="Palatino Linotype" w:cs="Palatino Linotype"/>
          <w:i/>
          <w:iCs/>
        </w:rPr>
        <w:t>“la respuesta entregada por el sujeto obligado”</w:t>
      </w:r>
    </w:p>
    <w:p w:rsidR="00034868" w:rsidRDefault="00034868">
      <w:pPr>
        <w:tabs>
          <w:tab w:val="left" w:pos="2745"/>
        </w:tabs>
        <w:spacing w:line="360" w:lineRule="auto"/>
        <w:ind w:right="616"/>
        <w:jc w:val="both"/>
        <w:rPr>
          <w:rFonts w:ascii="Palatino Linotype" w:eastAsia="Palatino Linotype" w:hAnsi="Palatino Linotype" w:cs="Palatino Linotype"/>
          <w:i/>
          <w:iCs/>
        </w:rPr>
      </w:pPr>
    </w:p>
    <w:p w:rsidR="00034868" w:rsidRDefault="00C30952">
      <w:pPr>
        <w:numPr>
          <w:ilvl w:val="0"/>
          <w:numId w:val="19"/>
        </w:numPr>
        <w:pBdr>
          <w:top w:val="nil"/>
          <w:left w:val="nil"/>
          <w:bottom w:val="nil"/>
          <w:right w:val="nil"/>
          <w:between w:val="nil"/>
        </w:pBdr>
        <w:spacing w:line="360" w:lineRule="auto"/>
        <w:ind w:right="616"/>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“no entrega la información solicitada, refiriendo inexactamente que es información confidencial y que únicamente se entrega a personas con interés jurídico, cuando la información de lo solicitado es publica por ser de interés legítimo.</w:t>
      </w:r>
      <w:r>
        <w:rPr>
          <w:rFonts w:ascii="Palatino Linotype" w:eastAsia="Palatino Linotype" w:hAnsi="Palatino Linotype" w:cs="Palatino Linotype"/>
          <w:b/>
          <w:bCs/>
          <w:i/>
          <w:iCs/>
        </w:rPr>
        <w:t>”</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ocho de diciembre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rindió informe justificado el </w:t>
      </w:r>
      <w:r>
        <w:rPr>
          <w:rFonts w:ascii="Palatino Linotype" w:eastAsia="Palatino Linotype" w:hAnsi="Palatino Linotype" w:cs="Palatino Linotype"/>
          <w:b/>
          <w:bCs/>
          <w:color w:val="000000"/>
        </w:rPr>
        <w:t xml:space="preserve">ocho y quince de diciembre de dos mil </w:t>
      </w:r>
      <w:r>
        <w:rPr>
          <w:rFonts w:ascii="Palatino Linotype" w:eastAsia="Palatino Linotype" w:hAnsi="Palatino Linotype" w:cs="Palatino Linotype"/>
          <w:b/>
          <w:bCs/>
        </w:rPr>
        <w:t>veinticinco</w:t>
      </w:r>
      <w:r>
        <w:rPr>
          <w:rFonts w:ascii="Palatino Linotype" w:eastAsia="Palatino Linotype" w:hAnsi="Palatino Linotype" w:cs="Palatino Linotype"/>
          <w:color w:val="000000"/>
        </w:rPr>
        <w:t xml:space="preserve">, mediante dos archivos </w:t>
      </w:r>
      <w:r>
        <w:rPr>
          <w:rFonts w:ascii="Palatino Linotype" w:eastAsia="Palatino Linotype" w:hAnsi="Palatino Linotype" w:cs="Palatino Linotype"/>
        </w:rPr>
        <w:t>electrónicos</w:t>
      </w:r>
      <w:r>
        <w:rPr>
          <w:rFonts w:ascii="Palatino Linotype" w:eastAsia="Palatino Linotype" w:hAnsi="Palatino Linotype" w:cs="Palatino Linotype"/>
          <w:color w:val="000000"/>
        </w:rPr>
        <w:t xml:space="preserve"> en formato pdf, cuyo contenido a grosso modo es el siguiente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CT_UT_ECA_1325_2025 contestacion a sol. 0906.pdf: </w:t>
      </w:r>
      <w:r>
        <w:rPr>
          <w:rFonts w:ascii="Palatino Linotype" w:eastAsia="Palatino Linotype" w:hAnsi="Palatino Linotype" w:cs="Palatino Linotype"/>
          <w:i/>
          <w:iCs/>
          <w:color w:val="000000"/>
        </w:rPr>
        <w:t>oficio del Titular de la Unidad de Transparencia y Acceso a la Información, mediante el cual informa que anexa la respuesta de los servidores públicos habilitados</w:t>
      </w:r>
      <w:r>
        <w:rPr>
          <w:rFonts w:ascii="Palatino Linotype" w:eastAsia="Palatino Linotype" w:hAnsi="Palatino Linotype" w:cs="Palatino Linotype"/>
          <w:b/>
          <w:bCs/>
          <w:i/>
          <w:iCs/>
          <w:color w:val="000000"/>
        </w:rPr>
        <w:t>.</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CT_UT_ECA_1357_2025 informe justificado RR13373.pdf: </w:t>
      </w:r>
      <w:r>
        <w:rPr>
          <w:rFonts w:ascii="Palatino Linotype" w:eastAsia="Palatino Linotype" w:hAnsi="Palatino Linotype" w:cs="Palatino Linotype"/>
          <w:i/>
          <w:iCs/>
          <w:color w:val="000000"/>
        </w:rPr>
        <w:t xml:space="preserve">informe justificado del Director de la Dirección de Movilidad Urbana, mediante el cual ratifica su respuesta inicial. </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mediante Acuerdo de fecha </w:t>
      </w:r>
      <w:r>
        <w:rPr>
          <w:rFonts w:ascii="Palatino Linotype" w:eastAsia="Palatino Linotype" w:hAnsi="Palatino Linotype" w:cs="Palatino Linotype"/>
          <w:b/>
          <w:bCs/>
          <w:color w:val="000000"/>
        </w:rPr>
        <w:t xml:space="preserve">trece de mayo de dos mil veintiséis, </w:t>
      </w:r>
      <w:r>
        <w:rPr>
          <w:rFonts w:ascii="Palatino Linotype" w:eastAsia="Palatino Linotype" w:hAnsi="Palatino Linotype" w:cs="Palatino Linotype"/>
          <w:color w:val="000000"/>
        </w:rPr>
        <w:t xml:space="preserve">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finalmente se decretó el cierre de instrucción mediante Acuerdo de fecha </w:t>
      </w:r>
      <w:r>
        <w:rPr>
          <w:rFonts w:ascii="Palatino Linotype" w:eastAsia="Palatino Linotype" w:hAnsi="Palatino Linotype" w:cs="Palatino Linotype"/>
          <w:b/>
          <w:bCs/>
          <w:color w:val="000000"/>
        </w:rPr>
        <w:t>veinte de mayo del año en curso</w:t>
      </w:r>
      <w:r>
        <w:rPr>
          <w:rFonts w:ascii="Palatino Linotype" w:eastAsia="Palatino Linotype" w:hAnsi="Palatino Linotype" w:cs="Palatino Linotype"/>
          <w:color w:val="000000"/>
        </w:rPr>
        <w:t>, por lo que no habiendo más que hacer constar, y</w:t>
      </w:r>
    </w:p>
    <w:p w:rsidR="00034868" w:rsidRDefault="00C30952">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C I O N E S</w:t>
      </w:r>
    </w:p>
    <w:p w:rsidR="00034868" w:rsidRDefault="00034868">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p>
    <w:p w:rsidR="00034868" w:rsidRDefault="00C30952">
      <w:pPr>
        <w:pStyle w:val="Ttulo2"/>
        <w:spacing w:before="0" w:line="360" w:lineRule="auto"/>
        <w:ind w:right="4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Pr>
          <w:rFonts w:ascii="Palatino Linotype" w:eastAsia="Palatino Linotype" w:hAnsi="Palatino Linotype" w:cs="Palatino Linotype"/>
        </w:rPr>
        <w:t>trigésimo</w:t>
      </w:r>
      <w:r>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pStyle w:val="Ttulo2"/>
        <w:spacing w:before="0" w:line="360" w:lineRule="auto"/>
        <w:ind w:right="4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t>SEGUNDO. Procedencia.</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w:t>
      </w:r>
      <w:r>
        <w:rPr>
          <w:rFonts w:ascii="Palatino Linotype" w:eastAsia="Palatino Linotype" w:hAnsi="Palatino Linotype" w:cs="Palatino Linotype"/>
          <w:color w:val="000000"/>
        </w:rPr>
        <w:lastRenderedPageBreak/>
        <w:t>México y Municipios; asimismo no se tiene conocimiento de que se encuentre en trámite algún medio de defensa presentado por el Recurrente ante otra instancia.</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034868" w:rsidRDefault="00034868">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034868" w:rsidRDefault="00C30952">
      <w:pPr>
        <w:pStyle w:val="Ttulo2"/>
        <w:tabs>
          <w:tab w:val="left" w:pos="284"/>
          <w:tab w:val="left" w:pos="426"/>
        </w:tabs>
        <w:spacing w:before="0" w:line="360" w:lineRule="auto"/>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la información que a continuación se simplifica:</w:t>
      </w:r>
    </w:p>
    <w:p w:rsidR="00034868" w:rsidRDefault="00C30952">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 Inventario que contenga marca, modelo número de serie del vehículo y número de placa de los vehículos que se han retirado de las vialidades locales y primarias del territorio municipal de Ecatepec de Morelos, a partir del 01 de enero del 2025 al 11 de noviembre de 2025.</w:t>
      </w:r>
    </w:p>
    <w:p w:rsidR="00034868" w:rsidRDefault="00034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034868" w:rsidRDefault="00C30952">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 Las notificaciones realizadas por cada uno de los vehículos que se hayan retirado, las ordenes de retiro y las garantías de audiencia que se han celebrado por cada uno de los vehículos que se informen. </w:t>
      </w:r>
    </w:p>
    <w:p w:rsidR="00034868" w:rsidRDefault="0003486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rsidR="00034868" w:rsidRDefault="00C30952">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3.- El contrato, convenio o documento de colaboración que haya celebrado el ente público con la concesionaria, para que grúas concesionadas realicen la tarea de arrastre al depósito vehicular.</w:t>
      </w:r>
    </w:p>
    <w:p w:rsidR="00034868" w:rsidRDefault="00034868">
      <w:pPr>
        <w:pBdr>
          <w:top w:val="nil"/>
          <w:left w:val="nil"/>
          <w:bottom w:val="nil"/>
          <w:right w:val="nil"/>
          <w:between w:val="nil"/>
        </w:pBdr>
        <w:ind w:left="1134" w:right="1984"/>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Inconforme con la respuesta, el solicitante interpuso recurso de revisión de manera general en contra de la negativa de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I, de la Ley de Transparencia y </w:t>
      </w:r>
      <w:r>
        <w:rPr>
          <w:rFonts w:ascii="Palatino Linotype" w:eastAsia="Palatino Linotype" w:hAnsi="Palatino Linotype" w:cs="Palatino Linotype"/>
        </w:rPr>
        <w:lastRenderedPageBreak/>
        <w:t xml:space="preserve">Acceso a la Información Pública del Estado de México y Municipios; fracción que determina la hipótesis relativa a la negativa de la información solicitada; contexto del cual se dolió el Recurrente al momento de interponer su inconformidad. De modo tal que el presente recurso de revisión se abocará en determinar si el Sujeto Obligado con su respuesta ciertamente actualiza la causal de procedencia señalada. </w:t>
      </w:r>
    </w:p>
    <w:p w:rsidR="00034868" w:rsidRDefault="0003486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034868" w:rsidRDefault="00C30952">
      <w:pPr>
        <w:pStyle w:val="Ttulo2"/>
        <w:spacing w:before="0" w:line="360" w:lineRule="auto"/>
        <w:ind w:right="1"/>
        <w:rPr>
          <w:rFonts w:ascii="Palatino Linotype" w:eastAsia="Palatino Linotype" w:hAnsi="Palatino Linotype" w:cs="Palatino Linotype"/>
          <w:b/>
          <w:bCs/>
          <w:color w:val="000000"/>
          <w:sz w:val="24"/>
          <w:szCs w:val="24"/>
        </w:rPr>
      </w:pPr>
      <w:bookmarkStart w:id="6" w:name="_heading=h.enz7wfixip95" w:colFirst="0" w:colLast="0"/>
      <w:bookmarkEnd w:id="6"/>
      <w:r>
        <w:rPr>
          <w:rFonts w:ascii="Palatino Linotype" w:eastAsia="Palatino Linotype" w:hAnsi="Palatino Linotype" w:cs="Palatino Linotype"/>
          <w:b/>
          <w:bCs/>
          <w:color w:val="000000"/>
          <w:sz w:val="24"/>
          <w:szCs w:val="24"/>
        </w:rPr>
        <w:t>CUARTA. Estudio y resolución del asunto.</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Pr>
          <w:rFonts w:ascii="Palatino Linotype" w:eastAsia="Palatino Linotype" w:hAnsi="Palatino Linotype" w:cs="Palatino Linotype"/>
        </w:rPr>
        <w:t>Particular</w:t>
      </w:r>
      <w:r>
        <w:rPr>
          <w:rFonts w:ascii="Palatino Linotype" w:eastAsia="Palatino Linotype" w:hAnsi="Palatino Linotype" w:cs="Palatino Linotype"/>
          <w:color w:val="000000"/>
        </w:rPr>
        <w:t xml:space="preserve"> del Estado de México.</w:t>
      </w:r>
    </w:p>
    <w:p w:rsidR="00034868" w:rsidRDefault="00034868">
      <w:pPr>
        <w:spacing w:line="360" w:lineRule="auto"/>
        <w:ind w:right="1"/>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Definiendo </w:t>
      </w:r>
      <w:r>
        <w:rPr>
          <w:rFonts w:ascii="Palatino Linotype" w:eastAsia="Palatino Linotype" w:hAnsi="Palatino Linotype" w:cs="Palatino Linotype"/>
        </w:rPr>
        <w:t xml:space="preserve">el Derecho de Acceso a la Información Pública como: </w:t>
      </w:r>
      <w:r>
        <w:rPr>
          <w:rFonts w:ascii="Palatino Linotype" w:eastAsia="Palatino Linotype" w:hAnsi="Palatino Linotype" w:cs="Palatino Linotype"/>
          <w:i/>
          <w:iCs/>
          <w:color w:val="000000"/>
        </w:rPr>
        <w:t xml:space="preserve">La igualdad de </w:t>
      </w:r>
      <w:r>
        <w:rPr>
          <w:rFonts w:ascii="Palatino Linotype" w:eastAsia="Palatino Linotype" w:hAnsi="Palatino Linotype" w:cs="Palatino Linotype"/>
        </w:rPr>
        <w:t>oportunidades</w:t>
      </w:r>
      <w:r>
        <w:rPr>
          <w:rFonts w:ascii="Palatino Linotype" w:eastAsia="Palatino Linotype" w:hAnsi="Palatino Linotype" w:cs="Palatino Linotype"/>
          <w:i/>
          <w:iCs/>
          <w:color w:val="000000"/>
        </w:rPr>
        <w:t xml:space="preserve"> para recibir, buscar e impartir información</w:t>
      </w:r>
      <w:r>
        <w:rPr>
          <w:rFonts w:ascii="Palatino Linotype" w:eastAsia="Palatino Linotype" w:hAnsi="Palatino Linotype" w:cs="Palatino Linotype"/>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w:t>
      </w:r>
      <w:r>
        <w:rPr>
          <w:rFonts w:ascii="Palatino Linotype" w:eastAsia="Palatino Linotype" w:hAnsi="Palatino Linotype" w:cs="Palatino Linotype"/>
          <w:i/>
          <w:iCs/>
          <w:color w:val="000000"/>
        </w:rPr>
        <w:lastRenderedPageBreak/>
        <w:t xml:space="preserve">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34868" w:rsidRDefault="00034868">
      <w:pPr>
        <w:spacing w:line="360" w:lineRule="auto"/>
        <w:ind w:right="1"/>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034868" w:rsidRDefault="00C30952">
      <w:pPr>
        <w:ind w:left="1134" w:right="1843"/>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034868" w:rsidRDefault="00034868">
      <w:pPr>
        <w:ind w:right="-592"/>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034868" w:rsidRDefault="00034868">
      <w:pPr>
        <w:ind w:right="1"/>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de las garantías primarias, entendidas como obligaciones inmediatamente </w:t>
      </w:r>
      <w:r>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034868" w:rsidRDefault="00034868">
      <w:pPr>
        <w:ind w:left="1134" w:right="1843"/>
        <w:jc w:val="both"/>
        <w:rPr>
          <w:rFonts w:ascii="Palatino Linotype" w:eastAsia="Palatino Linotype" w:hAnsi="Palatino Linotype" w:cs="Palatino Linotype"/>
          <w:b/>
          <w:bCs/>
          <w:i/>
          <w:iCs/>
        </w:rPr>
      </w:pP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34868" w:rsidRDefault="00034868">
      <w:pPr>
        <w:tabs>
          <w:tab w:val="left" w:pos="426"/>
          <w:tab w:val="left" w:pos="567"/>
        </w:tabs>
        <w:ind w:left="1134" w:right="1843"/>
        <w:jc w:val="both"/>
        <w:rPr>
          <w:rFonts w:ascii="Palatino Linotype" w:eastAsia="Palatino Linotype" w:hAnsi="Palatino Linotype" w:cs="Palatino Linotype"/>
          <w:color w:val="000000"/>
        </w:rPr>
      </w:pP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w:t>
      </w:r>
      <w:r>
        <w:rPr>
          <w:rFonts w:ascii="Palatino Linotype" w:eastAsia="Palatino Linotype" w:hAnsi="Palatino Linotype" w:cs="Palatino Linotype"/>
          <w:i/>
          <w:iCs/>
        </w:rPr>
        <w:lastRenderedPageBreak/>
        <w:t>públicos y los organismos autónomos, transparentarán sus acciones, en términos de las disposiciones aplicables, la información será oportuna, clara, veraz y de fácil acceso.</w:t>
      </w:r>
    </w:p>
    <w:p w:rsidR="00034868" w:rsidRDefault="00034868">
      <w:pPr>
        <w:ind w:left="1134" w:right="1843"/>
        <w:jc w:val="both"/>
        <w:rPr>
          <w:rFonts w:ascii="Palatino Linotype" w:eastAsia="Palatino Linotype" w:hAnsi="Palatino Linotype" w:cs="Palatino Linotype"/>
          <w:i/>
          <w:iCs/>
        </w:rPr>
      </w:pP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034868" w:rsidRDefault="00C30952">
      <w:pPr>
        <w:ind w:left="1134" w:right="1843"/>
        <w:jc w:val="both"/>
        <w:rPr>
          <w:rFonts w:ascii="Palatino Linotype" w:eastAsia="Palatino Linotype" w:hAnsi="Palatino Linotype" w:cs="Palatino Linotype"/>
          <w:b/>
          <w:bCs/>
        </w:rPr>
      </w:pPr>
      <w:r>
        <w:rPr>
          <w:rFonts w:ascii="Palatino Linotype" w:eastAsia="Palatino Linotype" w:hAnsi="Palatino Linotype" w:cs="Palatino Linotype"/>
          <w:b/>
          <w:bCs/>
          <w:i/>
          <w:iCs/>
        </w:rPr>
        <w:t>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34868" w:rsidRDefault="00034868">
      <w:pPr>
        <w:ind w:left="1134" w:right="1389"/>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Según </w:t>
      </w:r>
      <w:r>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034868" w:rsidRDefault="00034868">
      <w:pPr>
        <w:ind w:right="-592"/>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034868" w:rsidRDefault="00034868">
      <w:pPr>
        <w:ind w:right="1"/>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w:t>
      </w:r>
      <w:r>
        <w:rPr>
          <w:rFonts w:ascii="Palatino Linotype" w:eastAsia="Palatino Linotype" w:hAnsi="Palatino Linotype" w:cs="Palatino Linotype"/>
        </w:rPr>
        <w:lastRenderedPageBreak/>
        <w:t>según lo dispuesto por el artículo 150 de la Ley de Transparencia y Acceso a la Información Pública del Estado de México y Municipios y en segundo término si cumplió con su deber de respetar y garantizar el derecho, entregando la información solicitada.</w:t>
      </w:r>
    </w:p>
    <w:p w:rsidR="00034868" w:rsidRDefault="00034868">
      <w:pPr>
        <w:rPr>
          <w:rFonts w:ascii="Palatino Linotype" w:eastAsia="Palatino Linotype" w:hAnsi="Palatino Linotype" w:cs="Palatino Linotype"/>
          <w:b/>
          <w:bCs/>
        </w:rPr>
      </w:pPr>
    </w:p>
    <w:p w:rsidR="00034868" w:rsidRDefault="00C30952">
      <w:pPr>
        <w:keepNext/>
        <w:keepLines/>
        <w:numPr>
          <w:ilvl w:val="1"/>
          <w:numId w:val="18"/>
        </w:numPr>
        <w:spacing w:line="360" w:lineRule="auto"/>
        <w:ind w:left="567" w:right="-592"/>
        <w:jc w:val="both"/>
        <w:rPr>
          <w:rFonts w:ascii="Palatino Linotype" w:eastAsia="Palatino Linotype" w:hAnsi="Palatino Linotype" w:cs="Palatino Linotype"/>
          <w:b/>
          <w:bCs/>
        </w:rPr>
      </w:pPr>
      <w:r>
        <w:rPr>
          <w:rFonts w:ascii="Palatino Linotype" w:eastAsia="Palatino Linotype" w:hAnsi="Palatino Linotype" w:cs="Palatino Linotype"/>
          <w:b/>
          <w:bCs/>
        </w:rPr>
        <w:t>De la información solicitada y la respuesta del SUJETO OBLIGADO.</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034868" w:rsidRDefault="00034868">
      <w:pPr>
        <w:spacing w:line="360" w:lineRule="auto"/>
        <w:ind w:right="1"/>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Así, resulta conveniente reiterar la información solicitada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así como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mediante el siguiente cuadro descriptivo:</w:t>
      </w:r>
    </w:p>
    <w:p w:rsidR="00034868" w:rsidRDefault="00034868">
      <w:pPr>
        <w:spacing w:line="360" w:lineRule="auto"/>
        <w:ind w:right="1"/>
        <w:jc w:val="both"/>
        <w:rPr>
          <w:rFonts w:ascii="Palatino Linotype" w:eastAsia="Palatino Linotype" w:hAnsi="Palatino Linotype" w:cs="Palatino Linotype"/>
          <w:b/>
          <w:bCs/>
        </w:rPr>
      </w:pPr>
    </w:p>
    <w:tbl>
      <w:tblPr>
        <w:tblStyle w:val="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547"/>
        <w:gridCol w:w="2693"/>
        <w:gridCol w:w="2268"/>
      </w:tblGrid>
      <w:tr w:rsidR="00034868">
        <w:trPr>
          <w:jc w:val="center"/>
        </w:trPr>
        <w:tc>
          <w:tcPr>
            <w:tcW w:w="1843" w:type="dxa"/>
            <w:shd w:val="clear" w:color="auto" w:fill="D9D9D9"/>
          </w:tcPr>
          <w:p w:rsidR="00034868" w:rsidRDefault="00C30952">
            <w:pPr>
              <w:ind w:right="1"/>
              <w:jc w:val="center"/>
              <w:rPr>
                <w:rFonts w:ascii="Palatino Linotype" w:eastAsia="Palatino Linotype" w:hAnsi="Palatino Linotype" w:cs="Palatino Linotype"/>
                <w:b/>
                <w:bCs/>
                <w:i/>
                <w:iCs/>
              </w:rPr>
            </w:pPr>
            <w:bookmarkStart w:id="7" w:name="_heading=h.f5zy0bz8lzgs" w:colFirst="0" w:colLast="0"/>
            <w:bookmarkEnd w:id="7"/>
            <w:r>
              <w:rPr>
                <w:rFonts w:ascii="Palatino Linotype" w:eastAsia="Palatino Linotype" w:hAnsi="Palatino Linotype" w:cs="Palatino Linotype"/>
                <w:b/>
                <w:bCs/>
                <w:i/>
                <w:iCs/>
              </w:rPr>
              <w:t>Información Solicitada</w:t>
            </w:r>
          </w:p>
        </w:tc>
        <w:tc>
          <w:tcPr>
            <w:tcW w:w="2547" w:type="dxa"/>
            <w:shd w:val="clear" w:color="auto" w:fill="D9D9D9"/>
          </w:tcPr>
          <w:p w:rsidR="00034868" w:rsidRDefault="00C30952">
            <w:pPr>
              <w:ind w:right="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w:t>
            </w:r>
          </w:p>
        </w:tc>
        <w:tc>
          <w:tcPr>
            <w:tcW w:w="2693" w:type="dxa"/>
            <w:shd w:val="clear" w:color="auto" w:fill="D9D9D9"/>
          </w:tcPr>
          <w:p w:rsidR="00034868" w:rsidRDefault="00C30952">
            <w:pPr>
              <w:ind w:right="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Manifestaciones </w:t>
            </w:r>
          </w:p>
        </w:tc>
        <w:tc>
          <w:tcPr>
            <w:tcW w:w="2268" w:type="dxa"/>
            <w:shd w:val="clear" w:color="auto" w:fill="D9D9D9"/>
          </w:tcPr>
          <w:p w:rsidR="00034868" w:rsidRDefault="00C30952">
            <w:pPr>
              <w:ind w:right="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w:t>
            </w:r>
          </w:p>
        </w:tc>
      </w:tr>
      <w:tr w:rsidR="00034868">
        <w:trPr>
          <w:trHeight w:val="1928"/>
          <w:jc w:val="center"/>
        </w:trPr>
        <w:tc>
          <w:tcPr>
            <w:tcW w:w="1843" w:type="dxa"/>
          </w:tcPr>
          <w:p w:rsidR="00034868" w:rsidRDefault="00C30952">
            <w:pPr>
              <w:ind w:right="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Inventario que contenga marca, modelo número de serie del vehículo y número de placa de los vehículos que se han retirado </w:t>
            </w:r>
            <w:r>
              <w:rPr>
                <w:rFonts w:ascii="Palatino Linotype" w:eastAsia="Palatino Linotype" w:hAnsi="Palatino Linotype" w:cs="Palatino Linotype"/>
                <w:b/>
                <w:bCs/>
                <w:i/>
                <w:iCs/>
              </w:rPr>
              <w:lastRenderedPageBreak/>
              <w:t>de las vialidades locales y primarias del territorio municipal de Ecatepec de Morelos, a partir del 01 de enero del 2025 al 11 de noviembre de 2025.</w:t>
            </w:r>
          </w:p>
          <w:p w:rsidR="00034868" w:rsidRDefault="00034868">
            <w:pPr>
              <w:ind w:right="1"/>
              <w:jc w:val="both"/>
              <w:rPr>
                <w:rFonts w:ascii="Palatino Linotype" w:eastAsia="Palatino Linotype" w:hAnsi="Palatino Linotype" w:cs="Palatino Linotype"/>
                <w:i/>
                <w:iCs/>
              </w:rPr>
            </w:pPr>
          </w:p>
        </w:tc>
        <w:tc>
          <w:tcPr>
            <w:tcW w:w="2547" w:type="dxa"/>
          </w:tcPr>
          <w:p w:rsidR="00034868" w:rsidRDefault="00C30952">
            <w:pPr>
              <w:pBdr>
                <w:top w:val="nil"/>
                <w:left w:val="nil"/>
                <w:bottom w:val="nil"/>
                <w:right w:val="nil"/>
                <w:between w:val="nil"/>
              </w:pBdr>
              <w:ind w:left="30" w:right="4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Respuesta.pdf: </w:t>
            </w:r>
            <w:r>
              <w:rPr>
                <w:rFonts w:ascii="Palatino Linotype" w:eastAsia="Palatino Linotype" w:hAnsi="Palatino Linotype" w:cs="Palatino Linotype"/>
                <w:i/>
                <w:iCs/>
                <w:color w:val="000000"/>
              </w:rPr>
              <w:t xml:space="preserve">oficio del Director de Movilidad Urbana, mediante el cual informa que lo respectivo a </w:t>
            </w:r>
            <w:r>
              <w:rPr>
                <w:rFonts w:ascii="Palatino Linotype" w:eastAsia="Palatino Linotype" w:hAnsi="Palatino Linotype" w:cs="Palatino Linotype"/>
                <w:b/>
                <w:bCs/>
                <w:i/>
                <w:iCs/>
                <w:color w:val="000000"/>
              </w:rPr>
              <w:t xml:space="preserve">la marca, modelo, número de serie y placas de los vehículos retirados de las vialidades, </w:t>
            </w:r>
            <w:r>
              <w:rPr>
                <w:rFonts w:ascii="Palatino Linotype" w:eastAsia="Palatino Linotype" w:hAnsi="Palatino Linotype" w:cs="Palatino Linotype"/>
                <w:i/>
                <w:iCs/>
                <w:color w:val="000000"/>
              </w:rPr>
              <w:t xml:space="preserve">es </w:t>
            </w:r>
            <w:r>
              <w:rPr>
                <w:rFonts w:ascii="Palatino Linotype" w:eastAsia="Palatino Linotype" w:hAnsi="Palatino Linotype" w:cs="Palatino Linotype"/>
                <w:i/>
                <w:iCs/>
                <w:color w:val="000000"/>
              </w:rPr>
              <w:lastRenderedPageBreak/>
              <w:t xml:space="preserve">información considerada como confidencial, </w:t>
            </w:r>
            <w:r>
              <w:rPr>
                <w:rFonts w:ascii="Palatino Linotype" w:eastAsia="Palatino Linotype" w:hAnsi="Palatino Linotype" w:cs="Palatino Linotype"/>
                <w:b/>
                <w:bCs/>
                <w:i/>
                <w:iCs/>
                <w:color w:val="000000"/>
              </w:rPr>
              <w:t xml:space="preserve">toda vez que constituye a datos personales y datos relativos a bienes de propiedad privada, </w:t>
            </w:r>
            <w:r>
              <w:rPr>
                <w:rFonts w:ascii="Palatino Linotype" w:eastAsia="Palatino Linotype" w:hAnsi="Palatino Linotype" w:cs="Palatino Linotype"/>
                <w:i/>
                <w:iCs/>
                <w:color w:val="000000"/>
              </w:rPr>
              <w:t xml:space="preserve">por lo que para entregarla se debe de acreditar el interés jurídico. </w:t>
            </w:r>
          </w:p>
          <w:p w:rsidR="00034868" w:rsidRDefault="00034868">
            <w:pPr>
              <w:pBdr>
                <w:top w:val="nil"/>
                <w:left w:val="nil"/>
                <w:bottom w:val="nil"/>
                <w:right w:val="nil"/>
                <w:between w:val="nil"/>
              </w:pBdr>
              <w:ind w:left="30" w:right="41"/>
              <w:jc w:val="both"/>
              <w:rPr>
                <w:rFonts w:ascii="Palatino Linotype" w:eastAsia="Palatino Linotype" w:hAnsi="Palatino Linotype" w:cs="Palatino Linotype"/>
                <w:color w:val="000000"/>
              </w:rPr>
            </w:pPr>
          </w:p>
        </w:tc>
        <w:tc>
          <w:tcPr>
            <w:tcW w:w="2693"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ratifica respuesta inicial</w:t>
            </w:r>
          </w:p>
        </w:tc>
        <w:tc>
          <w:tcPr>
            <w:tcW w:w="2268"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se debió de emitir el acuerdo del Comité de Transparencia, mediante el cual de manera fundada y motivada se clasificara la información como confidencial de </w:t>
            </w:r>
            <w:r>
              <w:rPr>
                <w:rFonts w:ascii="Palatino Linotype" w:eastAsia="Palatino Linotype" w:hAnsi="Palatino Linotype" w:cs="Palatino Linotype"/>
                <w:i/>
                <w:iCs/>
              </w:rPr>
              <w:lastRenderedPageBreak/>
              <w:t xml:space="preserve">conformidad con el artículo 143 fracción I de la Ley de Transparencia y Acceso a la Información Pública del Estado de México y Municipios. </w:t>
            </w:r>
          </w:p>
        </w:tc>
      </w:tr>
      <w:tr w:rsidR="00034868">
        <w:trPr>
          <w:trHeight w:val="1928"/>
          <w:jc w:val="center"/>
        </w:trPr>
        <w:tc>
          <w:tcPr>
            <w:tcW w:w="1843" w:type="dxa"/>
          </w:tcPr>
          <w:p w:rsidR="00034868" w:rsidRDefault="00C30952">
            <w:pPr>
              <w:ind w:right="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2.- Las notificaciones realizadas por cada uno de los vehículos que se hayan retirado, las ordenes de retiro y las garantías de audiencia que se han celebrado por cada uno de los vehículos que se informen. </w:t>
            </w:r>
          </w:p>
          <w:p w:rsidR="00034868" w:rsidRDefault="00034868">
            <w:pPr>
              <w:ind w:right="1"/>
              <w:jc w:val="both"/>
              <w:rPr>
                <w:rFonts w:ascii="Palatino Linotype" w:eastAsia="Palatino Linotype" w:hAnsi="Palatino Linotype" w:cs="Palatino Linotype"/>
                <w:i/>
                <w:iCs/>
              </w:rPr>
            </w:pPr>
          </w:p>
        </w:tc>
        <w:tc>
          <w:tcPr>
            <w:tcW w:w="2547" w:type="dxa"/>
          </w:tcPr>
          <w:p w:rsidR="00034868" w:rsidRDefault="00C30952">
            <w:pPr>
              <w:pBdr>
                <w:top w:val="nil"/>
                <w:left w:val="nil"/>
                <w:bottom w:val="nil"/>
                <w:right w:val="nil"/>
                <w:between w:val="nil"/>
              </w:pBdr>
              <w:ind w:left="30" w:right="4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hay respuesta </w:t>
            </w:r>
          </w:p>
        </w:tc>
        <w:tc>
          <w:tcPr>
            <w:tcW w:w="2693"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hay respuesta </w:t>
            </w:r>
          </w:p>
        </w:tc>
        <w:tc>
          <w:tcPr>
            <w:tcW w:w="2268"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se debió de emitir el acuerdo del Comité de Transparencia, mediante el cual de manera fundada y motivada se clasificara la información como confidencial de conformidad con el artículo 143 fracción I de la Ley de Transparencia y Acceso a la Información Pública del Estado de México y Municipios. </w:t>
            </w:r>
          </w:p>
        </w:tc>
      </w:tr>
      <w:tr w:rsidR="00034868">
        <w:trPr>
          <w:trHeight w:val="1928"/>
          <w:jc w:val="center"/>
        </w:trPr>
        <w:tc>
          <w:tcPr>
            <w:tcW w:w="1843" w:type="dxa"/>
          </w:tcPr>
          <w:p w:rsidR="00034868" w:rsidRDefault="00C30952">
            <w:pPr>
              <w:ind w:right="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3.- El contrato, convenio o documento de colaboración que haya celebrado el ente público con la concesionaria, para que grúas concesionadas realicen la tarea de arrastre al depósito vehicular.</w:t>
            </w:r>
          </w:p>
        </w:tc>
        <w:tc>
          <w:tcPr>
            <w:tcW w:w="2547" w:type="dxa"/>
          </w:tcPr>
          <w:p w:rsidR="00034868" w:rsidRDefault="00C30952">
            <w:pPr>
              <w:pBdr>
                <w:top w:val="nil"/>
                <w:left w:val="nil"/>
                <w:bottom w:val="nil"/>
                <w:right w:val="nil"/>
                <w:between w:val="nil"/>
              </w:pBdr>
              <w:ind w:left="30" w:right="4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Oficio del Director de Movilidad Urbana, mediante el cual que </w:t>
            </w:r>
            <w:r>
              <w:rPr>
                <w:rFonts w:ascii="Palatino Linotype" w:eastAsia="Palatino Linotype" w:hAnsi="Palatino Linotype" w:cs="Palatino Linotype"/>
                <w:b/>
                <w:bCs/>
                <w:i/>
                <w:iCs/>
                <w:color w:val="000000"/>
              </w:rPr>
              <w:t xml:space="preserve">respecto a los contratos o convenios con concesionarias o grúas informa que lo solicitado lo puede tener la Consejería Jurídica. </w:t>
            </w:r>
          </w:p>
          <w:p w:rsidR="00034868" w:rsidRDefault="00034868">
            <w:pPr>
              <w:pBdr>
                <w:top w:val="nil"/>
                <w:left w:val="nil"/>
                <w:bottom w:val="nil"/>
                <w:right w:val="nil"/>
                <w:between w:val="nil"/>
              </w:pBdr>
              <w:ind w:left="30" w:right="41"/>
              <w:jc w:val="both"/>
              <w:rPr>
                <w:rFonts w:ascii="Palatino Linotype" w:eastAsia="Palatino Linotype" w:hAnsi="Palatino Linotype" w:cs="Palatino Linotype"/>
                <w:i/>
                <w:iCs/>
                <w:color w:val="000000"/>
              </w:rPr>
            </w:pPr>
          </w:p>
        </w:tc>
        <w:tc>
          <w:tcPr>
            <w:tcW w:w="2693"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t>ratifica respuesta inicial</w:t>
            </w:r>
          </w:p>
        </w:tc>
        <w:tc>
          <w:tcPr>
            <w:tcW w:w="2268" w:type="dxa"/>
          </w:tcPr>
          <w:p w:rsidR="00034868" w:rsidRDefault="00C30952">
            <w:pPr>
              <w:ind w:right="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no existe pronunciamiento de si el Ayuntamiento cuenta con un concesionario para el arreste de carros. </w:t>
            </w:r>
          </w:p>
        </w:tc>
      </w:tr>
    </w:tbl>
    <w:p w:rsidR="00034868" w:rsidRDefault="00034868">
      <w:pPr>
        <w:spacing w:line="360" w:lineRule="auto"/>
        <w:ind w:right="1"/>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la tabla anterior,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colmó el derecho de acceso a la información situación por la cual se hace el siguiente análisis.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en cuanto a los puntos de la solicitud de información uno y dos consistentes en </w:t>
      </w:r>
      <w:r>
        <w:rPr>
          <w:rFonts w:ascii="Palatino Linotype" w:eastAsia="Palatino Linotype" w:hAnsi="Palatino Linotype" w:cs="Palatino Linotype"/>
          <w:b/>
          <w:bCs/>
          <w:i/>
          <w:iCs/>
        </w:rPr>
        <w:t xml:space="preserve">1.- Inventario que contenga marca, modelo número de serie del vehículo y número de placa de los vehículos que se han retirado de las vialidades locales y primarias del territorio municipal de Ecatepec de Morelos, a partir del 01 de enero del 2025 al 11 de noviembre de 2025 y 2.- Las notificaciones realizadas por cada uno de los vehículos que se hayan retirado, las órdenes de retiro y las garantías de audiencia que se han celebrado por cada uno de los vehículos que se informen, </w:t>
      </w:r>
      <w:r>
        <w:rPr>
          <w:rFonts w:ascii="Palatino Linotype" w:eastAsia="Palatino Linotype" w:hAnsi="Palatino Linotype" w:cs="Palatino Linotype"/>
        </w:rPr>
        <w:t xml:space="preserve">se debe de analizar que dio atención a la solicitud de información la Dirección de Movilidad Urbana, quien tiene las siguientes funciones de conformidad con el Manual de  Organización de la propia dirección.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IX.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 Dirección de Movilidad y Transporte.</w:t>
      </w:r>
      <w:r>
        <w:rPr>
          <w:rFonts w:ascii="Palatino Linotype" w:eastAsia="Palatino Linotype" w:hAnsi="Palatino Linotype" w:cs="Palatino Linotype"/>
          <w:i/>
          <w:iCs/>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Garantizar la movilidad sustentable;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Dirigir los ejes rectores del transporte público, desde el ámbito de la competencia municipal;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Crear centros de capacitación y cultura en materia vial, de manejo, así como de movilidad ytransporte alterno;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Dirigir el consejo municipal de Movilidad;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Realizar los análisis de puntos críticos de tráfico en las principales vías de comunicación: a. Realizar un atlas de tráfico; b. Identificación de los factores que lo provocan; c. Proponer medidas de solución;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VI. Remitir a los corralones municipales vehículos abandonados en la vía pública;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Concientizar, mediar o sancionar como última medida a los infractores en materia de movilidad;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Llevar a cabo la colocación de dispositivos de control de tránsito, señalamiento horizontal, vertical y balizamiento;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Autorizar la colocación de dispositivos de control de tránsito (topes) el señalamiento horizontal y balizamiento;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Planear el mantenimiento preventivo y correctivo de los semáforos;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Dirigir los cursos y talleres de capacitación para operadores del servicio de transporte público;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Otorgar y revalidar los Vistos Buenos para bases del transporte público;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XIII. Procurar la mediación y resolución de conflictos para el transporte público;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XIV. Coordinación de los agentes de tránsito para agilizar la vialidad en los puntos críticos de tráfico;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 Crear programas de transporte alternativo;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 Proponer a la Dirección de Desarrollo Urbano y Obras Públicas, los programas de mantenimiento de vialidades, guarniciones, estaciones de transporte, bahías de acenso y descenso de pasaje;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XVII. Control de la operación de los semáforos municipales, así como la implementación gradual y cambio de semáforos obsoletos por semáforos inteligentes;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XVIII. Coordinación y creación de espacios en redes sociales para dar respuesta eficiente e inmediata a las denuncias ciudadanas, brigadas de limpieza, retiro de bienes mostrencos y obstáculos que obstruyan la movilidad eficiente;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XIX. Dirigir e implementar las políticas del Consejo de Movilidad Municipal;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 Implementar el programa de mantenimiento de los dispositivos de control de tránsito y señalamientos viales;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XXI. Realizar campañas de mejoramiento urbano, en las distintas bases de servicio público;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XXII. Otorgar los no inconveniente para maniobras de carga y descarga de mercancía frente a unidades económicas;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XXIII. Implementar y supervisar los programas de capacitación;</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XXIV. Implementación de cruceros seguros;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XXV. Ejecutar medidas de seguridad con la finalidad de liberar de cualquier obstáculo la vía pública y asegurar el libre uso del equipamiento urbano, así como ordenar el retiro de rejas, cadenas, tambos, tubos, diques o cualquier otro objeto que se encuentre en la vía pública, que limite el tránsito vehicular, de motocicletas, bicicletas o peatones;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XXVI. Establecer convenios con instituciones públicas y privadas, para aumentar la seguridad y el servicio adecuado y digno a los usuarios.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XXVII. Realizar las verificaciones y análisis técnico para el otorgamiento de permisos o no inconveniente de áreas de carga y descarga;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XXVIII. Definir los lineamientos jurídicos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XXIX. Establecer las estrategias en la defensa jurídica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XXX. Estudio dogmático, doctrinal e investigación jurisprudencial de las instituciones jurídicas de movilidad y transporte, de sus facultades, competencias y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XXXI. Rendir informe previo y justificado en los juicios de amparo directo o indirecto en juzgados de distrito o tribunales colegiados de circuito;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XXXII. Contestar las demandas en los juicios contenciosos administrativos cuando ésta sea señalada como autoridad responsable, así como en los recursos e incidentes procedentes;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XXXIII. Ordenar las verificaciones y análisis técnico para el otorgamiento de permisos Visto Bueno o no inconveniente de áreas de carga y descarga;</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tiene que la Dirección de Movilidad Urbana, es el área competente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para atender los puntos uno y dos de la solicitud de información, situación por la cual se tiene que se pronunció el área habilitada, sin embargo, no se puede tener por colmado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toda vez que por los datos solicitados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debió de emitir el acuerdo del comité de transparencia que clasifica como confidencial los datos de  </w:t>
      </w:r>
      <w:r>
        <w:rPr>
          <w:rFonts w:ascii="Palatino Linotype" w:eastAsia="Palatino Linotype" w:hAnsi="Palatino Linotype" w:cs="Palatino Linotype"/>
          <w:b/>
          <w:bCs/>
          <w:i/>
          <w:iCs/>
        </w:rPr>
        <w:t xml:space="preserve">marca, modelo, número de serie del vehículo y número de placa de los vehículos de vehículos particulares, así como de notificaciones realizadas por cada uno de los vehículos que se hayan retirado, las ordenes de retiro y las garantías de audiencia, </w:t>
      </w:r>
      <w:r>
        <w:rPr>
          <w:rFonts w:ascii="Palatino Linotype" w:eastAsia="Palatino Linotype" w:hAnsi="Palatino Linotype" w:cs="Palatino Linotype"/>
        </w:rPr>
        <w:t xml:space="preserve">de acuerdo con lo siguiente.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lo que compete a esto, se tiene que el número de placa se define como el registro </w:t>
      </w:r>
      <w:r>
        <w:rPr>
          <w:rFonts w:ascii="Palatino Linotype" w:eastAsia="Palatino Linotype" w:hAnsi="Palatino Linotype" w:cs="Palatino Linotype"/>
        </w:rPr>
        <w:t>alfanumérico</w:t>
      </w:r>
      <w:r>
        <w:rPr>
          <w:rFonts w:ascii="Palatino Linotype" w:eastAsia="Palatino Linotype" w:hAnsi="Palatino Linotype" w:cs="Palatino Linotype"/>
          <w:color w:val="000000"/>
        </w:rPr>
        <w:t xml:space="preserve"> que usan los vehículos automotores para su identificación y circulación legal en todo el territorio mexicano. </w:t>
      </w:r>
    </w:p>
    <w:p w:rsidR="00034868" w:rsidRDefault="00034868">
      <w:pPr>
        <w:spacing w:line="360" w:lineRule="auto"/>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otra parte, el NIV es el número conformado por diecisiete caracteres alfanuméricos que identifican a los vehículos de modelos posteriores al año 1998. Se encuentra normalmente en la parte superior del tablero del vehículo o en el marco de las puertas, generalmente en el lado del conductor. En los modelos anteriores al año 1998 a este </w:t>
      </w:r>
      <w:r>
        <w:rPr>
          <w:rFonts w:ascii="Palatino Linotype" w:eastAsia="Palatino Linotype" w:hAnsi="Palatino Linotype" w:cs="Palatino Linotype"/>
          <w:color w:val="000000"/>
        </w:rPr>
        <w:lastRenderedPageBreak/>
        <w:t xml:space="preserve">número se le conocía como serie y es más común que se encuentre localizado en la puerta izquierda del vehículo. </w:t>
      </w:r>
    </w:p>
    <w:p w:rsidR="00034868" w:rsidRDefault="00034868">
      <w:pPr>
        <w:spacing w:line="360" w:lineRule="auto"/>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respecto a las placas y número de serie, corresponden a vehículos de particulares, con los cuales se puede hacer identificable a los particulares, por lo que dicho datos son considerados como confidenciales de conformidad con el artículo 143 fracción I de la Ley de Transparencia y Acceso a la Información Pública del Estado de México y Municipios. </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w:t>
      </w:r>
      <w:r>
        <w:rPr>
          <w:rFonts w:ascii="Palatino Linotype" w:eastAsia="Palatino Linotype" w:hAnsi="Palatino Linotype" w:cs="Palatino Linotype"/>
          <w:color w:val="000000"/>
        </w:rPr>
        <w:t>bien</w:t>
      </w:r>
      <w:r>
        <w:rPr>
          <w:rFonts w:ascii="Palatino Linotype" w:eastAsia="Palatino Linotype" w:hAnsi="Palatino Linotype" w:cs="Palatino Linotype"/>
        </w:rPr>
        <w:t xml:space="preserve">, es </w:t>
      </w:r>
      <w:r>
        <w:rPr>
          <w:rFonts w:ascii="Palatino Linotype" w:eastAsia="Palatino Linotype" w:hAnsi="Palatino Linotype" w:cs="Palatino Linotype"/>
          <w:color w:val="000000"/>
        </w:rPr>
        <w:t>menester</w:t>
      </w:r>
      <w:r>
        <w:rPr>
          <w:rFonts w:ascii="Palatino Linotype" w:eastAsia="Palatino Linotype" w:hAnsi="Palatino Linotype" w:cs="Palatino Linotype"/>
        </w:rPr>
        <w:t xml:space="preserve"> señalar que este Órgano Garante comparte la idea de la clasificación de información realizada por la parte obligada, conforme a los siguientes argumentos:</w:t>
      </w:r>
    </w:p>
    <w:p w:rsidR="00034868" w:rsidRDefault="00C30952">
      <w:pPr>
        <w:numPr>
          <w:ilvl w:val="0"/>
          <w:numId w:val="3"/>
        </w:numPr>
        <w:pBdr>
          <w:top w:val="nil"/>
          <w:left w:val="nil"/>
          <w:bottom w:val="nil"/>
          <w:right w:val="nil"/>
          <w:between w:val="nil"/>
        </w:pBdr>
        <w:spacing w:line="360" w:lineRule="auto"/>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los datos solicitados forman parte de vehículos de carácter particular, esto es, de personas que nada tienen que ver con el servicio público o alguna institución;</w:t>
      </w:r>
    </w:p>
    <w:p w:rsidR="00034868" w:rsidRDefault="00C30952">
      <w:pPr>
        <w:numPr>
          <w:ilvl w:val="0"/>
          <w:numId w:val="3"/>
        </w:numPr>
        <w:pBdr>
          <w:top w:val="nil"/>
          <w:left w:val="nil"/>
          <w:bottom w:val="nil"/>
          <w:right w:val="nil"/>
          <w:between w:val="nil"/>
        </w:pBdr>
        <w:spacing w:line="360" w:lineRule="auto"/>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pretende acceder a información privada que atañe directamente a personas en particular;</w:t>
      </w:r>
    </w:p>
    <w:p w:rsidR="00034868" w:rsidRDefault="00C30952">
      <w:pPr>
        <w:numPr>
          <w:ilvl w:val="0"/>
          <w:numId w:val="3"/>
        </w:numPr>
        <w:pBdr>
          <w:top w:val="nil"/>
          <w:left w:val="nil"/>
          <w:bottom w:val="nil"/>
          <w:right w:val="nil"/>
          <w:between w:val="nil"/>
        </w:pBdr>
        <w:spacing w:line="360" w:lineRule="auto"/>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el dar a conocer estos datos, se vulnera la esfera privada de las personas, al hacer pública información que forma parte del patrimonio propio;</w:t>
      </w:r>
    </w:p>
    <w:p w:rsidR="00034868" w:rsidRDefault="00C30952">
      <w:pPr>
        <w:numPr>
          <w:ilvl w:val="0"/>
          <w:numId w:val="3"/>
        </w:numPr>
        <w:pBdr>
          <w:top w:val="nil"/>
          <w:left w:val="nil"/>
          <w:bottom w:val="nil"/>
          <w:right w:val="nil"/>
          <w:between w:val="nil"/>
        </w:pBdr>
        <w:spacing w:line="360" w:lineRule="auto"/>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Que publicar los datos de los vehículos referidos, a nada abunda a la transparencia y rendición de cuentas por parte del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toda vez que una de las finalidades del acceso a la </w:t>
      </w:r>
      <w:r>
        <w:rPr>
          <w:rFonts w:ascii="Palatino Linotype" w:eastAsia="Palatino Linotype" w:hAnsi="Palatino Linotype" w:cs="Palatino Linotype"/>
          <w:i/>
          <w:iCs/>
          <w:color w:val="000000"/>
        </w:rPr>
        <w:lastRenderedPageBreak/>
        <w:t>información pública, es tal cual, acceder a datos, documentos, expedientes, etc, de carácter PÚBLICO.</w:t>
      </w:r>
    </w:p>
    <w:p w:rsidR="00034868" w:rsidRDefault="00C30952">
      <w:pPr>
        <w:numPr>
          <w:ilvl w:val="0"/>
          <w:numId w:val="3"/>
        </w:numPr>
        <w:pBdr>
          <w:top w:val="nil"/>
          <w:left w:val="nil"/>
          <w:bottom w:val="nil"/>
          <w:right w:val="nil"/>
          <w:between w:val="nil"/>
        </w:pBdr>
        <w:spacing w:line="360" w:lineRule="auto"/>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Que se trata de particulares que no reciben recursos públicos, ni mucho menos los vehículos forman parte del parque vehicular del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o de alguna institución.</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de lo anterior, se determina que no se puede entregar la información solicitada en los numerales uno y dos de la solicitud de información, toda vez que  es información que guarda relación con datos personales confidenciales de personas particulares, situación por la cual se analiza lo siguiente en cuanto a las funciones del Comité de Transparencia. </w:t>
      </w:r>
    </w:p>
    <w:p w:rsidR="00034868" w:rsidRDefault="0003486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b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determina que de acuerdo con  la Ley de Transparencia y Acceso a la Información Pública del Estado de México y Municipios, regula lo siguiente en cuanto a la clasificación de la información.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49. Los Comités de Transparencia tendrán las siguientes atribuciones: </w:t>
      </w:r>
    </w:p>
    <w:p w:rsidR="00034868" w:rsidRDefault="00C30952">
      <w:pPr>
        <w:numPr>
          <w:ilvl w:val="0"/>
          <w:numId w:val="4"/>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Instituir, coordinar y supervisar en términos de las disposiciones aplicables, las acciones, medidas y procedimientos que coadyuven a asegurar una mayor eficacia en la gestión y atención de las solicitudes en materia de acceso a la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Confirmar, modificar o revocar las determinaciones que en materia de ampliación del plazo de respuesta, clasificación de la información y declaración de inexistencia o de incompetencia realicen los titulares de las áreas de los sujetos obligados;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Ordenar, en su caso a las áreas competentes que generen la información que derivado de sus facultades, competencias y funciones deban tener en posesión o que previa acreditación de la imposibilidad de </w:t>
      </w:r>
      <w:r>
        <w:rPr>
          <w:rFonts w:ascii="Palatino Linotype" w:eastAsia="Palatino Linotype" w:hAnsi="Palatino Linotype" w:cs="Palatino Linotype"/>
          <w:i/>
          <w:iCs/>
          <w:color w:val="000000"/>
        </w:rPr>
        <w:lastRenderedPageBreak/>
        <w:t xml:space="preserve">su generación, exponga, de forma fundada y motivada las razones por las cuales, en el caso particular, no ejercieron dichas facultades, competencias o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Establecer políticas para facilitar la obtención y entrega de información en las solicitudes que permita el adecuado ejercicio del derecho de acceso a la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Promover la capacitación y actualización de los servidores públicos o integrantes adscritos a las unidades de transparencia;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Establecer programas de capacitación en materia de transparencia, acceso a la información, accesibilidad y protección de datos personales, para todos los servidores públicos o integrantes del sujeto obligado;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Solicitar y autorizar la ampliación del plazo de reserva de la información a que se refiere esta Ley;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VIII. Aprobar, modificar o revocar la clasificación de la información</w:t>
      </w:r>
      <w:r>
        <w:rPr>
          <w:b/>
          <w:bCs/>
          <w:i/>
          <w:iCs/>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Supervisar la aplicación de los lineamientos en materia de acceso a la información pública para el manejo, mantenimiento y seguridad de los datos personales, así como de los criterios de clasificación expedidos por el Instituto;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Elaborar un programa para facilitar la sistematización y actualización de la información, mismo que deberá remitirse al Instituto dentro de los primeros veinte días de cada año;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Recabar y enviar al Instituto, de conformidad con los lineamientos que éste expida, los datos necesarios para la elaboración del informe anual;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Emitir las resoluciones que correspondan para la atención de las solicitudes de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XIII. Dictaminar las declaratorias de inexistencia de la información que les remitan las unidades administrativas y resolver en consecuencia;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XIV. Supervisar el registro y actualización de las solicitudes de acceso a la información, así como sus trámites, costos y resultados;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 Fomentar la cultura de transparencia;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 Supervisar el cumplimiento de criterios y lineamientos en materia de información clasificada;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XVII. Vigilar el cumplimiento de las resoluciones y recomendaciones que emita el Instituto; y </w:t>
      </w:r>
    </w:p>
    <w:p w:rsidR="00034868" w:rsidRDefault="00C30952">
      <w:pPr>
        <w:pBdr>
          <w:top w:val="nil"/>
          <w:left w:val="nil"/>
          <w:bottom w:val="nil"/>
          <w:right w:val="nil"/>
          <w:between w:val="nil"/>
        </w:pBdr>
        <w:ind w:left="1134" w:right="1843"/>
        <w:jc w:val="both"/>
        <w:rPr>
          <w:color w:val="000000"/>
        </w:rPr>
      </w:pPr>
      <w:r>
        <w:rPr>
          <w:rFonts w:ascii="Palatino Linotype" w:eastAsia="Palatino Linotype" w:hAnsi="Palatino Linotype" w:cs="Palatino Linotype"/>
          <w:i/>
          <w:iCs/>
          <w:color w:val="000000"/>
        </w:rPr>
        <w:t>XVIII. Las demás que se desprendan de la presente Ley y las disposiciones jurídicas aplicables, que faciliten el acceso a la información.</w:t>
      </w:r>
      <w:r>
        <w:rPr>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034868" w:rsidRDefault="00C30952">
      <w:pPr>
        <w:pBdr>
          <w:top w:val="nil"/>
          <w:left w:val="nil"/>
          <w:bottom w:val="nil"/>
          <w:right w:val="nil"/>
          <w:between w:val="nil"/>
        </w:pBdr>
        <w:ind w:left="1134" w:right="1843"/>
        <w:jc w:val="both"/>
        <w:rPr>
          <w:color w:val="000000"/>
        </w:rPr>
      </w:pPr>
      <w:r>
        <w:rPr>
          <w:rFonts w:ascii="Palatino Linotype" w:eastAsia="Palatino Linotype" w:hAnsi="Palatino Linotype" w:cs="Palatino Linotype"/>
          <w:i/>
          <w:iCs/>
          <w:color w:val="000000"/>
        </w:rPr>
        <w:t>II. Recibir, tramitar y dar respuesta a las solicitudes de acceso a la información;</w:t>
      </w:r>
      <w:r>
        <w:rPr>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Realizar, con efectividad, los trámites internos necesarios para la atención de las solicitudes de acceso a la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X. Presentar ante el Comité, el proyecto de clasificación de información;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XII. Fomentar la transparencia y accesibilidad al interior del sujeto obligado;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r>
        <w:rPr>
          <w:color w:val="000000"/>
        </w:rPr>
        <w:t xml:space="preserve"> </w:t>
      </w:r>
    </w:p>
    <w:p w:rsidR="00034868" w:rsidRDefault="00C30952">
      <w:pPr>
        <w:pBdr>
          <w:top w:val="nil"/>
          <w:left w:val="nil"/>
          <w:bottom w:val="nil"/>
          <w:right w:val="nil"/>
          <w:between w:val="nil"/>
        </w:pBdr>
        <w:ind w:left="1134" w:right="1843"/>
        <w:jc w:val="both"/>
        <w:rPr>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r>
        <w:rPr>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59.</w:t>
      </w:r>
      <w:r>
        <w:rPr>
          <w:rFonts w:ascii="Palatino Linotype" w:eastAsia="Palatino Linotype" w:hAnsi="Palatino Linotype" w:cs="Palatino Linotype"/>
          <w:i/>
          <w:iCs/>
          <w:color w:val="000000"/>
        </w:rPr>
        <w:t xml:space="preserve"> Los servidores públicos habilitados tendrán las funciones siguientes: </w:t>
      </w:r>
    </w:p>
    <w:p w:rsidR="00034868" w:rsidRDefault="00C30952">
      <w:pPr>
        <w:numPr>
          <w:ilvl w:val="0"/>
          <w:numId w:val="5"/>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Localizar la información que le solicite la Unidad de Transparencia;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Proporcionar la información que obre en los archivos y que le sea solicitada por la Unidad de Transparencia;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Apoyar a la Unidad de Transparencia en lo que esta le solicite para el cumplimiento de sus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Proporcionar a la Unidad de Transparencia, las modificaciones a la información pública de oficio que obre en su poder;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Integrar y presentar al responsable de la Unidad de Transparencia la propuesta de clasificación de información, la cual tendrá los fundamentos y argumentos en que se basa dicha propuesta;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Verificar, una vez analizado el contenido de la información, que no se encuentre en los supuestos de información clasificada; y </w:t>
      </w:r>
    </w:p>
    <w:p w:rsidR="00034868" w:rsidRDefault="00C30952">
      <w:pPr>
        <w:pBdr>
          <w:top w:val="nil"/>
          <w:left w:val="nil"/>
          <w:bottom w:val="nil"/>
          <w:right w:val="nil"/>
          <w:between w:val="nil"/>
        </w:pBdr>
        <w:ind w:left="1134" w:right="1843"/>
        <w:jc w:val="both"/>
        <w:rPr>
          <w:color w:val="000000"/>
        </w:rPr>
      </w:pPr>
      <w:r>
        <w:rPr>
          <w:rFonts w:ascii="Palatino Linotype" w:eastAsia="Palatino Linotype" w:hAnsi="Palatino Linotype" w:cs="Palatino Linotype"/>
          <w:i/>
          <w:iCs/>
          <w:color w:val="000000"/>
        </w:rPr>
        <w:t>VII. Dar cuenta a la Unidad de Transparencia del vencimiento de los plazos de reserva.</w:t>
      </w:r>
      <w:r>
        <w:rPr>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122. La clasificación es el proceso mediante el cual el sujeto obligado determina que la información en su poder actualiza alguno de los supuestos de reserva o confidencialidad, de conformidad con lo dispuesto en el presente título</w:t>
      </w:r>
      <w:r>
        <w:rPr>
          <w:rFonts w:ascii="Palatino Linotype" w:eastAsia="Palatino Linotype" w:hAnsi="Palatino Linotype" w:cs="Palatino Linotype"/>
          <w:i/>
          <w:iCs/>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supuestos de reserva o confidencialidad previstos en las leyes deberán ser acordes con las bases, principios y disposiciones establecidos en la Ley General y, en ningún caso, podrán contravenirla.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titulares de las áreas de los sujetos obligados serán los responsables de clasificar la información, de conformidad con lo dispuesto en la presente Ley y demás disposiciones jurídicas aplicables.</w:t>
      </w:r>
    </w:p>
    <w:p w:rsidR="00034868" w:rsidRDefault="00034868">
      <w:pPr>
        <w:pBdr>
          <w:top w:val="nil"/>
          <w:left w:val="nil"/>
          <w:bottom w:val="nil"/>
          <w:right w:val="nil"/>
          <w:between w:val="nil"/>
        </w:pBdr>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los artículos citados anteriormente, se colige que los Comités de Transparencia, las  Unidades de Transparencia y los Servidores Públicos Habilitados tiene la función de clasificar la información que obre en sus archivos ya sea de manera confidencial o reservada para velar y resguardar los datos que se consideré necesario hacerlo por su naturaleza como este caso los datos relacionados con los vehículos de particulares y los documentos generados de los mismos, situación por la cual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por medio del Comité de Transparencia, deberá de emitir el acuerdo fundado y motivado mediante el cual clasifique la información como confidencial de conformidad con el artículo 143 fracción I de la Ley de Transparencia y Acceso a la Información Pública del Estado de México y Municipios.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Finalmente, en cuanto al punto tres de la solicitud de información consistente en “</w:t>
      </w:r>
      <w:r>
        <w:rPr>
          <w:rFonts w:ascii="Palatino Linotype" w:eastAsia="Palatino Linotype" w:hAnsi="Palatino Linotype" w:cs="Palatino Linotype"/>
          <w:b/>
          <w:bCs/>
          <w:i/>
          <w:iCs/>
        </w:rPr>
        <w:t xml:space="preserve">El contrato, convenio o documento de colaboración que haya celebrado el ente público con la concesionaria, para que grúas concesionadas realicen la tarea de arrastre al depósito vehicular”, </w:t>
      </w:r>
      <w:r>
        <w:rPr>
          <w:rFonts w:ascii="Palatino Linotype" w:eastAsia="Palatino Linotype" w:hAnsi="Palatino Linotype" w:cs="Palatino Linotype"/>
        </w:rPr>
        <w:t xml:space="preserve">se debe de analizar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informó si contaba con una concesionaria que realice el servicio de arrastre de grúas para el traslado de vehículos, situación por la cual se hace el siguiente análisis. </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cuenta en su estructura organizacional con la Dirección de Administración quien internamente se integra por el Departamento de Adquisiciones y Licitaciones, quien de acuerdo con el Manual de Organización propio de la Dirección cuenta con las siguientes 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1.5.1 Departamento de Adquisiciones y Licitaciones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Objetivo: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Realizar los procedimientos administrativos, conformar los expedientes que se generen de las solicitudes que surjan de las necesidades y requerimientos de las direcciones, secretarias y dependencias del H. Ayuntamiento, tomando en consideración los criterios de economía, eficiencia, imparcialidad y honradez, que aseguren las mejores condiciones para las adquisiciones y servicios del municipio.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Solicitar a las Unidades Administrativas, elaborar sus requerimientos en forma anual con base en el monto presupuestal autorizado por el municipio para el cumplimiento de los programas operativos respectivos.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Realizar la Publicación de la Convocatoria para participar en los procedimientos de Licitación Pública o Invitación Restringida, y darle trámite ante la Dirección de Comunicación Social, solicitando además los ejemplares en donde se publicó la misma para su archivo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Realizar los procedimientos de Licitación Pública, Invitación Restringida y Adjudicación Directa, hasta dejarlos en Estado de dictar el fallo correspondiente.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Solicitar y revisar la documentación de los proveedores y/o prestadores de servicios para la integración de los procedimientos.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Verificar que la documentación que entreguen los proveedores y/o prestadores de servicios cumpla con las especificaciones y requerimientos solicitados, de no ser así, informar para su correcta corrección y entrega en tiempo y forma.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 Realizar los contratos de acuerdo al tipo de procedimiento a efectuarse, ajustándose siempre al marco legal que se trate. </w:t>
      </w:r>
    </w:p>
    <w:p w:rsidR="00034868" w:rsidRDefault="00C30952">
      <w:pPr>
        <w:pBdr>
          <w:top w:val="nil"/>
          <w:left w:val="nil"/>
          <w:bottom w:val="nil"/>
          <w:right w:val="nil"/>
          <w:between w:val="nil"/>
        </w:pBdr>
        <w:ind w:left="1134" w:right="1843"/>
        <w:jc w:val="both"/>
        <w:rPr>
          <w:i/>
          <w:iCs/>
        </w:rPr>
      </w:pPr>
      <w:r>
        <w:rPr>
          <w:rFonts w:ascii="Palatino Linotype" w:eastAsia="Palatino Linotype" w:hAnsi="Palatino Linotype" w:cs="Palatino Linotype"/>
          <w:i/>
          <w:iCs/>
        </w:rPr>
        <w:t>7. Solicitar las firmas de los distintos funcionarios, en la documentación que se requiera, para la solventar los procedimientos.</w:t>
      </w:r>
      <w:r>
        <w:rPr>
          <w:i/>
          <w:iCs/>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Tramitar los procedimientos de subasta pública, hasta dejarlos en estado de dictar el fallo de adjudicación.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Revisar el programa anual de Adquisiciones y Servicios, así como formular las observaciones y recomendaciones que estén inconvenientes.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10. Evaluar las propuestas o posturas que se presenten en los procedimientos de Licitación Pública, Invitación Restringida o Adjudicación Directa.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Emitir los Dictámenes de Adjudicación, que sirven para la emisión del fallo para Adquisiciones y Servicios.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 Realizar la integración de las documentales necesarias de los contratospedido que se realicen en la Subdirección.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13. Realizar el envío de los expedientes completos de los procedimientos realizados de las adquisiciones y/o contratación de servicios, a la Tesorería Municipal para su pago.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14. Desarrollar además todas aquellas funciones que resulten inherentes a sus ámbitos de competencia, así como aquellas que le sean encomendadas por sus superiores.</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i/>
          <w:i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citado, se colige que el área competente para conocer de este punto de la solicitud de información es el Departamento de Adquisiciones y Licitaciones, toda vez que dentro de sus funciones está el realizar los contratos de acuerdo al tipo de procedimiento a efectuarse, ajustándose siempre al marco legal que se trate.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Ahora</w:t>
      </w:r>
      <w:r>
        <w:rPr>
          <w:rFonts w:ascii="Palatino Linotype" w:eastAsia="Palatino Linotype" w:hAnsi="Palatino Linotype" w:cs="Palatino Linotype"/>
          <w:color w:val="000000"/>
        </w:rPr>
        <w:t xml:space="preserve"> bien, una vez que se señaló la fuente obligacional, también se debe de referir  que lo solicitado tiene carácter de información </w:t>
      </w:r>
      <w:r>
        <w:rPr>
          <w:rFonts w:ascii="Palatino Linotype" w:eastAsia="Palatino Linotype" w:hAnsi="Palatino Linotype" w:cs="Palatino Linotype"/>
        </w:rPr>
        <w:t>pública</w:t>
      </w:r>
      <w:r>
        <w:rPr>
          <w:rFonts w:ascii="Palatino Linotype" w:eastAsia="Palatino Linotype" w:hAnsi="Palatino Linotype" w:cs="Palatino Linotype"/>
          <w:color w:val="000000"/>
        </w:rPr>
        <w:t xml:space="preserve"> de oficio de acuerdo con el artículo 92 de la Ley de Transparencia y Acceso a la Información Pública del Estado de México y Municipios.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XXIX. La información sobre los procesos y resultados sobre procedimientos de adjudicación directa, invitación restringida y </w:t>
      </w:r>
      <w:r>
        <w:rPr>
          <w:rFonts w:ascii="Palatino Linotype" w:eastAsia="Palatino Linotype" w:hAnsi="Palatino Linotype" w:cs="Palatino Linotype"/>
          <w:i/>
          <w:iCs/>
          <w:color w:val="000000"/>
        </w:rPr>
        <w:lastRenderedPageBreak/>
        <w:t>licitación de cualquier naturaleza, incluyendo la versión pública del expediente respectivo y de los contratos celebrados, que deberán contener, por los menos, lo siguiente:</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 a) De licitaciones públicas o procedimientos de invitación restringida: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La convocatoria o invitación emitida, así como los fundamentos legales aplicados para llevarla a cabo;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Los nombres de los participantes o invitados;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3) El nombre del ganador y las razones que lo justifican;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 El área solicitante y la responsable de su ejecución;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5) Las convocatorias e invitaciones emitidas;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6) Los dictámenes y fallo de adjudicación;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7) El contrato y, en su caso, sus anexos;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8) Los mecanismos de vigilancia y supervisión, incluyendo en su caso, los estudios de impacto urbano y ambiental, según corresponda;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9) La partida presupuestal, de conformidad con el clasificador por objeto del gasto, en el caso de ser aplicable;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10) Origen de los recursos especificando si son federales, estatales o municipales, así como el tipo de fondo de participación o aportación respectiva; 11) Los convenios modificatorios que, en su caso, sean firmados, precisando el objeto y la fecha de celebración;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12) Los informes de avance físico y financiero sobre las obras o servicios contratados;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13) El convenio de terminación; y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14) El finiquito.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b) De las adjudicaciones directas</w:t>
      </w:r>
      <w:r>
        <w:rPr>
          <w:rFonts w:ascii="Palatino Linotype" w:eastAsia="Palatino Linotype" w:hAnsi="Palatino Linotype" w:cs="Palatino Linotype"/>
          <w:i/>
          <w:iCs/>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La propuesta enviada por el participante;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Los motivos y fundamentos legales aplicados para llevarla a cabo;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3) La autorización del ejercicio de la opción;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 En su caso, las cotizaciones consideradas, especificando los nombres de los proveedores y sus montos;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5) El nombre de la persona física o jurídica colectiva adjudicada;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6) La unidad administrativa solicitante y la responsable de su ejecución;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7) El número, fecha, el monto del contrato y el plazo de entrega o de ejecución de los servicios u obra</w:t>
      </w:r>
      <w:r>
        <w:rPr>
          <w:rFonts w:ascii="Palatino Linotype" w:eastAsia="Palatino Linotype" w:hAnsi="Palatino Linotype" w:cs="Palatino Linotype"/>
          <w:i/>
          <w:iCs/>
          <w:color w:val="000000"/>
        </w:rPr>
        <w:t xml:space="preserv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8) Los mecanismos de vigilancia y supervisión, incluyendo, en su caso, los estudios de impacto urbano y ambiental, según corresponda;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9) Los informes de avance sobre las obras o servicios contratados;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10) El convenio de terminación; y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11) El finiquito.</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XXXIV. Las estadísticas que generen en cumplimiento de sus facultades, competencias o funciones con la mayor desagregación posible;</w:t>
      </w:r>
    </w:p>
    <w:p w:rsidR="00034868" w:rsidRDefault="00C30952">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esa línea de estudio, es necesario analizar que los procedimientos de adquisiciones pueden realizarse por medio de adquisiciones y licitaciones mismas que se analizan a continuación. </w:t>
      </w:r>
    </w:p>
    <w:p w:rsidR="00034868" w:rsidRDefault="00034868">
      <w:pPr>
        <w:pBdr>
          <w:top w:val="nil"/>
          <w:left w:val="nil"/>
          <w:bottom w:val="nil"/>
          <w:right w:val="nil"/>
          <w:between w:val="nil"/>
        </w:pBdr>
        <w:ind w:left="720" w:right="-787"/>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la Ley de la  Contratación Pública del Estado de México y Municipios, tiene por objeto regular los actos relativos a la planeación, programación, presupuestación, ejecución y control de las obras públicas de los  </w:t>
      </w:r>
      <w:r>
        <w:rPr>
          <w:rFonts w:ascii="Palatino Linotype" w:eastAsia="Palatino Linotype" w:hAnsi="Palatino Linotype" w:cs="Palatino Linotype"/>
          <w:color w:val="000000"/>
        </w:rPr>
        <w:t>Ayuntamientos</w:t>
      </w:r>
      <w:r>
        <w:rPr>
          <w:rFonts w:ascii="Palatino Linotype" w:eastAsia="Palatino Linotype" w:hAnsi="Palatino Linotype" w:cs="Palatino Linotype"/>
        </w:rPr>
        <w:t xml:space="preserve"> del Estado; los cuales </w:t>
      </w:r>
      <w:r>
        <w:rPr>
          <w:rFonts w:ascii="Palatino Linotype" w:eastAsia="Palatino Linotype" w:hAnsi="Palatino Linotype" w:cs="Palatino Linotype"/>
          <w:b/>
          <w:bCs/>
        </w:rPr>
        <w:t>se adjudicará a través de licitaciones públicas, invitación restringida o adjudicación directa</w:t>
      </w:r>
      <w:r>
        <w:rPr>
          <w:rFonts w:ascii="Palatino Linotype" w:eastAsia="Palatino Linotype" w:hAnsi="Palatino Linotype" w:cs="Palatino Linotype"/>
        </w:rPr>
        <w:t>, mediante convocatoria pública, tal y como lo establecen los artículos 4, 26 y 27 de dicha Ley, los cuales son del tenor siguiente:</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Para los efectos de esta Ley, en las adquisiciones, enajenaciones, arrendamientos y servicios, quedan comprendidos: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adquisición de bienes muebles.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adquisición de bienes inmuebles, a través de compraventa.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enajenación de bienes muebles e inmuebles.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El arrendamiento de bienes muebles e inmuebles.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rsidR="00034868" w:rsidRDefault="00C30952">
      <w:pPr>
        <w:ind w:left="1134" w:right="1843"/>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lastRenderedPageBreak/>
        <w:t xml:space="preserve">VI. La contratación de los servicios de reconstrucción y mantenimiento de bienes muebles.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u w:val="single"/>
        </w:rPr>
        <w:t xml:space="preserve">VII. La contratación de los servicios </w:t>
      </w:r>
      <w:r>
        <w:rPr>
          <w:rFonts w:ascii="Palatino Linotype" w:eastAsia="Palatino Linotype" w:hAnsi="Palatino Linotype" w:cs="Palatino Linotype"/>
          <w:i/>
          <w:iCs/>
        </w:rPr>
        <w:t>de maquila, seguros y transportación, así como de los de limpieza y vigilancia de bienes inmuebles</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prestación de servicios profesionales, la contratación de consultorías, asesorías y estudios e investigaciones, excepto la contratación de servicios personales de personas físicas bajo el régimen de honorarios. </w:t>
      </w:r>
    </w:p>
    <w:p w:rsidR="00034868" w:rsidRDefault="00C30952">
      <w:pPr>
        <w:ind w:left="1134" w:right="1843"/>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En general, otros actos que impliquen la contratación de servicios de cualquier naturaleza.</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26.- Las adquisiciones, arrendamientos y servicios se adjudicarán a través de licitaciones públicas, mediante convocatoria pública.</w:t>
      </w:r>
    </w:p>
    <w:p w:rsidR="00034868" w:rsidRDefault="00034868">
      <w:pPr>
        <w:ind w:left="1134" w:right="1843"/>
        <w:jc w:val="both"/>
        <w:rPr>
          <w:rFonts w:ascii="Palatino Linotype" w:eastAsia="Palatino Linotype" w:hAnsi="Palatino Linotype" w:cs="Palatino Linotype"/>
          <w:b/>
          <w:bCs/>
          <w:i/>
          <w:iCs/>
        </w:rPr>
      </w:pP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27.- </w:t>
      </w:r>
      <w:r>
        <w:rPr>
          <w:rFonts w:ascii="Palatino Linotype" w:eastAsia="Palatino Linotype" w:hAnsi="Palatino Linotype" w:cs="Palatino Linotype"/>
          <w:i/>
          <w:iCs/>
        </w:rPr>
        <w:t>La Oficialía Mayor, las entidades, los tribunales administrativos y los ayuntamientos podrán adjudicar adquisiciones, arrendamientos y servicios, mediante las excepciones al procedimiento de licitación que a continuación se señalan:</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Invitación restringida. </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Adjudicación directa.”</w:t>
      </w:r>
    </w:p>
    <w:p w:rsidR="00034868" w:rsidRDefault="00C30952">
      <w:pPr>
        <w:ind w:left="1134" w:right="1843"/>
        <w:rPr>
          <w:rFonts w:ascii="Palatino Linotype" w:eastAsia="Palatino Linotype" w:hAnsi="Palatino Linotype" w:cs="Palatino Linotype"/>
          <w:i/>
          <w:iCs/>
        </w:rPr>
      </w:pPr>
      <w:r>
        <w:rPr>
          <w:rFonts w:ascii="Palatino Linotype" w:eastAsia="Palatino Linotype" w:hAnsi="Palatino Linotype" w:cs="Palatino Linotype"/>
          <w:i/>
          <w:iCs/>
        </w:rPr>
        <w:t xml:space="preserve">(Énfasis añadido) </w:t>
      </w:r>
    </w:p>
    <w:p w:rsidR="00034868" w:rsidRDefault="00034868">
      <w:pPr>
        <w:spacing w:line="360" w:lineRule="auto"/>
        <w:ind w:right="-787"/>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Ahora</w:t>
      </w:r>
      <w:r>
        <w:rPr>
          <w:rFonts w:ascii="Palatino Linotype" w:eastAsia="Palatino Linotype" w:hAnsi="Palatino Linotype" w:cs="Palatino Linotype"/>
          <w:color w:val="000000"/>
        </w:rPr>
        <w:t xml:space="preserve"> bien, el artículo 48 de la Ley de Contratación Pública del Estado de México y Municipios, contempla las </w:t>
      </w:r>
      <w:r>
        <w:rPr>
          <w:rFonts w:ascii="Palatino Linotype" w:eastAsia="Palatino Linotype" w:hAnsi="Palatino Linotype" w:cs="Palatino Linotype"/>
        </w:rPr>
        <w:t>siguientes</w:t>
      </w:r>
      <w:r>
        <w:rPr>
          <w:rFonts w:ascii="Palatino Linotype" w:eastAsia="Palatino Linotype" w:hAnsi="Palatino Linotype" w:cs="Palatino Linotype"/>
          <w:color w:val="000000"/>
        </w:rPr>
        <w:t xml:space="preserve"> etapas para la </w:t>
      </w:r>
      <w:r>
        <w:rPr>
          <w:rFonts w:ascii="Palatino Linotype" w:eastAsia="Palatino Linotype" w:hAnsi="Palatino Linotype" w:cs="Palatino Linotype"/>
          <w:b/>
          <w:bCs/>
          <w:color w:val="000000"/>
        </w:rPr>
        <w:t xml:space="preserve">adjudicación directa. </w:t>
      </w:r>
    </w:p>
    <w:p w:rsidR="00034868" w:rsidRDefault="00C30952">
      <w:pP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48.-</w:t>
      </w:r>
      <w:r>
        <w:rPr>
          <w:rFonts w:ascii="Palatino Linotype" w:eastAsia="Palatino Linotype" w:hAnsi="Palatino Linotype" w:cs="Palatino Linotype"/>
          <w:i/>
          <w:iCs/>
          <w:color w:val="000000"/>
        </w:rPr>
        <w:t xml:space="preserve"> La Oficialía Mayor, las entidades, los tribunales administrativos y </w:t>
      </w:r>
      <w:r>
        <w:rPr>
          <w:rFonts w:ascii="Palatino Linotype" w:eastAsia="Palatino Linotype" w:hAnsi="Palatino Linotype" w:cs="Palatino Linotype"/>
          <w:b/>
          <w:bCs/>
          <w:i/>
          <w:iCs/>
          <w:color w:val="000000"/>
        </w:rPr>
        <w:t>los ayuntamientos</w:t>
      </w:r>
      <w:r>
        <w:rPr>
          <w:rFonts w:ascii="Palatino Linotype" w:eastAsia="Palatino Linotype" w:hAnsi="Palatino Linotype" w:cs="Palatino Linotype"/>
          <w:i/>
          <w:iCs/>
          <w:color w:val="000000"/>
        </w:rPr>
        <w:t xml:space="preserve"> podrán adquirir bienes, arrendar bienes muebles e inmuebles y contratar servicios, mediante adjudicación directa, cuando: </w:t>
      </w:r>
    </w:p>
    <w:p w:rsidR="00034868" w:rsidRDefault="00C30952">
      <w:pPr>
        <w:numPr>
          <w:ilvl w:val="1"/>
          <w:numId w:val="8"/>
        </w:numPr>
        <w:pBdr>
          <w:top w:val="nil"/>
          <w:left w:val="nil"/>
          <w:bottom w:val="nil"/>
          <w:right w:val="nil"/>
          <w:between w:val="nil"/>
        </w:pBdr>
        <w:tabs>
          <w:tab w:val="left" w:pos="284"/>
        </w:tabs>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adquisición o el servicio sólo puedan realizarse con una determinada persona, por tratarse de obras de arte, titularidad de patentes, registros, marcas específicas, derechos de autor u otros derechos exclusivos.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Se trate de servicios que requieran de experiencia, técnicas o equipos especiales, o se trate de la adquisición de bienes usados o de características especiales que solamente puedan ser prestados o suministrados por una sola persona.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Existan circunstancias que puedan provocar pérdidas o costos adicionales importantes al erario.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Pueda comprometerse información de naturaleza confidencial para el Estado o municipios, por razones de seguridad pública.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Existan circunstancias extraordinarias o imprevisibles derivadas de riesgo o desastre. En este supuesto, la adquisición, arrendamiento y servicio deberá limitarse a lo estrictamente necesario para enfrentar tal eventualidad.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Se hubiere rescindido un contrato, por causas imputables al proveedor o que la persona que habiendo resultado ganadora en una licitación, no concurra a la suscripción del contrato dentro del plazo establecido en esta Ley. 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IX. Se hubiere declarado desierto un procedimiento de invitación restringida.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Cuando se aseguren condiciones financieras que permitan al Estado o a los municipios cumplir con la obligación de pago de manera diferida, sin que ello implique un costo financiero adicional o que habiéndolo, sea inferior al del mercado, o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w:t>
      </w:r>
    </w:p>
    <w:p w:rsidR="00034868" w:rsidRDefault="00C30952">
      <w:pPr>
        <w:pBdr>
          <w:top w:val="nil"/>
          <w:left w:val="nil"/>
          <w:bottom w:val="nil"/>
          <w:right w:val="nil"/>
          <w:between w:val="nil"/>
        </w:pBdr>
        <w:tabs>
          <w:tab w:val="left" w:pos="284"/>
        </w:tabs>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49.-</w:t>
      </w:r>
      <w:r>
        <w:rPr>
          <w:rFonts w:ascii="Palatino Linotype" w:eastAsia="Palatino Linotype" w:hAnsi="Palatino Linotype" w:cs="Palatino Linotype"/>
          <w:i/>
          <w:iCs/>
          <w:color w:val="000000"/>
        </w:rPr>
        <w:t xml:space="preserve"> El procedimiento de adjudicación directa se substanciará con arreglo a el reglamento de esta Ley. </w:t>
      </w:r>
    </w:p>
    <w:p w:rsidR="00034868" w:rsidRDefault="00034868">
      <w:pPr>
        <w:tabs>
          <w:tab w:val="left" w:pos="284"/>
        </w:tabs>
        <w:ind w:right="-787"/>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de estudio, de conformidad con el Reglamento de la Ley de Contratación Pública del Estado de México y Municipios, regula que por Adjudicación Directa se entiende lo siguiente. </w:t>
      </w:r>
    </w:p>
    <w:p w:rsidR="00034868" w:rsidRDefault="00C30952">
      <w:pP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2.- Para los efectos de este Reglamento, se entenderá por: </w:t>
      </w:r>
    </w:p>
    <w:p w:rsidR="00034868" w:rsidRDefault="00C30952">
      <w:pPr>
        <w:numPr>
          <w:ilvl w:val="0"/>
          <w:numId w:val="9"/>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Adjudicación directa:</w:t>
      </w:r>
      <w:r>
        <w:rPr>
          <w:rFonts w:ascii="Palatino Linotype" w:eastAsia="Palatino Linotype" w:hAnsi="Palatino Linotype" w:cs="Palatino Linotype"/>
          <w:i/>
          <w:iCs/>
          <w:color w:val="000000"/>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colige que el área convocante es quien designa al proveedor de bienes, arrendador, </w:t>
      </w:r>
      <w:r>
        <w:rPr>
          <w:rFonts w:ascii="Palatino Linotype" w:eastAsia="Palatino Linotype" w:hAnsi="Palatino Linotype" w:cs="Palatino Linotype"/>
        </w:rPr>
        <w:t>comprador</w:t>
      </w:r>
      <w:r>
        <w:rPr>
          <w:rFonts w:ascii="Palatino Linotype" w:eastAsia="Palatino Linotype" w:hAnsi="Palatino Linotype" w:cs="Palatino Linotype"/>
          <w:color w:val="000000"/>
        </w:rPr>
        <w:t xml:space="preserve"> o prestador del servicio con base en las mejores condiciones en cuanto a precio, calidad y financiamiento. </w:t>
      </w:r>
    </w:p>
    <w:p w:rsidR="00034868" w:rsidRDefault="00034868">
      <w:pPr>
        <w:spacing w:line="360" w:lineRule="auto"/>
        <w:ind w:right="-787"/>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Seguidamente</w:t>
      </w:r>
      <w:r>
        <w:rPr>
          <w:rFonts w:ascii="Palatino Linotype" w:eastAsia="Palatino Linotype" w:hAnsi="Palatino Linotype" w:cs="Palatino Linotype"/>
          <w:color w:val="000000"/>
        </w:rPr>
        <w:t xml:space="preserve"> el artículo 93 del Reglamento de la Ley de Contratación Pública del Estado de México y Municipios, regula que los municipios </w:t>
      </w:r>
      <w:r>
        <w:rPr>
          <w:rFonts w:ascii="Palatino Linotype" w:eastAsia="Palatino Linotype" w:hAnsi="Palatino Linotype" w:cs="Palatino Linotype"/>
        </w:rPr>
        <w:t>solicitarán</w:t>
      </w:r>
      <w:r>
        <w:rPr>
          <w:rFonts w:ascii="Palatino Linotype" w:eastAsia="Palatino Linotype" w:hAnsi="Palatino Linotype" w:cs="Palatino Linotype"/>
          <w:color w:val="000000"/>
        </w:rPr>
        <w:t xml:space="preserve"> al Comité de Adquisiciones el dictamen de procedencia del procedimiento de adjudicación, en el que se acredite previamente lo siguiente. </w:t>
      </w:r>
    </w:p>
    <w:p w:rsidR="00034868" w:rsidRDefault="00C30952">
      <w:pP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93.- </w:t>
      </w:r>
      <w:r>
        <w:rPr>
          <w:rFonts w:ascii="Palatino Linotype" w:eastAsia="Palatino Linotype" w:hAnsi="Palatino Linotype" w:cs="Palatino Linotype"/>
          <w:i/>
          <w:iCs/>
          <w:color w:val="000000"/>
        </w:rPr>
        <w:t xml:space="preserve">La Secretaría, organismos auxiliares, tribunales administrativos y municipios, solicitarán al comité el dictamen de procedencia del procedimiento de adjudicación directa, acreditando previamente: </w:t>
      </w:r>
    </w:p>
    <w:p w:rsidR="00034868" w:rsidRDefault="00C30952">
      <w:pPr>
        <w:numPr>
          <w:ilvl w:val="0"/>
          <w:numId w:val="11"/>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descripción general de los bienes a adquirir o el servicio a contratar; </w:t>
      </w:r>
    </w:p>
    <w:p w:rsidR="00034868" w:rsidRDefault="00C30952">
      <w:pP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La justificación o conveniencia de llevar a cabo la adjudicación directa; y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III. Certificación de suficiencia presupuestaria.</w:t>
      </w:r>
      <w:r>
        <w:rPr>
          <w:rFonts w:ascii="Palatino Linotype" w:eastAsia="Palatino Linotype" w:hAnsi="Palatino Linotype" w:cs="Palatino Linotype"/>
          <w:i/>
          <w:iCs/>
        </w:rPr>
        <w:t xml:space="preserve"> </w:t>
      </w:r>
    </w:p>
    <w:p w:rsidR="00034868" w:rsidRDefault="00C30952">
      <w:pP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El oficio justificatorio a que se refiere la fracción II, </w:t>
      </w:r>
      <w:r>
        <w:rPr>
          <w:rFonts w:ascii="Palatino Linotype" w:eastAsia="Palatino Linotype" w:hAnsi="Palatino Linotype" w:cs="Palatino Linotype"/>
          <w:b/>
          <w:bCs/>
          <w:i/>
          <w:iCs/>
          <w:color w:val="000000"/>
        </w:rPr>
        <w:t xml:space="preserve">deberá formularse por el titular de la unidad administrativa interesada en la adquisición de los bienes, la contratación de servicios o el arrendamiento. </w:t>
      </w:r>
    </w:p>
    <w:p w:rsidR="00034868" w:rsidRDefault="00034868">
      <w:pPr>
        <w:ind w:left="1134" w:right="-787"/>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contempla que dentro de la información que se encuentra en el expediente </w:t>
      </w:r>
      <w:r>
        <w:rPr>
          <w:rFonts w:ascii="Palatino Linotype" w:eastAsia="Palatino Linotype" w:hAnsi="Palatino Linotype" w:cs="Palatino Linotype"/>
        </w:rPr>
        <w:t>aperturado</w:t>
      </w:r>
      <w:r>
        <w:rPr>
          <w:rFonts w:ascii="Palatino Linotype" w:eastAsia="Palatino Linotype" w:hAnsi="Palatino Linotype" w:cs="Palatino Linotype"/>
          <w:color w:val="000000"/>
        </w:rPr>
        <w:t xml:space="preserve"> por el procedimiento de adjudicación directa se encuentra las descripción general de los </w:t>
      </w:r>
      <w:r>
        <w:rPr>
          <w:rFonts w:ascii="Palatino Linotype" w:eastAsia="Palatino Linotype" w:hAnsi="Palatino Linotype" w:cs="Palatino Linotype"/>
          <w:b/>
          <w:bCs/>
          <w:color w:val="000000"/>
        </w:rPr>
        <w:t>bienes a adquirir o servicios a contratar</w:t>
      </w:r>
      <w:r>
        <w:rPr>
          <w:rFonts w:ascii="Palatino Linotype" w:eastAsia="Palatino Linotype" w:hAnsi="Palatino Linotype" w:cs="Palatino Linotype"/>
          <w:color w:val="000000"/>
        </w:rPr>
        <w:t xml:space="preserve">, la justificación o conveniencia de llevar a cabo la adjudicación directa, la certificación </w:t>
      </w:r>
      <w:r>
        <w:rPr>
          <w:rFonts w:ascii="Palatino Linotype" w:eastAsia="Palatino Linotype" w:hAnsi="Palatino Linotype" w:cs="Palatino Linotype"/>
        </w:rPr>
        <w:t>de suficiencia</w:t>
      </w:r>
      <w:r>
        <w:rPr>
          <w:rFonts w:ascii="Palatino Linotype" w:eastAsia="Palatino Linotype" w:hAnsi="Palatino Linotype" w:cs="Palatino Linotype"/>
          <w:color w:val="000000"/>
        </w:rPr>
        <w:t xml:space="preserve"> presupuestaria y el oficio </w:t>
      </w:r>
      <w:r>
        <w:rPr>
          <w:rFonts w:ascii="Palatino Linotype" w:eastAsia="Palatino Linotype" w:hAnsi="Palatino Linotype" w:cs="Palatino Linotype"/>
        </w:rPr>
        <w:t>justificatorio</w:t>
      </w:r>
      <w:r>
        <w:rPr>
          <w:rFonts w:ascii="Palatino Linotype" w:eastAsia="Palatino Linotype" w:hAnsi="Palatino Linotype" w:cs="Palatino Linotype"/>
          <w:color w:val="000000"/>
        </w:rPr>
        <w:t xml:space="preserve"> que debe de formular el titular de la unidad administrativa interesada en la adquisiciones de los bienes, de servicios o arrendamientos.  </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Seguidamente tal y como se precisó en párrafos anteriores  la información solicitada es considerada información pública que debe encontrarse en la página del IPOMEX del </w:t>
      </w:r>
      <w:r>
        <w:rPr>
          <w:rFonts w:ascii="Palatino Linotype" w:eastAsia="Palatino Linotype" w:hAnsi="Palatino Linotype" w:cs="Palatino Linotype"/>
          <w:b/>
          <w:bCs/>
        </w:rPr>
        <w:t xml:space="preserve">SUJETO OBLIGADO, situación por la cual se señala en particular que de acuerdo con la Ley De Transparencia y Acceso a la Información Pública del Estado de México y Municipios los documentos que integran al procedimiento de adjudicación directa son los siguientes.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92.</w:t>
      </w:r>
      <w:r>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b) De las adjudicaciones directas: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 La propuesta enviada por el participante;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 Los motivos y fundamentos legales aplicados para llevarla a cabo;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3) La autorización del ejercicio de la opción;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4) En su caso, las cotizaciones consideradas, especificando los nombres de los proveedores y sus montos;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5) El nombre de la persona física o jurídica colectiva adjudicada;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6) La unidad administrativa solicitante y la responsable de su ejecución;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7) El número, fecha, el monto del contrato y el plazo de entrega o de ejecución de los servicios u obra;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8) Los mecanismos de vigilancia y supervisión, incluyendo, en su caso, los estudios de impacto urbano y ambiental, según corresponda;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9) Los informes de avance sobre las obras o servicios contratados;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10) El convenio de terminación; y </w:t>
      </w:r>
    </w:p>
    <w:p w:rsidR="00034868" w:rsidRDefault="00C30952">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11) El finiquito.</w:t>
      </w:r>
    </w:p>
    <w:p w:rsidR="00034868" w:rsidRDefault="00034868">
      <w:pPr>
        <w:spacing w:line="360" w:lineRule="auto"/>
        <w:ind w:right="-787"/>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Ahora bien, respecto al procedimiento de </w:t>
      </w:r>
      <w:r>
        <w:rPr>
          <w:rFonts w:ascii="Palatino Linotype" w:eastAsia="Palatino Linotype" w:hAnsi="Palatino Linotype" w:cs="Palatino Linotype"/>
          <w:b/>
          <w:bCs/>
          <w:i/>
          <w:iCs/>
          <w:u w:val="single"/>
        </w:rPr>
        <w:t>licitación pública</w:t>
      </w:r>
      <w:r>
        <w:rPr>
          <w:rFonts w:ascii="Palatino Linotype" w:eastAsia="Palatino Linotype" w:hAnsi="Palatino Linotype" w:cs="Palatino Linotype"/>
        </w:rPr>
        <w:t xml:space="preserve">, es de mencionar que de acuerdo con el Banco Interamericano de Desarrollo, la licitación es un procedimiento formal y competitivo de adquisiciones, mediante el cual se solicitan, reciben y evalúan ofertas para la adquisición de </w:t>
      </w:r>
      <w:r>
        <w:rPr>
          <w:rFonts w:ascii="Palatino Linotype" w:eastAsia="Palatino Linotype" w:hAnsi="Palatino Linotype" w:cs="Palatino Linotype"/>
          <w:b/>
          <w:bCs/>
          <w:i/>
          <w:iCs/>
          <w:u w:val="single"/>
        </w:rPr>
        <w:t>bienes</w:t>
      </w:r>
      <w:r>
        <w:rPr>
          <w:rFonts w:ascii="Palatino Linotype" w:eastAsia="Palatino Linotype" w:hAnsi="Palatino Linotype" w:cs="Palatino Linotype"/>
        </w:rPr>
        <w:t xml:space="preserve">, </w:t>
      </w:r>
      <w:r>
        <w:rPr>
          <w:rFonts w:ascii="Palatino Linotype" w:eastAsia="Palatino Linotype" w:hAnsi="Palatino Linotype" w:cs="Palatino Linotype"/>
          <w:b/>
          <w:bCs/>
          <w:i/>
          <w:iCs/>
          <w:u w:val="single"/>
        </w:rPr>
        <w:t>obras o servicios</w:t>
      </w:r>
      <w:r>
        <w:rPr>
          <w:rFonts w:ascii="Palatino Linotype" w:eastAsia="Palatino Linotype" w:hAnsi="Palatino Linotype" w:cs="Palatino Linotype"/>
        </w:rPr>
        <w:t xml:space="preserve"> y se adjudica el contrato correspondiente al licitador que ofrezca la propuesta más ventajosa. (Desarrollo, 1995)</w:t>
      </w:r>
    </w:p>
    <w:p w:rsidR="00034868" w:rsidRDefault="00034868">
      <w:pPr>
        <w:ind w:left="720" w:right="-787"/>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artículo 23 de la Ley de Contratación Pública del Estado de México y Municipios, establece que los Comités de Adquisiciones y Servicios, tendrán las siguientes funciones.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23.- Los comités de adquisiciones y de servicios tendrán las funciones siguientes: </w:t>
      </w:r>
    </w:p>
    <w:p w:rsidR="00034868" w:rsidRDefault="00C30952">
      <w:pPr>
        <w:numPr>
          <w:ilvl w:val="0"/>
          <w:numId w:val="12"/>
        </w:numPr>
        <w:ind w:left="1134" w:right="1843" w:firstLine="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Dictaminar sobre la procedencia de los casos de excepción al procedimiento de licitación pública. </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Participar en los procedimientos de licitación, invitación restringida y adjudicación directa, hasta dejarlos en estado de dictar el fallo correspondiente, incluidos los que tengan que desahogarse bajo la modalidad de subasta inversa.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Emitir los dictámenes de adjudicación.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IV. Las demás que establezca el reglamento de esta Ley.</w:t>
      </w:r>
    </w:p>
    <w:p w:rsidR="00034868" w:rsidRDefault="00034868">
      <w:pPr>
        <w:ind w:left="1134" w:right="-787"/>
        <w:jc w:val="both"/>
        <w:rPr>
          <w:rFonts w:ascii="Palatino Linotype" w:eastAsia="Palatino Linotype" w:hAnsi="Palatino Linotype" w:cs="Palatino Linotype"/>
          <w:i/>
          <w:i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de estudio, el artículo 35 de la Ley de Contratación Pública del Estado de México y Municipios, establece que el procedimiento que sigue la licitación pública es el siguiente.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35.-</w:t>
      </w:r>
      <w:r>
        <w:rPr>
          <w:rFonts w:ascii="Palatino Linotype" w:eastAsia="Palatino Linotype" w:hAnsi="Palatino Linotype" w:cs="Palatino Linotype"/>
          <w:i/>
          <w:iCs/>
        </w:rPr>
        <w:t xml:space="preserve"> En los procedimientos de licitación pública se observará lo siguiente: </w:t>
      </w:r>
    </w:p>
    <w:p w:rsidR="00034868" w:rsidRDefault="00C30952">
      <w:pPr>
        <w:numPr>
          <w:ilvl w:val="0"/>
          <w:numId w:val="6"/>
        </w:numPr>
        <w:ind w:left="1134" w:right="1843" w:firstLine="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acto de presentación y apertura de propuestas se llevará a cabo por el servidor público que designe la convocante, conforme al procedimiento que se establezca en el reglamento de esta Ley.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comité de adquisiciones y servicios evaluará y analizará las propuestas técnicas y económicas presentadas por los licitantes en el </w:t>
      </w:r>
      <w:r>
        <w:rPr>
          <w:rFonts w:ascii="Palatino Linotype" w:eastAsia="Palatino Linotype" w:hAnsi="Palatino Linotype" w:cs="Palatino Linotype"/>
          <w:i/>
          <w:iCs/>
        </w:rPr>
        <w:lastRenderedPageBreak/>
        <w:t xml:space="preserve">ámbito de las respectivas competencias de sus integrantes, y emitirá el dictamen de adjudicación.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Las convocantes podrán modificar los plazos y términos establecidos en la convocatoria o en las bases de licitación, hasta cinco días hábiles anteriores a la fecha de la celebración del acto de presentación y apertura de propuestas.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Las modificaciones no podrán limitar el número de licitantes, sustituir o variar sustancialmente los bienes o servicios convocados originalmente, ni adicionar otros distintos.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Las modificaciones a la convocatoria o a las bases se harán del conocimiento de los interesados hasta tres días hábiles antes de la fecha señalada para el acto de presentación y apertura de propuestas.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Se emitirá el fallo dentro de los 15 días hábiles siguientes a la publicación de la convocatoria.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VIII. Los licitantes se podrán registrar hasta el día y la hora fijados para el acto de presentación y apertura de propuestas.</w:t>
      </w:r>
    </w:p>
    <w:p w:rsidR="00034868" w:rsidRDefault="00034868">
      <w:pPr>
        <w:spacing w:line="360" w:lineRule="auto"/>
        <w:ind w:right="-787"/>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el artículo 39 de la Ley de Contratación Pública del Estado de México y Municipios, regula que cada uno de los actos del procedimiento adquisitivo se levantará el acta respectiva, la cual será firmada por los participantes. </w:t>
      </w:r>
    </w:p>
    <w:p w:rsidR="00034868" w:rsidRDefault="00034868">
      <w:pPr>
        <w:spacing w:line="360" w:lineRule="auto"/>
        <w:ind w:right="-787"/>
        <w:jc w:val="center"/>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como se mencionó en párrafos anteriores la información solicitada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forma parte de las obligaciones de transparencia común, situación por la cual de conformidad con el artículo 92 de la Ley de Transparencia y Acceso a la Información Pública del Estado de México,  establece que los documentos de consulta de las licitaciones públicas e invitación restringida son los siguientes. </w:t>
      </w:r>
    </w:p>
    <w:p w:rsidR="00034868" w:rsidRDefault="00C30952">
      <w:pPr>
        <w:ind w:left="1134" w:right="1843"/>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Palatino Linotype" w:eastAsia="Palatino Linotype" w:hAnsi="Palatino Linotype" w:cs="Palatino Linotype"/>
        </w:rPr>
        <w:t xml:space="preserve">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XXIX. La </w:t>
      </w:r>
      <w:r>
        <w:rPr>
          <w:rFonts w:ascii="Palatino Linotype" w:eastAsia="Palatino Linotype" w:hAnsi="Palatino Linotype" w:cs="Palatino Linotype"/>
          <w:b/>
          <w:bCs/>
          <w:i/>
          <w:iCs/>
        </w:rPr>
        <w:t>información sobre los procesos y resultados sobre procedimientos de adjudicación directa, invitación restringida y licitación de cualquier naturaleza</w:t>
      </w:r>
      <w:r>
        <w:rPr>
          <w:rFonts w:ascii="Palatino Linotype" w:eastAsia="Palatino Linotype" w:hAnsi="Palatino Linotype" w:cs="Palatino Linotype"/>
          <w:i/>
          <w:iCs/>
        </w:rPr>
        <w:t xml:space="preserve">, incluyendo la versión pública del expediente respectivo y de los contratos celebrados, que deberán contener, por los menos, lo siguiente: </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 De licitaciones públicas o procedimientos de invitación restringida:</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1) La convocatoria o invitación emitida, así como los fundamentos legales aplicados para llevarla a cabo;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Los nombres de los participantes o invitados;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El nombre del ganador y las razones que lo justifican;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El área solicitante y la responsable de su ejecución;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Las convocatorias e invitaciones emitidas;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6) Los dictámenes y fallo de adjudicación; 7</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El contrato y, en su caso, sus anexos;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La partida presupuestal, de conformidad con el clasificador por objeto del gasto, en el caso de ser aplicable;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Origen de los recursos especificando si son federales, estatales o municipales, así como el tipo de fondo de participación o aportación respectiva;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Los convenios modificatorios que, en su caso, sean firmados, precisando el objeto y la fecha de celebración;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 Los informes de avance físico y financiero sobre las obras o servicios contratados;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13) El convenio de terminación; y </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14) El finiquito. </w:t>
      </w:r>
    </w:p>
    <w:p w:rsidR="00034868" w:rsidRDefault="00034868">
      <w:pPr>
        <w:spacing w:line="360" w:lineRule="auto"/>
        <w:ind w:left="1134" w:right="-787"/>
        <w:jc w:val="both"/>
        <w:rPr>
          <w:rFonts w:ascii="Palatino Linotype" w:eastAsia="Palatino Linotype" w:hAnsi="Palatino Linotype" w:cs="Palatino Linotype"/>
          <w:i/>
          <w:iCs/>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Siguiendo</w:t>
      </w:r>
      <w:r>
        <w:rPr>
          <w:rFonts w:ascii="Palatino Linotype" w:eastAsia="Palatino Linotype" w:hAnsi="Palatino Linotype" w:cs="Palatino Linotype"/>
          <w:color w:val="000000"/>
        </w:rPr>
        <w:t xml:space="preserve"> esa línea de estudio, la Ley de Contratación Pública del Estado de México y Municipios, establece que las licitaciones podrán </w:t>
      </w:r>
      <w:r>
        <w:rPr>
          <w:rFonts w:ascii="Palatino Linotype" w:eastAsia="Palatino Linotype" w:hAnsi="Palatino Linotype" w:cs="Palatino Linotype"/>
        </w:rPr>
        <w:t>ser de la siguiente</w:t>
      </w:r>
      <w:r>
        <w:rPr>
          <w:rFonts w:ascii="Palatino Linotype" w:eastAsia="Palatino Linotype" w:hAnsi="Palatino Linotype" w:cs="Palatino Linotype"/>
          <w:color w:val="000000"/>
        </w:rPr>
        <w:t xml:space="preserve"> manera. </w:t>
      </w:r>
    </w:p>
    <w:p w:rsidR="00034868" w:rsidRDefault="00C30952">
      <w:pPr>
        <w:tabs>
          <w:tab w:val="left" w:pos="284"/>
        </w:tabs>
        <w:ind w:left="1134" w:right="184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Artículo 29.-</w:t>
      </w:r>
      <w:r>
        <w:rPr>
          <w:rFonts w:ascii="Palatino Linotype" w:eastAsia="Palatino Linotype" w:hAnsi="Palatino Linotype" w:cs="Palatino Linotype"/>
          <w:i/>
          <w:iCs/>
          <w:color w:val="000000"/>
        </w:rPr>
        <w:t xml:space="preserve"> En el procedimiento de licitación pública deberán establecerse los mismos requisitos y condiciones para todos los licitantes. Todo licitante que satisfaga los requisitos de la convocatoria y de las bases de la licitación tendrá derecho a presentar su propuesta. Las entidades, los tribunales administrativos y </w:t>
      </w:r>
      <w:r>
        <w:rPr>
          <w:rFonts w:ascii="Palatino Linotype" w:eastAsia="Palatino Linotype" w:hAnsi="Palatino Linotype" w:cs="Palatino Linotype"/>
          <w:b/>
          <w:bCs/>
          <w:i/>
          <w:iCs/>
          <w:color w:val="000000"/>
        </w:rPr>
        <w:t>los ayuntamientos proporcionarán a los interesados igual acceso a la información relacionada con la licitación, a fin de evitar favorecer a algún participante.</w:t>
      </w:r>
    </w:p>
    <w:p w:rsidR="00034868" w:rsidRDefault="00C30952">
      <w:pPr>
        <w:tabs>
          <w:tab w:val="left" w:pos="284"/>
        </w:tabs>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Artículo 30.- </w:t>
      </w:r>
      <w:r>
        <w:rPr>
          <w:rFonts w:ascii="Palatino Linotype" w:eastAsia="Palatino Linotype" w:hAnsi="Palatino Linotype" w:cs="Palatino Linotype"/>
          <w:b/>
          <w:bCs/>
          <w:i/>
          <w:iCs/>
        </w:rPr>
        <w:t xml:space="preserve">Las licitaciones públicas podrán ser: </w:t>
      </w:r>
    </w:p>
    <w:p w:rsidR="00034868" w:rsidRDefault="00C30952">
      <w:pPr>
        <w:numPr>
          <w:ilvl w:val="0"/>
          <w:numId w:val="7"/>
        </w:numPr>
        <w:pBdr>
          <w:top w:val="nil"/>
          <w:left w:val="nil"/>
          <w:bottom w:val="nil"/>
          <w:right w:val="nil"/>
          <w:between w:val="nil"/>
        </w:pBdr>
        <w:tabs>
          <w:tab w:val="left" w:pos="284"/>
        </w:tabs>
        <w:ind w:left="1134" w:right="1843"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Nacionales, cuando únicamente puedan participar personas de nacionalidad mexicana. </w:t>
      </w:r>
    </w:p>
    <w:p w:rsidR="00034868" w:rsidRDefault="00C30952">
      <w:pPr>
        <w:numPr>
          <w:ilvl w:val="0"/>
          <w:numId w:val="7"/>
        </w:numPr>
        <w:pBdr>
          <w:top w:val="nil"/>
          <w:left w:val="nil"/>
          <w:bottom w:val="nil"/>
          <w:right w:val="nil"/>
          <w:between w:val="nil"/>
        </w:pBdr>
        <w:tabs>
          <w:tab w:val="left" w:pos="284"/>
        </w:tabs>
        <w:ind w:left="1134" w:right="1843"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Internacionales, cuando puedan participar tanto personas de nacionalidad mexicana como extranjera.</w:t>
      </w:r>
    </w:p>
    <w:p w:rsidR="00034868" w:rsidRDefault="00034868">
      <w:pPr>
        <w:pBdr>
          <w:top w:val="nil"/>
          <w:left w:val="nil"/>
          <w:bottom w:val="nil"/>
          <w:right w:val="nil"/>
          <w:between w:val="nil"/>
        </w:pBdr>
        <w:ind w:left="708" w:right="-787"/>
        <w:rPr>
          <w:rFonts w:ascii="Palatino Linotype" w:eastAsia="Palatino Linotype" w:hAnsi="Palatino Linotype" w:cs="Palatino Linotype"/>
          <w:color w:val="000000"/>
          <w:highlight w:val="yellow"/>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refiere que la información solicitada de los contratos, es información que se encuentra en los archivos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y que al ser información que forma parte de las obligaciones de transparencia común es que procede su entrega en versión pública</w:t>
      </w:r>
      <w:r>
        <w:rPr>
          <w:rFonts w:ascii="Palatino Linotype" w:eastAsia="Palatino Linotype" w:hAnsi="Palatino Linotype" w:cs="Palatino Linotype"/>
          <w:b/>
          <w:bCs/>
        </w:rPr>
        <w:t xml:space="preserve">. </w:t>
      </w:r>
    </w:p>
    <w:p w:rsidR="00034868" w:rsidRDefault="00034868">
      <w:pPr>
        <w:spacing w:line="360" w:lineRule="auto"/>
        <w:ind w:right="-787"/>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Ahora bien, respecto de los c</w:t>
      </w:r>
      <w:r>
        <w:rPr>
          <w:rFonts w:ascii="Palatino Linotype" w:eastAsia="Palatino Linotype" w:hAnsi="Palatino Linotype" w:cs="Palatino Linotype"/>
          <w:b/>
          <w:bCs/>
        </w:rPr>
        <w:t>ontratos o convenios</w:t>
      </w:r>
      <w:r>
        <w:rPr>
          <w:rFonts w:ascii="Palatino Linotype" w:eastAsia="Palatino Linotype" w:hAnsi="Palatino Linotype" w:cs="Palatino Linotype"/>
        </w:rPr>
        <w:t xml:space="preserve"> se tiene que, es un acto jurídico bilateral que se constituye por el acuerdo de voluntades de dos o más personas y que produce ciertas consecuencias jurídicas (creación o transmisión de derechos y obligaciones), debido al reconocimiento de una norma de derecho. </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las fechas de convocatorias, de las personas físicas o morales que participaron, quién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Dentro de los mismos, pueden obrar datos personales susceptibles de clasificarse como lo son, la clave de elector, teléfono particular, correo electrónico personal Clave Única de Registro de Población (CURP), número de pasaporte, cuenta bancaria del proveedor, banco y sucursal del proveedor, clave interbancaria del proveedor, es así que, por lo que hace </w:t>
      </w:r>
      <w:r>
        <w:rPr>
          <w:rFonts w:ascii="Palatino Linotype" w:eastAsia="Palatino Linotype" w:hAnsi="Palatino Linotype" w:cs="Palatino Linotype"/>
          <w:b/>
          <w:bCs/>
        </w:rPr>
        <w:t xml:space="preserve">al nombre del servidor público, nombre, denominación o razón social del proveedor, nombre del apoderado o representante legal, domicilio fiscal, teléfono empresarial o institucional, firmas, y RFC se consideran datos personales públicos. </w:t>
      </w:r>
    </w:p>
    <w:p w:rsidR="00034868" w:rsidRDefault="00034868">
      <w:pPr>
        <w:pBdr>
          <w:top w:val="nil"/>
          <w:left w:val="nil"/>
          <w:bottom w:val="nil"/>
          <w:right w:val="nil"/>
          <w:between w:val="nil"/>
        </w:pBdr>
        <w:ind w:left="720" w:right="-787"/>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Cobra sustento lo anterior, con el criterio 01/19 reiterado vigente del INAI, que refiere lo siguiente:</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b/>
          <w:bCs/>
          <w:i/>
          <w:iCs/>
        </w:rPr>
        <w:t>Datos de identificación del representante o apoderado legal.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Naturaleza jurídica. </w:t>
      </w:r>
      <w:r>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034868" w:rsidRDefault="00034868">
      <w:pPr>
        <w:ind w:left="1134" w:right="1843"/>
        <w:jc w:val="both"/>
        <w:rPr>
          <w:rFonts w:ascii="Palatino Linotype" w:eastAsia="Palatino Linotype" w:hAnsi="Palatino Linotype" w:cs="Palatino Linotype"/>
          <w:i/>
          <w:iCs/>
          <w:color w:val="000000"/>
        </w:rPr>
      </w:pP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Precedentes:</w:t>
      </w:r>
    </w:p>
    <w:p w:rsidR="00034868" w:rsidRDefault="00C30952">
      <w:pPr>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Acceso a la información pública. RRA 3104/16. Sesión del 01 de noviembre del 2016. Votación por unanimidad. Sin votos disidentes o particulares. Secretaría de la Defensa Nacional. Comisionado Ponente Oscar Mauricio Guerra Ford.</w:t>
      </w:r>
    </w:p>
    <w:p w:rsidR="00034868" w:rsidRDefault="00C30952">
      <w:pPr>
        <w:ind w:left="1134" w:right="1843"/>
        <w:jc w:val="both"/>
        <w:rPr>
          <w:rFonts w:ascii="Palatino Linotype" w:eastAsia="Palatino Linotype" w:hAnsi="Palatino Linotype" w:cs="Palatino Linotype"/>
          <w:b/>
          <w:bCs/>
          <w:i/>
          <w:iCs/>
        </w:rPr>
      </w:pPr>
      <w:r>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034868" w:rsidRDefault="00C30952">
      <w:pPr>
        <w:tabs>
          <w:tab w:val="left" w:pos="7371"/>
        </w:tabs>
        <w:ind w:left="1134" w:right="184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Acceso a la información pública. RRA 2855/17. Sesión del 14 de junio de 2017. Votación por unanimidad. Con votos particulares de la Comisionada Areli Cano Guadiana y el Comisionado Oscar Mauricio </w:t>
      </w:r>
      <w:r>
        <w:rPr>
          <w:rFonts w:ascii="Palatino Linotype" w:eastAsia="Palatino Linotype" w:hAnsi="Palatino Linotype" w:cs="Palatino Linotype"/>
          <w:i/>
          <w:iCs/>
        </w:rPr>
        <w:lastRenderedPageBreak/>
        <w:t>Guerra Ford. Comisión Nacional de Hidrocarburos. Comisionada Ponente Ximena Puente de la Mora.</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Una vez analizado lo anterior, se debe de referir que no fueron localizados contratos entre el Ayuntamiento de Ecatepec de Morelos y empresas con servicios de grúas para el arrastre de vehículos, situación por la cual de ser el caso que no se hubiera firmado bastará con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lo haga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se debe de analizar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no turno la solicitud  de información a todas las áreas competentes, situación por la cual se analiza lo siguiente en cuanto a la búsqueda exhaustiva. </w:t>
      </w:r>
    </w:p>
    <w:p w:rsidR="00034868" w:rsidRDefault="00034868"/>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 xml:space="preserve">De lo anterior, al artículo 162 de la de la Ley de Transparencia y Acceso a la Información Pública del Estado de México y Municipios, regula que las Unidades de Transparencia deben de garantizar que las solicitudes </w:t>
      </w:r>
      <w:r>
        <w:rPr>
          <w:rFonts w:ascii="Palatino Linotype" w:eastAsia="Palatino Linotype" w:hAnsi="Palatino Linotype" w:cs="Palatino Linotype"/>
          <w:b/>
          <w:bCs/>
          <w:color w:val="000000"/>
        </w:rPr>
        <w:t>se turnen a todas las Áreas competentes que cuenten con la información o deban tenerla de acuerdo a sus facultades,</w:t>
      </w:r>
      <w:r>
        <w:rPr>
          <w:rFonts w:ascii="Palatino Linotype" w:eastAsia="Palatino Linotype" w:hAnsi="Palatino Linotype" w:cs="Palatino Linotype"/>
          <w:color w:val="000000"/>
        </w:rPr>
        <w:t xml:space="preserve"> competencias y funciones, </w:t>
      </w:r>
      <w:r>
        <w:rPr>
          <w:rFonts w:ascii="Palatino Linotype" w:eastAsia="Palatino Linotype" w:hAnsi="Palatino Linotype" w:cs="Palatino Linotype"/>
          <w:b/>
          <w:bCs/>
          <w:color w:val="000000"/>
          <w:u w:val="single"/>
        </w:rPr>
        <w:t>con el objeto de que realicen una búsqueda exhaustiva y razonable de la información solicitada</w:t>
      </w:r>
      <w:r>
        <w:rPr>
          <w:rFonts w:ascii="Palatino Linotype" w:eastAsia="Palatino Linotype" w:hAnsi="Palatino Linotype" w:cs="Palatino Linotype"/>
          <w:color w:val="000000"/>
        </w:rPr>
        <w:t xml:space="preserve">, situación que no fue realizada por el Titular de la Unidad de Transparencia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Artículo 50.</w:t>
      </w:r>
      <w:r>
        <w:rPr>
          <w:rFonts w:ascii="Palatino Linotype" w:eastAsia="Palatino Linotype" w:hAnsi="Palatino Linotype" w:cs="Palatino Linotype"/>
          <w:i/>
          <w:iCs/>
          <w:color w:val="000000"/>
        </w:rPr>
        <w:t xml:space="preserve"> Los sujetos obligados contarán con un área responsable para la atención de las solicitudes de información, a la que se le denominará Unidad de Transparencia.</w:t>
      </w:r>
    </w:p>
    <w:p w:rsidR="00034868" w:rsidRDefault="00034868">
      <w:pPr>
        <w:ind w:left="1134" w:right="900"/>
        <w:jc w:val="both"/>
        <w:rPr>
          <w:rFonts w:ascii="Palatino Linotype" w:eastAsia="Palatino Linotype" w:hAnsi="Palatino Linotype" w:cs="Palatino Linotype"/>
          <w:i/>
          <w:iCs/>
          <w:color w:val="000000"/>
        </w:rPr>
      </w:pP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51</w:t>
      </w:r>
      <w:r>
        <w:rPr>
          <w:rFonts w:ascii="Palatino Linotype" w:eastAsia="Palatino Linotype" w:hAnsi="Palatino Linotype" w:cs="Palatino Linotype"/>
          <w:i/>
          <w:iCs/>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034868" w:rsidRDefault="00034868">
      <w:pPr>
        <w:ind w:left="1134" w:right="900"/>
        <w:jc w:val="both"/>
        <w:rPr>
          <w:rFonts w:ascii="Palatino Linotype" w:eastAsia="Palatino Linotype" w:hAnsi="Palatino Linotype" w:cs="Palatino Linotype"/>
          <w:i/>
          <w:iCs/>
          <w:color w:val="000000"/>
        </w:rPr>
      </w:pP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Las Unidades de Transparencia tendrán las siguientes funciones: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034868" w:rsidRDefault="00C30952">
      <w:pPr>
        <w:ind w:left="1134" w:right="90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w:t>
      </w:r>
      <w:r>
        <w:rPr>
          <w:rFonts w:ascii="Palatino Linotype" w:eastAsia="Palatino Linotype" w:hAnsi="Palatino Linotype" w:cs="Palatino Linotype"/>
          <w:b/>
          <w:bCs/>
          <w:i/>
          <w:iCs/>
          <w:color w:val="000000"/>
          <w:u w:val="single"/>
        </w:rPr>
        <w:t>tramitar</w:t>
      </w:r>
      <w:r>
        <w:rPr>
          <w:rFonts w:ascii="Palatino Linotype" w:eastAsia="Palatino Linotype" w:hAnsi="Palatino Linotype" w:cs="Palatino Linotype"/>
          <w:b/>
          <w:bCs/>
          <w:i/>
          <w:iCs/>
          <w:color w:val="000000"/>
        </w:rPr>
        <w:t xml:space="preserve"> y dar respuesta a las solicitudes de acceso a la información;</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Auxiliar a los particulares en la elaboración de solicitudes de acceso a la información y, en su caso, orientarlos sobre los sujetos obligados competentes conforme a la normatividad aplicable;</w:t>
      </w:r>
    </w:p>
    <w:p w:rsidR="00034868" w:rsidRDefault="00C30952">
      <w:pPr>
        <w:ind w:left="1134" w:right="90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IV. Realizar, con efectividad, los trámites internos necesarios para la atención de las solicitudes de acceso a la información;</w:t>
      </w:r>
    </w:p>
    <w:p w:rsidR="00034868" w:rsidRDefault="00C30952">
      <w:pPr>
        <w:ind w:left="1134" w:right="90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 Entregar, en su caso, a los particulares la información solicitada;</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Efectuar las notificaciones a los solicitantes;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Proponer al Comité de Transparencia, los procedimientos internos que aseguren la mayor eficiencia en la gestión de las solicitudes de acceso a la información, conforme a la normatividad aplicable;</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Proponer a quien preside el Comité de Transparencia, personal habilitado que sea necesario para recibir y dar trámite a las solicitudes de acceso a la información;</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Llevar un registro de las solicitudes de acceso a la información, sus respuestas, resultados, costos de reproducción y envío, resolución a los recursos de revisión </w:t>
      </w:r>
      <w:r>
        <w:rPr>
          <w:rFonts w:ascii="Palatino Linotype" w:eastAsia="Palatino Linotype" w:hAnsi="Palatino Linotype" w:cs="Palatino Linotype"/>
          <w:i/>
          <w:iCs/>
          <w:color w:val="000000"/>
        </w:rPr>
        <w:lastRenderedPageBreak/>
        <w:t>que se hayan emitido en contra de sus respuestas y del cumplimiento de las mismas;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 Presentar ante el Comité, el proyecto de clasificación de información;</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Promover e implementar políticas de transparencia proactiva procurando su accesibilidad;</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Fomentar la transparencia y accesibilidad al interior del sujeto obligado;</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034868" w:rsidRDefault="00034868">
      <w:pPr>
        <w:ind w:left="1134" w:right="900"/>
        <w:jc w:val="both"/>
        <w:rPr>
          <w:rFonts w:ascii="Palatino Linotype" w:eastAsia="Palatino Linotype" w:hAnsi="Palatino Linotype" w:cs="Palatino Linotype"/>
          <w:i/>
          <w:iCs/>
          <w:color w:val="000000"/>
        </w:rPr>
      </w:pP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59</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Los servidores públicos habilitados</w:t>
      </w:r>
      <w:r>
        <w:rPr>
          <w:rFonts w:ascii="Palatino Linotype" w:eastAsia="Palatino Linotype" w:hAnsi="Palatino Linotype" w:cs="Palatino Linotype"/>
          <w:i/>
          <w:iCs/>
          <w:color w:val="000000"/>
        </w:rPr>
        <w:t xml:space="preserve"> tendrán las funciones siguientes: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Localizar la información que le solicite la Unidad de Transparencia;</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Proporcionar la información que obre en los archivos y que le sea solicitada por la Unidad de Transparencia;</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Apoyar a la Unidad de Transparencia en lo que esta le solicite para el cumplimiento de sus funciones;</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Proporcionar a la Unidad de Transparencia, las modificaciones a la información pública de oficio que obre en su poder;</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 Integrar y presentar al responsable de la Unidad de Transparencia la propuesta de clasificación de información, la cual tendrá los fundamentos y argumentos en que se basa dicha propuesta;</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Verificar, una vez analizado el contenido de la información, que no se encuentre en los supuestos de información clasificada; y</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Dar cuenta a la Unidad de Transparencia del vencimiento de los plazos de reserva.</w:t>
      </w:r>
    </w:p>
    <w:p w:rsidR="00034868" w:rsidRDefault="00034868">
      <w:pPr>
        <w:ind w:left="1134" w:right="900"/>
        <w:jc w:val="both"/>
        <w:rPr>
          <w:rFonts w:ascii="Palatino Linotype" w:eastAsia="Palatino Linotype" w:hAnsi="Palatino Linotype" w:cs="Palatino Linotype"/>
          <w:i/>
          <w:iCs/>
          <w:color w:val="000000"/>
        </w:rPr>
      </w:pP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162</w:t>
      </w:r>
      <w:r>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034868" w:rsidRDefault="00034868">
      <w:pPr>
        <w:ind w:right="900"/>
        <w:jc w:val="both"/>
        <w:rPr>
          <w:rFonts w:ascii="Palatino Linotype" w:eastAsia="Palatino Linotype" w:hAnsi="Palatino Linotype" w:cs="Palatino Linotype"/>
          <w:i/>
          <w:i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y los solicitantes, y tiene bajo su responsabilidad el tramitar internamente la solicitud de información.</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dentro de las áreas que conforman la estructura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lastRenderedPageBreak/>
        <w:t>Es por ello, que corresponde al Titular de la Unidad de Transparencia el garantizar que las solicitudes se turnen a todas las áreas competentes que puedan contar con la información, con el objeto de que se realice una búsqueda exhaustiva y razonable de la misma.</w:t>
      </w:r>
    </w:p>
    <w:p w:rsidR="00034868" w:rsidRDefault="00034868">
      <w:pPr>
        <w:spacing w:line="360" w:lineRule="auto"/>
        <w:jc w:val="both"/>
        <w:rPr>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 xml:space="preserve">Conforme a lo anterior, se puede advertir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w:t>
      </w:r>
      <w:r>
        <w:rPr>
          <w:rFonts w:ascii="Palatino Linotype" w:eastAsia="Palatino Linotype" w:hAnsi="Palatino Linotype" w:cs="Palatino Linotype"/>
        </w:rPr>
        <w:t>turnar</w:t>
      </w:r>
      <w:r>
        <w:rPr>
          <w:rFonts w:ascii="Palatino Linotype" w:eastAsia="Palatino Linotype" w:hAnsi="Palatino Linotype" w:cs="Palatino Linotype"/>
          <w:color w:val="000000"/>
        </w:rPr>
        <w:t xml:space="preserve"> la solicitud de información a todas  las unidad administrativa habilitadas de conocer de la solicitud de información, por lo que se concluye,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es una investigación con esas características.</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Aunado a lo expuesto,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lastRenderedPageBreak/>
        <w:t xml:space="preserve">En ese contexto, de conformidad con los </w:t>
      </w:r>
      <w:r>
        <w:rPr>
          <w:rFonts w:ascii="Palatino Linotype" w:eastAsia="Palatino Linotype" w:hAnsi="Palatino Linotype" w:cs="Palatino Linotype"/>
          <w:b/>
          <w:bCs/>
          <w:color w:val="000000"/>
        </w:rPr>
        <w:t>criterios 12/10 y 04/19,</w:t>
      </w:r>
      <w:r>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acreditar que se realizó una búsqueda exhaustiva y razonable, deben de proporcionar los </w:t>
      </w:r>
      <w:r>
        <w:rPr>
          <w:rFonts w:ascii="Palatino Linotype" w:eastAsia="Palatino Linotype" w:hAnsi="Palatino Linotype" w:cs="Palatino Linotype"/>
          <w:b/>
          <w:bCs/>
          <w:color w:val="000000"/>
        </w:rPr>
        <w:t>elementos suficientes</w:t>
      </w:r>
      <w:r>
        <w:rPr>
          <w:rFonts w:ascii="Palatino Linotype" w:eastAsia="Palatino Linotype" w:hAnsi="Palatino Linotype" w:cs="Palatino Linotype"/>
          <w:color w:val="000000"/>
        </w:rPr>
        <w:t xml:space="preserve"> del carácter exhaustivo de la indagación realizada, a saber, los siguientes:</w:t>
      </w:r>
    </w:p>
    <w:p w:rsidR="00034868" w:rsidRDefault="00C30952">
      <w:pPr>
        <w:numPr>
          <w:ilvl w:val="0"/>
          <w:numId w:val="13"/>
        </w:num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Motivación por las que se buscó la información, en determinadas unidades administrativas;</w:t>
      </w:r>
    </w:p>
    <w:p w:rsidR="00034868" w:rsidRDefault="00C30952">
      <w:pPr>
        <w:numPr>
          <w:ilvl w:val="0"/>
          <w:numId w:val="13"/>
        </w:num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criterios de búsqueda utilizados, y</w:t>
      </w:r>
    </w:p>
    <w:p w:rsidR="00034868" w:rsidRDefault="00C30952">
      <w:pPr>
        <w:numPr>
          <w:ilvl w:val="0"/>
          <w:numId w:val="13"/>
        </w:num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circunstancias que fueron tomadas en cuenta.</w:t>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rsidR="00034868" w:rsidRDefault="00C30952">
      <w:pPr>
        <w:numPr>
          <w:ilvl w:val="0"/>
          <w:numId w:val="14"/>
        </w:numPr>
        <w:ind w:left="1134" w:right="900"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Las áreas donde se buscó la información;</w:t>
      </w:r>
    </w:p>
    <w:p w:rsidR="00034868" w:rsidRDefault="00C30952">
      <w:pPr>
        <w:numPr>
          <w:ilvl w:val="0"/>
          <w:numId w:val="14"/>
        </w:numPr>
        <w:ind w:left="1134" w:right="900"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Tipo de archivos buscados (físicos o electrónicos);</w:t>
      </w:r>
    </w:p>
    <w:p w:rsidR="00034868" w:rsidRDefault="00C30952">
      <w:pPr>
        <w:numPr>
          <w:ilvl w:val="0"/>
          <w:numId w:val="14"/>
        </w:numPr>
        <w:ind w:left="1134" w:right="900"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Los criterios de búsqueda utilizados, y </w:t>
      </w:r>
    </w:p>
    <w:p w:rsidR="00034868" w:rsidRDefault="00C30952">
      <w:pPr>
        <w:numPr>
          <w:ilvl w:val="0"/>
          <w:numId w:val="14"/>
        </w:numPr>
        <w:ind w:left="1134" w:right="900"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Las circunstancias que fueron tomadas en cuenta.</w:t>
      </w:r>
      <w:r>
        <w:rPr>
          <w:rFonts w:ascii="Palatino Linotype" w:eastAsia="Palatino Linotype" w:hAnsi="Palatino Linotype" w:cs="Palatino Linotype"/>
          <w:b/>
          <w:bCs/>
          <w:i/>
          <w:iCs/>
          <w:color w:val="000000"/>
        </w:rPr>
        <w:tab/>
      </w:r>
    </w:p>
    <w:p w:rsidR="00034868" w:rsidRDefault="00034868">
      <w:pPr>
        <w:spacing w:line="360" w:lineRule="auto"/>
        <w:ind w:right="-504"/>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Conforme a lo anterior, este Instituto considera que el  </w:t>
      </w:r>
      <w:r>
        <w:rPr>
          <w:rFonts w:ascii="Palatino Linotype" w:eastAsia="Palatino Linotype" w:hAnsi="Palatino Linotype" w:cs="Palatino Linotype"/>
          <w:b/>
          <w:bCs/>
          <w:color w:val="000000"/>
        </w:rPr>
        <w:t>Ayuntamiento de Ecatepec de Morelos</w:t>
      </w:r>
      <w:r>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Pr>
          <w:rFonts w:ascii="Palatino Linotype" w:eastAsia="Palatino Linotype" w:hAnsi="Palatino Linotype" w:cs="Palatino Linotype"/>
          <w:b/>
          <w:bCs/>
          <w:color w:val="000000"/>
        </w:rPr>
        <w:t>no se indago en documentos físicos o también electrónicos y no se logró desprender los criterios de búsqueda utilizados, pues no precisó cómo realizó la misma.</w:t>
      </w:r>
    </w:p>
    <w:p w:rsidR="00034868" w:rsidRDefault="00034868">
      <w:pPr>
        <w:spacing w:line="360" w:lineRule="auto"/>
        <w:ind w:right="-504"/>
        <w:jc w:val="both"/>
        <w:rPr>
          <w:rFonts w:ascii="Palatino Linotype" w:eastAsia="Palatino Linotype" w:hAnsi="Palatino Linotype" w:cs="Palatino Linotype"/>
          <w:i/>
          <w:iCs/>
        </w:rPr>
      </w:pPr>
    </w:p>
    <w:p w:rsidR="00034868" w:rsidRDefault="00C30952">
      <w:pPr>
        <w:numPr>
          <w:ilvl w:val="0"/>
          <w:numId w:val="2"/>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lastRenderedPageBreak/>
        <w:t>De lo anterior, se concluye que la búsqueda exhaustiva y razonable de la información debe estar sustentada con los respectivos criterios de búsqueda exhaustiva que el sujeto obligado utilizó.</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Finalmente, se analizan los datos que de manera enunciativa más no limitativa deben de ser clasificados como confidenciales. </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36 de la Constitución Política de los Estados Unidos Mexicanos, dispone la obligación de los ciudadanos de inscribirse en el Registro Nacional de Ciudadanos. </w:t>
      </w:r>
    </w:p>
    <w:p w:rsidR="00034868" w:rsidRDefault="00034868">
      <w:pPr>
        <w:spacing w:line="360" w:lineRule="auto"/>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Registro Nacional de Población e </w:t>
      </w:r>
      <w:r>
        <w:rPr>
          <w:rFonts w:ascii="Palatino Linotype" w:eastAsia="Palatino Linotype" w:hAnsi="Palatino Linotype" w:cs="Palatino Linotype"/>
        </w:rPr>
        <w:t>Identificación</w:t>
      </w:r>
      <w:r>
        <w:rPr>
          <w:rFonts w:ascii="Palatino Linotype" w:eastAsia="Palatino Linotype" w:hAnsi="Palatino Linotype" w:cs="Palatino Linotype"/>
          <w:color w:val="000000"/>
        </w:rPr>
        <w:t xml:space="preserve"> Personal tiene la atribución de asignar y depurar la Clave Única de Registro de Población a todas las personas residentes en el país, así como a los mexicanos que residan en el extranjero.</w:t>
      </w:r>
    </w:p>
    <w:p w:rsidR="00034868" w:rsidRDefault="00034868">
      <w:pPr>
        <w:spacing w:line="360" w:lineRule="auto"/>
        <w:jc w:val="both"/>
        <w:rPr>
          <w:rFonts w:ascii="Palatino Linotype" w:eastAsia="Palatino Linotype" w:hAnsi="Palatino Linotype" w:cs="Palatino Linotype"/>
          <w:b/>
          <w:bCs/>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conformidad con lo precisado por la propia Secretaría de Gobernación en la dirección </w:t>
      </w:r>
      <w:hyperlink r:id="rId8">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w:t>
      </w:r>
      <w:r>
        <w:rPr>
          <w:rFonts w:ascii="Palatino Linotype" w:eastAsia="Palatino Linotype" w:hAnsi="Palatino Linotype" w:cs="Palatino Linotype"/>
        </w:rPr>
        <w:t>Única</w:t>
      </w:r>
      <w:r>
        <w:rPr>
          <w:rFonts w:ascii="Palatino Linotype" w:eastAsia="Palatino Linotype" w:hAnsi="Palatino Linotype" w:cs="Palatino Linotype"/>
          <w:color w:val="000000"/>
        </w:rPr>
        <w:t xml:space="preserve"> del Registro de Población  CURP-, es un instrumento de registro que se asigna a todas </w:t>
      </w:r>
      <w:r>
        <w:rPr>
          <w:rFonts w:ascii="Palatino Linotype" w:eastAsia="Palatino Linotype" w:hAnsi="Palatino Linotype" w:cs="Palatino Linotype"/>
          <w:color w:val="000000"/>
        </w:rPr>
        <w:lastRenderedPageBreak/>
        <w:t xml:space="preserve">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del interesado </w:t>
      </w:r>
      <w:r>
        <w:rPr>
          <w:rFonts w:ascii="Palatino Linotype" w:eastAsia="Palatino Linotype" w:hAnsi="Palatino Linotype" w:cs="Palatino Linotype"/>
          <w:color w:val="000000"/>
        </w:rPr>
        <w:t>(acta de nacimiento, carta de naturalización o documento migratorio) de la siguiente forma:</w:t>
      </w: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w:t>
      </w:r>
      <w:r>
        <w:rPr>
          <w:rFonts w:ascii="Palatino Linotype" w:eastAsia="Palatino Linotype" w:hAnsi="Palatino Linotype" w:cs="Palatino Linotype"/>
        </w:rPr>
        <w:t>el nombre</w:t>
      </w:r>
      <w:r>
        <w:rPr>
          <w:rFonts w:ascii="Palatino Linotype" w:eastAsia="Palatino Linotype" w:hAnsi="Palatino Linotype" w:cs="Palatino Linotype"/>
          <w:color w:val="000000"/>
        </w:rPr>
        <w:t xml:space="preserve"> de pila.</w:t>
      </w: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fecha de nacimiento.</w:t>
      </w: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sexo.</w:t>
      </w: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dos últimos elementos de la CURP evitan la duplicidad de la </w:t>
      </w:r>
      <w:r>
        <w:rPr>
          <w:rFonts w:ascii="Palatino Linotype" w:eastAsia="Palatino Linotype" w:hAnsi="Palatino Linotype" w:cs="Palatino Linotype"/>
        </w:rPr>
        <w:t>clave</w:t>
      </w:r>
      <w:r>
        <w:rPr>
          <w:rFonts w:ascii="Palatino Linotype" w:eastAsia="Palatino Linotype" w:hAnsi="Palatino Linotype" w:cs="Palatino Linotype"/>
          <w:color w:val="000000"/>
        </w:rPr>
        <w:t xml:space="preserve"> y garantizan su correcta integración.</w:t>
      </w:r>
    </w:p>
    <w:p w:rsidR="00034868" w:rsidRDefault="00034868">
      <w:pPr>
        <w:spacing w:line="360" w:lineRule="auto"/>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Como</w:t>
      </w:r>
      <w:r>
        <w:rPr>
          <w:rFonts w:ascii="Palatino Linotype" w:eastAsia="Palatino Linotype" w:hAnsi="Palatino Linotype" w:cs="Palatino Linotype"/>
          <w:color w:val="000000"/>
        </w:rPr>
        <w:t xml:space="preserve">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034868" w:rsidRDefault="00034868">
      <w:pPr>
        <w:spacing w:line="360" w:lineRule="auto"/>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Resulta</w:t>
      </w:r>
      <w:r>
        <w:rPr>
          <w:rFonts w:ascii="Palatino Linotype" w:eastAsia="Palatino Linotype" w:hAnsi="Palatino Linotype" w:cs="Palatino Linotype"/>
          <w:color w:val="000000"/>
        </w:rPr>
        <w:t xml:space="preserve"> aplicable en la especie, como argumento orientador, el Criterio 3/10, emitido por el INAI.</w:t>
      </w:r>
    </w:p>
    <w:p w:rsidR="00034868" w:rsidRDefault="00C30952">
      <w:pPr>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w:t>
      </w:r>
      <w:r>
        <w:rPr>
          <w:rFonts w:ascii="Palatino Linotype" w:eastAsia="Palatino Linotype" w:hAnsi="Palatino Linotype" w:cs="Palatino Linotype"/>
          <w:i/>
          <w:iCs/>
          <w:color w:val="000000"/>
        </w:rPr>
        <w:lastRenderedPageBreak/>
        <w:t xml:space="preserve">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034868" w:rsidRDefault="00034868">
      <w:pPr>
        <w:ind w:left="1134" w:right="900"/>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anterior,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clave CURP, es un dato personal confidencial, en términos del artículo 143, fracción I, de la Ley de Transparencia y Acceso a la Información Pública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Estado de México y Municipios.</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34868" w:rsidRDefault="00C30952">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Estado civil.</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034868" w:rsidRDefault="00034868">
      <w:pPr>
        <w:spacing w:line="360" w:lineRule="auto"/>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3E2D60" w:rsidRDefault="003E2D60">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Teléfono y celular particular.</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034868" w:rsidRDefault="00034868">
      <w:pPr>
        <w:spacing w:line="360" w:lineRule="auto"/>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En ese sentido, se colige que corresponde a la persona física en su calidad de particular y no como servidor público.</w:t>
      </w:r>
    </w:p>
    <w:p w:rsidR="00034868" w:rsidRDefault="00034868">
      <w:pPr>
        <w:spacing w:line="360" w:lineRule="auto"/>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numPr>
          <w:ilvl w:val="0"/>
          <w:numId w:val="1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Correo electrónico particular.</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034868" w:rsidRDefault="00034868">
      <w:pPr>
        <w:spacing w:line="360" w:lineRule="auto"/>
        <w:jc w:val="both"/>
        <w:rPr>
          <w:rFonts w:ascii="Palatino Linotype" w:eastAsia="Palatino Linotype" w:hAnsi="Palatino Linotype" w:cs="Palatino Linotype"/>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034868" w:rsidRDefault="00034868">
      <w:pPr>
        <w:pBdr>
          <w:top w:val="nil"/>
          <w:left w:val="nil"/>
          <w:bottom w:val="nil"/>
          <w:right w:val="nil"/>
          <w:between w:val="nil"/>
        </w:pBdr>
        <w:ind w:left="720"/>
        <w:rPr>
          <w:rFonts w:ascii="Palatino Linotype" w:eastAsia="Palatino Linotype" w:hAnsi="Palatino Linotype" w:cs="Palatino Linotype"/>
          <w:color w:val="000000"/>
        </w:rPr>
      </w:pPr>
    </w:p>
    <w:p w:rsidR="00034868" w:rsidRDefault="00C30952">
      <w:pPr>
        <w:keepNext/>
        <w:keepLines/>
        <w:spacing w:after="160"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034868" w:rsidRDefault="00C30952">
      <w:pPr>
        <w:keepNext/>
        <w:keepLines/>
        <w:numPr>
          <w:ilvl w:val="0"/>
          <w:numId w:val="16"/>
        </w:numPr>
        <w:tabs>
          <w:tab w:val="left" w:pos="284"/>
        </w:tabs>
        <w:spacing w:after="160" w:line="360" w:lineRule="auto"/>
        <w:ind w:left="0" w:right="-787"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w:t>
      </w:r>
      <w:r>
        <w:rPr>
          <w:rFonts w:ascii="Palatino Linotype" w:eastAsia="Palatino Linotype" w:hAnsi="Palatino Linotype" w:cs="Palatino Linotype"/>
        </w:rPr>
        <w:t>destacarse</w:t>
      </w:r>
      <w:r>
        <w:rPr>
          <w:rFonts w:ascii="Palatino Linotype" w:eastAsia="Palatino Linotype" w:hAnsi="Palatino Linotype" w:cs="Palatino Linotype"/>
          <w:color w:val="000000"/>
        </w:rPr>
        <w:t xml:space="preserv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34868" w:rsidRDefault="00034868">
      <w:pPr>
        <w:tabs>
          <w:tab w:val="left" w:pos="0"/>
          <w:tab w:val="left" w:pos="284"/>
        </w:tabs>
        <w:spacing w:line="360" w:lineRule="auto"/>
        <w:ind w:right="-787"/>
        <w:jc w:val="both"/>
        <w:rPr>
          <w:rFonts w:ascii="Palatino Linotype" w:eastAsia="Palatino Linotype" w:hAnsi="Palatino Linotype" w:cs="Palatino Linotype"/>
          <w:highlight w:val="yellow"/>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w:t>
      </w:r>
      <w:r>
        <w:rPr>
          <w:rFonts w:ascii="Palatino Linotype" w:eastAsia="Palatino Linotype" w:hAnsi="Palatino Linotype" w:cs="Palatino Linotype"/>
        </w:rPr>
        <w:t>en</w:t>
      </w:r>
      <w:r>
        <w:rPr>
          <w:rFonts w:ascii="Palatino Linotype" w:eastAsia="Palatino Linotype" w:hAnsi="Palatino Linotype" w:cs="Palatino Linotype"/>
          <w:color w:val="000000"/>
        </w:rPr>
        <w:t xml:space="preserve">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34868" w:rsidRDefault="00034868">
      <w:pPr>
        <w:tabs>
          <w:tab w:val="left" w:pos="284"/>
        </w:tabs>
        <w:spacing w:after="160" w:line="360" w:lineRule="auto"/>
        <w:ind w:right="-787"/>
        <w:jc w:val="both"/>
        <w:rPr>
          <w:rFonts w:ascii="Palatino Linotype" w:eastAsia="Palatino Linotype" w:hAnsi="Palatino Linotype" w:cs="Palatino Linotype"/>
          <w:color w:val="000000"/>
        </w:rPr>
      </w:pPr>
    </w:p>
    <w:tbl>
      <w:tblPr>
        <w:tblStyle w:val="a0"/>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034868">
        <w:tc>
          <w:tcPr>
            <w:tcW w:w="2805" w:type="dxa"/>
          </w:tcPr>
          <w:p w:rsidR="00034868" w:rsidRDefault="00C30952">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10" w:type="dxa"/>
          </w:tcPr>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34868" w:rsidRDefault="00C30952">
            <w:pPr>
              <w:tabs>
                <w:tab w:val="left" w:pos="284"/>
              </w:tabs>
              <w:spacing w:line="360" w:lineRule="auto"/>
              <w:ind w:right="35"/>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34868">
        <w:tc>
          <w:tcPr>
            <w:tcW w:w="2805" w:type="dxa"/>
          </w:tcPr>
          <w:p w:rsidR="00034868" w:rsidRDefault="00C30952">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10" w:type="dxa"/>
          </w:tcPr>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w:t>
            </w:r>
            <w:r>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rsidR="00034868" w:rsidRDefault="00C30952">
            <w:pPr>
              <w:tabs>
                <w:tab w:val="left" w:pos="284"/>
              </w:tabs>
              <w:spacing w:line="360" w:lineRule="auto"/>
              <w:ind w:right="35"/>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34868">
        <w:tc>
          <w:tcPr>
            <w:tcW w:w="2805" w:type="dxa"/>
          </w:tcPr>
          <w:p w:rsidR="00034868" w:rsidRDefault="00C30952">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810" w:type="dxa"/>
          </w:tcPr>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034868" w:rsidRDefault="00C30952">
            <w:pPr>
              <w:tabs>
                <w:tab w:val="left" w:pos="284"/>
              </w:tabs>
              <w:spacing w:line="360" w:lineRule="auto"/>
              <w:ind w:right="35"/>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w:t>
            </w:r>
            <w:r>
              <w:rPr>
                <w:rFonts w:ascii="Palatino Linotype" w:eastAsia="Palatino Linotype" w:hAnsi="Palatino Linotype" w:cs="Palatino Linotype"/>
                <w:color w:val="000000"/>
              </w:rPr>
              <w:lastRenderedPageBreak/>
              <w:t>titulares de áreas y que son sujetas a control, en primera instancia, por el Comité de Transparencia.</w:t>
            </w:r>
          </w:p>
        </w:tc>
      </w:tr>
      <w:tr w:rsidR="00034868">
        <w:tc>
          <w:tcPr>
            <w:tcW w:w="2805" w:type="dxa"/>
          </w:tcPr>
          <w:p w:rsidR="00034868" w:rsidRDefault="00034868">
            <w:pPr>
              <w:tabs>
                <w:tab w:val="left" w:pos="284"/>
              </w:tabs>
              <w:spacing w:line="360" w:lineRule="auto"/>
              <w:ind w:right="35"/>
              <w:rPr>
                <w:rFonts w:ascii="Palatino Linotype" w:eastAsia="Palatino Linotype" w:hAnsi="Palatino Linotype" w:cs="Palatino Linotype"/>
              </w:rPr>
            </w:pPr>
          </w:p>
          <w:p w:rsidR="00034868" w:rsidRDefault="00C30952">
            <w:pPr>
              <w:tabs>
                <w:tab w:val="left" w:pos="284"/>
              </w:tabs>
              <w:spacing w:line="360" w:lineRule="auto"/>
              <w:ind w:right="35"/>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810" w:type="dxa"/>
          </w:tcPr>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w:t>
            </w:r>
            <w:r>
              <w:rPr>
                <w:rFonts w:ascii="Palatino Linotype" w:eastAsia="Palatino Linotype" w:hAnsi="Palatino Linotype" w:cs="Palatino Linotype"/>
                <w:color w:val="000000"/>
              </w:rPr>
              <w:lastRenderedPageBreak/>
              <w:t>derecho. De este modo, la persona que se sienta afectada pueda impugnar la decisión, permitiéndole una real y auténtica defensa.</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34868">
        <w:tc>
          <w:tcPr>
            <w:tcW w:w="2805" w:type="dxa"/>
          </w:tcPr>
          <w:p w:rsidR="00034868" w:rsidRDefault="00C30952">
            <w:pPr>
              <w:tabs>
                <w:tab w:val="left" w:pos="284"/>
              </w:tabs>
              <w:spacing w:line="360" w:lineRule="auto"/>
              <w:ind w:right="35"/>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034868" w:rsidRDefault="00C30952">
            <w:pPr>
              <w:tabs>
                <w:tab w:val="left" w:pos="284"/>
              </w:tabs>
              <w:spacing w:line="360" w:lineRule="auto"/>
              <w:ind w:right="3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w:t>
            </w:r>
            <w:r>
              <w:rPr>
                <w:rFonts w:ascii="Palatino Linotype" w:eastAsia="Palatino Linotype" w:hAnsi="Palatino Linotype" w:cs="Palatino Linotype"/>
                <w:color w:val="000000"/>
              </w:rPr>
              <w:lastRenderedPageBreak/>
              <w:t xml:space="preserve">también que como recientemente ha discutido la Suprema Corte de Justicia de la Nación, los servidores públicos nos encontramos sujetos a un régimen menor de protección. </w:t>
            </w:r>
          </w:p>
          <w:p w:rsidR="00034868" w:rsidRDefault="00C30952">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34868" w:rsidRDefault="00034868">
      <w:pPr>
        <w:tabs>
          <w:tab w:val="left" w:pos="284"/>
        </w:tabs>
        <w:spacing w:line="360" w:lineRule="auto"/>
        <w:ind w:right="-787"/>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034868" w:rsidRDefault="00034868">
      <w:pPr>
        <w:spacing w:line="360" w:lineRule="auto"/>
        <w:ind w:right="-787"/>
        <w:jc w:val="both"/>
        <w:rPr>
          <w:rFonts w:ascii="Palatino Linotype" w:eastAsia="Palatino Linotype" w:hAnsi="Palatino Linotype" w:cs="Palatino Linotype"/>
          <w:color w:val="000000"/>
        </w:rPr>
      </w:pPr>
    </w:p>
    <w:p w:rsidR="00034868" w:rsidRDefault="00C30952">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anteriormente expuesto, este Órgano Garante considera parcialmente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sidR="004A25E0">
        <w:rPr>
          <w:rFonts w:ascii="Palatino Linotype" w:eastAsia="Palatino Linotype" w:hAnsi="Palatino Linotype" w:cs="Palatino Linotype"/>
          <w:b/>
          <w:bCs/>
          <w:smallCaps/>
        </w:rPr>
        <w:t>MODIFICAR</w:t>
      </w:r>
      <w:r>
        <w:rPr>
          <w:rFonts w:ascii="Palatino Linotype" w:eastAsia="Palatino Linotype" w:hAnsi="Palatino Linotype" w:cs="Palatino Linotype"/>
          <w:b/>
          <w:bCs/>
          <w:smallCap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r w:rsidR="003E2D60">
        <w:rPr>
          <w:rFonts w:ascii="Palatino Linotype" w:eastAsia="Palatino Linotype" w:hAnsi="Palatino Linotype" w:cs="Palatino Linotype"/>
        </w:rPr>
        <w:t>----</w:t>
      </w:r>
      <w:r>
        <w:rPr>
          <w:rFonts w:ascii="Palatino Linotype" w:eastAsia="Palatino Linotype" w:hAnsi="Palatino Linotype" w:cs="Palatino Linotype"/>
        </w:rPr>
        <w:t>----------------------------------------------------------</w:t>
      </w:r>
      <w:r w:rsidR="003E2D60">
        <w:rPr>
          <w:rFonts w:ascii="Palatino Linotype" w:eastAsia="Palatino Linotype" w:hAnsi="Palatino Linotype" w:cs="Palatino Linotype"/>
        </w:rPr>
        <w:t>----------------------------------------</w:t>
      </w: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03486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34868" w:rsidRDefault="00C30952">
      <w:pPr>
        <w:pStyle w:val="Ttulo1"/>
        <w:spacing w:before="0" w:line="360" w:lineRule="auto"/>
        <w:jc w:val="center"/>
        <w:rPr>
          <w:rFonts w:ascii="Palatino Linotype" w:eastAsia="Palatino Linotype" w:hAnsi="Palatino Linotype" w:cs="Palatino Linotype"/>
          <w:b/>
          <w:bCs/>
          <w:color w:val="000000"/>
          <w:sz w:val="24"/>
          <w:szCs w:val="24"/>
        </w:rPr>
      </w:pPr>
      <w:bookmarkStart w:id="8" w:name="_heading=h.u69nrnlwz302" w:colFirst="0" w:colLast="0"/>
      <w:bookmarkStart w:id="9" w:name="_heading=h.47v82wqwb8be" w:colFirst="0" w:colLast="0"/>
      <w:bookmarkEnd w:id="8"/>
      <w:bookmarkEnd w:id="9"/>
      <w:r>
        <w:rPr>
          <w:rFonts w:ascii="Palatino Linotype" w:eastAsia="Palatino Linotype" w:hAnsi="Palatino Linotype" w:cs="Palatino Linotype"/>
          <w:b/>
          <w:bCs/>
          <w:color w:val="000000"/>
          <w:sz w:val="24"/>
          <w:szCs w:val="24"/>
        </w:rPr>
        <w:lastRenderedPageBreak/>
        <w:t>R E S O L U T I V O S</w:t>
      </w:r>
    </w:p>
    <w:p w:rsidR="00034868" w:rsidRDefault="00034868">
      <w:pPr>
        <w:spacing w:line="360" w:lineRule="auto"/>
        <w:rPr>
          <w:rFonts w:ascii="Palatino Linotype" w:eastAsia="Palatino Linotype" w:hAnsi="Palatino Linotype" w:cs="Palatino Linotype"/>
        </w:rPr>
      </w:pPr>
    </w:p>
    <w:p w:rsidR="00034868" w:rsidRDefault="00C3095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13373/INFOEM/IP/RR/2025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 y QUINTO</w:t>
      </w:r>
      <w:r>
        <w:rPr>
          <w:rFonts w:ascii="Palatino Linotype" w:eastAsia="Palatino Linotype" w:hAnsi="Palatino Linotype" w:cs="Palatino Linotype"/>
        </w:rPr>
        <w:t xml:space="preserve"> de la presente Resolución.</w:t>
      </w:r>
    </w:p>
    <w:p w:rsidR="00034868" w:rsidRDefault="00034868">
      <w:pPr>
        <w:spacing w:line="360" w:lineRule="auto"/>
        <w:jc w:val="both"/>
        <w:rPr>
          <w:rFonts w:ascii="Palatino Linotype" w:eastAsia="Palatino Linotype" w:hAnsi="Palatino Linotype" w:cs="Palatino Linotype"/>
        </w:rPr>
      </w:pPr>
    </w:p>
    <w:p w:rsidR="00034868" w:rsidRDefault="00C30952">
      <w:pPr>
        <w:spacing w:line="360" w:lineRule="auto"/>
        <w:jc w:val="both"/>
        <w:rPr>
          <w:rFonts w:ascii="Palatino Linotype" w:eastAsia="Palatino Linotype" w:hAnsi="Palatino Linotype" w:cs="Palatino Linotype"/>
        </w:rPr>
      </w:pPr>
      <w:bookmarkStart w:id="10" w:name="_heading=h.ett6w3bss2uz" w:colFirst="0" w:colLast="0"/>
      <w:bookmarkEnd w:id="10"/>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Ecatepec de Morelos</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la siguiente información, previa búsqueda exhaustiva y razonable, de ser el caso en versión pública</w:t>
      </w:r>
      <w:r>
        <w:rPr>
          <w:rFonts w:ascii="Palatino Linotype" w:eastAsia="Palatino Linotype" w:hAnsi="Palatino Linotype" w:cs="Palatino Linotype"/>
        </w:rPr>
        <w:t>:</w:t>
      </w:r>
    </w:p>
    <w:p w:rsidR="00034868" w:rsidRDefault="00034868">
      <w:pPr>
        <w:pBdr>
          <w:top w:val="nil"/>
          <w:left w:val="nil"/>
          <w:bottom w:val="nil"/>
          <w:right w:val="nil"/>
          <w:between w:val="nil"/>
        </w:pBdr>
        <w:tabs>
          <w:tab w:val="left" w:pos="8080"/>
        </w:tabs>
        <w:spacing w:line="360" w:lineRule="auto"/>
        <w:ind w:left="709" w:right="474"/>
        <w:jc w:val="both"/>
        <w:rPr>
          <w:rFonts w:ascii="Palatino Linotype" w:eastAsia="Palatino Linotype" w:hAnsi="Palatino Linotype" w:cs="Palatino Linotype"/>
          <w:i/>
          <w:iCs/>
          <w:color w:val="000000"/>
        </w:rPr>
      </w:pPr>
    </w:p>
    <w:p w:rsidR="00034868" w:rsidRDefault="00C30952">
      <w:pPr>
        <w:numPr>
          <w:ilvl w:val="0"/>
          <w:numId w:val="17"/>
        </w:numPr>
        <w:pBdr>
          <w:top w:val="nil"/>
          <w:left w:val="nil"/>
          <w:bottom w:val="nil"/>
          <w:right w:val="nil"/>
          <w:between w:val="nil"/>
        </w:pBdr>
        <w:ind w:left="1134" w:right="1843"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Acuerdo del Comité de Transparencia en el que de manera fundada y motivada clasifique como confidencial los datos relacionados con marca, modelo número de serie del vehículo y número de placa de los vehículos particulares que han sido retirados de las vialidades locales y municipales, así como de las notificaciones, </w:t>
      </w:r>
      <w:r>
        <w:rPr>
          <w:rFonts w:ascii="Palatino Linotype" w:eastAsia="Palatino Linotype" w:hAnsi="Palatino Linotype" w:cs="Palatino Linotype"/>
          <w:b/>
          <w:bCs/>
          <w:i/>
          <w:iCs/>
        </w:rPr>
        <w:t>órdenes</w:t>
      </w:r>
      <w:r>
        <w:rPr>
          <w:rFonts w:ascii="Palatino Linotype" w:eastAsia="Palatino Linotype" w:hAnsi="Palatino Linotype" w:cs="Palatino Linotype"/>
          <w:b/>
          <w:bCs/>
          <w:i/>
          <w:iCs/>
          <w:color w:val="000000"/>
        </w:rPr>
        <w:t xml:space="preserve"> de retiro y las garantías de audiencia de conformidad con el artículo 143 fracción I de la Ley de Transparencia y Acceso a la Información Pública del Estado de México y Municipios. </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p>
    <w:p w:rsidR="00034868" w:rsidRDefault="00C30952">
      <w:pPr>
        <w:numPr>
          <w:ilvl w:val="0"/>
          <w:numId w:val="17"/>
        </w:numPr>
        <w:pBdr>
          <w:top w:val="nil"/>
          <w:left w:val="nil"/>
          <w:bottom w:val="nil"/>
          <w:right w:val="nil"/>
          <w:between w:val="nil"/>
        </w:pBdr>
        <w:ind w:left="1134" w:right="1843"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El contrato o convenio de colaboración que se haya celebrado entre el ente público con la concesionaria, para que grúas concesionadas realicen la tarea de arrastre al depósito vehicular, al once de noviembre de dos mil veinticinco. </w:t>
      </w:r>
    </w:p>
    <w:p w:rsidR="00034868" w:rsidRDefault="00034868">
      <w:pPr>
        <w:pBdr>
          <w:top w:val="nil"/>
          <w:left w:val="nil"/>
          <w:bottom w:val="nil"/>
          <w:right w:val="nil"/>
          <w:between w:val="nil"/>
        </w:pBdr>
        <w:ind w:left="1134" w:right="1843"/>
        <w:jc w:val="both"/>
        <w:rPr>
          <w:rFonts w:ascii="Palatino Linotype" w:eastAsia="Palatino Linotype" w:hAnsi="Palatino Linotype" w:cs="Palatino Linotype"/>
          <w:b/>
          <w:bCs/>
          <w:color w:val="000000"/>
        </w:rPr>
      </w:pPr>
    </w:p>
    <w:p w:rsidR="00034868" w:rsidRDefault="00C30952">
      <w:pPr>
        <w:tabs>
          <w:tab w:val="left" w:pos="8080"/>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w:t>
      </w:r>
      <w:r>
        <w:rPr>
          <w:rFonts w:ascii="Palatino Linotype" w:eastAsia="Palatino Linotype" w:hAnsi="Palatino Linotype" w:cs="Palatino Linotype"/>
        </w:rPr>
        <w:lastRenderedPageBreak/>
        <w:t xml:space="preserve">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034868" w:rsidRDefault="00034868">
      <w:pPr>
        <w:pBdr>
          <w:top w:val="nil"/>
          <w:left w:val="nil"/>
          <w:bottom w:val="nil"/>
          <w:right w:val="nil"/>
          <w:between w:val="nil"/>
        </w:pBdr>
        <w:tabs>
          <w:tab w:val="left" w:pos="8080"/>
        </w:tabs>
        <w:spacing w:line="360" w:lineRule="auto"/>
        <w:ind w:left="1134"/>
        <w:jc w:val="both"/>
        <w:rPr>
          <w:rFonts w:ascii="Palatino Linotype" w:eastAsia="Palatino Linotype" w:hAnsi="Palatino Linotype" w:cs="Palatino Linotype"/>
          <w:b/>
          <w:bCs/>
          <w:color w:val="000000"/>
        </w:rPr>
      </w:pPr>
    </w:p>
    <w:p w:rsidR="00034868" w:rsidRDefault="00C30952">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ser el caso que no se hubieran firmado contratos o convenios con grúas concesionadas realicen la tarea de arrastre al depósito vehicular deberá de hacerse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rsidR="00034868" w:rsidRDefault="00034868">
      <w:pPr>
        <w:tabs>
          <w:tab w:val="left" w:pos="8080"/>
        </w:tabs>
        <w:spacing w:line="360" w:lineRule="auto"/>
        <w:ind w:right="49"/>
        <w:jc w:val="both"/>
        <w:rPr>
          <w:rFonts w:ascii="Palatino Linotype" w:eastAsia="Palatino Linotype" w:hAnsi="Palatino Linotype" w:cs="Palatino Linotype"/>
        </w:rPr>
      </w:pPr>
    </w:p>
    <w:p w:rsidR="00034868" w:rsidRDefault="00C3095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34868" w:rsidRDefault="00034868">
      <w:pPr>
        <w:spacing w:line="360" w:lineRule="auto"/>
        <w:jc w:val="both"/>
        <w:rPr>
          <w:rFonts w:ascii="Palatino Linotype" w:eastAsia="Palatino Linotype" w:hAnsi="Palatino Linotype" w:cs="Palatino Linotype"/>
        </w:rPr>
      </w:pPr>
    </w:p>
    <w:p w:rsidR="00034868" w:rsidRDefault="00C30952">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34868" w:rsidRDefault="00034868">
      <w:pPr>
        <w:spacing w:line="360" w:lineRule="auto"/>
        <w:jc w:val="both"/>
        <w:rPr>
          <w:rFonts w:ascii="Palatino Linotype" w:eastAsia="Palatino Linotype" w:hAnsi="Palatino Linotype" w:cs="Palatino Linotype"/>
        </w:rPr>
      </w:pPr>
    </w:p>
    <w:p w:rsidR="00034868" w:rsidRDefault="00C30952">
      <w:pPr>
        <w:tabs>
          <w:tab w:val="left" w:pos="8080"/>
        </w:tabs>
        <w:spacing w:line="360" w:lineRule="auto"/>
        <w:ind w:right="49"/>
        <w:jc w:val="both"/>
        <w:rPr>
          <w:rFonts w:ascii="Palatino Linotype" w:eastAsia="Palatino Linotype" w:hAnsi="Palatino Linotype" w:cs="Palatino Linotype"/>
        </w:rPr>
      </w:pPr>
      <w:bookmarkStart w:id="11" w:name="_heading=h.e057borw7oux" w:colFirst="0" w:colLast="0"/>
      <w:bookmarkEnd w:id="11"/>
      <w:r>
        <w:rPr>
          <w:rFonts w:ascii="Palatino Linotype" w:eastAsia="Palatino Linotype" w:hAnsi="Palatino Linotype" w:cs="Palatino Linotype"/>
          <w:b/>
          <w:bCs/>
        </w:rPr>
        <w:lastRenderedPageBreak/>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034868" w:rsidRDefault="00034868">
      <w:pPr>
        <w:tabs>
          <w:tab w:val="left" w:pos="8080"/>
        </w:tabs>
        <w:spacing w:line="360" w:lineRule="auto"/>
        <w:ind w:right="49"/>
        <w:jc w:val="both"/>
        <w:rPr>
          <w:rFonts w:ascii="Palatino Linotype" w:eastAsia="Palatino Linotype" w:hAnsi="Palatino Linotype" w:cs="Palatino Linotype"/>
        </w:rPr>
      </w:pPr>
    </w:p>
    <w:p w:rsidR="00034868" w:rsidRDefault="00C30952">
      <w:pPr>
        <w:shd w:val="clear" w:color="auto" w:fill="FFFFFF"/>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A25E0" w:rsidRPr="003E2295" w:rsidRDefault="004A25E0" w:rsidP="004A25E0">
      <w:pPr>
        <w:spacing w:before="240" w:after="240" w:line="360" w:lineRule="auto"/>
        <w:ind w:firstLine="1"/>
        <w:jc w:val="both"/>
        <w:rPr>
          <w:rFonts w:ascii="Palatino Linotype" w:hAnsi="Palatino Linotype"/>
        </w:rPr>
      </w:pPr>
      <w:bookmarkStart w:id="12" w:name="_heading=h.4uj49i1jyvow" w:colFirst="0" w:colLast="0"/>
      <w:bookmarkStart w:id="13" w:name="_Hlk99014733"/>
      <w:bookmarkEnd w:id="12"/>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rsidR="00034868" w:rsidRDefault="00034868" w:rsidP="004A25E0">
      <w:pPr>
        <w:tabs>
          <w:tab w:val="left" w:pos="3374"/>
        </w:tabs>
        <w:spacing w:line="360" w:lineRule="auto"/>
        <w:rPr>
          <w:rFonts w:ascii="Palatino Linotype" w:eastAsia="Palatino Linotype" w:hAnsi="Palatino Linotype" w:cs="Palatino Linotype"/>
        </w:rPr>
      </w:pPr>
    </w:p>
    <w:p w:rsidR="00034868" w:rsidRDefault="00034868" w:rsidP="004A25E0">
      <w:pPr>
        <w:tabs>
          <w:tab w:val="left" w:pos="3374"/>
        </w:tabs>
        <w:spacing w:line="360" w:lineRule="auto"/>
        <w:rPr>
          <w:rFonts w:ascii="Palatino Linotype" w:eastAsia="Palatino Linotype" w:hAnsi="Palatino Linotype" w:cs="Palatino Linotype"/>
        </w:rPr>
      </w:pPr>
    </w:p>
    <w:p w:rsidR="00034868" w:rsidRDefault="00034868" w:rsidP="004A25E0">
      <w:pPr>
        <w:tabs>
          <w:tab w:val="left" w:pos="3374"/>
        </w:tabs>
        <w:spacing w:line="360" w:lineRule="auto"/>
        <w:rPr>
          <w:rFonts w:ascii="Palatino Linotype" w:eastAsia="Palatino Linotype" w:hAnsi="Palatino Linotype" w:cs="Palatino Linotype"/>
        </w:rPr>
      </w:pPr>
    </w:p>
    <w:p w:rsidR="00034868" w:rsidRDefault="00034868" w:rsidP="004A25E0">
      <w:pPr>
        <w:tabs>
          <w:tab w:val="left" w:pos="3374"/>
        </w:tabs>
        <w:spacing w:line="360" w:lineRule="auto"/>
        <w:rPr>
          <w:rFonts w:ascii="Palatino Linotype" w:eastAsia="Palatino Linotype" w:hAnsi="Palatino Linotype" w:cs="Palatino Linotype"/>
        </w:rPr>
      </w:pPr>
    </w:p>
    <w:p w:rsidR="00034868" w:rsidRDefault="00034868">
      <w:pPr>
        <w:tabs>
          <w:tab w:val="left" w:pos="3374"/>
        </w:tabs>
        <w:spacing w:line="360" w:lineRule="auto"/>
        <w:ind w:right="49"/>
        <w:rPr>
          <w:rFonts w:ascii="Palatino Linotype" w:eastAsia="Palatino Linotype" w:hAnsi="Palatino Linotype" w:cs="Palatino Linotype"/>
        </w:rPr>
      </w:pPr>
    </w:p>
    <w:p w:rsidR="00034868" w:rsidRDefault="00034868">
      <w:pPr>
        <w:tabs>
          <w:tab w:val="left" w:pos="3374"/>
        </w:tabs>
        <w:spacing w:line="360" w:lineRule="auto"/>
        <w:ind w:right="49"/>
        <w:rPr>
          <w:rFonts w:ascii="Palatino Linotype" w:eastAsia="Palatino Linotype" w:hAnsi="Palatino Linotype" w:cs="Palatino Linotype"/>
        </w:rPr>
      </w:pPr>
    </w:p>
    <w:p w:rsidR="00034868" w:rsidRDefault="00034868">
      <w:pPr>
        <w:tabs>
          <w:tab w:val="left" w:pos="3374"/>
        </w:tabs>
        <w:spacing w:line="360" w:lineRule="auto"/>
        <w:ind w:right="49"/>
        <w:rPr>
          <w:rFonts w:ascii="Palatino Linotype" w:eastAsia="Palatino Linotype" w:hAnsi="Palatino Linotype" w:cs="Palatino Linotype"/>
        </w:rPr>
      </w:pPr>
    </w:p>
    <w:p w:rsidR="00034868" w:rsidRDefault="00034868">
      <w:pPr>
        <w:tabs>
          <w:tab w:val="left" w:pos="3374"/>
        </w:tabs>
        <w:spacing w:line="360" w:lineRule="auto"/>
        <w:ind w:right="49"/>
        <w:rPr>
          <w:rFonts w:ascii="Palatino Linotype" w:eastAsia="Palatino Linotype" w:hAnsi="Palatino Linotype" w:cs="Palatino Linotype"/>
        </w:rPr>
      </w:pPr>
    </w:p>
    <w:p w:rsidR="00034868" w:rsidRDefault="00034868">
      <w:pPr>
        <w:spacing w:line="360" w:lineRule="auto"/>
        <w:ind w:right="49"/>
        <w:rPr>
          <w:rFonts w:ascii="Palatino Linotype" w:eastAsia="Palatino Linotype" w:hAnsi="Palatino Linotype" w:cs="Palatino Linotype"/>
        </w:rPr>
      </w:pPr>
    </w:p>
    <w:p w:rsidR="00034868" w:rsidRDefault="00034868"/>
    <w:p w:rsidR="00745289" w:rsidRDefault="00745289"/>
    <w:p w:rsidR="00745289" w:rsidRDefault="00745289"/>
    <w:p w:rsidR="00745289" w:rsidRDefault="00745289"/>
    <w:p w:rsidR="00745289" w:rsidRDefault="00745289"/>
    <w:p w:rsidR="00745289" w:rsidRDefault="00745289"/>
    <w:p w:rsidR="00745289" w:rsidRDefault="00745289"/>
    <w:p w:rsidR="00745289" w:rsidRDefault="00745289"/>
    <w:p w:rsidR="00745289" w:rsidRDefault="00745289"/>
    <w:p w:rsidR="00745289" w:rsidRDefault="00745289"/>
    <w:p w:rsidR="00745289" w:rsidRDefault="00745289"/>
    <w:sectPr w:rsidR="00745289">
      <w:headerReference w:type="even" r:id="rId9"/>
      <w:headerReference w:type="default" r:id="rId10"/>
      <w:footerReference w:type="default" r:id="rId11"/>
      <w:headerReference w:type="first" r:id="rId12"/>
      <w:footerReference w:type="first" r:id="rId13"/>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B26" w:rsidRDefault="00CE1B26">
      <w:r>
        <w:separator/>
      </w:r>
    </w:p>
  </w:endnote>
  <w:endnote w:type="continuationSeparator" w:id="0">
    <w:p w:rsidR="00CE1B26" w:rsidRDefault="00C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67099CA-7619-42D8-BABF-335EBC99076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1A6BF09-D94A-4357-A68F-FE8700C71BE2}"/>
    <w:embedBold r:id="rId3" w:fontKey="{00A1B749-4CA7-49A7-B6C6-F70D066169DA}"/>
    <w:embedItalic r:id="rId4" w:fontKey="{BE60C099-F9D6-4A17-8CF5-D04575A2EFD6}"/>
    <w:embedBoldItalic r:id="rId5" w:fontKey="{FC45BFD4-A327-404A-B404-0759AC8C1306}"/>
  </w:font>
  <w:font w:name="Calibri">
    <w:panose1 w:val="020F0502020204030204"/>
    <w:charset w:val="00"/>
    <w:family w:val="swiss"/>
    <w:pitch w:val="variable"/>
    <w:sig w:usb0="E4002EFF" w:usb1="C200247B" w:usb2="00000009" w:usb3="00000000" w:csb0="000001FF" w:csb1="00000000"/>
    <w:embedRegular r:id="rId6" w:fontKey="{386F416F-5B56-4655-B77D-DEA40699A7CC}"/>
    <w:embedBold r:id="rId7" w:fontKey="{DE8D3C33-B523-4FBF-89A3-56CC64D83769}"/>
    <w:embedItalic r:id="rId8" w:fontKey="{5F594FAB-1686-4FE5-9C53-A5DA89B87A80}"/>
    <w:embedBoldItalic r:id="rId9" w:fontKey="{50AC72F0-DF6A-4473-90E6-0E97708F8004}"/>
  </w:font>
  <w:font w:name="Georgia">
    <w:panose1 w:val="02040502050405020303"/>
    <w:charset w:val="00"/>
    <w:family w:val="roman"/>
    <w:pitch w:val="variable"/>
    <w:sig w:usb0="00000287" w:usb1="00000000" w:usb2="00000000" w:usb3="00000000" w:csb0="0000009F" w:csb1="00000000"/>
    <w:embedItalic r:id="rId10" w:fontKey="{33BB9D83-0596-4CB2-964A-6FC031C1C4D8}"/>
  </w:font>
  <w:font w:name="Cambria">
    <w:panose1 w:val="02040503050406030204"/>
    <w:charset w:val="00"/>
    <w:family w:val="roman"/>
    <w:pitch w:val="variable"/>
    <w:sig w:usb0="E00006FF" w:usb1="420024FF" w:usb2="02000000" w:usb3="00000000" w:csb0="0000019F" w:csb1="00000000"/>
    <w:embedRegular r:id="rId11" w:fontKey="{22E8AB49-F20E-45A8-912C-71FBCFB910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868" w:rsidRDefault="00C3095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B0044">
      <w:rPr>
        <w:rFonts w:ascii="Palatino Linotype" w:eastAsia="Palatino Linotype" w:hAnsi="Palatino Linotype" w:cs="Palatino Linotype"/>
        <w:b/>
        <w:bCs/>
        <w:noProof/>
        <w:color w:val="000000"/>
        <w:sz w:val="22"/>
        <w:szCs w:val="22"/>
      </w:rPr>
      <w:t>5</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b/>
        <w:bCs/>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B0044">
      <w:rPr>
        <w:rFonts w:ascii="Palatino Linotype" w:eastAsia="Palatino Linotype" w:hAnsi="Palatino Linotype" w:cs="Palatino Linotype"/>
        <w:b/>
        <w:bCs/>
        <w:noProof/>
        <w:color w:val="000000"/>
        <w:sz w:val="22"/>
        <w:szCs w:val="22"/>
      </w:rPr>
      <w:t>55</w:t>
    </w:r>
    <w:r>
      <w:rPr>
        <w:rFonts w:ascii="Palatino Linotype" w:eastAsia="Palatino Linotype" w:hAnsi="Palatino Linotype" w:cs="Palatino Linotype"/>
        <w:b/>
        <w:bCs/>
        <w:color w:val="000000"/>
        <w:sz w:val="22"/>
        <w:szCs w:val="22"/>
      </w:rPr>
      <w:fldChar w:fldCharType="end"/>
    </w:r>
  </w:p>
  <w:p w:rsidR="00034868" w:rsidRDefault="0003486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868" w:rsidRDefault="00C3095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B0044">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b/>
        <w:bCs/>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B0044">
      <w:rPr>
        <w:rFonts w:ascii="Palatino Linotype" w:eastAsia="Palatino Linotype" w:hAnsi="Palatino Linotype" w:cs="Palatino Linotype"/>
        <w:b/>
        <w:bCs/>
        <w:noProof/>
        <w:color w:val="000000"/>
        <w:sz w:val="22"/>
        <w:szCs w:val="22"/>
      </w:rPr>
      <w:t>55</w:t>
    </w:r>
    <w:r>
      <w:rPr>
        <w:rFonts w:ascii="Palatino Linotype" w:eastAsia="Palatino Linotype" w:hAnsi="Palatino Linotype" w:cs="Palatino Linotype"/>
        <w:b/>
        <w:bCs/>
        <w:color w:val="000000"/>
        <w:sz w:val="22"/>
        <w:szCs w:val="22"/>
      </w:rPr>
      <w:fldChar w:fldCharType="end"/>
    </w:r>
  </w:p>
  <w:p w:rsidR="00034868" w:rsidRDefault="0003486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B26" w:rsidRDefault="00CE1B26">
      <w:r>
        <w:separator/>
      </w:r>
    </w:p>
  </w:footnote>
  <w:footnote w:type="continuationSeparator" w:id="0">
    <w:p w:rsidR="00CE1B26" w:rsidRDefault="00CE1B26">
      <w:r>
        <w:continuationSeparator/>
      </w:r>
    </w:p>
  </w:footnote>
  <w:footnote w:id="1">
    <w:p w:rsidR="00034868" w:rsidRDefault="00C3095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034868" w:rsidRDefault="00C3095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034868" w:rsidRDefault="00C3095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034868" w:rsidRDefault="00C3095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868" w:rsidRDefault="00CE1B2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54" w:type="dxa"/>
      <w:tblInd w:w="2694" w:type="dxa"/>
      <w:tblLayout w:type="fixed"/>
      <w:tblLook w:val="0400" w:firstRow="0" w:lastRow="0" w:firstColumn="0" w:lastColumn="0" w:noHBand="0" w:noVBand="1"/>
    </w:tblPr>
    <w:tblGrid>
      <w:gridCol w:w="2976"/>
      <w:gridCol w:w="4678"/>
    </w:tblGrid>
    <w:tr w:rsidR="00034868" w:rsidTr="003E2D60">
      <w:trPr>
        <w:trHeight w:val="227"/>
      </w:trPr>
      <w:tc>
        <w:tcPr>
          <w:tcW w:w="2976" w:type="dxa"/>
          <w:vAlign w:val="center"/>
        </w:tcPr>
        <w:p w:rsidR="00034868" w:rsidRDefault="00C3095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7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13373/INFOEM/IP/RR/2025</w:t>
          </w:r>
        </w:p>
      </w:tc>
    </w:tr>
    <w:tr w:rsidR="00034868" w:rsidTr="003E2D60">
      <w:trPr>
        <w:trHeight w:val="242"/>
      </w:trPr>
      <w:tc>
        <w:tcPr>
          <w:tcW w:w="2976" w:type="dxa"/>
          <w:vAlign w:val="center"/>
        </w:tcPr>
        <w:p w:rsidR="00034868" w:rsidRDefault="00C3095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7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Ecatepec de Morelos</w:t>
          </w:r>
        </w:p>
      </w:tc>
    </w:tr>
    <w:tr w:rsidR="00034868" w:rsidTr="003E2D60">
      <w:trPr>
        <w:trHeight w:val="342"/>
      </w:trPr>
      <w:tc>
        <w:tcPr>
          <w:tcW w:w="2976" w:type="dxa"/>
          <w:vAlign w:val="center"/>
        </w:tcPr>
        <w:p w:rsidR="00034868" w:rsidRDefault="00C3095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7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34868" w:rsidRDefault="00CE1B2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795" w:type="dxa"/>
      <w:tblInd w:w="2694" w:type="dxa"/>
      <w:tblLayout w:type="fixed"/>
      <w:tblLook w:val="0400" w:firstRow="0" w:lastRow="0" w:firstColumn="0" w:lastColumn="0" w:noHBand="0" w:noVBand="1"/>
    </w:tblPr>
    <w:tblGrid>
      <w:gridCol w:w="2977"/>
      <w:gridCol w:w="4818"/>
    </w:tblGrid>
    <w:tr w:rsidR="00034868" w:rsidTr="003E2D60">
      <w:trPr>
        <w:trHeight w:val="227"/>
      </w:trPr>
      <w:tc>
        <w:tcPr>
          <w:tcW w:w="2977" w:type="dxa"/>
          <w:vAlign w:val="center"/>
        </w:tcPr>
        <w:p w:rsidR="00034868" w:rsidRDefault="00C3095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1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13373/INFOEM/IP/RR/2025</w:t>
          </w:r>
        </w:p>
      </w:tc>
    </w:tr>
    <w:tr w:rsidR="00034868" w:rsidTr="003E2D60">
      <w:trPr>
        <w:trHeight w:val="242"/>
      </w:trPr>
      <w:tc>
        <w:tcPr>
          <w:tcW w:w="2977" w:type="dxa"/>
          <w:vAlign w:val="center"/>
        </w:tcPr>
        <w:p w:rsidR="00034868" w:rsidRDefault="00C3095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18" w:type="dxa"/>
        </w:tcPr>
        <w:p w:rsidR="00034868" w:rsidRDefault="00CB0044">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034868" w:rsidTr="003E2D60">
      <w:trPr>
        <w:trHeight w:val="342"/>
      </w:trPr>
      <w:tc>
        <w:tcPr>
          <w:tcW w:w="2977" w:type="dxa"/>
          <w:vAlign w:val="center"/>
        </w:tcPr>
        <w:p w:rsidR="00034868" w:rsidRDefault="00C30952">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1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Ecatepec de Morelos</w:t>
          </w:r>
        </w:p>
      </w:tc>
    </w:tr>
    <w:tr w:rsidR="00034868" w:rsidTr="003E2D60">
      <w:trPr>
        <w:trHeight w:val="342"/>
      </w:trPr>
      <w:tc>
        <w:tcPr>
          <w:tcW w:w="2977" w:type="dxa"/>
          <w:vAlign w:val="center"/>
        </w:tcPr>
        <w:p w:rsidR="00034868" w:rsidRDefault="00C30952">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18" w:type="dxa"/>
          <w:vAlign w:val="center"/>
        </w:tcPr>
        <w:p w:rsidR="00034868" w:rsidRDefault="00C30952">
          <w:pPr>
            <w:pBdr>
              <w:top w:val="nil"/>
              <w:left w:val="nil"/>
              <w:bottom w:val="nil"/>
              <w:right w:val="nil"/>
              <w:between w:val="nil"/>
            </w:pBdr>
            <w:tabs>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34868" w:rsidRDefault="00CE1B26">
    <w:pPr>
      <w:pBdr>
        <w:top w:val="nil"/>
        <w:left w:val="nil"/>
        <w:bottom w:val="nil"/>
        <w:right w:val="nil"/>
        <w:between w:val="nil"/>
      </w:pBdr>
      <w:tabs>
        <w:tab w:val="center" w:pos="4419"/>
        <w:tab w:val="right" w:pos="8838"/>
      </w:tabs>
      <w:rPr>
        <w:b/>
        <w:bCs/>
        <w:color w:val="000000"/>
        <w:sz w:val="18"/>
        <w:szCs w:val="18"/>
      </w:rPr>
    </w:pPr>
    <w:r>
      <w:rPr>
        <w:b/>
        <w:bCs/>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9.5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A3E31"/>
    <w:multiLevelType w:val="multilevel"/>
    <w:tmpl w:val="2C3688A0"/>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0EA32D06"/>
    <w:multiLevelType w:val="multilevel"/>
    <w:tmpl w:val="F00A5F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FCD6CD1"/>
    <w:multiLevelType w:val="multilevel"/>
    <w:tmpl w:val="DCB2167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147E6439"/>
    <w:multiLevelType w:val="multilevel"/>
    <w:tmpl w:val="64EC3B9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15A52200"/>
    <w:multiLevelType w:val="multilevel"/>
    <w:tmpl w:val="0700061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1C3C7041"/>
    <w:multiLevelType w:val="multilevel"/>
    <w:tmpl w:val="607A80B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EB60D6"/>
    <w:multiLevelType w:val="multilevel"/>
    <w:tmpl w:val="7AACA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941BA7"/>
    <w:multiLevelType w:val="multilevel"/>
    <w:tmpl w:val="FF26EE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216ABA"/>
    <w:multiLevelType w:val="multilevel"/>
    <w:tmpl w:val="72664D7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484A1477"/>
    <w:multiLevelType w:val="multilevel"/>
    <w:tmpl w:val="A86CC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28D3EC2"/>
    <w:multiLevelType w:val="multilevel"/>
    <w:tmpl w:val="B524CC7C"/>
    <w:lvl w:ilvl="0">
      <w:start w:val="1"/>
      <w:numFmt w:val="upperRoman"/>
      <w:lvlText w:val="%1."/>
      <w:lvlJc w:val="left"/>
      <w:pPr>
        <w:ind w:left="1854" w:hanging="720"/>
      </w:pPr>
      <w:rPr>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53E95CB2"/>
    <w:multiLevelType w:val="multilevel"/>
    <w:tmpl w:val="C6C4D222"/>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542C7479"/>
    <w:multiLevelType w:val="multilevel"/>
    <w:tmpl w:val="27984E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503929"/>
    <w:multiLevelType w:val="multilevel"/>
    <w:tmpl w:val="2F32DDE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15:restartNumberingAfterBreak="0">
    <w:nsid w:val="5BEE79EA"/>
    <w:multiLevelType w:val="multilevel"/>
    <w:tmpl w:val="D762850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053B1A"/>
    <w:multiLevelType w:val="multilevel"/>
    <w:tmpl w:val="067059D8"/>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161ED7"/>
    <w:multiLevelType w:val="multilevel"/>
    <w:tmpl w:val="CF7C6F7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E36545"/>
    <w:multiLevelType w:val="multilevel"/>
    <w:tmpl w:val="CF9A07B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7FA70AE7"/>
    <w:multiLevelType w:val="multilevel"/>
    <w:tmpl w:val="DFF8E65A"/>
    <w:lvl w:ilvl="0">
      <w:start w:val="1"/>
      <w:numFmt w:val="decimal"/>
      <w:lvlText w:val="%1."/>
      <w:lvlJc w:val="left"/>
      <w:pPr>
        <w:ind w:left="928"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4"/>
  </w:num>
  <w:num w:numId="3">
    <w:abstractNumId w:val="12"/>
  </w:num>
  <w:num w:numId="4">
    <w:abstractNumId w:val="3"/>
  </w:num>
  <w:num w:numId="5">
    <w:abstractNumId w:val="8"/>
  </w:num>
  <w:num w:numId="6">
    <w:abstractNumId w:val="13"/>
  </w:num>
  <w:num w:numId="7">
    <w:abstractNumId w:val="0"/>
  </w:num>
  <w:num w:numId="8">
    <w:abstractNumId w:val="18"/>
  </w:num>
  <w:num w:numId="9">
    <w:abstractNumId w:val="10"/>
  </w:num>
  <w:num w:numId="10">
    <w:abstractNumId w:val="4"/>
  </w:num>
  <w:num w:numId="11">
    <w:abstractNumId w:val="11"/>
  </w:num>
  <w:num w:numId="12">
    <w:abstractNumId w:val="17"/>
  </w:num>
  <w:num w:numId="13">
    <w:abstractNumId w:val="2"/>
  </w:num>
  <w:num w:numId="14">
    <w:abstractNumId w:val="6"/>
  </w:num>
  <w:num w:numId="15">
    <w:abstractNumId w:val="16"/>
  </w:num>
  <w:num w:numId="16">
    <w:abstractNumId w:val="5"/>
  </w:num>
  <w:num w:numId="17">
    <w:abstractNumId w:val="7"/>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68"/>
    <w:rsid w:val="00034868"/>
    <w:rsid w:val="00241C5F"/>
    <w:rsid w:val="003E2D60"/>
    <w:rsid w:val="004A25E0"/>
    <w:rsid w:val="00517B44"/>
    <w:rsid w:val="005C5ED3"/>
    <w:rsid w:val="00745289"/>
    <w:rsid w:val="00AA05F7"/>
    <w:rsid w:val="00C30952"/>
    <w:rsid w:val="00CB0044"/>
    <w:rsid w:val="00CE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FB5637D-4941-4335-B814-629BDCC9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3E2D60"/>
    <w:pPr>
      <w:tabs>
        <w:tab w:val="center" w:pos="4419"/>
        <w:tab w:val="right" w:pos="8838"/>
      </w:tabs>
    </w:pPr>
  </w:style>
  <w:style w:type="character" w:customStyle="1" w:styleId="PiedepginaCar">
    <w:name w:val="Pie de página Car"/>
    <w:basedOn w:val="Fuentedeprrafopredeter"/>
    <w:link w:val="Piedepgina"/>
    <w:uiPriority w:val="99"/>
    <w:rsid w:val="003E2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SOZZdgpIAeTkCOKpDjTnblWEg==">CgMxLjAyCGguZ2pkZ3hzMgloLjMwajB6bGwyCWguM3pueXNoNzIJaC4yZXQ5MnAwMghoLnR5amN3dDIOaC5lbno3d2ZpeGlwOTUyDmguZjV6eTBiejhsemdzMg5oLnU2OW5ybmx3ejMwMjIOaC40N3Y4Mndxd2I4YmUyDmguZXR0NnczYnNzMnV6Mg5oLmUwNTdib3J3N291eDIOaC40dWo0OWkxanl2b3c4AHIhMS1oQmRqUDA4UmNPd3lUZ0RPSWtSLVdvdkZxaXE3Y1A3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55</Pages>
  <Words>13487</Words>
  <Characters>74181</Characters>
  <Application>Microsoft Office Word</Application>
  <DocSecurity>0</DocSecurity>
  <Lines>618</Lines>
  <Paragraphs>174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2026-05-21T23:23:00Z</cp:lastPrinted>
  <dcterms:created xsi:type="dcterms:W3CDTF">2026-05-20T23:06:00Z</dcterms:created>
  <dcterms:modified xsi:type="dcterms:W3CDTF">2026-05-29T00:12:00Z</dcterms:modified>
</cp:coreProperties>
</file>