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3D55" w:rsidRPr="003B3CD8" w:rsidRDefault="00763D55" w:rsidP="00763D55">
      <w:pPr>
        <w:tabs>
          <w:tab w:val="left" w:pos="0"/>
        </w:tabs>
        <w:spacing w:line="360" w:lineRule="auto"/>
        <w:jc w:val="both"/>
        <w:rPr>
          <w:rFonts w:ascii="Palatino Linotype" w:eastAsia="Palatino Linotype" w:hAnsi="Palatino Linotype" w:cs="Palatino Linotype"/>
          <w:b/>
        </w:rPr>
      </w:pPr>
      <w:bookmarkStart w:id="0" w:name="_GoBack"/>
      <w:bookmarkEnd w:id="0"/>
      <w:r w:rsidRPr="003B3CD8">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w:t>
      </w:r>
      <w:r w:rsidR="003B3CD8">
        <w:rPr>
          <w:rFonts w:ascii="Palatino Linotype" w:eastAsia="Palatino Linotype" w:hAnsi="Palatino Linotype" w:cs="Palatino Linotype"/>
        </w:rPr>
        <w:t xml:space="preserve">n Metepec, Estado de México; </w:t>
      </w:r>
      <w:r w:rsidR="003B3CD8" w:rsidRPr="003B3CD8">
        <w:rPr>
          <w:rFonts w:ascii="Palatino Linotype" w:eastAsia="Palatino Linotype" w:hAnsi="Palatino Linotype" w:cs="Palatino Linotype"/>
          <w:b/>
        </w:rPr>
        <w:t>de fecha</w:t>
      </w:r>
      <w:r w:rsidRPr="003B3CD8">
        <w:rPr>
          <w:rFonts w:ascii="Palatino Linotype" w:eastAsia="Palatino Linotype" w:hAnsi="Palatino Linotype" w:cs="Palatino Linotype"/>
          <w:b/>
        </w:rPr>
        <w:t xml:space="preserve"> </w:t>
      </w:r>
      <w:r w:rsidR="000307D6" w:rsidRPr="003B3CD8">
        <w:rPr>
          <w:rFonts w:ascii="Palatino Linotype" w:eastAsia="Palatino Linotype" w:hAnsi="Palatino Linotype" w:cs="Palatino Linotype"/>
          <w:b/>
        </w:rPr>
        <w:t>once</w:t>
      </w:r>
      <w:r w:rsidR="003B3CD8" w:rsidRPr="003B3CD8">
        <w:rPr>
          <w:rFonts w:ascii="Palatino Linotype" w:eastAsia="Palatino Linotype" w:hAnsi="Palatino Linotype" w:cs="Palatino Linotype"/>
          <w:b/>
        </w:rPr>
        <w:t xml:space="preserve"> (11) </w:t>
      </w:r>
      <w:r w:rsidR="000307D6" w:rsidRPr="003B3CD8">
        <w:rPr>
          <w:rFonts w:ascii="Palatino Linotype" w:eastAsia="Palatino Linotype" w:hAnsi="Palatino Linotype" w:cs="Palatino Linotype"/>
          <w:b/>
        </w:rPr>
        <w:t>de febrero de dos mil veintiséis</w:t>
      </w:r>
      <w:r w:rsidRPr="003B3CD8">
        <w:rPr>
          <w:rFonts w:ascii="Palatino Linotype" w:eastAsia="Palatino Linotype" w:hAnsi="Palatino Linotype" w:cs="Palatino Linotype"/>
          <w:b/>
        </w:rPr>
        <w:t xml:space="preserve">. </w:t>
      </w:r>
    </w:p>
    <w:p w:rsidR="00763D55" w:rsidRPr="003B3CD8" w:rsidRDefault="00763D55" w:rsidP="00763D55">
      <w:pPr>
        <w:tabs>
          <w:tab w:val="left" w:pos="0"/>
        </w:tabs>
        <w:spacing w:line="360" w:lineRule="auto"/>
        <w:jc w:val="both"/>
        <w:rPr>
          <w:rFonts w:ascii="Palatino Linotype" w:eastAsia="Palatino Linotype" w:hAnsi="Palatino Linotype" w:cs="Palatino Linotype"/>
        </w:rPr>
      </w:pPr>
    </w:p>
    <w:p w:rsidR="00763D55" w:rsidRPr="003B3CD8" w:rsidRDefault="00763D55" w:rsidP="00763D55">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3B3CD8">
        <w:rPr>
          <w:rFonts w:ascii="Palatino Linotype" w:eastAsia="Palatino Linotype" w:hAnsi="Palatino Linotype" w:cs="Palatino Linotype"/>
          <w:b/>
          <w:color w:val="000000"/>
        </w:rPr>
        <w:t>VISTO</w:t>
      </w:r>
      <w:r w:rsidRPr="003B3CD8">
        <w:rPr>
          <w:rFonts w:ascii="Palatino Linotype" w:eastAsia="Palatino Linotype" w:hAnsi="Palatino Linotype" w:cs="Palatino Linotype"/>
          <w:color w:val="000000"/>
        </w:rPr>
        <w:t xml:space="preserve"> el expediente electrónico formado con motivo del recurso de revisión </w:t>
      </w:r>
      <w:r w:rsidR="000307D6" w:rsidRPr="003B3CD8">
        <w:rPr>
          <w:rFonts w:ascii="Palatino Linotype" w:eastAsia="Palatino Linotype" w:hAnsi="Palatino Linotype" w:cs="Palatino Linotype"/>
          <w:b/>
          <w:color w:val="000000"/>
        </w:rPr>
        <w:t>13358</w:t>
      </w:r>
      <w:r w:rsidRPr="003B3CD8">
        <w:rPr>
          <w:rFonts w:ascii="Palatino Linotype" w:eastAsia="Palatino Linotype" w:hAnsi="Palatino Linotype" w:cs="Palatino Linotype"/>
          <w:b/>
          <w:color w:val="000000"/>
        </w:rPr>
        <w:t xml:space="preserve">/INFOEM/IP/RR/2025, </w:t>
      </w:r>
      <w:r w:rsidRPr="003B3CD8">
        <w:rPr>
          <w:rFonts w:ascii="Palatino Linotype" w:eastAsia="Palatino Linotype" w:hAnsi="Palatino Linotype" w:cs="Palatino Linotype"/>
          <w:color w:val="000000"/>
        </w:rPr>
        <w:t xml:space="preserve">promovido por </w:t>
      </w:r>
      <w:r w:rsidR="008C3450">
        <w:rPr>
          <w:rFonts w:ascii="Palatino Linotype" w:eastAsia="Palatino Linotype" w:hAnsi="Palatino Linotype" w:cs="Palatino Linotype"/>
          <w:b/>
          <w:color w:val="000000"/>
        </w:rPr>
        <w:t>XXXX</w:t>
      </w:r>
      <w:r w:rsidRPr="003B3CD8">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sidRPr="003B3CD8">
        <w:rPr>
          <w:rFonts w:ascii="Palatino Linotype" w:eastAsia="Palatino Linotype" w:hAnsi="Palatino Linotype" w:cs="Palatino Linotype"/>
          <w:b/>
          <w:color w:val="000000"/>
        </w:rPr>
        <w:t>EL RECURRENTE</w:t>
      </w:r>
      <w:r w:rsidRPr="003B3CD8">
        <w:rPr>
          <w:rFonts w:ascii="Palatino Linotype" w:eastAsia="Palatino Linotype" w:hAnsi="Palatino Linotype" w:cs="Palatino Linotype"/>
          <w:color w:val="000000"/>
        </w:rPr>
        <w:t xml:space="preserve">, en contra de la respuesta del </w:t>
      </w:r>
      <w:r w:rsidRPr="003B3CD8">
        <w:rPr>
          <w:rFonts w:ascii="Palatino Linotype" w:eastAsia="Palatino Linotype" w:hAnsi="Palatino Linotype" w:cs="Palatino Linotype"/>
          <w:b/>
          <w:color w:val="000000"/>
        </w:rPr>
        <w:t>Ayuntamiento de Coacalco</w:t>
      </w:r>
      <w:r w:rsidR="000307D6" w:rsidRPr="003B3CD8">
        <w:rPr>
          <w:rFonts w:ascii="Palatino Linotype" w:eastAsia="Palatino Linotype" w:hAnsi="Palatino Linotype" w:cs="Palatino Linotype"/>
          <w:b/>
          <w:color w:val="000000"/>
        </w:rPr>
        <w:t xml:space="preserve"> de Berriozábal</w:t>
      </w:r>
      <w:r w:rsidRPr="003B3CD8">
        <w:rPr>
          <w:rFonts w:ascii="Palatino Linotype" w:eastAsia="Palatino Linotype" w:hAnsi="Palatino Linotype" w:cs="Palatino Linotype"/>
          <w:color w:val="000000"/>
        </w:rPr>
        <w:t xml:space="preserve">, en </w:t>
      </w:r>
      <w:r w:rsidR="003B3CD8">
        <w:rPr>
          <w:rFonts w:ascii="Palatino Linotype" w:eastAsia="Palatino Linotype" w:hAnsi="Palatino Linotype" w:cs="Palatino Linotype"/>
          <w:color w:val="000000"/>
        </w:rPr>
        <w:t>adelante</w:t>
      </w:r>
      <w:r w:rsidRPr="003B3CD8">
        <w:rPr>
          <w:rFonts w:ascii="Palatino Linotype" w:eastAsia="Palatino Linotype" w:hAnsi="Palatino Linotype" w:cs="Palatino Linotype"/>
          <w:color w:val="000000"/>
        </w:rPr>
        <w:t xml:space="preserve"> </w:t>
      </w:r>
      <w:r w:rsidRPr="003B3CD8">
        <w:rPr>
          <w:rFonts w:ascii="Palatino Linotype" w:eastAsia="Palatino Linotype" w:hAnsi="Palatino Linotype" w:cs="Palatino Linotype"/>
          <w:b/>
          <w:color w:val="000000"/>
        </w:rPr>
        <w:t>EL SUJETO OBLIGADO</w:t>
      </w:r>
      <w:r w:rsidRPr="003B3CD8">
        <w:rPr>
          <w:rFonts w:ascii="Palatino Linotype" w:eastAsia="Palatino Linotype" w:hAnsi="Palatino Linotype" w:cs="Palatino Linotype"/>
          <w:color w:val="000000"/>
        </w:rPr>
        <w:t>, se procede a dictar la presente resolución, con base en los siguientes:</w:t>
      </w:r>
    </w:p>
    <w:p w:rsidR="00763D55" w:rsidRPr="003B3CD8" w:rsidRDefault="00763D55" w:rsidP="00763D55">
      <w:pPr>
        <w:spacing w:line="360" w:lineRule="auto"/>
        <w:jc w:val="both"/>
        <w:rPr>
          <w:rFonts w:ascii="Palatino Linotype" w:eastAsia="Palatino Linotype" w:hAnsi="Palatino Linotype" w:cs="Palatino Linotype"/>
        </w:rPr>
      </w:pPr>
    </w:p>
    <w:p w:rsidR="00763D55" w:rsidRPr="003B3CD8" w:rsidRDefault="00763D55" w:rsidP="00763D55">
      <w:pPr>
        <w:keepNext/>
        <w:keepLines/>
        <w:tabs>
          <w:tab w:val="left" w:pos="0"/>
        </w:tabs>
        <w:spacing w:line="360" w:lineRule="auto"/>
        <w:jc w:val="center"/>
        <w:rPr>
          <w:rFonts w:ascii="Palatino Linotype" w:eastAsia="Palatino Linotype" w:hAnsi="Palatino Linotype" w:cs="Palatino Linotype"/>
          <w:b/>
        </w:rPr>
      </w:pPr>
      <w:bookmarkStart w:id="1" w:name="_heading=h.1rxfmt2qer3l" w:colFirst="0" w:colLast="0"/>
      <w:bookmarkEnd w:id="1"/>
      <w:r w:rsidRPr="003B3CD8">
        <w:rPr>
          <w:rFonts w:ascii="Palatino Linotype" w:eastAsia="Palatino Linotype" w:hAnsi="Palatino Linotype" w:cs="Palatino Linotype"/>
          <w:b/>
        </w:rPr>
        <w:t>A</w:t>
      </w:r>
      <w:r w:rsidR="003B3CD8">
        <w:rPr>
          <w:rFonts w:ascii="Palatino Linotype" w:eastAsia="Palatino Linotype" w:hAnsi="Palatino Linotype" w:cs="Palatino Linotype"/>
          <w:b/>
        </w:rPr>
        <w:t xml:space="preserve"> </w:t>
      </w:r>
      <w:r w:rsidRPr="003B3CD8">
        <w:rPr>
          <w:rFonts w:ascii="Palatino Linotype" w:eastAsia="Palatino Linotype" w:hAnsi="Palatino Linotype" w:cs="Palatino Linotype"/>
          <w:b/>
        </w:rPr>
        <w:t>N</w:t>
      </w:r>
      <w:r w:rsidR="003B3CD8">
        <w:rPr>
          <w:rFonts w:ascii="Palatino Linotype" w:eastAsia="Palatino Linotype" w:hAnsi="Palatino Linotype" w:cs="Palatino Linotype"/>
          <w:b/>
        </w:rPr>
        <w:t xml:space="preserve"> </w:t>
      </w:r>
      <w:r w:rsidRPr="003B3CD8">
        <w:rPr>
          <w:rFonts w:ascii="Palatino Linotype" w:eastAsia="Palatino Linotype" w:hAnsi="Palatino Linotype" w:cs="Palatino Linotype"/>
          <w:b/>
        </w:rPr>
        <w:t>T</w:t>
      </w:r>
      <w:r w:rsidR="003B3CD8">
        <w:rPr>
          <w:rFonts w:ascii="Palatino Linotype" w:eastAsia="Palatino Linotype" w:hAnsi="Palatino Linotype" w:cs="Palatino Linotype"/>
          <w:b/>
        </w:rPr>
        <w:t xml:space="preserve"> </w:t>
      </w:r>
      <w:r w:rsidRPr="003B3CD8">
        <w:rPr>
          <w:rFonts w:ascii="Palatino Linotype" w:eastAsia="Palatino Linotype" w:hAnsi="Palatino Linotype" w:cs="Palatino Linotype"/>
          <w:b/>
        </w:rPr>
        <w:t>E</w:t>
      </w:r>
      <w:r w:rsidR="003B3CD8">
        <w:rPr>
          <w:rFonts w:ascii="Palatino Linotype" w:eastAsia="Palatino Linotype" w:hAnsi="Palatino Linotype" w:cs="Palatino Linotype"/>
          <w:b/>
        </w:rPr>
        <w:t xml:space="preserve"> </w:t>
      </w:r>
      <w:r w:rsidRPr="003B3CD8">
        <w:rPr>
          <w:rFonts w:ascii="Palatino Linotype" w:eastAsia="Palatino Linotype" w:hAnsi="Palatino Linotype" w:cs="Palatino Linotype"/>
          <w:b/>
        </w:rPr>
        <w:t>C</w:t>
      </w:r>
      <w:r w:rsidR="003B3CD8">
        <w:rPr>
          <w:rFonts w:ascii="Palatino Linotype" w:eastAsia="Palatino Linotype" w:hAnsi="Palatino Linotype" w:cs="Palatino Linotype"/>
          <w:b/>
        </w:rPr>
        <w:t xml:space="preserve"> </w:t>
      </w:r>
      <w:r w:rsidRPr="003B3CD8">
        <w:rPr>
          <w:rFonts w:ascii="Palatino Linotype" w:eastAsia="Palatino Linotype" w:hAnsi="Palatino Linotype" w:cs="Palatino Linotype"/>
          <w:b/>
        </w:rPr>
        <w:t>E</w:t>
      </w:r>
      <w:r w:rsidR="003B3CD8">
        <w:rPr>
          <w:rFonts w:ascii="Palatino Linotype" w:eastAsia="Palatino Linotype" w:hAnsi="Palatino Linotype" w:cs="Palatino Linotype"/>
          <w:b/>
        </w:rPr>
        <w:t xml:space="preserve"> </w:t>
      </w:r>
      <w:r w:rsidRPr="003B3CD8">
        <w:rPr>
          <w:rFonts w:ascii="Palatino Linotype" w:eastAsia="Palatino Linotype" w:hAnsi="Palatino Linotype" w:cs="Palatino Linotype"/>
          <w:b/>
        </w:rPr>
        <w:t>D</w:t>
      </w:r>
      <w:r w:rsidR="003B3CD8">
        <w:rPr>
          <w:rFonts w:ascii="Palatino Linotype" w:eastAsia="Palatino Linotype" w:hAnsi="Palatino Linotype" w:cs="Palatino Linotype"/>
          <w:b/>
        </w:rPr>
        <w:t xml:space="preserve"> </w:t>
      </w:r>
      <w:r w:rsidRPr="003B3CD8">
        <w:rPr>
          <w:rFonts w:ascii="Palatino Linotype" w:eastAsia="Palatino Linotype" w:hAnsi="Palatino Linotype" w:cs="Palatino Linotype"/>
          <w:b/>
        </w:rPr>
        <w:t>E</w:t>
      </w:r>
      <w:r w:rsidR="003B3CD8">
        <w:rPr>
          <w:rFonts w:ascii="Palatino Linotype" w:eastAsia="Palatino Linotype" w:hAnsi="Palatino Linotype" w:cs="Palatino Linotype"/>
          <w:b/>
        </w:rPr>
        <w:t xml:space="preserve"> </w:t>
      </w:r>
      <w:r w:rsidRPr="003B3CD8">
        <w:rPr>
          <w:rFonts w:ascii="Palatino Linotype" w:eastAsia="Palatino Linotype" w:hAnsi="Palatino Linotype" w:cs="Palatino Linotype"/>
          <w:b/>
        </w:rPr>
        <w:t>N</w:t>
      </w:r>
      <w:r w:rsidR="003B3CD8">
        <w:rPr>
          <w:rFonts w:ascii="Palatino Linotype" w:eastAsia="Palatino Linotype" w:hAnsi="Palatino Linotype" w:cs="Palatino Linotype"/>
          <w:b/>
        </w:rPr>
        <w:t xml:space="preserve"> </w:t>
      </w:r>
      <w:r w:rsidRPr="003B3CD8">
        <w:rPr>
          <w:rFonts w:ascii="Palatino Linotype" w:eastAsia="Palatino Linotype" w:hAnsi="Palatino Linotype" w:cs="Palatino Linotype"/>
          <w:b/>
        </w:rPr>
        <w:t>T</w:t>
      </w:r>
      <w:r w:rsidR="003B3CD8">
        <w:rPr>
          <w:rFonts w:ascii="Palatino Linotype" w:eastAsia="Palatino Linotype" w:hAnsi="Palatino Linotype" w:cs="Palatino Linotype"/>
          <w:b/>
        </w:rPr>
        <w:t xml:space="preserve"> </w:t>
      </w:r>
      <w:r w:rsidRPr="003B3CD8">
        <w:rPr>
          <w:rFonts w:ascii="Palatino Linotype" w:eastAsia="Palatino Linotype" w:hAnsi="Palatino Linotype" w:cs="Palatino Linotype"/>
          <w:b/>
        </w:rPr>
        <w:t>E</w:t>
      </w:r>
      <w:r w:rsidR="003B3CD8">
        <w:rPr>
          <w:rFonts w:ascii="Palatino Linotype" w:eastAsia="Palatino Linotype" w:hAnsi="Palatino Linotype" w:cs="Palatino Linotype"/>
          <w:b/>
        </w:rPr>
        <w:t xml:space="preserve"> </w:t>
      </w:r>
      <w:r w:rsidRPr="003B3CD8">
        <w:rPr>
          <w:rFonts w:ascii="Palatino Linotype" w:eastAsia="Palatino Linotype" w:hAnsi="Palatino Linotype" w:cs="Palatino Linotype"/>
          <w:b/>
        </w:rPr>
        <w:t>S</w:t>
      </w:r>
    </w:p>
    <w:p w:rsidR="00763D55" w:rsidRPr="003B3CD8" w:rsidRDefault="00763D55" w:rsidP="00763D55">
      <w:pPr>
        <w:keepNext/>
        <w:keepLines/>
        <w:tabs>
          <w:tab w:val="left" w:pos="0"/>
        </w:tabs>
        <w:spacing w:line="360" w:lineRule="auto"/>
        <w:jc w:val="center"/>
        <w:rPr>
          <w:rFonts w:ascii="Palatino Linotype" w:eastAsia="Palatino Linotype" w:hAnsi="Palatino Linotype" w:cs="Palatino Linotype"/>
          <w:b/>
        </w:rPr>
      </w:pPr>
    </w:p>
    <w:p w:rsidR="00763D55" w:rsidRPr="003B3CD8" w:rsidRDefault="00763D55" w:rsidP="00763D55">
      <w:pPr>
        <w:numPr>
          <w:ilvl w:val="0"/>
          <w:numId w:val="4"/>
        </w:numPr>
        <w:tabs>
          <w:tab w:val="left" w:pos="0"/>
        </w:tabs>
        <w:spacing w:line="360" w:lineRule="auto"/>
        <w:ind w:left="0" w:firstLine="0"/>
        <w:jc w:val="both"/>
        <w:rPr>
          <w:rFonts w:ascii="Palatino Linotype" w:eastAsia="Palatino Linotype" w:hAnsi="Palatino Linotype" w:cs="Palatino Linotype"/>
        </w:rPr>
      </w:pPr>
      <w:r w:rsidRPr="003B3CD8">
        <w:rPr>
          <w:rFonts w:ascii="Palatino Linotype" w:eastAsia="Palatino Linotype" w:hAnsi="Palatino Linotype" w:cs="Palatino Linotype"/>
        </w:rPr>
        <w:t xml:space="preserve">El </w:t>
      </w:r>
      <w:r w:rsidR="000307D6" w:rsidRPr="003B3CD8">
        <w:rPr>
          <w:rFonts w:ascii="Palatino Linotype" w:eastAsia="Palatino Linotype" w:hAnsi="Palatino Linotype" w:cs="Palatino Linotype"/>
          <w:b/>
        </w:rPr>
        <w:t xml:space="preserve">catorce de noviembre </w:t>
      </w:r>
      <w:r w:rsidRPr="003B3CD8">
        <w:rPr>
          <w:rFonts w:ascii="Palatino Linotype" w:eastAsia="Palatino Linotype" w:hAnsi="Palatino Linotype" w:cs="Palatino Linotype"/>
          <w:b/>
        </w:rPr>
        <w:t>de dos mil veinticinco</w:t>
      </w:r>
      <w:r w:rsidRPr="003B3CD8">
        <w:rPr>
          <w:rFonts w:ascii="Palatino Linotype" w:eastAsia="Palatino Linotype" w:hAnsi="Palatino Linotype" w:cs="Palatino Linotype"/>
        </w:rPr>
        <w:t>, el</w:t>
      </w:r>
      <w:r w:rsidRPr="003B3CD8">
        <w:rPr>
          <w:rFonts w:ascii="Palatino Linotype" w:eastAsia="Palatino Linotype" w:hAnsi="Palatino Linotype" w:cs="Palatino Linotype"/>
          <w:b/>
        </w:rPr>
        <w:t xml:space="preserve"> </w:t>
      </w:r>
      <w:r w:rsidRPr="003B3CD8">
        <w:rPr>
          <w:rFonts w:ascii="Palatino Linotype" w:eastAsia="Palatino Linotype" w:hAnsi="Palatino Linotype" w:cs="Palatino Linotype"/>
        </w:rPr>
        <w:t>solicitante</w:t>
      </w:r>
      <w:r w:rsidRPr="003B3CD8">
        <w:rPr>
          <w:rFonts w:ascii="Palatino Linotype" w:eastAsia="Palatino Linotype" w:hAnsi="Palatino Linotype" w:cs="Palatino Linotype"/>
          <w:b/>
        </w:rPr>
        <w:t xml:space="preserve"> </w:t>
      </w:r>
      <w:r w:rsidRPr="003B3CD8">
        <w:rPr>
          <w:rFonts w:ascii="Palatino Linotype" w:eastAsia="Palatino Linotype" w:hAnsi="Palatino Linotype" w:cs="Palatino Linotype"/>
        </w:rPr>
        <w:t>presentó</w:t>
      </w:r>
      <w:r w:rsidRPr="003B3CD8">
        <w:rPr>
          <w:rFonts w:ascii="Palatino Linotype" w:eastAsia="Palatino Linotype" w:hAnsi="Palatino Linotype" w:cs="Palatino Linotype"/>
          <w:b/>
        </w:rPr>
        <w:t xml:space="preserve"> </w:t>
      </w:r>
      <w:r w:rsidRPr="003B3CD8">
        <w:rPr>
          <w:rFonts w:ascii="Palatino Linotype" w:eastAsia="Palatino Linotype" w:hAnsi="Palatino Linotype" w:cs="Palatino Linotype"/>
        </w:rPr>
        <w:t xml:space="preserve">ante el </w:t>
      </w:r>
      <w:r w:rsidRPr="003B3CD8">
        <w:rPr>
          <w:rFonts w:ascii="Palatino Linotype" w:eastAsia="Palatino Linotype" w:hAnsi="Palatino Linotype" w:cs="Palatino Linotype"/>
          <w:b/>
        </w:rPr>
        <w:t>SUJETO OBLIGADO,</w:t>
      </w:r>
      <w:r w:rsidRPr="003B3CD8">
        <w:rPr>
          <w:rFonts w:ascii="Palatino Linotype" w:eastAsia="Palatino Linotype" w:hAnsi="Palatino Linotype" w:cs="Palatino Linotype"/>
        </w:rPr>
        <w:t xml:space="preserve"> a través del Sistema de Acceso a la Información Mexiquense (SAIMEX), la solicitud de información pública registrada con el número </w:t>
      </w:r>
      <w:r w:rsidR="000307D6" w:rsidRPr="003B3CD8">
        <w:rPr>
          <w:rFonts w:ascii="Palatino Linotype" w:eastAsia="Palatino Linotype" w:hAnsi="Palatino Linotype" w:cs="Palatino Linotype"/>
          <w:b/>
        </w:rPr>
        <w:t>00228</w:t>
      </w:r>
      <w:r w:rsidRPr="003B3CD8">
        <w:rPr>
          <w:rFonts w:ascii="Palatino Linotype" w:eastAsia="Palatino Linotype" w:hAnsi="Palatino Linotype" w:cs="Palatino Linotype"/>
          <w:b/>
        </w:rPr>
        <w:t>/COACALCO/IP/2025</w:t>
      </w:r>
      <w:r w:rsidRPr="003B3CD8">
        <w:rPr>
          <w:rFonts w:ascii="Palatino Linotype" w:eastAsia="Palatino Linotype" w:hAnsi="Palatino Linotype" w:cs="Palatino Linotype"/>
        </w:rPr>
        <w:t xml:space="preserve">, </w:t>
      </w:r>
      <w:r w:rsidR="003B3CD8">
        <w:rPr>
          <w:rFonts w:ascii="Palatino Linotype" w:eastAsia="Palatino Linotype" w:hAnsi="Palatino Linotype" w:cs="Palatino Linotype"/>
        </w:rPr>
        <w:t>en la que</w:t>
      </w:r>
      <w:r w:rsidRPr="003B3CD8">
        <w:rPr>
          <w:rFonts w:ascii="Palatino Linotype" w:eastAsia="Palatino Linotype" w:hAnsi="Palatino Linotype" w:cs="Palatino Linotype"/>
        </w:rPr>
        <w:t xml:space="preserve"> se solicitó:</w:t>
      </w:r>
    </w:p>
    <w:p w:rsidR="00763D55" w:rsidRPr="003B3CD8" w:rsidRDefault="00763D55" w:rsidP="00763D55">
      <w:pPr>
        <w:pBdr>
          <w:top w:val="nil"/>
          <w:left w:val="nil"/>
          <w:bottom w:val="nil"/>
          <w:right w:val="nil"/>
          <w:between w:val="nil"/>
        </w:pBdr>
        <w:ind w:left="567" w:right="567"/>
        <w:jc w:val="both"/>
        <w:rPr>
          <w:rFonts w:ascii="Palatino Linotype" w:eastAsia="Palatino Linotype" w:hAnsi="Palatino Linotype" w:cs="Palatino Linotype"/>
          <w:b/>
          <w:i/>
        </w:rPr>
      </w:pPr>
    </w:p>
    <w:p w:rsidR="00763D55" w:rsidRPr="003B3CD8" w:rsidRDefault="00763D55" w:rsidP="00763D55">
      <w:pPr>
        <w:pBdr>
          <w:top w:val="nil"/>
          <w:left w:val="nil"/>
          <w:bottom w:val="nil"/>
          <w:right w:val="nil"/>
          <w:between w:val="nil"/>
        </w:pBdr>
        <w:ind w:left="567" w:right="567"/>
        <w:jc w:val="both"/>
        <w:rPr>
          <w:rFonts w:ascii="Palatino Linotype" w:eastAsia="Palatino Linotype" w:hAnsi="Palatino Linotype" w:cs="Palatino Linotype"/>
          <w:i/>
          <w:color w:val="000000"/>
        </w:rPr>
      </w:pPr>
      <w:r w:rsidRPr="003B3CD8">
        <w:rPr>
          <w:rFonts w:ascii="Palatino Linotype" w:eastAsia="Palatino Linotype" w:hAnsi="Palatino Linotype" w:cs="Palatino Linotype"/>
          <w:i/>
          <w:color w:val="000000"/>
        </w:rPr>
        <w:t>“</w:t>
      </w:r>
      <w:r w:rsidR="000307D6" w:rsidRPr="003B3CD8">
        <w:rPr>
          <w:rFonts w:ascii="Palatino Linotype" w:eastAsia="Palatino Linotype" w:hAnsi="Palatino Linotype" w:cs="Palatino Linotype"/>
          <w:i/>
          <w:color w:val="000000"/>
        </w:rPr>
        <w:t>SOLICITO EL PADRON DE LAS EMPRESAS QUE SE ENCUENTRAN EN LA JURISDICCION DEL MUNICIPIO QUE SE DEDIQUEN A LA FABRICACION DE PRODUCTOS METALICOS EN DONDE SE INFORME LA RAZÓN SOCIAL, DOMICILIO Y NUMERO TELEFONICO, CORREO ELECTRONICO, SOY UN EMPRENDEDOR QUE BUSCA OFERCER ACERO CON EL OBJETO DE GENERAR NUEVOS EMPLEOS</w:t>
      </w:r>
      <w:r w:rsidRPr="003B3CD8">
        <w:rPr>
          <w:rFonts w:ascii="Palatino Linotype" w:eastAsia="Palatino Linotype" w:hAnsi="Palatino Linotype" w:cs="Palatino Linotype"/>
          <w:i/>
          <w:color w:val="000000"/>
        </w:rPr>
        <w:t>” (Sic.)</w:t>
      </w:r>
    </w:p>
    <w:p w:rsidR="00763D55" w:rsidRDefault="00763D55" w:rsidP="00763D55">
      <w:pPr>
        <w:tabs>
          <w:tab w:val="left" w:pos="0"/>
        </w:tabs>
        <w:spacing w:line="360" w:lineRule="auto"/>
        <w:ind w:right="49"/>
        <w:jc w:val="both"/>
        <w:rPr>
          <w:rFonts w:ascii="Palatino Linotype" w:eastAsia="Palatino Linotype" w:hAnsi="Palatino Linotype" w:cs="Palatino Linotype"/>
        </w:rPr>
      </w:pPr>
    </w:p>
    <w:p w:rsidR="003B3CD8" w:rsidRPr="003B3CD8" w:rsidRDefault="003B3CD8" w:rsidP="00763D55">
      <w:pPr>
        <w:tabs>
          <w:tab w:val="left" w:pos="0"/>
        </w:tabs>
        <w:spacing w:line="360" w:lineRule="auto"/>
        <w:ind w:right="49"/>
        <w:jc w:val="both"/>
        <w:rPr>
          <w:rFonts w:ascii="Palatino Linotype" w:eastAsia="Palatino Linotype" w:hAnsi="Palatino Linotype" w:cs="Palatino Linotype"/>
        </w:rPr>
      </w:pPr>
    </w:p>
    <w:p w:rsidR="00763D55" w:rsidRPr="003B3CD8" w:rsidRDefault="00763D55" w:rsidP="00763D55">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i/>
          <w:color w:val="000000"/>
        </w:rPr>
      </w:pPr>
      <w:r w:rsidRPr="003B3CD8">
        <w:rPr>
          <w:rFonts w:ascii="Palatino Linotype" w:eastAsia="Palatino Linotype" w:hAnsi="Palatino Linotype" w:cs="Palatino Linotype"/>
          <w:color w:val="000000"/>
        </w:rPr>
        <w:lastRenderedPageBreak/>
        <w:t>Se hace constar que se señaló como modalidad de entrega de la información a través de SAIMEX.</w:t>
      </w:r>
    </w:p>
    <w:p w:rsidR="00763D55" w:rsidRPr="003B3CD8" w:rsidRDefault="00763D55" w:rsidP="00763D55">
      <w:pPr>
        <w:rPr>
          <w:rFonts w:ascii="Palatino Linotype" w:eastAsia="Palatino Linotype" w:hAnsi="Palatino Linotype" w:cs="Palatino Linotype"/>
        </w:rPr>
      </w:pPr>
    </w:p>
    <w:p w:rsidR="00763D55" w:rsidRPr="003B3CD8" w:rsidRDefault="00763D55" w:rsidP="00763D55">
      <w:pPr>
        <w:numPr>
          <w:ilvl w:val="0"/>
          <w:numId w:val="4"/>
        </w:numPr>
        <w:tabs>
          <w:tab w:val="left" w:pos="0"/>
        </w:tabs>
        <w:spacing w:line="360" w:lineRule="auto"/>
        <w:ind w:left="0" w:right="34" w:firstLine="0"/>
        <w:jc w:val="both"/>
        <w:rPr>
          <w:rFonts w:ascii="Palatino Linotype" w:eastAsia="Palatino Linotype" w:hAnsi="Palatino Linotype" w:cs="Palatino Linotype"/>
        </w:rPr>
      </w:pPr>
      <w:r w:rsidRPr="003B3CD8">
        <w:rPr>
          <w:rFonts w:ascii="Palatino Linotype" w:eastAsia="Palatino Linotype" w:hAnsi="Palatino Linotype" w:cs="Palatino Linotype"/>
        </w:rPr>
        <w:t xml:space="preserve">El </w:t>
      </w:r>
      <w:r w:rsidRPr="003B3CD8">
        <w:rPr>
          <w:rFonts w:ascii="Palatino Linotype" w:eastAsia="Palatino Linotype" w:hAnsi="Palatino Linotype" w:cs="Palatino Linotype"/>
          <w:b/>
        </w:rPr>
        <w:t>cuatro de julio de dos mil veinticinco</w:t>
      </w:r>
      <w:r w:rsidRPr="003B3CD8">
        <w:rPr>
          <w:rFonts w:ascii="Palatino Linotype" w:eastAsia="Palatino Linotype" w:hAnsi="Palatino Linotype" w:cs="Palatino Linotype"/>
        </w:rPr>
        <w:t>, el Sujeto Obligado dio respuesta a la solicitud de información en el siguiente sentido:</w:t>
      </w:r>
    </w:p>
    <w:p w:rsidR="00763D55" w:rsidRPr="003B3CD8" w:rsidRDefault="00763D55" w:rsidP="00763D55">
      <w:pPr>
        <w:ind w:left="567" w:right="567"/>
        <w:jc w:val="both"/>
        <w:rPr>
          <w:rFonts w:ascii="Palatino Linotype" w:eastAsia="Palatino Linotype" w:hAnsi="Palatino Linotype" w:cs="Palatino Linotype"/>
          <w:i/>
        </w:rPr>
      </w:pPr>
      <w:r w:rsidRPr="003B3CD8">
        <w:rPr>
          <w:rFonts w:ascii="Palatino Linotype" w:eastAsia="Palatino Linotype" w:hAnsi="Palatino Linotype" w:cs="Palatino Linotype"/>
          <w:i/>
        </w:rPr>
        <w:t>“</w:t>
      </w:r>
      <w:r w:rsidR="000307D6" w:rsidRPr="003B3CD8">
        <w:rPr>
          <w:rFonts w:ascii="Palatino Linotype" w:eastAsia="Palatino Linotype" w:hAnsi="Palatino Linotype" w:cs="Palatino Linotype"/>
          <w:i/>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763D55" w:rsidRPr="003B3CD8" w:rsidRDefault="00763D55" w:rsidP="00763D55">
      <w:pPr>
        <w:ind w:left="567" w:right="567"/>
        <w:jc w:val="both"/>
        <w:rPr>
          <w:rFonts w:ascii="Palatino Linotype" w:eastAsia="Palatino Linotype" w:hAnsi="Palatino Linotype" w:cs="Palatino Linotype"/>
          <w:i/>
        </w:rPr>
      </w:pPr>
    </w:p>
    <w:p w:rsidR="00763D55" w:rsidRPr="003B3CD8" w:rsidRDefault="00763D55" w:rsidP="00763D55">
      <w:pPr>
        <w:ind w:left="567" w:right="567"/>
        <w:jc w:val="both"/>
        <w:rPr>
          <w:rFonts w:ascii="Palatino Linotype" w:eastAsia="Palatino Linotype" w:hAnsi="Palatino Linotype" w:cs="Palatino Linotype"/>
          <w:i/>
        </w:rPr>
      </w:pPr>
      <w:r w:rsidRPr="003B3CD8">
        <w:rPr>
          <w:rFonts w:ascii="Palatino Linotype" w:eastAsia="Palatino Linotype" w:hAnsi="Palatino Linotype" w:cs="Palatino Linotype"/>
          <w:i/>
        </w:rPr>
        <w:t>Se emite respuesta” (Sic)</w:t>
      </w:r>
    </w:p>
    <w:p w:rsidR="00763D55" w:rsidRPr="003B3CD8" w:rsidRDefault="00763D55" w:rsidP="00763D55">
      <w:pPr>
        <w:tabs>
          <w:tab w:val="left" w:pos="0"/>
        </w:tabs>
        <w:spacing w:line="360" w:lineRule="auto"/>
        <w:ind w:right="34"/>
        <w:jc w:val="both"/>
        <w:rPr>
          <w:rFonts w:ascii="Palatino Linotype" w:eastAsia="Palatino Linotype" w:hAnsi="Palatino Linotype" w:cs="Palatino Linotype"/>
        </w:rPr>
      </w:pPr>
      <w:bookmarkStart w:id="2" w:name="_heading=h.fd9nrwokjrg5" w:colFirst="0" w:colLast="0"/>
      <w:bookmarkEnd w:id="2"/>
    </w:p>
    <w:p w:rsidR="00763D55" w:rsidRPr="003B3CD8" w:rsidRDefault="00763D55" w:rsidP="00763D55">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3B3CD8">
        <w:rPr>
          <w:rFonts w:ascii="Palatino Linotype" w:eastAsia="Palatino Linotype" w:hAnsi="Palatino Linotype" w:cs="Palatino Linotype"/>
          <w:color w:val="000000"/>
        </w:rPr>
        <w:t>Se adjuntaron los siguientes archivos electrónicos:</w:t>
      </w:r>
    </w:p>
    <w:p w:rsidR="000307D6" w:rsidRPr="003B3CD8" w:rsidRDefault="000307D6" w:rsidP="00763D55">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3B3CD8">
        <w:rPr>
          <w:rFonts w:ascii="Palatino Linotype" w:eastAsia="Palatino Linotype" w:hAnsi="Palatino Linotype" w:cs="Palatino Linotype"/>
          <w:b/>
          <w:color w:val="000000"/>
        </w:rPr>
        <w:t>Respuesta 228</w:t>
      </w:r>
      <w:r w:rsidR="00763D55" w:rsidRPr="003B3CD8">
        <w:rPr>
          <w:rFonts w:ascii="Palatino Linotype" w:eastAsia="Palatino Linotype" w:hAnsi="Palatino Linotype" w:cs="Palatino Linotype"/>
          <w:b/>
          <w:color w:val="000000"/>
        </w:rPr>
        <w:t xml:space="preserve">.pdf: </w:t>
      </w:r>
      <w:r w:rsidR="00763D55" w:rsidRPr="003B3CD8">
        <w:rPr>
          <w:rFonts w:ascii="Palatino Linotype" w:eastAsia="Palatino Linotype" w:hAnsi="Palatino Linotype" w:cs="Palatino Linotype"/>
          <w:color w:val="000000"/>
        </w:rPr>
        <w:t>Oficio</w:t>
      </w:r>
      <w:r w:rsidRPr="003B3CD8">
        <w:rPr>
          <w:rFonts w:ascii="Palatino Linotype" w:eastAsia="Palatino Linotype" w:hAnsi="Palatino Linotype" w:cs="Palatino Linotype"/>
          <w:color w:val="000000"/>
        </w:rPr>
        <w:t xml:space="preserve"> DDYFE/398/2025</w:t>
      </w:r>
      <w:r w:rsidR="00763D55" w:rsidRPr="003B3CD8">
        <w:rPr>
          <w:rFonts w:ascii="Palatino Linotype" w:eastAsia="Palatino Linotype" w:hAnsi="Palatino Linotype" w:cs="Palatino Linotype"/>
          <w:color w:val="000000"/>
        </w:rPr>
        <w:t xml:space="preserve"> de fecha </w:t>
      </w:r>
      <w:r w:rsidRPr="003B3CD8">
        <w:rPr>
          <w:rFonts w:ascii="Palatino Linotype" w:eastAsia="Palatino Linotype" w:hAnsi="Palatino Linotype" w:cs="Palatino Linotype"/>
          <w:color w:val="000000"/>
        </w:rPr>
        <w:t>veinticinco de noviembre de dos mil veinticinco, suscrito por el Director de Desarrollo y fomento Económico, mediante el cual informa que se hizo una búsqueda en el Catalogo de Giros que existe y no se encontró alguna Unidad Económica bajo el giro mencionado en la solicitud.</w:t>
      </w:r>
    </w:p>
    <w:p w:rsidR="000307D6" w:rsidRPr="003B3CD8" w:rsidRDefault="000307D6" w:rsidP="00763D55">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3B3CD8">
        <w:rPr>
          <w:rFonts w:ascii="Palatino Linotype" w:eastAsia="Palatino Linotype" w:hAnsi="Palatino Linotype" w:cs="Palatino Linotype"/>
          <w:b/>
          <w:color w:val="000000"/>
        </w:rPr>
        <w:t xml:space="preserve">Informe 228.pdf: </w:t>
      </w:r>
      <w:r w:rsidRPr="003B3CD8">
        <w:rPr>
          <w:rFonts w:ascii="Palatino Linotype" w:eastAsia="Palatino Linotype" w:hAnsi="Palatino Linotype" w:cs="Palatino Linotype"/>
          <w:color w:val="000000"/>
        </w:rPr>
        <w:t>Oficio de fecha uno de diciembre de dos mil veinticinco, signado por el titular de la Coordinación de Transparencia y Protección de Datos Personales adscrita a la Dirección Jurídica del Ayuntamiento de Coacalco de Berriozábal, a través del cual indica que la solicitud de información fue turnada a la Dirección de Desarrollo y Fomento Económico, Unidad Administrativa que emite</w:t>
      </w:r>
      <w:r w:rsidR="00881370" w:rsidRPr="003B3CD8">
        <w:rPr>
          <w:rFonts w:ascii="Palatino Linotype" w:eastAsia="Palatino Linotype" w:hAnsi="Palatino Linotype" w:cs="Palatino Linotype"/>
          <w:color w:val="000000"/>
        </w:rPr>
        <w:t xml:space="preserve"> respuesta a través del oficio </w:t>
      </w:r>
      <w:r w:rsidRPr="003B3CD8">
        <w:rPr>
          <w:rFonts w:ascii="Palatino Linotype" w:eastAsia="Palatino Linotype" w:hAnsi="Palatino Linotype" w:cs="Palatino Linotype"/>
          <w:color w:val="000000"/>
        </w:rPr>
        <w:t>DDYFE/398/2025, descrito en el punto que antecede.</w:t>
      </w:r>
    </w:p>
    <w:p w:rsidR="000307D6" w:rsidRPr="003B3CD8" w:rsidRDefault="000307D6" w:rsidP="000307D6">
      <w:pPr>
        <w:pStyle w:val="Prrafodelista"/>
        <w:rPr>
          <w:rFonts w:ascii="Palatino Linotype" w:eastAsia="Palatino Linotype" w:hAnsi="Palatino Linotype" w:cs="Palatino Linotype"/>
          <w:color w:val="000000"/>
        </w:rPr>
      </w:pPr>
    </w:p>
    <w:p w:rsidR="00763D55" w:rsidRPr="003B3CD8" w:rsidRDefault="00763D55" w:rsidP="00763D55">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3B3CD8">
        <w:rPr>
          <w:rFonts w:ascii="Palatino Linotype" w:eastAsia="Palatino Linotype" w:hAnsi="Palatino Linotype" w:cs="Palatino Linotype"/>
          <w:color w:val="000000"/>
        </w:rPr>
        <w:t xml:space="preserve">El </w:t>
      </w:r>
      <w:r w:rsidR="00881370" w:rsidRPr="003B3CD8">
        <w:rPr>
          <w:rFonts w:ascii="Palatino Linotype" w:eastAsia="Palatino Linotype" w:hAnsi="Palatino Linotype" w:cs="Palatino Linotype"/>
          <w:b/>
          <w:color w:val="000000"/>
        </w:rPr>
        <w:t xml:space="preserve">dos de diciembre </w:t>
      </w:r>
      <w:r w:rsidRPr="003B3CD8">
        <w:rPr>
          <w:rFonts w:ascii="Palatino Linotype" w:eastAsia="Palatino Linotype" w:hAnsi="Palatino Linotype" w:cs="Palatino Linotype"/>
          <w:b/>
          <w:color w:val="000000"/>
        </w:rPr>
        <w:t>de dos mil veinticinco</w:t>
      </w:r>
      <w:r w:rsidRPr="003B3CD8">
        <w:rPr>
          <w:rFonts w:ascii="Palatino Linotype" w:eastAsia="Palatino Linotype" w:hAnsi="Palatino Linotype" w:cs="Palatino Linotype"/>
          <w:color w:val="000000"/>
        </w:rPr>
        <w:t xml:space="preserve">, el solicitante interpuso recurso de revisión en la solicitud de información </w:t>
      </w:r>
      <w:r w:rsidR="00881370" w:rsidRPr="003B3CD8">
        <w:rPr>
          <w:rFonts w:ascii="Palatino Linotype" w:eastAsia="Palatino Linotype" w:hAnsi="Palatino Linotype" w:cs="Palatino Linotype"/>
          <w:b/>
          <w:color w:val="000000"/>
        </w:rPr>
        <w:t>00228</w:t>
      </w:r>
      <w:r w:rsidRPr="003B3CD8">
        <w:rPr>
          <w:rFonts w:ascii="Palatino Linotype" w:eastAsia="Palatino Linotype" w:hAnsi="Palatino Linotype" w:cs="Palatino Linotype"/>
          <w:b/>
          <w:color w:val="000000"/>
        </w:rPr>
        <w:t xml:space="preserve">/COACALCO/IP/2025, </w:t>
      </w:r>
      <w:r w:rsidRPr="003B3CD8">
        <w:rPr>
          <w:rFonts w:ascii="Palatino Linotype" w:eastAsia="Palatino Linotype" w:hAnsi="Palatino Linotype" w:cs="Palatino Linotype"/>
          <w:color w:val="000000"/>
        </w:rPr>
        <w:t xml:space="preserve">en contra de la respuesta emitida por el </w:t>
      </w:r>
      <w:r w:rsidRPr="003B3CD8">
        <w:rPr>
          <w:rFonts w:ascii="Palatino Linotype" w:eastAsia="Palatino Linotype" w:hAnsi="Palatino Linotype" w:cs="Palatino Linotype"/>
          <w:b/>
          <w:color w:val="000000"/>
        </w:rPr>
        <w:t>SUJETO OBLIGADO</w:t>
      </w:r>
      <w:r w:rsidRPr="003B3CD8">
        <w:rPr>
          <w:rFonts w:ascii="Palatino Linotype" w:eastAsia="Palatino Linotype" w:hAnsi="Palatino Linotype" w:cs="Palatino Linotype"/>
          <w:color w:val="000000"/>
        </w:rPr>
        <w:t>, señalando las siguientes razones o motivos de inconformidad:</w:t>
      </w:r>
    </w:p>
    <w:p w:rsidR="00763D55" w:rsidRPr="003B3CD8" w:rsidRDefault="00763D55" w:rsidP="00763D55">
      <w:pPr>
        <w:pBdr>
          <w:top w:val="nil"/>
          <w:left w:val="nil"/>
          <w:bottom w:val="nil"/>
          <w:right w:val="nil"/>
          <w:between w:val="nil"/>
        </w:pBdr>
        <w:spacing w:line="360" w:lineRule="auto"/>
        <w:ind w:left="360"/>
        <w:jc w:val="both"/>
        <w:rPr>
          <w:rFonts w:ascii="Palatino Linotype" w:eastAsia="Palatino Linotype" w:hAnsi="Palatino Linotype" w:cs="Palatino Linotype"/>
          <w:color w:val="000000"/>
        </w:rPr>
      </w:pPr>
    </w:p>
    <w:p w:rsidR="00763D55" w:rsidRPr="003B3CD8" w:rsidRDefault="003B3CD8" w:rsidP="003B3CD8">
      <w:pPr>
        <w:pStyle w:val="Prrafodelista"/>
        <w:numPr>
          <w:ilvl w:val="0"/>
          <w:numId w:val="14"/>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3B3CD8">
        <w:rPr>
          <w:rFonts w:ascii="Palatino Linotype" w:eastAsia="Palatino Linotype" w:hAnsi="Palatino Linotype" w:cs="Palatino Linotype"/>
          <w:b/>
          <w:color w:val="000000"/>
        </w:rPr>
        <w:lastRenderedPageBreak/>
        <w:t>ACTO IMPUGNADO</w:t>
      </w:r>
    </w:p>
    <w:p w:rsidR="00763D55" w:rsidRDefault="00763D55" w:rsidP="000D0382">
      <w:pPr>
        <w:pBdr>
          <w:top w:val="nil"/>
          <w:left w:val="nil"/>
          <w:bottom w:val="nil"/>
          <w:right w:val="nil"/>
          <w:between w:val="nil"/>
        </w:pBdr>
        <w:spacing w:line="360" w:lineRule="auto"/>
        <w:ind w:left="567" w:right="539"/>
        <w:jc w:val="both"/>
        <w:rPr>
          <w:rFonts w:ascii="Palatino Linotype" w:eastAsia="Palatino Linotype" w:hAnsi="Palatino Linotype" w:cs="Palatino Linotype"/>
          <w:i/>
          <w:color w:val="000000"/>
        </w:rPr>
      </w:pPr>
      <w:r w:rsidRPr="003B3CD8">
        <w:rPr>
          <w:rFonts w:ascii="Palatino Linotype" w:eastAsia="Palatino Linotype" w:hAnsi="Palatino Linotype" w:cs="Palatino Linotype"/>
          <w:i/>
          <w:color w:val="000000"/>
        </w:rPr>
        <w:t>“…</w:t>
      </w:r>
      <w:r w:rsidR="00881370" w:rsidRPr="003B3CD8">
        <w:rPr>
          <w:rFonts w:ascii="Palatino Linotype" w:eastAsia="Palatino Linotype" w:hAnsi="Palatino Linotype" w:cs="Palatino Linotype"/>
          <w:i/>
          <w:color w:val="000000"/>
        </w:rPr>
        <w:t>Oficio DDYFE/398/2025, por medio del cual da respuesta a mi solicitud con folio 00228/COACALCO/IP/2025</w:t>
      </w:r>
      <w:r w:rsidRPr="003B3CD8">
        <w:rPr>
          <w:rFonts w:ascii="Palatino Linotype" w:eastAsia="Palatino Linotype" w:hAnsi="Palatino Linotype" w:cs="Palatino Linotype"/>
          <w:i/>
          <w:color w:val="000000"/>
        </w:rPr>
        <w:t>” (Sic.)</w:t>
      </w:r>
    </w:p>
    <w:p w:rsidR="003B3CD8" w:rsidRPr="003B3CD8" w:rsidRDefault="003B3CD8" w:rsidP="000D0382">
      <w:pPr>
        <w:pBdr>
          <w:top w:val="nil"/>
          <w:left w:val="nil"/>
          <w:bottom w:val="nil"/>
          <w:right w:val="nil"/>
          <w:between w:val="nil"/>
        </w:pBdr>
        <w:spacing w:line="360" w:lineRule="auto"/>
        <w:ind w:left="567" w:right="539"/>
        <w:jc w:val="both"/>
        <w:rPr>
          <w:rFonts w:ascii="Palatino Linotype" w:eastAsia="Palatino Linotype" w:hAnsi="Palatino Linotype" w:cs="Palatino Linotype"/>
          <w:i/>
          <w:color w:val="000000"/>
        </w:rPr>
      </w:pPr>
    </w:p>
    <w:p w:rsidR="00763D55" w:rsidRPr="003B3CD8" w:rsidRDefault="003B3CD8" w:rsidP="003B3CD8">
      <w:pPr>
        <w:pStyle w:val="Prrafodelista"/>
        <w:numPr>
          <w:ilvl w:val="0"/>
          <w:numId w:val="14"/>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3B3CD8">
        <w:rPr>
          <w:rFonts w:ascii="Palatino Linotype" w:eastAsia="Palatino Linotype" w:hAnsi="Palatino Linotype" w:cs="Palatino Linotype"/>
          <w:b/>
          <w:color w:val="000000"/>
        </w:rPr>
        <w:t>RAZONES O MOTIVOS DE LA INCONFORMIDAD</w:t>
      </w:r>
    </w:p>
    <w:p w:rsidR="00763D55" w:rsidRPr="003B3CD8" w:rsidRDefault="00763D55" w:rsidP="000D0382">
      <w:pPr>
        <w:pBdr>
          <w:top w:val="nil"/>
          <w:left w:val="nil"/>
          <w:bottom w:val="nil"/>
          <w:right w:val="nil"/>
          <w:between w:val="nil"/>
        </w:pBdr>
        <w:ind w:left="567" w:right="539"/>
        <w:jc w:val="both"/>
        <w:rPr>
          <w:rFonts w:ascii="Palatino Linotype" w:eastAsia="Palatino Linotype" w:hAnsi="Palatino Linotype" w:cs="Palatino Linotype"/>
          <w:i/>
          <w:color w:val="000000"/>
        </w:rPr>
      </w:pPr>
      <w:r w:rsidRPr="003B3CD8">
        <w:rPr>
          <w:rFonts w:ascii="Palatino Linotype" w:eastAsia="Palatino Linotype" w:hAnsi="Palatino Linotype" w:cs="Palatino Linotype"/>
          <w:i/>
          <w:color w:val="000000"/>
        </w:rPr>
        <w:t>“</w:t>
      </w:r>
      <w:r w:rsidR="00881370" w:rsidRPr="003B3CD8">
        <w:rPr>
          <w:rFonts w:ascii="Palatino Linotype" w:eastAsia="Palatino Linotype" w:hAnsi="Palatino Linotype" w:cs="Palatino Linotype"/>
          <w:i/>
          <w:color w:val="000000"/>
        </w:rPr>
        <w:t xml:space="preserve">En la página 1 del documento, el Director señala: “Se hizo una búsqueda en el Catálogo de Giros que existe, y NO se encontró alguna Unidad Económica bajo el giro mencionado en la solicitud.” Es decir, la autoridad declara inexistencia de información. Sin embargo, esta declaratoria es ilegal, porque viola varios artículos de la Ley de Transparencia y Acceso a la Información Pública del Estado de México y Municipios. ________________________________________ ________________________________________ . Violación al Artículo 18 de la Ley de Transparencia y Acceso a la Información Pública del Estado de México y Municipios El Artículo 18 dispone: “Los sujetos obligados deberán documentar todo acto derivado del ejercicio de sus facultades, competencias o funciones.” El municipio está obligado a documentar: • licencias de funcionamiento, • giros comerciales, • actividad económica, • padrón de unidades económicas, • permisos y actualizaciones. Declarar que “solo revisaron el Catálogo de Giros” NO es cumplir con la obligación de documentar y conservar información. Además: • No se revisaron padrones, • No se revisaron licencias vigentes, • No se revisaron archivos históricos, • No se verificó si existe actividad registrada con denominación distinta. Por tanto, la respuesta viola el Artículo 18. ________________________________________ . Violación al Artículo 19 de la Ley de Transparencia y Acceso a la Información Pública del Estado de México y Municipios El Artículo 19 establece: “Cuando la información debió generarse, poseerse o administrarse, pero no se encuentra, el Comité de Transparencia deberá emitir un acuerdo de inexistencia.” En este expediente: • NO existe acuerdo del Comité de Transparencia. • La inexistencia la declara un Director, lo cual NO está permitido. • No hay análisis colegiado. • No existe motivación jurídica formal. La respuesta es jurídicamente inválida. ________________________________________ Violación al Artículo 169 de la Ley de Transparencia y Acceso a la Información Pública del Estado de México y Municipios El Artículo 169 impone al Comité de Transparencia la obligación de: 1. Analizar si la información debió existir. 2. Determinar si la ausencia deriva de omisión administrativa. 3. Ordenar generar o reponer la información. 4. Emitir acuerdo fundado y motivado. Nada de esto ocurrió. El Director simplemente revisó un catálogo, lo cual: • NO sustituye una </w:t>
      </w:r>
      <w:r w:rsidR="00881370" w:rsidRPr="003B3CD8">
        <w:rPr>
          <w:rFonts w:ascii="Palatino Linotype" w:eastAsia="Palatino Linotype" w:hAnsi="Palatino Linotype" w:cs="Palatino Linotype"/>
          <w:i/>
          <w:color w:val="000000"/>
        </w:rPr>
        <w:lastRenderedPageBreak/>
        <w:t>búsqueda integral, • NO constituye el procedimiento de inexistencia, • NO exonera al municipio de responsabilidad. ________________________________________ Violación al Artículo 170 de la Ley de Transparencia y Acceso a la Información Pública del Estado de México y Municipios El Artículo 170 exige que la inexistencia documente: • “tiempo, modo y lugar”, • archivos revisados, • bases de datos, • metodología, • áreas participantes. La respuesta solo dice: “Se hizo una búsqueda en el Catálogo de Giros.” Esto no es búsqueda exhaustiva. Una búsqueda real debió incluir: • padrón de licencias comerciales, • expedientes físicos, • sistemas electrónicos municipales, • registros de verificación, • archivos de años anteriores, • participación de diversas áreas económicas y administrativas. Al no cumplir estos requisitos, la inexistencia es inválida. ________________________________________ Violación al Artículo 179 de la Ley de Transparencia y Acceso a la Información Pública del Estado de México y Municipios El Artículo 179, fracción IX, establece como causal de recurso: “La falta, deficiencia o insuficiencia de fundamentación y/o motivación de la respuesta.” Aquí: • La respuesta no está debidamente fundada, • No está motivada, • No justifica la inexistencia, • No detalla búsqueda, • No involucra al Comité, • No analiza si la información debió existir. Por tanto, el municipio incurre plenamente en la causa</w:t>
      </w:r>
      <w:r w:rsidRPr="003B3CD8">
        <w:rPr>
          <w:rFonts w:ascii="Palatino Linotype" w:eastAsia="Palatino Linotype" w:hAnsi="Palatino Linotype" w:cs="Palatino Linotype"/>
          <w:i/>
          <w:color w:val="000000"/>
        </w:rPr>
        <w:t>”(Sic.)</w:t>
      </w:r>
    </w:p>
    <w:p w:rsidR="00763D55" w:rsidRDefault="00763D55" w:rsidP="00881370">
      <w:pPr>
        <w:pBdr>
          <w:top w:val="nil"/>
          <w:left w:val="nil"/>
          <w:bottom w:val="nil"/>
          <w:right w:val="nil"/>
          <w:between w:val="nil"/>
        </w:pBdr>
        <w:tabs>
          <w:tab w:val="left" w:pos="851"/>
        </w:tabs>
        <w:ind w:left="720" w:right="567"/>
        <w:jc w:val="both"/>
        <w:rPr>
          <w:rFonts w:ascii="Palatino Linotype" w:eastAsia="Palatino Linotype" w:hAnsi="Palatino Linotype" w:cs="Palatino Linotype"/>
          <w:i/>
          <w:color w:val="000000"/>
        </w:rPr>
      </w:pPr>
    </w:p>
    <w:p w:rsidR="003B3CD8" w:rsidRPr="003B3CD8" w:rsidRDefault="003B3CD8" w:rsidP="00881370">
      <w:pPr>
        <w:pBdr>
          <w:top w:val="nil"/>
          <w:left w:val="nil"/>
          <w:bottom w:val="nil"/>
          <w:right w:val="nil"/>
          <w:between w:val="nil"/>
        </w:pBdr>
        <w:tabs>
          <w:tab w:val="left" w:pos="851"/>
        </w:tabs>
        <w:ind w:left="720" w:right="567"/>
        <w:jc w:val="both"/>
        <w:rPr>
          <w:rFonts w:ascii="Palatino Linotype" w:eastAsia="Palatino Linotype" w:hAnsi="Palatino Linotype" w:cs="Palatino Linotype"/>
          <w:i/>
          <w:color w:val="000000"/>
        </w:rPr>
      </w:pPr>
    </w:p>
    <w:p w:rsidR="00763D55" w:rsidRPr="003B3CD8" w:rsidRDefault="00763D55" w:rsidP="00763D55">
      <w:pPr>
        <w:numPr>
          <w:ilvl w:val="0"/>
          <w:numId w:val="4"/>
        </w:numPr>
        <w:spacing w:line="360" w:lineRule="auto"/>
        <w:ind w:left="0" w:firstLine="0"/>
        <w:jc w:val="both"/>
        <w:rPr>
          <w:rFonts w:ascii="Palatino Linotype" w:eastAsia="Palatino Linotype" w:hAnsi="Palatino Linotype" w:cs="Palatino Linotype"/>
          <w:i/>
          <w:color w:val="000000"/>
        </w:rPr>
      </w:pPr>
      <w:r w:rsidRPr="003B3CD8">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Ley de Transparencia y Acceso a la Información Pública del Estado de México y Municipios se turnó a la </w:t>
      </w:r>
      <w:r w:rsidRPr="003B3CD8">
        <w:rPr>
          <w:rFonts w:ascii="Palatino Linotype" w:eastAsia="Palatino Linotype" w:hAnsi="Palatino Linotype" w:cs="Palatino Linotype"/>
          <w:b/>
        </w:rPr>
        <w:t>Comisionada María del Rosario Mejía Ayala</w:t>
      </w:r>
      <w:r w:rsidRPr="003B3CD8">
        <w:rPr>
          <w:rFonts w:ascii="Palatino Linotype" w:eastAsia="Palatino Linotype" w:hAnsi="Palatino Linotype" w:cs="Palatino Linotype"/>
        </w:rPr>
        <w:t xml:space="preserve"> </w:t>
      </w:r>
      <w:r w:rsidR="003B3CD8">
        <w:rPr>
          <w:rFonts w:ascii="Palatino Linotype" w:eastAsia="Palatino Linotype" w:hAnsi="Palatino Linotype" w:cs="Palatino Linotype"/>
        </w:rPr>
        <w:t>para</w:t>
      </w:r>
      <w:r w:rsidRPr="003B3CD8">
        <w:rPr>
          <w:rFonts w:ascii="Palatino Linotype" w:eastAsia="Palatino Linotype" w:hAnsi="Palatino Linotype" w:cs="Palatino Linotype"/>
        </w:rPr>
        <w:t xml:space="preserve"> su análisis.</w:t>
      </w:r>
    </w:p>
    <w:p w:rsidR="00763D55" w:rsidRPr="003B3CD8" w:rsidRDefault="00763D55" w:rsidP="00763D55">
      <w:pPr>
        <w:spacing w:line="360" w:lineRule="auto"/>
        <w:jc w:val="both"/>
        <w:rPr>
          <w:rFonts w:ascii="Palatino Linotype" w:eastAsia="Palatino Linotype" w:hAnsi="Palatino Linotype" w:cs="Palatino Linotype"/>
          <w:i/>
          <w:color w:val="000000"/>
        </w:rPr>
      </w:pPr>
    </w:p>
    <w:p w:rsidR="00763D55" w:rsidRPr="003B3CD8" w:rsidRDefault="003B3CD8" w:rsidP="00763D55">
      <w:pPr>
        <w:numPr>
          <w:ilvl w:val="0"/>
          <w:numId w:val="4"/>
        </w:numPr>
        <w:spacing w:line="360" w:lineRule="auto"/>
        <w:ind w:left="0" w:firstLine="0"/>
        <w:jc w:val="both"/>
        <w:rPr>
          <w:rFonts w:ascii="Palatino Linotype" w:eastAsia="Palatino Linotype" w:hAnsi="Palatino Linotype" w:cs="Palatino Linotype"/>
          <w:i/>
          <w:color w:val="000000"/>
        </w:rPr>
      </w:pPr>
      <w:r>
        <w:rPr>
          <w:rFonts w:ascii="Palatino Linotype" w:eastAsia="Palatino Linotype" w:hAnsi="Palatino Linotype" w:cs="Palatino Linotype"/>
          <w:color w:val="000000"/>
        </w:rPr>
        <w:t>La Comisionada p</w:t>
      </w:r>
      <w:r w:rsidR="00763D55" w:rsidRPr="003B3CD8">
        <w:rPr>
          <w:rFonts w:ascii="Palatino Linotype" w:eastAsia="Palatino Linotype" w:hAnsi="Palatino Linotype" w:cs="Palatino Linotype"/>
          <w:color w:val="000000"/>
        </w:rPr>
        <w:t xml:space="preserve">onente con fundamento en lo dispuesto por el artículo 185 </w:t>
      </w:r>
      <w:r w:rsidR="00763D55" w:rsidRPr="003B3CD8">
        <w:rPr>
          <w:rFonts w:ascii="Palatino Linotype" w:eastAsia="Palatino Linotype" w:hAnsi="Palatino Linotype" w:cs="Palatino Linotype"/>
        </w:rPr>
        <w:t>fracción</w:t>
      </w:r>
      <w:r w:rsidR="00763D55" w:rsidRPr="003B3CD8">
        <w:rPr>
          <w:rFonts w:ascii="Palatino Linotype" w:eastAsia="Palatino Linotype" w:hAnsi="Palatino Linotype" w:cs="Palatino Linotype"/>
          <w:color w:val="000000"/>
        </w:rPr>
        <w:t xml:space="preserve"> II de la ley de la materia, a través del </w:t>
      </w:r>
      <w:r w:rsidR="00763D55" w:rsidRPr="003B3CD8">
        <w:rPr>
          <w:rFonts w:ascii="Palatino Linotype" w:eastAsia="Palatino Linotype" w:hAnsi="Palatino Linotype" w:cs="Palatino Linotype"/>
          <w:b/>
          <w:color w:val="000000"/>
        </w:rPr>
        <w:t xml:space="preserve">acuerdo de admisión </w:t>
      </w:r>
      <w:r w:rsidR="00763D55" w:rsidRPr="003B3CD8">
        <w:rPr>
          <w:rFonts w:ascii="Palatino Linotype" w:eastAsia="Palatino Linotype" w:hAnsi="Palatino Linotype" w:cs="Palatino Linotype"/>
          <w:color w:val="000000"/>
        </w:rPr>
        <w:t xml:space="preserve">de fecha </w:t>
      </w:r>
      <w:r w:rsidR="00881370" w:rsidRPr="003B3CD8">
        <w:rPr>
          <w:rFonts w:ascii="Palatino Linotype" w:eastAsia="Palatino Linotype" w:hAnsi="Palatino Linotype" w:cs="Palatino Linotype"/>
          <w:b/>
          <w:color w:val="000000"/>
        </w:rPr>
        <w:t xml:space="preserve">cinco de diciembre </w:t>
      </w:r>
      <w:r w:rsidR="00763D55" w:rsidRPr="003B3CD8">
        <w:rPr>
          <w:rFonts w:ascii="Palatino Linotype" w:eastAsia="Palatino Linotype" w:hAnsi="Palatino Linotype" w:cs="Palatino Linotype"/>
          <w:b/>
          <w:color w:val="000000"/>
        </w:rPr>
        <w:t>de dos mil veinticinco</w:t>
      </w:r>
      <w:r w:rsidR="00763D55" w:rsidRPr="003B3CD8">
        <w:rPr>
          <w:rFonts w:ascii="Palatino Linotype" w:eastAsia="Palatino Linotype" w:hAnsi="Palatino Linotype" w:cs="Palatino Linotype"/>
          <w:color w:val="000000"/>
        </w:rPr>
        <w:t xml:space="preserve">, puso a disposición de las partes el expediente electrónico vía SAIMEX a efecto de que en un plazo máximo de siete días manifestaran lo que a su derecho conviniera, ofrecieran pruebas y alegatos según corresponda al caso concreto, de esta forma para que el </w:t>
      </w:r>
      <w:r w:rsidR="00763D55" w:rsidRPr="003B3CD8">
        <w:rPr>
          <w:rFonts w:ascii="Palatino Linotype" w:eastAsia="Palatino Linotype" w:hAnsi="Palatino Linotype" w:cs="Palatino Linotype"/>
          <w:b/>
          <w:color w:val="000000"/>
        </w:rPr>
        <w:t xml:space="preserve">SUJETO OBLIGADO </w:t>
      </w:r>
      <w:r w:rsidR="00763D55" w:rsidRPr="003B3CD8">
        <w:rPr>
          <w:rFonts w:ascii="Palatino Linotype" w:eastAsia="Palatino Linotype" w:hAnsi="Palatino Linotype" w:cs="Palatino Linotype"/>
          <w:color w:val="000000"/>
        </w:rPr>
        <w:t>presentara el Informe Justificado procedente.</w:t>
      </w:r>
    </w:p>
    <w:p w:rsidR="00763D55" w:rsidRPr="003B3CD8" w:rsidRDefault="00763D55" w:rsidP="00763D55">
      <w:pPr>
        <w:pBdr>
          <w:top w:val="nil"/>
          <w:left w:val="nil"/>
          <w:bottom w:val="nil"/>
          <w:right w:val="nil"/>
          <w:between w:val="nil"/>
        </w:pBdr>
        <w:ind w:left="720"/>
        <w:rPr>
          <w:rFonts w:ascii="Palatino Linotype" w:eastAsia="Palatino Linotype" w:hAnsi="Palatino Linotype" w:cs="Palatino Linotype"/>
          <w:color w:val="000000"/>
        </w:rPr>
      </w:pPr>
    </w:p>
    <w:p w:rsidR="00763D55" w:rsidRPr="003B3CD8" w:rsidRDefault="00763D55" w:rsidP="00763D55">
      <w:pPr>
        <w:numPr>
          <w:ilvl w:val="0"/>
          <w:numId w:val="4"/>
        </w:numPr>
        <w:spacing w:line="360" w:lineRule="auto"/>
        <w:ind w:left="0" w:firstLine="0"/>
        <w:jc w:val="both"/>
        <w:rPr>
          <w:rFonts w:ascii="Palatino Linotype" w:eastAsia="Palatino Linotype" w:hAnsi="Palatino Linotype" w:cs="Palatino Linotype"/>
          <w:i/>
          <w:color w:val="000000"/>
        </w:rPr>
      </w:pPr>
      <w:r w:rsidRPr="003B3CD8">
        <w:rPr>
          <w:rFonts w:ascii="Palatino Linotype" w:eastAsia="Palatino Linotype" w:hAnsi="Palatino Linotype" w:cs="Palatino Linotype"/>
        </w:rPr>
        <w:lastRenderedPageBreak/>
        <w:t xml:space="preserve">De lo anterior el once de agosto de dos mil veinticinco, el </w:t>
      </w:r>
      <w:r w:rsidRPr="003B3CD8">
        <w:rPr>
          <w:rFonts w:ascii="Palatino Linotype" w:eastAsia="Palatino Linotype" w:hAnsi="Palatino Linotype" w:cs="Palatino Linotype"/>
          <w:b/>
        </w:rPr>
        <w:t xml:space="preserve">SUJETO OBLIGADO, </w:t>
      </w:r>
      <w:r w:rsidRPr="003B3CD8">
        <w:rPr>
          <w:rFonts w:ascii="Palatino Linotype" w:eastAsia="Palatino Linotype" w:hAnsi="Palatino Linotype" w:cs="Palatino Linotype"/>
        </w:rPr>
        <w:t>en informe justificado remitió los siguientes documentos:</w:t>
      </w:r>
    </w:p>
    <w:p w:rsidR="00763D55" w:rsidRPr="003B3CD8" w:rsidRDefault="00881370" w:rsidP="00763D55">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3B3CD8">
        <w:rPr>
          <w:rFonts w:ascii="Palatino Linotype" w:eastAsia="Palatino Linotype" w:hAnsi="Palatino Linotype" w:cs="Palatino Linotype"/>
          <w:b/>
          <w:color w:val="000000"/>
        </w:rPr>
        <w:t>Respuesta 13358</w:t>
      </w:r>
      <w:r w:rsidR="00763D55" w:rsidRPr="003B3CD8">
        <w:rPr>
          <w:rFonts w:ascii="Palatino Linotype" w:eastAsia="Palatino Linotype" w:hAnsi="Palatino Linotype" w:cs="Palatino Linotype"/>
          <w:b/>
          <w:color w:val="000000"/>
        </w:rPr>
        <w:t>.pdf:</w:t>
      </w:r>
      <w:r w:rsidR="00763D55" w:rsidRPr="003B3CD8">
        <w:rPr>
          <w:rFonts w:ascii="Palatino Linotype" w:eastAsia="Palatino Linotype" w:hAnsi="Palatino Linotype" w:cs="Palatino Linotype"/>
          <w:color w:val="000000"/>
        </w:rPr>
        <w:t xml:space="preserve"> Oficio</w:t>
      </w:r>
      <w:r w:rsidRPr="003B3CD8">
        <w:rPr>
          <w:rFonts w:ascii="Palatino Linotype" w:eastAsia="Palatino Linotype" w:hAnsi="Palatino Linotype" w:cs="Palatino Linotype"/>
          <w:color w:val="000000"/>
        </w:rPr>
        <w:t xml:space="preserve"> DDYFE/406/2025 de fecha nueve de diciembre de dos mil veinticinco, suscrito por el Director de Desarrollo y Fomento Económico, a través de cual ratifica se respuesta y además preciso que eso no implica una declaratoria de inexistencia puesto que se está frente a un hecho negativo, los cuales no son susceptibles de demostración.</w:t>
      </w:r>
    </w:p>
    <w:p w:rsidR="00B31655" w:rsidRPr="003B3CD8" w:rsidRDefault="00881370" w:rsidP="00B31655">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3B3CD8">
        <w:rPr>
          <w:rFonts w:ascii="Palatino Linotype" w:eastAsia="Palatino Linotype" w:hAnsi="Palatino Linotype" w:cs="Palatino Linotype"/>
          <w:b/>
          <w:color w:val="000000"/>
        </w:rPr>
        <w:t>Informe RR13358</w:t>
      </w:r>
      <w:r w:rsidR="00763D55" w:rsidRPr="003B3CD8">
        <w:rPr>
          <w:rFonts w:ascii="Palatino Linotype" w:eastAsia="Palatino Linotype" w:hAnsi="Palatino Linotype" w:cs="Palatino Linotype"/>
          <w:b/>
          <w:color w:val="000000"/>
        </w:rPr>
        <w:t xml:space="preserve">.pdf: </w:t>
      </w:r>
      <w:r w:rsidR="00763D55" w:rsidRPr="003B3CD8">
        <w:rPr>
          <w:rFonts w:ascii="Palatino Linotype" w:eastAsia="Palatino Linotype" w:hAnsi="Palatino Linotype" w:cs="Palatino Linotype"/>
          <w:color w:val="000000"/>
        </w:rPr>
        <w:t xml:space="preserve">Documento de fecha </w:t>
      </w:r>
      <w:r w:rsidRPr="003B3CD8">
        <w:rPr>
          <w:rFonts w:ascii="Palatino Linotype" w:eastAsia="Palatino Linotype" w:hAnsi="Palatino Linotype" w:cs="Palatino Linotype"/>
          <w:color w:val="000000"/>
        </w:rPr>
        <w:t xml:space="preserve">diez de diciembre de dos mil veinticinco </w:t>
      </w:r>
      <w:r w:rsidR="00763D55" w:rsidRPr="003B3CD8">
        <w:rPr>
          <w:rFonts w:ascii="Palatino Linotype" w:eastAsia="Palatino Linotype" w:hAnsi="Palatino Linotype" w:cs="Palatino Linotype"/>
          <w:color w:val="000000"/>
        </w:rPr>
        <w:t xml:space="preserve">suscrito por la Titular de la Coordinación de Transparencia y Protección de Datos Personales adscrita a la Dirección Jurídica del Ayuntamiento de Coacalco de Berriozábal, México, </w:t>
      </w:r>
      <w:r w:rsidR="00B31655" w:rsidRPr="003B3CD8">
        <w:rPr>
          <w:rFonts w:ascii="Palatino Linotype" w:eastAsia="Palatino Linotype" w:hAnsi="Palatino Linotype" w:cs="Palatino Linotype"/>
          <w:color w:val="000000"/>
        </w:rPr>
        <w:t>mediante el cual ratifican su respuesta.</w:t>
      </w:r>
    </w:p>
    <w:p w:rsidR="00B31655" w:rsidRPr="003B3CD8" w:rsidRDefault="00B31655" w:rsidP="00B31655">
      <w:pPr>
        <w:pStyle w:val="Prrafodelista"/>
        <w:rPr>
          <w:rFonts w:ascii="Palatino Linotype" w:eastAsia="Palatino Linotype" w:hAnsi="Palatino Linotype" w:cs="Palatino Linotype"/>
          <w:color w:val="000000"/>
        </w:rPr>
      </w:pPr>
    </w:p>
    <w:p w:rsidR="00763D55" w:rsidRPr="003B3CD8" w:rsidRDefault="00763D55" w:rsidP="00763D55">
      <w:pPr>
        <w:numPr>
          <w:ilvl w:val="0"/>
          <w:numId w:val="4"/>
        </w:numPr>
        <w:spacing w:line="360" w:lineRule="auto"/>
        <w:ind w:left="0" w:firstLine="0"/>
        <w:jc w:val="both"/>
        <w:rPr>
          <w:rFonts w:ascii="Palatino Linotype" w:eastAsia="Palatino Linotype" w:hAnsi="Palatino Linotype" w:cs="Palatino Linotype"/>
          <w:i/>
          <w:color w:val="000000"/>
        </w:rPr>
      </w:pPr>
      <w:r w:rsidRPr="003B3CD8">
        <w:rPr>
          <w:rFonts w:ascii="Palatino Linotype" w:eastAsia="Palatino Linotype" w:hAnsi="Palatino Linotype" w:cs="Palatino Linotype"/>
        </w:rPr>
        <w:t xml:space="preserve">Por su parte, el </w:t>
      </w:r>
      <w:r w:rsidRPr="003B3CD8">
        <w:rPr>
          <w:rFonts w:ascii="Palatino Linotype" w:eastAsia="Palatino Linotype" w:hAnsi="Palatino Linotype" w:cs="Palatino Linotype"/>
          <w:b/>
        </w:rPr>
        <w:t xml:space="preserve">RECURRENTE </w:t>
      </w:r>
      <w:r w:rsidRPr="003B3CD8">
        <w:rPr>
          <w:rFonts w:ascii="Palatino Linotype" w:eastAsia="Palatino Linotype" w:hAnsi="Palatino Linotype" w:cs="Palatino Linotype"/>
        </w:rPr>
        <w:t xml:space="preserve">dejó de realizar manifestaciones que a su derecho conviniera y asistiera, en el recurso de revisión. </w:t>
      </w:r>
    </w:p>
    <w:p w:rsidR="00763D55" w:rsidRPr="003B3CD8" w:rsidRDefault="00763D55" w:rsidP="00763D55">
      <w:pPr>
        <w:spacing w:line="360" w:lineRule="auto"/>
        <w:jc w:val="both"/>
        <w:rPr>
          <w:rFonts w:ascii="Palatino Linotype" w:eastAsia="Palatino Linotype" w:hAnsi="Palatino Linotype" w:cs="Palatino Linotype"/>
          <w:i/>
          <w:color w:val="000000"/>
        </w:rPr>
      </w:pPr>
    </w:p>
    <w:p w:rsidR="00763D55" w:rsidRPr="003B3CD8" w:rsidRDefault="00763D55" w:rsidP="00763D55">
      <w:pPr>
        <w:numPr>
          <w:ilvl w:val="0"/>
          <w:numId w:val="4"/>
        </w:numPr>
        <w:spacing w:line="360" w:lineRule="auto"/>
        <w:ind w:left="0" w:firstLine="0"/>
        <w:jc w:val="both"/>
        <w:rPr>
          <w:rFonts w:ascii="Palatino Linotype" w:eastAsia="Palatino Linotype" w:hAnsi="Palatino Linotype" w:cs="Palatino Linotype"/>
          <w:i/>
          <w:color w:val="000000"/>
        </w:rPr>
      </w:pPr>
      <w:r w:rsidRPr="003B3CD8">
        <w:rPr>
          <w:rFonts w:ascii="Palatino Linotype" w:eastAsia="Palatino Linotype" w:hAnsi="Palatino Linotype" w:cs="Palatino Linotype"/>
        </w:rPr>
        <w:t xml:space="preserve">Finalmente, la Comisionada Ponente mediante acuerdo del </w:t>
      </w:r>
      <w:r w:rsidRPr="003B3CD8">
        <w:rPr>
          <w:rFonts w:ascii="Palatino Linotype" w:eastAsia="Palatino Linotype" w:hAnsi="Palatino Linotype" w:cs="Palatino Linotype"/>
          <w:b/>
        </w:rPr>
        <w:t xml:space="preserve">once de </w:t>
      </w:r>
      <w:r w:rsidR="00B31655" w:rsidRPr="003B3CD8">
        <w:rPr>
          <w:rFonts w:ascii="Palatino Linotype" w:eastAsia="Palatino Linotype" w:hAnsi="Palatino Linotype" w:cs="Palatino Linotype"/>
          <w:b/>
        </w:rPr>
        <w:t xml:space="preserve">febrero </w:t>
      </w:r>
      <w:r w:rsidRPr="003B3CD8">
        <w:rPr>
          <w:rFonts w:ascii="Palatino Linotype" w:eastAsia="Palatino Linotype" w:hAnsi="Palatino Linotype" w:cs="Palatino Linotype"/>
          <w:b/>
        </w:rPr>
        <w:t xml:space="preserve">de dos mil </w:t>
      </w:r>
      <w:r w:rsidR="00B31655" w:rsidRPr="003B3CD8">
        <w:rPr>
          <w:rFonts w:ascii="Palatino Linotype" w:eastAsia="Palatino Linotype" w:hAnsi="Palatino Linotype" w:cs="Palatino Linotype"/>
          <w:b/>
        </w:rPr>
        <w:t>veintiséis</w:t>
      </w:r>
      <w:r w:rsidRPr="003B3CD8">
        <w:rPr>
          <w:rFonts w:ascii="Palatino Linotype" w:eastAsia="Palatino Linotype" w:hAnsi="Palatino Linotype" w:cs="Palatino Linotype"/>
        </w:rPr>
        <w:t>, decretó el cierre de instrucción del expediente, por lo que no habiendo más que hacer constar, y</w:t>
      </w:r>
      <w:r w:rsidR="003B3CD8">
        <w:rPr>
          <w:rFonts w:ascii="Palatino Linotype" w:eastAsia="Palatino Linotype" w:hAnsi="Palatino Linotype" w:cs="Palatino Linotype"/>
          <w:color w:val="000000"/>
        </w:rPr>
        <w:t xml:space="preserve"> </w:t>
      </w:r>
    </w:p>
    <w:p w:rsidR="003B3CD8" w:rsidRDefault="003B3CD8" w:rsidP="003B3CD8">
      <w:pPr>
        <w:pStyle w:val="Prrafodelista"/>
        <w:rPr>
          <w:rFonts w:ascii="Palatino Linotype" w:eastAsia="Palatino Linotype" w:hAnsi="Palatino Linotype" w:cs="Palatino Linotype"/>
          <w:i/>
          <w:color w:val="000000"/>
        </w:rPr>
      </w:pPr>
    </w:p>
    <w:p w:rsidR="004318F0" w:rsidRPr="003B3CD8" w:rsidRDefault="006303D2">
      <w:pPr>
        <w:keepNext/>
        <w:keepLines/>
        <w:spacing w:line="360" w:lineRule="auto"/>
        <w:jc w:val="center"/>
        <w:rPr>
          <w:rFonts w:ascii="Palatino Linotype" w:eastAsia="Palatino Linotype" w:hAnsi="Palatino Linotype" w:cs="Palatino Linotype"/>
        </w:rPr>
      </w:pPr>
      <w:bookmarkStart w:id="3" w:name="_heading=h.1fob9te" w:colFirst="0" w:colLast="0"/>
      <w:bookmarkEnd w:id="3"/>
      <w:r w:rsidRPr="003B3CD8">
        <w:rPr>
          <w:rFonts w:ascii="Palatino Linotype" w:eastAsia="Palatino Linotype" w:hAnsi="Palatino Linotype" w:cs="Palatino Linotype"/>
          <w:b/>
        </w:rPr>
        <w:t xml:space="preserve">C O N S I D E R A N D O </w:t>
      </w:r>
    </w:p>
    <w:p w:rsidR="004318F0" w:rsidRPr="003B3CD8" w:rsidRDefault="004318F0">
      <w:pPr>
        <w:spacing w:line="360" w:lineRule="auto"/>
        <w:rPr>
          <w:rFonts w:ascii="Palatino Linotype" w:eastAsia="Palatino Linotype" w:hAnsi="Palatino Linotype" w:cs="Palatino Linotype"/>
        </w:rPr>
      </w:pPr>
    </w:p>
    <w:p w:rsidR="004318F0" w:rsidRPr="003B3CD8" w:rsidRDefault="006303D2">
      <w:pPr>
        <w:keepNext/>
        <w:keepLines/>
        <w:spacing w:line="360" w:lineRule="auto"/>
        <w:rPr>
          <w:rFonts w:ascii="Palatino Linotype" w:eastAsia="Palatino Linotype" w:hAnsi="Palatino Linotype" w:cs="Palatino Linotype"/>
          <w:b/>
        </w:rPr>
      </w:pPr>
      <w:bookmarkStart w:id="4" w:name="_heading=h.3znysh7" w:colFirst="0" w:colLast="0"/>
      <w:bookmarkEnd w:id="4"/>
      <w:r w:rsidRPr="003B3CD8">
        <w:rPr>
          <w:rFonts w:ascii="Palatino Linotype" w:eastAsia="Palatino Linotype" w:hAnsi="Palatino Linotype" w:cs="Palatino Linotype"/>
          <w:b/>
        </w:rPr>
        <w:t>PRIMERO. De la competencia</w:t>
      </w:r>
    </w:p>
    <w:p w:rsidR="00763D55" w:rsidRPr="003B3CD8" w:rsidRDefault="00763D55" w:rsidP="00763D55">
      <w:pPr>
        <w:pStyle w:val="Prrafodelista"/>
        <w:numPr>
          <w:ilvl w:val="0"/>
          <w:numId w:val="4"/>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rPr>
      </w:pPr>
      <w:r w:rsidRPr="003B3CD8">
        <w:rPr>
          <w:rFonts w:ascii="Palatino Linotype" w:hAnsi="Palatino Linotype"/>
          <w:bdr w:val="none" w:sz="0" w:space="0" w:color="auto" w:frame="1"/>
          <w:shd w:val="clear" w:color="auto" w:fill="FFFFFF"/>
        </w:rPr>
        <w:t>Este Instituto de Transparencia, Acceso a la Información Pública y Protección de Datos Personales del Estado de México y Municipios, es competente para conocer y resolver del presente recurso de conformidad con el artículo: 6, apartado A, fracción IV de la </w:t>
      </w:r>
      <w:r w:rsidRPr="003B3CD8">
        <w:rPr>
          <w:rFonts w:ascii="Palatino Linotype" w:hAnsi="Palatino Linotype"/>
          <w:b/>
          <w:bCs/>
          <w:bdr w:val="none" w:sz="0" w:space="0" w:color="auto" w:frame="1"/>
          <w:shd w:val="clear" w:color="auto" w:fill="FFFFFF"/>
        </w:rPr>
        <w:t xml:space="preserve">Constitución </w:t>
      </w:r>
      <w:r w:rsidRPr="003B3CD8">
        <w:rPr>
          <w:rFonts w:ascii="Palatino Linotype" w:hAnsi="Palatino Linotype"/>
          <w:b/>
          <w:bCs/>
          <w:bdr w:val="none" w:sz="0" w:space="0" w:color="auto" w:frame="1"/>
          <w:shd w:val="clear" w:color="auto" w:fill="FFFFFF"/>
        </w:rPr>
        <w:lastRenderedPageBreak/>
        <w:t>Política de los Estados Unidos Mexicanos</w:t>
      </w:r>
      <w:r w:rsidRPr="003B3CD8">
        <w:rPr>
          <w:rFonts w:ascii="Palatino Linotype" w:hAnsi="Palatino Linotype"/>
          <w:bdr w:val="none" w:sz="0" w:space="0" w:color="auto" w:frame="1"/>
          <w:shd w:val="clear" w:color="auto" w:fill="FFFFFF"/>
        </w:rPr>
        <w:t>; 5, párrafos trigésimo segundo, trigésimo tercero y trigésimo cuarto fracciones IV y V de la </w:t>
      </w:r>
      <w:r w:rsidRPr="003B3CD8">
        <w:rPr>
          <w:rFonts w:ascii="Palatino Linotype" w:hAnsi="Palatino Linotype"/>
          <w:b/>
          <w:bCs/>
          <w:bdr w:val="none" w:sz="0" w:space="0" w:color="auto" w:frame="1"/>
          <w:shd w:val="clear" w:color="auto" w:fill="FFFFFF"/>
        </w:rPr>
        <w:t>Constitución Política del Estado Libre y Soberano de México</w:t>
      </w:r>
      <w:r w:rsidRPr="003B3CD8">
        <w:rPr>
          <w:rFonts w:ascii="Palatino Linotype" w:hAnsi="Palatino Linotype"/>
          <w:bdr w:val="none" w:sz="0" w:space="0" w:color="auto" w:frame="1"/>
          <w:shd w:val="clear" w:color="auto" w:fill="FFFFFF"/>
        </w:rPr>
        <w:t>; artículos 1, 2 fracción II, 13, 29, 36 fracciones I y II, 176, 178, 179, 181 párrafo tercero y 185 de la </w:t>
      </w:r>
      <w:r w:rsidRPr="003B3CD8">
        <w:rPr>
          <w:rFonts w:ascii="Palatino Linotype" w:hAnsi="Palatino Linotype"/>
          <w:b/>
          <w:bCs/>
          <w:bdr w:val="none" w:sz="0" w:space="0" w:color="auto" w:frame="1"/>
          <w:shd w:val="clear" w:color="auto" w:fill="FFFFFF"/>
        </w:rPr>
        <w:t>Ley de Transparencia y Acceso a la Información Pública del Estado de México y Municipios</w:t>
      </w:r>
      <w:r w:rsidRPr="003B3CD8">
        <w:rPr>
          <w:rFonts w:ascii="Palatino Linotype" w:hAnsi="Palatino Linotype"/>
          <w:bdr w:val="none" w:sz="0" w:space="0" w:color="auto" w:frame="1"/>
          <w:shd w:val="clear" w:color="auto" w:fill="FFFFFF"/>
        </w:rPr>
        <w:t>; y 7, 9 fracciones I y XXIII, y 11 del </w:t>
      </w:r>
      <w:r w:rsidRPr="003B3CD8">
        <w:rPr>
          <w:rFonts w:ascii="Palatino Linotype" w:hAnsi="Palatino Linotype"/>
          <w:b/>
          <w:bCs/>
          <w:bdr w:val="none" w:sz="0" w:space="0" w:color="auto" w:frame="1"/>
          <w:shd w:val="clear" w:color="auto" w:fill="FFFFFF"/>
        </w:rPr>
        <w:t>Reglamento Interior del Instituto de Transparencia, Acceso a la Información Pública y Protección de Datos Personales del Estado de México y Municipios</w:t>
      </w:r>
      <w:r w:rsidRPr="003B3CD8">
        <w:rPr>
          <w:rFonts w:ascii="Palatino Linotype" w:hAnsi="Palatino Linotype"/>
          <w:bdr w:val="none" w:sz="0" w:space="0" w:color="auto" w:frame="1"/>
          <w:shd w:val="clear" w:color="auto" w:fill="FFFFFF"/>
        </w:rPr>
        <w:t>.</w:t>
      </w:r>
    </w:p>
    <w:p w:rsidR="004318F0" w:rsidRPr="003B3CD8" w:rsidRDefault="004318F0">
      <w:pPr>
        <w:spacing w:line="360" w:lineRule="auto"/>
        <w:jc w:val="both"/>
        <w:rPr>
          <w:rFonts w:ascii="Palatino Linotype" w:eastAsia="Palatino Linotype" w:hAnsi="Palatino Linotype" w:cs="Palatino Linotype"/>
        </w:rPr>
      </w:pPr>
    </w:p>
    <w:p w:rsidR="004318F0" w:rsidRPr="003B3CD8" w:rsidRDefault="006303D2">
      <w:pPr>
        <w:keepNext/>
        <w:keepLines/>
        <w:spacing w:line="360" w:lineRule="auto"/>
        <w:rPr>
          <w:rFonts w:ascii="Palatino Linotype" w:eastAsia="Palatino Linotype" w:hAnsi="Palatino Linotype" w:cs="Palatino Linotype"/>
          <w:b/>
        </w:rPr>
      </w:pPr>
      <w:bookmarkStart w:id="5" w:name="_heading=h.2et92p0" w:colFirst="0" w:colLast="0"/>
      <w:bookmarkEnd w:id="5"/>
      <w:r w:rsidRPr="003B3CD8">
        <w:rPr>
          <w:rFonts w:ascii="Palatino Linotype" w:eastAsia="Palatino Linotype" w:hAnsi="Palatino Linotype" w:cs="Palatino Linotype"/>
          <w:b/>
        </w:rPr>
        <w:t>SEGUNDO. De la oportunidad y procedencia.</w:t>
      </w:r>
    </w:p>
    <w:p w:rsidR="004318F0" w:rsidRDefault="006303D2" w:rsidP="00763D55">
      <w:pPr>
        <w:numPr>
          <w:ilvl w:val="0"/>
          <w:numId w:val="4"/>
        </w:numPr>
        <w:spacing w:line="360" w:lineRule="auto"/>
        <w:ind w:left="0" w:firstLine="0"/>
        <w:jc w:val="both"/>
        <w:rPr>
          <w:rFonts w:ascii="Palatino Linotype" w:eastAsia="Palatino Linotype" w:hAnsi="Palatino Linotype" w:cs="Palatino Linotype"/>
        </w:rPr>
      </w:pPr>
      <w:r w:rsidRPr="003B3CD8">
        <w:rPr>
          <w:rFonts w:ascii="Palatino Linotype" w:eastAsia="Palatino Linotype" w:hAnsi="Palatino Linotype" w:cs="Palatino Linotype"/>
        </w:rPr>
        <w:t xml:space="preserve">El medio de impugnación fue presentado a través del </w:t>
      </w:r>
      <w:r w:rsidRPr="003B3CD8">
        <w:rPr>
          <w:rFonts w:ascii="Palatino Linotype" w:eastAsia="Palatino Linotype" w:hAnsi="Palatino Linotype" w:cs="Palatino Linotype"/>
          <w:b/>
        </w:rPr>
        <w:t>SAIMEX,</w:t>
      </w:r>
      <w:r w:rsidRPr="003B3CD8">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3B3CD8">
        <w:rPr>
          <w:rFonts w:ascii="Palatino Linotype" w:eastAsia="Palatino Linotype" w:hAnsi="Palatino Linotype" w:cs="Palatino Linotype"/>
          <w:b/>
        </w:rPr>
        <w:t>SUJETO OBLIGADO</w:t>
      </w:r>
      <w:r w:rsidRPr="003B3CD8">
        <w:rPr>
          <w:rFonts w:ascii="Palatino Linotype" w:eastAsia="Palatino Linotype" w:hAnsi="Palatino Linotype" w:cs="Palatino Linotype"/>
        </w:rPr>
        <w:t xml:space="preserve"> entregó respuesta a la solicitud el día </w:t>
      </w:r>
      <w:r w:rsidR="00B31655" w:rsidRPr="003B3CD8">
        <w:rPr>
          <w:rFonts w:ascii="Palatino Linotype" w:eastAsia="Palatino Linotype" w:hAnsi="Palatino Linotype" w:cs="Palatino Linotype"/>
          <w:b/>
        </w:rPr>
        <w:t xml:space="preserve">uno de diciembre </w:t>
      </w:r>
      <w:r w:rsidR="00763D55" w:rsidRPr="003B3CD8">
        <w:rPr>
          <w:rFonts w:ascii="Palatino Linotype" w:eastAsia="Palatino Linotype" w:hAnsi="Palatino Linotype" w:cs="Palatino Linotype"/>
          <w:b/>
        </w:rPr>
        <w:t>de dos mil veinticinco</w:t>
      </w:r>
      <w:r w:rsidRPr="003B3CD8">
        <w:rPr>
          <w:rFonts w:ascii="Palatino Linotype" w:eastAsia="Palatino Linotype" w:hAnsi="Palatino Linotype" w:cs="Palatino Linotype"/>
        </w:rPr>
        <w:t xml:space="preserve">, de tal forma que el plazo para interponer el recurso de revisión transcurrió del </w:t>
      </w:r>
      <w:r w:rsidR="00B31655" w:rsidRPr="003B3CD8">
        <w:rPr>
          <w:rFonts w:ascii="Palatino Linotype" w:eastAsia="Palatino Linotype" w:hAnsi="Palatino Linotype" w:cs="Palatino Linotype"/>
          <w:b/>
        </w:rPr>
        <w:t>dos de diciembre de dos mil veinticinco al doce de enero de dos mil veintiséis</w:t>
      </w:r>
      <w:r w:rsidRPr="003B3CD8">
        <w:rPr>
          <w:rFonts w:ascii="Palatino Linotype" w:eastAsia="Palatino Linotype" w:hAnsi="Palatino Linotype" w:cs="Palatino Linotype"/>
        </w:rPr>
        <w:t xml:space="preserve">; en consecuencia, presentó su inconformidad el día </w:t>
      </w:r>
      <w:r w:rsidR="00B31655" w:rsidRPr="003B3CD8">
        <w:rPr>
          <w:rFonts w:ascii="Palatino Linotype" w:eastAsia="Palatino Linotype" w:hAnsi="Palatino Linotype" w:cs="Palatino Linotype"/>
          <w:b/>
        </w:rPr>
        <w:t xml:space="preserve">dos de diciembre </w:t>
      </w:r>
      <w:r w:rsidR="00763D55" w:rsidRPr="003B3CD8">
        <w:rPr>
          <w:rFonts w:ascii="Palatino Linotype" w:eastAsia="Palatino Linotype" w:hAnsi="Palatino Linotype" w:cs="Palatino Linotype"/>
          <w:b/>
        </w:rPr>
        <w:t>de dos mil veinticinco</w:t>
      </w:r>
      <w:r w:rsidRPr="003B3CD8">
        <w:rPr>
          <w:rFonts w:ascii="Palatino Linotype" w:eastAsia="Palatino Linotype" w:hAnsi="Palatino Linotype" w:cs="Palatino Linotype"/>
        </w:rPr>
        <w:t xml:space="preserve">, por lo que se encuentra dentro de los márgenes temporales previstos en el artículo 178 de la </w:t>
      </w:r>
      <w:r w:rsidRPr="003B3CD8">
        <w:rPr>
          <w:rFonts w:ascii="Palatino Linotype" w:eastAsia="Palatino Linotype" w:hAnsi="Palatino Linotype" w:cs="Palatino Linotype"/>
          <w:b/>
        </w:rPr>
        <w:t xml:space="preserve">Ley de Transparencia y Acceso a la Información Pública del Estado de México y Municipios </w:t>
      </w:r>
      <w:r w:rsidRPr="003B3CD8">
        <w:rPr>
          <w:rFonts w:ascii="Palatino Linotype" w:eastAsia="Palatino Linotype" w:hAnsi="Palatino Linotype" w:cs="Palatino Linotype"/>
        </w:rPr>
        <w:t>vigente.</w:t>
      </w:r>
    </w:p>
    <w:p w:rsidR="008C3450" w:rsidRPr="003B3CD8" w:rsidRDefault="008C3450" w:rsidP="008C3450">
      <w:pPr>
        <w:spacing w:line="360" w:lineRule="auto"/>
        <w:jc w:val="both"/>
        <w:rPr>
          <w:rFonts w:ascii="Palatino Linotype" w:eastAsia="Palatino Linotype" w:hAnsi="Palatino Linotype" w:cs="Palatino Linotype"/>
        </w:rPr>
      </w:pPr>
    </w:p>
    <w:p w:rsidR="004318F0" w:rsidRPr="003B3CD8" w:rsidRDefault="006303D2" w:rsidP="00763D55">
      <w:pPr>
        <w:numPr>
          <w:ilvl w:val="0"/>
          <w:numId w:val="4"/>
        </w:numPr>
        <w:spacing w:line="360" w:lineRule="auto"/>
        <w:ind w:left="0" w:firstLine="0"/>
        <w:jc w:val="both"/>
        <w:rPr>
          <w:rFonts w:ascii="Palatino Linotype" w:eastAsia="Palatino Linotype" w:hAnsi="Palatino Linotype" w:cs="Palatino Linotype"/>
          <w:b/>
        </w:rPr>
      </w:pPr>
      <w:r w:rsidRPr="003B3CD8">
        <w:rPr>
          <w:rFonts w:ascii="Palatino Linotype" w:eastAsia="Palatino Linotype" w:hAnsi="Palatino Linotype" w:cs="Palatino Linotype"/>
        </w:rPr>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4318F0" w:rsidRPr="003B3CD8" w:rsidRDefault="004318F0">
      <w:pPr>
        <w:spacing w:line="360" w:lineRule="auto"/>
        <w:jc w:val="both"/>
        <w:rPr>
          <w:rFonts w:ascii="Palatino Linotype" w:eastAsia="Palatino Linotype" w:hAnsi="Palatino Linotype" w:cs="Palatino Linotype"/>
        </w:rPr>
      </w:pPr>
    </w:p>
    <w:p w:rsidR="004318F0" w:rsidRPr="003B3CD8" w:rsidRDefault="006303D2">
      <w:pPr>
        <w:spacing w:line="360" w:lineRule="auto"/>
        <w:jc w:val="both"/>
        <w:rPr>
          <w:rFonts w:ascii="Palatino Linotype" w:eastAsia="Palatino Linotype" w:hAnsi="Palatino Linotype" w:cs="Palatino Linotype"/>
          <w:b/>
        </w:rPr>
      </w:pPr>
      <w:r w:rsidRPr="003B3CD8">
        <w:rPr>
          <w:rFonts w:ascii="Palatino Linotype" w:eastAsia="Palatino Linotype" w:hAnsi="Palatino Linotype" w:cs="Palatino Linotype"/>
          <w:b/>
        </w:rPr>
        <w:lastRenderedPageBreak/>
        <w:t>TERCERO. Planteamiento de la Litis.</w:t>
      </w:r>
    </w:p>
    <w:p w:rsidR="00B31655" w:rsidRPr="003B3CD8" w:rsidRDefault="00763D55" w:rsidP="00B31655">
      <w:pPr>
        <w:numPr>
          <w:ilvl w:val="0"/>
          <w:numId w:val="4"/>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rPr>
      </w:pPr>
      <w:r w:rsidRPr="003B3CD8">
        <w:rPr>
          <w:rFonts w:ascii="Palatino Linotype" w:eastAsia="Palatino Linotype" w:hAnsi="Palatino Linotype" w:cs="Palatino Linotype"/>
          <w:color w:val="000000"/>
        </w:rPr>
        <w:t>El par</w:t>
      </w:r>
      <w:r w:rsidR="00B31655" w:rsidRPr="003B3CD8">
        <w:rPr>
          <w:rFonts w:ascii="Palatino Linotype" w:eastAsia="Palatino Linotype" w:hAnsi="Palatino Linotype" w:cs="Palatino Linotype"/>
          <w:color w:val="000000"/>
        </w:rPr>
        <w:t xml:space="preserve">ticular solicitó el </w:t>
      </w:r>
      <w:r w:rsidR="00B31655" w:rsidRPr="003B3CD8">
        <w:rPr>
          <w:rFonts w:ascii="Palatino Linotype" w:eastAsia="Palatino Linotype" w:hAnsi="Palatino Linotype" w:cs="Palatino Linotype"/>
          <w:b/>
          <w:color w:val="000000"/>
        </w:rPr>
        <w:t>Padrón de las empresas que se encuentran en la jurisdicción del municipio que se dediquen a la fabricación de productos metálicos en donde se informe la razón social, domicilio y número telefónico, correo electrónico.</w:t>
      </w:r>
    </w:p>
    <w:p w:rsidR="00B31655" w:rsidRPr="003B3CD8" w:rsidRDefault="00B31655" w:rsidP="00B31655">
      <w:pPr>
        <w:pBdr>
          <w:top w:val="nil"/>
          <w:left w:val="nil"/>
          <w:bottom w:val="nil"/>
          <w:right w:val="nil"/>
          <w:between w:val="nil"/>
        </w:pBdr>
        <w:spacing w:line="360" w:lineRule="auto"/>
        <w:ind w:right="48"/>
        <w:jc w:val="both"/>
        <w:rPr>
          <w:rFonts w:ascii="Palatino Linotype" w:eastAsia="Palatino Linotype" w:hAnsi="Palatino Linotype" w:cs="Palatino Linotype"/>
        </w:rPr>
      </w:pPr>
    </w:p>
    <w:p w:rsidR="00763D55" w:rsidRPr="003B3CD8" w:rsidRDefault="00763D55" w:rsidP="00763D55">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3B3CD8">
        <w:rPr>
          <w:rFonts w:ascii="Palatino Linotype" w:eastAsia="Palatino Linotype" w:hAnsi="Palatino Linotype" w:cs="Palatino Linotype"/>
          <w:color w:val="000000"/>
        </w:rPr>
        <w:t xml:space="preserve">En consecuencia, el </w:t>
      </w:r>
      <w:r w:rsidRPr="003B3CD8">
        <w:rPr>
          <w:rFonts w:ascii="Palatino Linotype" w:eastAsia="Palatino Linotype" w:hAnsi="Palatino Linotype" w:cs="Palatino Linotype"/>
          <w:b/>
          <w:color w:val="000000"/>
        </w:rPr>
        <w:t xml:space="preserve">SUJETO OBLIGADO, </w:t>
      </w:r>
      <w:r w:rsidRPr="003B3CD8">
        <w:rPr>
          <w:rFonts w:ascii="Palatino Linotype" w:eastAsia="Palatino Linotype" w:hAnsi="Palatino Linotype" w:cs="Palatino Linotype"/>
          <w:color w:val="000000"/>
        </w:rPr>
        <w:t>brinda respuesta en términos del párrafo tercero de la presente Resolución</w:t>
      </w:r>
      <w:r w:rsidRPr="003B3CD8">
        <w:rPr>
          <w:rFonts w:ascii="Palatino Linotype" w:eastAsia="Palatino Linotype" w:hAnsi="Palatino Linotype" w:cs="Palatino Linotype"/>
          <w:b/>
          <w:color w:val="000000"/>
        </w:rPr>
        <w:t>.</w:t>
      </w:r>
    </w:p>
    <w:p w:rsidR="004318F0" w:rsidRPr="003B3CD8" w:rsidRDefault="004318F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4318F0" w:rsidRPr="003B3CD8" w:rsidRDefault="006303D2" w:rsidP="00763D55">
      <w:pPr>
        <w:numPr>
          <w:ilvl w:val="0"/>
          <w:numId w:val="4"/>
        </w:numPr>
        <w:spacing w:line="360" w:lineRule="auto"/>
        <w:ind w:left="0" w:firstLine="0"/>
        <w:jc w:val="both"/>
        <w:rPr>
          <w:rFonts w:ascii="Palatino Linotype" w:eastAsia="Palatino Linotype" w:hAnsi="Palatino Linotype" w:cs="Palatino Linotype"/>
        </w:rPr>
      </w:pPr>
      <w:r w:rsidRPr="003B3CD8">
        <w:rPr>
          <w:rFonts w:ascii="Palatino Linotype" w:eastAsia="Palatino Linotype" w:hAnsi="Palatino Linotype" w:cs="Palatino Linotype"/>
        </w:rPr>
        <w:t>En consecuencia, la Litis a resolver en este recurso, se circunscribe a determinar si la respuesta colma con lo solicitado o si se actualiza la causal de procedencia prevista en el artículo 179, fracción I  de la Ley de Transparencia y Acceso a la Información Pública del Estado de México y Municipios; que establece la negativa de la información.</w:t>
      </w:r>
    </w:p>
    <w:p w:rsidR="004318F0" w:rsidRPr="003B3CD8" w:rsidRDefault="004318F0">
      <w:pPr>
        <w:pBdr>
          <w:top w:val="nil"/>
          <w:left w:val="nil"/>
          <w:bottom w:val="nil"/>
          <w:right w:val="nil"/>
          <w:between w:val="nil"/>
        </w:pBdr>
        <w:ind w:left="720"/>
        <w:rPr>
          <w:rFonts w:ascii="Palatino Linotype" w:eastAsia="Palatino Linotype" w:hAnsi="Palatino Linotype" w:cs="Palatino Linotype"/>
          <w:color w:val="000000"/>
        </w:rPr>
      </w:pPr>
    </w:p>
    <w:p w:rsidR="004318F0" w:rsidRPr="003B3CD8" w:rsidRDefault="006303D2">
      <w:pPr>
        <w:keepNext/>
        <w:keepLines/>
        <w:spacing w:line="360" w:lineRule="auto"/>
        <w:rPr>
          <w:rFonts w:ascii="Palatino Linotype" w:eastAsia="Palatino Linotype" w:hAnsi="Palatino Linotype" w:cs="Palatino Linotype"/>
          <w:b/>
        </w:rPr>
      </w:pPr>
      <w:bookmarkStart w:id="6" w:name="_heading=h.4d34og8" w:colFirst="0" w:colLast="0"/>
      <w:bookmarkStart w:id="7" w:name="_heading=h.3dy6vkm" w:colFirst="0" w:colLast="0"/>
      <w:bookmarkEnd w:id="6"/>
      <w:bookmarkEnd w:id="7"/>
      <w:r w:rsidRPr="003B3CD8">
        <w:rPr>
          <w:rFonts w:ascii="Palatino Linotype" w:eastAsia="Palatino Linotype" w:hAnsi="Palatino Linotype" w:cs="Palatino Linotype"/>
          <w:b/>
        </w:rPr>
        <w:t>CUARTO. Del estudio y resolución del recurso de revisión.</w:t>
      </w:r>
    </w:p>
    <w:p w:rsidR="004318F0" w:rsidRPr="003B3CD8" w:rsidRDefault="006303D2" w:rsidP="00763D55">
      <w:pPr>
        <w:numPr>
          <w:ilvl w:val="0"/>
          <w:numId w:val="4"/>
        </w:numPr>
        <w:spacing w:line="360" w:lineRule="auto"/>
        <w:ind w:left="0" w:firstLine="0"/>
        <w:jc w:val="both"/>
        <w:rPr>
          <w:rFonts w:ascii="Palatino Linotype" w:eastAsia="Palatino Linotype" w:hAnsi="Palatino Linotype" w:cs="Palatino Linotype"/>
        </w:rPr>
      </w:pPr>
      <w:r w:rsidRPr="003B3CD8">
        <w:rPr>
          <w:rFonts w:ascii="Palatino Linotype" w:eastAsia="Palatino Linotype" w:hAnsi="Palatino Linotype" w:cs="Palatino Linotype"/>
        </w:rPr>
        <w:t>Se procede analizar el contenido íntegro de las actuaciones que obran en el expediente electrónico, y así este Órgano Garante dicte la resolución correspondiente, apegándose en todo momento al principio de máxima publicidad de acuerdo con lo establecido en el artículo 8 de la Ley de Transparencia y Acceso a la Información Pública del Estado de México y Municipios.</w:t>
      </w:r>
    </w:p>
    <w:p w:rsidR="004318F0" w:rsidRPr="003B3CD8" w:rsidRDefault="004318F0">
      <w:pPr>
        <w:spacing w:line="360" w:lineRule="auto"/>
        <w:jc w:val="both"/>
        <w:rPr>
          <w:rFonts w:ascii="Palatino Linotype" w:eastAsia="Palatino Linotype" w:hAnsi="Palatino Linotype" w:cs="Palatino Linotype"/>
        </w:rPr>
      </w:pPr>
    </w:p>
    <w:p w:rsidR="00763D55" w:rsidRPr="003B3CD8" w:rsidRDefault="006303D2" w:rsidP="00B31655">
      <w:pPr>
        <w:numPr>
          <w:ilvl w:val="0"/>
          <w:numId w:val="4"/>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3B3CD8">
        <w:rPr>
          <w:rFonts w:ascii="Palatino Linotype" w:eastAsia="Palatino Linotype" w:hAnsi="Palatino Linotype" w:cs="Palatino Linotype"/>
        </w:rPr>
        <w:t xml:space="preserve">En un principio debemos recordar que el particular solicitó </w:t>
      </w:r>
      <w:r w:rsidR="00B31655" w:rsidRPr="003B3CD8">
        <w:rPr>
          <w:rFonts w:ascii="Palatino Linotype" w:eastAsia="Palatino Linotype" w:hAnsi="Palatino Linotype" w:cs="Palatino Linotype"/>
        </w:rPr>
        <w:t xml:space="preserve">el </w:t>
      </w:r>
      <w:r w:rsidR="00B31655" w:rsidRPr="003B3CD8">
        <w:rPr>
          <w:rFonts w:ascii="Palatino Linotype" w:eastAsia="Palatino Linotype" w:hAnsi="Palatino Linotype" w:cs="Palatino Linotype"/>
          <w:b/>
          <w:color w:val="000000"/>
        </w:rPr>
        <w:t>Padrón de las empresas que se encuentran en la jurisdicción del municipio que se dediquen a la fabricación de productos metálicos en donde se informe la razón social, domicilio y número telefónico, correo electrónico.</w:t>
      </w:r>
    </w:p>
    <w:p w:rsidR="00B31655" w:rsidRPr="003B3CD8" w:rsidRDefault="00B31655" w:rsidP="00B31655">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B31655" w:rsidRPr="003B3CD8" w:rsidRDefault="0088420A" w:rsidP="0088420A">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3B3CD8">
        <w:rPr>
          <w:rFonts w:ascii="Palatino Linotype" w:eastAsia="Palatino Linotype" w:hAnsi="Palatino Linotype" w:cs="Palatino Linotype"/>
          <w:color w:val="000000"/>
        </w:rPr>
        <w:lastRenderedPageBreak/>
        <w:t xml:space="preserve">De lo anterior el </w:t>
      </w:r>
      <w:r w:rsidRPr="003B3CD8">
        <w:rPr>
          <w:rFonts w:ascii="Palatino Linotype" w:eastAsia="Palatino Linotype" w:hAnsi="Palatino Linotype" w:cs="Palatino Linotype"/>
          <w:b/>
          <w:color w:val="000000"/>
        </w:rPr>
        <w:t xml:space="preserve">SUJETO OBLIGADO </w:t>
      </w:r>
      <w:r w:rsidRPr="003B3CD8">
        <w:rPr>
          <w:rFonts w:ascii="Palatino Linotype" w:eastAsia="Palatino Linotype" w:hAnsi="Palatino Linotype" w:cs="Palatino Linotype"/>
          <w:color w:val="000000"/>
        </w:rPr>
        <w:t xml:space="preserve">por medio del </w:t>
      </w:r>
      <w:r w:rsidR="00B31655" w:rsidRPr="003B3CD8">
        <w:rPr>
          <w:rFonts w:ascii="Palatino Linotype" w:eastAsia="Palatino Linotype" w:hAnsi="Palatino Linotype" w:cs="Palatino Linotype"/>
          <w:b/>
          <w:color w:val="000000"/>
        </w:rPr>
        <w:t xml:space="preserve">Director de Desarrollo Económico </w:t>
      </w:r>
      <w:r w:rsidRPr="003B3CD8">
        <w:rPr>
          <w:rFonts w:ascii="Palatino Linotype" w:eastAsia="Palatino Linotype" w:hAnsi="Palatino Linotype" w:cs="Palatino Linotype"/>
          <w:b/>
          <w:color w:val="000000"/>
        </w:rPr>
        <w:t>y servidor público habilitado,</w:t>
      </w:r>
      <w:r w:rsidRPr="003B3CD8">
        <w:rPr>
          <w:rFonts w:ascii="Palatino Linotype" w:eastAsia="Palatino Linotype" w:hAnsi="Palatino Linotype" w:cs="Palatino Linotype"/>
          <w:color w:val="000000"/>
        </w:rPr>
        <w:t xml:space="preserve"> informó </w:t>
      </w:r>
      <w:r w:rsidR="0096770F" w:rsidRPr="003B3CD8">
        <w:rPr>
          <w:rFonts w:ascii="Palatino Linotype" w:eastAsia="Palatino Linotype" w:hAnsi="Palatino Linotype" w:cs="Palatino Linotype"/>
          <w:color w:val="000000"/>
        </w:rPr>
        <w:t>después de realizar una búsqueda en el Catálogo de Giros que existe, no se encontró ninguna Unidad Económica bajo el giro mencionado en la solicitud.</w:t>
      </w:r>
    </w:p>
    <w:p w:rsidR="00B31655" w:rsidRPr="003B3CD8" w:rsidRDefault="00B31655" w:rsidP="00B31655">
      <w:pPr>
        <w:pStyle w:val="Prrafodelista"/>
        <w:rPr>
          <w:rFonts w:ascii="Palatino Linotype" w:eastAsia="Palatino Linotype" w:hAnsi="Palatino Linotype" w:cs="Palatino Linotype"/>
          <w:color w:val="000000"/>
        </w:rPr>
      </w:pPr>
    </w:p>
    <w:p w:rsidR="0088420A" w:rsidRPr="003B3CD8" w:rsidRDefault="0088420A" w:rsidP="0096770F">
      <w:pPr>
        <w:numPr>
          <w:ilvl w:val="0"/>
          <w:numId w:val="4"/>
        </w:numPr>
        <w:ind w:left="0" w:firstLine="0"/>
        <w:jc w:val="both"/>
        <w:rPr>
          <w:rFonts w:ascii="Palatino Linotype" w:eastAsia="Palatino Linotype" w:hAnsi="Palatino Linotype" w:cs="Palatino Linotype"/>
          <w:color w:val="000000"/>
        </w:rPr>
      </w:pPr>
      <w:r w:rsidRPr="003B3CD8">
        <w:rPr>
          <w:rFonts w:ascii="Palatino Linotype" w:eastAsia="Palatino Linotype" w:hAnsi="Palatino Linotype" w:cs="Palatino Linotype"/>
          <w:color w:val="000000"/>
        </w:rPr>
        <w:t xml:space="preserve">De los motivos de descontento referidos por el </w:t>
      </w:r>
      <w:r w:rsidRPr="003B3CD8">
        <w:rPr>
          <w:rFonts w:ascii="Palatino Linotype" w:eastAsia="Palatino Linotype" w:hAnsi="Palatino Linotype" w:cs="Palatino Linotype"/>
          <w:b/>
          <w:color w:val="000000"/>
        </w:rPr>
        <w:t xml:space="preserve">RECURRENTE, </w:t>
      </w:r>
      <w:r w:rsidRPr="003B3CD8">
        <w:rPr>
          <w:rFonts w:ascii="Palatino Linotype" w:eastAsia="Palatino Linotype" w:hAnsi="Palatino Linotype" w:cs="Palatino Linotype"/>
          <w:color w:val="000000"/>
        </w:rPr>
        <w:t>se observa que se inconforma por</w:t>
      </w:r>
      <w:r w:rsidR="0096770F" w:rsidRPr="003B3CD8">
        <w:rPr>
          <w:rFonts w:ascii="Palatino Linotype" w:eastAsia="Palatino Linotype" w:hAnsi="Palatino Linotype" w:cs="Palatino Linotype"/>
          <w:b/>
          <w:color w:val="000000"/>
        </w:rPr>
        <w:t xml:space="preserve"> el oficio de respuesta a la solicitud</w:t>
      </w:r>
      <w:r w:rsidRPr="003B3CD8">
        <w:rPr>
          <w:rFonts w:ascii="Palatino Linotype" w:eastAsia="Palatino Linotype" w:hAnsi="Palatino Linotype" w:cs="Palatino Linotype"/>
          <w:b/>
          <w:color w:val="000000"/>
        </w:rPr>
        <w:t xml:space="preserve">, </w:t>
      </w:r>
      <w:r w:rsidRPr="003B3CD8">
        <w:rPr>
          <w:rFonts w:ascii="Palatino Linotype" w:eastAsia="Palatino Linotype" w:hAnsi="Palatino Linotype" w:cs="Palatino Linotype"/>
          <w:color w:val="000000"/>
        </w:rPr>
        <w:t xml:space="preserve">en los siguientes términos: </w:t>
      </w:r>
      <w:r w:rsidRPr="003B3CD8">
        <w:rPr>
          <w:rFonts w:ascii="Palatino Linotype" w:eastAsia="Palatino Linotype" w:hAnsi="Palatino Linotype" w:cs="Palatino Linotype"/>
          <w:i/>
          <w:color w:val="000000"/>
        </w:rPr>
        <w:t>“</w:t>
      </w:r>
      <w:r w:rsidR="0096770F" w:rsidRPr="003B3CD8">
        <w:rPr>
          <w:rFonts w:ascii="Palatino Linotype" w:eastAsia="Palatino Linotype" w:hAnsi="Palatino Linotype" w:cs="Palatino Linotype"/>
          <w:i/>
          <w:color w:val="000000"/>
        </w:rPr>
        <w:t xml:space="preserve">En la página 1 del documento, el Director señala: “Se hizo una búsqueda en el Catálogo de Giros que existe, y NO se encontró alguna Unidad Económica bajo el giro mencionado en la solicitud.” Es decir, la autoridad declara inexistencia de información. Sin embargo, esta declaratoria es ilegal, porque viola varios artículos de la Ley de Transparencia y Acceso a la Información Pública del Estado de México y Municipios. ________________________________________ ________________________________________ . Violación al Artículo 18 de la Ley de Transparencia y Acceso a la Información Pública del Estado de México y Municipios El Artículo 18 dispone: “Los sujetos obligados deberán documentar todo acto derivado del ejercicio de sus facultades, competencias o funciones.” El municipio está obligado a documentar: • licencias de funcionamiento, • giros comerciales, • actividad económica, • padrón de unidades económicas, • permisos y actualizaciones. Declarar que “solo revisaron el Catálogo de Giros” NO es cumplir con la obligación de documentar y conservar información. Además: • No se revisaron padrones, • No se revisaron licencias vigentes, • No se revisaron archivos históricos, • No se verificó si existe actividad registrada con denominación distinta. Por tanto, la respuesta viola el Artículo 18. ________________________________________ . Violación al Artículo 19 de la Ley de Transparencia y Acceso a la Información Pública del Estado de México y Municipios El Artículo 19 establece: “Cuando la información debió generarse, poseerse o administrarse, pero no se encuentra, el Comité de Transparencia deberá emitir un acuerdo de inexistencia.” En este expediente: • NO existe acuerdo del Comité de Transparencia. • La inexistencia la declara un Director, lo cual NO está permitido. • No hay análisis colegiado. • No existe motivación jurídica formal. La respuesta es jurídicamente inválida. ________________________________________ Violación al Artículo 169 de la Ley de Transparencia y Acceso a la Información Pública del Estado de México y Municipios El Artículo 169 impone al Comité de Transparencia la obligación de: 1. Analizar si la información debió existir. 2. Determinar si la ausencia deriva de omisión administrativa. 3. Ordenar generar o reponer la información. 4. Emitir acuerdo fundado y motivado. Nada de esto ocurrió. El Director simplemente revisó un catálogo, lo cual: • NO sustituye una búsqueda integral, • NO constituye el procedimiento de inexistencia, • NO exonera al municipio de responsabilidad. ________________________________________ Violación al Artículo 170 de la Ley de Transparencia y Acceso a la Información Pública del Estado de México y </w:t>
      </w:r>
      <w:r w:rsidR="0096770F" w:rsidRPr="003B3CD8">
        <w:rPr>
          <w:rFonts w:ascii="Palatino Linotype" w:eastAsia="Palatino Linotype" w:hAnsi="Palatino Linotype" w:cs="Palatino Linotype"/>
          <w:i/>
          <w:color w:val="000000"/>
        </w:rPr>
        <w:lastRenderedPageBreak/>
        <w:t>Municipios El Artículo 170 exige que la inexistencia documente: • “tiempo, modo y lugar”, • archivos revisados, • bases de datos, • metodología, • áreas participantes. La respuesta solo dice: “Se hizo una búsqueda en el Catálogo de Giros.” Esto no es búsqueda exhaustiva. Una búsqueda real debió incluir: • padrón de licencias comerciales, • expedientes físicos, • sistemas electrónicos municipales, • registros de verificación, • archivos de años anteriores, • participación de diversas áreas económicas y administrativas. Al no cumplir estos requisitos, la inexistencia es inválida. ________________________________________ Violación al Artículo 179 de la Ley de Transparencia y Acceso a la Información Pública del Estado de México y Municipios El Artículo 179, fracción IX, establece como causal de recurso: “La falta, deficiencia o insuficiencia de fundamentación y/o motivación de la respuesta.” Aquí: • La respuesta no está debidamente fundada, • No está motivada, • No justifica la inexistencia, • No detalla búsqueda, • No involucra al Comité, • No analiza si la información debió existir. Por tanto, el municipio incurre plenamente en la caus</w:t>
      </w:r>
      <w:r w:rsidRPr="003B3CD8">
        <w:rPr>
          <w:rFonts w:ascii="Palatino Linotype" w:eastAsia="Palatino Linotype" w:hAnsi="Palatino Linotype" w:cs="Palatino Linotype"/>
          <w:i/>
          <w:color w:val="000000"/>
        </w:rPr>
        <w:t>” (Sic.)</w:t>
      </w:r>
    </w:p>
    <w:p w:rsidR="0096770F" w:rsidRPr="003B3CD8" w:rsidRDefault="0096770F" w:rsidP="0096770F">
      <w:pPr>
        <w:jc w:val="both"/>
        <w:rPr>
          <w:rFonts w:ascii="Palatino Linotype" w:eastAsia="Palatino Linotype" w:hAnsi="Palatino Linotype" w:cs="Palatino Linotype"/>
          <w:color w:val="000000"/>
        </w:rPr>
      </w:pPr>
    </w:p>
    <w:p w:rsidR="001A0BFB" w:rsidRPr="003B3CD8" w:rsidRDefault="001A0BFB" w:rsidP="001A0BFB">
      <w:pPr>
        <w:pStyle w:val="Prrafodelista"/>
        <w:rPr>
          <w:rFonts w:ascii="Palatino Linotype" w:eastAsia="Palatino Linotype" w:hAnsi="Palatino Linotype" w:cs="Palatino Linotype"/>
          <w:color w:val="000000"/>
        </w:rPr>
      </w:pPr>
    </w:p>
    <w:p w:rsidR="001A0BFB" w:rsidRPr="003B3CD8" w:rsidRDefault="006303D2" w:rsidP="001A0BFB">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3B3CD8">
        <w:rPr>
          <w:rFonts w:ascii="Palatino Linotype" w:eastAsia="Palatino Linotype" w:hAnsi="Palatino Linotype" w:cs="Palatino Linotype"/>
          <w:color w:val="000000"/>
        </w:rPr>
        <w:t xml:space="preserve">Al respecto, </w:t>
      </w:r>
      <w:r w:rsidR="0096770F" w:rsidRPr="003B3CD8">
        <w:rPr>
          <w:rFonts w:ascii="Palatino Linotype" w:eastAsia="Palatino Linotype" w:hAnsi="Palatino Linotype" w:cs="Palatino Linotype"/>
          <w:color w:val="000000"/>
        </w:rPr>
        <w:t xml:space="preserve">conviene reiterar que </w:t>
      </w:r>
      <w:r w:rsidRPr="003B3CD8">
        <w:rPr>
          <w:rFonts w:ascii="Palatino Linotype" w:eastAsia="Palatino Linotype" w:hAnsi="Palatino Linotype" w:cs="Palatino Linotype"/>
          <w:color w:val="000000"/>
        </w:rPr>
        <w:t xml:space="preserve">el </w:t>
      </w:r>
      <w:r w:rsidRPr="003B3CD8">
        <w:rPr>
          <w:rFonts w:ascii="Palatino Linotype" w:eastAsia="Palatino Linotype" w:hAnsi="Palatino Linotype" w:cs="Palatino Linotype"/>
          <w:b/>
          <w:color w:val="000000"/>
        </w:rPr>
        <w:t xml:space="preserve">RECURRENTE, </w:t>
      </w:r>
      <w:r w:rsidRPr="003B3CD8">
        <w:rPr>
          <w:rFonts w:ascii="Palatino Linotype" w:eastAsia="Palatino Linotype" w:hAnsi="Palatino Linotype" w:cs="Palatino Linotype"/>
          <w:color w:val="000000"/>
        </w:rPr>
        <w:t xml:space="preserve">solicitó </w:t>
      </w:r>
      <w:r w:rsidR="0096770F" w:rsidRPr="003B3CD8">
        <w:rPr>
          <w:rFonts w:ascii="Palatino Linotype" w:eastAsia="Palatino Linotype" w:hAnsi="Palatino Linotype" w:cs="Palatino Linotype"/>
          <w:b/>
          <w:color w:val="000000"/>
        </w:rPr>
        <w:t>Padrón de las empresas que se encuentran en la jurisdicción del municipio que se dediquen a la fabricación de productos metálicos en donde se informe la razón social, domicilio y número telefónico, correo electrónico</w:t>
      </w:r>
      <w:r w:rsidRPr="003B3CD8">
        <w:rPr>
          <w:rFonts w:ascii="Palatino Linotype" w:eastAsia="Palatino Linotype" w:hAnsi="Palatino Linotype" w:cs="Palatino Linotype"/>
          <w:b/>
          <w:color w:val="000000"/>
        </w:rPr>
        <w:t>,</w:t>
      </w:r>
      <w:r w:rsidRPr="003B3CD8">
        <w:rPr>
          <w:rFonts w:ascii="Palatino Linotype" w:eastAsia="Palatino Linotype" w:hAnsi="Palatino Linotype" w:cs="Palatino Linotype"/>
          <w:color w:val="000000"/>
        </w:rPr>
        <w:t xml:space="preserve"> al respecto el </w:t>
      </w:r>
      <w:r w:rsidRPr="003B3CD8">
        <w:rPr>
          <w:rFonts w:ascii="Palatino Linotype" w:eastAsia="Palatino Linotype" w:hAnsi="Palatino Linotype" w:cs="Palatino Linotype"/>
          <w:b/>
          <w:color w:val="000000"/>
        </w:rPr>
        <w:t xml:space="preserve">SUJETO OLIBIGADO, </w:t>
      </w:r>
      <w:r w:rsidRPr="003B3CD8">
        <w:rPr>
          <w:rFonts w:ascii="Palatino Linotype" w:eastAsia="Palatino Linotype" w:hAnsi="Palatino Linotype" w:cs="Palatino Linotype"/>
          <w:color w:val="000000"/>
        </w:rPr>
        <w:t xml:space="preserve">indicó que </w:t>
      </w:r>
      <w:r w:rsidR="0096770F" w:rsidRPr="003B3CD8">
        <w:rPr>
          <w:rFonts w:ascii="Palatino Linotype" w:eastAsia="Palatino Linotype" w:hAnsi="Palatino Linotype" w:cs="Palatino Linotype"/>
          <w:color w:val="000000"/>
        </w:rPr>
        <w:t>después de realizar una búsqueda exhaustiva en el Catálogo de giros que posee, no se encontró alguna Unidad Económica bajo el giro mencionado en la solic</w:t>
      </w:r>
      <w:r w:rsidR="001A0BFB" w:rsidRPr="003B3CD8">
        <w:rPr>
          <w:rFonts w:ascii="Palatino Linotype" w:eastAsia="Palatino Linotype" w:hAnsi="Palatino Linotype" w:cs="Palatino Linotype"/>
          <w:color w:val="000000"/>
        </w:rPr>
        <w:t>itud, por lo que es conveniente traer a colación lo dispuesto en el artículo 31 de la Ley Orgánica Municipal del Estado de México en el que se estipula que los ayuntamientos cuentan con atribuciones para otorgar licencia de funcionamiento, previa presentación del Dictamen de Giro a las unidades económicas; además, dicha licencia tendrá una vigencia de cinco años y deberá ser refrendada de manera anual, con independencia de que puedan ser sujetos de visitas de verificación para constatar el cumplimiento de las disposiciones jurídicas aplicables.</w:t>
      </w:r>
    </w:p>
    <w:p w:rsidR="001A0BFB" w:rsidRPr="003B3CD8" w:rsidRDefault="001A0BFB" w:rsidP="001A0BF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A0BFB" w:rsidRPr="003B3CD8" w:rsidRDefault="001A0BFB" w:rsidP="001A0BFB">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3B3CD8">
        <w:rPr>
          <w:rFonts w:ascii="Palatino Linotype" w:eastAsia="Palatino Linotype" w:hAnsi="Palatino Linotype" w:cs="Palatino Linotype"/>
          <w:color w:val="000000"/>
        </w:rPr>
        <w:t xml:space="preserve">Ahora bien, la Ley de Competitividad y Ordenamiento Comercial del Estado de México define a la licencia de funcionamiento en términos del artículo 2 fracciones I y XV </w:t>
      </w:r>
      <w:r w:rsidRPr="003B3CD8">
        <w:rPr>
          <w:rFonts w:ascii="Palatino Linotype" w:eastAsia="Palatino Linotype" w:hAnsi="Palatino Linotype" w:cs="Palatino Linotype"/>
          <w:color w:val="000000"/>
        </w:rPr>
        <w:lastRenderedPageBreak/>
        <w:t xml:space="preserve">respectivamente, como el acto administrativo que emite la autoridad, por el cual autoriza a una persona física o jurídica colectiva a desarrollar actividades económicas; mientras que una actividad económica, es el conjunto de acciones y recursos que emplean las unidades económicas para producir bienes o proporcionar servicios. </w:t>
      </w:r>
    </w:p>
    <w:p w:rsidR="001A0BFB" w:rsidRPr="003B3CD8" w:rsidRDefault="001A0BFB" w:rsidP="001A0BFB">
      <w:pPr>
        <w:pStyle w:val="Prrafodelista"/>
        <w:rPr>
          <w:rFonts w:eastAsia="Palatino Linotype" w:cs="Palatino Linotype"/>
          <w:color w:val="000000"/>
        </w:rPr>
      </w:pPr>
    </w:p>
    <w:p w:rsidR="001A0BFB" w:rsidRPr="003B3CD8" w:rsidRDefault="001A0BFB" w:rsidP="001A0BFB">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3B3CD8">
        <w:rPr>
          <w:rFonts w:ascii="Palatino Linotype" w:eastAsia="Palatino Linotype" w:hAnsi="Palatino Linotype" w:cs="Palatino Linotype"/>
          <w:color w:val="000000"/>
        </w:rPr>
        <w:t>Aunado a ello, el artículo 7 del mismo ordenamiento, establece que a los municipios les corresponde crear, operar, digitalizar y mantener actualizado semanalmente el registro municipal a través de la Dirección de Desarrollo Económico, tal y como se muestra a continuación:</w:t>
      </w:r>
    </w:p>
    <w:p w:rsidR="001A0BFB" w:rsidRPr="003B3CD8" w:rsidRDefault="001A0BFB" w:rsidP="000D0382">
      <w:pPr>
        <w:pStyle w:val="Fundamentos"/>
        <w:ind w:right="539"/>
        <w:rPr>
          <w:bCs/>
          <w:sz w:val="24"/>
          <w:lang w:val="es-MX"/>
        </w:rPr>
      </w:pPr>
      <w:r w:rsidRPr="003B3CD8">
        <w:rPr>
          <w:b/>
          <w:bCs/>
          <w:sz w:val="24"/>
          <w:lang w:val="es-MX"/>
        </w:rPr>
        <w:t>Artículo 7.</w:t>
      </w:r>
      <w:r w:rsidRPr="003B3CD8">
        <w:rPr>
          <w:bCs/>
          <w:sz w:val="24"/>
          <w:lang w:val="es-MX"/>
        </w:rPr>
        <w:t xml:space="preserve"> Corresponde a los municipios:</w:t>
      </w:r>
    </w:p>
    <w:p w:rsidR="001A0BFB" w:rsidRPr="003B3CD8" w:rsidRDefault="001A0BFB" w:rsidP="000D0382">
      <w:pPr>
        <w:pStyle w:val="Fundamentos"/>
        <w:ind w:right="539"/>
        <w:rPr>
          <w:bCs/>
          <w:sz w:val="24"/>
          <w:lang w:val="es-MX"/>
        </w:rPr>
      </w:pPr>
    </w:p>
    <w:p w:rsidR="001A0BFB" w:rsidRPr="003B3CD8" w:rsidRDefault="001A0BFB" w:rsidP="000D0382">
      <w:pPr>
        <w:pStyle w:val="Fundamentos"/>
        <w:ind w:right="539"/>
        <w:rPr>
          <w:bCs/>
          <w:sz w:val="24"/>
          <w:lang w:val="es-MX"/>
        </w:rPr>
      </w:pPr>
      <w:r w:rsidRPr="003B3CD8">
        <w:rPr>
          <w:bCs/>
          <w:sz w:val="24"/>
          <w:lang w:val="es-MX"/>
        </w:rPr>
        <w:t xml:space="preserve">I. </w:t>
      </w:r>
      <w:r w:rsidRPr="003B3CD8">
        <w:rPr>
          <w:b/>
          <w:bCs/>
          <w:sz w:val="24"/>
          <w:u w:val="single"/>
          <w:lang w:val="es-MX"/>
        </w:rPr>
        <w:t>Crear el registro municipal</w:t>
      </w:r>
      <w:r w:rsidRPr="003B3CD8">
        <w:rPr>
          <w:bCs/>
          <w:sz w:val="24"/>
          <w:lang w:val="es-MX"/>
        </w:rPr>
        <w:t>, donde se especifica la licencia de funcionamiento con la actividad de la unidad económica e impacto que generen, así como las demás características que se determinen.</w:t>
      </w:r>
    </w:p>
    <w:p w:rsidR="001A0BFB" w:rsidRPr="003B3CD8" w:rsidRDefault="001A0BFB" w:rsidP="000D0382">
      <w:pPr>
        <w:pStyle w:val="Fundamentos"/>
        <w:ind w:right="539"/>
        <w:rPr>
          <w:bCs/>
          <w:sz w:val="24"/>
          <w:lang w:val="es-MX"/>
        </w:rPr>
      </w:pPr>
      <w:r w:rsidRPr="003B3CD8">
        <w:rPr>
          <w:bCs/>
          <w:sz w:val="24"/>
          <w:lang w:val="es-MX"/>
        </w:rPr>
        <w:t>[…]</w:t>
      </w:r>
    </w:p>
    <w:p w:rsidR="001A0BFB" w:rsidRPr="003B3CD8" w:rsidRDefault="001A0BFB" w:rsidP="000D0382">
      <w:pPr>
        <w:pStyle w:val="Fundamentos"/>
        <w:ind w:right="539"/>
        <w:rPr>
          <w:bCs/>
          <w:sz w:val="24"/>
          <w:lang w:val="es-MX"/>
        </w:rPr>
      </w:pPr>
      <w:r w:rsidRPr="003B3CD8">
        <w:rPr>
          <w:bCs/>
          <w:sz w:val="24"/>
          <w:lang w:val="es-MX"/>
        </w:rPr>
        <w:t>III.</w:t>
      </w:r>
      <w:r w:rsidRPr="003B3CD8">
        <w:rPr>
          <w:b/>
          <w:bCs/>
          <w:sz w:val="24"/>
          <w:lang w:val="es-MX"/>
        </w:rPr>
        <w:t xml:space="preserve"> Operar, digitalizar y </w:t>
      </w:r>
      <w:r w:rsidRPr="003B3CD8">
        <w:rPr>
          <w:b/>
          <w:bCs/>
          <w:sz w:val="24"/>
          <w:u w:val="single"/>
          <w:lang w:val="es-MX"/>
        </w:rPr>
        <w:t>mantener, semanalmente actualizado, el registro municipal, a través de la Dirección de Desarrollo Económico o su equivalente,</w:t>
      </w:r>
      <w:r w:rsidRPr="003B3CD8">
        <w:rPr>
          <w:bCs/>
          <w:sz w:val="24"/>
          <w:lang w:val="es-MX"/>
        </w:rPr>
        <w:t xml:space="preserve"> que opere en su demarcación, el cual deberá publicarse en el portal de Internet del municipio.</w:t>
      </w:r>
    </w:p>
    <w:p w:rsidR="001A0BFB" w:rsidRPr="003B3CD8" w:rsidRDefault="001A0BFB" w:rsidP="000D0382">
      <w:pPr>
        <w:pStyle w:val="Fundamentos"/>
        <w:ind w:right="539"/>
        <w:rPr>
          <w:b/>
          <w:sz w:val="24"/>
          <w:u w:val="single"/>
          <w:lang w:val="es-MX"/>
        </w:rPr>
      </w:pPr>
      <w:r w:rsidRPr="003B3CD8">
        <w:rPr>
          <w:bCs/>
          <w:sz w:val="24"/>
          <w:lang w:val="es-MX"/>
        </w:rPr>
        <w:t xml:space="preserve">IV. </w:t>
      </w:r>
      <w:r w:rsidRPr="003B3CD8">
        <w:rPr>
          <w:b/>
          <w:sz w:val="24"/>
          <w:u w:val="single"/>
          <w:lang w:val="es-MX"/>
        </w:rPr>
        <w:t>Enviar, dentro de los cinco días hábiles siguientes de cada mes calendario la actualización de su registro municipal, el informe correspondiente a las autoridades estatales, para actualizar el registro estatal.</w:t>
      </w:r>
    </w:p>
    <w:p w:rsidR="001A0BFB" w:rsidRPr="003B3CD8" w:rsidRDefault="001A0BFB" w:rsidP="000D0382">
      <w:pPr>
        <w:pStyle w:val="Fundamentos"/>
        <w:ind w:right="539"/>
        <w:rPr>
          <w:b/>
          <w:bCs/>
          <w:sz w:val="24"/>
          <w:lang w:val="es-MX"/>
        </w:rPr>
      </w:pPr>
      <w:r w:rsidRPr="003B3CD8">
        <w:rPr>
          <w:bCs/>
          <w:sz w:val="24"/>
          <w:lang w:val="es-MX"/>
        </w:rPr>
        <w:t>V.</w:t>
      </w:r>
      <w:r w:rsidRPr="003B3CD8">
        <w:rPr>
          <w:b/>
          <w:bCs/>
          <w:sz w:val="24"/>
          <w:lang w:val="es-MX"/>
        </w:rPr>
        <w:t xml:space="preserve"> Resguardar y actualizar el archivo físico y digital con los documentos requeridos por las leyes para la expedición y refrendo de las licencias correspondientes</w:t>
      </w:r>
    </w:p>
    <w:p w:rsidR="001A0BFB" w:rsidRPr="003B3CD8" w:rsidRDefault="001A0BFB" w:rsidP="000D0382">
      <w:pPr>
        <w:pStyle w:val="Fundamentos"/>
        <w:ind w:right="539"/>
        <w:rPr>
          <w:bCs/>
          <w:sz w:val="24"/>
          <w:lang w:val="es-MX"/>
        </w:rPr>
      </w:pPr>
      <w:r w:rsidRPr="003B3CD8">
        <w:rPr>
          <w:bCs/>
          <w:sz w:val="24"/>
          <w:lang w:val="es-MX"/>
        </w:rPr>
        <w:t>[…]</w:t>
      </w:r>
    </w:p>
    <w:p w:rsidR="001A0BFB" w:rsidRDefault="001A0BFB" w:rsidP="001A0BFB">
      <w:pPr>
        <w:rPr>
          <w:lang w:val="es-ES"/>
        </w:rPr>
      </w:pPr>
    </w:p>
    <w:p w:rsidR="008C3450" w:rsidRPr="003B3CD8" w:rsidRDefault="008C3450" w:rsidP="001A0BFB">
      <w:pPr>
        <w:rPr>
          <w:lang w:val="es-ES"/>
        </w:rPr>
      </w:pPr>
    </w:p>
    <w:p w:rsidR="001A0BFB" w:rsidRPr="003B3CD8" w:rsidRDefault="001A0BFB" w:rsidP="001A0BFB">
      <w:pPr>
        <w:pStyle w:val="Prrafodelista"/>
        <w:numPr>
          <w:ilvl w:val="0"/>
          <w:numId w:val="4"/>
        </w:numPr>
        <w:ind w:left="0" w:firstLine="0"/>
        <w:rPr>
          <w:rFonts w:ascii="Palatino Linotype" w:eastAsia="Palatino Linotype" w:hAnsi="Palatino Linotype" w:cs="Palatino Linotype"/>
          <w:color w:val="000000"/>
        </w:rPr>
      </w:pPr>
      <w:r w:rsidRPr="003B3CD8">
        <w:rPr>
          <w:rFonts w:ascii="Palatino Linotype" w:eastAsia="Palatino Linotype" w:hAnsi="Palatino Linotype" w:cs="Palatino Linotype"/>
          <w:color w:val="000000"/>
        </w:rPr>
        <w:t>Asimismo, los artículos 10 y 11 de la Ley en cita disponen lo siguiente:</w:t>
      </w:r>
    </w:p>
    <w:p w:rsidR="001A0BFB" w:rsidRPr="003B3CD8" w:rsidRDefault="001A0BFB" w:rsidP="001A0BFB">
      <w:pPr>
        <w:rPr>
          <w:lang w:val="es-ES"/>
        </w:rPr>
      </w:pPr>
    </w:p>
    <w:p w:rsidR="001A0BFB" w:rsidRPr="003B3CD8" w:rsidRDefault="001A0BFB" w:rsidP="001A0BFB">
      <w:pPr>
        <w:pStyle w:val="Fundamentos"/>
        <w:rPr>
          <w:bCs/>
          <w:sz w:val="24"/>
          <w:lang w:val="es-MX"/>
        </w:rPr>
      </w:pPr>
      <w:r w:rsidRPr="003B3CD8">
        <w:rPr>
          <w:b/>
          <w:bCs/>
          <w:sz w:val="24"/>
          <w:lang w:val="es-MX"/>
        </w:rPr>
        <w:t>Artículo 10</w:t>
      </w:r>
      <w:r w:rsidRPr="003B3CD8">
        <w:rPr>
          <w:bCs/>
          <w:sz w:val="24"/>
          <w:lang w:val="es-MX"/>
        </w:rPr>
        <w:t xml:space="preserve">. </w:t>
      </w:r>
      <w:r w:rsidRPr="003B3CD8">
        <w:rPr>
          <w:b/>
          <w:bCs/>
          <w:sz w:val="24"/>
          <w:lang w:val="es-MX"/>
        </w:rPr>
        <w:t xml:space="preserve">Los registros tienen como finalidad </w:t>
      </w:r>
      <w:r w:rsidRPr="003B3CD8">
        <w:rPr>
          <w:b/>
          <w:bCs/>
          <w:sz w:val="24"/>
          <w:u w:val="single"/>
          <w:lang w:val="es-MX"/>
        </w:rPr>
        <w:t>crear una base de datos confiable</w:t>
      </w:r>
      <w:r w:rsidRPr="003B3CD8">
        <w:rPr>
          <w:b/>
          <w:bCs/>
          <w:sz w:val="24"/>
          <w:lang w:val="es-MX"/>
        </w:rPr>
        <w:t xml:space="preserve">, </w:t>
      </w:r>
      <w:r w:rsidRPr="003B3CD8">
        <w:rPr>
          <w:bCs/>
          <w:sz w:val="24"/>
          <w:lang w:val="es-MX"/>
        </w:rPr>
        <w:t xml:space="preserve">actualizada e integrada a nivel estatal y municipal </w:t>
      </w:r>
      <w:r w:rsidRPr="003B3CD8">
        <w:rPr>
          <w:b/>
          <w:bCs/>
          <w:sz w:val="24"/>
          <w:u w:val="single"/>
          <w:lang w:val="es-MX"/>
        </w:rPr>
        <w:t>de las unidades económicas que se aperturen</w:t>
      </w:r>
      <w:r w:rsidRPr="003B3CD8">
        <w:rPr>
          <w:bCs/>
          <w:sz w:val="24"/>
          <w:lang w:val="es-MX"/>
        </w:rPr>
        <w:t xml:space="preserve"> en el territorio de la Entidad.</w:t>
      </w:r>
    </w:p>
    <w:p w:rsidR="001A0BFB" w:rsidRPr="003B3CD8" w:rsidRDefault="001A0BFB" w:rsidP="001A0BFB">
      <w:pPr>
        <w:pStyle w:val="Fundamentos"/>
        <w:rPr>
          <w:bCs/>
          <w:sz w:val="24"/>
          <w:lang w:val="es-MX"/>
        </w:rPr>
      </w:pPr>
    </w:p>
    <w:p w:rsidR="001A0BFB" w:rsidRPr="003B3CD8" w:rsidRDefault="001A0BFB" w:rsidP="001A0BFB">
      <w:pPr>
        <w:pStyle w:val="Fundamentos"/>
        <w:rPr>
          <w:bCs/>
          <w:sz w:val="24"/>
          <w:lang w:val="es-MX"/>
        </w:rPr>
      </w:pPr>
      <w:r w:rsidRPr="003B3CD8">
        <w:rPr>
          <w:b/>
          <w:bCs/>
          <w:sz w:val="24"/>
          <w:lang w:val="es-MX"/>
        </w:rPr>
        <w:t>Artículo 11.</w:t>
      </w:r>
      <w:r w:rsidRPr="003B3CD8">
        <w:rPr>
          <w:bCs/>
          <w:sz w:val="24"/>
          <w:lang w:val="es-MX"/>
        </w:rPr>
        <w:t xml:space="preserve"> </w:t>
      </w:r>
      <w:r w:rsidRPr="003B3CD8">
        <w:rPr>
          <w:b/>
          <w:bCs/>
          <w:sz w:val="24"/>
          <w:u w:val="single"/>
          <w:lang w:val="es-MX"/>
        </w:rPr>
        <w:t>El registro incluirá al menos los datos siguientes</w:t>
      </w:r>
      <w:r w:rsidRPr="003B3CD8">
        <w:rPr>
          <w:bCs/>
          <w:sz w:val="24"/>
          <w:lang w:val="es-MX"/>
        </w:rPr>
        <w:t>:</w:t>
      </w:r>
    </w:p>
    <w:p w:rsidR="001A0BFB" w:rsidRPr="003B3CD8" w:rsidRDefault="001A0BFB" w:rsidP="001A0BFB">
      <w:pPr>
        <w:pStyle w:val="Fundamentos"/>
        <w:rPr>
          <w:bCs/>
          <w:sz w:val="24"/>
          <w:lang w:val="es-MX"/>
        </w:rPr>
      </w:pPr>
      <w:r w:rsidRPr="003B3CD8">
        <w:rPr>
          <w:bCs/>
          <w:sz w:val="24"/>
          <w:lang w:val="es-MX"/>
        </w:rPr>
        <w:lastRenderedPageBreak/>
        <w:t>I. Clave única, que se integrará de una serie alfanumérica.</w:t>
      </w:r>
    </w:p>
    <w:p w:rsidR="001A0BFB" w:rsidRPr="003B3CD8" w:rsidRDefault="001A0BFB" w:rsidP="001A0BFB">
      <w:pPr>
        <w:pStyle w:val="Fundamentos"/>
        <w:rPr>
          <w:bCs/>
          <w:sz w:val="24"/>
          <w:lang w:val="es-MX"/>
        </w:rPr>
      </w:pPr>
      <w:r w:rsidRPr="003B3CD8">
        <w:rPr>
          <w:bCs/>
          <w:sz w:val="24"/>
          <w:lang w:val="es-MX"/>
        </w:rPr>
        <w:t>II. Nombre del municipio.</w:t>
      </w:r>
    </w:p>
    <w:p w:rsidR="001A0BFB" w:rsidRPr="003B3CD8" w:rsidRDefault="001A0BFB" w:rsidP="001A0BFB">
      <w:pPr>
        <w:pStyle w:val="Fundamentos"/>
        <w:rPr>
          <w:b/>
          <w:bCs/>
          <w:sz w:val="24"/>
          <w:lang w:val="es-MX"/>
        </w:rPr>
      </w:pPr>
      <w:r w:rsidRPr="003B3CD8">
        <w:rPr>
          <w:b/>
          <w:bCs/>
          <w:sz w:val="24"/>
          <w:lang w:val="es-MX"/>
        </w:rPr>
        <w:t>III. Nombre del titular.</w:t>
      </w:r>
    </w:p>
    <w:p w:rsidR="001A0BFB" w:rsidRPr="003B3CD8" w:rsidRDefault="001A0BFB" w:rsidP="001A0BFB">
      <w:pPr>
        <w:pStyle w:val="Fundamentos"/>
        <w:rPr>
          <w:b/>
          <w:bCs/>
          <w:sz w:val="24"/>
          <w:lang w:val="es-MX"/>
        </w:rPr>
      </w:pPr>
      <w:r w:rsidRPr="003B3CD8">
        <w:rPr>
          <w:b/>
          <w:bCs/>
          <w:sz w:val="24"/>
          <w:lang w:val="es-MX"/>
        </w:rPr>
        <w:t>IV. Actividad económica.</w:t>
      </w:r>
    </w:p>
    <w:p w:rsidR="001A0BFB" w:rsidRPr="003B3CD8" w:rsidRDefault="001A0BFB" w:rsidP="001A0BFB">
      <w:pPr>
        <w:pStyle w:val="Fundamentos"/>
        <w:rPr>
          <w:bCs/>
          <w:sz w:val="24"/>
          <w:lang w:val="es-MX"/>
        </w:rPr>
      </w:pPr>
      <w:r w:rsidRPr="003B3CD8">
        <w:rPr>
          <w:bCs/>
          <w:sz w:val="24"/>
          <w:lang w:val="es-MX"/>
        </w:rPr>
        <w:t>V. Fecha de inicio de actividades.</w:t>
      </w:r>
    </w:p>
    <w:p w:rsidR="001A0BFB" w:rsidRPr="003B3CD8" w:rsidRDefault="001A0BFB" w:rsidP="001A0BFB">
      <w:pPr>
        <w:pStyle w:val="Fundamentos"/>
        <w:rPr>
          <w:bCs/>
          <w:sz w:val="24"/>
          <w:lang w:val="es-MX"/>
        </w:rPr>
      </w:pPr>
      <w:r w:rsidRPr="003B3CD8">
        <w:rPr>
          <w:bCs/>
          <w:sz w:val="24"/>
          <w:lang w:val="es-MX"/>
        </w:rPr>
        <w:t>VI. Tipo de impacto.</w:t>
      </w:r>
    </w:p>
    <w:p w:rsidR="001A0BFB" w:rsidRPr="003B3CD8" w:rsidRDefault="001A0BFB" w:rsidP="001A0BFB">
      <w:pPr>
        <w:pStyle w:val="Fundamentos"/>
        <w:rPr>
          <w:b/>
          <w:bCs/>
          <w:sz w:val="24"/>
          <w:lang w:val="es-MX"/>
        </w:rPr>
      </w:pPr>
      <w:r w:rsidRPr="003B3CD8">
        <w:rPr>
          <w:b/>
          <w:bCs/>
          <w:sz w:val="24"/>
          <w:lang w:val="es-MX"/>
        </w:rPr>
        <w:t>VII. Domicilio de la unidad económica.</w:t>
      </w:r>
    </w:p>
    <w:p w:rsidR="001A0BFB" w:rsidRPr="003B3CD8" w:rsidRDefault="001A0BFB" w:rsidP="001A0BFB">
      <w:pPr>
        <w:pStyle w:val="Fundamentos"/>
        <w:rPr>
          <w:bCs/>
          <w:sz w:val="24"/>
          <w:lang w:val="es-MX"/>
        </w:rPr>
      </w:pPr>
      <w:r w:rsidRPr="003B3CD8">
        <w:rPr>
          <w:bCs/>
          <w:sz w:val="24"/>
          <w:lang w:val="es-MX"/>
        </w:rPr>
        <w:t>VIII. Visitas y procedimientos de verificación en su caso.</w:t>
      </w:r>
    </w:p>
    <w:p w:rsidR="001A0BFB" w:rsidRPr="003B3CD8" w:rsidRDefault="001A0BFB" w:rsidP="001A0BFB">
      <w:pPr>
        <w:pStyle w:val="Fundamentos"/>
        <w:rPr>
          <w:bCs/>
          <w:sz w:val="24"/>
          <w:lang w:val="es-MX"/>
        </w:rPr>
      </w:pPr>
      <w:r w:rsidRPr="003B3CD8">
        <w:rPr>
          <w:bCs/>
          <w:sz w:val="24"/>
          <w:lang w:val="es-MX"/>
        </w:rPr>
        <w:t>IX. Sanciones en su caso.</w:t>
      </w:r>
    </w:p>
    <w:p w:rsidR="001A0BFB" w:rsidRPr="003B3CD8" w:rsidRDefault="001A0BFB" w:rsidP="001A0BFB">
      <w:pPr>
        <w:pStyle w:val="Fundamentos"/>
        <w:rPr>
          <w:sz w:val="24"/>
          <w:lang w:val="es-ES"/>
        </w:rPr>
      </w:pPr>
      <w:r w:rsidRPr="003B3CD8">
        <w:rPr>
          <w:bCs/>
          <w:sz w:val="24"/>
          <w:lang w:val="es-MX"/>
        </w:rPr>
        <w:t>X. Las demás que le confieran esta Ley y otras disposiciones aplicables.</w:t>
      </w:r>
    </w:p>
    <w:p w:rsidR="001A0BFB" w:rsidRDefault="001A0BFB" w:rsidP="001A0BFB">
      <w:pPr>
        <w:rPr>
          <w:lang w:val="es-ES"/>
        </w:rPr>
      </w:pPr>
    </w:p>
    <w:p w:rsidR="003B3CD8" w:rsidRPr="003B3CD8" w:rsidRDefault="003B3CD8" w:rsidP="001A0BFB">
      <w:pPr>
        <w:rPr>
          <w:lang w:val="es-ES"/>
        </w:rPr>
      </w:pPr>
    </w:p>
    <w:p w:rsidR="001A0BFB" w:rsidRPr="003B3CD8" w:rsidRDefault="001A0BFB" w:rsidP="001A0BFB">
      <w:pPr>
        <w:pStyle w:val="Prrafodelista"/>
        <w:numPr>
          <w:ilvl w:val="0"/>
          <w:numId w:val="4"/>
        </w:numPr>
        <w:spacing w:line="360" w:lineRule="auto"/>
        <w:ind w:left="0" w:firstLine="0"/>
        <w:jc w:val="both"/>
        <w:rPr>
          <w:rFonts w:ascii="Palatino Linotype" w:eastAsia="Palatino Linotype" w:hAnsi="Palatino Linotype" w:cs="Palatino Linotype"/>
          <w:color w:val="000000"/>
        </w:rPr>
      </w:pPr>
      <w:r w:rsidRPr="003B3CD8">
        <w:rPr>
          <w:rFonts w:ascii="Palatino Linotype" w:eastAsia="Palatino Linotype" w:hAnsi="Palatino Linotype" w:cs="Palatino Linotype"/>
          <w:color w:val="000000"/>
        </w:rPr>
        <w:t xml:space="preserve">De los preceptos citados se desprende que corresponde al Sujeto Obligado crear el registro municipal en donde se especifique el número de las licencias de funcionamiento con la actividad económica que realicen los particulares en las que se les denomina unidades económicas al lugar en donde realicen sus actividades y para ello los solicitantes deben cubrir ciertos requisitos, como son el nombre del titular y el domicilio de la unidad económica. </w:t>
      </w:r>
    </w:p>
    <w:p w:rsidR="00D3721E" w:rsidRPr="003B3CD8" w:rsidRDefault="00D3721E" w:rsidP="00D3721E">
      <w:pPr>
        <w:pStyle w:val="Prrafodelista"/>
        <w:spacing w:line="360" w:lineRule="auto"/>
        <w:ind w:left="0"/>
        <w:jc w:val="both"/>
        <w:rPr>
          <w:rFonts w:ascii="Palatino Linotype" w:eastAsia="Palatino Linotype" w:hAnsi="Palatino Linotype" w:cs="Palatino Linotype"/>
          <w:color w:val="000000"/>
        </w:rPr>
      </w:pPr>
    </w:p>
    <w:p w:rsidR="00F565F2" w:rsidRPr="003B3CD8" w:rsidRDefault="00F565F2" w:rsidP="00F565F2">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3B3CD8">
        <w:rPr>
          <w:rFonts w:ascii="Palatino Linotype" w:eastAsia="Palatino Linotype" w:hAnsi="Palatino Linotype" w:cs="Palatino Linotype"/>
          <w:color w:val="000000"/>
        </w:rPr>
        <w:t>En seguimiento a lo anterior, resulta necesario traer a colación lo establecido en el artículo 107 del Bando Municipal de Coacalco de Berriozábal, que a la letra refiere:</w:t>
      </w:r>
    </w:p>
    <w:p w:rsidR="00F565F2" w:rsidRPr="003B3CD8" w:rsidRDefault="00F565F2" w:rsidP="00F565F2">
      <w:pPr>
        <w:pBdr>
          <w:top w:val="nil"/>
          <w:left w:val="nil"/>
          <w:bottom w:val="nil"/>
          <w:right w:val="nil"/>
          <w:between w:val="nil"/>
        </w:pBdr>
        <w:ind w:left="567" w:right="539"/>
        <w:jc w:val="both"/>
        <w:rPr>
          <w:rFonts w:ascii="Palatino Linotype" w:hAnsi="Palatino Linotype"/>
          <w:i/>
        </w:rPr>
      </w:pPr>
      <w:r w:rsidRPr="003B3CD8">
        <w:rPr>
          <w:b/>
          <w:i/>
        </w:rPr>
        <w:t>Artículo 107.</w:t>
      </w:r>
      <w:r w:rsidRPr="003B3CD8">
        <w:rPr>
          <w:rFonts w:ascii="Palatino Linotype" w:hAnsi="Palatino Linotype"/>
          <w:i/>
        </w:rPr>
        <w:t xml:space="preserve"> La Dirección de Desarrollo y Fomento Económico diseñará y promoverá políticas que generen inversiones productivas y empleos remunerados en el Municipio; promoverá la productividad de micros, pequeñas, medianas y grandes empresas; promoverá el establecimiento y operación de un sistema de apertura rápida de empresas, en coordinación con los distintos órdenes de gobierno, así como el desarrollo de un sistema de información y promoción del sector productivo del Municipio. Además, instrumentará programas de simplificación y transparencia administrativa para facilitar la actividad económica, regulando las actividades comerciales del sector privado en materia comercial, industrial y de servicios que propicie la instalación y apertura de nuevas empresas a través de la Ventanilla de Gestión Empresarial, y a la Ventanilla Única, y generará cadenas productivas para consolidar a las pequeñas y medianas empresas con los grandes empresarios y los programas de promoción del empleo y la capacitación para el trabajo, de conformidad con los ordenamientos aplicables al desarrollo económico del Municipio.</w:t>
      </w:r>
    </w:p>
    <w:p w:rsidR="00F565F2" w:rsidRPr="003B3CD8" w:rsidRDefault="00F565F2" w:rsidP="00F565F2">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3B3CD8">
        <w:rPr>
          <w:rFonts w:ascii="Palatino Linotype" w:eastAsia="Palatino Linotype" w:hAnsi="Palatino Linotype" w:cs="Palatino Linotype"/>
          <w:color w:val="000000"/>
        </w:rPr>
        <w:lastRenderedPageBreak/>
        <w:t>De lo anterior de colige que la Dirección de Desarrollo Económico promoverá la productividad de pequeñas, micro, medianas y grandes empresas, para lo cual desarrollara un sistema de información del sector productivo del municipio; donde además regulara las actividades comerciales del sector privado, lo que advierte que es la Unidad Administrativa competente que pudiera poseer y/o administrar la información requerida por el particular, misma que proporciono respuesta a la solicitud de información.</w:t>
      </w:r>
    </w:p>
    <w:p w:rsidR="00F565F2" w:rsidRPr="003B3CD8" w:rsidRDefault="00F565F2" w:rsidP="003B3CD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D3721E" w:rsidRPr="003B3CD8" w:rsidRDefault="00D3721E" w:rsidP="00D3721E">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3B3CD8">
        <w:rPr>
          <w:rFonts w:ascii="Palatino Linotype" w:eastAsia="Palatino Linotype" w:hAnsi="Palatino Linotype" w:cs="Palatino Linotype"/>
          <w:color w:val="000000"/>
        </w:rPr>
        <w:t>Expuesto lo anterior, se concluye que el Sujeto Obligado cuenta con atribuciones para generar poseer y/o administrar la información solicitada, a través de la Dirección de Desarrollo y Fomento Económico o equivalente. Por lo que al haber turnado la solicitud a dicha unidad administrativa es que se tiene que se siguió con ello el procedimiento para la atención a las solicitudes de acceso a la información, establecido en la ley de la materia.</w:t>
      </w:r>
    </w:p>
    <w:p w:rsidR="00D3721E" w:rsidRPr="003B3CD8" w:rsidRDefault="00D3721E" w:rsidP="00D3721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D3721E" w:rsidRPr="003B3CD8" w:rsidRDefault="00D3721E" w:rsidP="00D3721E">
      <w:pPr>
        <w:pStyle w:val="Prrafodelista"/>
        <w:numPr>
          <w:ilvl w:val="0"/>
          <w:numId w:val="4"/>
        </w:numPr>
        <w:pBdr>
          <w:top w:val="nil"/>
          <w:left w:val="nil"/>
          <w:bottom w:val="nil"/>
          <w:right w:val="nil"/>
          <w:between w:val="nil"/>
        </w:pBdr>
        <w:tabs>
          <w:tab w:val="left" w:pos="426"/>
          <w:tab w:val="left" w:pos="567"/>
        </w:tabs>
        <w:spacing w:line="360" w:lineRule="auto"/>
        <w:ind w:left="0" w:right="113" w:firstLine="0"/>
        <w:jc w:val="both"/>
        <w:rPr>
          <w:rFonts w:ascii="Palatino Linotype" w:eastAsia="Palatino Linotype" w:hAnsi="Palatino Linotype" w:cs="Palatino Linotype"/>
        </w:rPr>
      </w:pPr>
      <w:r w:rsidRPr="003B3CD8">
        <w:rPr>
          <w:rFonts w:ascii="Palatino Linotype" w:eastAsia="Palatino Linotype" w:hAnsi="Palatino Linotype" w:cs="Palatino Linotype"/>
          <w:color w:val="000000"/>
        </w:rPr>
        <w:t>Así las cosas, 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rsidR="00D3721E" w:rsidRPr="003B3CD8" w:rsidRDefault="00D3721E" w:rsidP="00D3721E">
      <w:pPr>
        <w:pBdr>
          <w:top w:val="nil"/>
          <w:left w:val="nil"/>
          <w:bottom w:val="nil"/>
          <w:right w:val="nil"/>
          <w:between w:val="nil"/>
        </w:pBdr>
        <w:tabs>
          <w:tab w:val="left" w:pos="426"/>
          <w:tab w:val="left" w:pos="567"/>
        </w:tabs>
        <w:spacing w:line="360" w:lineRule="auto"/>
        <w:ind w:right="113"/>
        <w:jc w:val="both"/>
        <w:rPr>
          <w:rFonts w:ascii="Palatino Linotype" w:eastAsia="Palatino Linotype" w:hAnsi="Palatino Linotype" w:cs="Palatino Linotype"/>
          <w:color w:val="000000"/>
        </w:rPr>
      </w:pPr>
    </w:p>
    <w:p w:rsidR="00D3721E" w:rsidRPr="003B3CD8" w:rsidRDefault="00D3721E" w:rsidP="00D3721E">
      <w:pPr>
        <w:numPr>
          <w:ilvl w:val="0"/>
          <w:numId w:val="4"/>
        </w:numPr>
        <w:pBdr>
          <w:top w:val="nil"/>
          <w:left w:val="nil"/>
          <w:bottom w:val="nil"/>
          <w:right w:val="nil"/>
          <w:between w:val="nil"/>
        </w:pBdr>
        <w:tabs>
          <w:tab w:val="left" w:pos="426"/>
          <w:tab w:val="left" w:pos="567"/>
        </w:tabs>
        <w:spacing w:line="360" w:lineRule="auto"/>
        <w:ind w:left="0" w:right="113" w:firstLine="0"/>
        <w:jc w:val="both"/>
        <w:rPr>
          <w:rFonts w:ascii="Palatino Linotype" w:eastAsia="Palatino Linotype" w:hAnsi="Palatino Linotype" w:cs="Palatino Linotype"/>
        </w:rPr>
      </w:pPr>
      <w:r w:rsidRPr="003B3CD8">
        <w:rPr>
          <w:rFonts w:ascii="Palatino Linotype" w:eastAsia="Palatino Linotype" w:hAnsi="Palatino Linotype" w:cs="Palatino Linotype"/>
          <w:color w:val="000000"/>
        </w:rPr>
        <w:t>En este sentido, para atender las solicitudes de información, los Sujetos Obligados contarán con un área denominada Unidad de Transparencia</w:t>
      </w:r>
      <w:r w:rsidRPr="003B3CD8">
        <w:rPr>
          <w:rFonts w:ascii="Palatino Linotype" w:eastAsia="Palatino Linotype" w:hAnsi="Palatino Linotype" w:cs="Palatino Linotype"/>
          <w:color w:val="000000"/>
          <w:vertAlign w:val="superscript"/>
        </w:rPr>
        <w:footnoteReference w:id="1"/>
      </w:r>
      <w:r w:rsidRPr="003B3CD8">
        <w:rPr>
          <w:rFonts w:ascii="Palatino Linotype" w:eastAsia="Palatino Linotype" w:hAnsi="Palatino Linotype" w:cs="Palatino Linotype"/>
          <w:color w:val="000000"/>
        </w:rPr>
        <w:t xml:space="preserve">, la cual será presidida por un </w:t>
      </w:r>
      <w:r w:rsidRPr="003B3CD8">
        <w:rPr>
          <w:rFonts w:ascii="Palatino Linotype" w:eastAsia="Palatino Linotype" w:hAnsi="Palatino Linotype" w:cs="Palatino Linotype"/>
          <w:color w:val="000000"/>
        </w:rPr>
        <w:lastRenderedPageBreak/>
        <w:t>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sidRPr="003B3CD8">
        <w:rPr>
          <w:rFonts w:ascii="Palatino Linotype" w:eastAsia="Palatino Linotype" w:hAnsi="Palatino Linotype" w:cs="Palatino Linotype"/>
          <w:b/>
          <w:color w:val="000000"/>
        </w:rPr>
        <w:t xml:space="preserve"> </w:t>
      </w:r>
      <w:r w:rsidRPr="003B3CD8">
        <w:rPr>
          <w:rFonts w:ascii="Palatino Linotype" w:eastAsia="Palatino Linotype" w:hAnsi="Palatino Linotype" w:cs="Palatino Linotype"/>
          <w:color w:val="000000"/>
        </w:rPr>
        <w:t>en los términos de la Ley General y la Ley de Transparencia y Acceso a la Información Pública del Estado de México y Municipios</w:t>
      </w:r>
      <w:r w:rsidRPr="003B3CD8">
        <w:rPr>
          <w:rFonts w:ascii="Palatino Linotype" w:eastAsia="Palatino Linotype" w:hAnsi="Palatino Linotype" w:cs="Palatino Linotype"/>
          <w:color w:val="000000"/>
          <w:vertAlign w:val="superscript"/>
        </w:rPr>
        <w:footnoteReference w:id="2"/>
      </w:r>
      <w:r w:rsidRPr="003B3CD8">
        <w:rPr>
          <w:rFonts w:ascii="Palatino Linotype" w:eastAsia="Palatino Linotype" w:hAnsi="Palatino Linotype" w:cs="Palatino Linotype"/>
          <w:color w:val="000000"/>
        </w:rPr>
        <w:t>.</w:t>
      </w:r>
    </w:p>
    <w:p w:rsidR="00D3721E" w:rsidRPr="003B3CD8" w:rsidRDefault="00D3721E" w:rsidP="00D3721E">
      <w:pPr>
        <w:ind w:right="-847"/>
        <w:rPr>
          <w:rFonts w:ascii="Palatino Linotype" w:eastAsia="Palatino Linotype" w:hAnsi="Palatino Linotype" w:cs="Palatino Linotype"/>
          <w:color w:val="000000"/>
        </w:rPr>
      </w:pPr>
    </w:p>
    <w:p w:rsidR="00D3721E" w:rsidRPr="003B3CD8" w:rsidRDefault="00D3721E" w:rsidP="00D3721E">
      <w:pPr>
        <w:numPr>
          <w:ilvl w:val="0"/>
          <w:numId w:val="4"/>
        </w:numPr>
        <w:pBdr>
          <w:top w:val="nil"/>
          <w:left w:val="nil"/>
          <w:bottom w:val="nil"/>
          <w:right w:val="nil"/>
          <w:between w:val="nil"/>
        </w:pBdr>
        <w:tabs>
          <w:tab w:val="left" w:pos="426"/>
          <w:tab w:val="left" w:pos="567"/>
        </w:tabs>
        <w:spacing w:line="360" w:lineRule="auto"/>
        <w:ind w:left="0" w:right="113" w:firstLine="0"/>
        <w:jc w:val="both"/>
        <w:rPr>
          <w:rFonts w:ascii="Palatino Linotype" w:eastAsia="Palatino Linotype" w:hAnsi="Palatino Linotype" w:cs="Palatino Linotype"/>
        </w:rPr>
      </w:pPr>
      <w:r w:rsidRPr="003B3CD8">
        <w:rPr>
          <w:rFonts w:ascii="Palatino Linotype" w:eastAsia="Palatino Linotype" w:hAnsi="Palatino Linotype" w:cs="Palatino Linotype"/>
          <w:color w:val="000000"/>
        </w:rPr>
        <w:t>De conformidad con lo dispuesto en la Ley de Transparencia y Acceso a la Información Pública del Estado de México y Municipios, las Unidades de Transparencia tendrán, entre sus atribuciones, las siguientes:</w:t>
      </w:r>
    </w:p>
    <w:p w:rsidR="00D3721E" w:rsidRPr="003B3CD8" w:rsidRDefault="00D3721E" w:rsidP="00D3721E">
      <w:pPr>
        <w:numPr>
          <w:ilvl w:val="1"/>
          <w:numId w:val="10"/>
        </w:numPr>
        <w:pBdr>
          <w:top w:val="nil"/>
          <w:left w:val="nil"/>
          <w:bottom w:val="nil"/>
          <w:right w:val="nil"/>
          <w:between w:val="nil"/>
        </w:pBdr>
        <w:ind w:left="709" w:right="255" w:hanging="142"/>
        <w:jc w:val="both"/>
        <w:rPr>
          <w:rFonts w:ascii="Palatino Linotype" w:eastAsia="Palatino Linotype" w:hAnsi="Palatino Linotype" w:cs="Palatino Linotype"/>
          <w:color w:val="000000"/>
        </w:rPr>
      </w:pPr>
      <w:r w:rsidRPr="003B3CD8">
        <w:rPr>
          <w:rFonts w:ascii="Palatino Linotype" w:eastAsia="Palatino Linotype" w:hAnsi="Palatino Linotype" w:cs="Palatino Linotype"/>
          <w:color w:val="000000"/>
        </w:rPr>
        <w:t>Recibir, tramitar y dar respuesta a las solicitudes de acceso a la información;</w:t>
      </w:r>
    </w:p>
    <w:p w:rsidR="00D3721E" w:rsidRPr="003B3CD8" w:rsidRDefault="00D3721E" w:rsidP="00D3721E">
      <w:pPr>
        <w:numPr>
          <w:ilvl w:val="1"/>
          <w:numId w:val="10"/>
        </w:numPr>
        <w:pBdr>
          <w:top w:val="nil"/>
          <w:left w:val="nil"/>
          <w:bottom w:val="nil"/>
          <w:right w:val="nil"/>
          <w:between w:val="nil"/>
        </w:pBdr>
        <w:ind w:left="709" w:right="255" w:hanging="142"/>
        <w:jc w:val="both"/>
        <w:rPr>
          <w:rFonts w:ascii="Palatino Linotype" w:eastAsia="Palatino Linotype" w:hAnsi="Palatino Linotype" w:cs="Palatino Linotype"/>
          <w:color w:val="000000"/>
        </w:rPr>
      </w:pPr>
      <w:r w:rsidRPr="003B3CD8">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rsidR="00D3721E" w:rsidRPr="003B3CD8" w:rsidRDefault="00D3721E" w:rsidP="00D3721E">
      <w:pPr>
        <w:numPr>
          <w:ilvl w:val="1"/>
          <w:numId w:val="10"/>
        </w:numPr>
        <w:pBdr>
          <w:top w:val="nil"/>
          <w:left w:val="nil"/>
          <w:bottom w:val="nil"/>
          <w:right w:val="nil"/>
          <w:between w:val="nil"/>
        </w:pBdr>
        <w:ind w:left="709" w:right="255" w:hanging="142"/>
        <w:jc w:val="both"/>
        <w:rPr>
          <w:rFonts w:ascii="Palatino Linotype" w:eastAsia="Palatino Linotype" w:hAnsi="Palatino Linotype" w:cs="Palatino Linotype"/>
          <w:color w:val="000000"/>
        </w:rPr>
      </w:pPr>
      <w:r w:rsidRPr="003B3CD8">
        <w:rPr>
          <w:rFonts w:ascii="Palatino Linotype" w:eastAsia="Palatino Linotype" w:hAnsi="Palatino Linotype" w:cs="Palatino Linotype"/>
          <w:color w:val="000000"/>
        </w:rPr>
        <w:t xml:space="preserve">Entregar, en su caso, a los particulares la información solicitada; y </w:t>
      </w:r>
    </w:p>
    <w:p w:rsidR="00D3721E" w:rsidRPr="003B3CD8" w:rsidRDefault="00D3721E" w:rsidP="00D3721E">
      <w:pPr>
        <w:numPr>
          <w:ilvl w:val="1"/>
          <w:numId w:val="10"/>
        </w:numPr>
        <w:pBdr>
          <w:top w:val="nil"/>
          <w:left w:val="nil"/>
          <w:bottom w:val="nil"/>
          <w:right w:val="nil"/>
          <w:between w:val="nil"/>
        </w:pBdr>
        <w:spacing w:after="240"/>
        <w:ind w:left="709" w:right="255" w:hanging="142"/>
        <w:jc w:val="both"/>
        <w:rPr>
          <w:rFonts w:ascii="Palatino Linotype" w:eastAsia="Palatino Linotype" w:hAnsi="Palatino Linotype" w:cs="Palatino Linotype"/>
          <w:color w:val="000000"/>
        </w:rPr>
      </w:pPr>
      <w:r w:rsidRPr="003B3CD8">
        <w:rPr>
          <w:rFonts w:ascii="Palatino Linotype" w:eastAsia="Palatino Linotype" w:hAnsi="Palatino Linotype" w:cs="Palatino Linotype"/>
          <w:color w:val="000000"/>
        </w:rPr>
        <w:t>Efectuar las notificaciones a los solicitantes.</w:t>
      </w:r>
    </w:p>
    <w:p w:rsidR="00D3721E" w:rsidRPr="003B3CD8" w:rsidRDefault="00D3721E" w:rsidP="00D3721E">
      <w:pPr>
        <w:spacing w:before="240" w:after="240"/>
        <w:ind w:right="-280"/>
        <w:jc w:val="both"/>
        <w:rPr>
          <w:rFonts w:ascii="Palatino Linotype" w:eastAsia="Palatino Linotype" w:hAnsi="Palatino Linotype" w:cs="Palatino Linotype"/>
          <w:color w:val="000000"/>
        </w:rPr>
      </w:pPr>
    </w:p>
    <w:p w:rsidR="00D3721E" w:rsidRPr="003B3CD8" w:rsidRDefault="00D3721E" w:rsidP="00D3721E">
      <w:pPr>
        <w:numPr>
          <w:ilvl w:val="0"/>
          <w:numId w:val="4"/>
        </w:numPr>
        <w:pBdr>
          <w:top w:val="nil"/>
          <w:left w:val="nil"/>
          <w:bottom w:val="nil"/>
          <w:right w:val="nil"/>
          <w:between w:val="nil"/>
        </w:pBdr>
        <w:tabs>
          <w:tab w:val="left" w:pos="426"/>
          <w:tab w:val="left" w:pos="567"/>
        </w:tabs>
        <w:spacing w:line="360" w:lineRule="auto"/>
        <w:ind w:left="0" w:right="255" w:firstLine="0"/>
        <w:jc w:val="both"/>
        <w:rPr>
          <w:rFonts w:ascii="Palatino Linotype" w:eastAsia="Palatino Linotype" w:hAnsi="Palatino Linotype" w:cs="Palatino Linotype"/>
        </w:rPr>
      </w:pPr>
      <w:r w:rsidRPr="003B3CD8">
        <w:rPr>
          <w:rFonts w:ascii="Palatino Linotype" w:eastAsia="Palatino Linotype" w:hAnsi="Palatino Linotype" w:cs="Palatino Linotype"/>
          <w:color w:val="000000"/>
        </w:rPr>
        <w:t xml:space="preserve">Otros sujetos del proceso de atención a las solicitudes de información son los servidores públicos habilitados, quienes serán designados por el titular del </w:t>
      </w:r>
      <w:r w:rsidRPr="003B3CD8">
        <w:rPr>
          <w:rFonts w:ascii="Palatino Linotype" w:eastAsia="Palatino Linotype" w:hAnsi="Palatino Linotype" w:cs="Palatino Linotype"/>
          <w:b/>
          <w:color w:val="000000"/>
        </w:rPr>
        <w:t xml:space="preserve">SUJETO OBLIGADO </w:t>
      </w:r>
      <w:r w:rsidRPr="003B3CD8">
        <w:rPr>
          <w:rFonts w:ascii="Palatino Linotype" w:eastAsia="Palatino Linotype" w:hAnsi="Palatino Linotype" w:cs="Palatino Linotype"/>
          <w:color w:val="000000"/>
        </w:rPr>
        <w:t>a propuesta del responsable de la Unidad de Transparencia</w:t>
      </w:r>
      <w:r w:rsidRPr="003B3CD8">
        <w:rPr>
          <w:rFonts w:ascii="Palatino Linotype" w:eastAsia="Palatino Linotype" w:hAnsi="Palatino Linotype" w:cs="Palatino Linotype"/>
          <w:color w:val="000000"/>
          <w:vertAlign w:val="superscript"/>
        </w:rPr>
        <w:footnoteReference w:id="3"/>
      </w:r>
      <w:r w:rsidRPr="003B3CD8">
        <w:rPr>
          <w:rFonts w:ascii="Palatino Linotype" w:eastAsia="Palatino Linotype" w:hAnsi="Palatino Linotype" w:cs="Palatino Linotype"/>
          <w:color w:val="000000"/>
        </w:rPr>
        <w:t xml:space="preserve"> y tendrán, entre sus atribuciones, las siguientes</w:t>
      </w:r>
      <w:r w:rsidRPr="003B3CD8">
        <w:rPr>
          <w:rFonts w:ascii="Palatino Linotype" w:eastAsia="Palatino Linotype" w:hAnsi="Palatino Linotype" w:cs="Palatino Linotype"/>
          <w:color w:val="000000"/>
          <w:vertAlign w:val="superscript"/>
        </w:rPr>
        <w:footnoteReference w:id="4"/>
      </w:r>
      <w:r w:rsidRPr="003B3CD8">
        <w:rPr>
          <w:rFonts w:ascii="Palatino Linotype" w:eastAsia="Palatino Linotype" w:hAnsi="Palatino Linotype" w:cs="Palatino Linotype"/>
          <w:color w:val="000000"/>
        </w:rPr>
        <w:t>:</w:t>
      </w:r>
    </w:p>
    <w:p w:rsidR="00D3721E" w:rsidRPr="003B3CD8" w:rsidRDefault="00D3721E" w:rsidP="00D3721E">
      <w:pPr>
        <w:numPr>
          <w:ilvl w:val="1"/>
          <w:numId w:val="11"/>
        </w:numPr>
        <w:pBdr>
          <w:top w:val="nil"/>
          <w:left w:val="nil"/>
          <w:bottom w:val="nil"/>
          <w:right w:val="nil"/>
          <w:between w:val="nil"/>
        </w:pBdr>
        <w:spacing w:before="240"/>
        <w:ind w:left="709" w:right="-280" w:hanging="142"/>
        <w:jc w:val="both"/>
        <w:rPr>
          <w:rFonts w:ascii="Palatino Linotype" w:eastAsia="Palatino Linotype" w:hAnsi="Palatino Linotype" w:cs="Palatino Linotype"/>
          <w:color w:val="000000"/>
        </w:rPr>
      </w:pPr>
      <w:r w:rsidRPr="003B3CD8">
        <w:rPr>
          <w:rFonts w:ascii="Palatino Linotype" w:eastAsia="Palatino Linotype" w:hAnsi="Palatino Linotype" w:cs="Palatino Linotype"/>
          <w:color w:val="000000"/>
        </w:rPr>
        <w:t>Localizar la información que le solicite la Unidad de Transparencia; y</w:t>
      </w:r>
    </w:p>
    <w:p w:rsidR="00D3721E" w:rsidRPr="003B3CD8" w:rsidRDefault="00D3721E" w:rsidP="00D3721E">
      <w:pPr>
        <w:numPr>
          <w:ilvl w:val="1"/>
          <w:numId w:val="11"/>
        </w:numPr>
        <w:pBdr>
          <w:top w:val="nil"/>
          <w:left w:val="nil"/>
          <w:bottom w:val="nil"/>
          <w:right w:val="nil"/>
          <w:between w:val="nil"/>
        </w:pBdr>
        <w:spacing w:after="240"/>
        <w:ind w:left="709" w:right="-280" w:hanging="142"/>
        <w:jc w:val="both"/>
        <w:rPr>
          <w:rFonts w:ascii="Palatino Linotype" w:eastAsia="Palatino Linotype" w:hAnsi="Palatino Linotype" w:cs="Palatino Linotype"/>
          <w:color w:val="000000"/>
        </w:rPr>
      </w:pPr>
      <w:r w:rsidRPr="003B3CD8">
        <w:rPr>
          <w:rFonts w:ascii="Palatino Linotype" w:eastAsia="Palatino Linotype" w:hAnsi="Palatino Linotype" w:cs="Palatino Linotype"/>
          <w:color w:val="000000"/>
        </w:rPr>
        <w:t>Proporcionar la información que obre en los archivos y que le sea solicitada por la Unidad de Transparencia.</w:t>
      </w:r>
    </w:p>
    <w:p w:rsidR="00D3721E" w:rsidRPr="003B3CD8" w:rsidRDefault="00D3721E" w:rsidP="00D3721E">
      <w:pPr>
        <w:tabs>
          <w:tab w:val="left" w:pos="426"/>
          <w:tab w:val="left" w:pos="567"/>
        </w:tabs>
        <w:ind w:right="-847"/>
        <w:jc w:val="both"/>
        <w:rPr>
          <w:rFonts w:ascii="Palatino Linotype" w:eastAsia="Palatino Linotype" w:hAnsi="Palatino Linotype" w:cs="Palatino Linotype"/>
          <w:color w:val="000000"/>
        </w:rPr>
      </w:pPr>
    </w:p>
    <w:p w:rsidR="00D3721E" w:rsidRPr="003B3CD8" w:rsidRDefault="00D3721E" w:rsidP="00D3721E">
      <w:pPr>
        <w:numPr>
          <w:ilvl w:val="0"/>
          <w:numId w:val="4"/>
        </w:numPr>
        <w:pBdr>
          <w:top w:val="nil"/>
          <w:left w:val="nil"/>
          <w:bottom w:val="nil"/>
          <w:right w:val="nil"/>
          <w:between w:val="nil"/>
        </w:pBdr>
        <w:tabs>
          <w:tab w:val="left" w:pos="426"/>
          <w:tab w:val="left" w:pos="567"/>
        </w:tabs>
        <w:spacing w:line="360" w:lineRule="auto"/>
        <w:ind w:left="0" w:right="255" w:firstLine="0"/>
        <w:jc w:val="both"/>
        <w:rPr>
          <w:rFonts w:ascii="Palatino Linotype" w:eastAsia="Palatino Linotype" w:hAnsi="Palatino Linotype" w:cs="Palatino Linotype"/>
        </w:rPr>
      </w:pPr>
      <w:r w:rsidRPr="003B3CD8">
        <w:rPr>
          <w:rFonts w:ascii="Palatino Linotype" w:eastAsia="Palatino Linotype" w:hAnsi="Palatino Linotype" w:cs="Palatino Linotype"/>
          <w:color w:val="000000"/>
        </w:rPr>
        <w:lastRenderedPageBreak/>
        <w:t xml:space="preserve">De tal manera que cada una de las áreas administrativas del </w:t>
      </w:r>
      <w:r w:rsidRPr="003B3CD8">
        <w:rPr>
          <w:rFonts w:ascii="Palatino Linotype" w:eastAsia="Palatino Linotype" w:hAnsi="Palatino Linotype" w:cs="Palatino Linotype"/>
          <w:b/>
          <w:color w:val="000000"/>
        </w:rPr>
        <w:t>SUJETO OBLIGADO</w:t>
      </w:r>
      <w:r w:rsidRPr="003B3CD8">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rsidR="00D3721E" w:rsidRPr="003B3CD8" w:rsidRDefault="00D3721E" w:rsidP="00D3721E">
      <w:pPr>
        <w:ind w:right="-847"/>
        <w:rPr>
          <w:rFonts w:ascii="Palatino Linotype" w:eastAsia="Palatino Linotype" w:hAnsi="Palatino Linotype" w:cs="Palatino Linotype"/>
          <w:color w:val="000000"/>
        </w:rPr>
      </w:pPr>
    </w:p>
    <w:p w:rsidR="00D3721E" w:rsidRPr="003B3CD8" w:rsidRDefault="00D3721E" w:rsidP="00D3721E">
      <w:pPr>
        <w:numPr>
          <w:ilvl w:val="0"/>
          <w:numId w:val="4"/>
        </w:numPr>
        <w:pBdr>
          <w:top w:val="nil"/>
          <w:left w:val="nil"/>
          <w:bottom w:val="nil"/>
          <w:right w:val="nil"/>
          <w:between w:val="nil"/>
        </w:pBdr>
        <w:tabs>
          <w:tab w:val="left" w:pos="426"/>
          <w:tab w:val="left" w:pos="567"/>
        </w:tabs>
        <w:spacing w:line="360" w:lineRule="auto"/>
        <w:ind w:left="0" w:right="255" w:firstLine="0"/>
        <w:jc w:val="both"/>
        <w:rPr>
          <w:rFonts w:ascii="Palatino Linotype" w:eastAsia="Palatino Linotype" w:hAnsi="Palatino Linotype" w:cs="Palatino Linotype"/>
        </w:rPr>
      </w:pPr>
      <w:r w:rsidRPr="003B3CD8">
        <w:rPr>
          <w:rFonts w:ascii="Palatino Linotype" w:eastAsia="Palatino Linotype" w:hAnsi="Palatino Linotype" w:cs="Palatino Linotype"/>
          <w:color w:val="000000"/>
        </w:rPr>
        <w:t>Aunado a lo anterior, la Ley de Transparencia y Acceso a la Información Pública del Estado de México y Municipios, en su artículo 53, establece las funciones correspondientes a esta Unidad; mismas que se inserta a continuación:</w:t>
      </w:r>
    </w:p>
    <w:p w:rsidR="00D3721E" w:rsidRPr="003B3CD8" w:rsidRDefault="00D3721E" w:rsidP="00CE470A">
      <w:pPr>
        <w:pBdr>
          <w:top w:val="nil"/>
          <w:left w:val="nil"/>
          <w:bottom w:val="nil"/>
          <w:right w:val="nil"/>
          <w:between w:val="nil"/>
        </w:pBdr>
        <w:tabs>
          <w:tab w:val="left" w:pos="426"/>
        </w:tabs>
        <w:ind w:left="567" w:right="539"/>
        <w:jc w:val="both"/>
        <w:rPr>
          <w:rFonts w:ascii="Palatino Linotype" w:eastAsia="Palatino Linotype" w:hAnsi="Palatino Linotype" w:cs="Palatino Linotype"/>
          <w:i/>
          <w:color w:val="000000"/>
        </w:rPr>
      </w:pPr>
      <w:r w:rsidRPr="003B3CD8">
        <w:rPr>
          <w:rFonts w:ascii="Palatino Linotype" w:eastAsia="Palatino Linotype" w:hAnsi="Palatino Linotype" w:cs="Palatino Linotype"/>
          <w:b/>
          <w:i/>
          <w:color w:val="000000"/>
        </w:rPr>
        <w:t>“Artículo 53</w:t>
      </w:r>
      <w:r w:rsidRPr="003B3CD8">
        <w:rPr>
          <w:rFonts w:ascii="Palatino Linotype" w:eastAsia="Palatino Linotype" w:hAnsi="Palatino Linotype" w:cs="Palatino Linotype"/>
          <w:i/>
          <w:color w:val="000000"/>
        </w:rPr>
        <w:t xml:space="preserve">. Las Unidades de Transparencia tendrán las siguientes funciones: </w:t>
      </w:r>
    </w:p>
    <w:p w:rsidR="00D3721E" w:rsidRPr="003B3CD8" w:rsidRDefault="00D3721E" w:rsidP="00CE470A">
      <w:pPr>
        <w:pBdr>
          <w:top w:val="nil"/>
          <w:left w:val="nil"/>
          <w:bottom w:val="nil"/>
          <w:right w:val="nil"/>
          <w:between w:val="nil"/>
        </w:pBdr>
        <w:tabs>
          <w:tab w:val="left" w:pos="426"/>
        </w:tabs>
        <w:ind w:left="567" w:right="539"/>
        <w:jc w:val="both"/>
        <w:rPr>
          <w:rFonts w:ascii="Palatino Linotype" w:eastAsia="Palatino Linotype" w:hAnsi="Palatino Linotype" w:cs="Palatino Linotype"/>
          <w:i/>
          <w:color w:val="000000"/>
        </w:rPr>
      </w:pPr>
    </w:p>
    <w:p w:rsidR="00D3721E" w:rsidRPr="003B3CD8" w:rsidRDefault="00D3721E" w:rsidP="00CE470A">
      <w:pPr>
        <w:pBdr>
          <w:top w:val="nil"/>
          <w:left w:val="nil"/>
          <w:bottom w:val="nil"/>
          <w:right w:val="nil"/>
          <w:between w:val="nil"/>
        </w:pBdr>
        <w:tabs>
          <w:tab w:val="left" w:pos="426"/>
        </w:tabs>
        <w:ind w:left="567" w:right="539"/>
        <w:jc w:val="both"/>
        <w:rPr>
          <w:rFonts w:ascii="Palatino Linotype" w:eastAsia="Palatino Linotype" w:hAnsi="Palatino Linotype" w:cs="Palatino Linotype"/>
          <w:i/>
          <w:color w:val="000000"/>
        </w:rPr>
      </w:pPr>
      <w:r w:rsidRPr="003B3CD8">
        <w:rPr>
          <w:rFonts w:ascii="Palatino Linotype" w:eastAsia="Palatino Linotype" w:hAnsi="Palatino Linotype" w:cs="Palatino Linotype"/>
          <w:i/>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rsidR="00D3721E" w:rsidRPr="003B3CD8" w:rsidRDefault="00D3721E" w:rsidP="00CE470A">
      <w:pPr>
        <w:pBdr>
          <w:top w:val="nil"/>
          <w:left w:val="nil"/>
          <w:bottom w:val="nil"/>
          <w:right w:val="nil"/>
          <w:between w:val="nil"/>
        </w:pBdr>
        <w:tabs>
          <w:tab w:val="left" w:pos="426"/>
        </w:tabs>
        <w:ind w:left="567" w:right="539"/>
        <w:jc w:val="both"/>
        <w:rPr>
          <w:rFonts w:ascii="Palatino Linotype" w:eastAsia="Palatino Linotype" w:hAnsi="Palatino Linotype" w:cs="Palatino Linotype"/>
          <w:b/>
          <w:i/>
          <w:color w:val="000000"/>
        </w:rPr>
      </w:pPr>
      <w:r w:rsidRPr="003B3CD8">
        <w:rPr>
          <w:rFonts w:ascii="Palatino Linotype" w:eastAsia="Palatino Linotype" w:hAnsi="Palatino Linotype" w:cs="Palatino Linotype"/>
          <w:b/>
          <w:i/>
          <w:color w:val="000000"/>
        </w:rPr>
        <w:t xml:space="preserve">II. Recibir, tramitar y dar respuesta a las solicitudes de acceso a la información; </w:t>
      </w:r>
    </w:p>
    <w:p w:rsidR="00D3721E" w:rsidRPr="003B3CD8" w:rsidRDefault="00D3721E" w:rsidP="00CE470A">
      <w:pPr>
        <w:pBdr>
          <w:top w:val="nil"/>
          <w:left w:val="nil"/>
          <w:bottom w:val="nil"/>
          <w:right w:val="nil"/>
          <w:between w:val="nil"/>
        </w:pBdr>
        <w:tabs>
          <w:tab w:val="left" w:pos="426"/>
        </w:tabs>
        <w:ind w:left="567" w:right="539"/>
        <w:jc w:val="both"/>
        <w:rPr>
          <w:rFonts w:ascii="Palatino Linotype" w:eastAsia="Palatino Linotype" w:hAnsi="Palatino Linotype" w:cs="Palatino Linotype"/>
          <w:i/>
          <w:color w:val="000000"/>
        </w:rPr>
      </w:pPr>
      <w:r w:rsidRPr="003B3CD8">
        <w:rPr>
          <w:rFonts w:ascii="Palatino Linotype" w:eastAsia="Palatino Linotype" w:hAnsi="Palatino Linotype" w:cs="Palatino Linotype"/>
          <w:i/>
          <w:color w:val="000000"/>
        </w:rPr>
        <w:t xml:space="preserve">III. Auxiliar a los particulares en la elaboración de solicitudes de acceso a la información y, en su caso, orientarlos sobre los sujetos obligados competentes conforme a la normatividad aplicable; </w:t>
      </w:r>
    </w:p>
    <w:p w:rsidR="00D3721E" w:rsidRPr="003B3CD8" w:rsidRDefault="00D3721E" w:rsidP="00CE470A">
      <w:pPr>
        <w:pBdr>
          <w:top w:val="nil"/>
          <w:left w:val="nil"/>
          <w:bottom w:val="nil"/>
          <w:right w:val="nil"/>
          <w:between w:val="nil"/>
        </w:pBdr>
        <w:tabs>
          <w:tab w:val="left" w:pos="426"/>
        </w:tabs>
        <w:ind w:left="567" w:right="539"/>
        <w:jc w:val="both"/>
        <w:rPr>
          <w:rFonts w:ascii="Palatino Linotype" w:eastAsia="Palatino Linotype" w:hAnsi="Palatino Linotype" w:cs="Palatino Linotype"/>
          <w:b/>
          <w:i/>
          <w:color w:val="000000"/>
        </w:rPr>
      </w:pPr>
      <w:r w:rsidRPr="003B3CD8">
        <w:rPr>
          <w:rFonts w:ascii="Palatino Linotype" w:eastAsia="Palatino Linotype" w:hAnsi="Palatino Linotype" w:cs="Palatino Linotype"/>
          <w:b/>
          <w:i/>
          <w:color w:val="000000"/>
        </w:rPr>
        <w:t xml:space="preserve">IV. Realizar, con efectividad, los trámites internos necesarios para la atención de las solicitudes de acceso a la información; </w:t>
      </w:r>
    </w:p>
    <w:p w:rsidR="00D3721E" w:rsidRPr="003B3CD8" w:rsidRDefault="00D3721E" w:rsidP="00CE470A">
      <w:pPr>
        <w:pBdr>
          <w:top w:val="nil"/>
          <w:left w:val="nil"/>
          <w:bottom w:val="nil"/>
          <w:right w:val="nil"/>
          <w:between w:val="nil"/>
        </w:pBdr>
        <w:tabs>
          <w:tab w:val="left" w:pos="426"/>
        </w:tabs>
        <w:ind w:left="567" w:right="539"/>
        <w:jc w:val="both"/>
        <w:rPr>
          <w:rFonts w:ascii="Palatino Linotype" w:eastAsia="Palatino Linotype" w:hAnsi="Palatino Linotype" w:cs="Palatino Linotype"/>
          <w:i/>
          <w:color w:val="000000"/>
        </w:rPr>
      </w:pPr>
      <w:r w:rsidRPr="003B3CD8">
        <w:rPr>
          <w:rFonts w:ascii="Palatino Linotype" w:eastAsia="Palatino Linotype" w:hAnsi="Palatino Linotype" w:cs="Palatino Linotype"/>
          <w:i/>
          <w:color w:val="000000"/>
        </w:rPr>
        <w:t xml:space="preserve">V. Entregar, en su caso, a los particulares la información solicitada; </w:t>
      </w:r>
    </w:p>
    <w:p w:rsidR="00D3721E" w:rsidRPr="003B3CD8" w:rsidRDefault="00D3721E" w:rsidP="00CE470A">
      <w:pPr>
        <w:pBdr>
          <w:top w:val="nil"/>
          <w:left w:val="nil"/>
          <w:bottom w:val="nil"/>
          <w:right w:val="nil"/>
          <w:between w:val="nil"/>
        </w:pBdr>
        <w:tabs>
          <w:tab w:val="left" w:pos="426"/>
        </w:tabs>
        <w:ind w:left="567" w:right="539"/>
        <w:jc w:val="both"/>
        <w:rPr>
          <w:rFonts w:ascii="Palatino Linotype" w:eastAsia="Palatino Linotype" w:hAnsi="Palatino Linotype" w:cs="Palatino Linotype"/>
          <w:i/>
          <w:color w:val="000000"/>
        </w:rPr>
      </w:pPr>
      <w:r w:rsidRPr="003B3CD8">
        <w:rPr>
          <w:rFonts w:ascii="Palatino Linotype" w:eastAsia="Palatino Linotype" w:hAnsi="Palatino Linotype" w:cs="Palatino Linotype"/>
          <w:i/>
          <w:color w:val="000000"/>
        </w:rPr>
        <w:t xml:space="preserve">VI. Efectuar las notificaciones a los solicitantes; </w:t>
      </w:r>
    </w:p>
    <w:p w:rsidR="00D3721E" w:rsidRPr="003B3CD8" w:rsidRDefault="00D3721E" w:rsidP="00CE470A">
      <w:pPr>
        <w:pBdr>
          <w:top w:val="nil"/>
          <w:left w:val="nil"/>
          <w:bottom w:val="nil"/>
          <w:right w:val="nil"/>
          <w:between w:val="nil"/>
        </w:pBdr>
        <w:tabs>
          <w:tab w:val="left" w:pos="426"/>
        </w:tabs>
        <w:ind w:left="567" w:right="539"/>
        <w:jc w:val="both"/>
        <w:rPr>
          <w:rFonts w:ascii="Palatino Linotype" w:eastAsia="Palatino Linotype" w:hAnsi="Palatino Linotype" w:cs="Palatino Linotype"/>
          <w:i/>
          <w:color w:val="000000"/>
        </w:rPr>
      </w:pPr>
      <w:r w:rsidRPr="003B3CD8">
        <w:rPr>
          <w:rFonts w:ascii="Palatino Linotype" w:eastAsia="Palatino Linotype" w:hAnsi="Palatino Linotype" w:cs="Palatino Linotype"/>
          <w:i/>
          <w:color w:val="000000"/>
        </w:rPr>
        <w:t xml:space="preserve">VII. Proponer al Comité de Transparencia, los procedimientos internos que aseguren la mayor eficiencia en la gestión de las solicitudes de acceso a la información, conforme a la normatividad aplicable; </w:t>
      </w:r>
    </w:p>
    <w:p w:rsidR="00D3721E" w:rsidRPr="003B3CD8" w:rsidRDefault="00D3721E" w:rsidP="00CE470A">
      <w:pPr>
        <w:pBdr>
          <w:top w:val="nil"/>
          <w:left w:val="nil"/>
          <w:bottom w:val="nil"/>
          <w:right w:val="nil"/>
          <w:between w:val="nil"/>
        </w:pBdr>
        <w:tabs>
          <w:tab w:val="left" w:pos="426"/>
        </w:tabs>
        <w:ind w:left="567" w:right="539"/>
        <w:jc w:val="both"/>
        <w:rPr>
          <w:rFonts w:ascii="Palatino Linotype" w:eastAsia="Palatino Linotype" w:hAnsi="Palatino Linotype" w:cs="Palatino Linotype"/>
          <w:i/>
          <w:color w:val="000000"/>
        </w:rPr>
      </w:pPr>
      <w:r w:rsidRPr="003B3CD8">
        <w:rPr>
          <w:rFonts w:ascii="Palatino Linotype" w:eastAsia="Palatino Linotype" w:hAnsi="Palatino Linotype" w:cs="Palatino Linotype"/>
          <w:i/>
          <w:color w:val="000000"/>
        </w:rPr>
        <w:t xml:space="preserve">VIII. Proponer a quien preside el Comité de Transparencia, personal habilitado que sea necesario para recibir y dar trámite a las solicitudes de acceso a la información; </w:t>
      </w:r>
    </w:p>
    <w:p w:rsidR="00D3721E" w:rsidRPr="003B3CD8" w:rsidRDefault="00D3721E" w:rsidP="00CE470A">
      <w:pPr>
        <w:pBdr>
          <w:top w:val="nil"/>
          <w:left w:val="nil"/>
          <w:bottom w:val="nil"/>
          <w:right w:val="nil"/>
          <w:between w:val="nil"/>
        </w:pBdr>
        <w:tabs>
          <w:tab w:val="left" w:pos="426"/>
        </w:tabs>
        <w:ind w:left="567" w:right="539"/>
        <w:jc w:val="both"/>
        <w:rPr>
          <w:rFonts w:ascii="Palatino Linotype" w:eastAsia="Palatino Linotype" w:hAnsi="Palatino Linotype" w:cs="Palatino Linotype"/>
          <w:b/>
          <w:i/>
          <w:color w:val="000000"/>
        </w:rPr>
      </w:pPr>
      <w:r w:rsidRPr="003B3CD8">
        <w:rPr>
          <w:rFonts w:ascii="Palatino Linotype" w:eastAsia="Palatino Linotype" w:hAnsi="Palatino Linotype" w:cs="Palatino Linotype"/>
          <w:b/>
          <w:i/>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rsidR="00D3721E" w:rsidRPr="003B3CD8" w:rsidRDefault="00D3721E" w:rsidP="00CE470A">
      <w:pPr>
        <w:pBdr>
          <w:top w:val="nil"/>
          <w:left w:val="nil"/>
          <w:bottom w:val="nil"/>
          <w:right w:val="nil"/>
          <w:between w:val="nil"/>
        </w:pBdr>
        <w:tabs>
          <w:tab w:val="left" w:pos="426"/>
        </w:tabs>
        <w:ind w:left="567" w:right="539"/>
        <w:jc w:val="both"/>
        <w:rPr>
          <w:rFonts w:ascii="Palatino Linotype" w:eastAsia="Palatino Linotype" w:hAnsi="Palatino Linotype" w:cs="Palatino Linotype"/>
          <w:i/>
          <w:color w:val="000000"/>
        </w:rPr>
      </w:pPr>
      <w:r w:rsidRPr="003B3CD8">
        <w:rPr>
          <w:rFonts w:ascii="Palatino Linotype" w:eastAsia="Palatino Linotype" w:hAnsi="Palatino Linotype" w:cs="Palatino Linotype"/>
          <w:i/>
          <w:color w:val="000000"/>
        </w:rPr>
        <w:t xml:space="preserve">X. Presentar ante el Comité, el proyecto de clasificación de información; </w:t>
      </w:r>
    </w:p>
    <w:p w:rsidR="00D3721E" w:rsidRPr="003B3CD8" w:rsidRDefault="00D3721E" w:rsidP="00CE470A">
      <w:pPr>
        <w:pBdr>
          <w:top w:val="nil"/>
          <w:left w:val="nil"/>
          <w:bottom w:val="nil"/>
          <w:right w:val="nil"/>
          <w:between w:val="nil"/>
        </w:pBdr>
        <w:tabs>
          <w:tab w:val="left" w:pos="426"/>
        </w:tabs>
        <w:ind w:left="567" w:right="539"/>
        <w:jc w:val="both"/>
        <w:rPr>
          <w:rFonts w:ascii="Palatino Linotype" w:eastAsia="Palatino Linotype" w:hAnsi="Palatino Linotype" w:cs="Palatino Linotype"/>
          <w:i/>
          <w:color w:val="000000"/>
        </w:rPr>
      </w:pPr>
      <w:r w:rsidRPr="003B3CD8">
        <w:rPr>
          <w:rFonts w:ascii="Palatino Linotype" w:eastAsia="Palatino Linotype" w:hAnsi="Palatino Linotype" w:cs="Palatino Linotype"/>
          <w:i/>
          <w:color w:val="000000"/>
        </w:rPr>
        <w:lastRenderedPageBreak/>
        <w:t xml:space="preserve">XI. Promover e implementar políticas de transparencia proactiva procurando su accesibilidad; </w:t>
      </w:r>
    </w:p>
    <w:p w:rsidR="00D3721E" w:rsidRPr="003B3CD8" w:rsidRDefault="00D3721E" w:rsidP="00CE470A">
      <w:pPr>
        <w:pBdr>
          <w:top w:val="nil"/>
          <w:left w:val="nil"/>
          <w:bottom w:val="nil"/>
          <w:right w:val="nil"/>
          <w:between w:val="nil"/>
        </w:pBdr>
        <w:tabs>
          <w:tab w:val="left" w:pos="426"/>
        </w:tabs>
        <w:ind w:left="567" w:right="539"/>
        <w:jc w:val="both"/>
        <w:rPr>
          <w:rFonts w:ascii="Palatino Linotype" w:eastAsia="Palatino Linotype" w:hAnsi="Palatino Linotype" w:cs="Palatino Linotype"/>
          <w:i/>
          <w:color w:val="000000"/>
        </w:rPr>
      </w:pPr>
      <w:r w:rsidRPr="003B3CD8">
        <w:rPr>
          <w:rFonts w:ascii="Palatino Linotype" w:eastAsia="Palatino Linotype" w:hAnsi="Palatino Linotype" w:cs="Palatino Linotype"/>
          <w:i/>
          <w:color w:val="000000"/>
        </w:rPr>
        <w:t xml:space="preserve">XII. Fomentar la transparencia y accesibilidad al interior del sujeto obligado; </w:t>
      </w:r>
    </w:p>
    <w:p w:rsidR="00D3721E" w:rsidRPr="003B3CD8" w:rsidRDefault="00D3721E" w:rsidP="00CE470A">
      <w:pPr>
        <w:pBdr>
          <w:top w:val="nil"/>
          <w:left w:val="nil"/>
          <w:bottom w:val="nil"/>
          <w:right w:val="nil"/>
          <w:between w:val="nil"/>
        </w:pBdr>
        <w:tabs>
          <w:tab w:val="left" w:pos="426"/>
        </w:tabs>
        <w:ind w:left="567" w:right="539"/>
        <w:jc w:val="both"/>
        <w:rPr>
          <w:rFonts w:ascii="Palatino Linotype" w:eastAsia="Palatino Linotype" w:hAnsi="Palatino Linotype" w:cs="Palatino Linotype"/>
          <w:i/>
          <w:color w:val="000000"/>
        </w:rPr>
      </w:pPr>
      <w:r w:rsidRPr="003B3CD8">
        <w:rPr>
          <w:rFonts w:ascii="Palatino Linotype" w:eastAsia="Palatino Linotype" w:hAnsi="Palatino Linotype" w:cs="Palatino Linotype"/>
          <w:i/>
          <w:color w:val="000000"/>
        </w:rPr>
        <w:t>XIII. Hacer del conocimiento de la instancia competente la probable responsabilidad por el incumplimiento de las obligaciones previstas en la presente Ley; y</w:t>
      </w:r>
    </w:p>
    <w:p w:rsidR="00D3721E" w:rsidRPr="003B3CD8" w:rsidRDefault="00D3721E" w:rsidP="00CE470A">
      <w:pPr>
        <w:pBdr>
          <w:top w:val="nil"/>
          <w:left w:val="nil"/>
          <w:bottom w:val="nil"/>
          <w:right w:val="nil"/>
          <w:between w:val="nil"/>
        </w:pBdr>
        <w:tabs>
          <w:tab w:val="left" w:pos="426"/>
        </w:tabs>
        <w:ind w:left="567" w:right="539"/>
        <w:jc w:val="both"/>
        <w:rPr>
          <w:rFonts w:ascii="Palatino Linotype" w:eastAsia="Palatino Linotype" w:hAnsi="Palatino Linotype" w:cs="Palatino Linotype"/>
          <w:i/>
          <w:color w:val="000000"/>
        </w:rPr>
      </w:pPr>
      <w:r w:rsidRPr="003B3CD8">
        <w:rPr>
          <w:rFonts w:ascii="Palatino Linotype" w:eastAsia="Palatino Linotype" w:hAnsi="Palatino Linotype" w:cs="Palatino Linotype"/>
          <w:i/>
          <w:color w:val="000000"/>
        </w:rPr>
        <w:t>XIV. Las demás que resulten necesarias para facilitar el acceso a la información y aquellas que se desprenden de la presente Ley y demás disposiciones jurídicas aplicables. (…)</w:t>
      </w:r>
    </w:p>
    <w:p w:rsidR="00D3721E" w:rsidRPr="003B3CD8" w:rsidRDefault="00D3721E" w:rsidP="00CE470A">
      <w:pPr>
        <w:pBdr>
          <w:top w:val="nil"/>
          <w:left w:val="nil"/>
          <w:bottom w:val="nil"/>
          <w:right w:val="nil"/>
          <w:between w:val="nil"/>
        </w:pBdr>
        <w:tabs>
          <w:tab w:val="left" w:pos="426"/>
        </w:tabs>
        <w:spacing w:after="240"/>
        <w:ind w:left="567" w:right="539"/>
        <w:jc w:val="both"/>
        <w:rPr>
          <w:rFonts w:ascii="Palatino Linotype" w:eastAsia="Palatino Linotype" w:hAnsi="Palatino Linotype" w:cs="Palatino Linotype"/>
          <w:i/>
          <w:color w:val="000000"/>
        </w:rPr>
      </w:pPr>
      <w:r w:rsidRPr="003B3CD8">
        <w:rPr>
          <w:rFonts w:ascii="Palatino Linotype" w:eastAsia="Palatino Linotype" w:hAnsi="Palatino Linotype" w:cs="Palatino Linotype"/>
          <w:i/>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rsidR="00D3721E" w:rsidRPr="003B3CD8" w:rsidRDefault="00D3721E" w:rsidP="00D3721E">
      <w:pPr>
        <w:tabs>
          <w:tab w:val="left" w:pos="426"/>
        </w:tabs>
        <w:spacing w:before="240" w:after="240"/>
        <w:ind w:right="-28"/>
        <w:jc w:val="both"/>
        <w:rPr>
          <w:rFonts w:ascii="Palatino Linotype" w:eastAsia="Palatino Linotype" w:hAnsi="Palatino Linotype" w:cs="Palatino Linotype"/>
          <w:i/>
        </w:rPr>
      </w:pPr>
    </w:p>
    <w:p w:rsidR="00D3721E" w:rsidRPr="003B3CD8" w:rsidRDefault="00D3721E" w:rsidP="00D3721E">
      <w:pPr>
        <w:numPr>
          <w:ilvl w:val="0"/>
          <w:numId w:val="4"/>
        </w:numPr>
        <w:pBdr>
          <w:top w:val="nil"/>
          <w:left w:val="nil"/>
          <w:bottom w:val="nil"/>
          <w:right w:val="nil"/>
          <w:between w:val="nil"/>
        </w:pBdr>
        <w:tabs>
          <w:tab w:val="left" w:pos="426"/>
          <w:tab w:val="left" w:pos="567"/>
        </w:tabs>
        <w:spacing w:line="360" w:lineRule="auto"/>
        <w:ind w:left="0" w:right="-28" w:firstLine="0"/>
        <w:jc w:val="both"/>
        <w:rPr>
          <w:rFonts w:ascii="Palatino Linotype" w:eastAsia="Palatino Linotype" w:hAnsi="Palatino Linotype" w:cs="Palatino Linotype"/>
        </w:rPr>
      </w:pPr>
      <w:r w:rsidRPr="003B3CD8">
        <w:rPr>
          <w:rFonts w:ascii="Palatino Linotype" w:eastAsia="Palatino Linotype" w:hAnsi="Palatino Linotype" w:cs="Palatino Linotype"/>
          <w:color w:val="000000"/>
        </w:rPr>
        <w:t>De lo expuesto y con relación a lo solicitado, se tiene que, la Unidad de Transparencia es la encargada de recibir, tramitar y dar respuesta a las solicitudes de acceso a la información.</w:t>
      </w:r>
    </w:p>
    <w:p w:rsidR="00D3721E" w:rsidRPr="003B3CD8" w:rsidRDefault="00D3721E" w:rsidP="00D3721E">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rPr>
      </w:pPr>
    </w:p>
    <w:p w:rsidR="00D3721E" w:rsidRPr="003B3CD8" w:rsidRDefault="00D3721E" w:rsidP="00D3721E">
      <w:pPr>
        <w:numPr>
          <w:ilvl w:val="0"/>
          <w:numId w:val="4"/>
        </w:numPr>
        <w:pBdr>
          <w:top w:val="nil"/>
          <w:left w:val="nil"/>
          <w:bottom w:val="nil"/>
          <w:right w:val="nil"/>
          <w:between w:val="nil"/>
        </w:pBdr>
        <w:tabs>
          <w:tab w:val="left" w:pos="426"/>
          <w:tab w:val="left" w:pos="567"/>
        </w:tabs>
        <w:spacing w:line="360" w:lineRule="auto"/>
        <w:ind w:left="0" w:right="-28" w:firstLine="0"/>
        <w:jc w:val="both"/>
        <w:rPr>
          <w:rFonts w:ascii="Palatino Linotype" w:eastAsia="Palatino Linotype" w:hAnsi="Palatino Linotype" w:cs="Palatino Linotype"/>
          <w:b/>
        </w:rPr>
      </w:pPr>
      <w:r w:rsidRPr="003B3CD8">
        <w:rPr>
          <w:rFonts w:ascii="Palatino Linotype" w:eastAsia="Palatino Linotype" w:hAnsi="Palatino Linotype" w:cs="Palatino Linotype"/>
          <w:color w:val="000000"/>
        </w:rPr>
        <w:t xml:space="preserve">En este sentido, se advierte que, el </w:t>
      </w:r>
      <w:r w:rsidRPr="003B3CD8">
        <w:rPr>
          <w:rFonts w:ascii="Palatino Linotype" w:eastAsia="Palatino Linotype" w:hAnsi="Palatino Linotype" w:cs="Palatino Linotype"/>
          <w:b/>
          <w:color w:val="000000"/>
        </w:rPr>
        <w:t>SUJETO OBLIGADO</w:t>
      </w:r>
      <w:r w:rsidRPr="003B3CD8">
        <w:rPr>
          <w:rFonts w:ascii="Palatino Linotype" w:eastAsia="Palatino Linotype" w:hAnsi="Palatino Linotype" w:cs="Palatino Linotype"/>
          <w:color w:val="000000"/>
        </w:rPr>
        <w:t xml:space="preserve"> cumplió con el procedimiento de búsqueda exhaustiva y razonable, pues gestionó la solicitud de información en la unidad en donde </w:t>
      </w:r>
      <w:r w:rsidRPr="003B3CD8">
        <w:rPr>
          <w:rFonts w:ascii="Palatino Linotype" w:eastAsia="Palatino Linotype" w:hAnsi="Palatino Linotype" w:cs="Palatino Linotype"/>
          <w:color w:val="000000"/>
          <w:u w:val="single"/>
        </w:rPr>
        <w:t>pudiera</w:t>
      </w:r>
      <w:r w:rsidRPr="003B3CD8">
        <w:rPr>
          <w:rFonts w:ascii="Palatino Linotype" w:eastAsia="Palatino Linotype" w:hAnsi="Palatino Linotype" w:cs="Palatino Linotype"/>
          <w:color w:val="000000"/>
        </w:rPr>
        <w:t xml:space="preserve"> obrar la citada información, siendo estas: </w:t>
      </w:r>
      <w:r w:rsidRPr="003B3CD8">
        <w:rPr>
          <w:rFonts w:ascii="Palatino Linotype" w:eastAsia="Palatino Linotype" w:hAnsi="Palatino Linotype" w:cs="Palatino Linotype"/>
          <w:b/>
          <w:color w:val="000000"/>
        </w:rPr>
        <w:t>la Dirección de Desarrollo y Fomento Económico</w:t>
      </w:r>
      <w:r w:rsidRPr="003B3CD8">
        <w:rPr>
          <w:rFonts w:ascii="Palatino Linotype" w:eastAsia="Palatino Linotype" w:hAnsi="Palatino Linotype" w:cs="Palatino Linotype"/>
          <w:color w:val="000000"/>
        </w:rPr>
        <w:t xml:space="preserve">; por tal motivo, al informar que se realizó una búsqueda exhaustiva en sus archivos sin localizar la información requerida por no haberse generado, poseído y administrado, se colige que no existe ni ha existido registro de la información antes señalada y por ende no pueden existir los documentos requeridos por el </w:t>
      </w:r>
      <w:r w:rsidRPr="003B3CD8">
        <w:rPr>
          <w:rFonts w:ascii="Palatino Linotype" w:eastAsia="Palatino Linotype" w:hAnsi="Palatino Linotype" w:cs="Palatino Linotype"/>
          <w:b/>
          <w:color w:val="000000"/>
        </w:rPr>
        <w:t>RECURRENTE.</w:t>
      </w:r>
    </w:p>
    <w:p w:rsidR="00D3721E" w:rsidRPr="003B3CD8" w:rsidRDefault="00D3721E" w:rsidP="00D3721E">
      <w:pPr>
        <w:pStyle w:val="Prrafodelista"/>
        <w:rPr>
          <w:rFonts w:ascii="Palatino Linotype" w:eastAsia="Palatino Linotype" w:hAnsi="Palatino Linotype" w:cs="Palatino Linotype"/>
        </w:rPr>
      </w:pPr>
    </w:p>
    <w:p w:rsidR="00D3721E" w:rsidRPr="003B3CD8" w:rsidRDefault="00D3721E" w:rsidP="00D3721E">
      <w:pPr>
        <w:numPr>
          <w:ilvl w:val="0"/>
          <w:numId w:val="4"/>
        </w:numPr>
        <w:pBdr>
          <w:top w:val="nil"/>
          <w:left w:val="nil"/>
          <w:bottom w:val="nil"/>
          <w:right w:val="nil"/>
          <w:between w:val="nil"/>
        </w:pBdr>
        <w:tabs>
          <w:tab w:val="left" w:pos="426"/>
          <w:tab w:val="left" w:pos="567"/>
        </w:tabs>
        <w:spacing w:line="360" w:lineRule="auto"/>
        <w:ind w:left="0" w:right="-28" w:firstLine="0"/>
        <w:jc w:val="both"/>
        <w:rPr>
          <w:rFonts w:ascii="Palatino Linotype" w:eastAsia="Palatino Linotype" w:hAnsi="Palatino Linotype" w:cs="Palatino Linotype"/>
          <w:b/>
        </w:rPr>
      </w:pPr>
      <w:r w:rsidRPr="003B3CD8">
        <w:rPr>
          <w:rFonts w:ascii="Palatino Linotype" w:eastAsia="Palatino Linotype" w:hAnsi="Palatino Linotype" w:cs="Palatino Linotype"/>
        </w:rPr>
        <w:t xml:space="preserve">Al respecto es de suma importancia precisar que cualquier persona tiene el derecho al acceso de la información pública, información que consiste en aquella que sea generada, </w:t>
      </w:r>
      <w:r w:rsidRPr="003B3CD8">
        <w:rPr>
          <w:rFonts w:ascii="Palatino Linotype" w:eastAsia="Palatino Linotype" w:hAnsi="Palatino Linotype" w:cs="Palatino Linotype"/>
        </w:rPr>
        <w:lastRenderedPageBreak/>
        <w:t>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rsidR="00D3721E" w:rsidRPr="003B3CD8" w:rsidRDefault="00D3721E" w:rsidP="00D3721E">
      <w:pPr>
        <w:spacing w:before="240" w:after="240"/>
        <w:ind w:left="567" w:right="539"/>
        <w:jc w:val="both"/>
        <w:rPr>
          <w:rFonts w:ascii="Palatino Linotype" w:eastAsia="Palatino Linotype" w:hAnsi="Palatino Linotype" w:cs="Palatino Linotype"/>
          <w:i/>
        </w:rPr>
      </w:pPr>
      <w:r w:rsidRPr="003B3CD8">
        <w:rPr>
          <w:rFonts w:ascii="Palatino Linotype" w:eastAsia="Palatino Linotype" w:hAnsi="Palatino Linotype" w:cs="Palatino Linotype"/>
          <w:i/>
        </w:rPr>
        <w:t>“</w:t>
      </w:r>
      <w:r w:rsidRPr="003B3CD8">
        <w:rPr>
          <w:rFonts w:ascii="Palatino Linotype" w:eastAsia="Palatino Linotype" w:hAnsi="Palatino Linotype" w:cs="Palatino Linotype"/>
          <w:b/>
          <w:i/>
        </w:rPr>
        <w:t>Artículo 4</w:t>
      </w:r>
      <w:r w:rsidRPr="003B3CD8">
        <w:rPr>
          <w:rFonts w:ascii="Palatino Linotype" w:eastAsia="Palatino Linotype" w:hAnsi="Palatino Linotype" w:cs="Palatino Linotype"/>
          <w:i/>
        </w:rPr>
        <w:t xml:space="preserve">. El derecho humano de acceso a la información pública es la prerrogativa de las personas para buscar, difundir, investigar, recabar, recibir y solicitar información pública, sin necesidad de acreditar personalidad ni interés jurídico. </w:t>
      </w:r>
    </w:p>
    <w:p w:rsidR="00D3721E" w:rsidRPr="003B3CD8" w:rsidRDefault="00D3721E" w:rsidP="00D3721E">
      <w:pPr>
        <w:spacing w:before="240" w:after="240"/>
        <w:ind w:left="708" w:right="539" w:hanging="141"/>
        <w:jc w:val="both"/>
        <w:rPr>
          <w:rFonts w:ascii="Palatino Linotype" w:eastAsia="Palatino Linotype" w:hAnsi="Palatino Linotype" w:cs="Palatino Linotype"/>
          <w:b/>
          <w:i/>
        </w:rPr>
      </w:pPr>
      <w:r w:rsidRPr="003B3CD8">
        <w:rPr>
          <w:rFonts w:ascii="Palatino Linotype" w:eastAsia="Palatino Linotype" w:hAnsi="Palatino Linotype" w:cs="Palatino Linotype"/>
          <w:b/>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vigente a la fecha de la solicitud,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rsidR="00D3721E" w:rsidRDefault="00D3721E" w:rsidP="00D3721E">
      <w:pPr>
        <w:spacing w:before="240" w:after="240"/>
        <w:ind w:left="567" w:right="539"/>
        <w:jc w:val="both"/>
        <w:rPr>
          <w:rFonts w:ascii="Palatino Linotype" w:eastAsia="Palatino Linotype" w:hAnsi="Palatino Linotype" w:cs="Palatino Linotype"/>
          <w:i/>
        </w:rPr>
      </w:pPr>
      <w:r w:rsidRPr="003B3CD8">
        <w:rPr>
          <w:rFonts w:ascii="Palatino Linotype" w:eastAsia="Palatino Linotype" w:hAnsi="Palatino Linotype" w:cs="Palatino Linotype"/>
          <w:i/>
        </w:rPr>
        <w:t>Los sujetos obligados deben poner en práctica, políticas y programas de acceso a la información que se apeguen a criterios de publicidad, veracidad, oportunidad, precisión y suficiencia en beneficio de los solicitantes.”(Sic)</w:t>
      </w:r>
    </w:p>
    <w:p w:rsidR="003B3CD8" w:rsidRPr="003B3CD8" w:rsidRDefault="003B3CD8" w:rsidP="00D3721E">
      <w:pPr>
        <w:spacing w:before="240" w:after="240"/>
        <w:ind w:left="567" w:right="539"/>
        <w:jc w:val="both"/>
        <w:rPr>
          <w:rFonts w:ascii="Palatino Linotype" w:eastAsia="Palatino Linotype" w:hAnsi="Palatino Linotype" w:cs="Palatino Linotype"/>
          <w:i/>
        </w:rPr>
      </w:pPr>
    </w:p>
    <w:p w:rsidR="00D3721E" w:rsidRPr="003B3CD8" w:rsidRDefault="00D3721E" w:rsidP="00D3721E">
      <w:pPr>
        <w:pStyle w:val="Prrafodelista"/>
        <w:numPr>
          <w:ilvl w:val="0"/>
          <w:numId w:val="4"/>
        </w:numPr>
        <w:spacing w:before="240" w:after="240" w:line="360" w:lineRule="auto"/>
        <w:ind w:left="0" w:firstLine="0"/>
        <w:jc w:val="both"/>
        <w:rPr>
          <w:rFonts w:ascii="Palatino Linotype" w:eastAsia="Palatino Linotype" w:hAnsi="Palatino Linotype" w:cs="Palatino Linotype"/>
        </w:rPr>
      </w:pPr>
      <w:r w:rsidRPr="003B3CD8">
        <w:rPr>
          <w:rFonts w:ascii="Palatino Linotype" w:eastAsia="Palatino Linotype" w:hAnsi="Palatino Linotype" w:cs="Palatino Linotype"/>
        </w:rPr>
        <w:t xml:space="preserve">De lo precedente, se desprende que los Sujetos Obligados tiene la obligación o deber de atender las solicitudes de acceso a la información pública que se les hagan de su conocimiento y proporcionar la información pública que obren en su poder como así lo establece el artículo </w:t>
      </w:r>
      <w:r w:rsidRPr="003B3CD8">
        <w:rPr>
          <w:rFonts w:ascii="Palatino Linotype" w:eastAsia="Palatino Linotype" w:hAnsi="Palatino Linotype" w:cs="Palatino Linotype"/>
        </w:rPr>
        <w:lastRenderedPageBreak/>
        <w:t>12 de la Ley de Transparencia y Acceso a la Información Pública del Estado de México y Municipios, el cual a la letra dice:</w:t>
      </w:r>
    </w:p>
    <w:p w:rsidR="00D3721E" w:rsidRPr="003B3CD8" w:rsidRDefault="00D3721E" w:rsidP="00D3721E">
      <w:pPr>
        <w:spacing w:before="240" w:after="240"/>
        <w:ind w:left="567" w:right="539"/>
        <w:jc w:val="both"/>
        <w:rPr>
          <w:rFonts w:ascii="Palatino Linotype" w:eastAsia="Palatino Linotype" w:hAnsi="Palatino Linotype" w:cs="Palatino Linotype"/>
          <w:i/>
        </w:rPr>
      </w:pPr>
      <w:r w:rsidRPr="003B3CD8">
        <w:rPr>
          <w:rFonts w:ascii="Palatino Linotype" w:eastAsia="Palatino Linotype" w:hAnsi="Palatino Linotype" w:cs="Palatino Linotype"/>
          <w:i/>
        </w:rPr>
        <w:t>“</w:t>
      </w:r>
      <w:r w:rsidRPr="003B3CD8">
        <w:rPr>
          <w:rFonts w:ascii="Palatino Linotype" w:eastAsia="Palatino Linotype" w:hAnsi="Palatino Linotype" w:cs="Palatino Linotype"/>
          <w:b/>
          <w:i/>
        </w:rPr>
        <w:t>Artículo 12</w:t>
      </w:r>
      <w:r w:rsidRPr="003B3CD8">
        <w:rPr>
          <w:rFonts w:ascii="Palatino Linotype" w:eastAsia="Palatino Linotype" w:hAnsi="Palatino Linotype" w:cs="Palatino Linotype"/>
          <w:i/>
        </w:rPr>
        <w:t xml:space="preserve">. Quienes generen, recopilen, administren, manejen, procesen, archiven o conserven información pública serán responsables de la misma en los términos de las disposiciones jurídicas aplicables. </w:t>
      </w:r>
    </w:p>
    <w:p w:rsidR="00D3721E" w:rsidRDefault="00D3721E" w:rsidP="00D3721E">
      <w:pPr>
        <w:spacing w:before="240" w:after="240"/>
        <w:ind w:left="567" w:right="539"/>
        <w:jc w:val="both"/>
        <w:rPr>
          <w:rFonts w:ascii="Palatino Linotype" w:eastAsia="Palatino Linotype" w:hAnsi="Palatino Linotype" w:cs="Palatino Linotype"/>
          <w:i/>
        </w:rPr>
      </w:pPr>
      <w:r w:rsidRPr="003B3CD8">
        <w:rPr>
          <w:rFonts w:ascii="Palatino Linotype" w:eastAsia="Palatino Linotype" w:hAnsi="Palatino Linotype" w:cs="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(Sic)</w:t>
      </w:r>
    </w:p>
    <w:p w:rsidR="008C3450" w:rsidRPr="003B3CD8" w:rsidRDefault="008C3450" w:rsidP="00D3721E">
      <w:pPr>
        <w:spacing w:before="240" w:after="240"/>
        <w:ind w:left="567" w:right="539"/>
        <w:jc w:val="both"/>
        <w:rPr>
          <w:rFonts w:ascii="Palatino Linotype" w:eastAsia="Palatino Linotype" w:hAnsi="Palatino Linotype" w:cs="Palatino Linotype"/>
          <w:i/>
        </w:rPr>
      </w:pPr>
    </w:p>
    <w:p w:rsidR="00D3721E" w:rsidRDefault="00D3721E" w:rsidP="00D3721E">
      <w:pPr>
        <w:pStyle w:val="Prrafodelista"/>
        <w:numPr>
          <w:ilvl w:val="0"/>
          <w:numId w:val="4"/>
        </w:numPr>
        <w:spacing w:before="240" w:after="240" w:line="360" w:lineRule="auto"/>
        <w:ind w:left="0" w:firstLine="0"/>
        <w:jc w:val="both"/>
        <w:rPr>
          <w:rFonts w:ascii="Palatino Linotype" w:eastAsia="Palatino Linotype" w:hAnsi="Palatino Linotype" w:cs="Palatino Linotype"/>
        </w:rPr>
      </w:pPr>
      <w:r w:rsidRPr="003B3CD8">
        <w:rPr>
          <w:rFonts w:ascii="Palatino Linotype" w:eastAsia="Palatino Linotype" w:hAnsi="Palatino Linotype" w:cs="Palatino Linotype"/>
        </w:rPr>
        <w:t>Es decir, que el derecho de acceso a la información pública se satisface en aquellos casos en que se entregue documento en que conste la información requerida, toda vez que, los Sujetos Obligados</w:t>
      </w:r>
      <w:r w:rsidRPr="003B3CD8">
        <w:rPr>
          <w:rFonts w:ascii="Palatino Linotype" w:eastAsia="Palatino Linotype" w:hAnsi="Palatino Linotype" w:cs="Palatino Linotype"/>
          <w:b/>
        </w:rPr>
        <w:t xml:space="preserve"> </w:t>
      </w:r>
      <w:r w:rsidRPr="003B3CD8">
        <w:rPr>
          <w:rFonts w:ascii="Palatino Linotype" w:eastAsia="Palatino Linotype" w:hAnsi="Palatino Linotype" w:cs="Palatino Linotype"/>
        </w:rPr>
        <w:t xml:space="preserve">no tienen el deber de generar, poseer o administrar la información pública con el grado de detalle solicitado; esto es, que no tienen el deber de generar un documento </w:t>
      </w:r>
      <w:r w:rsidRPr="003B3CD8">
        <w:rPr>
          <w:rFonts w:ascii="Palatino Linotype" w:eastAsia="Palatino Linotype" w:hAnsi="Palatino Linotype" w:cs="Palatino Linotype"/>
          <w:i/>
        </w:rPr>
        <w:t>ad hoc</w:t>
      </w:r>
      <w:r w:rsidRPr="003B3CD8">
        <w:rPr>
          <w:rFonts w:ascii="Palatino Linotype" w:eastAsia="Palatino Linotype" w:hAnsi="Palatino Linotype" w:cs="Palatino Linotype"/>
        </w:rPr>
        <w:t>, para satisfacer el derecho de acceso a la información pública, como así lo establece</w:t>
      </w:r>
      <w:r w:rsidRPr="003B3CD8">
        <w:rPr>
          <w:rFonts w:ascii="Palatino Linotype" w:eastAsia="Palatino Linotype" w:hAnsi="Palatino Linotype" w:cs="Palatino Linotype"/>
          <w:strike/>
          <w:color w:val="FF0000"/>
        </w:rPr>
        <w:t xml:space="preserve"> </w:t>
      </w:r>
      <w:r w:rsidRPr="003B3CD8">
        <w:rPr>
          <w:rFonts w:ascii="Palatino Linotype" w:eastAsia="Palatino Linotype" w:hAnsi="Palatino Linotype" w:cs="Palatino Linotype"/>
        </w:rPr>
        <w:t>el criterio 03/17 emitido por el Instituto Nacional de Transparencia, Acceso a la Información Pública y Protección de Datos Personales, los cuales señalan lo siguiente:</w:t>
      </w:r>
    </w:p>
    <w:p w:rsidR="00D3721E" w:rsidRPr="003B3CD8" w:rsidRDefault="00D3721E" w:rsidP="00D3721E">
      <w:pPr>
        <w:spacing w:before="240" w:after="240"/>
        <w:ind w:left="567" w:right="539"/>
        <w:jc w:val="both"/>
        <w:rPr>
          <w:rFonts w:ascii="Palatino Linotype" w:eastAsia="Palatino Linotype" w:hAnsi="Palatino Linotype" w:cs="Palatino Linotype"/>
          <w:b/>
          <w:i/>
        </w:rPr>
      </w:pPr>
      <w:r w:rsidRPr="003B3CD8">
        <w:rPr>
          <w:rFonts w:ascii="Palatino Linotype" w:eastAsia="Palatino Linotype" w:hAnsi="Palatino Linotype" w:cs="Palatino Linotype"/>
          <w:b/>
          <w:i/>
        </w:rPr>
        <w:t>03/17</w:t>
      </w:r>
    </w:p>
    <w:p w:rsidR="00D3721E" w:rsidRPr="003B3CD8" w:rsidRDefault="00D3721E" w:rsidP="00D3721E">
      <w:pPr>
        <w:spacing w:before="240" w:after="240"/>
        <w:ind w:left="567" w:right="539"/>
        <w:jc w:val="both"/>
        <w:rPr>
          <w:rFonts w:ascii="Palatino Linotype" w:eastAsia="Palatino Linotype" w:hAnsi="Palatino Linotype" w:cs="Palatino Linotype"/>
          <w:b/>
          <w:i/>
        </w:rPr>
      </w:pPr>
      <w:r w:rsidRPr="003B3CD8">
        <w:rPr>
          <w:rFonts w:ascii="Palatino Linotype" w:eastAsia="Palatino Linotype" w:hAnsi="Palatino Linotype" w:cs="Palatino Linotype"/>
          <w:b/>
          <w:i/>
        </w:rPr>
        <w:t>“NO EXISTE OBLIGACIÓN DE ELABORAR DOCUMENTOS AD HOC PARA ATENDER LAS SOLICITUDES DE ACCESO A LA INFORMACIÓN.</w:t>
      </w:r>
    </w:p>
    <w:p w:rsidR="00D3721E" w:rsidRDefault="00D3721E" w:rsidP="00D3721E">
      <w:pPr>
        <w:spacing w:before="240" w:after="240"/>
        <w:ind w:left="567" w:right="539"/>
        <w:jc w:val="both"/>
        <w:rPr>
          <w:rFonts w:ascii="Palatino Linotype" w:eastAsia="Palatino Linotype" w:hAnsi="Palatino Linotype" w:cs="Palatino Linotype"/>
          <w:i/>
        </w:rPr>
      </w:pPr>
      <w:r w:rsidRPr="003B3CD8">
        <w:rPr>
          <w:rFonts w:ascii="Palatino Linotype" w:eastAsia="Palatino Linotype" w:hAnsi="Palatino Linotype" w:cs="Palatino Linotype"/>
          <w:i/>
        </w:rPr>
        <w:t xml:space="preserve">Los artículos 129 de la Ley General de Transparencia y Acceso a la Información Pública y 130, párrafo cuarto, vigente a la fecha de la solicitud,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w:t>
      </w:r>
      <w:r w:rsidRPr="003B3CD8">
        <w:rPr>
          <w:rFonts w:ascii="Palatino Linotype" w:eastAsia="Palatino Linotype" w:hAnsi="Palatino Linotype" w:cs="Palatino Linotype"/>
          <w:i/>
        </w:rPr>
        <w:lastRenderedPageBreak/>
        <w:t>garantizar el derecho de acceso a la información del particular, proporcionando la información con la que cuentan en el formato en que la misma obre en sus archivos; sin necesidad de elaborar documentos ad hoc para atender las solicitudes de información."(Sic)</w:t>
      </w:r>
    </w:p>
    <w:p w:rsidR="003B3CD8" w:rsidRPr="003B3CD8" w:rsidRDefault="003B3CD8" w:rsidP="00D3721E">
      <w:pPr>
        <w:spacing w:before="240" w:after="240"/>
        <w:ind w:left="567" w:right="539"/>
        <w:jc w:val="both"/>
        <w:rPr>
          <w:rFonts w:ascii="Palatino Linotype" w:eastAsia="Palatino Linotype" w:hAnsi="Palatino Linotype" w:cs="Palatino Linotype"/>
          <w:i/>
        </w:rPr>
      </w:pPr>
    </w:p>
    <w:p w:rsidR="00D3721E" w:rsidRPr="003B3CD8" w:rsidRDefault="00D3721E" w:rsidP="00D3721E">
      <w:pPr>
        <w:pStyle w:val="Prrafodelista"/>
        <w:numPr>
          <w:ilvl w:val="0"/>
          <w:numId w:val="4"/>
        </w:numPr>
        <w:spacing w:before="240" w:after="240" w:line="360" w:lineRule="auto"/>
        <w:ind w:left="0" w:firstLine="0"/>
        <w:jc w:val="both"/>
        <w:rPr>
          <w:rFonts w:ascii="Palatino Linotype" w:eastAsia="Palatino Linotype" w:hAnsi="Palatino Linotype" w:cs="Palatino Linotype"/>
        </w:rPr>
      </w:pPr>
      <w:r w:rsidRPr="003B3CD8">
        <w:rPr>
          <w:rFonts w:ascii="Palatino Linotype" w:eastAsia="Palatino Linotype" w:hAnsi="Palatino Linotype" w:cs="Palatino Linotype"/>
        </w:rPr>
        <w:t>Por otra parte, y aunado a lo antepuesto, el último párrafo del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D3721E" w:rsidRPr="003B3CD8" w:rsidRDefault="00D3721E" w:rsidP="00D3721E">
      <w:pPr>
        <w:pStyle w:val="Prrafodelista"/>
        <w:spacing w:before="240" w:after="240" w:line="360" w:lineRule="auto"/>
        <w:ind w:left="0"/>
        <w:jc w:val="both"/>
        <w:rPr>
          <w:rFonts w:ascii="Palatino Linotype" w:eastAsia="Palatino Linotype" w:hAnsi="Palatino Linotype" w:cs="Palatino Linotype"/>
        </w:rPr>
      </w:pPr>
    </w:p>
    <w:p w:rsidR="00F565F2" w:rsidRPr="003B3CD8" w:rsidRDefault="00D3721E" w:rsidP="00F565F2">
      <w:pPr>
        <w:pStyle w:val="Prrafodelista"/>
        <w:numPr>
          <w:ilvl w:val="0"/>
          <w:numId w:val="4"/>
        </w:numPr>
        <w:spacing w:before="240" w:after="240" w:line="360" w:lineRule="auto"/>
        <w:ind w:left="0" w:firstLine="0"/>
        <w:jc w:val="both"/>
        <w:rPr>
          <w:rFonts w:ascii="Palatino Linotype" w:eastAsia="Palatino Linotype" w:hAnsi="Palatino Linotype" w:cs="Palatino Linotype"/>
        </w:rPr>
      </w:pPr>
      <w:r w:rsidRPr="003B3CD8">
        <w:rPr>
          <w:rFonts w:ascii="Palatino Linotype" w:eastAsia="Palatino Linotype" w:hAnsi="Palatino Linotype" w:cs="Palatino Linotype"/>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rsidR="00F565F2" w:rsidRPr="003B3CD8" w:rsidRDefault="00F565F2" w:rsidP="00F565F2">
      <w:pPr>
        <w:pStyle w:val="Prrafodelista"/>
        <w:rPr>
          <w:rFonts w:ascii="Palatino Linotype" w:eastAsia="Palatino Linotype" w:hAnsi="Palatino Linotype" w:cs="Palatino Linotype"/>
        </w:rPr>
      </w:pPr>
    </w:p>
    <w:p w:rsidR="00F565F2" w:rsidRPr="008C3450" w:rsidRDefault="00123599" w:rsidP="00F565F2">
      <w:pPr>
        <w:pStyle w:val="Prrafodelista"/>
        <w:numPr>
          <w:ilvl w:val="0"/>
          <w:numId w:val="4"/>
        </w:numPr>
        <w:spacing w:before="240" w:after="240" w:line="360" w:lineRule="auto"/>
        <w:ind w:left="0" w:firstLine="0"/>
        <w:jc w:val="both"/>
        <w:rPr>
          <w:rFonts w:ascii="Palatino Linotype" w:eastAsia="Palatino Linotype" w:hAnsi="Palatino Linotype" w:cs="Palatino Linotype"/>
        </w:rPr>
      </w:pPr>
      <w:r w:rsidRPr="003B3CD8">
        <w:rPr>
          <w:rFonts w:ascii="Palatino Linotype" w:eastAsia="Palatino Linotype" w:hAnsi="Palatino Linotype" w:cs="Palatino Linotype"/>
        </w:rPr>
        <w:t xml:space="preserve">Por lo anterior, dado que el área competente para generar, poseer o administrar la información solicitada manifestó que no se tiene registro de empresas con las características señaladas por el Recurrente, </w:t>
      </w:r>
      <w:r w:rsidR="00F565F2" w:rsidRPr="003B3CD8">
        <w:rPr>
          <w:rFonts w:ascii="Palatino Linotype" w:eastAsia="Palatino Linotype" w:hAnsi="Palatino Linotype" w:cs="Palatino Linotype"/>
          <w:color w:val="000000"/>
        </w:rPr>
        <w:t>encontrándonos ante un hecho negativo, destacando entonces que el Pleno de este Organismo Garante, ha sostenido que ante la presencia de un hecho negativo, resultaría innecesaria una declaratoria de inexistencia en términos de los artículos 19, 169 y 170 de la Ley de Transparencia y Acceso a la Información Pública del Estado de México y Municipios, y ante una hecho negativo resulta aplicable la siguiente tesis:</w:t>
      </w:r>
    </w:p>
    <w:p w:rsidR="008C3450" w:rsidRPr="008C3450" w:rsidRDefault="008C3450" w:rsidP="008C3450">
      <w:pPr>
        <w:pStyle w:val="Prrafodelista"/>
        <w:rPr>
          <w:rFonts w:ascii="Palatino Linotype" w:eastAsia="Palatino Linotype" w:hAnsi="Palatino Linotype" w:cs="Palatino Linotype"/>
        </w:rPr>
      </w:pPr>
    </w:p>
    <w:p w:rsidR="008C3450" w:rsidRPr="003B3CD8" w:rsidRDefault="008C3450" w:rsidP="008C3450">
      <w:pPr>
        <w:pStyle w:val="Prrafodelista"/>
        <w:spacing w:before="240" w:after="240" w:line="360" w:lineRule="auto"/>
        <w:ind w:left="0"/>
        <w:jc w:val="both"/>
        <w:rPr>
          <w:rFonts w:ascii="Palatino Linotype" w:eastAsia="Palatino Linotype" w:hAnsi="Palatino Linotype" w:cs="Palatino Linotype"/>
        </w:rPr>
      </w:pPr>
    </w:p>
    <w:p w:rsidR="00F565F2" w:rsidRPr="003B3CD8" w:rsidRDefault="00F565F2" w:rsidP="00CE470A">
      <w:pPr>
        <w:ind w:left="567" w:right="539"/>
        <w:jc w:val="both"/>
        <w:rPr>
          <w:rFonts w:ascii="Palatino Linotype" w:eastAsia="Palatino Linotype" w:hAnsi="Palatino Linotype" w:cs="Palatino Linotype"/>
          <w:b/>
          <w:i/>
        </w:rPr>
      </w:pPr>
      <w:r w:rsidRPr="003B3CD8">
        <w:rPr>
          <w:rFonts w:ascii="Palatino Linotype" w:eastAsia="Palatino Linotype" w:hAnsi="Palatino Linotype" w:cs="Palatino Linotype"/>
          <w:b/>
          <w:i/>
        </w:rPr>
        <w:lastRenderedPageBreak/>
        <w:t xml:space="preserve">HECHOS NEGATIVOS, NO SON SUSCEPTIBLES DE DEMOSTRACIÓN. </w:t>
      </w:r>
    </w:p>
    <w:p w:rsidR="00F565F2" w:rsidRPr="003B3CD8" w:rsidRDefault="00F565F2" w:rsidP="00CE470A">
      <w:pPr>
        <w:ind w:left="567" w:right="539"/>
        <w:jc w:val="both"/>
        <w:rPr>
          <w:rFonts w:ascii="Palatino Linotype" w:eastAsia="Palatino Linotype" w:hAnsi="Palatino Linotype" w:cs="Palatino Linotype"/>
          <w:i/>
        </w:rPr>
      </w:pPr>
      <w:r w:rsidRPr="003B3CD8">
        <w:rPr>
          <w:rFonts w:ascii="Palatino Linotype" w:eastAsia="Palatino Linotype" w:hAnsi="Palatino Linotype" w:cs="Palatino Linotype"/>
          <w:i/>
        </w:rPr>
        <w:t>Tratándose de un hecho negativo, el Juez no tiene por qué invocar prueba alguna de la que se desprenda, ya que es bien sabido que esta clase de hechos no son susceptibles de demostración.</w:t>
      </w:r>
    </w:p>
    <w:p w:rsidR="00F565F2" w:rsidRPr="003B3CD8" w:rsidRDefault="00F565F2" w:rsidP="00CE470A">
      <w:pPr>
        <w:ind w:left="567" w:right="539"/>
        <w:jc w:val="both"/>
        <w:rPr>
          <w:rFonts w:ascii="Palatino Linotype" w:eastAsia="Palatino Linotype" w:hAnsi="Palatino Linotype" w:cs="Palatino Linotype"/>
          <w:b/>
          <w:i/>
          <w:color w:val="C00000"/>
        </w:rPr>
      </w:pPr>
      <w:r w:rsidRPr="003B3CD8">
        <w:rPr>
          <w:rFonts w:ascii="Palatino Linotype" w:eastAsia="Palatino Linotype" w:hAnsi="Palatino Linotype" w:cs="Palatino Linotype"/>
          <w:i/>
        </w:rPr>
        <w:t xml:space="preserve">Amparo en revisión 2022/61. José García Florín (Menor). 9 de octubre de 1961. Cinco votos. Ponente: José Rivera Pérez Campos.” </w:t>
      </w:r>
    </w:p>
    <w:p w:rsidR="00F565F2" w:rsidRDefault="00F565F2" w:rsidP="00F565F2">
      <w:pPr>
        <w:pStyle w:val="Prrafodelista"/>
        <w:rPr>
          <w:rFonts w:ascii="Palatino Linotype" w:eastAsia="Palatino Linotype" w:hAnsi="Palatino Linotype" w:cs="Palatino Linotype"/>
        </w:rPr>
      </w:pPr>
    </w:p>
    <w:p w:rsidR="003B3CD8" w:rsidRPr="003B3CD8" w:rsidRDefault="003B3CD8" w:rsidP="00F565F2">
      <w:pPr>
        <w:pStyle w:val="Prrafodelista"/>
        <w:rPr>
          <w:rFonts w:ascii="Palatino Linotype" w:eastAsia="Palatino Linotype" w:hAnsi="Palatino Linotype" w:cs="Palatino Linotype"/>
        </w:rPr>
      </w:pPr>
    </w:p>
    <w:p w:rsidR="00F565F2" w:rsidRPr="003B3CD8" w:rsidRDefault="00F565F2" w:rsidP="00F565F2">
      <w:pPr>
        <w:numPr>
          <w:ilvl w:val="0"/>
          <w:numId w:val="4"/>
        </w:numPr>
        <w:pBdr>
          <w:top w:val="nil"/>
          <w:left w:val="nil"/>
          <w:bottom w:val="nil"/>
          <w:right w:val="nil"/>
          <w:between w:val="nil"/>
        </w:pBdr>
        <w:tabs>
          <w:tab w:val="left" w:pos="426"/>
          <w:tab w:val="left" w:pos="567"/>
        </w:tabs>
        <w:spacing w:line="360" w:lineRule="auto"/>
        <w:ind w:left="0" w:right="-28" w:firstLine="0"/>
        <w:jc w:val="both"/>
        <w:rPr>
          <w:rFonts w:ascii="Palatino Linotype" w:eastAsia="Palatino Linotype" w:hAnsi="Palatino Linotype" w:cs="Palatino Linotype"/>
        </w:rPr>
      </w:pPr>
      <w:r w:rsidRPr="003B3CD8">
        <w:rPr>
          <w:rFonts w:ascii="Palatino Linotype" w:eastAsia="Palatino Linotype" w:hAnsi="Palatino Linotype" w:cs="Palatino Linotype"/>
          <w:color w:val="000000"/>
        </w:rPr>
        <w:t xml:space="preserve">Además, y de conformidad con lo establecido en el artículo 12 de la </w:t>
      </w:r>
      <w:r w:rsidRPr="003B3CD8">
        <w:rPr>
          <w:rFonts w:ascii="Palatino Linotype" w:eastAsia="Palatino Linotype" w:hAnsi="Palatino Linotype" w:cs="Palatino Linotype"/>
          <w:b/>
          <w:color w:val="000000"/>
        </w:rPr>
        <w:t>Ley de Transparencia y Acceso a la Información Pública del Estado de México y Municipios</w:t>
      </w:r>
      <w:r w:rsidRPr="003B3CD8">
        <w:rPr>
          <w:rFonts w:ascii="Palatino Linotype" w:eastAsia="Palatino Linotype" w:hAnsi="Palatino Linotype" w:cs="Palatino Linotype"/>
          <w:color w:val="000000"/>
        </w:rPr>
        <w:t xml:space="preserve">, anteriormente invocado, el </w:t>
      </w:r>
      <w:r w:rsidRPr="003B3CD8">
        <w:rPr>
          <w:rFonts w:ascii="Palatino Linotype" w:eastAsia="Palatino Linotype" w:hAnsi="Palatino Linotype" w:cs="Palatino Linotype"/>
          <w:b/>
          <w:color w:val="000000"/>
        </w:rPr>
        <w:t>SUJETO OBLIGADO</w:t>
      </w:r>
      <w:r w:rsidRPr="003B3CD8">
        <w:rPr>
          <w:rFonts w:ascii="Palatino Linotype" w:eastAsia="Palatino Linotype" w:hAnsi="Palatino Linotype" w:cs="Palatino Linotype"/>
          <w:color w:val="000000"/>
        </w:rPr>
        <w:t xml:space="preserve"> únicamente proporcionará la información que obra en sus archivos, lo que a</w:t>
      </w:r>
      <w:r w:rsidRPr="003B3CD8">
        <w:rPr>
          <w:rFonts w:ascii="Palatino Linotype" w:eastAsia="Palatino Linotype" w:hAnsi="Palatino Linotype" w:cs="Palatino Linotype"/>
          <w:i/>
          <w:color w:val="000000"/>
        </w:rPr>
        <w:t xml:space="preserve"> contrario sensu</w:t>
      </w:r>
      <w:r w:rsidRPr="003B3CD8">
        <w:rPr>
          <w:rFonts w:ascii="Palatino Linotype" w:eastAsia="Palatino Linotype" w:hAnsi="Palatino Linotype" w:cs="Palatino Linotype"/>
          <w:color w:val="000000"/>
        </w:rPr>
        <w:t xml:space="preserve"> significa que no se está obligado a proporcionar lo que no obre en sus archivos.</w:t>
      </w:r>
    </w:p>
    <w:p w:rsidR="003B3CD8" w:rsidRPr="003B3CD8" w:rsidRDefault="003B3CD8" w:rsidP="003B3CD8">
      <w:pPr>
        <w:pBdr>
          <w:top w:val="nil"/>
          <w:left w:val="nil"/>
          <w:bottom w:val="nil"/>
          <w:right w:val="nil"/>
          <w:between w:val="nil"/>
        </w:pBdr>
        <w:tabs>
          <w:tab w:val="left" w:pos="426"/>
          <w:tab w:val="left" w:pos="567"/>
        </w:tabs>
        <w:spacing w:line="360" w:lineRule="auto"/>
        <w:ind w:right="-28"/>
        <w:jc w:val="both"/>
        <w:rPr>
          <w:rFonts w:ascii="Palatino Linotype" w:eastAsia="Palatino Linotype" w:hAnsi="Palatino Linotype" w:cs="Palatino Linotype"/>
        </w:rPr>
      </w:pPr>
    </w:p>
    <w:p w:rsidR="00F565F2" w:rsidRPr="008C3450" w:rsidRDefault="00F565F2" w:rsidP="00F565F2">
      <w:pPr>
        <w:numPr>
          <w:ilvl w:val="0"/>
          <w:numId w:val="4"/>
        </w:numPr>
        <w:pBdr>
          <w:top w:val="nil"/>
          <w:left w:val="nil"/>
          <w:bottom w:val="nil"/>
          <w:right w:val="nil"/>
          <w:between w:val="nil"/>
        </w:pBdr>
        <w:tabs>
          <w:tab w:val="left" w:pos="426"/>
          <w:tab w:val="left" w:pos="567"/>
        </w:tabs>
        <w:spacing w:line="360" w:lineRule="auto"/>
        <w:ind w:left="0" w:right="113" w:firstLine="0"/>
        <w:jc w:val="both"/>
        <w:rPr>
          <w:rFonts w:ascii="Palatino Linotype" w:eastAsia="Palatino Linotype" w:hAnsi="Palatino Linotype" w:cs="Palatino Linotype"/>
        </w:rPr>
      </w:pPr>
      <w:r w:rsidRPr="003B3CD8">
        <w:rPr>
          <w:rFonts w:ascii="Palatino Linotype" w:eastAsia="Palatino Linotype" w:hAnsi="Palatino Linotype" w:cs="Palatino Linotype"/>
          <w:color w:val="000000"/>
        </w:rPr>
        <w:t>Así mismo, es necesario señalar que éste Órgano Garante no está facultado para pronunciarse sobre la veracidad de la información que los Sujetos Obligados ponen a disposición de los solicitantes; situación que se aleja de las atribuciones de este Instituto máxime que al momento que ponen a disposición ésta, la misma tiene el carácter oficial y se presume veraz, tan es así que la misma queda registrada en el Sistema de Acceso a la Información Mexiquense (SAIMEX).</w:t>
      </w:r>
    </w:p>
    <w:p w:rsidR="008C3450" w:rsidRPr="003B3CD8" w:rsidRDefault="008C3450" w:rsidP="008C3450">
      <w:pPr>
        <w:pBdr>
          <w:top w:val="nil"/>
          <w:left w:val="nil"/>
          <w:bottom w:val="nil"/>
          <w:right w:val="nil"/>
          <w:between w:val="nil"/>
        </w:pBdr>
        <w:tabs>
          <w:tab w:val="left" w:pos="426"/>
          <w:tab w:val="left" w:pos="567"/>
        </w:tabs>
        <w:spacing w:line="360" w:lineRule="auto"/>
        <w:ind w:right="113"/>
        <w:jc w:val="both"/>
        <w:rPr>
          <w:rFonts w:ascii="Palatino Linotype" w:eastAsia="Palatino Linotype" w:hAnsi="Palatino Linotype" w:cs="Palatino Linotype"/>
        </w:rPr>
      </w:pPr>
    </w:p>
    <w:p w:rsidR="00F565F2" w:rsidRPr="003B3CD8" w:rsidRDefault="00F565F2" w:rsidP="00F565F2">
      <w:pPr>
        <w:numPr>
          <w:ilvl w:val="0"/>
          <w:numId w:val="4"/>
        </w:numPr>
        <w:pBdr>
          <w:top w:val="nil"/>
          <w:left w:val="nil"/>
          <w:bottom w:val="nil"/>
          <w:right w:val="nil"/>
          <w:between w:val="nil"/>
        </w:pBdr>
        <w:tabs>
          <w:tab w:val="left" w:pos="426"/>
          <w:tab w:val="left" w:pos="567"/>
        </w:tabs>
        <w:spacing w:line="360" w:lineRule="auto"/>
        <w:ind w:left="0" w:right="113" w:firstLine="0"/>
        <w:jc w:val="both"/>
        <w:rPr>
          <w:rFonts w:ascii="Palatino Linotype" w:eastAsia="Palatino Linotype" w:hAnsi="Palatino Linotype" w:cs="Palatino Linotype"/>
        </w:rPr>
      </w:pPr>
      <w:r w:rsidRPr="003B3CD8">
        <w:rPr>
          <w:rFonts w:ascii="Palatino Linotype" w:eastAsia="Palatino Linotype" w:hAnsi="Palatino Linotype" w:cs="Palatino Linotype"/>
          <w:color w:val="000000"/>
        </w:rPr>
        <w:t>Sirviendo de apoyo a lo anterior por analogía, el criterio 31-10 emitido por el ahora Instituto Nacional de Transparencia, Acceso a la Información y Protección de Datos Personales, que a la letra dice:</w:t>
      </w:r>
    </w:p>
    <w:p w:rsidR="00F565F2" w:rsidRPr="003B3CD8" w:rsidRDefault="00F565F2" w:rsidP="00CE470A">
      <w:pPr>
        <w:pBdr>
          <w:top w:val="nil"/>
          <w:left w:val="nil"/>
          <w:bottom w:val="nil"/>
          <w:right w:val="nil"/>
          <w:between w:val="nil"/>
        </w:pBdr>
        <w:spacing w:before="240" w:after="360"/>
        <w:ind w:left="567" w:right="539"/>
        <w:jc w:val="both"/>
        <w:rPr>
          <w:rFonts w:ascii="Palatino Linotype" w:eastAsia="Palatino Linotype" w:hAnsi="Palatino Linotype" w:cs="Palatino Linotype"/>
          <w:i/>
          <w:color w:val="000000"/>
        </w:rPr>
      </w:pPr>
      <w:r w:rsidRPr="003B3CD8">
        <w:rPr>
          <w:rFonts w:ascii="Palatino Linotype" w:eastAsia="Palatino Linotype" w:hAnsi="Palatino Linotype" w:cs="Palatino Linotype"/>
          <w:i/>
          <w:color w:val="000000"/>
        </w:rPr>
        <w:t xml:space="preserve">El Instituto Federal de Acceso a la Información y Protección de Datos </w:t>
      </w:r>
      <w:r w:rsidRPr="003B3CD8">
        <w:rPr>
          <w:rFonts w:ascii="Palatino Linotype" w:eastAsia="Palatino Linotype" w:hAnsi="Palatino Linotype" w:cs="Palatino Linotype"/>
          <w:b/>
          <w:i/>
          <w:color w:val="000000"/>
        </w:rPr>
        <w:t>no cuenta con facultades para pronunciarse respecto de la veracidad de los documentos proporcionados por los sujetos obligados.</w:t>
      </w:r>
      <w:r w:rsidRPr="003B3CD8">
        <w:rPr>
          <w:rFonts w:ascii="Palatino Linotype" w:eastAsia="Palatino Linotype" w:hAnsi="Palatino Linotype" w:cs="Palatino Linotype"/>
          <w:i/>
          <w:color w:val="000000"/>
        </w:rPr>
        <w:t xml:space="preserve"> El Instituto Federal de Acceso a la Información y Protección de Datos es un órgano de la Administración Pública Federal con </w:t>
      </w:r>
      <w:r w:rsidRPr="003B3CD8">
        <w:rPr>
          <w:rFonts w:ascii="Palatino Linotype" w:eastAsia="Palatino Linotype" w:hAnsi="Palatino Linotype" w:cs="Palatino Linotype"/>
          <w:i/>
          <w:color w:val="000000"/>
        </w:rPr>
        <w:lastRenderedPageBreak/>
        <w:t xml:space="preserve">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 </w:t>
      </w:r>
    </w:p>
    <w:p w:rsidR="00F565F2" w:rsidRPr="003B3CD8" w:rsidRDefault="00F565F2" w:rsidP="00F565F2">
      <w:pPr>
        <w:numPr>
          <w:ilvl w:val="0"/>
          <w:numId w:val="4"/>
        </w:numPr>
        <w:pBdr>
          <w:top w:val="nil"/>
          <w:left w:val="nil"/>
          <w:bottom w:val="nil"/>
          <w:right w:val="nil"/>
          <w:between w:val="nil"/>
        </w:pBdr>
        <w:tabs>
          <w:tab w:val="left" w:pos="426"/>
          <w:tab w:val="left" w:pos="567"/>
        </w:tabs>
        <w:spacing w:line="360" w:lineRule="auto"/>
        <w:ind w:left="0" w:right="113" w:firstLine="0"/>
        <w:jc w:val="both"/>
        <w:rPr>
          <w:rFonts w:ascii="Palatino Linotype" w:eastAsia="Palatino Linotype" w:hAnsi="Palatino Linotype" w:cs="Palatino Linotype"/>
        </w:rPr>
      </w:pPr>
      <w:r w:rsidRPr="003B3CD8">
        <w:rPr>
          <w:rFonts w:ascii="Palatino Linotype" w:eastAsia="Palatino Linotype" w:hAnsi="Palatino Linotype" w:cs="Palatino Linotype"/>
          <w:color w:val="000000"/>
        </w:rPr>
        <w:t xml:space="preserve">Así mismo, la </w:t>
      </w:r>
      <w:r w:rsidRPr="003B3CD8">
        <w:rPr>
          <w:rFonts w:ascii="Palatino Linotype" w:eastAsia="Palatino Linotype" w:hAnsi="Palatino Linotype" w:cs="Palatino Linotype"/>
          <w:b/>
          <w:color w:val="000000"/>
        </w:rPr>
        <w:t>Ley de Transparencia y Acceso a la Información Pública del Estado de México y Municipios</w:t>
      </w:r>
      <w:r w:rsidRPr="003B3CD8">
        <w:rPr>
          <w:rFonts w:ascii="Palatino Linotype" w:eastAsia="Palatino Linotype" w:hAnsi="Palatino Linotype" w:cs="Palatino Linotype"/>
          <w:color w:val="000000"/>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F565F2" w:rsidRPr="003B3CD8" w:rsidRDefault="00F565F2" w:rsidP="00CE470A">
      <w:pPr>
        <w:pBdr>
          <w:top w:val="nil"/>
          <w:left w:val="nil"/>
          <w:bottom w:val="nil"/>
          <w:right w:val="nil"/>
          <w:between w:val="nil"/>
        </w:pBdr>
        <w:ind w:left="567" w:right="539"/>
        <w:jc w:val="both"/>
        <w:rPr>
          <w:rFonts w:ascii="Palatino Linotype" w:eastAsia="Palatino Linotype" w:hAnsi="Palatino Linotype" w:cs="Palatino Linotype"/>
          <w:b/>
          <w:i/>
          <w:color w:val="000000"/>
        </w:rPr>
      </w:pPr>
      <w:r w:rsidRPr="003B3CD8">
        <w:rPr>
          <w:rFonts w:ascii="Palatino Linotype" w:eastAsia="Palatino Linotype" w:hAnsi="Palatino Linotype" w:cs="Palatino Linotype"/>
          <w:i/>
          <w:color w:val="000000"/>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3B3CD8">
        <w:rPr>
          <w:rFonts w:ascii="Palatino Linotype" w:eastAsia="Palatino Linotype" w:hAnsi="Palatino Linotype" w:cs="Palatino Linotype"/>
          <w:b/>
          <w:i/>
          <w:color w:val="000000"/>
        </w:rPr>
        <w:t xml:space="preserve">Los Sujetos Obligados deben poner en práctica, políticas y programas de acceso a la información que se apeguen a criterios de publicidad, veracidad, oportunidad, precisión y suficiencia en beneficio de los solicitantes. </w:t>
      </w:r>
    </w:p>
    <w:p w:rsidR="00F565F2" w:rsidRPr="003B3CD8" w:rsidRDefault="00F565F2" w:rsidP="00F565F2">
      <w:pPr>
        <w:tabs>
          <w:tab w:val="left" w:pos="426"/>
          <w:tab w:val="left" w:pos="567"/>
        </w:tabs>
        <w:spacing w:line="360" w:lineRule="auto"/>
        <w:ind w:right="-847"/>
        <w:jc w:val="both"/>
        <w:rPr>
          <w:rFonts w:ascii="Palatino Linotype" w:eastAsia="Palatino Linotype" w:hAnsi="Palatino Linotype" w:cs="Palatino Linotype"/>
          <w:color w:val="000000"/>
          <w:u w:val="single"/>
        </w:rPr>
      </w:pPr>
    </w:p>
    <w:p w:rsidR="00F565F2" w:rsidRPr="003B3CD8" w:rsidRDefault="00F565F2" w:rsidP="00F565F2">
      <w:pPr>
        <w:numPr>
          <w:ilvl w:val="0"/>
          <w:numId w:val="4"/>
        </w:numPr>
        <w:pBdr>
          <w:top w:val="nil"/>
          <w:left w:val="nil"/>
          <w:bottom w:val="nil"/>
          <w:right w:val="nil"/>
          <w:between w:val="nil"/>
        </w:pBdr>
        <w:tabs>
          <w:tab w:val="left" w:pos="426"/>
          <w:tab w:val="left" w:pos="567"/>
        </w:tabs>
        <w:spacing w:line="360" w:lineRule="auto"/>
        <w:ind w:left="0" w:right="-28" w:firstLine="0"/>
        <w:jc w:val="both"/>
        <w:rPr>
          <w:rFonts w:ascii="Palatino Linotype" w:eastAsia="Palatino Linotype" w:hAnsi="Palatino Linotype" w:cs="Palatino Linotype"/>
        </w:rPr>
      </w:pPr>
      <w:r w:rsidRPr="003B3CD8">
        <w:rPr>
          <w:rFonts w:ascii="Palatino Linotype" w:eastAsia="Palatino Linotype" w:hAnsi="Palatino Linotype" w:cs="Palatino Linotype"/>
          <w:color w:val="000000"/>
        </w:rPr>
        <w:t xml:space="preserve">Numerales que compelen al </w:t>
      </w:r>
      <w:r w:rsidRPr="003B3CD8">
        <w:rPr>
          <w:rFonts w:ascii="Palatino Linotype" w:eastAsia="Palatino Linotype" w:hAnsi="Palatino Linotype" w:cs="Palatino Linotype"/>
          <w:b/>
          <w:color w:val="000000"/>
        </w:rPr>
        <w:t>SUJETO OBLIGADO</w:t>
      </w:r>
      <w:r w:rsidRPr="003B3CD8">
        <w:rPr>
          <w:rFonts w:ascii="Palatino Linotype" w:eastAsia="Palatino Linotype" w:hAnsi="Palatino Linotype" w:cs="Palatino Linotype"/>
          <w:color w:val="000000"/>
        </w:rPr>
        <w:t xml:space="preserve"> a apegarse en todo momento a los criterios ya expuestos, </w:t>
      </w:r>
      <w:r w:rsidRPr="003B3CD8">
        <w:rPr>
          <w:rFonts w:ascii="Palatino Linotype" w:eastAsia="Palatino Linotype" w:hAnsi="Palatino Linotype" w:cs="Palatino Linotype"/>
        </w:rPr>
        <w:t>impidiendo</w:t>
      </w:r>
      <w:r w:rsidRPr="003B3CD8">
        <w:rPr>
          <w:rFonts w:ascii="Palatino Linotype" w:eastAsia="Palatino Linotype" w:hAnsi="Palatino Linotype" w:cs="Palatino Linotype"/>
          <w:color w:val="000000"/>
        </w:rPr>
        <w:t xml:space="preserve"> a este Órgano Colegiado cuestionar la veracidad de la información. En ese contexto, en razón del artículo 166 de la Ley de Transparencia y Acceso a la Información Pública del Estado de México y Municipios, que establece que la obligación de acceso a la información pública se tendrá por cumplida cuando el solicitante tenga a su disposición la información requerida, se tiene por colmado el derecho de acceso a la información pública del particular. </w:t>
      </w:r>
    </w:p>
    <w:p w:rsidR="00F565F2" w:rsidRPr="003B3CD8" w:rsidRDefault="00F565F2" w:rsidP="00F565F2">
      <w:pPr>
        <w:pStyle w:val="Prrafodelista"/>
        <w:numPr>
          <w:ilvl w:val="0"/>
          <w:numId w:val="4"/>
        </w:numPr>
        <w:spacing w:line="360" w:lineRule="auto"/>
        <w:ind w:left="0" w:right="113" w:firstLine="0"/>
        <w:jc w:val="both"/>
        <w:rPr>
          <w:rFonts w:ascii="Palatino Linotype" w:eastAsia="Palatino Linotype" w:hAnsi="Palatino Linotype" w:cs="Palatino Linotype"/>
          <w:color w:val="000000"/>
        </w:rPr>
      </w:pPr>
      <w:r w:rsidRPr="003B3CD8">
        <w:rPr>
          <w:rFonts w:ascii="Palatino Linotype" w:eastAsia="Palatino Linotype" w:hAnsi="Palatino Linotype" w:cs="Palatino Linotype"/>
          <w:color w:val="000000"/>
        </w:rPr>
        <w:lastRenderedPageBreak/>
        <w:t>Por lo anterior, toda vez que el área competente hizo del conocimiento del Recurrente que la información solicitada no obra en los archivos del área competente ya que no se generó, poseyó o administró, se estima que las pretensiones del particular fueron plenamente colmadas.</w:t>
      </w:r>
    </w:p>
    <w:p w:rsidR="00F565F2" w:rsidRPr="003B3CD8" w:rsidRDefault="00F565F2" w:rsidP="00706B13">
      <w:pPr>
        <w:pStyle w:val="Prrafodelista"/>
        <w:spacing w:line="360" w:lineRule="auto"/>
        <w:ind w:left="0" w:right="113"/>
        <w:jc w:val="both"/>
        <w:rPr>
          <w:rFonts w:ascii="Palatino Linotype" w:eastAsia="Palatino Linotype" w:hAnsi="Palatino Linotype" w:cs="Palatino Linotype"/>
          <w:color w:val="000000"/>
        </w:rPr>
      </w:pPr>
    </w:p>
    <w:p w:rsidR="00F565F2" w:rsidRPr="003B3CD8" w:rsidRDefault="00F565F2" w:rsidP="00F565F2">
      <w:pPr>
        <w:pStyle w:val="Prrafodelista"/>
        <w:numPr>
          <w:ilvl w:val="0"/>
          <w:numId w:val="4"/>
        </w:numPr>
        <w:pBdr>
          <w:top w:val="nil"/>
          <w:left w:val="nil"/>
          <w:bottom w:val="nil"/>
          <w:right w:val="nil"/>
          <w:between w:val="nil"/>
        </w:pBdr>
        <w:spacing w:line="360" w:lineRule="auto"/>
        <w:ind w:left="0" w:right="113" w:firstLine="0"/>
        <w:jc w:val="both"/>
        <w:rPr>
          <w:rFonts w:ascii="Palatino Linotype" w:eastAsia="Palatino Linotype" w:hAnsi="Palatino Linotype" w:cs="Palatino Linotype"/>
          <w:color w:val="000000"/>
        </w:rPr>
      </w:pPr>
      <w:r w:rsidRPr="003B3CD8">
        <w:rPr>
          <w:rFonts w:ascii="Palatino Linotype" w:eastAsia="Palatino Linotype" w:hAnsi="Palatino Linotype" w:cs="Palatino Linotype"/>
          <w:color w:val="000000"/>
        </w:rPr>
        <w:t>Por lo argumentado en los párrafos que anteceden, este Instituto estima que el Sujeto Obligado colmó las pretensiones del Recurrente con su respuesta y, por tanto, los motivos de inconformidad planteados devienen infundados; por lo que es procedente confirmar la respuesta del Sujeto Obligado.</w:t>
      </w:r>
    </w:p>
    <w:p w:rsidR="00F565F2" w:rsidRPr="003B3CD8" w:rsidRDefault="00F565F2" w:rsidP="00F565F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4318F0" w:rsidRDefault="006303D2" w:rsidP="00763D55">
      <w:pPr>
        <w:numPr>
          <w:ilvl w:val="0"/>
          <w:numId w:val="4"/>
        </w:numPr>
        <w:pBdr>
          <w:top w:val="nil"/>
          <w:left w:val="nil"/>
          <w:bottom w:val="nil"/>
          <w:right w:val="nil"/>
          <w:between w:val="nil"/>
        </w:pBdr>
        <w:spacing w:line="360" w:lineRule="auto"/>
        <w:ind w:left="0" w:right="-144" w:firstLine="0"/>
        <w:jc w:val="both"/>
        <w:rPr>
          <w:rFonts w:ascii="Palatino Linotype" w:eastAsia="Palatino Linotype" w:hAnsi="Palatino Linotype" w:cs="Palatino Linotype"/>
          <w:color w:val="000000"/>
        </w:rPr>
      </w:pPr>
      <w:r w:rsidRPr="003B3CD8">
        <w:rPr>
          <w:rFonts w:ascii="Palatino Linotype" w:eastAsia="Palatino Linotype" w:hAnsi="Palatino Linotype" w:cs="Palatino Linotype"/>
          <w:color w:val="000000"/>
        </w:rPr>
        <w:t>Por lo anteriormente expuesto, este Órgano Garante considera infundadas las razones o motivos de inconformidad que plantea el</w:t>
      </w:r>
      <w:r w:rsidRPr="003B3CD8">
        <w:rPr>
          <w:rFonts w:ascii="Palatino Linotype" w:eastAsia="Palatino Linotype" w:hAnsi="Palatino Linotype" w:cs="Palatino Linotype"/>
          <w:b/>
          <w:color w:val="000000"/>
        </w:rPr>
        <w:t xml:space="preserve"> RECURRENTE</w:t>
      </w:r>
      <w:r w:rsidRPr="003B3CD8">
        <w:rPr>
          <w:rFonts w:ascii="Palatino Linotype" w:eastAsia="Palatino Linotype" w:hAnsi="Palatino Linotype" w:cs="Palatino Linotype"/>
          <w:color w:val="000000"/>
        </w:rPr>
        <w:t xml:space="preserve">, determinando </w:t>
      </w:r>
      <w:r w:rsidRPr="003B3CD8">
        <w:rPr>
          <w:rFonts w:ascii="Palatino Linotype" w:eastAsia="Palatino Linotype" w:hAnsi="Palatino Linotype" w:cs="Palatino Linotype"/>
          <w:b/>
          <w:color w:val="000000"/>
        </w:rPr>
        <w:t xml:space="preserve">CONFIRMAR </w:t>
      </w:r>
      <w:r w:rsidRPr="003B3CD8">
        <w:rPr>
          <w:rFonts w:ascii="Palatino Linotype" w:eastAsia="Palatino Linotype" w:hAnsi="Palatino Linotype" w:cs="Palatino Linotype"/>
          <w:color w:val="000000"/>
        </w:rPr>
        <w:t xml:space="preserve">la respuesta del </w:t>
      </w:r>
      <w:r w:rsidRPr="003B3CD8">
        <w:rPr>
          <w:rFonts w:ascii="Palatino Linotype" w:eastAsia="Palatino Linotype" w:hAnsi="Palatino Linotype" w:cs="Palatino Linotype"/>
          <w:b/>
          <w:color w:val="000000"/>
        </w:rPr>
        <w:t>SUJETO OBLIGADO</w:t>
      </w:r>
      <w:r w:rsidRPr="003B3CD8">
        <w:rPr>
          <w:rFonts w:ascii="Palatino Linotype" w:eastAsia="Palatino Linotype" w:hAnsi="Palatino Linotype" w:cs="Palatino Linotype"/>
          <w:color w:val="000000"/>
        </w:rPr>
        <w:t xml:space="preserve">, por lo que hace al recurso de revisión </w:t>
      </w:r>
      <w:r w:rsidR="00F565F2" w:rsidRPr="003B3CD8">
        <w:rPr>
          <w:rFonts w:ascii="Palatino Linotype" w:eastAsia="Palatino Linotype" w:hAnsi="Palatino Linotype" w:cs="Palatino Linotype"/>
          <w:b/>
          <w:color w:val="000000"/>
        </w:rPr>
        <w:t>13358</w:t>
      </w:r>
      <w:r w:rsidRPr="003B3CD8">
        <w:rPr>
          <w:rFonts w:ascii="Palatino Linotype" w:eastAsia="Palatino Linotype" w:hAnsi="Palatino Linotype" w:cs="Palatino Linotype"/>
          <w:b/>
          <w:color w:val="000000"/>
        </w:rPr>
        <w:t xml:space="preserve">/INFOEM/IP/RR/2025 </w:t>
      </w:r>
      <w:r w:rsidRPr="003B3CD8">
        <w:rPr>
          <w:rFonts w:ascii="Palatino Linotype" w:eastAsia="Palatino Linotype" w:hAnsi="Palatino Linotype" w:cs="Palatino Linotype"/>
          <w:color w:val="000000"/>
        </w:rPr>
        <w:t xml:space="preserve">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este </w:t>
      </w:r>
      <w:r w:rsidRPr="003B3CD8">
        <w:rPr>
          <w:rFonts w:ascii="Palatino Linotype" w:eastAsia="Palatino Linotype" w:hAnsi="Palatino Linotype" w:cs="Palatino Linotype"/>
          <w:b/>
          <w:color w:val="000000"/>
        </w:rPr>
        <w:t>ÓRGANO GARANTE</w:t>
      </w:r>
      <w:r w:rsidRPr="003B3CD8">
        <w:rPr>
          <w:rFonts w:ascii="Palatino Linotype" w:eastAsia="Palatino Linotype" w:hAnsi="Palatino Linotype" w:cs="Palatino Linotype"/>
          <w:color w:val="000000"/>
        </w:rPr>
        <w:t xml:space="preserve"> emite los siguientes.</w:t>
      </w:r>
    </w:p>
    <w:p w:rsidR="00706B13" w:rsidRDefault="00706B13" w:rsidP="00706B13">
      <w:pPr>
        <w:pStyle w:val="Prrafodelista"/>
        <w:rPr>
          <w:rFonts w:ascii="Palatino Linotype" w:eastAsia="Palatino Linotype" w:hAnsi="Palatino Linotype" w:cs="Palatino Linotype"/>
          <w:color w:val="000000"/>
        </w:rPr>
      </w:pPr>
    </w:p>
    <w:p w:rsidR="00706B13" w:rsidRPr="003B3CD8" w:rsidRDefault="00706B13" w:rsidP="00706B13">
      <w:pPr>
        <w:pBdr>
          <w:top w:val="nil"/>
          <w:left w:val="nil"/>
          <w:bottom w:val="nil"/>
          <w:right w:val="nil"/>
          <w:between w:val="nil"/>
        </w:pBdr>
        <w:spacing w:line="360" w:lineRule="auto"/>
        <w:ind w:right="-144"/>
        <w:jc w:val="both"/>
        <w:rPr>
          <w:rFonts w:ascii="Palatino Linotype" w:eastAsia="Palatino Linotype" w:hAnsi="Palatino Linotype" w:cs="Palatino Linotype"/>
          <w:color w:val="000000"/>
        </w:rPr>
      </w:pPr>
    </w:p>
    <w:p w:rsidR="004318F0" w:rsidRPr="003B3CD8" w:rsidRDefault="006303D2">
      <w:pPr>
        <w:keepNext/>
        <w:keepLines/>
        <w:spacing w:line="360" w:lineRule="auto"/>
        <w:jc w:val="center"/>
        <w:rPr>
          <w:rFonts w:ascii="Palatino Linotype" w:eastAsia="Palatino Linotype" w:hAnsi="Palatino Linotype" w:cs="Palatino Linotype"/>
          <w:b/>
          <w:color w:val="000000"/>
        </w:rPr>
      </w:pPr>
      <w:r w:rsidRPr="003B3CD8">
        <w:rPr>
          <w:rFonts w:ascii="Palatino Linotype" w:eastAsia="Palatino Linotype" w:hAnsi="Palatino Linotype" w:cs="Palatino Linotype"/>
          <w:b/>
          <w:color w:val="000000"/>
        </w:rPr>
        <w:t>R E S O L U T I V O S</w:t>
      </w:r>
    </w:p>
    <w:p w:rsidR="004318F0" w:rsidRPr="003B3CD8" w:rsidRDefault="004318F0">
      <w:pPr>
        <w:keepNext/>
        <w:keepLines/>
        <w:spacing w:line="360" w:lineRule="auto"/>
        <w:jc w:val="center"/>
        <w:rPr>
          <w:rFonts w:ascii="Palatino Linotype" w:eastAsia="Palatino Linotype" w:hAnsi="Palatino Linotype" w:cs="Palatino Linotype"/>
          <w:b/>
          <w:color w:val="000000"/>
        </w:rPr>
      </w:pPr>
    </w:p>
    <w:p w:rsidR="004318F0" w:rsidRPr="003B3CD8" w:rsidRDefault="006303D2">
      <w:pPr>
        <w:spacing w:line="360" w:lineRule="auto"/>
        <w:jc w:val="both"/>
        <w:rPr>
          <w:rFonts w:ascii="Palatino Linotype" w:eastAsia="Palatino Linotype" w:hAnsi="Palatino Linotype" w:cs="Palatino Linotype"/>
        </w:rPr>
      </w:pPr>
      <w:r w:rsidRPr="003B3CD8">
        <w:rPr>
          <w:rFonts w:ascii="Palatino Linotype" w:eastAsia="Palatino Linotype" w:hAnsi="Palatino Linotype" w:cs="Palatino Linotype"/>
          <w:b/>
        </w:rPr>
        <w:t>PRIMERO</w:t>
      </w:r>
      <w:r w:rsidRPr="003B3CD8">
        <w:rPr>
          <w:rFonts w:ascii="Palatino Linotype" w:eastAsia="Palatino Linotype" w:hAnsi="Palatino Linotype" w:cs="Palatino Linotype"/>
        </w:rPr>
        <w:t>. Resultan infundadas las</w:t>
      </w:r>
      <w:r w:rsidRPr="003B3CD8">
        <w:rPr>
          <w:rFonts w:ascii="Palatino Linotype" w:eastAsia="Palatino Linotype" w:hAnsi="Palatino Linotype" w:cs="Palatino Linotype"/>
          <w:b/>
        </w:rPr>
        <w:t xml:space="preserve"> </w:t>
      </w:r>
      <w:r w:rsidRPr="003B3CD8">
        <w:rPr>
          <w:rFonts w:ascii="Palatino Linotype" w:eastAsia="Palatino Linotype" w:hAnsi="Palatino Linotype" w:cs="Palatino Linotype"/>
        </w:rPr>
        <w:t xml:space="preserve">razones o motivos de inconformidad hechos valer en el recurso de revisión </w:t>
      </w:r>
      <w:r w:rsidR="00F565F2" w:rsidRPr="003B3CD8">
        <w:rPr>
          <w:rFonts w:ascii="Palatino Linotype" w:eastAsia="Palatino Linotype" w:hAnsi="Palatino Linotype" w:cs="Palatino Linotype"/>
          <w:b/>
        </w:rPr>
        <w:t>13358</w:t>
      </w:r>
      <w:r w:rsidRPr="003B3CD8">
        <w:rPr>
          <w:rFonts w:ascii="Palatino Linotype" w:eastAsia="Palatino Linotype" w:hAnsi="Palatino Linotype" w:cs="Palatino Linotype"/>
          <w:b/>
        </w:rPr>
        <w:t xml:space="preserve">/INFOEM/IP/RR/2025, </w:t>
      </w:r>
      <w:r w:rsidRPr="003B3CD8">
        <w:rPr>
          <w:rFonts w:ascii="Palatino Linotype" w:eastAsia="Palatino Linotype" w:hAnsi="Palatino Linotype" w:cs="Palatino Linotype"/>
        </w:rPr>
        <w:t xml:space="preserve">en términos del </w:t>
      </w:r>
      <w:r w:rsidRPr="003B3CD8">
        <w:rPr>
          <w:rFonts w:ascii="Palatino Linotype" w:eastAsia="Palatino Linotype" w:hAnsi="Palatino Linotype" w:cs="Palatino Linotype"/>
          <w:b/>
        </w:rPr>
        <w:t>Considerando</w:t>
      </w:r>
      <w:r w:rsidRPr="003B3CD8">
        <w:rPr>
          <w:rFonts w:ascii="Palatino Linotype" w:eastAsia="Palatino Linotype" w:hAnsi="Palatino Linotype" w:cs="Palatino Linotype"/>
        </w:rPr>
        <w:t xml:space="preserve"> </w:t>
      </w:r>
      <w:r w:rsidRPr="003B3CD8">
        <w:rPr>
          <w:rFonts w:ascii="Palatino Linotype" w:eastAsia="Palatino Linotype" w:hAnsi="Palatino Linotype" w:cs="Palatino Linotype"/>
          <w:b/>
        </w:rPr>
        <w:t>CUARTO</w:t>
      </w:r>
      <w:r w:rsidRPr="003B3CD8">
        <w:rPr>
          <w:rFonts w:ascii="Palatino Linotype" w:eastAsia="Palatino Linotype" w:hAnsi="Palatino Linotype" w:cs="Palatino Linotype"/>
        </w:rPr>
        <w:t xml:space="preserve"> de la presente resolución.</w:t>
      </w:r>
    </w:p>
    <w:p w:rsidR="004318F0" w:rsidRPr="003B3CD8" w:rsidRDefault="006303D2">
      <w:pPr>
        <w:spacing w:line="360" w:lineRule="auto"/>
        <w:jc w:val="both"/>
        <w:rPr>
          <w:rFonts w:ascii="Palatino Linotype" w:eastAsia="Palatino Linotype" w:hAnsi="Palatino Linotype" w:cs="Palatino Linotype"/>
        </w:rPr>
      </w:pPr>
      <w:r w:rsidRPr="003B3CD8">
        <w:rPr>
          <w:rFonts w:ascii="Palatino Linotype" w:eastAsia="Palatino Linotype" w:hAnsi="Palatino Linotype" w:cs="Palatino Linotype"/>
          <w:b/>
        </w:rPr>
        <w:lastRenderedPageBreak/>
        <w:t>SEGUNDO.</w:t>
      </w:r>
      <w:r w:rsidRPr="003B3CD8">
        <w:rPr>
          <w:rFonts w:ascii="Palatino Linotype" w:eastAsia="Palatino Linotype" w:hAnsi="Palatino Linotype" w:cs="Palatino Linotype"/>
        </w:rPr>
        <w:t xml:space="preserve"> Se</w:t>
      </w:r>
      <w:r w:rsidRPr="003B3CD8">
        <w:rPr>
          <w:rFonts w:ascii="Palatino Linotype" w:eastAsia="Palatino Linotype" w:hAnsi="Palatino Linotype" w:cs="Palatino Linotype"/>
          <w:b/>
        </w:rPr>
        <w:t xml:space="preserve"> CONFIRMA </w:t>
      </w:r>
      <w:r w:rsidRPr="003B3CD8">
        <w:rPr>
          <w:rFonts w:ascii="Palatino Linotype" w:eastAsia="Palatino Linotype" w:hAnsi="Palatino Linotype" w:cs="Palatino Linotype"/>
        </w:rPr>
        <w:t xml:space="preserve">la respuesta emitida por el </w:t>
      </w:r>
      <w:r w:rsidRPr="003B3CD8">
        <w:rPr>
          <w:rFonts w:ascii="Palatino Linotype" w:eastAsia="Palatino Linotype" w:hAnsi="Palatino Linotype" w:cs="Palatino Linotype"/>
          <w:b/>
        </w:rPr>
        <w:t xml:space="preserve">Ayuntamiento de </w:t>
      </w:r>
      <w:r w:rsidR="009E5BE4" w:rsidRPr="003B3CD8">
        <w:rPr>
          <w:rFonts w:ascii="Palatino Linotype" w:eastAsia="Palatino Linotype" w:hAnsi="Palatino Linotype" w:cs="Palatino Linotype"/>
          <w:b/>
        </w:rPr>
        <w:t>Coacalco de Berriozábal</w:t>
      </w:r>
      <w:r w:rsidRPr="003B3CD8">
        <w:rPr>
          <w:rFonts w:ascii="Palatino Linotype" w:eastAsia="Palatino Linotype" w:hAnsi="Palatino Linotype" w:cs="Palatino Linotype"/>
          <w:b/>
        </w:rPr>
        <w:t xml:space="preserve">, México </w:t>
      </w:r>
      <w:r w:rsidRPr="003B3CD8">
        <w:rPr>
          <w:rFonts w:ascii="Palatino Linotype" w:eastAsia="Palatino Linotype" w:hAnsi="Palatino Linotype" w:cs="Palatino Linotype"/>
        </w:rPr>
        <w:t xml:space="preserve">a la solicitud </w:t>
      </w:r>
      <w:r w:rsidR="00F565F2" w:rsidRPr="003B3CD8">
        <w:rPr>
          <w:rFonts w:ascii="Palatino Linotype" w:eastAsia="Palatino Linotype" w:hAnsi="Palatino Linotype" w:cs="Palatino Linotype"/>
          <w:b/>
        </w:rPr>
        <w:t>00228/COACALCO/IP/2025</w:t>
      </w:r>
      <w:r w:rsidRPr="003B3CD8">
        <w:rPr>
          <w:rFonts w:ascii="Palatino Linotype" w:eastAsia="Palatino Linotype" w:hAnsi="Palatino Linotype" w:cs="Palatino Linotype"/>
          <w:b/>
        </w:rPr>
        <w:t>.</w:t>
      </w:r>
      <w:r w:rsidRPr="003B3CD8">
        <w:rPr>
          <w:rFonts w:ascii="Palatino Linotype" w:eastAsia="Palatino Linotype" w:hAnsi="Palatino Linotype" w:cs="Palatino Linotype"/>
        </w:rPr>
        <w:t xml:space="preserve"> </w:t>
      </w:r>
    </w:p>
    <w:p w:rsidR="004318F0" w:rsidRPr="003B3CD8" w:rsidRDefault="006303D2">
      <w:pPr>
        <w:spacing w:before="240" w:after="240" w:line="360" w:lineRule="auto"/>
        <w:ind w:right="40"/>
        <w:jc w:val="both"/>
        <w:rPr>
          <w:rFonts w:ascii="Palatino Linotype" w:eastAsia="Palatino Linotype" w:hAnsi="Palatino Linotype" w:cs="Palatino Linotype"/>
          <w:b/>
        </w:rPr>
      </w:pPr>
      <w:r w:rsidRPr="003B3CD8">
        <w:rPr>
          <w:rFonts w:ascii="Palatino Linotype" w:eastAsia="Palatino Linotype" w:hAnsi="Palatino Linotype" w:cs="Palatino Linotype"/>
          <w:b/>
        </w:rPr>
        <w:t xml:space="preserve">TERCERO. </w:t>
      </w:r>
      <w:r w:rsidR="00E33B1A" w:rsidRPr="003B3CD8">
        <w:rPr>
          <w:rFonts w:ascii="Palatino Linotype" w:eastAsia="Palatino Linotype" w:hAnsi="Palatino Linotype" w:cs="Palatino Linotype"/>
          <w:b/>
        </w:rPr>
        <w:t>NOTIFÍQUESE</w:t>
      </w:r>
      <w:r w:rsidRPr="003B3CD8">
        <w:rPr>
          <w:rFonts w:ascii="Palatino Linotype" w:eastAsia="Palatino Linotype" w:hAnsi="Palatino Linotype" w:cs="Palatino Linotype"/>
          <w:b/>
        </w:rPr>
        <w:t xml:space="preserve">, </w:t>
      </w:r>
      <w:r w:rsidRPr="003B3CD8">
        <w:rPr>
          <w:rFonts w:ascii="Palatino Linotype" w:eastAsia="Palatino Linotype" w:hAnsi="Palatino Linotype" w:cs="Palatino Linotype"/>
        </w:rPr>
        <w:t xml:space="preserve">vía Sistema de Acceso a la Información Mexiquense (SAIMEX), la presente resolución al Titular de la Unidad de Transparencia del </w:t>
      </w:r>
      <w:r w:rsidRPr="003B3CD8">
        <w:rPr>
          <w:rFonts w:ascii="Palatino Linotype" w:eastAsia="Palatino Linotype" w:hAnsi="Palatino Linotype" w:cs="Palatino Linotype"/>
          <w:b/>
        </w:rPr>
        <w:t>SUJETO OBLIGADO.</w:t>
      </w:r>
    </w:p>
    <w:p w:rsidR="004318F0" w:rsidRPr="003B3CD8" w:rsidRDefault="006303D2">
      <w:pPr>
        <w:spacing w:before="240" w:after="240" w:line="360" w:lineRule="auto"/>
        <w:ind w:right="40"/>
        <w:jc w:val="both"/>
        <w:rPr>
          <w:rFonts w:ascii="Palatino Linotype" w:eastAsia="Palatino Linotype" w:hAnsi="Palatino Linotype" w:cs="Palatino Linotype"/>
        </w:rPr>
      </w:pPr>
      <w:r w:rsidRPr="003B3CD8">
        <w:rPr>
          <w:rFonts w:ascii="Palatino Linotype" w:eastAsia="Palatino Linotype" w:hAnsi="Palatino Linotype" w:cs="Palatino Linotype"/>
          <w:b/>
        </w:rPr>
        <w:t xml:space="preserve"> CUARTO. Notifíquese al RECURRENTE </w:t>
      </w:r>
      <w:r w:rsidRPr="003B3CD8">
        <w:rPr>
          <w:rFonts w:ascii="Palatino Linotype" w:eastAsia="Palatino Linotype" w:hAnsi="Palatino Linotype" w:cs="Palatino Linotype"/>
        </w:rPr>
        <w:t>la presente resolución vía SAIMEX.</w:t>
      </w:r>
    </w:p>
    <w:p w:rsidR="004318F0" w:rsidRPr="003B3CD8" w:rsidRDefault="006303D2">
      <w:pPr>
        <w:shd w:val="clear" w:color="auto" w:fill="FFFFFF"/>
        <w:spacing w:before="240" w:after="240" w:line="360" w:lineRule="auto"/>
        <w:jc w:val="both"/>
        <w:rPr>
          <w:rFonts w:ascii="Palatino Linotype" w:eastAsia="Palatino Linotype" w:hAnsi="Palatino Linotype" w:cs="Palatino Linotype"/>
        </w:rPr>
      </w:pPr>
      <w:r w:rsidRPr="003B3CD8">
        <w:rPr>
          <w:rFonts w:ascii="Palatino Linotype" w:eastAsia="Palatino Linotype" w:hAnsi="Palatino Linotype" w:cs="Palatino Linotype"/>
        </w:rPr>
        <w:t xml:space="preserve"> </w:t>
      </w:r>
      <w:r w:rsidRPr="003B3CD8">
        <w:rPr>
          <w:rFonts w:ascii="Palatino Linotype" w:eastAsia="Palatino Linotype" w:hAnsi="Palatino Linotype" w:cs="Palatino Linotype"/>
          <w:b/>
        </w:rPr>
        <w:t>QUINTO.</w:t>
      </w:r>
      <w:r w:rsidRPr="003B3CD8">
        <w:rPr>
          <w:rFonts w:ascii="Palatino Linotype" w:eastAsia="Palatino Linotype" w:hAnsi="Palatino Linotype" w:cs="Palatino Linotype"/>
        </w:rPr>
        <w:t xml:space="preserve"> Se hace del conocimiento del </w:t>
      </w:r>
      <w:r w:rsidRPr="003B3CD8">
        <w:rPr>
          <w:rFonts w:ascii="Palatino Linotype" w:eastAsia="Palatino Linotype" w:hAnsi="Palatino Linotype" w:cs="Palatino Linotype"/>
          <w:b/>
        </w:rPr>
        <w:t xml:space="preserve">RECURRENTE </w:t>
      </w:r>
      <w:r w:rsidRPr="003B3CD8">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E33B1A" w:rsidRPr="003B3CD8" w:rsidRDefault="00E33B1A" w:rsidP="00E33B1A">
      <w:pPr>
        <w:spacing w:before="240" w:after="240" w:line="360" w:lineRule="auto"/>
        <w:ind w:firstLine="1"/>
        <w:jc w:val="both"/>
        <w:rPr>
          <w:rFonts w:ascii="Palatino Linotype" w:hAnsi="Palatino Linotype"/>
        </w:rPr>
      </w:pPr>
      <w:bookmarkStart w:id="8" w:name="_heading=h.5dcfrh2kkmd" w:colFirst="0" w:colLast="0"/>
      <w:bookmarkStart w:id="9" w:name="_Hlk99014733"/>
      <w:bookmarkEnd w:id="8"/>
      <w:r w:rsidRPr="003B3CD8">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QUINTA SESIÓN ORDINARIA, CELEBRADA EL ONCE (11) DE FEBRERO DE DOS MIL VEINTISÉIS, ANTE EL SECRETARIO TÉCNICO DEL PLENO </w:t>
      </w:r>
      <w:r w:rsidRPr="003B3CD8">
        <w:rPr>
          <w:rFonts w:ascii="Palatino Linotype" w:hAnsi="Palatino Linotype" w:cs="Palatino Linotype"/>
          <w:color w:val="000000" w:themeColor="text1"/>
        </w:rPr>
        <w:t>ALEXIS TAPIA RAMÍREZ.</w:t>
      </w:r>
    </w:p>
    <w:bookmarkEnd w:id="9"/>
    <w:p w:rsidR="004318F0" w:rsidRPr="003B3CD8" w:rsidRDefault="004318F0">
      <w:pPr>
        <w:spacing w:line="360" w:lineRule="auto"/>
        <w:jc w:val="both"/>
        <w:rPr>
          <w:rFonts w:ascii="Palatino Linotype" w:eastAsia="Palatino Linotype" w:hAnsi="Palatino Linotype" w:cs="Palatino Linotype"/>
        </w:rPr>
      </w:pPr>
    </w:p>
    <w:p w:rsidR="004318F0" w:rsidRPr="003B3CD8" w:rsidRDefault="004318F0">
      <w:pPr>
        <w:spacing w:line="360" w:lineRule="auto"/>
        <w:jc w:val="both"/>
        <w:rPr>
          <w:rFonts w:ascii="Palatino Linotype" w:eastAsia="Palatino Linotype" w:hAnsi="Palatino Linotype" w:cs="Palatino Linotype"/>
        </w:rPr>
      </w:pPr>
    </w:p>
    <w:p w:rsidR="004318F0" w:rsidRPr="003B3CD8" w:rsidRDefault="004318F0">
      <w:pPr>
        <w:spacing w:line="360" w:lineRule="auto"/>
        <w:jc w:val="both"/>
        <w:rPr>
          <w:rFonts w:ascii="Palatino Linotype" w:eastAsia="Palatino Linotype" w:hAnsi="Palatino Linotype" w:cs="Palatino Linotype"/>
        </w:rPr>
      </w:pPr>
    </w:p>
    <w:p w:rsidR="004318F0" w:rsidRPr="003B3CD8" w:rsidRDefault="004318F0">
      <w:pPr>
        <w:spacing w:line="360" w:lineRule="auto"/>
        <w:jc w:val="both"/>
        <w:rPr>
          <w:rFonts w:ascii="Palatino Linotype" w:eastAsia="Palatino Linotype" w:hAnsi="Palatino Linotype" w:cs="Palatino Linotype"/>
        </w:rPr>
      </w:pPr>
    </w:p>
    <w:p w:rsidR="004318F0" w:rsidRPr="003B3CD8" w:rsidRDefault="004318F0">
      <w:pPr>
        <w:spacing w:line="360" w:lineRule="auto"/>
        <w:jc w:val="both"/>
        <w:rPr>
          <w:rFonts w:ascii="Palatino Linotype" w:eastAsia="Palatino Linotype" w:hAnsi="Palatino Linotype" w:cs="Palatino Linotype"/>
        </w:rPr>
      </w:pPr>
    </w:p>
    <w:p w:rsidR="004318F0" w:rsidRPr="003B3CD8" w:rsidRDefault="004318F0">
      <w:pPr>
        <w:spacing w:line="360" w:lineRule="auto"/>
        <w:jc w:val="both"/>
        <w:rPr>
          <w:rFonts w:ascii="Palatino Linotype" w:eastAsia="Palatino Linotype" w:hAnsi="Palatino Linotype" w:cs="Palatino Linotype"/>
        </w:rPr>
      </w:pPr>
    </w:p>
    <w:p w:rsidR="004318F0" w:rsidRPr="003B3CD8" w:rsidRDefault="004318F0">
      <w:pPr>
        <w:spacing w:line="360" w:lineRule="auto"/>
        <w:jc w:val="both"/>
        <w:rPr>
          <w:rFonts w:ascii="Palatino Linotype" w:eastAsia="Palatino Linotype" w:hAnsi="Palatino Linotype" w:cs="Palatino Linotype"/>
        </w:rPr>
      </w:pPr>
    </w:p>
    <w:p w:rsidR="004318F0" w:rsidRPr="003B3CD8" w:rsidRDefault="004318F0">
      <w:pPr>
        <w:spacing w:line="360" w:lineRule="auto"/>
        <w:jc w:val="both"/>
        <w:rPr>
          <w:rFonts w:ascii="Palatino Linotype" w:eastAsia="Palatino Linotype" w:hAnsi="Palatino Linotype" w:cs="Palatino Linotype"/>
        </w:rPr>
      </w:pPr>
    </w:p>
    <w:p w:rsidR="004318F0" w:rsidRPr="003B3CD8" w:rsidRDefault="004318F0">
      <w:pPr>
        <w:spacing w:line="360" w:lineRule="auto"/>
        <w:jc w:val="both"/>
        <w:rPr>
          <w:rFonts w:ascii="Palatino Linotype" w:eastAsia="Palatino Linotype" w:hAnsi="Palatino Linotype" w:cs="Palatino Linotype"/>
        </w:rPr>
      </w:pPr>
    </w:p>
    <w:p w:rsidR="004318F0" w:rsidRPr="003B3CD8" w:rsidRDefault="004318F0">
      <w:pPr>
        <w:spacing w:line="360" w:lineRule="auto"/>
        <w:jc w:val="both"/>
        <w:rPr>
          <w:rFonts w:ascii="Palatino Linotype" w:eastAsia="Palatino Linotype" w:hAnsi="Palatino Linotype" w:cs="Palatino Linotype"/>
        </w:rPr>
      </w:pPr>
    </w:p>
    <w:p w:rsidR="004318F0" w:rsidRDefault="004318F0">
      <w:pPr>
        <w:spacing w:line="360" w:lineRule="auto"/>
        <w:jc w:val="both"/>
        <w:rPr>
          <w:rFonts w:ascii="Palatino Linotype" w:eastAsia="Palatino Linotype" w:hAnsi="Palatino Linotype" w:cs="Palatino Linotype"/>
        </w:rPr>
      </w:pPr>
    </w:p>
    <w:p w:rsidR="00706B13" w:rsidRDefault="00706B13">
      <w:pPr>
        <w:spacing w:line="360" w:lineRule="auto"/>
        <w:jc w:val="both"/>
        <w:rPr>
          <w:rFonts w:ascii="Palatino Linotype" w:eastAsia="Palatino Linotype" w:hAnsi="Palatino Linotype" w:cs="Palatino Linotype"/>
        </w:rPr>
      </w:pPr>
    </w:p>
    <w:p w:rsidR="00706B13" w:rsidRDefault="00706B13">
      <w:pPr>
        <w:spacing w:line="360" w:lineRule="auto"/>
        <w:jc w:val="both"/>
        <w:rPr>
          <w:rFonts w:ascii="Palatino Linotype" w:eastAsia="Palatino Linotype" w:hAnsi="Palatino Linotype" w:cs="Palatino Linotype"/>
        </w:rPr>
      </w:pPr>
    </w:p>
    <w:p w:rsidR="00706B13" w:rsidRDefault="00706B13">
      <w:pPr>
        <w:spacing w:line="360" w:lineRule="auto"/>
        <w:jc w:val="both"/>
        <w:rPr>
          <w:rFonts w:ascii="Palatino Linotype" w:eastAsia="Palatino Linotype" w:hAnsi="Palatino Linotype" w:cs="Palatino Linotype"/>
        </w:rPr>
      </w:pPr>
    </w:p>
    <w:p w:rsidR="00706B13" w:rsidRDefault="00706B13">
      <w:pPr>
        <w:spacing w:line="360" w:lineRule="auto"/>
        <w:jc w:val="both"/>
        <w:rPr>
          <w:rFonts w:ascii="Palatino Linotype" w:eastAsia="Palatino Linotype" w:hAnsi="Palatino Linotype" w:cs="Palatino Linotype"/>
        </w:rPr>
      </w:pPr>
    </w:p>
    <w:p w:rsidR="00706B13" w:rsidRDefault="00706B13">
      <w:pPr>
        <w:spacing w:line="360" w:lineRule="auto"/>
        <w:jc w:val="both"/>
        <w:rPr>
          <w:rFonts w:ascii="Palatino Linotype" w:eastAsia="Palatino Linotype" w:hAnsi="Palatino Linotype" w:cs="Palatino Linotype"/>
        </w:rPr>
      </w:pPr>
    </w:p>
    <w:p w:rsidR="00706B13" w:rsidRDefault="00706B13">
      <w:pPr>
        <w:spacing w:line="360" w:lineRule="auto"/>
        <w:jc w:val="both"/>
        <w:rPr>
          <w:rFonts w:ascii="Palatino Linotype" w:eastAsia="Palatino Linotype" w:hAnsi="Palatino Linotype" w:cs="Palatino Linotype"/>
        </w:rPr>
      </w:pPr>
    </w:p>
    <w:p w:rsidR="00706B13" w:rsidRDefault="00706B13">
      <w:pPr>
        <w:spacing w:line="360" w:lineRule="auto"/>
        <w:jc w:val="both"/>
        <w:rPr>
          <w:rFonts w:ascii="Palatino Linotype" w:eastAsia="Palatino Linotype" w:hAnsi="Palatino Linotype" w:cs="Palatino Linotype"/>
        </w:rPr>
      </w:pPr>
    </w:p>
    <w:p w:rsidR="00706B13" w:rsidRDefault="00706B13">
      <w:pPr>
        <w:spacing w:line="360" w:lineRule="auto"/>
        <w:jc w:val="both"/>
        <w:rPr>
          <w:rFonts w:ascii="Palatino Linotype" w:eastAsia="Palatino Linotype" w:hAnsi="Palatino Linotype" w:cs="Palatino Linotype"/>
        </w:rPr>
      </w:pPr>
    </w:p>
    <w:p w:rsidR="00706B13" w:rsidRDefault="00706B13">
      <w:pPr>
        <w:spacing w:line="360" w:lineRule="auto"/>
        <w:jc w:val="both"/>
        <w:rPr>
          <w:rFonts w:ascii="Palatino Linotype" w:eastAsia="Palatino Linotype" w:hAnsi="Palatino Linotype" w:cs="Palatino Linotype"/>
        </w:rPr>
      </w:pPr>
    </w:p>
    <w:p w:rsidR="00706B13" w:rsidRDefault="00706B13">
      <w:pPr>
        <w:spacing w:line="360" w:lineRule="auto"/>
        <w:jc w:val="both"/>
        <w:rPr>
          <w:rFonts w:ascii="Palatino Linotype" w:eastAsia="Palatino Linotype" w:hAnsi="Palatino Linotype" w:cs="Palatino Linotype"/>
        </w:rPr>
      </w:pPr>
    </w:p>
    <w:p w:rsidR="00706B13" w:rsidRPr="003B3CD8" w:rsidRDefault="00706B13">
      <w:pPr>
        <w:spacing w:line="360" w:lineRule="auto"/>
        <w:jc w:val="both"/>
        <w:rPr>
          <w:rFonts w:ascii="Palatino Linotype" w:eastAsia="Palatino Linotype" w:hAnsi="Palatino Linotype" w:cs="Palatino Linotype"/>
        </w:rPr>
      </w:pPr>
    </w:p>
    <w:p w:rsidR="004318F0" w:rsidRPr="003B3CD8" w:rsidRDefault="004318F0">
      <w:pPr>
        <w:spacing w:line="360" w:lineRule="auto"/>
        <w:rPr>
          <w:rFonts w:ascii="Palatino Linotype" w:eastAsia="Palatino Linotype" w:hAnsi="Palatino Linotype" w:cs="Palatino Linotype"/>
        </w:rPr>
      </w:pPr>
    </w:p>
    <w:p w:rsidR="004318F0" w:rsidRPr="003B3CD8" w:rsidRDefault="004318F0">
      <w:pPr>
        <w:spacing w:line="360" w:lineRule="auto"/>
        <w:rPr>
          <w:rFonts w:ascii="Palatino Linotype" w:eastAsia="Palatino Linotype" w:hAnsi="Palatino Linotype" w:cs="Palatino Linotype"/>
        </w:rPr>
      </w:pPr>
    </w:p>
    <w:p w:rsidR="004318F0" w:rsidRPr="003B3CD8" w:rsidRDefault="004318F0">
      <w:pPr>
        <w:spacing w:line="360" w:lineRule="auto"/>
        <w:rPr>
          <w:rFonts w:ascii="Palatino Linotype" w:eastAsia="Palatino Linotype" w:hAnsi="Palatino Linotype" w:cs="Palatino Linotype"/>
        </w:rPr>
      </w:pPr>
    </w:p>
    <w:p w:rsidR="004318F0" w:rsidRPr="003B3CD8" w:rsidRDefault="004318F0">
      <w:pPr>
        <w:rPr>
          <w:rFonts w:ascii="Palatino Linotype" w:eastAsia="Palatino Linotype" w:hAnsi="Palatino Linotype" w:cs="Palatino Linotype"/>
        </w:rPr>
      </w:pPr>
    </w:p>
    <w:sectPr w:rsidR="004318F0" w:rsidRPr="003B3CD8" w:rsidSect="003B3CD8">
      <w:headerReference w:type="even" r:id="rId8"/>
      <w:headerReference w:type="default" r:id="rId9"/>
      <w:footerReference w:type="default" r:id="rId10"/>
      <w:headerReference w:type="first" r:id="rId11"/>
      <w:footerReference w:type="first" r:id="rId12"/>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76DF" w:rsidRDefault="00C476DF">
      <w:r>
        <w:separator/>
      </w:r>
    </w:p>
  </w:endnote>
  <w:endnote w:type="continuationSeparator" w:id="0">
    <w:p w:rsidR="00C476DF" w:rsidRDefault="00C47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70F" w:rsidRDefault="0096770F">
    <w:pPr>
      <w:pBdr>
        <w:top w:val="nil"/>
        <w:left w:val="nil"/>
        <w:bottom w:val="nil"/>
        <w:right w:val="nil"/>
        <w:between w:val="nil"/>
      </w:pBdr>
      <w:tabs>
        <w:tab w:val="center" w:pos="4419"/>
        <w:tab w:val="right" w:pos="8838"/>
      </w:tabs>
      <w:jc w:val="right"/>
      <w:rPr>
        <w:color w:val="000000"/>
      </w:rPr>
    </w:pPr>
    <w:r>
      <w:rPr>
        <w:color w:val="000000"/>
      </w:rPr>
      <w:t xml:space="preserve">Página </w:t>
    </w:r>
    <w:r>
      <w:rPr>
        <w:b/>
        <w:color w:val="000000"/>
      </w:rPr>
      <w:fldChar w:fldCharType="begin"/>
    </w:r>
    <w:r>
      <w:rPr>
        <w:b/>
        <w:color w:val="000000"/>
      </w:rPr>
      <w:instrText>PAGE</w:instrText>
    </w:r>
    <w:r>
      <w:rPr>
        <w:b/>
        <w:color w:val="000000"/>
      </w:rPr>
      <w:fldChar w:fldCharType="separate"/>
    </w:r>
    <w:r w:rsidR="008C3450">
      <w:rPr>
        <w:b/>
        <w:noProof/>
        <w:color w:val="000000"/>
      </w:rPr>
      <w:t>21</w:t>
    </w:r>
    <w:r>
      <w:rPr>
        <w:b/>
        <w:color w:val="000000"/>
      </w:rPr>
      <w:fldChar w:fldCharType="end"/>
    </w:r>
    <w:r>
      <w:rPr>
        <w:color w:val="000000"/>
      </w:rPr>
      <w:t xml:space="preserve"> de </w:t>
    </w:r>
    <w:r>
      <w:rPr>
        <w:b/>
        <w:color w:val="000000"/>
      </w:rPr>
      <w:fldChar w:fldCharType="begin"/>
    </w:r>
    <w:r>
      <w:rPr>
        <w:b/>
        <w:color w:val="000000"/>
      </w:rPr>
      <w:instrText>NUMPAGES</w:instrText>
    </w:r>
    <w:r>
      <w:rPr>
        <w:b/>
        <w:color w:val="000000"/>
      </w:rPr>
      <w:fldChar w:fldCharType="separate"/>
    </w:r>
    <w:r w:rsidR="008C3450">
      <w:rPr>
        <w:b/>
        <w:noProof/>
        <w:color w:val="000000"/>
      </w:rPr>
      <w:t>23</w:t>
    </w:r>
    <w:r>
      <w:rPr>
        <w:b/>
        <w:color w:val="000000"/>
      </w:rPr>
      <w:fldChar w:fldCharType="end"/>
    </w:r>
  </w:p>
  <w:p w:rsidR="0096770F" w:rsidRDefault="0096770F">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70F" w:rsidRPr="003B3CD8" w:rsidRDefault="0096770F">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3B3CD8">
      <w:rPr>
        <w:rFonts w:ascii="Palatino Linotype" w:hAnsi="Palatino Linotype"/>
        <w:color w:val="000000"/>
        <w:sz w:val="22"/>
      </w:rPr>
      <w:t xml:space="preserve">Página </w:t>
    </w:r>
    <w:r w:rsidRPr="003B3CD8">
      <w:rPr>
        <w:rFonts w:ascii="Palatino Linotype" w:hAnsi="Palatino Linotype"/>
        <w:b/>
        <w:color w:val="000000"/>
        <w:sz w:val="22"/>
      </w:rPr>
      <w:fldChar w:fldCharType="begin"/>
    </w:r>
    <w:r w:rsidRPr="003B3CD8">
      <w:rPr>
        <w:rFonts w:ascii="Palatino Linotype" w:hAnsi="Palatino Linotype"/>
        <w:b/>
        <w:color w:val="000000"/>
        <w:sz w:val="22"/>
      </w:rPr>
      <w:instrText>PAGE</w:instrText>
    </w:r>
    <w:r w:rsidRPr="003B3CD8">
      <w:rPr>
        <w:rFonts w:ascii="Palatino Linotype" w:hAnsi="Palatino Linotype"/>
        <w:b/>
        <w:color w:val="000000"/>
        <w:sz w:val="22"/>
      </w:rPr>
      <w:fldChar w:fldCharType="separate"/>
    </w:r>
    <w:r w:rsidR="008C3450">
      <w:rPr>
        <w:rFonts w:ascii="Palatino Linotype" w:hAnsi="Palatino Linotype"/>
        <w:b/>
        <w:noProof/>
        <w:color w:val="000000"/>
        <w:sz w:val="22"/>
      </w:rPr>
      <w:t>1</w:t>
    </w:r>
    <w:r w:rsidRPr="003B3CD8">
      <w:rPr>
        <w:rFonts w:ascii="Palatino Linotype" w:hAnsi="Palatino Linotype"/>
        <w:b/>
        <w:color w:val="000000"/>
        <w:sz w:val="22"/>
      </w:rPr>
      <w:fldChar w:fldCharType="end"/>
    </w:r>
    <w:r w:rsidRPr="003B3CD8">
      <w:rPr>
        <w:rFonts w:ascii="Palatino Linotype" w:hAnsi="Palatino Linotype"/>
        <w:color w:val="000000"/>
        <w:sz w:val="22"/>
      </w:rPr>
      <w:t xml:space="preserve"> de </w:t>
    </w:r>
    <w:r w:rsidRPr="003B3CD8">
      <w:rPr>
        <w:rFonts w:ascii="Palatino Linotype" w:hAnsi="Palatino Linotype"/>
        <w:b/>
        <w:color w:val="000000"/>
        <w:sz w:val="22"/>
      </w:rPr>
      <w:fldChar w:fldCharType="begin"/>
    </w:r>
    <w:r w:rsidRPr="003B3CD8">
      <w:rPr>
        <w:rFonts w:ascii="Palatino Linotype" w:hAnsi="Palatino Linotype"/>
        <w:b/>
        <w:color w:val="000000"/>
        <w:sz w:val="22"/>
      </w:rPr>
      <w:instrText>NUMPAGES</w:instrText>
    </w:r>
    <w:r w:rsidRPr="003B3CD8">
      <w:rPr>
        <w:rFonts w:ascii="Palatino Linotype" w:hAnsi="Palatino Linotype"/>
        <w:b/>
        <w:color w:val="000000"/>
        <w:sz w:val="22"/>
      </w:rPr>
      <w:fldChar w:fldCharType="separate"/>
    </w:r>
    <w:r w:rsidR="008C3450">
      <w:rPr>
        <w:rFonts w:ascii="Palatino Linotype" w:hAnsi="Palatino Linotype"/>
        <w:b/>
        <w:noProof/>
        <w:color w:val="000000"/>
        <w:sz w:val="22"/>
      </w:rPr>
      <w:t>23</w:t>
    </w:r>
    <w:r w:rsidRPr="003B3CD8">
      <w:rPr>
        <w:rFonts w:ascii="Palatino Linotype" w:hAnsi="Palatino Linotype"/>
        <w:b/>
        <w:color w:val="000000"/>
        <w:sz w:val="22"/>
      </w:rPr>
      <w:fldChar w:fldCharType="end"/>
    </w:r>
  </w:p>
  <w:p w:rsidR="0096770F" w:rsidRDefault="0096770F">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76DF" w:rsidRDefault="00C476DF">
      <w:r>
        <w:separator/>
      </w:r>
    </w:p>
  </w:footnote>
  <w:footnote w:type="continuationSeparator" w:id="0">
    <w:p w:rsidR="00C476DF" w:rsidRDefault="00C476DF">
      <w:r>
        <w:continuationSeparator/>
      </w:r>
    </w:p>
  </w:footnote>
  <w:footnote w:id="1">
    <w:p w:rsidR="00D3721E" w:rsidRDefault="00D3721E" w:rsidP="00D3721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50, Ley de Transparencia y Acceso a la Información Pública del Estado de México y Municipios.</w:t>
      </w:r>
    </w:p>
  </w:footnote>
  <w:footnote w:id="2">
    <w:p w:rsidR="00D3721E" w:rsidRDefault="00D3721E" w:rsidP="00D3721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51, Ídem.</w:t>
      </w:r>
    </w:p>
  </w:footnote>
  <w:footnote w:id="3">
    <w:p w:rsidR="00D3721E" w:rsidRDefault="00D3721E" w:rsidP="00D3721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58, Ley de Transparencia y Acceso a la Información Pública del Estado de México y Municipios.</w:t>
      </w:r>
    </w:p>
  </w:footnote>
  <w:footnote w:id="4">
    <w:p w:rsidR="00D3721E" w:rsidRDefault="00D3721E" w:rsidP="00D3721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59,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70F" w:rsidRDefault="00C476DF">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b"/>
      <w:tblW w:w="17436" w:type="dxa"/>
      <w:tblInd w:w="0" w:type="dxa"/>
      <w:tblLayout w:type="fixed"/>
      <w:tblLook w:val="0400" w:firstRow="0" w:lastRow="0" w:firstColumn="0" w:lastColumn="0" w:noHBand="0" w:noVBand="1"/>
    </w:tblPr>
    <w:tblGrid>
      <w:gridCol w:w="10490"/>
      <w:gridCol w:w="6946"/>
    </w:tblGrid>
    <w:tr w:rsidR="0096770F" w:rsidTr="003B3CD8">
      <w:trPr>
        <w:trHeight w:val="1435"/>
      </w:trPr>
      <w:tc>
        <w:tcPr>
          <w:tcW w:w="10490" w:type="dxa"/>
        </w:tcPr>
        <w:tbl>
          <w:tblPr>
            <w:tblStyle w:val="ac"/>
            <w:tblpPr w:leftFromText="141" w:rightFromText="141" w:vertAnchor="text" w:horzAnchor="page" w:tblpX="2948" w:tblpY="-253"/>
            <w:tblOverlap w:val="never"/>
            <w:tblW w:w="7513" w:type="dxa"/>
            <w:tblInd w:w="0" w:type="dxa"/>
            <w:tblLayout w:type="fixed"/>
            <w:tblLook w:val="0400" w:firstRow="0" w:lastRow="0" w:firstColumn="0" w:lastColumn="0" w:noHBand="0" w:noVBand="1"/>
          </w:tblPr>
          <w:tblGrid>
            <w:gridCol w:w="2720"/>
            <w:gridCol w:w="4793"/>
          </w:tblGrid>
          <w:tr w:rsidR="003B3CD8" w:rsidTr="003B3CD8">
            <w:trPr>
              <w:trHeight w:val="106"/>
            </w:trPr>
            <w:tc>
              <w:tcPr>
                <w:tcW w:w="2720" w:type="dxa"/>
                <w:tcBorders>
                  <w:top w:val="nil"/>
                  <w:left w:val="nil"/>
                  <w:bottom w:val="nil"/>
                  <w:right w:val="nil"/>
                </w:tcBorders>
              </w:tcPr>
              <w:p w:rsidR="003B3CD8" w:rsidRPr="003B3CD8" w:rsidRDefault="003B3CD8" w:rsidP="003B3CD8">
                <w:pPr>
                  <w:tabs>
                    <w:tab w:val="right" w:pos="8838"/>
                  </w:tabs>
                  <w:ind w:left="-88" w:right="-105"/>
                  <w:rPr>
                    <w:rFonts w:ascii="Palatino Linotype" w:eastAsia="Palatino Linotype" w:hAnsi="Palatino Linotype" w:cs="Palatino Linotype"/>
                    <w:b/>
                  </w:rPr>
                </w:pPr>
                <w:r w:rsidRPr="003B3CD8">
                  <w:rPr>
                    <w:rFonts w:ascii="Palatino Linotype" w:eastAsia="Palatino Linotype" w:hAnsi="Palatino Linotype" w:cs="Palatino Linotype"/>
                    <w:b/>
                  </w:rPr>
                  <w:t>Recurso de Revisión:</w:t>
                </w:r>
              </w:p>
            </w:tc>
            <w:tc>
              <w:tcPr>
                <w:tcW w:w="4793" w:type="dxa"/>
                <w:tcBorders>
                  <w:top w:val="nil"/>
                  <w:left w:val="nil"/>
                  <w:bottom w:val="nil"/>
                  <w:right w:val="nil"/>
                </w:tcBorders>
              </w:tcPr>
              <w:p w:rsidR="003B3CD8" w:rsidRPr="003B3CD8" w:rsidRDefault="003B3CD8" w:rsidP="003B3CD8">
                <w:pPr>
                  <w:tabs>
                    <w:tab w:val="right" w:pos="8838"/>
                  </w:tabs>
                  <w:ind w:left="-74" w:right="-1416"/>
                  <w:rPr>
                    <w:rFonts w:ascii="Palatino Linotype" w:eastAsia="Palatino Linotype" w:hAnsi="Palatino Linotype" w:cs="Palatino Linotype"/>
                  </w:rPr>
                </w:pPr>
                <w:r w:rsidRPr="003B3CD8">
                  <w:rPr>
                    <w:rFonts w:ascii="Palatino Linotype" w:eastAsia="Palatino Linotype" w:hAnsi="Palatino Linotype" w:cs="Palatino Linotype"/>
                  </w:rPr>
                  <w:t xml:space="preserve">13358/INFOEM/IP/RR/2025 </w:t>
                </w:r>
              </w:p>
            </w:tc>
          </w:tr>
          <w:tr w:rsidR="003B3CD8" w:rsidTr="003B3CD8">
            <w:trPr>
              <w:trHeight w:val="209"/>
            </w:trPr>
            <w:tc>
              <w:tcPr>
                <w:tcW w:w="2720" w:type="dxa"/>
                <w:tcBorders>
                  <w:top w:val="nil"/>
                  <w:left w:val="nil"/>
                  <w:bottom w:val="nil"/>
                  <w:right w:val="nil"/>
                </w:tcBorders>
              </w:tcPr>
              <w:p w:rsidR="003B3CD8" w:rsidRPr="003B3CD8" w:rsidRDefault="003B3CD8" w:rsidP="003B3CD8">
                <w:pPr>
                  <w:tabs>
                    <w:tab w:val="right" w:pos="8838"/>
                  </w:tabs>
                  <w:ind w:left="-88" w:right="-105"/>
                  <w:rPr>
                    <w:rFonts w:ascii="Palatino Linotype" w:eastAsia="Palatino Linotype" w:hAnsi="Palatino Linotype" w:cs="Palatino Linotype"/>
                    <w:b/>
                  </w:rPr>
                </w:pPr>
                <w:r w:rsidRPr="003B3CD8">
                  <w:rPr>
                    <w:rFonts w:ascii="Palatino Linotype" w:eastAsia="Palatino Linotype" w:hAnsi="Palatino Linotype" w:cs="Palatino Linotype"/>
                    <w:b/>
                  </w:rPr>
                  <w:t>Sujeto Obligado:</w:t>
                </w:r>
              </w:p>
            </w:tc>
            <w:tc>
              <w:tcPr>
                <w:tcW w:w="4793" w:type="dxa"/>
                <w:tcBorders>
                  <w:top w:val="nil"/>
                  <w:left w:val="nil"/>
                  <w:bottom w:val="nil"/>
                  <w:right w:val="nil"/>
                </w:tcBorders>
              </w:tcPr>
              <w:p w:rsidR="003B3CD8" w:rsidRPr="003B3CD8" w:rsidRDefault="003B3CD8" w:rsidP="003B3CD8">
                <w:pPr>
                  <w:tabs>
                    <w:tab w:val="left" w:pos="2834"/>
                    <w:tab w:val="right" w:pos="8838"/>
                  </w:tabs>
                  <w:ind w:left="-74" w:right="-1416"/>
                  <w:rPr>
                    <w:rFonts w:ascii="Palatino Linotype" w:eastAsia="Palatino Linotype" w:hAnsi="Palatino Linotype" w:cs="Palatino Linotype"/>
                  </w:rPr>
                </w:pPr>
                <w:r w:rsidRPr="003B3CD8">
                  <w:rPr>
                    <w:rFonts w:ascii="Palatino Linotype" w:eastAsia="Palatino Linotype" w:hAnsi="Palatino Linotype" w:cs="Palatino Linotype"/>
                  </w:rPr>
                  <w:t>Ayuntamiento de Coacalco de Berriozábal</w:t>
                </w:r>
              </w:p>
            </w:tc>
          </w:tr>
          <w:tr w:rsidR="003B3CD8" w:rsidTr="003B3CD8">
            <w:trPr>
              <w:trHeight w:val="209"/>
            </w:trPr>
            <w:tc>
              <w:tcPr>
                <w:tcW w:w="2720" w:type="dxa"/>
                <w:tcBorders>
                  <w:top w:val="nil"/>
                  <w:left w:val="nil"/>
                  <w:bottom w:val="nil"/>
                  <w:right w:val="nil"/>
                </w:tcBorders>
              </w:tcPr>
              <w:p w:rsidR="003B3CD8" w:rsidRPr="003B3CD8" w:rsidRDefault="003B3CD8" w:rsidP="003B3CD8">
                <w:pPr>
                  <w:tabs>
                    <w:tab w:val="right" w:pos="8838"/>
                  </w:tabs>
                  <w:ind w:left="-88" w:right="-105"/>
                  <w:rPr>
                    <w:rFonts w:ascii="Palatino Linotype" w:eastAsia="Palatino Linotype" w:hAnsi="Palatino Linotype" w:cs="Palatino Linotype"/>
                    <w:b/>
                  </w:rPr>
                </w:pPr>
                <w:r w:rsidRPr="003B3CD8">
                  <w:rPr>
                    <w:rFonts w:ascii="Palatino Linotype" w:eastAsia="Palatino Linotype" w:hAnsi="Palatino Linotype" w:cs="Palatino Linotype"/>
                    <w:b/>
                  </w:rPr>
                  <w:t>Comisionada ponente:</w:t>
                </w:r>
              </w:p>
            </w:tc>
            <w:tc>
              <w:tcPr>
                <w:tcW w:w="4793" w:type="dxa"/>
                <w:tcBorders>
                  <w:top w:val="nil"/>
                  <w:left w:val="nil"/>
                  <w:bottom w:val="nil"/>
                  <w:right w:val="nil"/>
                </w:tcBorders>
              </w:tcPr>
              <w:p w:rsidR="003B3CD8" w:rsidRPr="003B3CD8" w:rsidRDefault="003B3CD8" w:rsidP="003B3CD8">
                <w:pPr>
                  <w:tabs>
                    <w:tab w:val="right" w:pos="8838"/>
                  </w:tabs>
                  <w:ind w:left="-74" w:right="-1416"/>
                  <w:rPr>
                    <w:rFonts w:ascii="Palatino Linotype" w:eastAsia="Palatino Linotype" w:hAnsi="Palatino Linotype" w:cs="Palatino Linotype"/>
                  </w:rPr>
                </w:pPr>
                <w:r w:rsidRPr="003B3CD8">
                  <w:rPr>
                    <w:rFonts w:ascii="Palatino Linotype" w:eastAsia="Palatino Linotype" w:hAnsi="Palatino Linotype" w:cs="Palatino Linotype"/>
                  </w:rPr>
                  <w:t>María del Rosario Mejía Ayala</w:t>
                </w:r>
              </w:p>
              <w:p w:rsidR="003B3CD8" w:rsidRPr="003B3CD8" w:rsidRDefault="003B3CD8" w:rsidP="003B3CD8">
                <w:pPr>
                  <w:tabs>
                    <w:tab w:val="right" w:pos="8838"/>
                  </w:tabs>
                  <w:ind w:left="-74" w:right="-1416"/>
                  <w:rPr>
                    <w:rFonts w:ascii="Palatino Linotype" w:eastAsia="Palatino Linotype" w:hAnsi="Palatino Linotype" w:cs="Palatino Linotype"/>
                    <w:b/>
                  </w:rPr>
                </w:pPr>
              </w:p>
            </w:tc>
          </w:tr>
        </w:tbl>
        <w:p w:rsidR="0096770F" w:rsidRDefault="0096770F">
          <w:pPr>
            <w:tabs>
              <w:tab w:val="right" w:pos="4273"/>
            </w:tabs>
            <w:rPr>
              <w:rFonts w:ascii="Garamond" w:eastAsia="Garamond" w:hAnsi="Garamond" w:cs="Garamond"/>
              <w:sz w:val="16"/>
              <w:szCs w:val="16"/>
            </w:rPr>
          </w:pPr>
        </w:p>
      </w:tc>
      <w:tc>
        <w:tcPr>
          <w:tcW w:w="6946" w:type="dxa"/>
        </w:tcPr>
        <w:p w:rsidR="0096770F" w:rsidRDefault="0096770F"/>
        <w:p w:rsidR="0096770F" w:rsidRDefault="0096770F">
          <w:pPr>
            <w:tabs>
              <w:tab w:val="right" w:pos="8838"/>
            </w:tabs>
            <w:ind w:left="-28"/>
            <w:jc w:val="both"/>
            <w:rPr>
              <w:rFonts w:ascii="Arial" w:eastAsia="Arial" w:hAnsi="Arial" w:cs="Arial"/>
              <w:b/>
            </w:rPr>
          </w:pPr>
        </w:p>
      </w:tc>
    </w:tr>
  </w:tbl>
  <w:p w:rsidR="0096770F" w:rsidRDefault="00C476DF" w:rsidP="003B3CD8">
    <w:pPr>
      <w:pBdr>
        <w:top w:val="nil"/>
        <w:left w:val="nil"/>
        <w:bottom w:val="nil"/>
        <w:right w:val="nil"/>
        <w:between w:val="nil"/>
      </w:pBdr>
      <w:rPr>
        <w:color w:val="000000"/>
        <w:sz w:val="14"/>
        <w:szCs w:val="14"/>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d"/>
      <w:tblW w:w="10632" w:type="dxa"/>
      <w:tblInd w:w="0" w:type="dxa"/>
      <w:tblLayout w:type="fixed"/>
      <w:tblLook w:val="0400" w:firstRow="0" w:lastRow="0" w:firstColumn="0" w:lastColumn="0" w:noHBand="0" w:noVBand="1"/>
    </w:tblPr>
    <w:tblGrid>
      <w:gridCol w:w="2268"/>
      <w:gridCol w:w="8364"/>
    </w:tblGrid>
    <w:tr w:rsidR="0096770F" w:rsidTr="003B3CD8">
      <w:trPr>
        <w:trHeight w:val="1435"/>
      </w:trPr>
      <w:tc>
        <w:tcPr>
          <w:tcW w:w="2268" w:type="dxa"/>
        </w:tcPr>
        <w:p w:rsidR="0096770F" w:rsidRDefault="0096770F">
          <w:pPr>
            <w:tabs>
              <w:tab w:val="right" w:pos="4273"/>
            </w:tabs>
            <w:rPr>
              <w:rFonts w:ascii="Garamond" w:eastAsia="Garamond" w:hAnsi="Garamond" w:cs="Garamond"/>
            </w:rPr>
          </w:pPr>
        </w:p>
      </w:tc>
      <w:tc>
        <w:tcPr>
          <w:tcW w:w="8364" w:type="dxa"/>
        </w:tcPr>
        <w:tbl>
          <w:tblPr>
            <w:tblStyle w:val="ae"/>
            <w:tblW w:w="7332" w:type="dxa"/>
            <w:tblInd w:w="452" w:type="dxa"/>
            <w:tblLayout w:type="fixed"/>
            <w:tblLook w:val="0400" w:firstRow="0" w:lastRow="0" w:firstColumn="0" w:lastColumn="0" w:noHBand="0" w:noVBand="1"/>
          </w:tblPr>
          <w:tblGrid>
            <w:gridCol w:w="2546"/>
            <w:gridCol w:w="4786"/>
          </w:tblGrid>
          <w:tr w:rsidR="0096770F" w:rsidTr="003B3CD8">
            <w:trPr>
              <w:trHeight w:val="144"/>
            </w:trPr>
            <w:tc>
              <w:tcPr>
                <w:tcW w:w="2546" w:type="dxa"/>
                <w:tcBorders>
                  <w:top w:val="nil"/>
                  <w:left w:val="nil"/>
                  <w:bottom w:val="nil"/>
                  <w:right w:val="nil"/>
                </w:tcBorders>
              </w:tcPr>
              <w:p w:rsidR="0096770F" w:rsidRPr="003B3CD8" w:rsidRDefault="0096770F">
                <w:pPr>
                  <w:tabs>
                    <w:tab w:val="right" w:pos="7217"/>
                  </w:tabs>
                  <w:ind w:left="-264" w:right="-105" w:firstLine="195"/>
                  <w:rPr>
                    <w:rFonts w:ascii="Palatino Linotype" w:eastAsia="Palatino Linotype" w:hAnsi="Palatino Linotype" w:cs="Palatino Linotype"/>
                    <w:b/>
                    <w:szCs w:val="20"/>
                  </w:rPr>
                </w:pPr>
                <w:r w:rsidRPr="003B3CD8">
                  <w:rPr>
                    <w:rFonts w:ascii="Palatino Linotype" w:eastAsia="Palatino Linotype" w:hAnsi="Palatino Linotype" w:cs="Palatino Linotype"/>
                    <w:b/>
                    <w:szCs w:val="20"/>
                  </w:rPr>
                  <w:t>Recurso de Revisión:</w:t>
                </w:r>
              </w:p>
            </w:tc>
            <w:tc>
              <w:tcPr>
                <w:tcW w:w="4786" w:type="dxa"/>
                <w:tcBorders>
                  <w:top w:val="nil"/>
                  <w:left w:val="nil"/>
                  <w:bottom w:val="nil"/>
                  <w:right w:val="nil"/>
                </w:tcBorders>
              </w:tcPr>
              <w:p w:rsidR="0096770F" w:rsidRPr="003B3CD8" w:rsidRDefault="0096770F" w:rsidP="003B3CD8">
                <w:pPr>
                  <w:ind w:right="-1663"/>
                  <w:rPr>
                    <w:rFonts w:ascii="Palatino Linotype" w:eastAsia="Palatino Linotype" w:hAnsi="Palatino Linotype" w:cs="Palatino Linotype"/>
                    <w:szCs w:val="20"/>
                  </w:rPr>
                </w:pPr>
                <w:r w:rsidRPr="003B3CD8">
                  <w:rPr>
                    <w:rFonts w:ascii="Palatino Linotype" w:eastAsia="Palatino Linotype" w:hAnsi="Palatino Linotype" w:cs="Palatino Linotype"/>
                    <w:szCs w:val="20"/>
                  </w:rPr>
                  <w:t xml:space="preserve">13358/INFOEM/IP/RR/2025 </w:t>
                </w:r>
              </w:p>
            </w:tc>
          </w:tr>
          <w:tr w:rsidR="0096770F" w:rsidTr="003B3CD8">
            <w:trPr>
              <w:trHeight w:val="144"/>
            </w:trPr>
            <w:tc>
              <w:tcPr>
                <w:tcW w:w="2546" w:type="dxa"/>
                <w:tcBorders>
                  <w:top w:val="nil"/>
                  <w:left w:val="nil"/>
                  <w:bottom w:val="nil"/>
                  <w:right w:val="nil"/>
                </w:tcBorders>
              </w:tcPr>
              <w:p w:rsidR="0096770F" w:rsidRPr="003B3CD8" w:rsidRDefault="0096770F">
                <w:pPr>
                  <w:tabs>
                    <w:tab w:val="right" w:pos="7217"/>
                  </w:tabs>
                  <w:ind w:left="-74" w:right="-105"/>
                  <w:rPr>
                    <w:rFonts w:ascii="Palatino Linotype" w:eastAsia="Palatino Linotype" w:hAnsi="Palatino Linotype" w:cs="Palatino Linotype"/>
                    <w:b/>
                    <w:szCs w:val="20"/>
                  </w:rPr>
                </w:pPr>
                <w:r w:rsidRPr="003B3CD8">
                  <w:rPr>
                    <w:rFonts w:ascii="Palatino Linotype" w:eastAsia="Palatino Linotype" w:hAnsi="Palatino Linotype" w:cs="Palatino Linotype"/>
                    <w:b/>
                    <w:szCs w:val="20"/>
                  </w:rPr>
                  <w:t>Recurrente:</w:t>
                </w:r>
              </w:p>
            </w:tc>
            <w:tc>
              <w:tcPr>
                <w:tcW w:w="4786" w:type="dxa"/>
                <w:tcBorders>
                  <w:top w:val="nil"/>
                  <w:left w:val="nil"/>
                  <w:bottom w:val="nil"/>
                  <w:right w:val="nil"/>
                </w:tcBorders>
              </w:tcPr>
              <w:p w:rsidR="0096770F" w:rsidRPr="003B3CD8" w:rsidRDefault="008C3450" w:rsidP="003B3CD8">
                <w:pPr>
                  <w:tabs>
                    <w:tab w:val="left" w:pos="3122"/>
                  </w:tabs>
                  <w:ind w:right="-1663"/>
                  <w:rPr>
                    <w:rFonts w:ascii="Palatino Linotype" w:eastAsia="Palatino Linotype" w:hAnsi="Palatino Linotype" w:cs="Palatino Linotype"/>
                    <w:szCs w:val="20"/>
                  </w:rPr>
                </w:pPr>
                <w:r>
                  <w:rPr>
                    <w:rFonts w:ascii="Palatino Linotype" w:eastAsia="Palatino Linotype" w:hAnsi="Palatino Linotype" w:cs="Palatino Linotype"/>
                    <w:szCs w:val="20"/>
                  </w:rPr>
                  <w:t>XXXX</w:t>
                </w:r>
              </w:p>
            </w:tc>
          </w:tr>
          <w:tr w:rsidR="0096770F" w:rsidTr="003B3CD8">
            <w:trPr>
              <w:trHeight w:val="283"/>
            </w:trPr>
            <w:tc>
              <w:tcPr>
                <w:tcW w:w="2546" w:type="dxa"/>
                <w:tcBorders>
                  <w:top w:val="nil"/>
                  <w:left w:val="nil"/>
                  <w:bottom w:val="nil"/>
                  <w:right w:val="nil"/>
                </w:tcBorders>
              </w:tcPr>
              <w:p w:rsidR="0096770F" w:rsidRPr="003B3CD8" w:rsidRDefault="0096770F">
                <w:pPr>
                  <w:tabs>
                    <w:tab w:val="right" w:pos="7217"/>
                  </w:tabs>
                  <w:ind w:left="-74" w:right="-105"/>
                  <w:rPr>
                    <w:rFonts w:ascii="Palatino Linotype" w:eastAsia="Palatino Linotype" w:hAnsi="Palatino Linotype" w:cs="Palatino Linotype"/>
                    <w:b/>
                    <w:szCs w:val="20"/>
                  </w:rPr>
                </w:pPr>
                <w:r w:rsidRPr="003B3CD8">
                  <w:rPr>
                    <w:rFonts w:ascii="Palatino Linotype" w:eastAsia="Palatino Linotype" w:hAnsi="Palatino Linotype" w:cs="Palatino Linotype"/>
                    <w:b/>
                    <w:szCs w:val="20"/>
                  </w:rPr>
                  <w:t>Sujeto Obligado:</w:t>
                </w:r>
              </w:p>
            </w:tc>
            <w:tc>
              <w:tcPr>
                <w:tcW w:w="4786" w:type="dxa"/>
                <w:tcBorders>
                  <w:top w:val="nil"/>
                  <w:left w:val="nil"/>
                  <w:bottom w:val="nil"/>
                  <w:right w:val="nil"/>
                </w:tcBorders>
              </w:tcPr>
              <w:p w:rsidR="0096770F" w:rsidRPr="003B3CD8" w:rsidRDefault="0096770F" w:rsidP="003B3CD8">
                <w:pPr>
                  <w:ind w:right="-1663"/>
                  <w:rPr>
                    <w:rFonts w:ascii="Palatino Linotype" w:eastAsia="Palatino Linotype" w:hAnsi="Palatino Linotype" w:cs="Palatino Linotype"/>
                    <w:szCs w:val="20"/>
                  </w:rPr>
                </w:pPr>
                <w:r w:rsidRPr="003B3CD8">
                  <w:rPr>
                    <w:rFonts w:ascii="Palatino Linotype" w:eastAsia="Palatino Linotype" w:hAnsi="Palatino Linotype" w:cs="Palatino Linotype"/>
                    <w:szCs w:val="20"/>
                  </w:rPr>
                  <w:t>Ayuntamiento de Coacalco de Berriozábal</w:t>
                </w:r>
              </w:p>
            </w:tc>
          </w:tr>
          <w:tr w:rsidR="0096770F" w:rsidTr="003B3CD8">
            <w:trPr>
              <w:trHeight w:val="283"/>
            </w:trPr>
            <w:tc>
              <w:tcPr>
                <w:tcW w:w="2546" w:type="dxa"/>
                <w:tcBorders>
                  <w:top w:val="nil"/>
                  <w:left w:val="nil"/>
                  <w:bottom w:val="nil"/>
                  <w:right w:val="nil"/>
                </w:tcBorders>
              </w:tcPr>
              <w:p w:rsidR="0096770F" w:rsidRPr="003B3CD8" w:rsidRDefault="0096770F">
                <w:pPr>
                  <w:tabs>
                    <w:tab w:val="right" w:pos="7217"/>
                  </w:tabs>
                  <w:ind w:left="-74" w:right="-105"/>
                  <w:rPr>
                    <w:rFonts w:ascii="Palatino Linotype" w:eastAsia="Palatino Linotype" w:hAnsi="Palatino Linotype" w:cs="Palatino Linotype"/>
                    <w:b/>
                    <w:szCs w:val="20"/>
                  </w:rPr>
                </w:pPr>
                <w:r w:rsidRPr="003B3CD8">
                  <w:rPr>
                    <w:rFonts w:ascii="Palatino Linotype" w:eastAsia="Palatino Linotype" w:hAnsi="Palatino Linotype" w:cs="Palatino Linotype"/>
                    <w:b/>
                    <w:szCs w:val="20"/>
                  </w:rPr>
                  <w:t>Comisionada ponente:</w:t>
                </w:r>
              </w:p>
            </w:tc>
            <w:tc>
              <w:tcPr>
                <w:tcW w:w="4786" w:type="dxa"/>
                <w:tcBorders>
                  <w:top w:val="nil"/>
                  <w:left w:val="nil"/>
                  <w:bottom w:val="nil"/>
                  <w:right w:val="nil"/>
                </w:tcBorders>
              </w:tcPr>
              <w:p w:rsidR="0096770F" w:rsidRPr="003B3CD8" w:rsidRDefault="0096770F" w:rsidP="003B3CD8">
                <w:pPr>
                  <w:ind w:right="-1663"/>
                  <w:rPr>
                    <w:rFonts w:ascii="Palatino Linotype" w:eastAsia="Palatino Linotype" w:hAnsi="Palatino Linotype" w:cs="Palatino Linotype"/>
                    <w:szCs w:val="20"/>
                  </w:rPr>
                </w:pPr>
                <w:r w:rsidRPr="003B3CD8">
                  <w:rPr>
                    <w:rFonts w:ascii="Palatino Linotype" w:eastAsia="Palatino Linotype" w:hAnsi="Palatino Linotype" w:cs="Palatino Linotype"/>
                    <w:szCs w:val="20"/>
                  </w:rPr>
                  <w:t>María del Rosario Mejía Ayala</w:t>
                </w:r>
              </w:p>
              <w:p w:rsidR="0096770F" w:rsidRPr="003B3CD8" w:rsidRDefault="0096770F" w:rsidP="003B3CD8">
                <w:pPr>
                  <w:ind w:right="-1663"/>
                  <w:rPr>
                    <w:rFonts w:ascii="Palatino Linotype" w:eastAsia="Palatino Linotype" w:hAnsi="Palatino Linotype" w:cs="Palatino Linotype"/>
                    <w:b/>
                    <w:szCs w:val="20"/>
                  </w:rPr>
                </w:pPr>
              </w:p>
            </w:tc>
          </w:tr>
        </w:tbl>
        <w:p w:rsidR="0096770F" w:rsidRDefault="0096770F">
          <w:pPr>
            <w:tabs>
              <w:tab w:val="right" w:pos="8838"/>
            </w:tabs>
            <w:ind w:left="-28"/>
            <w:jc w:val="both"/>
            <w:rPr>
              <w:rFonts w:ascii="Arial" w:eastAsia="Arial" w:hAnsi="Arial" w:cs="Arial"/>
              <w:b/>
            </w:rPr>
          </w:pPr>
        </w:p>
      </w:tc>
    </w:tr>
  </w:tbl>
  <w:p w:rsidR="0096770F" w:rsidRDefault="00C476DF">
    <w:pPr>
      <w:pBdr>
        <w:top w:val="nil"/>
        <w:left w:val="nil"/>
        <w:bottom w:val="nil"/>
        <w:right w:val="nil"/>
        <w:between w:val="nil"/>
      </w:pBdr>
      <w:tabs>
        <w:tab w:val="center" w:pos="4419"/>
        <w:tab w:val="right" w:pos="8838"/>
      </w:tabs>
      <w:rPr>
        <w:color w:val="000000"/>
        <w:sz w:val="2"/>
        <w:szCs w:val="2"/>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81A6C"/>
    <w:multiLevelType w:val="hybridMultilevel"/>
    <w:tmpl w:val="A0845602"/>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 w15:restartNumberingAfterBreak="0">
    <w:nsid w:val="07E62C6C"/>
    <w:multiLevelType w:val="multilevel"/>
    <w:tmpl w:val="C9740070"/>
    <w:lvl w:ilvl="0">
      <w:start w:val="1"/>
      <w:numFmt w:val="decimal"/>
      <w:lvlText w:val="%1."/>
      <w:lvlJc w:val="left"/>
      <w:pPr>
        <w:ind w:left="2345"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68060B"/>
    <w:multiLevelType w:val="multilevel"/>
    <w:tmpl w:val="1846A92A"/>
    <w:lvl w:ilvl="0">
      <w:start w:val="1"/>
      <w:numFmt w:val="decimal"/>
      <w:lvlText w:val="%1."/>
      <w:lvlJc w:val="left"/>
      <w:pPr>
        <w:ind w:left="7731" w:hanging="359"/>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F325D1E"/>
    <w:multiLevelType w:val="multilevel"/>
    <w:tmpl w:val="3F005E64"/>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18F73FC"/>
    <w:multiLevelType w:val="multilevel"/>
    <w:tmpl w:val="CD38828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A772F6F"/>
    <w:multiLevelType w:val="multilevel"/>
    <w:tmpl w:val="F63847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D3E2E88"/>
    <w:multiLevelType w:val="multilevel"/>
    <w:tmpl w:val="9B2082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9E9274A"/>
    <w:multiLevelType w:val="multilevel"/>
    <w:tmpl w:val="F4449BAA"/>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C3A1918"/>
    <w:multiLevelType w:val="hybridMultilevel"/>
    <w:tmpl w:val="292E1B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4AA09ED"/>
    <w:multiLevelType w:val="multilevel"/>
    <w:tmpl w:val="E14EEB50"/>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0" w15:restartNumberingAfterBreak="0">
    <w:nsid w:val="64B70195"/>
    <w:multiLevelType w:val="multilevel"/>
    <w:tmpl w:val="DED642C4"/>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1" w15:restartNumberingAfterBreak="0">
    <w:nsid w:val="6E406718"/>
    <w:multiLevelType w:val="multilevel"/>
    <w:tmpl w:val="8D020E60"/>
    <w:lvl w:ilvl="0">
      <w:start w:val="1"/>
      <w:numFmt w:val="decimal"/>
      <w:lvlText w:val="%1."/>
      <w:lvlJc w:val="left"/>
      <w:pPr>
        <w:ind w:left="2629" w:hanging="360"/>
      </w:pPr>
      <w:rPr>
        <w:rFonts w:ascii="Arial" w:eastAsia="Arial" w:hAnsi="Arial" w:cs="Arial"/>
        <w:b/>
        <w:i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1AD46FF"/>
    <w:multiLevelType w:val="hybridMultilevel"/>
    <w:tmpl w:val="E918F7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C35458D"/>
    <w:multiLevelType w:val="multilevel"/>
    <w:tmpl w:val="00FC44CE"/>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num w:numId="1">
    <w:abstractNumId w:val="7"/>
  </w:num>
  <w:num w:numId="2">
    <w:abstractNumId w:val="5"/>
  </w:num>
  <w:num w:numId="3">
    <w:abstractNumId w:val="6"/>
  </w:num>
  <w:num w:numId="4">
    <w:abstractNumId w:val="2"/>
  </w:num>
  <w:num w:numId="5">
    <w:abstractNumId w:val="9"/>
  </w:num>
  <w:num w:numId="6">
    <w:abstractNumId w:val="13"/>
  </w:num>
  <w:num w:numId="7">
    <w:abstractNumId w:val="12"/>
  </w:num>
  <w:num w:numId="8">
    <w:abstractNumId w:val="8"/>
  </w:num>
  <w:num w:numId="9">
    <w:abstractNumId w:val="11"/>
  </w:num>
  <w:num w:numId="10">
    <w:abstractNumId w:val="4"/>
  </w:num>
  <w:num w:numId="11">
    <w:abstractNumId w:val="3"/>
  </w:num>
  <w:num w:numId="12">
    <w:abstractNumId w:val="10"/>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8F0"/>
    <w:rsid w:val="000307D6"/>
    <w:rsid w:val="000D0382"/>
    <w:rsid w:val="00123599"/>
    <w:rsid w:val="001721F5"/>
    <w:rsid w:val="001A0BFB"/>
    <w:rsid w:val="00205390"/>
    <w:rsid w:val="00221442"/>
    <w:rsid w:val="002F75B5"/>
    <w:rsid w:val="003B3CD8"/>
    <w:rsid w:val="004318F0"/>
    <w:rsid w:val="004A5416"/>
    <w:rsid w:val="004C0DB0"/>
    <w:rsid w:val="00545064"/>
    <w:rsid w:val="005E2C3C"/>
    <w:rsid w:val="0061293A"/>
    <w:rsid w:val="006303D2"/>
    <w:rsid w:val="00706B13"/>
    <w:rsid w:val="00721339"/>
    <w:rsid w:val="0076061A"/>
    <w:rsid w:val="00763D55"/>
    <w:rsid w:val="007851F7"/>
    <w:rsid w:val="007A4137"/>
    <w:rsid w:val="00855D92"/>
    <w:rsid w:val="00881370"/>
    <w:rsid w:val="0088420A"/>
    <w:rsid w:val="008C3450"/>
    <w:rsid w:val="0096770F"/>
    <w:rsid w:val="00990E81"/>
    <w:rsid w:val="009E5BE4"/>
    <w:rsid w:val="00B31655"/>
    <w:rsid w:val="00C42181"/>
    <w:rsid w:val="00C476DF"/>
    <w:rsid w:val="00CE470A"/>
    <w:rsid w:val="00D3721E"/>
    <w:rsid w:val="00D47AB4"/>
    <w:rsid w:val="00D57480"/>
    <w:rsid w:val="00D65A87"/>
    <w:rsid w:val="00E20E64"/>
    <w:rsid w:val="00E33B1A"/>
    <w:rsid w:val="00E36922"/>
    <w:rsid w:val="00E62549"/>
    <w:rsid w:val="00F565F2"/>
    <w:rsid w:val="00FB1CD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C7821A75-4A1F-4940-8666-99A66EAD3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0967"/>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1709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C4596D"/>
    <w:pPr>
      <w:keepNext/>
      <w:keepLines/>
      <w:spacing w:before="40"/>
      <w:outlineLvl w:val="2"/>
    </w:pPr>
    <w:rPr>
      <w:rFonts w:asciiTheme="majorHAnsi" w:eastAsiaTheme="majorEastAsia" w:hAnsiTheme="majorHAnsi" w:cstheme="majorBidi"/>
      <w:color w:val="1F4D78" w:themeColor="accent1" w:themeShade="7F"/>
      <w:lang w:val="es-ES_tradnl" w:eastAsia="es-ES"/>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2Car">
    <w:name w:val="Título 2 Car"/>
    <w:basedOn w:val="Fuentedeprrafopredeter"/>
    <w:link w:val="Ttulo2"/>
    <w:uiPriority w:val="9"/>
    <w:semiHidden/>
    <w:rsid w:val="00170967"/>
    <w:rPr>
      <w:rFonts w:asciiTheme="majorHAnsi" w:eastAsiaTheme="majorEastAsia" w:hAnsiTheme="majorHAnsi" w:cstheme="majorBidi"/>
      <w:color w:val="2E74B5" w:themeColor="accent1" w:themeShade="BF"/>
      <w:sz w:val="26"/>
      <w:szCs w:val="26"/>
      <w:lang w:eastAsia="es-MX"/>
    </w:rPr>
  </w:style>
  <w:style w:type="paragraph" w:styleId="Encabezado">
    <w:name w:val="header"/>
    <w:basedOn w:val="Normal"/>
    <w:link w:val="EncabezadoCar"/>
    <w:uiPriority w:val="99"/>
    <w:unhideWhenUsed/>
    <w:rsid w:val="00170967"/>
    <w:pPr>
      <w:tabs>
        <w:tab w:val="center" w:pos="4419"/>
        <w:tab w:val="right" w:pos="8838"/>
      </w:tabs>
    </w:pPr>
  </w:style>
  <w:style w:type="character" w:customStyle="1" w:styleId="EncabezadoCar">
    <w:name w:val="Encabezado Car"/>
    <w:basedOn w:val="Fuentedeprrafopredeter"/>
    <w:link w:val="Encabezado"/>
    <w:uiPriority w:val="99"/>
    <w:rsid w:val="00170967"/>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170967"/>
    <w:pPr>
      <w:tabs>
        <w:tab w:val="center" w:pos="4419"/>
        <w:tab w:val="right" w:pos="8838"/>
      </w:tabs>
    </w:pPr>
  </w:style>
  <w:style w:type="character" w:customStyle="1" w:styleId="PiedepginaCar">
    <w:name w:val="Pie de página Car"/>
    <w:basedOn w:val="Fuentedeprrafopredeter"/>
    <w:link w:val="Piedepgina"/>
    <w:uiPriority w:val="99"/>
    <w:rsid w:val="00170967"/>
    <w:rPr>
      <w:rFonts w:ascii="Times New Roman" w:eastAsia="Times New Roman" w:hAnsi="Times New Roman" w:cs="Times New Roman"/>
      <w:sz w:val="24"/>
      <w:szCs w:val="24"/>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70967"/>
    <w:pPr>
      <w:ind w:left="720"/>
      <w:contextualSpacing/>
    </w:pPr>
    <w:rPr>
      <w:rFonts w:ascii="Century Gothic" w:hAnsi="Century Gothic"/>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170967"/>
    <w:rPr>
      <w:rFonts w:ascii="Century Gothic" w:eastAsia="Times New Roman" w:hAnsi="Century Gothic" w:cs="Times New Roman"/>
      <w:sz w:val="24"/>
      <w:szCs w:val="24"/>
      <w:lang w:eastAsia="es-MX"/>
    </w:rPr>
  </w:style>
  <w:style w:type="character" w:styleId="Hipervnculo">
    <w:name w:val="Hyperlink"/>
    <w:aliases w:val="Hipervínculo1,Hipervínculo11,Hipervínculo12,Hipervínculo13,Hipervínculo14,Hipervínculo15"/>
    <w:basedOn w:val="Fuentedeprrafopredeter"/>
    <w:uiPriority w:val="99"/>
    <w:unhideWhenUsed/>
    <w:rsid w:val="00170967"/>
    <w:rPr>
      <w:color w:val="0563C1"/>
      <w:u w:val="single"/>
    </w:rPr>
  </w:style>
  <w:style w:type="paragraph" w:styleId="Sinespaciado">
    <w:name w:val="No Spacing"/>
    <w:aliases w:val="Francesa,INAI"/>
    <w:link w:val="SinespaciadoCar"/>
    <w:uiPriority w:val="1"/>
    <w:qFormat/>
    <w:rsid w:val="00170967"/>
    <w:rPr>
      <w:lang w:eastAsia="es-ES"/>
    </w:rPr>
  </w:style>
  <w:style w:type="character" w:customStyle="1" w:styleId="SinespaciadoCar">
    <w:name w:val="Sin espaciado Car"/>
    <w:aliases w:val="Francesa Car,INAI Car"/>
    <w:link w:val="Sinespaciado"/>
    <w:uiPriority w:val="1"/>
    <w:locked/>
    <w:rsid w:val="00170967"/>
    <w:rPr>
      <w:rFonts w:ascii="Times New Roman" w:eastAsia="Times New Roman" w:hAnsi="Times New Roman" w:cs="Times New Roman"/>
      <w:sz w:val="24"/>
      <w:szCs w:val="24"/>
      <w:lang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DA5B76"/>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DA5B76"/>
    <w:rPr>
      <w:rFonts w:asciiTheme="minorHAnsi" w:eastAsiaTheme="minorHAnsi" w:hAnsiTheme="minorHAnsi" w:cstheme="minorBidi"/>
      <w:sz w:val="20"/>
      <w:szCs w:val="20"/>
      <w:lang w:val="es-ES"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DA5B76"/>
    <w:rPr>
      <w:sz w:val="20"/>
      <w:szCs w:val="20"/>
      <w:lang w:val="es-ES"/>
    </w:rPr>
  </w:style>
  <w:style w:type="character" w:customStyle="1" w:styleId="normaltextrun">
    <w:name w:val="normaltextrun"/>
    <w:basedOn w:val="Fuentedeprrafopredeter"/>
    <w:rsid w:val="00DA5B76"/>
  </w:style>
  <w:style w:type="paragraph" w:styleId="NormalWeb">
    <w:name w:val="Normal (Web)"/>
    <w:basedOn w:val="Normal"/>
    <w:uiPriority w:val="99"/>
    <w:unhideWhenUsed/>
    <w:rsid w:val="00DA5B76"/>
    <w:pPr>
      <w:spacing w:before="100" w:beforeAutospacing="1" w:after="100" w:afterAutospacing="1"/>
    </w:pPr>
  </w:style>
  <w:style w:type="table" w:styleId="Tablaconcuadrcula">
    <w:name w:val="Table Grid"/>
    <w:basedOn w:val="Tablanormal"/>
    <w:uiPriority w:val="39"/>
    <w:rsid w:val="00905E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3">
    <w:name w:val="Grid Table 4 Accent 3"/>
    <w:basedOn w:val="Tablanormal"/>
    <w:uiPriority w:val="49"/>
    <w:rsid w:val="00905EC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aragraph">
    <w:name w:val="paragraph"/>
    <w:basedOn w:val="Normal"/>
    <w:rsid w:val="008F4116"/>
    <w:pPr>
      <w:spacing w:before="100" w:beforeAutospacing="1" w:after="100" w:afterAutospacing="1"/>
    </w:pPr>
  </w:style>
  <w:style w:type="character" w:customStyle="1" w:styleId="Ttulo3Car">
    <w:name w:val="Título 3 Car"/>
    <w:basedOn w:val="Fuentedeprrafopredeter"/>
    <w:link w:val="Ttulo3"/>
    <w:uiPriority w:val="9"/>
    <w:rsid w:val="00C4596D"/>
    <w:rPr>
      <w:rFonts w:asciiTheme="majorHAnsi" w:eastAsiaTheme="majorEastAsia" w:hAnsiTheme="majorHAnsi" w:cstheme="majorBidi"/>
      <w:color w:val="1F4D78" w:themeColor="accent1" w:themeShade="7F"/>
      <w:sz w:val="24"/>
      <w:szCs w:val="24"/>
      <w:lang w:val="es-ES_tradnl"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character" w:styleId="Hipervnculovisitado">
    <w:name w:val="FollowedHyperlink"/>
    <w:basedOn w:val="Fuentedeprrafopredeter"/>
    <w:uiPriority w:val="99"/>
    <w:semiHidden/>
    <w:unhideWhenUsed/>
    <w:rsid w:val="00EC6B76"/>
    <w:rPr>
      <w:color w:val="954F72" w:themeColor="followedHyperlink"/>
      <w:u w:val="single"/>
    </w:r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CellMar>
        <w:left w:w="115" w:type="dxa"/>
        <w:right w:w="115" w:type="dxa"/>
      </w:tblCellMar>
    </w:tbl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paragraph" w:customStyle="1" w:styleId="Fundamentos">
    <w:name w:val="Fundamentos"/>
    <w:basedOn w:val="Normal"/>
    <w:qFormat/>
    <w:rsid w:val="001A0BFB"/>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GztTOGuBoBjYT+m7avxR+DUPw==">CgMxLjAyCGguZ2pkZ3hzMgloLjMwajB6bGwyCWguMWZvYjl0ZTIJaC4zem55c2g3MgloLjJldDkycDAyCWguNGQzNG9nODIJaC4zZHk2dmttMg5oLmswMXcxMXU5b25lYjINaC41ZGNmcmgya2ttZDgAciExbTRVMnhkWU1XbEE0SEhtd3YxbjZPbVVIY3FWVHd1eC0=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23</Pages>
  <Words>6466</Words>
  <Characters>35567</Characters>
  <Application>Microsoft Office Word</Application>
  <DocSecurity>0</DocSecurity>
  <Lines>296</Lines>
  <Paragraphs>83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41950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INFOEM549</dc:creator>
  <cp:lastModifiedBy>Cuenta Microsoft</cp:lastModifiedBy>
  <cp:revision>7</cp:revision>
  <cp:lastPrinted>2026-02-13T16:04:00Z</cp:lastPrinted>
  <dcterms:created xsi:type="dcterms:W3CDTF">2026-02-05T20:13:00Z</dcterms:created>
  <dcterms:modified xsi:type="dcterms:W3CDTF">2026-02-24T18:57:00Z</dcterms:modified>
</cp:coreProperties>
</file>