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433E6" w14:textId="77777777" w:rsidR="003A5C5D" w:rsidRPr="00830619" w:rsidRDefault="006654DD">
      <w:pPr>
        <w:spacing w:after="0" w:line="360" w:lineRule="auto"/>
        <w:ind w:right="49"/>
        <w:jc w:val="both"/>
        <w:rPr>
          <w:rFonts w:ascii="Palatino Linotype" w:eastAsia="Palatino Linotype" w:hAnsi="Palatino Linotype" w:cs="Palatino Linotype"/>
        </w:rPr>
      </w:pPr>
      <w:bookmarkStart w:id="0" w:name="_GoBack"/>
      <w:bookmarkEnd w:id="0"/>
      <w:r w:rsidRPr="0083061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cinco de febrero de dos mil veintiséis. </w:t>
      </w:r>
    </w:p>
    <w:p w14:paraId="06B7FCF6" w14:textId="77777777" w:rsidR="003A5C5D" w:rsidRPr="00830619" w:rsidRDefault="003A5C5D">
      <w:pPr>
        <w:spacing w:after="0" w:line="360" w:lineRule="auto"/>
        <w:ind w:right="49"/>
        <w:jc w:val="center"/>
        <w:rPr>
          <w:rFonts w:ascii="Palatino Linotype" w:eastAsia="Palatino Linotype" w:hAnsi="Palatino Linotype" w:cs="Palatino Linotype"/>
        </w:rPr>
      </w:pPr>
    </w:p>
    <w:p w14:paraId="5B702D53"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Visto el expediente relativo al recurso de revisión </w:t>
      </w:r>
      <w:r w:rsidRPr="00830619">
        <w:rPr>
          <w:rFonts w:ascii="Palatino Linotype" w:eastAsia="Palatino Linotype" w:hAnsi="Palatino Linotype" w:cs="Palatino Linotype"/>
          <w:b/>
          <w:bCs/>
        </w:rPr>
        <w:t>11989/INFOEM/IP/RR/2025</w:t>
      </w:r>
      <w:r w:rsidRPr="00830619">
        <w:rPr>
          <w:rFonts w:ascii="Palatino Linotype" w:eastAsia="Palatino Linotype" w:hAnsi="Palatino Linotype" w:cs="Palatino Linotype"/>
        </w:rPr>
        <w:t xml:space="preserve">, interpuesto por </w:t>
      </w:r>
      <w:r w:rsidRPr="00830619">
        <w:rPr>
          <w:rFonts w:ascii="Palatino Linotype" w:eastAsia="Palatino Linotype" w:hAnsi="Palatino Linotype" w:cs="Palatino Linotype"/>
          <w:b/>
          <w:bCs/>
        </w:rPr>
        <w:t>una persona usuaria del Sistema de Acceso a la Información Mexiquense</w:t>
      </w:r>
      <w:r w:rsidRPr="00830619">
        <w:rPr>
          <w:rFonts w:ascii="Palatino Linotype" w:eastAsia="Palatino Linotype" w:hAnsi="Palatino Linotype" w:cs="Palatino Linotype"/>
        </w:rPr>
        <w:t xml:space="preserve">, al cual en lo sucesivo se le denominará la parte </w:t>
      </w:r>
      <w:r w:rsidRPr="00830619">
        <w:rPr>
          <w:rFonts w:ascii="Palatino Linotype" w:eastAsia="Palatino Linotype" w:hAnsi="Palatino Linotype" w:cs="Palatino Linotype"/>
          <w:b/>
          <w:bCs/>
        </w:rPr>
        <w:t>RECURRENTE</w:t>
      </w:r>
      <w:r w:rsidRPr="00830619">
        <w:rPr>
          <w:rFonts w:ascii="Palatino Linotype" w:eastAsia="Palatino Linotype" w:hAnsi="Palatino Linotype" w:cs="Palatino Linotype"/>
        </w:rPr>
        <w:t xml:space="preserve">, en contra de la respuesta a su solicitud de información identificada con número de folio </w:t>
      </w:r>
      <w:r w:rsidRPr="00830619">
        <w:rPr>
          <w:rFonts w:ascii="Palatino Linotype" w:eastAsia="Palatino Linotype" w:hAnsi="Palatino Linotype" w:cs="Palatino Linotype"/>
          <w:b/>
          <w:bCs/>
        </w:rPr>
        <w:t xml:space="preserve">00084/TONANI/IP/2025 </w:t>
      </w:r>
      <w:r w:rsidRPr="00830619">
        <w:rPr>
          <w:rFonts w:ascii="Palatino Linotype" w:eastAsia="Palatino Linotype" w:hAnsi="Palatino Linotype" w:cs="Palatino Linotype"/>
        </w:rPr>
        <w:t xml:space="preserve">proporcionada por parte del </w:t>
      </w:r>
      <w:r w:rsidRPr="00830619">
        <w:rPr>
          <w:rFonts w:ascii="Palatino Linotype" w:eastAsia="Palatino Linotype" w:hAnsi="Palatino Linotype" w:cs="Palatino Linotype"/>
          <w:b/>
          <w:bCs/>
        </w:rPr>
        <w:t>Ayuntamiento de Tonanitla</w:t>
      </w:r>
      <w:r w:rsidRPr="00830619">
        <w:rPr>
          <w:rFonts w:ascii="Palatino Linotype" w:eastAsia="Palatino Linotype" w:hAnsi="Palatino Linotype" w:cs="Palatino Linotype"/>
        </w:rPr>
        <w:t xml:space="preserve">, en lo sucesivo el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 se procede a dictar la presente resolución, con base en los siguientes:</w:t>
      </w:r>
    </w:p>
    <w:p w14:paraId="7987BFB0" w14:textId="77777777" w:rsidR="003A5C5D" w:rsidRPr="00830619" w:rsidRDefault="003A5C5D">
      <w:pPr>
        <w:spacing w:after="0" w:line="360" w:lineRule="auto"/>
        <w:ind w:right="49"/>
        <w:jc w:val="both"/>
        <w:rPr>
          <w:rFonts w:ascii="Palatino Linotype" w:eastAsia="Palatino Linotype" w:hAnsi="Palatino Linotype" w:cs="Palatino Linotype"/>
        </w:rPr>
      </w:pPr>
    </w:p>
    <w:p w14:paraId="67D1AA69" w14:textId="77777777" w:rsidR="003A5C5D" w:rsidRPr="00830619" w:rsidRDefault="006654DD">
      <w:pPr>
        <w:spacing w:after="0" w:line="360" w:lineRule="auto"/>
        <w:ind w:right="49"/>
        <w:jc w:val="center"/>
        <w:rPr>
          <w:rFonts w:ascii="Palatino Linotype" w:eastAsia="Palatino Linotype" w:hAnsi="Palatino Linotype" w:cs="Palatino Linotype"/>
          <w:b/>
          <w:bCs/>
        </w:rPr>
      </w:pPr>
      <w:r w:rsidRPr="00830619">
        <w:rPr>
          <w:rFonts w:ascii="Palatino Linotype" w:eastAsia="Palatino Linotype" w:hAnsi="Palatino Linotype" w:cs="Palatino Linotype"/>
          <w:b/>
          <w:bCs/>
        </w:rPr>
        <w:t>I.</w:t>
      </w:r>
      <w:r w:rsidRPr="00830619">
        <w:rPr>
          <w:rFonts w:ascii="Palatino Linotype" w:eastAsia="Palatino Linotype" w:hAnsi="Palatino Linotype" w:cs="Palatino Linotype"/>
          <w:b/>
          <w:bCs/>
        </w:rPr>
        <w:tab/>
        <w:t>A N T E C E D E N T E S</w:t>
      </w:r>
    </w:p>
    <w:p w14:paraId="71837880" w14:textId="77777777" w:rsidR="003A5C5D" w:rsidRPr="00830619" w:rsidRDefault="003A5C5D">
      <w:pPr>
        <w:spacing w:after="0" w:line="360" w:lineRule="auto"/>
        <w:ind w:right="49"/>
        <w:jc w:val="both"/>
        <w:rPr>
          <w:rFonts w:ascii="Palatino Linotype" w:eastAsia="Palatino Linotype" w:hAnsi="Palatino Linotype" w:cs="Palatino Linotype"/>
        </w:rPr>
      </w:pPr>
    </w:p>
    <w:p w14:paraId="5BB2B817" w14:textId="77777777" w:rsidR="003A5C5D" w:rsidRPr="00830619" w:rsidRDefault="006654DD">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30619">
        <w:rPr>
          <w:rFonts w:ascii="Palatino Linotype" w:eastAsia="Palatino Linotype" w:hAnsi="Palatino Linotype" w:cs="Palatino Linotype"/>
          <w:b/>
          <w:bCs/>
        </w:rPr>
        <w:t>Solicitud de acceso a la información.</w:t>
      </w:r>
      <w:r w:rsidRPr="00830619">
        <w:rPr>
          <w:rFonts w:ascii="Palatino Linotype" w:eastAsia="Palatino Linotype" w:hAnsi="Palatino Linotype" w:cs="Palatino Linotype"/>
        </w:rPr>
        <w:t xml:space="preserve"> Con fecha </w:t>
      </w:r>
      <w:r w:rsidRPr="00830619">
        <w:rPr>
          <w:rFonts w:ascii="Palatino Linotype" w:eastAsia="Palatino Linotype" w:hAnsi="Palatino Linotype" w:cs="Palatino Linotype"/>
          <w:b/>
          <w:bCs/>
        </w:rPr>
        <w:t>veintidós de septiembre de dos mil veinticinco</w:t>
      </w:r>
      <w:r w:rsidRPr="00830619">
        <w:rPr>
          <w:rFonts w:ascii="Palatino Linotype" w:eastAsia="Palatino Linotype" w:hAnsi="Palatino Linotype" w:cs="Palatino Linotype"/>
        </w:rPr>
        <w:t xml:space="preserve">, la parte </w:t>
      </w:r>
      <w:r w:rsidRPr="00830619">
        <w:rPr>
          <w:rFonts w:ascii="Palatino Linotype" w:eastAsia="Palatino Linotype" w:hAnsi="Palatino Linotype" w:cs="Palatino Linotype"/>
          <w:b/>
          <w:bCs/>
        </w:rPr>
        <w:t>RECURRENTE</w:t>
      </w:r>
      <w:r w:rsidRPr="00830619">
        <w:rPr>
          <w:rFonts w:ascii="Palatino Linotype" w:eastAsia="Palatino Linotype" w:hAnsi="Palatino Linotype" w:cs="Palatino Linotype"/>
        </w:rPr>
        <w:t xml:space="preserve"> formuló solicitud de acceso a información pública al</w:t>
      </w:r>
      <w:r w:rsidRPr="00830619">
        <w:rPr>
          <w:rFonts w:ascii="Palatino Linotype" w:eastAsia="Palatino Linotype" w:hAnsi="Palatino Linotype" w:cs="Palatino Linotype"/>
          <w:b/>
          <w:bCs/>
        </w:rPr>
        <w:t xml:space="preserve"> SUJETO OBLIGADO</w:t>
      </w:r>
      <w:r w:rsidRPr="00830619">
        <w:rPr>
          <w:rFonts w:ascii="Palatino Linotype" w:eastAsia="Palatino Linotype" w:hAnsi="Palatino Linotype" w:cs="Palatino Linotype"/>
        </w:rPr>
        <w:t xml:space="preserve"> a través del Sistema de Acceso a la Información Mexiquense, en adelante SAIMEX, en la que requirió lo siguiente: </w:t>
      </w:r>
    </w:p>
    <w:p w14:paraId="724D3247" w14:textId="77777777" w:rsidR="003A5C5D" w:rsidRPr="00830619" w:rsidRDefault="006654DD">
      <w:pPr>
        <w:tabs>
          <w:tab w:val="left" w:pos="1530"/>
        </w:tabs>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ab/>
      </w:r>
    </w:p>
    <w:p w14:paraId="168ECB87" w14:textId="77777777" w:rsidR="003A5C5D" w:rsidRPr="00830619" w:rsidRDefault="006654DD">
      <w:pPr>
        <w:spacing w:after="0" w:line="240" w:lineRule="auto"/>
        <w:ind w:left="567" w:right="560"/>
        <w:jc w:val="both"/>
        <w:rPr>
          <w:rFonts w:ascii="Palatino Linotype" w:eastAsia="Palatino Linotype" w:hAnsi="Palatino Linotype" w:cs="Palatino Linotype"/>
          <w:i/>
          <w:iCs/>
        </w:rPr>
      </w:pPr>
      <w:bookmarkStart w:id="1" w:name="_heading=h.30j0zll" w:colFirst="0" w:colLast="0"/>
      <w:bookmarkEnd w:id="1"/>
      <w:r w:rsidRPr="00830619">
        <w:rPr>
          <w:rFonts w:ascii="Palatino Linotype" w:eastAsia="Palatino Linotype" w:hAnsi="Palatino Linotype" w:cs="Palatino Linotype"/>
          <w:i/>
          <w:iCs/>
        </w:rPr>
        <w:t>“Buen día, solicito saber el sueldo actualizado de cada unos de los servidores públicos del ayuntamiento de Tonanitla, para no tener error en la información solicito sean los recibos de nómina de cada unos de ellos.”</w:t>
      </w:r>
    </w:p>
    <w:p w14:paraId="7F22A5B9" w14:textId="77777777" w:rsidR="003A5C5D" w:rsidRPr="00830619" w:rsidRDefault="006654DD">
      <w:pPr>
        <w:spacing w:after="0"/>
        <w:ind w:left="567" w:right="560"/>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 </w:t>
      </w:r>
    </w:p>
    <w:p w14:paraId="6F3CA670"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b/>
          <w:bCs/>
        </w:rPr>
        <w:t>Modalidad elegida para la entrega de la información:</w:t>
      </w:r>
      <w:r w:rsidRPr="00830619">
        <w:rPr>
          <w:rFonts w:ascii="Palatino Linotype" w:eastAsia="Palatino Linotype" w:hAnsi="Palatino Linotype" w:cs="Palatino Linotype"/>
        </w:rPr>
        <w:t xml:space="preserve"> a través del Sistema de Acceso a la Información Mexiquense (SAIMEX). </w:t>
      </w:r>
    </w:p>
    <w:p w14:paraId="04C9F6D3" w14:textId="77777777" w:rsidR="003A5C5D" w:rsidRPr="00830619" w:rsidRDefault="003A5C5D">
      <w:pPr>
        <w:spacing w:after="0" w:line="360" w:lineRule="auto"/>
        <w:ind w:right="49"/>
        <w:jc w:val="both"/>
        <w:rPr>
          <w:rFonts w:ascii="Palatino Linotype" w:eastAsia="Palatino Linotype" w:hAnsi="Palatino Linotype" w:cs="Palatino Linotype"/>
        </w:rPr>
      </w:pPr>
    </w:p>
    <w:p w14:paraId="530EB1ED" w14:textId="77777777" w:rsidR="003A5C5D" w:rsidRPr="00830619" w:rsidRDefault="006654DD">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30619">
        <w:rPr>
          <w:rFonts w:ascii="Palatino Linotype" w:eastAsia="Palatino Linotype" w:hAnsi="Palatino Linotype" w:cs="Palatino Linotype"/>
          <w:b/>
          <w:bCs/>
        </w:rPr>
        <w:t xml:space="preserve">Respuesta. </w:t>
      </w:r>
      <w:r w:rsidRPr="00830619">
        <w:rPr>
          <w:rFonts w:ascii="Palatino Linotype" w:eastAsia="Palatino Linotype" w:hAnsi="Palatino Linotype" w:cs="Palatino Linotype"/>
        </w:rPr>
        <w:t xml:space="preserve">En </w:t>
      </w:r>
      <w:r w:rsidRPr="00830619">
        <w:rPr>
          <w:rFonts w:ascii="Palatino Linotype" w:eastAsia="Palatino Linotype" w:hAnsi="Palatino Linotype" w:cs="Palatino Linotype"/>
          <w:b/>
          <w:bCs/>
        </w:rPr>
        <w:t>diez de octubre de dos mil veinticinco</w:t>
      </w:r>
      <w:r w:rsidRPr="00830619">
        <w:rPr>
          <w:rFonts w:ascii="Palatino Linotype" w:eastAsia="Palatino Linotype" w:hAnsi="Palatino Linotype" w:cs="Palatino Linotype"/>
        </w:rPr>
        <w:t xml:space="preserve">, el </w:t>
      </w:r>
      <w:r w:rsidRPr="00830619">
        <w:rPr>
          <w:rFonts w:ascii="Palatino Linotype" w:eastAsia="Palatino Linotype" w:hAnsi="Palatino Linotype" w:cs="Palatino Linotype"/>
          <w:b/>
          <w:bCs/>
        </w:rPr>
        <w:t xml:space="preserve">SUJETO OBLIGADO </w:t>
      </w:r>
      <w:r w:rsidRPr="00830619">
        <w:rPr>
          <w:rFonts w:ascii="Palatino Linotype" w:eastAsia="Palatino Linotype" w:hAnsi="Palatino Linotype" w:cs="Palatino Linotype"/>
        </w:rPr>
        <w:t xml:space="preserve">remitió su respuesta, la cual fue del conocimiento de las partes. </w:t>
      </w:r>
    </w:p>
    <w:p w14:paraId="75CCB08E" w14:textId="77777777" w:rsidR="003A5C5D" w:rsidRPr="00830619" w:rsidRDefault="006654DD">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30619">
        <w:rPr>
          <w:rFonts w:ascii="Palatino Linotype" w:eastAsia="Palatino Linotype" w:hAnsi="Palatino Linotype" w:cs="Palatino Linotype"/>
          <w:b/>
          <w:bCs/>
        </w:rPr>
        <w:lastRenderedPageBreak/>
        <w:t xml:space="preserve">Recurso de Revisión. </w:t>
      </w:r>
      <w:r w:rsidRPr="00830619">
        <w:rPr>
          <w:rFonts w:ascii="Palatino Linotype" w:eastAsia="Palatino Linotype" w:hAnsi="Palatino Linotype" w:cs="Palatino Linotype"/>
        </w:rPr>
        <w:t xml:space="preserve">En fecha </w:t>
      </w:r>
      <w:r w:rsidRPr="00830619">
        <w:rPr>
          <w:rFonts w:ascii="Palatino Linotype" w:eastAsia="Palatino Linotype" w:hAnsi="Palatino Linotype" w:cs="Palatino Linotype"/>
          <w:b/>
          <w:bCs/>
        </w:rPr>
        <w:t>quince de octubre de dos mil veinticinco</w:t>
      </w:r>
      <w:r w:rsidRPr="00830619">
        <w:rPr>
          <w:rFonts w:ascii="Palatino Linotype" w:eastAsia="Palatino Linotype" w:hAnsi="Palatino Linotype" w:cs="Palatino Linotype"/>
        </w:rPr>
        <w:t xml:space="preserve"> la persona Solicitante interpuso Recurso de Revisión a través del </w:t>
      </w:r>
      <w:r w:rsidRPr="00830619">
        <w:rPr>
          <w:rFonts w:ascii="Palatino Linotype" w:eastAsia="Palatino Linotype" w:hAnsi="Palatino Linotype" w:cs="Palatino Linotype"/>
          <w:b/>
          <w:bCs/>
        </w:rPr>
        <w:t>SAIMEX</w:t>
      </w:r>
      <w:r w:rsidRPr="00830619">
        <w:rPr>
          <w:rFonts w:ascii="Palatino Linotype" w:eastAsia="Palatino Linotype" w:hAnsi="Palatino Linotype" w:cs="Palatino Linotype"/>
        </w:rPr>
        <w:t>, a través del cual expresó lo siguiente:</w:t>
      </w:r>
    </w:p>
    <w:p w14:paraId="489E2129" w14:textId="77777777" w:rsidR="003A5C5D" w:rsidRPr="00830619" w:rsidRDefault="003A5C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56AF92F" w14:textId="77777777" w:rsidR="003A5C5D" w:rsidRPr="00830619" w:rsidRDefault="006654DD">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r w:rsidRPr="00830619">
        <w:rPr>
          <w:rFonts w:ascii="Palatino Linotype" w:eastAsia="Palatino Linotype" w:hAnsi="Palatino Linotype" w:cs="Palatino Linotype"/>
          <w:b/>
          <w:bCs/>
        </w:rPr>
        <w:t>Acto impugnado</w:t>
      </w:r>
      <w:r w:rsidRPr="00830619">
        <w:rPr>
          <w:rFonts w:ascii="Palatino Linotype" w:eastAsia="Palatino Linotype" w:hAnsi="Palatino Linotype" w:cs="Palatino Linotype"/>
          <w:b/>
          <w:bCs/>
          <w:i/>
          <w:iCs/>
        </w:rPr>
        <w:t xml:space="preserve">. </w:t>
      </w:r>
      <w:r w:rsidRPr="00830619">
        <w:rPr>
          <w:rFonts w:ascii="Palatino Linotype" w:eastAsia="Palatino Linotype" w:hAnsi="Palatino Linotype" w:cs="Palatino Linotype"/>
          <w:i/>
          <w:iCs/>
        </w:rPr>
        <w:t xml:space="preserve">“Respuesta de la solicitud 00084/TONANI/IP/2025” </w:t>
      </w:r>
    </w:p>
    <w:p w14:paraId="23E6715E" w14:textId="77777777" w:rsidR="003A5C5D" w:rsidRPr="00830619" w:rsidRDefault="003A5C5D">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p>
    <w:p w14:paraId="5A97EF33" w14:textId="77777777" w:rsidR="003A5C5D" w:rsidRPr="00830619" w:rsidRDefault="006654DD">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830619">
        <w:rPr>
          <w:rFonts w:ascii="Palatino Linotype" w:eastAsia="Palatino Linotype" w:hAnsi="Palatino Linotype" w:cs="Palatino Linotype"/>
          <w:b/>
          <w:bCs/>
        </w:rPr>
        <w:t xml:space="preserve">Razones o motivos de la inconformidad: </w:t>
      </w:r>
      <w:r w:rsidRPr="00830619">
        <w:rPr>
          <w:rFonts w:ascii="Palatino Linotype" w:eastAsia="Palatino Linotype" w:hAnsi="Palatino Linotype" w:cs="Palatino Linotype"/>
          <w:i/>
          <w:iCs/>
        </w:rPr>
        <w:t xml:space="preserve">“Se solicita sueldo de todos los servidores públicos del ayuntamiento de Tonanitla y </w:t>
      </w:r>
      <w:r w:rsidRPr="00830619">
        <w:rPr>
          <w:rFonts w:ascii="Palatino Linotype" w:eastAsia="Palatino Linotype" w:hAnsi="Palatino Linotype" w:cs="Palatino Linotype"/>
          <w:b/>
          <w:bCs/>
          <w:i/>
          <w:iCs/>
          <w:u w:val="single"/>
        </w:rPr>
        <w:t>solo entregan del cabildo</w:t>
      </w:r>
      <w:r w:rsidRPr="00830619">
        <w:rPr>
          <w:rFonts w:ascii="Palatino Linotype" w:eastAsia="Palatino Linotype" w:hAnsi="Palatino Linotype" w:cs="Palatino Linotype"/>
          <w:i/>
          <w:iCs/>
        </w:rPr>
        <w:t>”</w:t>
      </w:r>
    </w:p>
    <w:p w14:paraId="11C05F62" w14:textId="77777777" w:rsidR="003A5C5D" w:rsidRPr="00830619" w:rsidRDefault="003A5C5D">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1C17DCA4" w14:textId="77777777" w:rsidR="003A5C5D" w:rsidRPr="00830619" w:rsidRDefault="006654DD">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30619">
        <w:rPr>
          <w:rFonts w:ascii="Palatino Linotype" w:eastAsia="Palatino Linotype" w:hAnsi="Palatino Linotype" w:cs="Palatino Linotype"/>
          <w:b/>
          <w:bCs/>
        </w:rPr>
        <w:t>Turno.</w:t>
      </w:r>
      <w:r w:rsidRPr="00830619">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830619">
        <w:rPr>
          <w:rFonts w:ascii="Palatino Linotype" w:eastAsia="Palatino Linotype" w:hAnsi="Palatino Linotype" w:cs="Palatino Linotype"/>
          <w:b/>
          <w:bCs/>
        </w:rPr>
        <w:t>11989/INFOEM/IP/RR/2025</w:t>
      </w:r>
      <w:r w:rsidRPr="00830619">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5A782F3B" w14:textId="77777777" w:rsidR="003A5C5D" w:rsidRPr="00830619" w:rsidRDefault="003A5C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FB8D85A" w14:textId="77777777" w:rsidR="003A5C5D" w:rsidRPr="00830619" w:rsidRDefault="006654DD">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30619">
        <w:rPr>
          <w:rFonts w:ascii="Palatino Linotype" w:eastAsia="Palatino Linotype" w:hAnsi="Palatino Linotype" w:cs="Palatino Linotype"/>
          <w:b/>
          <w:bCs/>
        </w:rPr>
        <w:t>Admisión del recurso de revisión</w:t>
      </w:r>
      <w:r w:rsidRPr="00830619">
        <w:rPr>
          <w:rFonts w:ascii="Palatino Linotype" w:eastAsia="Palatino Linotype" w:hAnsi="Palatino Linotype" w:cs="Palatino Linotype"/>
        </w:rPr>
        <w:t>: En fecha</w:t>
      </w:r>
      <w:r w:rsidRPr="00830619">
        <w:rPr>
          <w:rFonts w:ascii="Palatino Linotype" w:eastAsia="Palatino Linotype" w:hAnsi="Palatino Linotype" w:cs="Palatino Linotype"/>
          <w:b/>
          <w:bCs/>
        </w:rPr>
        <w:t xml:space="preserve"> veinte de octubre de dos mil veinticinco</w:t>
      </w:r>
      <w:r w:rsidRPr="00830619">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0150E072" w14:textId="77777777" w:rsidR="003A5C5D" w:rsidRPr="00830619" w:rsidRDefault="003A5C5D">
      <w:pPr>
        <w:pBdr>
          <w:top w:val="nil"/>
          <w:left w:val="nil"/>
          <w:bottom w:val="nil"/>
          <w:right w:val="nil"/>
          <w:between w:val="nil"/>
        </w:pBdr>
        <w:spacing w:after="0"/>
        <w:ind w:left="720"/>
        <w:rPr>
          <w:rFonts w:ascii="Palatino Linotype" w:eastAsia="Palatino Linotype" w:hAnsi="Palatino Linotype" w:cs="Palatino Linotype"/>
        </w:rPr>
      </w:pPr>
    </w:p>
    <w:p w14:paraId="16BF3089" w14:textId="77777777" w:rsidR="003A5C5D" w:rsidRPr="00830619" w:rsidRDefault="006654DD">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30619">
        <w:rPr>
          <w:rFonts w:ascii="Palatino Linotype" w:eastAsia="Palatino Linotype" w:hAnsi="Palatino Linotype" w:cs="Palatino Linotype"/>
          <w:b/>
          <w:bCs/>
        </w:rPr>
        <w:t xml:space="preserve">Manifestaciones: </w:t>
      </w:r>
      <w:r w:rsidRPr="00830619">
        <w:rPr>
          <w:rFonts w:ascii="Palatino Linotype" w:eastAsia="Palatino Linotype" w:hAnsi="Palatino Linotype" w:cs="Palatino Linotype"/>
        </w:rPr>
        <w:t xml:space="preserve">En fecha </w:t>
      </w:r>
      <w:r w:rsidRPr="00830619">
        <w:rPr>
          <w:rFonts w:ascii="Palatino Linotype" w:eastAsia="Palatino Linotype" w:hAnsi="Palatino Linotype" w:cs="Palatino Linotype"/>
          <w:b/>
          <w:bCs/>
        </w:rPr>
        <w:t>veintisiete de octubre de dos mil veinticinco</w:t>
      </w:r>
      <w:r w:rsidRPr="00830619">
        <w:rPr>
          <w:rFonts w:ascii="Palatino Linotype" w:eastAsia="Palatino Linotype" w:hAnsi="Palatino Linotype" w:cs="Palatino Linotype"/>
        </w:rPr>
        <w:t xml:space="preserve">, el </w:t>
      </w:r>
      <w:r w:rsidRPr="00830619">
        <w:rPr>
          <w:rFonts w:ascii="Palatino Linotype" w:eastAsia="Palatino Linotype" w:hAnsi="Palatino Linotype" w:cs="Palatino Linotype"/>
          <w:b/>
          <w:bCs/>
        </w:rPr>
        <w:t xml:space="preserve">SUJETO OBLIGADO </w:t>
      </w:r>
      <w:r w:rsidRPr="00830619">
        <w:rPr>
          <w:rFonts w:ascii="Palatino Linotype" w:eastAsia="Palatino Linotype" w:hAnsi="Palatino Linotype" w:cs="Palatino Linotype"/>
        </w:rPr>
        <w:t>rindió su informe justificado, al tenor de lo siguiente:</w:t>
      </w:r>
    </w:p>
    <w:p w14:paraId="3FB5B74F" w14:textId="77777777" w:rsidR="003A5C5D" w:rsidRPr="00830619" w:rsidRDefault="003A5C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946383D" w14:textId="77777777" w:rsidR="003A5C5D" w:rsidRPr="00830619" w:rsidRDefault="006654DD">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lastRenderedPageBreak/>
        <w:t>Oficio de fecha veinticuatro de octubre de dos mil veinticinco, signado por el Tesorero Municipal, mediante el cual informa que se testa QR, RFC, CURP, NUMERO de ISSEMyMy deducciones personales.</w:t>
      </w:r>
    </w:p>
    <w:p w14:paraId="55E858EC" w14:textId="77777777" w:rsidR="003A5C5D" w:rsidRPr="00830619" w:rsidRDefault="006654DD">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Oficio de fecha diecinueve de agosto de dos mil veinticinco, signado por la Directora General de Administración, mediante el cual refiere que, se remite la respuesta de la Dirección de Recursos Humanos. </w:t>
      </w:r>
    </w:p>
    <w:p w14:paraId="4DA82AA1" w14:textId="77777777" w:rsidR="003A5C5D" w:rsidRPr="00830619" w:rsidRDefault="006654DD">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Oficio de fecha dieciocho de agosto de dos mil veinticinco, signado por la Directora de Recursos Humanos, mediante el cual informa que la información que se solicita al ciudadano no constituye un Derecho de Acceso a la Información Pública. </w:t>
      </w:r>
    </w:p>
    <w:p w14:paraId="4778349C" w14:textId="77777777" w:rsidR="003A5C5D" w:rsidRPr="00830619" w:rsidRDefault="006654DD">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Recibos de nómina en versión pública. </w:t>
      </w:r>
    </w:p>
    <w:p w14:paraId="69872181" w14:textId="77777777" w:rsidR="003A5C5D" w:rsidRPr="00830619" w:rsidRDefault="003A5C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01D5418" w14:textId="77777777" w:rsidR="003A5C5D" w:rsidRPr="00830619" w:rsidRDefault="006654DD">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r w:rsidRPr="00830619">
        <w:rPr>
          <w:rFonts w:ascii="Palatino Linotype" w:eastAsia="Palatino Linotype" w:hAnsi="Palatino Linotype" w:cs="Palatino Linotype"/>
        </w:rPr>
        <w:t xml:space="preserve">Los documentos se hicieron del conocimiento en fecha </w:t>
      </w:r>
      <w:r w:rsidRPr="00830619">
        <w:rPr>
          <w:rFonts w:ascii="Palatino Linotype" w:eastAsia="Palatino Linotype" w:hAnsi="Palatino Linotype" w:cs="Palatino Linotype"/>
          <w:b/>
          <w:bCs/>
        </w:rPr>
        <w:t xml:space="preserve">veintiocho de enero de dos mil veintiséis. </w:t>
      </w:r>
    </w:p>
    <w:p w14:paraId="002FC45C" w14:textId="77777777" w:rsidR="003A5C5D" w:rsidRPr="00830619" w:rsidRDefault="003A5C5D">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p>
    <w:p w14:paraId="438CB445" w14:textId="72693D55" w:rsidR="003A5C5D" w:rsidRPr="00830619" w:rsidRDefault="006654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La parte Recurrente fue </w:t>
      </w:r>
      <w:r w:rsidR="00CD1E94" w:rsidRPr="00830619">
        <w:rPr>
          <w:rFonts w:ascii="Palatino Linotype" w:eastAsia="Palatino Linotype" w:hAnsi="Palatino Linotype" w:cs="Palatino Linotype"/>
        </w:rPr>
        <w:t>omisa</w:t>
      </w:r>
      <w:r w:rsidRPr="00830619">
        <w:rPr>
          <w:rFonts w:ascii="Palatino Linotype" w:eastAsia="Palatino Linotype" w:hAnsi="Palatino Linotype" w:cs="Palatino Linotype"/>
        </w:rPr>
        <w:t xml:space="preserve"> en rendir manifestaciones. </w:t>
      </w:r>
    </w:p>
    <w:p w14:paraId="07ECA1C9" w14:textId="77777777" w:rsidR="003A5C5D" w:rsidRPr="00830619" w:rsidRDefault="003A5C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C074B01" w14:textId="77777777" w:rsidR="003A5C5D" w:rsidRPr="00830619" w:rsidRDefault="006654DD">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30619">
        <w:rPr>
          <w:rFonts w:ascii="Palatino Linotype" w:eastAsia="Palatino Linotype" w:hAnsi="Palatino Linotype" w:cs="Palatino Linotype"/>
          <w:b/>
          <w:bCs/>
        </w:rPr>
        <w:t xml:space="preserve">Ampliación de plazo. </w:t>
      </w:r>
      <w:r w:rsidRPr="00830619">
        <w:rPr>
          <w:rFonts w:ascii="Palatino Linotype" w:eastAsia="Palatino Linotype" w:hAnsi="Palatino Linotype" w:cs="Palatino Linotype"/>
        </w:rPr>
        <w:t xml:space="preserve">El </w:t>
      </w:r>
      <w:r w:rsidRPr="00830619">
        <w:rPr>
          <w:rFonts w:ascii="Palatino Linotype" w:eastAsia="Palatino Linotype" w:hAnsi="Palatino Linotype" w:cs="Palatino Linotype"/>
          <w:b/>
          <w:bCs/>
        </w:rPr>
        <w:t>veintiocho de enero de dos mil veintiséis</w:t>
      </w:r>
      <w:r w:rsidRPr="00830619">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ED51491" w14:textId="77777777" w:rsidR="003A5C5D" w:rsidRPr="00830619" w:rsidRDefault="003A5C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F82E926"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C3734EA"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 </w:t>
      </w:r>
    </w:p>
    <w:p w14:paraId="7CF5D43D"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DDC2330" w14:textId="77777777" w:rsidR="003A5C5D" w:rsidRPr="00830619" w:rsidRDefault="003A5C5D">
      <w:pPr>
        <w:spacing w:after="0" w:line="360" w:lineRule="auto"/>
        <w:ind w:right="49"/>
        <w:jc w:val="both"/>
        <w:rPr>
          <w:rFonts w:ascii="Palatino Linotype" w:eastAsia="Palatino Linotype" w:hAnsi="Palatino Linotype" w:cs="Palatino Linotype"/>
        </w:rPr>
      </w:pPr>
    </w:p>
    <w:p w14:paraId="013EF289"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EB1C40" w14:textId="77777777" w:rsidR="003A5C5D" w:rsidRPr="00830619" w:rsidRDefault="003A5C5D">
      <w:pPr>
        <w:spacing w:after="0" w:line="360" w:lineRule="auto"/>
        <w:ind w:right="49"/>
        <w:jc w:val="both"/>
        <w:rPr>
          <w:rFonts w:ascii="Palatino Linotype" w:eastAsia="Palatino Linotype" w:hAnsi="Palatino Linotype" w:cs="Palatino Linotype"/>
        </w:rPr>
      </w:pPr>
    </w:p>
    <w:p w14:paraId="64A7C314"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2F3B6ED" w14:textId="77777777" w:rsidR="003A5C5D" w:rsidRPr="00830619" w:rsidRDefault="003A5C5D">
      <w:pPr>
        <w:spacing w:after="0" w:line="360" w:lineRule="auto"/>
        <w:ind w:right="49"/>
        <w:jc w:val="both"/>
        <w:rPr>
          <w:rFonts w:ascii="Palatino Linotype" w:eastAsia="Palatino Linotype" w:hAnsi="Palatino Linotype" w:cs="Palatino Linotype"/>
        </w:rPr>
      </w:pPr>
    </w:p>
    <w:p w14:paraId="2ABD61B7"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E5A6520" w14:textId="77777777" w:rsidR="003A5C5D" w:rsidRPr="00830619" w:rsidRDefault="003A5C5D">
      <w:pPr>
        <w:spacing w:after="0" w:line="360" w:lineRule="auto"/>
        <w:ind w:right="49"/>
        <w:jc w:val="both"/>
        <w:rPr>
          <w:rFonts w:ascii="Palatino Linotype" w:eastAsia="Palatino Linotype" w:hAnsi="Palatino Linotype" w:cs="Palatino Linotype"/>
        </w:rPr>
      </w:pPr>
    </w:p>
    <w:p w14:paraId="2CE64695" w14:textId="77777777" w:rsidR="003A5C5D" w:rsidRPr="00830619" w:rsidRDefault="006654DD">
      <w:pPr>
        <w:tabs>
          <w:tab w:val="left" w:pos="709"/>
        </w:tabs>
        <w:spacing w:after="0" w:line="360" w:lineRule="auto"/>
        <w:ind w:left="567" w:right="560"/>
        <w:jc w:val="both"/>
        <w:rPr>
          <w:rFonts w:ascii="Palatino Linotype" w:eastAsia="Palatino Linotype" w:hAnsi="Palatino Linotype" w:cs="Palatino Linotype"/>
        </w:rPr>
      </w:pPr>
      <w:r w:rsidRPr="00830619">
        <w:rPr>
          <w:rFonts w:ascii="Palatino Linotype" w:eastAsia="Palatino Linotype" w:hAnsi="Palatino Linotype" w:cs="Palatino Linotype"/>
          <w:b/>
          <w:bCs/>
        </w:rPr>
        <w:t>a)    Complejidad del asunto:</w:t>
      </w:r>
      <w:r w:rsidRPr="00830619">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192E8052" w14:textId="77777777" w:rsidR="003A5C5D" w:rsidRPr="00830619" w:rsidRDefault="006654DD">
      <w:pPr>
        <w:tabs>
          <w:tab w:val="left" w:pos="709"/>
        </w:tabs>
        <w:spacing w:after="0" w:line="360" w:lineRule="auto"/>
        <w:ind w:left="567" w:right="560"/>
        <w:jc w:val="both"/>
        <w:rPr>
          <w:rFonts w:ascii="Palatino Linotype" w:eastAsia="Palatino Linotype" w:hAnsi="Palatino Linotype" w:cs="Palatino Linotype"/>
        </w:rPr>
      </w:pPr>
      <w:r w:rsidRPr="00830619">
        <w:rPr>
          <w:rFonts w:ascii="Palatino Linotype" w:eastAsia="Palatino Linotype" w:hAnsi="Palatino Linotype" w:cs="Palatino Linotype"/>
          <w:b/>
          <w:bCs/>
        </w:rPr>
        <w:t>b)   Actividad Procesal del interesado</w:t>
      </w:r>
      <w:r w:rsidRPr="00830619">
        <w:rPr>
          <w:rFonts w:ascii="Palatino Linotype" w:eastAsia="Palatino Linotype" w:hAnsi="Palatino Linotype" w:cs="Palatino Linotype"/>
        </w:rPr>
        <w:t>: Acciones u omisiones del interesado.</w:t>
      </w:r>
    </w:p>
    <w:p w14:paraId="27FD9A7D" w14:textId="77777777" w:rsidR="003A5C5D" w:rsidRPr="00830619" w:rsidRDefault="006654DD">
      <w:pPr>
        <w:tabs>
          <w:tab w:val="left" w:pos="851"/>
        </w:tabs>
        <w:spacing w:after="0" w:line="360" w:lineRule="auto"/>
        <w:ind w:left="567" w:right="560"/>
        <w:jc w:val="both"/>
        <w:rPr>
          <w:rFonts w:ascii="Palatino Linotype" w:eastAsia="Palatino Linotype" w:hAnsi="Palatino Linotype" w:cs="Palatino Linotype"/>
        </w:rPr>
      </w:pPr>
      <w:r w:rsidRPr="00830619">
        <w:rPr>
          <w:rFonts w:ascii="Palatino Linotype" w:eastAsia="Palatino Linotype" w:hAnsi="Palatino Linotype" w:cs="Palatino Linotype"/>
          <w:b/>
          <w:bCs/>
        </w:rPr>
        <w:t>c)  Conducta de la Autoridad:</w:t>
      </w:r>
      <w:r w:rsidRPr="00830619">
        <w:rPr>
          <w:rFonts w:ascii="Palatino Linotype" w:eastAsia="Palatino Linotype" w:hAnsi="Palatino Linotype" w:cs="Palatino Linotype"/>
        </w:rPr>
        <w:t xml:space="preserve"> Las Acciones u omisiones realizadas en el procedimiento. Así como si la autoridad actuó con la debida diligencia.</w:t>
      </w:r>
    </w:p>
    <w:p w14:paraId="471C78F0" w14:textId="77777777" w:rsidR="003A5C5D" w:rsidRPr="00830619" w:rsidRDefault="006654DD">
      <w:pPr>
        <w:tabs>
          <w:tab w:val="left" w:pos="851"/>
        </w:tabs>
        <w:spacing w:after="0" w:line="360" w:lineRule="auto"/>
        <w:ind w:left="567" w:right="560"/>
        <w:jc w:val="both"/>
        <w:rPr>
          <w:rFonts w:ascii="Palatino Linotype" w:eastAsia="Palatino Linotype" w:hAnsi="Palatino Linotype" w:cs="Palatino Linotype"/>
        </w:rPr>
      </w:pPr>
      <w:r w:rsidRPr="00830619">
        <w:rPr>
          <w:rFonts w:ascii="Palatino Linotype" w:eastAsia="Palatino Linotype" w:hAnsi="Palatino Linotype" w:cs="Palatino Linotype"/>
          <w:b/>
          <w:bCs/>
        </w:rPr>
        <w:t>d) La afectación generada en la situación jurídica de la persona involucrada en el proceso:</w:t>
      </w:r>
      <w:r w:rsidRPr="00830619">
        <w:rPr>
          <w:rFonts w:ascii="Palatino Linotype" w:eastAsia="Palatino Linotype" w:hAnsi="Palatino Linotype" w:cs="Palatino Linotype"/>
        </w:rPr>
        <w:t xml:space="preserve"> Violación a sus derechos humanos.</w:t>
      </w:r>
    </w:p>
    <w:p w14:paraId="2A586CA0" w14:textId="77777777" w:rsidR="003A5C5D" w:rsidRPr="00830619" w:rsidRDefault="003A5C5D">
      <w:pPr>
        <w:spacing w:after="0" w:line="360" w:lineRule="auto"/>
        <w:ind w:right="49"/>
        <w:jc w:val="both"/>
        <w:rPr>
          <w:rFonts w:ascii="Palatino Linotype" w:eastAsia="Palatino Linotype" w:hAnsi="Palatino Linotype" w:cs="Palatino Linotype"/>
        </w:rPr>
      </w:pPr>
    </w:p>
    <w:p w14:paraId="1D4BFD02"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360920" w14:textId="77777777" w:rsidR="003A5C5D" w:rsidRPr="00830619" w:rsidRDefault="003A5C5D">
      <w:pPr>
        <w:spacing w:after="0" w:line="360" w:lineRule="auto"/>
        <w:ind w:right="49"/>
        <w:jc w:val="both"/>
        <w:rPr>
          <w:rFonts w:ascii="Palatino Linotype" w:eastAsia="Palatino Linotype" w:hAnsi="Palatino Linotype" w:cs="Palatino Linotype"/>
        </w:rPr>
      </w:pPr>
    </w:p>
    <w:p w14:paraId="3F08CA78"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Argumento que encuentra sustento en la jurisprudencia P./J. 32/92 emitida por el Pleno de la Suprema Corte de Justicia de la Nación de rubro “</w:t>
      </w:r>
      <w:r w:rsidRPr="00830619">
        <w:rPr>
          <w:rFonts w:ascii="Palatino Linotype" w:eastAsia="Palatino Linotype" w:hAnsi="Palatino Linotype" w:cs="Palatino Linotype"/>
          <w:b/>
          <w:bCs/>
        </w:rPr>
        <w:t>TÉRMINOS PROCESALES. PARA DETERMINAR SI UN FUNCIONARIO JUDICIAL ACTUÓ INDEBIDAMENTE POR NO RESPETARLOS SE DEBE ATENDER AL PRESUPUESTO QUE CONSIDERÓ EL LEGISLADOR AL FIJARLOS Y LAS CARACTERÍSTICAS DEL CASO.”</w:t>
      </w:r>
      <w:r w:rsidRPr="00830619">
        <w:rPr>
          <w:rFonts w:ascii="Palatino Linotype" w:eastAsia="Palatino Linotype" w:hAnsi="Palatino Linotype" w:cs="Palatino Linotype"/>
        </w:rPr>
        <w:t>, visible en la Gaceta del Seminario Judicial de la Federación con el registro digital 205635.</w:t>
      </w:r>
    </w:p>
    <w:p w14:paraId="4F4C4020"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 </w:t>
      </w:r>
    </w:p>
    <w:p w14:paraId="3B44DFFF"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520157" w14:textId="77777777" w:rsidR="003A5C5D" w:rsidRPr="00830619" w:rsidRDefault="003A5C5D">
      <w:pPr>
        <w:spacing w:after="0" w:line="360" w:lineRule="auto"/>
        <w:ind w:right="49"/>
        <w:jc w:val="both"/>
        <w:rPr>
          <w:rFonts w:ascii="Palatino Linotype" w:eastAsia="Palatino Linotype" w:hAnsi="Palatino Linotype" w:cs="Palatino Linotype"/>
        </w:rPr>
      </w:pPr>
    </w:p>
    <w:p w14:paraId="510A604A"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61CD020" w14:textId="77777777" w:rsidR="003A5C5D" w:rsidRPr="00830619" w:rsidRDefault="003A5C5D">
      <w:pPr>
        <w:spacing w:after="0" w:line="360" w:lineRule="auto"/>
        <w:ind w:right="49"/>
        <w:jc w:val="both"/>
        <w:rPr>
          <w:rFonts w:ascii="Palatino Linotype" w:eastAsia="Palatino Linotype" w:hAnsi="Palatino Linotype" w:cs="Palatino Linotype"/>
        </w:rPr>
      </w:pPr>
    </w:p>
    <w:p w14:paraId="6A691BE9" w14:textId="77777777" w:rsidR="003A5C5D" w:rsidRPr="00830619" w:rsidRDefault="006654DD">
      <w:pPr>
        <w:spacing w:after="0" w:line="360" w:lineRule="auto"/>
        <w:ind w:left="567" w:right="560"/>
        <w:jc w:val="both"/>
        <w:rPr>
          <w:rFonts w:ascii="Palatino Linotype" w:eastAsia="Palatino Linotype" w:hAnsi="Palatino Linotype" w:cs="Palatino Linotype"/>
        </w:rPr>
      </w:pPr>
      <w:r w:rsidRPr="00830619">
        <w:rPr>
          <w:rFonts w:ascii="Palatino Linotype" w:eastAsia="Palatino Linotype" w:hAnsi="Palatino Linotype" w:cs="Palatino Linotype"/>
          <w:b/>
          <w:bCs/>
        </w:rPr>
        <w:t xml:space="preserve"> “PLAZO RAZONABLE PARA RESOLVER. DIMENSIÓN Y EFECTOS DE ESTE CONCEPTO CUANDO SE ADUCE EXCESIVA CARGA DE TRABAJO.”</w:t>
      </w:r>
      <w:r w:rsidRPr="00830619">
        <w:rPr>
          <w:rFonts w:ascii="Palatino Linotype" w:eastAsia="Palatino Linotype" w:hAnsi="Palatino Linotype" w:cs="Palatino Linotype"/>
        </w:rPr>
        <w:t xml:space="preserve"> consultable en el Seminario Judicial de la Federación y su gaceta, con el registro digital 2002351.</w:t>
      </w:r>
    </w:p>
    <w:p w14:paraId="5D60B400" w14:textId="77777777" w:rsidR="003A5C5D" w:rsidRPr="00830619" w:rsidRDefault="006654DD">
      <w:pPr>
        <w:spacing w:after="0" w:line="360" w:lineRule="auto"/>
        <w:ind w:left="567" w:right="560"/>
        <w:jc w:val="both"/>
        <w:rPr>
          <w:rFonts w:ascii="Palatino Linotype" w:eastAsia="Palatino Linotype" w:hAnsi="Palatino Linotype" w:cs="Palatino Linotype"/>
        </w:rPr>
      </w:pPr>
      <w:r w:rsidRPr="00830619">
        <w:rPr>
          <w:rFonts w:ascii="Palatino Linotype" w:eastAsia="Palatino Linotype" w:hAnsi="Palatino Linotype" w:cs="Palatino Linotype"/>
          <w:b/>
          <w:bCs/>
        </w:rPr>
        <w:t>“PLAZO RAZONABLE PARA RESOLVER. CONCEPTO Y ELEMENTOS QUE LO INTEGRAN A LA LUZ DEL DERECHO INTERNACIONAL DE LOS DERECHOS HUMANOS.”,</w:t>
      </w:r>
      <w:r w:rsidRPr="00830619">
        <w:rPr>
          <w:rFonts w:ascii="Palatino Linotype" w:eastAsia="Palatino Linotype" w:hAnsi="Palatino Linotype" w:cs="Palatino Linotype"/>
        </w:rPr>
        <w:t xml:space="preserve"> visible en el Seminario Judicial de la Federación y su gaceta, con el registro digital 2002350.</w:t>
      </w:r>
    </w:p>
    <w:p w14:paraId="61E65597" w14:textId="77777777" w:rsidR="003A5C5D" w:rsidRPr="00830619" w:rsidRDefault="003A5C5D">
      <w:pPr>
        <w:spacing w:after="0" w:line="360" w:lineRule="auto"/>
        <w:ind w:left="567" w:right="560"/>
        <w:jc w:val="both"/>
        <w:rPr>
          <w:rFonts w:ascii="Palatino Linotype" w:eastAsia="Palatino Linotype" w:hAnsi="Palatino Linotype" w:cs="Palatino Linotype"/>
        </w:rPr>
      </w:pPr>
    </w:p>
    <w:p w14:paraId="5C6E69C8" w14:textId="77777777" w:rsidR="003A5C5D" w:rsidRPr="00830619" w:rsidRDefault="006654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asunto resulta de carácter excepcional. </w:t>
      </w:r>
    </w:p>
    <w:p w14:paraId="12DCF507" w14:textId="77777777" w:rsidR="003A5C5D" w:rsidRPr="00830619" w:rsidRDefault="003A5C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1B0B914" w14:textId="77777777" w:rsidR="003A5C5D" w:rsidRPr="00830619" w:rsidRDefault="006654DD">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30619">
        <w:rPr>
          <w:rFonts w:ascii="Palatino Linotype" w:eastAsia="Palatino Linotype" w:hAnsi="Palatino Linotype" w:cs="Palatino Linotype"/>
          <w:b/>
          <w:bCs/>
        </w:rPr>
        <w:t>Cierre de instrucción</w:t>
      </w:r>
      <w:r w:rsidRPr="00830619">
        <w:rPr>
          <w:rFonts w:ascii="Palatino Linotype" w:eastAsia="Palatino Linotype" w:hAnsi="Palatino Linotype" w:cs="Palatino Linotype"/>
        </w:rPr>
        <w:t xml:space="preserve">. En fecha </w:t>
      </w:r>
      <w:r w:rsidRPr="00830619">
        <w:rPr>
          <w:rFonts w:ascii="Palatino Linotype" w:eastAsia="Palatino Linotype" w:hAnsi="Palatino Linotype" w:cs="Palatino Linotype"/>
          <w:b/>
          <w:bCs/>
        </w:rPr>
        <w:t>cuatro de febrero de dos mil veintiséis</w:t>
      </w:r>
      <w:r w:rsidRPr="0083061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3B8FC33" w14:textId="77777777" w:rsidR="003A5C5D" w:rsidRPr="00830619" w:rsidRDefault="003A5C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AAFF263"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2AF2B335" w14:textId="77777777" w:rsidR="003A5C5D" w:rsidRPr="00830619" w:rsidRDefault="003A5C5D">
      <w:pPr>
        <w:spacing w:after="0" w:line="360" w:lineRule="auto"/>
        <w:ind w:right="49"/>
        <w:jc w:val="both"/>
        <w:rPr>
          <w:rFonts w:ascii="Palatino Linotype" w:eastAsia="Palatino Linotype" w:hAnsi="Palatino Linotype" w:cs="Palatino Linotype"/>
        </w:rPr>
      </w:pPr>
    </w:p>
    <w:p w14:paraId="3BD1B9AB" w14:textId="77777777" w:rsidR="003A5C5D" w:rsidRPr="00830619" w:rsidRDefault="006654DD">
      <w:pPr>
        <w:spacing w:after="0" w:line="360" w:lineRule="auto"/>
        <w:ind w:right="49"/>
        <w:jc w:val="center"/>
        <w:rPr>
          <w:rFonts w:ascii="Palatino Linotype" w:eastAsia="Palatino Linotype" w:hAnsi="Palatino Linotype" w:cs="Palatino Linotype"/>
          <w:b/>
          <w:bCs/>
        </w:rPr>
      </w:pPr>
      <w:r w:rsidRPr="00830619">
        <w:rPr>
          <w:rFonts w:ascii="Palatino Linotype" w:eastAsia="Palatino Linotype" w:hAnsi="Palatino Linotype" w:cs="Palatino Linotype"/>
          <w:b/>
          <w:bCs/>
        </w:rPr>
        <w:t>II.</w:t>
      </w:r>
      <w:r w:rsidRPr="00830619">
        <w:rPr>
          <w:rFonts w:ascii="Palatino Linotype" w:eastAsia="Palatino Linotype" w:hAnsi="Palatino Linotype" w:cs="Palatino Linotype"/>
          <w:b/>
          <w:bCs/>
        </w:rPr>
        <w:tab/>
        <w:t>C O N S I D E R A N D O:</w:t>
      </w:r>
    </w:p>
    <w:p w14:paraId="77CC9E8C" w14:textId="77777777" w:rsidR="003A5C5D" w:rsidRPr="00830619" w:rsidRDefault="003A5C5D">
      <w:pPr>
        <w:spacing w:after="0" w:line="360" w:lineRule="auto"/>
        <w:ind w:right="49"/>
        <w:jc w:val="both"/>
        <w:rPr>
          <w:rFonts w:ascii="Palatino Linotype" w:eastAsia="Palatino Linotype" w:hAnsi="Palatino Linotype" w:cs="Palatino Linotype"/>
        </w:rPr>
      </w:pPr>
    </w:p>
    <w:p w14:paraId="7FEB615C"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b/>
          <w:bCs/>
        </w:rPr>
        <w:t xml:space="preserve">Primero. Competencia. </w:t>
      </w:r>
      <w:r w:rsidRPr="00830619">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402F40C" w14:textId="77777777" w:rsidR="003A5C5D" w:rsidRPr="00830619" w:rsidRDefault="003A5C5D">
      <w:pPr>
        <w:spacing w:after="0" w:line="360" w:lineRule="auto"/>
        <w:ind w:right="49"/>
        <w:jc w:val="both"/>
        <w:rPr>
          <w:rFonts w:ascii="Palatino Linotype" w:eastAsia="Palatino Linotype" w:hAnsi="Palatino Linotype" w:cs="Palatino Linotype"/>
        </w:rPr>
      </w:pPr>
    </w:p>
    <w:p w14:paraId="005919F3"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b/>
          <w:bCs/>
        </w:rPr>
        <w:t>Segundo. Oportunidad y Procedibilidad del Recurso de Revisión.</w:t>
      </w:r>
      <w:r w:rsidRPr="00830619">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75452B7B" w14:textId="77777777" w:rsidR="003A5C5D" w:rsidRPr="00830619" w:rsidRDefault="003A5C5D">
      <w:pPr>
        <w:spacing w:after="0" w:line="360" w:lineRule="auto"/>
        <w:ind w:right="49"/>
        <w:jc w:val="both"/>
        <w:rPr>
          <w:rFonts w:ascii="Palatino Linotype" w:eastAsia="Palatino Linotype" w:hAnsi="Palatino Linotype" w:cs="Palatino Linotype"/>
        </w:rPr>
      </w:pPr>
    </w:p>
    <w:p w14:paraId="79A21454"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 xml:space="preserve"> remitió la respuesta a la solicitud de información del </w:t>
      </w:r>
      <w:r w:rsidRPr="00830619">
        <w:rPr>
          <w:rFonts w:ascii="Palatino Linotype" w:eastAsia="Palatino Linotype" w:hAnsi="Palatino Linotype" w:cs="Palatino Linotype"/>
          <w:b/>
          <w:bCs/>
        </w:rPr>
        <w:t>diez de octubre de dos mil veinticinco</w:t>
      </w:r>
      <w:r w:rsidRPr="00830619">
        <w:rPr>
          <w:rFonts w:ascii="Palatino Linotype" w:eastAsia="Palatino Linotype" w:hAnsi="Palatino Linotype" w:cs="Palatino Linotype"/>
        </w:rPr>
        <w:t xml:space="preserve">, mientras que el recurso de revisión interpuesto por la parte </w:t>
      </w:r>
      <w:r w:rsidRPr="00830619">
        <w:rPr>
          <w:rFonts w:ascii="Palatino Linotype" w:eastAsia="Palatino Linotype" w:hAnsi="Palatino Linotype" w:cs="Palatino Linotype"/>
          <w:b/>
          <w:bCs/>
        </w:rPr>
        <w:t xml:space="preserve">RECURRENTE </w:t>
      </w:r>
      <w:r w:rsidRPr="00830619">
        <w:rPr>
          <w:rFonts w:ascii="Palatino Linotype" w:eastAsia="Palatino Linotype" w:hAnsi="Palatino Linotype" w:cs="Palatino Linotype"/>
        </w:rPr>
        <w:t xml:space="preserve">se tuvo por presentado el </w:t>
      </w:r>
      <w:r w:rsidRPr="00830619">
        <w:rPr>
          <w:rFonts w:ascii="Palatino Linotype" w:eastAsia="Palatino Linotype" w:hAnsi="Palatino Linotype" w:cs="Palatino Linotype"/>
          <w:b/>
          <w:bCs/>
        </w:rPr>
        <w:t>quince de octubre de dos mil veinticinco</w:t>
      </w:r>
      <w:r w:rsidRPr="00830619">
        <w:rPr>
          <w:rFonts w:ascii="Palatino Linotype" w:eastAsia="Palatino Linotype" w:hAnsi="Palatino Linotype" w:cs="Palatino Linotype"/>
        </w:rPr>
        <w:t>, esto es al tercer día hábil en que se tuvo conocimiento de la respuesta.</w:t>
      </w:r>
    </w:p>
    <w:p w14:paraId="59F2D279" w14:textId="77777777" w:rsidR="003A5C5D" w:rsidRPr="00830619" w:rsidRDefault="003A5C5D">
      <w:pPr>
        <w:spacing w:after="0" w:line="360" w:lineRule="auto"/>
        <w:ind w:right="49"/>
        <w:jc w:val="both"/>
        <w:rPr>
          <w:rFonts w:ascii="Palatino Linotype" w:eastAsia="Palatino Linotype" w:hAnsi="Palatino Linotype" w:cs="Palatino Linotype"/>
        </w:rPr>
      </w:pPr>
    </w:p>
    <w:p w14:paraId="538164D1"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830619">
        <w:rPr>
          <w:rFonts w:ascii="Palatino Linotype" w:eastAsia="Palatino Linotype" w:hAnsi="Palatino Linotype" w:cs="Palatino Linotype"/>
          <w:b/>
          <w:bCs/>
        </w:rPr>
        <w:t>SAIMEX</w:t>
      </w:r>
      <w:r w:rsidRPr="00830619">
        <w:rPr>
          <w:rFonts w:ascii="Palatino Linotype" w:eastAsia="Palatino Linotype" w:hAnsi="Palatino Linotype" w:cs="Palatino Linotype"/>
        </w:rPr>
        <w:t xml:space="preserve">.  </w:t>
      </w:r>
    </w:p>
    <w:p w14:paraId="26057F3E" w14:textId="77777777" w:rsidR="003A5C5D" w:rsidRPr="00830619" w:rsidRDefault="003A5C5D">
      <w:pPr>
        <w:spacing w:after="0" w:line="360" w:lineRule="auto"/>
        <w:ind w:right="49"/>
        <w:jc w:val="both"/>
        <w:rPr>
          <w:rFonts w:ascii="Palatino Linotype" w:eastAsia="Palatino Linotype" w:hAnsi="Palatino Linotype" w:cs="Palatino Linotype"/>
        </w:rPr>
      </w:pPr>
    </w:p>
    <w:p w14:paraId="3BEF34C8"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Finalmente, resulta procedente la interposición del recurso de revisión al rubro anotado, toda vez que se actualizan las hipótesis de procedencia previstas en el artículo 179 fracción V  de la Ley de la materia, que a la letra dice:</w:t>
      </w:r>
    </w:p>
    <w:p w14:paraId="62C8AC87" w14:textId="77777777" w:rsidR="003A5C5D" w:rsidRPr="00830619" w:rsidRDefault="003A5C5D">
      <w:pPr>
        <w:spacing w:after="0" w:line="360" w:lineRule="auto"/>
        <w:ind w:right="49"/>
        <w:jc w:val="both"/>
        <w:rPr>
          <w:rFonts w:ascii="Palatino Linotype" w:eastAsia="Palatino Linotype" w:hAnsi="Palatino Linotype" w:cs="Palatino Linotype"/>
        </w:rPr>
      </w:pPr>
    </w:p>
    <w:p w14:paraId="478FA902" w14:textId="77777777" w:rsidR="003A5C5D" w:rsidRPr="00830619" w:rsidRDefault="006654DD">
      <w:pPr>
        <w:spacing w:after="0"/>
        <w:ind w:left="567" w:right="560"/>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Artículo 179.</w:t>
      </w:r>
      <w:r w:rsidRPr="00830619">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6D539621" w14:textId="77777777" w:rsidR="003A5C5D" w:rsidRPr="00830619" w:rsidRDefault="006654DD">
      <w:pPr>
        <w:spacing w:after="0"/>
        <w:ind w:left="567" w:right="560"/>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3AB3591D" w14:textId="77777777" w:rsidR="003A5C5D" w:rsidRPr="00830619" w:rsidRDefault="006654DD">
      <w:pPr>
        <w:spacing w:after="0"/>
        <w:ind w:left="567" w:right="560"/>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V. La entrega de información incompleta; </w:t>
      </w:r>
    </w:p>
    <w:p w14:paraId="0D6E8162" w14:textId="77777777" w:rsidR="003A5C5D" w:rsidRPr="00830619" w:rsidRDefault="006654DD">
      <w:pPr>
        <w:spacing w:after="0"/>
        <w:ind w:left="567" w:right="560"/>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636649E4" w14:textId="77777777" w:rsidR="003A5C5D" w:rsidRPr="00830619" w:rsidRDefault="003A5C5D">
      <w:pPr>
        <w:spacing w:after="0" w:line="360" w:lineRule="auto"/>
        <w:ind w:right="49"/>
        <w:jc w:val="both"/>
        <w:rPr>
          <w:rFonts w:ascii="Palatino Linotype" w:eastAsia="Palatino Linotype" w:hAnsi="Palatino Linotype" w:cs="Palatino Linotype"/>
          <w:b/>
          <w:bCs/>
        </w:rPr>
      </w:pPr>
    </w:p>
    <w:p w14:paraId="662D9FFE"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b/>
          <w:bCs/>
        </w:rPr>
        <w:t>Tercero. Materia de la revisión</w:t>
      </w:r>
      <w:r w:rsidRPr="00830619">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para determinar, si se actualiza la hipótesis prevista en la fracción V del artículo 179 de la Ley en la materia. </w:t>
      </w:r>
    </w:p>
    <w:p w14:paraId="7F5FD040" w14:textId="77777777" w:rsidR="003A5C5D" w:rsidRPr="00830619" w:rsidRDefault="003A5C5D">
      <w:pPr>
        <w:spacing w:after="0" w:line="360" w:lineRule="auto"/>
        <w:ind w:right="49"/>
        <w:jc w:val="both"/>
        <w:rPr>
          <w:rFonts w:ascii="Palatino Linotype" w:eastAsia="Palatino Linotype" w:hAnsi="Palatino Linotype" w:cs="Palatino Linotype"/>
        </w:rPr>
      </w:pPr>
    </w:p>
    <w:p w14:paraId="19C5268E"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b/>
          <w:bCs/>
        </w:rPr>
        <w:t>Cuarto.</w:t>
      </w:r>
      <w:r w:rsidRPr="00830619">
        <w:rPr>
          <w:rFonts w:ascii="Palatino Linotype" w:eastAsia="Palatino Linotype" w:hAnsi="Palatino Linotype" w:cs="Palatino Linotype"/>
        </w:rPr>
        <w:t xml:space="preserve"> </w:t>
      </w:r>
      <w:r w:rsidRPr="00830619">
        <w:rPr>
          <w:rFonts w:ascii="Palatino Linotype" w:eastAsia="Palatino Linotype" w:hAnsi="Palatino Linotype" w:cs="Palatino Linotype"/>
          <w:b/>
          <w:bCs/>
        </w:rPr>
        <w:t>Estudio de fondo del asunto.</w:t>
      </w:r>
      <w:r w:rsidRPr="00830619">
        <w:rPr>
          <w:rFonts w:ascii="Palatino Linotype" w:eastAsia="Palatino Linotype" w:hAnsi="Palatino Linotype" w:cs="Palatino Linotype"/>
        </w:rPr>
        <w:t xml:space="preserve">  Es conveniente analizar si la respuesta del Sujeto Obligado</w:t>
      </w:r>
      <w:r w:rsidRPr="00830619">
        <w:rPr>
          <w:rFonts w:ascii="Palatino Linotype" w:eastAsia="Palatino Linotype" w:hAnsi="Palatino Linotype" w:cs="Palatino Linotype"/>
          <w:b/>
          <w:bCs/>
        </w:rPr>
        <w:t xml:space="preserve"> </w:t>
      </w:r>
      <w:r w:rsidRPr="00830619">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B64E071" w14:textId="77777777" w:rsidR="003A5C5D" w:rsidRPr="00830619" w:rsidRDefault="003A5C5D">
      <w:pPr>
        <w:spacing w:after="0" w:line="360" w:lineRule="auto"/>
        <w:ind w:right="49"/>
        <w:jc w:val="both"/>
        <w:rPr>
          <w:rFonts w:ascii="Palatino Linotype" w:eastAsia="Palatino Linotype" w:hAnsi="Palatino Linotype" w:cs="Palatino Linotype"/>
        </w:rPr>
      </w:pPr>
    </w:p>
    <w:p w14:paraId="28031423" w14:textId="77777777" w:rsidR="003A5C5D" w:rsidRPr="00830619" w:rsidRDefault="006654DD">
      <w:pPr>
        <w:tabs>
          <w:tab w:val="left" w:pos="851"/>
        </w:tabs>
        <w:spacing w:after="0"/>
        <w:ind w:left="567"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Artículo 4</w:t>
      </w:r>
      <w:r w:rsidRPr="00830619">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9284853" w14:textId="77777777" w:rsidR="003A5C5D" w:rsidRPr="00830619" w:rsidRDefault="006654DD">
      <w:pPr>
        <w:tabs>
          <w:tab w:val="left" w:pos="851"/>
        </w:tabs>
        <w:spacing w:after="0"/>
        <w:ind w:left="567"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830619">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96B682D" w14:textId="77777777" w:rsidR="003A5C5D" w:rsidRPr="00830619" w:rsidRDefault="006654DD">
      <w:pPr>
        <w:tabs>
          <w:tab w:val="left" w:pos="851"/>
        </w:tabs>
        <w:spacing w:after="0"/>
        <w:ind w:left="567"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830619">
        <w:rPr>
          <w:rFonts w:ascii="Palatino Linotype" w:eastAsia="Palatino Linotype" w:hAnsi="Palatino Linotype" w:cs="Palatino Linotype"/>
          <w:i/>
          <w:iCs/>
        </w:rPr>
        <w:t>.”</w:t>
      </w:r>
    </w:p>
    <w:p w14:paraId="68885FE3" w14:textId="77777777" w:rsidR="003A5C5D" w:rsidRPr="00830619" w:rsidRDefault="003A5C5D">
      <w:pPr>
        <w:spacing w:after="0" w:line="360" w:lineRule="auto"/>
        <w:jc w:val="both"/>
        <w:rPr>
          <w:rFonts w:ascii="Palatino Linotype" w:eastAsia="Palatino Linotype" w:hAnsi="Palatino Linotype" w:cs="Palatino Linotype"/>
        </w:rPr>
      </w:pPr>
    </w:p>
    <w:p w14:paraId="52D363A0"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2A1DB00" w14:textId="77777777" w:rsidR="003A5C5D" w:rsidRPr="00830619" w:rsidRDefault="003A5C5D">
      <w:pPr>
        <w:spacing w:after="0" w:line="360" w:lineRule="auto"/>
        <w:jc w:val="both"/>
        <w:rPr>
          <w:rFonts w:ascii="Palatino Linotype" w:eastAsia="Palatino Linotype" w:hAnsi="Palatino Linotype" w:cs="Palatino Linotype"/>
        </w:rPr>
      </w:pPr>
    </w:p>
    <w:p w14:paraId="665B5BB9" w14:textId="77777777" w:rsidR="003A5C5D" w:rsidRPr="00830619" w:rsidRDefault="006654DD">
      <w:pPr>
        <w:spacing w:after="0"/>
        <w:ind w:left="567"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Artículo 12.-</w:t>
      </w:r>
      <w:r w:rsidRPr="00830619">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59DAC868" w14:textId="77777777" w:rsidR="003A5C5D" w:rsidRPr="00830619" w:rsidRDefault="003A5C5D">
      <w:pPr>
        <w:spacing w:after="0"/>
        <w:ind w:left="567" w:right="616"/>
        <w:jc w:val="both"/>
        <w:rPr>
          <w:rFonts w:ascii="Palatino Linotype" w:eastAsia="Palatino Linotype" w:hAnsi="Palatino Linotype" w:cs="Palatino Linotype"/>
          <w:i/>
          <w:iCs/>
        </w:rPr>
      </w:pPr>
    </w:p>
    <w:p w14:paraId="394735D1" w14:textId="77777777" w:rsidR="003A5C5D" w:rsidRPr="00830619" w:rsidRDefault="006654DD">
      <w:pPr>
        <w:spacing w:after="0"/>
        <w:ind w:left="567"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830619">
        <w:rPr>
          <w:rFonts w:ascii="Palatino Linotype" w:eastAsia="Palatino Linotype" w:hAnsi="Palatino Linotype" w:cs="Palatino Linotype"/>
          <w:i/>
          <w:iCs/>
        </w:rPr>
        <w:t xml:space="preserve">. </w:t>
      </w:r>
      <w:r w:rsidRPr="00830619">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r w:rsidRPr="00830619">
        <w:rPr>
          <w:rFonts w:ascii="Palatino Linotype" w:eastAsia="Palatino Linotype" w:hAnsi="Palatino Linotype" w:cs="Palatino Linotype"/>
          <w:i/>
          <w:iCs/>
        </w:rPr>
        <w:t xml:space="preserve">.” </w:t>
      </w:r>
    </w:p>
    <w:p w14:paraId="7BE86C50" w14:textId="77777777" w:rsidR="003A5C5D" w:rsidRPr="00830619" w:rsidRDefault="003A5C5D">
      <w:pPr>
        <w:spacing w:after="0"/>
        <w:ind w:left="567" w:right="616"/>
        <w:jc w:val="both"/>
        <w:rPr>
          <w:rFonts w:ascii="Palatino Linotype" w:eastAsia="Palatino Linotype" w:hAnsi="Palatino Linotype" w:cs="Palatino Linotype"/>
          <w:i/>
          <w:iCs/>
        </w:rPr>
      </w:pPr>
    </w:p>
    <w:p w14:paraId="1E902DA7" w14:textId="77777777" w:rsidR="003A5C5D" w:rsidRPr="00830619" w:rsidRDefault="006654DD">
      <w:pPr>
        <w:spacing w:after="0" w:line="360" w:lineRule="auto"/>
        <w:ind w:right="-93"/>
        <w:jc w:val="both"/>
        <w:rPr>
          <w:rFonts w:ascii="Palatino Linotype" w:eastAsia="Palatino Linotype" w:hAnsi="Palatino Linotype" w:cs="Palatino Linotype"/>
        </w:rPr>
      </w:pPr>
      <w:r w:rsidRPr="00830619">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C342B6C" w14:textId="77777777" w:rsidR="003A5C5D" w:rsidRPr="00830619" w:rsidRDefault="003A5C5D">
      <w:pPr>
        <w:spacing w:after="0" w:line="360" w:lineRule="auto"/>
        <w:ind w:right="-93"/>
        <w:jc w:val="both"/>
        <w:rPr>
          <w:rFonts w:ascii="Palatino Linotype" w:eastAsia="Palatino Linotype" w:hAnsi="Palatino Linotype" w:cs="Palatino Linotype"/>
        </w:rPr>
      </w:pPr>
    </w:p>
    <w:p w14:paraId="18729A37" w14:textId="77777777" w:rsidR="003A5C5D" w:rsidRPr="00830619" w:rsidRDefault="006654DD">
      <w:pPr>
        <w:spacing w:after="0" w:line="360" w:lineRule="auto"/>
        <w:jc w:val="both"/>
        <w:rPr>
          <w:rFonts w:ascii="Palatino Linotype" w:eastAsia="Palatino Linotype" w:hAnsi="Palatino Linotype" w:cs="Palatino Linotype"/>
          <w:b/>
          <w:bCs/>
        </w:rPr>
      </w:pPr>
      <w:r w:rsidRPr="00830619">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830619">
        <w:rPr>
          <w:rFonts w:ascii="Palatino Linotype" w:eastAsia="Palatino Linotype" w:hAnsi="Palatino Linotype" w:cs="Palatino Linotype"/>
          <w:b/>
          <w:bCs/>
        </w:rPr>
        <w:t xml:space="preserve"> </w:t>
      </w:r>
    </w:p>
    <w:p w14:paraId="7F92EA7F" w14:textId="77777777" w:rsidR="003A5C5D" w:rsidRPr="00830619" w:rsidRDefault="003A5C5D">
      <w:pPr>
        <w:spacing w:after="0"/>
        <w:ind w:left="851" w:right="850"/>
        <w:jc w:val="both"/>
        <w:rPr>
          <w:rFonts w:ascii="Palatino Linotype" w:eastAsia="Palatino Linotype" w:hAnsi="Palatino Linotype" w:cs="Palatino Linotype"/>
        </w:rPr>
      </w:pPr>
    </w:p>
    <w:p w14:paraId="423B0505" w14:textId="77777777" w:rsidR="003A5C5D" w:rsidRPr="00830619" w:rsidRDefault="006654DD">
      <w:pPr>
        <w:spacing w:after="0"/>
        <w:ind w:left="567"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No existe obligación de elaborar documentos ad hoc para atender las solicitudes de acceso a la información.</w:t>
      </w:r>
      <w:r w:rsidRPr="00830619">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D3C6675" w14:textId="77777777" w:rsidR="003A5C5D" w:rsidRPr="00830619" w:rsidRDefault="003A5C5D">
      <w:pPr>
        <w:spacing w:after="0" w:line="360" w:lineRule="auto"/>
        <w:jc w:val="both"/>
        <w:rPr>
          <w:rFonts w:ascii="Palatino Linotype" w:eastAsia="Palatino Linotype" w:hAnsi="Palatino Linotype" w:cs="Palatino Linotype"/>
        </w:rPr>
      </w:pPr>
    </w:p>
    <w:p w14:paraId="413387F2"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0F3290D" w14:textId="77777777" w:rsidR="003A5C5D" w:rsidRPr="00830619" w:rsidRDefault="003A5C5D">
      <w:pPr>
        <w:spacing w:after="0" w:line="360" w:lineRule="auto"/>
        <w:jc w:val="both"/>
        <w:rPr>
          <w:rFonts w:ascii="Palatino Linotype" w:eastAsia="Palatino Linotype" w:hAnsi="Palatino Linotype" w:cs="Palatino Linotype"/>
        </w:rPr>
      </w:pPr>
    </w:p>
    <w:p w14:paraId="3B7AC545"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FEEB11E" w14:textId="77777777" w:rsidR="003A5C5D" w:rsidRPr="00830619" w:rsidRDefault="003A5C5D">
      <w:pPr>
        <w:spacing w:after="0" w:line="360" w:lineRule="auto"/>
        <w:ind w:right="49"/>
        <w:jc w:val="both"/>
        <w:rPr>
          <w:rFonts w:ascii="Palatino Linotype" w:eastAsia="Palatino Linotype" w:hAnsi="Palatino Linotype" w:cs="Palatino Linotype"/>
        </w:rPr>
      </w:pPr>
    </w:p>
    <w:p w14:paraId="330DCFEC"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3EE6CAC" w14:textId="77777777" w:rsidR="003A5C5D" w:rsidRPr="00830619" w:rsidRDefault="003A5C5D">
      <w:pPr>
        <w:spacing w:after="0" w:line="360" w:lineRule="auto"/>
        <w:jc w:val="both"/>
        <w:rPr>
          <w:rFonts w:ascii="Palatino Linotype" w:eastAsia="Palatino Linotype" w:hAnsi="Palatino Linotype" w:cs="Palatino Linotype"/>
        </w:rPr>
      </w:pPr>
    </w:p>
    <w:p w14:paraId="5CCBD774" w14:textId="77777777" w:rsidR="003A5C5D" w:rsidRPr="00830619" w:rsidRDefault="006654DD">
      <w:pPr>
        <w:spacing w:after="0"/>
        <w:ind w:left="567"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 xml:space="preserve">Artículo 3. </w:t>
      </w:r>
      <w:r w:rsidRPr="00830619">
        <w:rPr>
          <w:rFonts w:ascii="Palatino Linotype" w:eastAsia="Palatino Linotype" w:hAnsi="Palatino Linotype" w:cs="Palatino Linotype"/>
          <w:i/>
          <w:iCs/>
        </w:rPr>
        <w:t>Para los efectos de la presente Ley se entenderá por:</w:t>
      </w:r>
    </w:p>
    <w:p w14:paraId="1315563C" w14:textId="77777777" w:rsidR="003A5C5D" w:rsidRPr="00830619" w:rsidRDefault="006654DD">
      <w:pPr>
        <w:spacing w:after="0"/>
        <w:ind w:left="567"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3499EE26" w14:textId="77777777" w:rsidR="003A5C5D" w:rsidRPr="00830619" w:rsidRDefault="006654DD">
      <w:pPr>
        <w:spacing w:after="0"/>
        <w:ind w:left="567"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b/>
          <w:bCs/>
          <w:i/>
          <w:iCs/>
        </w:rPr>
        <w:t>XI. Documento:</w:t>
      </w:r>
      <w:r w:rsidRPr="00830619">
        <w:rPr>
          <w:rFonts w:ascii="Palatino Linotype" w:eastAsia="Palatino Linotype" w:hAnsi="Palatino Linotype" w:cs="Palatino Linotype"/>
          <w:i/>
          <w:iCs/>
        </w:rPr>
        <w:t xml:space="preserve"> Los expedientes, reportes, estudios, actas</w:t>
      </w:r>
      <w:r w:rsidRPr="00830619">
        <w:rPr>
          <w:rFonts w:ascii="Palatino Linotype" w:eastAsia="Palatino Linotype" w:hAnsi="Palatino Linotype" w:cs="Palatino Linotype"/>
          <w:b/>
          <w:bCs/>
          <w:i/>
          <w:iCs/>
        </w:rPr>
        <w:t>,</w:t>
      </w:r>
      <w:r w:rsidRPr="00830619">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052040B" w14:textId="77777777" w:rsidR="003A5C5D" w:rsidRPr="00830619" w:rsidRDefault="003A5C5D">
      <w:pPr>
        <w:spacing w:after="0" w:line="360" w:lineRule="auto"/>
        <w:ind w:left="851" w:right="899"/>
        <w:jc w:val="both"/>
        <w:rPr>
          <w:rFonts w:ascii="Palatino Linotype" w:eastAsia="Palatino Linotype" w:hAnsi="Palatino Linotype" w:cs="Palatino Linotype"/>
        </w:rPr>
      </w:pPr>
    </w:p>
    <w:p w14:paraId="3571E47A"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D56E4EC" w14:textId="77777777" w:rsidR="003A5C5D" w:rsidRPr="00830619" w:rsidRDefault="003A5C5D">
      <w:pPr>
        <w:spacing w:after="0" w:line="360" w:lineRule="auto"/>
        <w:ind w:left="851" w:right="899"/>
        <w:jc w:val="both"/>
        <w:rPr>
          <w:rFonts w:ascii="Palatino Linotype" w:eastAsia="Palatino Linotype" w:hAnsi="Palatino Linotype" w:cs="Palatino Linotype"/>
        </w:rPr>
      </w:pPr>
    </w:p>
    <w:p w14:paraId="39993250" w14:textId="77777777" w:rsidR="003A5C5D" w:rsidRPr="00830619" w:rsidRDefault="006654DD">
      <w:pPr>
        <w:tabs>
          <w:tab w:val="left" w:pos="7797"/>
        </w:tabs>
        <w:spacing w:after="0"/>
        <w:ind w:left="709" w:right="616"/>
        <w:jc w:val="both"/>
        <w:rPr>
          <w:rFonts w:ascii="Palatino Linotype" w:eastAsia="Palatino Linotype" w:hAnsi="Palatino Linotype" w:cs="Palatino Linotype"/>
          <w:b/>
          <w:bCs/>
          <w:i/>
          <w:iCs/>
        </w:rPr>
      </w:pPr>
      <w:r w:rsidRPr="00830619">
        <w:rPr>
          <w:rFonts w:ascii="Palatino Linotype" w:eastAsia="Palatino Linotype" w:hAnsi="Palatino Linotype" w:cs="Palatino Linotype"/>
          <w:b/>
          <w:bCs/>
        </w:rPr>
        <w:t>“</w:t>
      </w:r>
      <w:r w:rsidRPr="00830619">
        <w:rPr>
          <w:rFonts w:ascii="Palatino Linotype" w:eastAsia="Palatino Linotype" w:hAnsi="Palatino Linotype" w:cs="Palatino Linotype"/>
          <w:b/>
          <w:bCs/>
          <w:i/>
          <w:iCs/>
        </w:rPr>
        <w:t>CRITERIO 0002-11. INFORMACIÓN PÚBLICA, CONCEPTO DE, EN MATERIA DE TRANSPARENCIA. INTERPRETACIÓN SISTEMÁTICA DE LOS ARTÍCULOS 2°, FRACCIÓN V, XV, Y XVI, 3°, 4°, 11 Y 41.</w:t>
      </w:r>
      <w:r w:rsidRPr="00830619">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2BF536" w14:textId="77777777" w:rsidR="003A5C5D" w:rsidRPr="00830619" w:rsidRDefault="006654DD">
      <w:pPr>
        <w:tabs>
          <w:tab w:val="left" w:pos="7797"/>
        </w:tabs>
        <w:spacing w:after="0"/>
        <w:ind w:left="709"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En consecuencia el acceso a la información se refiere a que se cumplan cualquiera de los siguientes tres supuestos:</w:t>
      </w:r>
    </w:p>
    <w:p w14:paraId="426B03C4" w14:textId="77777777" w:rsidR="003A5C5D" w:rsidRPr="00830619" w:rsidRDefault="006654DD">
      <w:pPr>
        <w:tabs>
          <w:tab w:val="left" w:pos="7797"/>
        </w:tabs>
        <w:spacing w:after="0"/>
        <w:ind w:left="709"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14:paraId="1E7C464E" w14:textId="77777777" w:rsidR="003A5C5D" w:rsidRPr="00830619" w:rsidRDefault="006654DD">
      <w:pPr>
        <w:tabs>
          <w:tab w:val="left" w:pos="7797"/>
        </w:tabs>
        <w:spacing w:after="0"/>
        <w:ind w:left="709" w:right="616"/>
        <w:jc w:val="both"/>
        <w:rPr>
          <w:rFonts w:ascii="Palatino Linotype" w:eastAsia="Palatino Linotype" w:hAnsi="Palatino Linotype" w:cs="Palatino Linotype"/>
          <w:b/>
          <w:bCs/>
          <w:i/>
          <w:iCs/>
        </w:rPr>
      </w:pPr>
      <w:r w:rsidRPr="00830619">
        <w:rPr>
          <w:rFonts w:ascii="Palatino Linotype" w:eastAsia="Palatino Linotype" w:hAnsi="Palatino Linotype" w:cs="Palatino Linotype"/>
          <w:b/>
          <w:bCs/>
          <w:i/>
          <w:iCs/>
        </w:rPr>
        <w:t>2) Que se trate de información registrada en cualquier soporte documental, que en ejercicio de las atribuciones conferidas, sea administrada por los Sujetos Obligados, y</w:t>
      </w:r>
    </w:p>
    <w:p w14:paraId="20A1D87C" w14:textId="77777777" w:rsidR="003A5C5D" w:rsidRPr="00830619" w:rsidRDefault="006654DD">
      <w:pPr>
        <w:tabs>
          <w:tab w:val="left" w:pos="7797"/>
        </w:tabs>
        <w:spacing w:after="0"/>
        <w:ind w:left="709" w:right="616"/>
        <w:jc w:val="both"/>
        <w:rPr>
          <w:rFonts w:ascii="Palatino Linotype" w:eastAsia="Palatino Linotype" w:hAnsi="Palatino Linotype" w:cs="Palatino Linotype"/>
          <w:b/>
          <w:bCs/>
          <w:i/>
          <w:iCs/>
        </w:rPr>
      </w:pPr>
      <w:r w:rsidRPr="00830619">
        <w:rPr>
          <w:rFonts w:ascii="Palatino Linotype" w:eastAsia="Palatino Linotype" w:hAnsi="Palatino Linotype" w:cs="Palatino Linotype"/>
          <w:b/>
          <w:bCs/>
          <w:i/>
          <w:iCs/>
        </w:rPr>
        <w:t xml:space="preserve">3) Que se trate de información registrada en cualquier soporte documental, que en ejercicio de las atribuciones conferidas, se encuentre en posesión de los Sujetos Obligados.” </w:t>
      </w:r>
    </w:p>
    <w:p w14:paraId="7BFABEB9" w14:textId="77777777" w:rsidR="003A5C5D" w:rsidRPr="00830619" w:rsidRDefault="003A5C5D">
      <w:pPr>
        <w:spacing w:after="0" w:line="360" w:lineRule="auto"/>
        <w:jc w:val="both"/>
        <w:rPr>
          <w:rFonts w:ascii="Palatino Linotype" w:eastAsia="Palatino Linotype" w:hAnsi="Palatino Linotype" w:cs="Palatino Linotype"/>
        </w:rPr>
      </w:pPr>
    </w:p>
    <w:p w14:paraId="5D73A974" w14:textId="77777777" w:rsidR="003A5C5D" w:rsidRPr="00830619" w:rsidRDefault="006654DD">
      <w:pPr>
        <w:spacing w:after="0" w:line="360" w:lineRule="auto"/>
        <w:jc w:val="both"/>
        <w:rPr>
          <w:rFonts w:ascii="Palatino Linotype" w:eastAsia="Palatino Linotype" w:hAnsi="Palatino Linotype" w:cs="Palatino Linotype"/>
          <w:b/>
          <w:bCs/>
        </w:rPr>
      </w:pPr>
      <w:r w:rsidRPr="00830619">
        <w:rPr>
          <w:rFonts w:ascii="Palatino Linotype" w:eastAsia="Palatino Linotype" w:hAnsi="Palatino Linotype" w:cs="Palatino Linotype"/>
        </w:rPr>
        <w:t xml:space="preserve">Dicho lo anterior, es de recordar que la parte Solicitante requirió se le proporcionaran </w:t>
      </w:r>
      <w:r w:rsidRPr="00830619">
        <w:rPr>
          <w:rFonts w:ascii="Palatino Linotype" w:eastAsia="Palatino Linotype" w:hAnsi="Palatino Linotype" w:cs="Palatino Linotype"/>
          <w:b/>
          <w:bCs/>
        </w:rPr>
        <w:t xml:space="preserve">los recibos de nómina de los servidores públicos adscritos al Ayuntamiento de Tonanitla. </w:t>
      </w:r>
    </w:p>
    <w:p w14:paraId="3938B6DC" w14:textId="77777777" w:rsidR="003A5C5D" w:rsidRPr="00830619" w:rsidRDefault="003A5C5D">
      <w:pPr>
        <w:spacing w:after="0" w:line="360" w:lineRule="auto"/>
        <w:ind w:right="49"/>
        <w:jc w:val="both"/>
        <w:rPr>
          <w:rFonts w:ascii="Palatino Linotype" w:eastAsia="Palatino Linotype" w:hAnsi="Palatino Linotype" w:cs="Palatino Linotype"/>
        </w:rPr>
      </w:pPr>
    </w:p>
    <w:p w14:paraId="4FCBE917"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En respuesta, el Sujeto Obligado proporcionó nueve recibos de nómina en versión pública, de los integrantes de Cabildo correspondientes a la segunda quincena de septiembre de dos mil veinticinco. </w:t>
      </w:r>
    </w:p>
    <w:p w14:paraId="5CBA0905" w14:textId="77777777" w:rsidR="003A5C5D" w:rsidRPr="00830619" w:rsidRDefault="003A5C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67F8F3B5" w14:textId="77777777" w:rsidR="003A5C5D" w:rsidRPr="00830619" w:rsidRDefault="006654D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Derivado de ello, la parte Recurrente se inconformó arguyendo que se había solicitado el sueldo de todos los servidores públicos y únicamente entregaban del Cabildo. </w:t>
      </w:r>
    </w:p>
    <w:p w14:paraId="54AA605D" w14:textId="77777777" w:rsidR="003A5C5D" w:rsidRPr="00830619" w:rsidRDefault="003A5C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273FA20F"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El Sujeto Obligado, mediante informe justificado remitió doscientos quince recibos de nómina en versión pública de la primera quincena de octubre de dos mil veinticinco de diversos servidores públicos adscritos al Ayuntamiento de Tonanitla. </w:t>
      </w:r>
    </w:p>
    <w:p w14:paraId="4F38DDDC" w14:textId="77777777" w:rsidR="003A5C5D" w:rsidRPr="00830619" w:rsidRDefault="003A5C5D">
      <w:pPr>
        <w:spacing w:after="0" w:line="360" w:lineRule="auto"/>
        <w:ind w:right="49"/>
        <w:jc w:val="both"/>
        <w:rPr>
          <w:rFonts w:ascii="Palatino Linotype" w:eastAsia="Palatino Linotype" w:hAnsi="Palatino Linotype" w:cs="Palatino Linotype"/>
        </w:rPr>
      </w:pPr>
    </w:p>
    <w:p w14:paraId="53A4148A"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sidRPr="00830619">
        <w:rPr>
          <w:rFonts w:ascii="Palatino Linotype" w:eastAsia="Palatino Linotype" w:hAnsi="Palatino Linotype" w:cs="Palatino Linotype"/>
          <w:b/>
          <w:bCs/>
          <w:u w:val="single"/>
        </w:rPr>
        <w:t>porque únicamente se le entregó información del Cabildo, no así de los demás servidores públicos</w:t>
      </w:r>
      <w:r w:rsidRPr="00830619">
        <w:rPr>
          <w:rFonts w:ascii="Palatino Linotype" w:eastAsia="Palatino Linotype" w:hAnsi="Palatino Linotype" w:cs="Palatino Linotype"/>
        </w:rPr>
        <w:t>,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58B4E73F"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F18320E" w14:textId="77777777" w:rsidR="003A5C5D" w:rsidRPr="00830619" w:rsidRDefault="003A5C5D">
      <w:pPr>
        <w:spacing w:after="0" w:line="360" w:lineRule="auto"/>
        <w:jc w:val="both"/>
        <w:rPr>
          <w:rFonts w:ascii="Palatino Linotype" w:eastAsia="Palatino Linotype" w:hAnsi="Palatino Linotype" w:cs="Palatino Linotype"/>
        </w:rPr>
      </w:pPr>
    </w:p>
    <w:p w14:paraId="4E451894" w14:textId="77777777" w:rsidR="003A5C5D" w:rsidRPr="00830619" w:rsidRDefault="006654DD">
      <w:pPr>
        <w:spacing w:after="0"/>
        <w:ind w:left="567" w:right="616"/>
        <w:jc w:val="both"/>
        <w:rPr>
          <w:rFonts w:ascii="Palatino Linotype" w:eastAsia="Palatino Linotype" w:hAnsi="Palatino Linotype" w:cs="Palatino Linotype"/>
          <w:i/>
          <w:iCs/>
        </w:rPr>
      </w:pPr>
      <w:r w:rsidRPr="00830619">
        <w:rPr>
          <w:rFonts w:ascii="Palatino Linotype" w:eastAsia="Palatino Linotype" w:hAnsi="Palatino Linotype" w:cs="Palatino Linotype"/>
          <w:b/>
          <w:bCs/>
          <w:i/>
          <w:iCs/>
        </w:rPr>
        <w:t xml:space="preserve">“REVISIÓN EN AMPARO. LOS RESOLUTIVOS NO COMBATIDOS DEBEN DECLARARSE FIRMES. </w:t>
      </w:r>
      <w:r w:rsidRPr="00830619">
        <w:rPr>
          <w:rFonts w:ascii="Palatino Linotype" w:eastAsia="Palatino Linotype" w:hAnsi="Palatino Linotype" w:cs="Palatino Linotype"/>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BCCC945" w14:textId="77777777" w:rsidR="003A5C5D" w:rsidRPr="00830619" w:rsidRDefault="003A5C5D">
      <w:pPr>
        <w:spacing w:after="0" w:line="360" w:lineRule="auto"/>
        <w:jc w:val="both"/>
        <w:rPr>
          <w:rFonts w:ascii="Palatino Linotype" w:eastAsia="Palatino Linotype" w:hAnsi="Palatino Linotype" w:cs="Palatino Linotype"/>
        </w:rPr>
      </w:pPr>
    </w:p>
    <w:p w14:paraId="0A523E4D"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Consecuentemente, se insiste, ante la falta de impugnación eficaz, la respuesta entregada debe declararse consentida por persona solicitante.</w:t>
      </w:r>
    </w:p>
    <w:p w14:paraId="102CC879" w14:textId="77777777" w:rsidR="003A5C5D" w:rsidRPr="00830619" w:rsidRDefault="003A5C5D">
      <w:pPr>
        <w:spacing w:after="0" w:line="360" w:lineRule="auto"/>
        <w:jc w:val="both"/>
        <w:rPr>
          <w:rFonts w:ascii="Palatino Linotype" w:eastAsia="Palatino Linotype" w:hAnsi="Palatino Linotype" w:cs="Palatino Linotype"/>
        </w:rPr>
      </w:pPr>
    </w:p>
    <w:p w14:paraId="21137BC9" w14:textId="0D8D7F93"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Lo anterior se sustenta con lo plasmado en el criterio </w:t>
      </w:r>
      <w:r w:rsidR="00CD1E94" w:rsidRPr="00830619">
        <w:rPr>
          <w:rFonts w:ascii="Palatino Linotype" w:eastAsia="Palatino Linotype" w:hAnsi="Palatino Linotype" w:cs="Palatino Linotype"/>
        </w:rPr>
        <w:t xml:space="preserve">orientador </w:t>
      </w:r>
      <w:r w:rsidRPr="00830619">
        <w:rPr>
          <w:rFonts w:ascii="Palatino Linotype" w:eastAsia="Palatino Linotype" w:hAnsi="Palatino Linotype" w:cs="Palatino Linotype"/>
        </w:rPr>
        <w:t xml:space="preserve">01/20 emitido por el </w:t>
      </w:r>
      <w:r w:rsidR="00CD1E94" w:rsidRPr="00830619">
        <w:rPr>
          <w:rFonts w:ascii="Palatino Linotype" w:eastAsia="Palatino Linotype" w:hAnsi="Palatino Linotype" w:cs="Palatino Linotype"/>
        </w:rPr>
        <w:t xml:space="preserve">entonces </w:t>
      </w:r>
      <w:r w:rsidRPr="00830619">
        <w:rPr>
          <w:rFonts w:ascii="Palatino Linotype" w:eastAsia="Palatino Linotype" w:hAnsi="Palatino Linotype" w:cs="Palatino Linotype"/>
        </w:rPr>
        <w:t xml:space="preserve">Instituto Nacional de Transparencia, Acceso a la Información, y Protección de Datos Personales, INAI, que lleva por rubro y texto los siguientes: </w:t>
      </w:r>
    </w:p>
    <w:p w14:paraId="03809FD8" w14:textId="77777777" w:rsidR="003A5C5D" w:rsidRPr="00830619" w:rsidRDefault="003A5C5D">
      <w:pPr>
        <w:spacing w:after="0" w:line="360" w:lineRule="auto"/>
        <w:jc w:val="both"/>
        <w:rPr>
          <w:rFonts w:ascii="Palatino Linotype" w:eastAsia="Palatino Linotype" w:hAnsi="Palatino Linotype" w:cs="Palatino Linotype"/>
        </w:rPr>
      </w:pPr>
    </w:p>
    <w:p w14:paraId="7880E26E" w14:textId="77777777" w:rsidR="003A5C5D" w:rsidRPr="00830619" w:rsidRDefault="006654DD">
      <w:pPr>
        <w:pBdr>
          <w:top w:val="nil"/>
          <w:left w:val="nil"/>
          <w:bottom w:val="nil"/>
          <w:right w:val="nil"/>
          <w:between w:val="nil"/>
        </w:pBdr>
        <w:spacing w:after="0"/>
        <w:ind w:left="567" w:right="902"/>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 xml:space="preserve">Actos consentidos tácitamente. Improcedencia de su análisis. </w:t>
      </w:r>
      <w:r w:rsidRPr="00830619">
        <w:rPr>
          <w:rFonts w:ascii="Palatino Linotype" w:eastAsia="Palatino Linotype" w:hAnsi="Palatino Linotype" w:cs="Palatino Linotype"/>
          <w:i/>
          <w:iC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37B8250" w14:textId="77777777" w:rsidR="003A5C5D" w:rsidRPr="00830619" w:rsidRDefault="003A5C5D">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iCs/>
        </w:rPr>
      </w:pPr>
    </w:p>
    <w:p w14:paraId="3442DD5A"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04329892" w14:textId="77777777" w:rsidR="003A5C5D" w:rsidRPr="00830619" w:rsidRDefault="003A5C5D">
      <w:pPr>
        <w:spacing w:after="0" w:line="360" w:lineRule="auto"/>
        <w:jc w:val="both"/>
        <w:rPr>
          <w:rFonts w:ascii="Palatino Linotype" w:eastAsia="Palatino Linotype" w:hAnsi="Palatino Linotype" w:cs="Palatino Linotype"/>
        </w:rPr>
      </w:pPr>
    </w:p>
    <w:p w14:paraId="2413C879" w14:textId="77777777" w:rsidR="003A5C5D" w:rsidRPr="00830619" w:rsidRDefault="006654DD">
      <w:pPr>
        <w:tabs>
          <w:tab w:val="left" w:pos="851"/>
          <w:tab w:val="left" w:pos="1276"/>
        </w:tabs>
        <w:spacing w:after="0"/>
        <w:ind w:left="567" w:right="709"/>
        <w:jc w:val="both"/>
        <w:rPr>
          <w:rFonts w:ascii="Palatino Linotype" w:eastAsia="Palatino Linotype" w:hAnsi="Palatino Linotype" w:cs="Palatino Linotype"/>
        </w:rPr>
      </w:pPr>
      <w:r w:rsidRPr="00830619">
        <w:rPr>
          <w:rFonts w:ascii="Palatino Linotype" w:eastAsia="Palatino Linotype" w:hAnsi="Palatino Linotype" w:cs="Palatino Linotype"/>
          <w:b/>
          <w:bCs/>
          <w:i/>
          <w:iCs/>
          <w:smallCaps/>
        </w:rPr>
        <w:t xml:space="preserve">“ACTOS CONSENTIDOS. SON LOS QUE NO SE IMPUGNAN MEDIANTE EL RECURSO IDÓNEO. </w:t>
      </w:r>
      <w:r w:rsidRPr="00830619">
        <w:rPr>
          <w:rFonts w:ascii="Palatino Linotype" w:eastAsia="Palatino Linotype" w:hAnsi="Palatino Linotype" w:cs="Palatino Linotype"/>
          <w:i/>
          <w:iC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5FE7C9C" w14:textId="77777777" w:rsidR="003A5C5D" w:rsidRPr="00830619" w:rsidRDefault="003A5C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EFF3E6C" w14:textId="77777777" w:rsidR="003A5C5D" w:rsidRPr="00830619" w:rsidRDefault="006654DD">
      <w:pPr>
        <w:pBdr>
          <w:top w:val="nil"/>
          <w:left w:val="nil"/>
          <w:bottom w:val="nil"/>
          <w:right w:val="nil"/>
          <w:between w:val="nil"/>
        </w:pBdr>
        <w:spacing w:after="0" w:line="360" w:lineRule="auto"/>
        <w:ind w:right="49"/>
        <w:jc w:val="both"/>
        <w:rPr>
          <w:rFonts w:ascii="Palatino Linotype" w:eastAsia="Palatino Linotype" w:hAnsi="Palatino Linotype" w:cs="Palatino Linotype"/>
          <w:b/>
          <w:bCs/>
          <w:u w:val="single"/>
        </w:rPr>
      </w:pPr>
      <w:r w:rsidRPr="00830619">
        <w:rPr>
          <w:rFonts w:ascii="Palatino Linotype" w:eastAsia="Palatino Linotype" w:hAnsi="Palatino Linotype" w:cs="Palatino Linotype"/>
        </w:rPr>
        <w:t xml:space="preserve">Dicho lo anterior, la información de la que resulta procedente pronunciarse es respecto de la falta de entrega de los recibos de nómina de los demás servidores públicos, no así de los datos que fueron clasificados, de la temporalidad de la cual se entregó la información y de los recibos de nómina del Cabildo. </w:t>
      </w:r>
    </w:p>
    <w:p w14:paraId="110A6F3B" w14:textId="77777777" w:rsidR="003A5C5D" w:rsidRPr="00830619" w:rsidRDefault="003A5C5D">
      <w:pPr>
        <w:spacing w:after="0" w:line="360" w:lineRule="auto"/>
        <w:ind w:right="49"/>
        <w:jc w:val="both"/>
        <w:rPr>
          <w:rFonts w:ascii="Palatino Linotype" w:eastAsia="Palatino Linotype" w:hAnsi="Palatino Linotype" w:cs="Palatino Linotype"/>
        </w:rPr>
      </w:pPr>
    </w:p>
    <w:p w14:paraId="5859F489"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Dicho lo anterior, se procede a contextualizar la información solicitada, debido a que la información solicitada se relaciona con el </w:t>
      </w:r>
      <w:r w:rsidRPr="00830619">
        <w:rPr>
          <w:rFonts w:ascii="Palatino Linotype" w:eastAsia="Palatino Linotype" w:hAnsi="Palatino Linotype" w:cs="Palatino Linotype"/>
          <w:b/>
          <w:bCs/>
        </w:rPr>
        <w:t>pago quincenal de servidores públicos</w:t>
      </w:r>
      <w:r w:rsidRPr="00830619">
        <w:rPr>
          <w:rFonts w:ascii="Palatino Linotype" w:eastAsia="Palatino Linotype" w:hAnsi="Palatino Linotype" w:cs="Palatino Linotype"/>
        </w:rPr>
        <w:t xml:space="preserve">; el Glosario localizado en la página de Transparencia Presupuestaria de la Secretaría de Hacienda y Crédito Público (consultado en </w:t>
      </w:r>
      <w:hyperlink r:id="rId8">
        <w:r w:rsidRPr="00830619">
          <w:rPr>
            <w:rFonts w:ascii="Palatino Linotype" w:eastAsia="Palatino Linotype" w:hAnsi="Palatino Linotype" w:cs="Palatino Linotype"/>
            <w:u w:val="single"/>
          </w:rPr>
          <w:t>https://www.transparenciapresupuestaria.gob.mx/es/PTP/Glosario</w:t>
        </w:r>
      </w:hyperlink>
      <w:r w:rsidRPr="00830619">
        <w:rPr>
          <w:rFonts w:ascii="Palatino Linotype" w:eastAsia="Palatino Linotype" w:hAnsi="Palatino Linotype" w:cs="Palatino Linotype"/>
        </w:rPr>
        <w:t>), establece que:</w:t>
      </w:r>
    </w:p>
    <w:p w14:paraId="0E071E43" w14:textId="77777777" w:rsidR="003A5C5D" w:rsidRPr="00830619" w:rsidRDefault="003A5C5D">
      <w:pPr>
        <w:tabs>
          <w:tab w:val="left" w:pos="3261"/>
        </w:tabs>
        <w:spacing w:after="0" w:line="360" w:lineRule="auto"/>
        <w:jc w:val="both"/>
        <w:rPr>
          <w:rFonts w:ascii="Palatino Linotype" w:eastAsia="Palatino Linotype" w:hAnsi="Palatino Linotype" w:cs="Palatino Linotype"/>
        </w:rPr>
      </w:pPr>
    </w:p>
    <w:p w14:paraId="4220B8CC" w14:textId="77777777" w:rsidR="003A5C5D" w:rsidRPr="00830619" w:rsidRDefault="006654DD">
      <w:pPr>
        <w:spacing w:after="0" w:line="360" w:lineRule="auto"/>
        <w:jc w:val="center"/>
        <w:rPr>
          <w:rFonts w:ascii="Palatino Linotype" w:eastAsia="Palatino Linotype" w:hAnsi="Palatino Linotype" w:cs="Palatino Linotype"/>
        </w:rPr>
      </w:pPr>
      <w:r w:rsidRPr="00830619">
        <w:rPr>
          <w:rFonts w:ascii="Palatino Linotype" w:eastAsia="Palatino Linotype" w:hAnsi="Palatino Linotype" w:cs="Palatino Linotype"/>
          <w:noProof/>
        </w:rPr>
        <w:drawing>
          <wp:inline distT="0" distB="0" distL="0" distR="0" wp14:anchorId="2124009D" wp14:editId="7D385568">
            <wp:extent cx="4186953" cy="119743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86953" cy="1197435"/>
                    </a:xfrm>
                    <a:prstGeom prst="rect">
                      <a:avLst/>
                    </a:prstGeom>
                    <a:ln/>
                  </pic:spPr>
                </pic:pic>
              </a:graphicData>
            </a:graphic>
          </wp:inline>
        </w:drawing>
      </w:r>
    </w:p>
    <w:p w14:paraId="7C5E3662" w14:textId="77777777" w:rsidR="003A5C5D" w:rsidRPr="00830619" w:rsidRDefault="003A5C5D">
      <w:pPr>
        <w:spacing w:after="0" w:line="360" w:lineRule="auto"/>
        <w:jc w:val="both"/>
        <w:rPr>
          <w:rFonts w:ascii="Palatino Linotype" w:eastAsia="Palatino Linotype" w:hAnsi="Palatino Linotype" w:cs="Palatino Linotype"/>
        </w:rPr>
      </w:pPr>
    </w:p>
    <w:p w14:paraId="45594A5B"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De la misma manera, el Glosario de términos más usuales en la Administración Pública Federal, emitido por la Secretaría de Hacienda y Crédito Público (</w:t>
      </w:r>
      <w:hyperlink r:id="rId10">
        <w:r w:rsidRPr="00830619">
          <w:rPr>
            <w:rFonts w:ascii="Palatino Linotype" w:eastAsia="Palatino Linotype" w:hAnsi="Palatino Linotype" w:cs="Palatino Linotype"/>
            <w:u w:val="single"/>
          </w:rPr>
          <w:t>http://www.apartados.hacienda.gob.mx/contabilidad/documentos/informe_cuenta/1998/cuenta_publica/Glosario/n.htm</w:t>
        </w:r>
      </w:hyperlink>
      <w:r w:rsidRPr="00830619">
        <w:rPr>
          <w:rFonts w:ascii="Palatino Linotype" w:eastAsia="Palatino Linotype" w:hAnsi="Palatino Linotype" w:cs="Palatino Linotype"/>
        </w:rPr>
        <w:t>), establece que la nómina es un listado general de los trabajadores de una institución, en el cual se asientan las percepciones brutas, deducciones y alcance neto de las mismas.</w:t>
      </w:r>
    </w:p>
    <w:p w14:paraId="0D866F89" w14:textId="77777777" w:rsidR="003A5C5D" w:rsidRPr="00830619" w:rsidRDefault="003A5C5D">
      <w:pPr>
        <w:spacing w:after="0" w:line="360" w:lineRule="auto"/>
        <w:jc w:val="both"/>
        <w:rPr>
          <w:rFonts w:ascii="Palatino Linotype" w:eastAsia="Palatino Linotype" w:hAnsi="Palatino Linotype" w:cs="Palatino Linotype"/>
        </w:rPr>
      </w:pPr>
    </w:p>
    <w:p w14:paraId="79719283"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Conforme a lo anterior, se puede advertir que la nómina se puede referir a lo siguiente:</w:t>
      </w:r>
    </w:p>
    <w:p w14:paraId="150EB131"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 </w:t>
      </w:r>
    </w:p>
    <w:p w14:paraId="6FB0532E" w14:textId="77777777" w:rsidR="003A5C5D" w:rsidRPr="00830619" w:rsidRDefault="006654DD">
      <w:pPr>
        <w:tabs>
          <w:tab w:val="left" w:pos="8222"/>
        </w:tabs>
        <w:spacing w:after="0"/>
        <w:ind w:left="567" w:right="709"/>
        <w:jc w:val="both"/>
        <w:rPr>
          <w:rFonts w:ascii="Palatino Linotype" w:eastAsia="Palatino Linotype" w:hAnsi="Palatino Linotype" w:cs="Palatino Linotype"/>
        </w:rPr>
      </w:pPr>
      <w:r w:rsidRPr="00830619">
        <w:rPr>
          <w:rFonts w:ascii="Palatino Linotype" w:eastAsia="Palatino Linotype" w:hAnsi="Palatino Linotype" w:cs="Palatino Linotype"/>
        </w:rPr>
        <w:t>a)      Relación de trabajadores con las percepciones monetarias de cada uno.</w:t>
      </w:r>
    </w:p>
    <w:p w14:paraId="5A73F642" w14:textId="77777777" w:rsidR="003A5C5D" w:rsidRPr="00830619" w:rsidRDefault="006654DD">
      <w:pPr>
        <w:tabs>
          <w:tab w:val="left" w:pos="8222"/>
        </w:tabs>
        <w:spacing w:after="0"/>
        <w:ind w:left="567" w:right="709"/>
        <w:jc w:val="both"/>
        <w:rPr>
          <w:rFonts w:ascii="Palatino Linotype" w:eastAsia="Palatino Linotype" w:hAnsi="Palatino Linotype" w:cs="Palatino Linotype"/>
          <w:b/>
          <w:bCs/>
          <w:u w:val="single"/>
        </w:rPr>
      </w:pPr>
      <w:r w:rsidRPr="00830619">
        <w:rPr>
          <w:rFonts w:ascii="Palatino Linotype" w:eastAsia="Palatino Linotype" w:hAnsi="Palatino Linotype" w:cs="Palatino Linotype"/>
          <w:b/>
          <w:bCs/>
          <w:u w:val="single"/>
        </w:rPr>
        <w:t>b)      Recibo individual que contiene las prestaciones y deducciones de un trabajador.</w:t>
      </w:r>
    </w:p>
    <w:p w14:paraId="2DBB2735" w14:textId="77777777" w:rsidR="003A5C5D" w:rsidRPr="00830619" w:rsidRDefault="006654DD">
      <w:pPr>
        <w:tabs>
          <w:tab w:val="left" w:pos="8222"/>
        </w:tabs>
        <w:spacing w:after="0"/>
        <w:ind w:left="567" w:right="709"/>
        <w:jc w:val="both"/>
        <w:rPr>
          <w:rFonts w:ascii="Palatino Linotype" w:eastAsia="Palatino Linotype" w:hAnsi="Palatino Linotype" w:cs="Palatino Linotype"/>
        </w:rPr>
      </w:pPr>
      <w:r w:rsidRPr="00830619">
        <w:rPr>
          <w:rFonts w:ascii="Palatino Linotype" w:eastAsia="Palatino Linotype" w:hAnsi="Palatino Linotype" w:cs="Palatino Linotype"/>
        </w:rPr>
        <w:t>c)       Listado general de los servidores públicos de una institución o dependencia, en el cual se asientan las percepciones brutas, deducciones y alcance neto de las mismas.</w:t>
      </w:r>
    </w:p>
    <w:p w14:paraId="7FDBDEF0" w14:textId="77777777" w:rsidR="003A5C5D" w:rsidRPr="00830619" w:rsidRDefault="003A5C5D">
      <w:pPr>
        <w:spacing w:after="0" w:line="360" w:lineRule="auto"/>
        <w:jc w:val="both"/>
        <w:rPr>
          <w:rFonts w:ascii="Palatino Linotype" w:eastAsia="Palatino Linotype" w:hAnsi="Palatino Linotype" w:cs="Palatino Linotype"/>
        </w:rPr>
      </w:pPr>
    </w:p>
    <w:p w14:paraId="3104905B"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1722AD95" w14:textId="77777777" w:rsidR="003A5C5D" w:rsidRPr="00830619" w:rsidRDefault="003A5C5D">
      <w:pPr>
        <w:spacing w:after="0" w:line="360" w:lineRule="auto"/>
        <w:ind w:right="49"/>
        <w:jc w:val="both"/>
        <w:rPr>
          <w:rFonts w:ascii="Palatino Linotype" w:eastAsia="Palatino Linotype" w:hAnsi="Palatino Linotype" w:cs="Palatino Linotype"/>
        </w:rPr>
      </w:pPr>
    </w:p>
    <w:p w14:paraId="2869DB49"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000E552B"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40E5F756" w14:textId="77777777" w:rsidR="003A5C5D" w:rsidRPr="00830619" w:rsidRDefault="003A5C5D">
      <w:pPr>
        <w:spacing w:after="0" w:line="360" w:lineRule="auto"/>
        <w:ind w:right="843"/>
        <w:jc w:val="both"/>
        <w:rPr>
          <w:rFonts w:ascii="Palatino Linotype" w:eastAsia="Palatino Linotype" w:hAnsi="Palatino Linotype" w:cs="Palatino Linotype"/>
          <w:i/>
          <w:iCs/>
        </w:rPr>
      </w:pPr>
    </w:p>
    <w:p w14:paraId="514E783B"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Por su parte, la Ley del Trabajo de los Servidores Públicos del Estado y Municipios, en su artículo 220 K, fracciones II y IV, establece que: </w:t>
      </w:r>
    </w:p>
    <w:p w14:paraId="4A675CAE" w14:textId="77777777" w:rsidR="003A5C5D" w:rsidRPr="00830619" w:rsidRDefault="003A5C5D">
      <w:pPr>
        <w:spacing w:after="0" w:line="360" w:lineRule="auto"/>
        <w:jc w:val="both"/>
        <w:rPr>
          <w:rFonts w:ascii="Palatino Linotype" w:eastAsia="Palatino Linotype" w:hAnsi="Palatino Linotype" w:cs="Palatino Linotype"/>
        </w:rPr>
      </w:pPr>
    </w:p>
    <w:p w14:paraId="7A5B529A" w14:textId="77777777" w:rsidR="003A5C5D" w:rsidRPr="00830619" w:rsidRDefault="006654DD">
      <w:pPr>
        <w:spacing w:after="0"/>
        <w:ind w:left="567" w:right="843"/>
        <w:jc w:val="both"/>
        <w:rPr>
          <w:rFonts w:ascii="Palatino Linotype" w:eastAsia="Palatino Linotype" w:hAnsi="Palatino Linotype" w:cs="Palatino Linotype"/>
          <w:i/>
          <w:iCs/>
        </w:rPr>
      </w:pPr>
      <w:r w:rsidRPr="00830619">
        <w:rPr>
          <w:rFonts w:ascii="Palatino Linotype" w:eastAsia="Palatino Linotype" w:hAnsi="Palatino Linotype" w:cs="Palatino Linotype"/>
          <w:b/>
          <w:bCs/>
          <w:i/>
          <w:iCs/>
        </w:rPr>
        <w:t>ARTÍCULO 220 K</w:t>
      </w:r>
      <w:r w:rsidRPr="00830619">
        <w:rPr>
          <w:rFonts w:ascii="Palatino Linotype" w:eastAsia="Palatino Linotype" w:hAnsi="Palatino Linotype" w:cs="Palatino Linotype"/>
          <w:i/>
          <w:iCs/>
        </w:rPr>
        <w:t>.- La institución o dependencia pública tiene la obligación de conservar y exhibir en el proceso los documentos que a continuación se precisan:</w:t>
      </w:r>
    </w:p>
    <w:p w14:paraId="1C7CE485" w14:textId="77777777" w:rsidR="003A5C5D" w:rsidRPr="00830619" w:rsidRDefault="006654DD">
      <w:pPr>
        <w:spacing w:after="0"/>
        <w:ind w:left="567" w:right="843"/>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7E577E7B" w14:textId="77777777" w:rsidR="003A5C5D" w:rsidRPr="00830619" w:rsidRDefault="006654DD">
      <w:pPr>
        <w:spacing w:after="0"/>
        <w:ind w:left="567" w:right="843"/>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II. Recibos de pagos de salarios o las constancias documentales del pago de salario cuando sea por depósito o mediante información electrónica;</w:t>
      </w:r>
    </w:p>
    <w:p w14:paraId="7D9C2F6A" w14:textId="77777777" w:rsidR="003A5C5D" w:rsidRPr="00830619" w:rsidRDefault="006654DD">
      <w:pPr>
        <w:spacing w:after="0"/>
        <w:ind w:left="567" w:right="843"/>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6BD3E3BA" w14:textId="77777777" w:rsidR="003A5C5D" w:rsidRPr="00830619" w:rsidRDefault="006654DD">
      <w:pPr>
        <w:spacing w:after="0"/>
        <w:ind w:left="567" w:right="843"/>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IV. Recibos o las constancias de deposito o del medio de información magnética o electrónica que sean utilizadas para el pago de salarios, prima vacacional, aguinaldo y demás prestaciones establecidas en la presente ley; </w:t>
      </w:r>
    </w:p>
    <w:p w14:paraId="3AD437E7" w14:textId="77777777" w:rsidR="003A5C5D" w:rsidRPr="00830619" w:rsidRDefault="003A5C5D">
      <w:pPr>
        <w:spacing w:after="0"/>
        <w:ind w:left="567" w:right="843"/>
        <w:jc w:val="both"/>
        <w:rPr>
          <w:rFonts w:ascii="Palatino Linotype" w:eastAsia="Palatino Linotype" w:hAnsi="Palatino Linotype" w:cs="Palatino Linotype"/>
          <w:i/>
          <w:iCs/>
        </w:rPr>
      </w:pPr>
    </w:p>
    <w:p w14:paraId="7A7170F5"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Es decir, del precepto normativo se advierte que entre los documentos que tiene la obligación de conservar el Sujeto Obligado,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6D075140" w14:textId="77777777" w:rsidR="003A5C5D" w:rsidRPr="00830619" w:rsidRDefault="003A5C5D">
      <w:pPr>
        <w:spacing w:after="0" w:line="360" w:lineRule="auto"/>
        <w:jc w:val="both"/>
        <w:rPr>
          <w:rFonts w:ascii="Palatino Linotype" w:eastAsia="Palatino Linotype" w:hAnsi="Palatino Linotype" w:cs="Palatino Linotype"/>
        </w:rPr>
      </w:pPr>
    </w:p>
    <w:p w14:paraId="4CC4F3F8"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Ahora bien, respecto a los datos que componen el Comprobante Fiscal Digital por Internet, en principio es de mencionar que este es una factura electrónica emitida a los trabajadores dentro de una relación laboral para hacer constatar sus ingresos percibidos, así como las retenciones de impuestos u otros descuentos laborales aplicados. </w:t>
      </w:r>
    </w:p>
    <w:p w14:paraId="3AD04457" w14:textId="77777777" w:rsidR="003A5C5D" w:rsidRPr="00830619" w:rsidRDefault="003A5C5D">
      <w:pPr>
        <w:spacing w:after="0" w:line="360" w:lineRule="auto"/>
        <w:jc w:val="both"/>
        <w:rPr>
          <w:rFonts w:ascii="Palatino Linotype" w:eastAsia="Palatino Linotype" w:hAnsi="Palatino Linotype" w:cs="Palatino Linotype"/>
        </w:rPr>
      </w:pPr>
    </w:p>
    <w:p w14:paraId="62DA8FE0"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RPr="00830619">
        <w:rPr>
          <w:rFonts w:ascii="Palatino Linotype" w:eastAsia="Palatino Linotype" w:hAnsi="Palatino Linotype" w:cs="Palatino Linotype"/>
          <w:b/>
          <w:bCs/>
        </w:rPr>
        <w:t>obligación de los contribuyentes personas físicas o morales que en la realización de una actividad económica efectúen pagos a sus trabajadores por concepto de salarios y en general por la prestación de un servicio personal subordinado o a contribuyentes asimilados a salarios</w:t>
      </w:r>
      <w:r w:rsidRPr="00830619">
        <w:rPr>
          <w:rFonts w:ascii="Palatino Linotype" w:eastAsia="Palatino Linotype" w:hAnsi="Palatino Linotype" w:cs="Palatino Linotype"/>
        </w:rPr>
        <w:t>, 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y, 2.7.5.3., de la Resolución Miscelánea Fiscal vigente.</w:t>
      </w:r>
    </w:p>
    <w:p w14:paraId="75CE6F25" w14:textId="77777777" w:rsidR="003A5C5D" w:rsidRPr="00830619" w:rsidRDefault="003A5C5D">
      <w:pPr>
        <w:spacing w:after="0" w:line="360" w:lineRule="auto"/>
        <w:jc w:val="both"/>
        <w:rPr>
          <w:rFonts w:ascii="Palatino Linotype" w:eastAsia="Palatino Linotype" w:hAnsi="Palatino Linotype" w:cs="Palatino Linotype"/>
        </w:rPr>
      </w:pPr>
    </w:p>
    <w:p w14:paraId="0B8AD86E"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Es decir, este comprobante electrónico se utiliza como constancia o recibo de pago para efectos de la legislación laboral a que se refieren en los artículos 132 fracciones VII y VIII y 804, primer párrafo, fracciones II y IV de la Ley Federal de Trabajo, por lo que, en efecto deben contener datos como, el nombre del servidor público, su cargo, monto de percepciones netas y brutas, por mencionar algunas. </w:t>
      </w:r>
    </w:p>
    <w:p w14:paraId="689D9C58" w14:textId="77777777" w:rsidR="003A5C5D" w:rsidRPr="00830619" w:rsidRDefault="003A5C5D">
      <w:pPr>
        <w:spacing w:after="0" w:line="360" w:lineRule="auto"/>
        <w:jc w:val="both"/>
        <w:rPr>
          <w:rFonts w:ascii="Palatino Linotype" w:eastAsia="Palatino Linotype" w:hAnsi="Palatino Linotype" w:cs="Palatino Linotype"/>
        </w:rPr>
      </w:pPr>
    </w:p>
    <w:p w14:paraId="0183D881"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En lo que hace a nuestra materia, el artículo 65, fracción VII,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3A157BFE" w14:textId="77777777" w:rsidR="003A5C5D" w:rsidRPr="00830619" w:rsidRDefault="003A5C5D">
      <w:pPr>
        <w:spacing w:after="0" w:line="360" w:lineRule="auto"/>
        <w:jc w:val="both"/>
        <w:rPr>
          <w:rFonts w:ascii="Palatino Linotype" w:eastAsia="Palatino Linotype" w:hAnsi="Palatino Linotype" w:cs="Palatino Linotype"/>
        </w:rPr>
      </w:pPr>
    </w:p>
    <w:p w14:paraId="6542A2C7" w14:textId="77777777" w:rsidR="003A5C5D" w:rsidRPr="00830619" w:rsidRDefault="006654DD">
      <w:pPr>
        <w:spacing w:after="0"/>
        <w:ind w:left="567" w:right="843"/>
        <w:jc w:val="center"/>
        <w:rPr>
          <w:rFonts w:ascii="Palatino Linotype" w:eastAsia="Palatino Linotype" w:hAnsi="Palatino Linotype" w:cs="Palatino Linotype"/>
          <w:b/>
          <w:bCs/>
          <w:i/>
          <w:iCs/>
        </w:rPr>
      </w:pPr>
      <w:r w:rsidRPr="00830619">
        <w:rPr>
          <w:rFonts w:ascii="Palatino Linotype" w:eastAsia="Palatino Linotype" w:hAnsi="Palatino Linotype" w:cs="Palatino Linotype"/>
          <w:b/>
          <w:bCs/>
          <w:i/>
          <w:iCs/>
        </w:rPr>
        <w:t>Ley General de Transparencia y Acceso a la Información Pública</w:t>
      </w:r>
    </w:p>
    <w:p w14:paraId="486B99FD" w14:textId="77777777" w:rsidR="003A5C5D" w:rsidRPr="00830619" w:rsidRDefault="003A5C5D">
      <w:pPr>
        <w:spacing w:after="0"/>
        <w:ind w:left="567" w:right="843"/>
        <w:jc w:val="both"/>
        <w:rPr>
          <w:rFonts w:ascii="Palatino Linotype" w:eastAsia="Palatino Linotype" w:hAnsi="Palatino Linotype" w:cs="Palatino Linotype"/>
          <w:i/>
          <w:iCs/>
        </w:rPr>
      </w:pPr>
    </w:p>
    <w:p w14:paraId="62FF55C0" w14:textId="77777777" w:rsidR="003A5C5D" w:rsidRPr="00830619" w:rsidRDefault="006654DD">
      <w:pPr>
        <w:spacing w:after="0"/>
        <w:ind w:left="567" w:right="843"/>
        <w:jc w:val="both"/>
        <w:rPr>
          <w:rFonts w:ascii="Palatino Linotype" w:eastAsia="Palatino Linotype" w:hAnsi="Palatino Linotype" w:cs="Palatino Linotype"/>
          <w:b/>
          <w:bCs/>
          <w:i/>
          <w:iCs/>
        </w:rPr>
      </w:pPr>
      <w:r w:rsidRPr="00830619">
        <w:rPr>
          <w:rFonts w:ascii="Palatino Linotype" w:eastAsia="Palatino Linotype" w:hAnsi="Palatino Linotype" w:cs="Palatino Linotype"/>
          <w:b/>
          <w:bCs/>
          <w:i/>
          <w:iCs/>
        </w:rPr>
        <w:t xml:space="preserve">Artículo 65. </w:t>
      </w:r>
      <w:r w:rsidRPr="00830619">
        <w:rPr>
          <w:rFonts w:ascii="Palatino Linotype" w:eastAsia="Palatino Linotype" w:hAnsi="Palatino Linotype" w:cs="Palatino Linotype"/>
          <w:i/>
          <w:iCs/>
        </w:rPr>
        <w:t>Los sujetos obligados pondrán a disposición del público y mantendrán actualizada, en los respectivos medios electrónicos, de acuerdo con sus facultades, atribuciones, funciones u objeto social, según corresponda, la información, por lo menos, de los temas, documentos y políticas que a continuación se señalan:</w:t>
      </w:r>
      <w:r w:rsidRPr="00830619">
        <w:rPr>
          <w:rFonts w:ascii="Palatino Linotype" w:eastAsia="Palatino Linotype" w:hAnsi="Palatino Linotype" w:cs="Palatino Linotype"/>
          <w:b/>
          <w:bCs/>
          <w:i/>
          <w:iCs/>
        </w:rPr>
        <w:br/>
      </w:r>
      <w:r w:rsidRPr="00830619">
        <w:rPr>
          <w:rFonts w:ascii="Palatino Linotype" w:eastAsia="Palatino Linotype" w:hAnsi="Palatino Linotype" w:cs="Palatino Linotype"/>
          <w:i/>
          <w:iCs/>
        </w:rPr>
        <w:t>…</w:t>
      </w:r>
    </w:p>
    <w:p w14:paraId="78899497" w14:textId="77777777" w:rsidR="003A5C5D" w:rsidRPr="00830619" w:rsidRDefault="006654DD">
      <w:pPr>
        <w:spacing w:after="0"/>
        <w:ind w:left="567" w:right="843"/>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VII. La remuneración bruta y neta de todas las personas servidoras públicas de base o de confianza, de todas las percepciones, incluyendo sueldos, prestaciones, gratificaciones, primas, comisiones, dietas, bonos, estímulos, ingresos y sistemas de compensación, señalando la periodicidad de dicha remuneración;</w:t>
      </w:r>
    </w:p>
    <w:p w14:paraId="51166FFF" w14:textId="77777777" w:rsidR="003A5C5D" w:rsidRPr="00830619" w:rsidRDefault="006654DD">
      <w:pPr>
        <w:spacing w:after="0"/>
        <w:ind w:left="567" w:right="843"/>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64D36F50" w14:textId="77777777" w:rsidR="003A5C5D" w:rsidRPr="00830619" w:rsidRDefault="003A5C5D">
      <w:pPr>
        <w:spacing w:after="0"/>
        <w:ind w:left="567" w:right="843"/>
        <w:jc w:val="both"/>
        <w:rPr>
          <w:rFonts w:ascii="Palatino Linotype" w:eastAsia="Palatino Linotype" w:hAnsi="Palatino Linotype" w:cs="Palatino Linotype"/>
          <w:i/>
          <w:iCs/>
        </w:rPr>
      </w:pPr>
    </w:p>
    <w:p w14:paraId="1E623C90" w14:textId="77777777" w:rsidR="003A5C5D" w:rsidRPr="00830619" w:rsidRDefault="006654DD">
      <w:pPr>
        <w:spacing w:after="0"/>
        <w:ind w:left="567" w:right="843"/>
        <w:jc w:val="center"/>
        <w:rPr>
          <w:rFonts w:ascii="Palatino Linotype" w:eastAsia="Palatino Linotype" w:hAnsi="Palatino Linotype" w:cs="Palatino Linotype"/>
          <w:b/>
          <w:bCs/>
          <w:i/>
          <w:iCs/>
        </w:rPr>
      </w:pPr>
      <w:r w:rsidRPr="00830619">
        <w:rPr>
          <w:rFonts w:ascii="Palatino Linotype" w:eastAsia="Palatino Linotype" w:hAnsi="Palatino Linotype" w:cs="Palatino Linotype"/>
          <w:b/>
          <w:bCs/>
          <w:i/>
          <w:iCs/>
        </w:rPr>
        <w:t>Ley de Transparencia y Acceso a la Información Pública del Estado de México y Municipios</w:t>
      </w:r>
    </w:p>
    <w:p w14:paraId="39BA1463" w14:textId="77777777" w:rsidR="003A5C5D" w:rsidRPr="00830619" w:rsidRDefault="003A5C5D">
      <w:pPr>
        <w:spacing w:after="0"/>
        <w:ind w:left="567" w:right="843"/>
        <w:jc w:val="both"/>
        <w:rPr>
          <w:rFonts w:ascii="Palatino Linotype" w:eastAsia="Palatino Linotype" w:hAnsi="Palatino Linotype" w:cs="Palatino Linotype"/>
          <w:i/>
          <w:iCs/>
        </w:rPr>
      </w:pPr>
    </w:p>
    <w:p w14:paraId="32ACFD05" w14:textId="77777777" w:rsidR="003A5C5D" w:rsidRPr="00830619" w:rsidRDefault="006654DD">
      <w:pPr>
        <w:spacing w:after="0"/>
        <w:ind w:left="567" w:right="843"/>
        <w:jc w:val="both"/>
        <w:rPr>
          <w:rFonts w:ascii="Palatino Linotype" w:eastAsia="Palatino Linotype" w:hAnsi="Palatino Linotype" w:cs="Palatino Linotype"/>
          <w:i/>
          <w:iCs/>
        </w:rPr>
      </w:pPr>
      <w:r w:rsidRPr="00830619">
        <w:rPr>
          <w:rFonts w:ascii="Palatino Linotype" w:eastAsia="Palatino Linotype" w:hAnsi="Palatino Linotype" w:cs="Palatino Linotype"/>
          <w:b/>
          <w:bCs/>
          <w:i/>
          <w:iCs/>
        </w:rPr>
        <w:t>Artículo 92.</w:t>
      </w:r>
      <w:r w:rsidRPr="00830619">
        <w:rPr>
          <w:rFonts w:ascii="Palatino Linotype" w:eastAsia="Palatino Linotype" w:hAnsi="Palatino Linotype" w:cs="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73879A" w14:textId="77777777" w:rsidR="003A5C5D" w:rsidRPr="00830619" w:rsidRDefault="006654DD">
      <w:pPr>
        <w:spacing w:after="0"/>
        <w:ind w:left="567" w:right="843"/>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3825F02B" w14:textId="77777777" w:rsidR="003A5C5D" w:rsidRPr="00830619" w:rsidRDefault="006654DD">
      <w:pPr>
        <w:spacing w:after="0"/>
        <w:ind w:left="567" w:right="843"/>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27B7791" w14:textId="77777777" w:rsidR="003A5C5D" w:rsidRPr="00830619" w:rsidRDefault="006654DD">
      <w:pPr>
        <w:spacing w:after="0" w:line="360" w:lineRule="auto"/>
        <w:ind w:right="134"/>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75A6B643"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17AB1836"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Ahora bien, en atención a los agravios hechos valer por la parte Recurrente, relativos a que únicamente se le habían entregado los recibos de nómina de los integrantes de Cabildo; en principio resulta dable referir que, el Particular no señaló temporalidad de la cual requería tener la información, sin embargo, en razón de que no existió inconformidad respecto de la temporalidad de los recibos de nómina que se le enviaron como respuesta, se considera que la temporalidad de la cual es procedente analizar la información es la concerniente a la </w:t>
      </w:r>
      <w:r w:rsidRPr="00830619">
        <w:rPr>
          <w:rFonts w:ascii="Palatino Linotype" w:eastAsia="Palatino Linotype" w:hAnsi="Palatino Linotype" w:cs="Palatino Linotype"/>
          <w:b/>
          <w:bCs/>
          <w:u w:val="single"/>
        </w:rPr>
        <w:t>segunda quincena de septiembre de dos mil veinticinco.</w:t>
      </w:r>
      <w:r w:rsidRPr="00830619">
        <w:rPr>
          <w:rFonts w:ascii="Palatino Linotype" w:eastAsia="Palatino Linotype" w:hAnsi="Palatino Linotype" w:cs="Palatino Linotype"/>
        </w:rPr>
        <w:t xml:space="preserve"> </w:t>
      </w:r>
    </w:p>
    <w:p w14:paraId="19CC8A70"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6E7B4B7"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Dicho esto, se señala que mediante informe justificado, el Sujeto Obligado proporcionó distintos recibos de nómina concernientes a servidores públicos adscritos a diversas áreas del Ayuntamiento, por ello, es dable traer a colación el artículo 57 del Bando Municipal de Tonanitla 2025, que establece que para el despacho, estudio y planeación de los diversos asuntos de la administración municipal, el ayuntamiento cuenta con las siguientes dependencias: </w:t>
      </w:r>
    </w:p>
    <w:p w14:paraId="120CBC01"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D953EF2"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b/>
          <w:bCs/>
          <w:i/>
          <w:iCs/>
        </w:rPr>
        <w:t>ARTÌCULO 57.-</w:t>
      </w:r>
      <w:r w:rsidRPr="00830619">
        <w:rPr>
          <w:rFonts w:ascii="Palatino Linotype" w:eastAsia="Palatino Linotype" w:hAnsi="Palatino Linotype" w:cs="Palatino Linotype"/>
          <w:i/>
          <w:iCs/>
        </w:rPr>
        <w:t xml:space="preserve"> Para el despacho, estudio y planeación de los diversos asuntos de la administración municipal, el ayuntamiento cuenta con las siguientes </w:t>
      </w:r>
    </w:p>
    <w:p w14:paraId="319C6F74"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Dependencias: </w:t>
      </w:r>
    </w:p>
    <w:p w14:paraId="596C8F0E"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I. Secretaría del Ayuntamiento: </w:t>
      </w:r>
    </w:p>
    <w:p w14:paraId="34B8E4BA"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1) Oficialía de Partes</w:t>
      </w:r>
    </w:p>
    <w:p w14:paraId="342B88D7"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2) Junta Municipal de Reclutamiento;</w:t>
      </w:r>
    </w:p>
    <w:p w14:paraId="052D6EB6"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3) Oficialía 01 Registro Civil;</w:t>
      </w:r>
    </w:p>
    <w:p w14:paraId="3AFCDDFC"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4) Dirección de Archivo Municipal;</w:t>
      </w:r>
    </w:p>
    <w:p w14:paraId="11DCEA49"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5) Juzgado Cívico </w:t>
      </w:r>
    </w:p>
    <w:p w14:paraId="6314AEE9"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II. Tesorería Municipal: </w:t>
      </w:r>
    </w:p>
    <w:p w14:paraId="2B8709EC"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1) Jefatura de Catastro. </w:t>
      </w:r>
    </w:p>
    <w:p w14:paraId="76945E13" w14:textId="77777777" w:rsidR="003A5C5D" w:rsidRPr="00830619" w:rsidRDefault="003A5C5D">
      <w:pPr>
        <w:pBdr>
          <w:top w:val="nil"/>
          <w:left w:val="nil"/>
          <w:bottom w:val="nil"/>
          <w:right w:val="nil"/>
          <w:between w:val="nil"/>
        </w:pBdr>
        <w:spacing w:after="0"/>
        <w:ind w:left="567" w:right="426"/>
        <w:jc w:val="both"/>
        <w:rPr>
          <w:rFonts w:ascii="Palatino Linotype" w:eastAsia="Palatino Linotype" w:hAnsi="Palatino Linotype" w:cs="Palatino Linotype"/>
          <w:i/>
          <w:iCs/>
        </w:rPr>
      </w:pPr>
    </w:p>
    <w:p w14:paraId="34E9F9B6"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III. Órgano Interno de Control Municipal: </w:t>
      </w:r>
    </w:p>
    <w:p w14:paraId="0F1D89DF"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1) Autoridad Investigadora; </w:t>
      </w:r>
    </w:p>
    <w:p w14:paraId="7B3EDFD0"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2) Autoridad Substanciadora y Resolutora. </w:t>
      </w:r>
    </w:p>
    <w:p w14:paraId="361D2A6B"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IV. Dirección de Obras Públicas</w:t>
      </w:r>
    </w:p>
    <w:p w14:paraId="17F12E74"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V. Dirección de Fomento y Desarrollo Económico, Administración y Reglamentos.</w:t>
      </w:r>
    </w:p>
    <w:p w14:paraId="1A8FDAFB"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VI. Dirección de Desarrollo Urbano. </w:t>
      </w:r>
    </w:p>
    <w:p w14:paraId="1BD08390"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VII. Dirección de Protección Civil y Bomberos. </w:t>
      </w:r>
    </w:p>
    <w:p w14:paraId="2953DD84"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VIII. Dirección de Seguridad Pública Municipal; </w:t>
      </w:r>
    </w:p>
    <w:p w14:paraId="1165DF42"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1) Unidad de Asuntos Internos. </w:t>
      </w:r>
    </w:p>
    <w:p w14:paraId="0C329356"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2) Centro de Comando y Control C-2 </w:t>
      </w:r>
    </w:p>
    <w:p w14:paraId="0B4B121A"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IX. Secretaría Técnica de Seguridad Pública Municipal. </w:t>
      </w:r>
    </w:p>
    <w:p w14:paraId="5A022A56"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 Dirección de Servicios Públicos. </w:t>
      </w:r>
    </w:p>
    <w:p w14:paraId="201F1C9B"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XI. Dirección de Parques, jardines y panteón Municipal: </w:t>
      </w:r>
    </w:p>
    <w:p w14:paraId="64992758"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1) Coordinación de Ecología. </w:t>
      </w:r>
    </w:p>
    <w:p w14:paraId="62874E48"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XII. Dirección de Agua Potable, Drenaje y Alcantarillado.</w:t>
      </w:r>
    </w:p>
    <w:p w14:paraId="7BD30EE6"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XIII. Dirección de Educación y Cultura: </w:t>
      </w:r>
    </w:p>
    <w:p w14:paraId="6AEF7939"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XIV. Dirección de la Biblioteca Municipal “Ing. Manuel Alonso” </w:t>
      </w:r>
    </w:p>
    <w:p w14:paraId="000A80AA"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1) Coordinaciòn de la Biblioteca Digital Mexiquense. </w:t>
      </w:r>
    </w:p>
    <w:p w14:paraId="2DF69E19"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XV. Dirección de Desarrollo y Bienestar Social. Dirección de Salud. </w:t>
      </w:r>
    </w:p>
    <w:p w14:paraId="691C0297"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XVI. Dirección del Campo y Fomento Agropecuario. </w:t>
      </w:r>
    </w:p>
    <w:p w14:paraId="729C5CB4"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XVII. Dirección de la Mujer y Equidad de Género. </w:t>
      </w:r>
    </w:p>
    <w:p w14:paraId="739D5D46"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XVIII. Dirección de Comunicación Social </w:t>
      </w:r>
    </w:p>
    <w:p w14:paraId="7710383E"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XIX. Dirección de Gobierno. </w:t>
      </w:r>
    </w:p>
    <w:p w14:paraId="444A9F6E"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XX. Dirección de la Unidad de Transparencia, Acceso a la Información Pública y Protección de Datos Personales. </w:t>
      </w:r>
    </w:p>
    <w:p w14:paraId="7DD31101"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XXI. Dirección de la Unidad de Información, Planeación, Programación y Evaluación y Coordinación General. </w:t>
      </w:r>
    </w:p>
    <w:p w14:paraId="25404F99"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XXII. Municipal de Mejora Regulatoria. </w:t>
      </w:r>
    </w:p>
    <w:p w14:paraId="2F3A5A5A"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XXIII. Dirección Jurídica </w:t>
      </w:r>
    </w:p>
    <w:p w14:paraId="6CA90A41"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XXIV. Dirección de la Unidad Administrativa de Gobierno Digital y Sistemas.</w:t>
      </w:r>
    </w:p>
    <w:p w14:paraId="2BFB5E78"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XXV. Cronista Municipal. </w:t>
      </w:r>
    </w:p>
    <w:p w14:paraId="6563E900" w14:textId="77777777" w:rsidR="003A5C5D" w:rsidRPr="00830619" w:rsidRDefault="003A5C5D">
      <w:pPr>
        <w:pBdr>
          <w:top w:val="nil"/>
          <w:left w:val="nil"/>
          <w:bottom w:val="nil"/>
          <w:right w:val="nil"/>
          <w:between w:val="nil"/>
        </w:pBdr>
        <w:spacing w:after="0"/>
        <w:ind w:left="567" w:right="426"/>
        <w:jc w:val="both"/>
        <w:rPr>
          <w:rFonts w:ascii="Palatino Linotype" w:eastAsia="Palatino Linotype" w:hAnsi="Palatino Linotype" w:cs="Palatino Linotype"/>
          <w:i/>
          <w:iCs/>
        </w:rPr>
      </w:pPr>
    </w:p>
    <w:p w14:paraId="44EE82CF"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b/>
          <w:bCs/>
          <w:i/>
          <w:iCs/>
        </w:rPr>
      </w:pPr>
      <w:r w:rsidRPr="00830619">
        <w:rPr>
          <w:rFonts w:ascii="Palatino Linotype" w:eastAsia="Palatino Linotype" w:hAnsi="Palatino Linotype" w:cs="Palatino Linotype"/>
          <w:b/>
          <w:bCs/>
          <w:i/>
          <w:iCs/>
        </w:rPr>
        <w:t xml:space="preserve">ORGANISMOS PÚBLICOS AUTÓNOMOS: </w:t>
      </w:r>
    </w:p>
    <w:p w14:paraId="0D1D28ED" w14:textId="77777777" w:rsidR="003A5C5D" w:rsidRPr="00830619" w:rsidRDefault="003A5C5D">
      <w:pPr>
        <w:pBdr>
          <w:top w:val="nil"/>
          <w:left w:val="nil"/>
          <w:bottom w:val="nil"/>
          <w:right w:val="nil"/>
          <w:between w:val="nil"/>
        </w:pBdr>
        <w:spacing w:after="0"/>
        <w:ind w:left="567" w:right="426"/>
        <w:jc w:val="both"/>
        <w:rPr>
          <w:rFonts w:ascii="Palatino Linotype" w:eastAsia="Palatino Linotype" w:hAnsi="Palatino Linotype" w:cs="Palatino Linotype"/>
          <w:i/>
          <w:iCs/>
        </w:rPr>
      </w:pPr>
    </w:p>
    <w:p w14:paraId="32B7CAE4"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1) Defensoría Municipal de Derechos Humanos.</w:t>
      </w:r>
    </w:p>
    <w:p w14:paraId="4FEF488C" w14:textId="77777777" w:rsidR="003A5C5D" w:rsidRPr="00830619" w:rsidRDefault="003A5C5D">
      <w:pPr>
        <w:pBdr>
          <w:top w:val="nil"/>
          <w:left w:val="nil"/>
          <w:bottom w:val="nil"/>
          <w:right w:val="nil"/>
          <w:between w:val="nil"/>
        </w:pBdr>
        <w:spacing w:after="0"/>
        <w:ind w:left="567" w:right="426"/>
        <w:jc w:val="both"/>
        <w:rPr>
          <w:rFonts w:ascii="Palatino Linotype" w:eastAsia="Palatino Linotype" w:hAnsi="Palatino Linotype" w:cs="Palatino Linotype"/>
          <w:i/>
          <w:iCs/>
        </w:rPr>
      </w:pPr>
    </w:p>
    <w:p w14:paraId="29BEF3C9"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b/>
          <w:bCs/>
          <w:i/>
          <w:iCs/>
        </w:rPr>
      </w:pPr>
      <w:r w:rsidRPr="00830619">
        <w:rPr>
          <w:rFonts w:ascii="Palatino Linotype" w:eastAsia="Palatino Linotype" w:hAnsi="Palatino Linotype" w:cs="Palatino Linotype"/>
          <w:b/>
          <w:bCs/>
          <w:i/>
          <w:iCs/>
        </w:rPr>
        <w:t xml:space="preserve">ORGANISMOS PÚBLICOS DESCENTRALIZADOS: </w:t>
      </w:r>
    </w:p>
    <w:p w14:paraId="1D9B2017" w14:textId="77777777" w:rsidR="003A5C5D" w:rsidRPr="00830619" w:rsidRDefault="003A5C5D">
      <w:pPr>
        <w:pBdr>
          <w:top w:val="nil"/>
          <w:left w:val="nil"/>
          <w:bottom w:val="nil"/>
          <w:right w:val="nil"/>
          <w:between w:val="nil"/>
        </w:pBdr>
        <w:spacing w:after="0"/>
        <w:ind w:left="567" w:right="426"/>
        <w:jc w:val="both"/>
        <w:rPr>
          <w:rFonts w:ascii="Palatino Linotype" w:eastAsia="Palatino Linotype" w:hAnsi="Palatino Linotype" w:cs="Palatino Linotype"/>
          <w:b/>
          <w:bCs/>
          <w:i/>
          <w:iCs/>
        </w:rPr>
      </w:pPr>
    </w:p>
    <w:p w14:paraId="632AE36D"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1) Sistema Municipal para el Desarrollo Integral de la Familia . (DIF); </w:t>
      </w:r>
    </w:p>
    <w:p w14:paraId="7F63BAF7"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2) Instituto Municipal de Cultura Física y Deporte de Tonanitla (IMCUFIDET)</w:t>
      </w:r>
    </w:p>
    <w:p w14:paraId="300884ED"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1E040DA"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Ahora bien, con base en lo anterior, se advierte que de los recibos de nómina proporcionados en informe justificado faltó información de la oficialía de partes, dirección de archivo municipal, dirección de desarrollo urbano, dirección de seguridad pública, por mencionar algunos, aunado a ello, estos fueron proporcionados de una temporalidad distinta a la enviada en respuesta, es decir estos corresponden a la primera quincena de octubre de dos mil veinticinco, no así a la segunda quincena de septiembre de dos mil veinticinco. </w:t>
      </w:r>
    </w:p>
    <w:p w14:paraId="2324D359"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6CCC33D"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 Asimismo, se observa que se clasificaron los siguientes datos: </w:t>
      </w:r>
    </w:p>
    <w:p w14:paraId="086AE710"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82EF382" w14:textId="77777777" w:rsidR="003A5C5D" w:rsidRPr="00830619" w:rsidRDefault="006654DD">
      <w:pPr>
        <w:numPr>
          <w:ilvl w:val="0"/>
          <w:numId w:val="4"/>
        </w:num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830619">
        <w:rPr>
          <w:rFonts w:ascii="Palatino Linotype" w:eastAsia="Palatino Linotype" w:hAnsi="Palatino Linotype" w:cs="Palatino Linotype"/>
          <w:b/>
          <w:bCs/>
        </w:rPr>
        <w:t>Registro Federal de Contribuyentes.</w:t>
      </w:r>
    </w:p>
    <w:p w14:paraId="0C407987"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p>
    <w:p w14:paraId="2082E578"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8A9F3A0"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AF42276"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52DABA78"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2C3070E0"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9670EB3"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1ABD43F"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17FA7252"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7E0069CF"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70E828FA"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1578E58D" w14:textId="77777777" w:rsidR="003A5C5D" w:rsidRPr="00830619" w:rsidRDefault="006654DD">
      <w:pPr>
        <w:pBdr>
          <w:top w:val="nil"/>
          <w:left w:val="nil"/>
          <w:bottom w:val="nil"/>
          <w:right w:val="nil"/>
          <w:between w:val="nil"/>
        </w:pBdr>
        <w:tabs>
          <w:tab w:val="left" w:pos="8647"/>
        </w:tabs>
        <w:spacing w:after="0" w:line="360" w:lineRule="auto"/>
        <w:ind w:left="567" w:right="709"/>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“Registro Federal de Contribuyentes (RFC) de personas físicas. El RFC es una clave de carácter fiscal, única e irrepetible, que permite identificar al titular, su edad y fecha de nacimiento, por lo que es un dato personal de carácter confidencial.”</w:t>
      </w:r>
    </w:p>
    <w:p w14:paraId="5A0B06E5"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741473A1"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FA4CBAB"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026336B" w14:textId="77777777" w:rsidR="003A5C5D" w:rsidRPr="00830619" w:rsidRDefault="006654DD">
      <w:pPr>
        <w:numPr>
          <w:ilvl w:val="0"/>
          <w:numId w:val="4"/>
        </w:num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830619">
        <w:rPr>
          <w:rFonts w:ascii="Palatino Linotype" w:eastAsia="Palatino Linotype" w:hAnsi="Palatino Linotype" w:cs="Palatino Linotype"/>
          <w:b/>
          <w:bCs/>
        </w:rPr>
        <w:t>Clave Única de Registro de Población.</w:t>
      </w:r>
    </w:p>
    <w:p w14:paraId="548F509C" w14:textId="77777777" w:rsidR="003A5C5D" w:rsidRPr="00830619" w:rsidRDefault="003A5C5D">
      <w:pPr>
        <w:pBdr>
          <w:top w:val="nil"/>
          <w:left w:val="nil"/>
          <w:bottom w:val="nil"/>
          <w:right w:val="nil"/>
          <w:between w:val="nil"/>
        </w:pBdr>
        <w:spacing w:after="0" w:line="360" w:lineRule="auto"/>
        <w:ind w:left="720" w:right="-7"/>
        <w:jc w:val="both"/>
        <w:rPr>
          <w:rFonts w:ascii="Palatino Linotype" w:eastAsia="Palatino Linotype" w:hAnsi="Palatino Linotype" w:cs="Palatino Linotype"/>
          <w:b/>
          <w:bCs/>
        </w:rPr>
      </w:pPr>
    </w:p>
    <w:p w14:paraId="1914481E"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A1F67C9"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1DD6F65"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7076CAE"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42E113C5"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En ese orden de ideas, la Secretaría de Gobernación en las direcciones https://consultas.curp.gob.mx/CurpSP/html/informacionecurpPS.html y https://www.gob.mx/segob/renapo/acciones-y-programas/clave-unica-de-registro-de-poblacion-curp-142226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4FC04E1F"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1F81E823"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w:t>
      </w:r>
      <w:r w:rsidRPr="00830619">
        <w:rPr>
          <w:rFonts w:ascii="Palatino Linotype" w:eastAsia="Palatino Linotype" w:hAnsi="Palatino Linotype" w:cs="Palatino Linotype"/>
        </w:rPr>
        <w:tab/>
        <w:t>El primero y segundo apellidos, así como al nombre de pila;</w:t>
      </w:r>
    </w:p>
    <w:p w14:paraId="55B33744"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w:t>
      </w:r>
      <w:r w:rsidRPr="00830619">
        <w:rPr>
          <w:rFonts w:ascii="Palatino Linotype" w:eastAsia="Palatino Linotype" w:hAnsi="Palatino Linotype" w:cs="Palatino Linotype"/>
        </w:rPr>
        <w:tab/>
        <w:t>La fecha de nacimiento;</w:t>
      </w:r>
    </w:p>
    <w:p w14:paraId="575C2084"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w:t>
      </w:r>
      <w:r w:rsidRPr="00830619">
        <w:rPr>
          <w:rFonts w:ascii="Palatino Linotype" w:eastAsia="Palatino Linotype" w:hAnsi="Palatino Linotype" w:cs="Palatino Linotype"/>
        </w:rPr>
        <w:tab/>
        <w:t>El sexo, y</w:t>
      </w:r>
    </w:p>
    <w:p w14:paraId="0458489D"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w:t>
      </w:r>
      <w:r w:rsidRPr="00830619">
        <w:rPr>
          <w:rFonts w:ascii="Palatino Linotype" w:eastAsia="Palatino Linotype" w:hAnsi="Palatino Linotype" w:cs="Palatino Linotype"/>
        </w:rPr>
        <w:tab/>
        <w:t>La entidad federativa de nacimiento.</w:t>
      </w:r>
    </w:p>
    <w:p w14:paraId="49E66EA6"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282FB850"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49BE9F04"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30E74102"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2B5BA6D"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0BDB321"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088DB010"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3EA81CB2" w14:textId="77777777" w:rsidR="003A5C5D" w:rsidRPr="00830619" w:rsidRDefault="006654DD">
      <w:pPr>
        <w:pBdr>
          <w:top w:val="nil"/>
          <w:left w:val="nil"/>
          <w:bottom w:val="nil"/>
          <w:right w:val="nil"/>
          <w:between w:val="nil"/>
        </w:pBdr>
        <w:spacing w:after="0"/>
        <w:ind w:left="567" w:right="426"/>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61B78F"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9CBD7D9"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6C244CB6"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479FDAC0" w14:textId="77777777" w:rsidR="003A5C5D" w:rsidRPr="00830619" w:rsidRDefault="006654DD">
      <w:pPr>
        <w:numPr>
          <w:ilvl w:val="0"/>
          <w:numId w:val="4"/>
        </w:num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830619">
        <w:rPr>
          <w:rFonts w:ascii="Palatino Linotype" w:eastAsia="Palatino Linotype" w:hAnsi="Palatino Linotype" w:cs="Palatino Linotype"/>
          <w:b/>
          <w:bCs/>
        </w:rPr>
        <w:t xml:space="preserve">Código bidimensional o Qr. </w:t>
      </w:r>
    </w:p>
    <w:p w14:paraId="5A97E2AC"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FDFC20B"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w:t>
      </w:r>
    </w:p>
    <w:p w14:paraId="1623E682"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7A4EB9C7"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830619">
        <w:rPr>
          <w:rFonts w:ascii="Palatino Linotype" w:eastAsia="Palatino Linotype" w:hAnsi="Palatino Linotype" w:cs="Palatino Linotype"/>
        </w:rPr>
        <w:t>Incluso con la captura de dicho código, a través de la aplicación móvil del Servicio de Administración Tributaria, permite el acceso al Registro Federal de Contribuyentes, como del Sujeto Obligado, como de los servidores públicos.</w:t>
      </w:r>
    </w:p>
    <w:p w14:paraId="3939FC1B"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089788C"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830619">
        <w:rPr>
          <w:rFonts w:ascii="Palatino Linotype" w:eastAsia="Palatino Linotype" w:hAnsi="Palatino Linotype" w:cs="Palatino Linotype"/>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34E23314" w14:textId="0863EDB1"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3894ACB3" w14:textId="77777777" w:rsidR="000B6793" w:rsidRPr="00830619" w:rsidRDefault="000B6793" w:rsidP="000B6793">
      <w:pPr>
        <w:numPr>
          <w:ilvl w:val="0"/>
          <w:numId w:val="6"/>
        </w:numPr>
        <w:spacing w:after="0" w:line="360" w:lineRule="auto"/>
        <w:jc w:val="both"/>
        <w:rPr>
          <w:rFonts w:ascii="Palatino Linotype" w:eastAsia="Palatino Linotype" w:hAnsi="Palatino Linotype" w:cs="Palatino Linotype"/>
          <w:b/>
          <w:bCs/>
        </w:rPr>
      </w:pPr>
      <w:r w:rsidRPr="00830619">
        <w:rPr>
          <w:rFonts w:ascii="Palatino Linotype" w:eastAsia="Palatino Linotype" w:hAnsi="Palatino Linotype" w:cs="Palatino Linotype"/>
          <w:b/>
          <w:bCs/>
        </w:rPr>
        <w:t>Número de seguridad social del Instituto de Seguridad Social del Estado de México y Municipios</w:t>
      </w:r>
    </w:p>
    <w:p w14:paraId="3AB2159C" w14:textId="77777777" w:rsidR="000B6793" w:rsidRPr="00830619" w:rsidRDefault="000B6793" w:rsidP="000B6793">
      <w:pPr>
        <w:spacing w:after="0" w:line="360" w:lineRule="auto"/>
        <w:jc w:val="both"/>
        <w:rPr>
          <w:rFonts w:ascii="Palatino Linotype" w:eastAsia="Palatino Linotype" w:hAnsi="Palatino Linotype" w:cs="Palatino Linotype"/>
          <w:b/>
          <w:bCs/>
        </w:rPr>
      </w:pPr>
    </w:p>
    <w:p w14:paraId="5CF3DF8E" w14:textId="77777777" w:rsidR="000B6793" w:rsidRPr="00830619" w:rsidRDefault="000B6793" w:rsidP="000B6793">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2D43B48" w14:textId="77777777" w:rsidR="000B6793" w:rsidRPr="00830619" w:rsidRDefault="000B6793" w:rsidP="000B6793">
      <w:pPr>
        <w:spacing w:after="0" w:line="360" w:lineRule="auto"/>
        <w:jc w:val="both"/>
        <w:rPr>
          <w:rFonts w:ascii="Palatino Linotype" w:eastAsia="Palatino Linotype" w:hAnsi="Palatino Linotype" w:cs="Palatino Linotype"/>
        </w:rPr>
      </w:pPr>
    </w:p>
    <w:p w14:paraId="72F2F3D3" w14:textId="77777777" w:rsidR="000B6793" w:rsidRPr="00830619" w:rsidRDefault="000B6793" w:rsidP="000B6793">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D80C81B" w14:textId="77777777" w:rsidR="000B6793" w:rsidRPr="00830619" w:rsidRDefault="000B6793" w:rsidP="000B6793">
      <w:pPr>
        <w:spacing w:after="0" w:line="360" w:lineRule="auto"/>
        <w:jc w:val="both"/>
        <w:rPr>
          <w:rFonts w:ascii="Palatino Linotype" w:eastAsia="Palatino Linotype" w:hAnsi="Palatino Linotype" w:cs="Palatino Linotype"/>
        </w:rPr>
      </w:pPr>
    </w:p>
    <w:p w14:paraId="0089A7BA" w14:textId="77777777" w:rsidR="000B6793" w:rsidRPr="00830619" w:rsidRDefault="000B6793" w:rsidP="000B6793">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BF43E0C" w14:textId="77777777" w:rsidR="000B6793" w:rsidRPr="00830619" w:rsidRDefault="000B6793" w:rsidP="000B6793">
      <w:pPr>
        <w:spacing w:after="0" w:line="360" w:lineRule="auto"/>
        <w:jc w:val="both"/>
        <w:rPr>
          <w:rFonts w:ascii="Palatino Linotype" w:eastAsia="Palatino Linotype" w:hAnsi="Palatino Linotype" w:cs="Palatino Linotype"/>
        </w:rPr>
      </w:pPr>
    </w:p>
    <w:p w14:paraId="23FD2409" w14:textId="77777777" w:rsidR="000B6793" w:rsidRPr="00830619" w:rsidRDefault="000B6793" w:rsidP="000B6793">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08079E0D" w14:textId="77777777" w:rsidR="000B6793" w:rsidRPr="00830619" w:rsidRDefault="000B6793">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4CE6426" w14:textId="77777777" w:rsidR="003A5C5D" w:rsidRPr="00830619" w:rsidRDefault="006654DD">
      <w:p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r w:rsidRPr="00830619">
        <w:rPr>
          <w:rFonts w:ascii="Palatino Linotype" w:eastAsia="Palatino Linotype" w:hAnsi="Palatino Linotype" w:cs="Palatino Linotype"/>
        </w:rPr>
        <w:t xml:space="preserve">De lo anterior, se advierte que si bien, el Sujeto Obligado clasificó información que actualiza una causal de clasificación, este </w:t>
      </w:r>
      <w:r w:rsidRPr="00830619">
        <w:rPr>
          <w:rFonts w:ascii="Palatino Linotype" w:eastAsia="Palatino Linotype" w:hAnsi="Palatino Linotype" w:cs="Palatino Linotype"/>
          <w:b/>
          <w:bCs/>
        </w:rPr>
        <w:t>no proporcionó el Acuerdo del Comité de Transparencia, mediante el cual aprobara dicha decisión</w:t>
      </w:r>
      <w:r w:rsidRPr="00830619">
        <w:rPr>
          <w:rFonts w:ascii="Palatino Linotype" w:eastAsia="Palatino Linotype" w:hAnsi="Palatino Linotype" w:cs="Palatino Linotype"/>
        </w:rPr>
        <w:t xml:space="preserve">. </w:t>
      </w:r>
      <w:r w:rsidRPr="00830619">
        <w:rPr>
          <w:rFonts w:ascii="Palatino Linotype" w:eastAsia="Palatino Linotype" w:hAnsi="Palatino Linotype" w:cs="Palatino Linotype"/>
          <w:b/>
          <w:bCs/>
        </w:rPr>
        <w:t xml:space="preserve"> </w:t>
      </w:r>
    </w:p>
    <w:p w14:paraId="5CE501FF"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b/>
          <w:bCs/>
        </w:rPr>
      </w:pPr>
    </w:p>
    <w:p w14:paraId="588A8347"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Por ello, es conveniente referir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54DB2D5B" w14:textId="77777777" w:rsidR="003A5C5D" w:rsidRPr="00830619" w:rsidRDefault="003A5C5D">
      <w:pPr>
        <w:spacing w:after="0" w:line="360" w:lineRule="auto"/>
        <w:ind w:right="49"/>
        <w:jc w:val="both"/>
        <w:rPr>
          <w:rFonts w:ascii="Palatino Linotype" w:eastAsia="Palatino Linotype" w:hAnsi="Palatino Linotype" w:cs="Palatino Linotype"/>
        </w:rPr>
      </w:pPr>
    </w:p>
    <w:p w14:paraId="7767F1D8"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En ese sentido, el Acuerdo de Clasificación deberá estar debidamente fundado y motivado, observando lo dispuesto por los artículos 49, fracción VIII, 122, 130, 132, fracciones I, II y III, 143 en su fracción primera y 149 de la Ley de Transparencia y Acceso a la Información Pública del Estado de México y Municipios en vigor Lineamientos Cuarto al Octavo, Décimo, Décimo Primero, Quincuagésimo y Quincuagésimo Tercero de los Lineamientos Generales en materia de Clasificación y Desclasificación de la Información, así como para la elaboración de Versiones Públicas, vigentes a la fecha de la solicitud de información que literalmente expresan:</w:t>
      </w:r>
    </w:p>
    <w:p w14:paraId="69B5D9FC" w14:textId="77777777" w:rsidR="003A5C5D" w:rsidRPr="00830619" w:rsidRDefault="003A5C5D">
      <w:pPr>
        <w:spacing w:after="0" w:line="360" w:lineRule="auto"/>
        <w:ind w:right="49"/>
        <w:jc w:val="both"/>
        <w:rPr>
          <w:rFonts w:ascii="Palatino Linotype" w:eastAsia="Palatino Linotype" w:hAnsi="Palatino Linotype" w:cs="Palatino Linotype"/>
        </w:rPr>
      </w:pPr>
    </w:p>
    <w:p w14:paraId="007895C2" w14:textId="77777777" w:rsidR="003A5C5D" w:rsidRPr="00830619" w:rsidRDefault="006654DD">
      <w:pPr>
        <w:spacing w:after="0"/>
        <w:ind w:left="567" w:right="851"/>
        <w:jc w:val="center"/>
        <w:rPr>
          <w:rFonts w:ascii="Palatino Linotype" w:eastAsia="Palatino Linotype" w:hAnsi="Palatino Linotype" w:cs="Palatino Linotype"/>
          <w:b/>
          <w:bCs/>
          <w:i/>
          <w:iCs/>
        </w:rPr>
      </w:pPr>
      <w:r w:rsidRPr="00830619">
        <w:rPr>
          <w:rFonts w:ascii="Palatino Linotype" w:eastAsia="Palatino Linotype" w:hAnsi="Palatino Linotype" w:cs="Palatino Linotype"/>
          <w:b/>
          <w:bCs/>
          <w:i/>
          <w:iCs/>
        </w:rPr>
        <w:t>Ley de Transparencia y Acceso a la Información Pública del Estado de México y Municipios</w:t>
      </w:r>
    </w:p>
    <w:p w14:paraId="2D15D499" w14:textId="77777777" w:rsidR="003A5C5D" w:rsidRPr="00830619" w:rsidRDefault="003A5C5D">
      <w:pPr>
        <w:spacing w:after="0"/>
        <w:ind w:left="567" w:right="851"/>
        <w:jc w:val="both"/>
        <w:rPr>
          <w:rFonts w:ascii="Palatino Linotype" w:eastAsia="Palatino Linotype" w:hAnsi="Palatino Linotype" w:cs="Palatino Linotype"/>
        </w:rPr>
      </w:pPr>
    </w:p>
    <w:p w14:paraId="3989B000"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“Artículo 49. Los Comités de Transparencia tendrán las siguientes atribuciones:</w:t>
      </w:r>
    </w:p>
    <w:p w14:paraId="7231BABD"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VIII. Aprobar, modificar o revocar la clasificación de la información;</w:t>
      </w:r>
    </w:p>
    <w:p w14:paraId="78D5D8CC"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3EEAF8EE"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Artículo 122. La clasificación es el proceso mediante el cual el sujeto obligado determina que la información en su poder actualiza alguno de los supuestos de reserva o confidencialidad, de conformidad con lo dispuesto en el presente título.</w:t>
      </w:r>
    </w:p>
    <w:p w14:paraId="575C8ED0"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Los supuestos de reserva o confidencialidad previstos en las leyes deberán ser acordes con las bases, principios y disposiciones establecidos en la Ley General y, en ningún caso, podrán contravenirla.</w:t>
      </w:r>
    </w:p>
    <w:p w14:paraId="14DF9EED"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Los titulares de las áreas de los sujetos obligados serán los responsables de clasificar la información, de conformidad con lo dispuesto en la presente Ley y demás disposiciones jurídicas aplicables.</w:t>
      </w:r>
    </w:p>
    <w:p w14:paraId="61E0AA02"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02E70C9C"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Artículo 130.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74DB7624"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Artículo 132. La clasificación de la información se llevará a cabo en el momento en que:</w:t>
      </w:r>
    </w:p>
    <w:p w14:paraId="22502923"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I. Se reciba una solicitud de acceso a la información;</w:t>
      </w:r>
    </w:p>
    <w:p w14:paraId="7846D70A"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II. Se determine mediante resolución de autoridad competente; o</w:t>
      </w:r>
    </w:p>
    <w:p w14:paraId="50B484BB"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III. Se generen versiones públicas para dar cumplimiento a las obligaciones de transparencia previstas en esta Ley.</w:t>
      </w:r>
    </w:p>
    <w:p w14:paraId="3854DB91"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2A781727"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Artículo 143. Para los efectos de esta Ley se considera información confidencial, la clasificada como tal, de manera permanente, por su naturaleza, cuando:</w:t>
      </w:r>
    </w:p>
    <w:p w14:paraId="5C1D05F6"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I. Se refiera a la información privada y los datos personales concernientes a una persona física o jurídico colectiva identificada o identificable;</w:t>
      </w:r>
    </w:p>
    <w:p w14:paraId="607AA38E"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5BE15BB8"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Artículo 149. El acuerdo que clasifique la información como confidencial deberá contener un razonamiento lógico en el que demuestre que la información se encuentra en alguna o algunas de las hipótesis previstas en la presente Ley.”</w:t>
      </w:r>
    </w:p>
    <w:p w14:paraId="6F889994" w14:textId="77777777" w:rsidR="003A5C5D" w:rsidRPr="00830619" w:rsidRDefault="006654DD">
      <w:pPr>
        <w:spacing w:after="0"/>
        <w:ind w:left="567" w:right="851"/>
        <w:jc w:val="both"/>
        <w:rPr>
          <w:rFonts w:ascii="Palatino Linotype" w:eastAsia="Palatino Linotype" w:hAnsi="Palatino Linotype" w:cs="Palatino Linotype"/>
        </w:rPr>
      </w:pPr>
      <w:r w:rsidRPr="00830619">
        <w:rPr>
          <w:rFonts w:ascii="Palatino Linotype" w:eastAsia="Palatino Linotype" w:hAnsi="Palatino Linotype" w:cs="Palatino Linotype"/>
        </w:rPr>
        <w:t>Lineamientos Generales en materia de Clasificación y Desclasificación de la Información, vigentes a la fecha de la solicitud de información, así como para la elaboración de Versiones Públicas</w:t>
      </w:r>
    </w:p>
    <w:p w14:paraId="6678A6A5" w14:textId="77777777" w:rsidR="003A5C5D" w:rsidRPr="00830619" w:rsidRDefault="003A5C5D">
      <w:pPr>
        <w:spacing w:after="0"/>
        <w:ind w:left="567" w:right="851"/>
        <w:jc w:val="both"/>
        <w:rPr>
          <w:rFonts w:ascii="Palatino Linotype" w:eastAsia="Palatino Linotype" w:hAnsi="Palatino Linotype" w:cs="Palatino Linotype"/>
          <w:i/>
          <w:iCs/>
        </w:rPr>
      </w:pPr>
    </w:p>
    <w:p w14:paraId="3D9DE6BA"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A93ECA"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Los sujetos obligados deberán aplicar, de manera estricta, las excepciones al derecho de acceso a la información y sólo podrán invocarlas cuando acrediten su procedencia.</w:t>
      </w:r>
    </w:p>
    <w:p w14:paraId="10DAC7B1" w14:textId="77777777" w:rsidR="003A5C5D" w:rsidRPr="00830619" w:rsidRDefault="003A5C5D">
      <w:pPr>
        <w:spacing w:after="0"/>
        <w:ind w:left="567" w:right="851"/>
        <w:jc w:val="both"/>
        <w:rPr>
          <w:rFonts w:ascii="Palatino Linotype" w:eastAsia="Palatino Linotype" w:hAnsi="Palatino Linotype" w:cs="Palatino Linotype"/>
          <w:i/>
          <w:iCs/>
        </w:rPr>
      </w:pPr>
    </w:p>
    <w:p w14:paraId="342B91F7"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68B8135"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p>
    <w:p w14:paraId="30E884E1"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Séptimo. La clasificación de la información se llevará a cabo en el momento en que:</w:t>
      </w:r>
    </w:p>
    <w:p w14:paraId="633E6F2C"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I. Se reciba una solicitud de acceso a la información;</w:t>
      </w:r>
    </w:p>
    <w:p w14:paraId="6D3BD71A"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II. Se determine mediante resolución de autoridad competente, o</w:t>
      </w:r>
    </w:p>
    <w:p w14:paraId="2BB804C5"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III. Se generen versiones públicas para dar cumplimiento a las obligaciones de transparencia previstas en la Ley General, la Ley Federal y las correspondientes de las entidades federativas.</w:t>
      </w:r>
    </w:p>
    <w:p w14:paraId="4D9BCB03"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Los titulares de las áreas deberán revisar la clasificación al momento de la recepción de una solicitud de acceso a la información, para verificar si encuadra en una causal de reserva o de confidencialidad.</w:t>
      </w:r>
    </w:p>
    <w:p w14:paraId="6CC81CEF" w14:textId="77777777" w:rsidR="003A5C5D" w:rsidRPr="00830619" w:rsidRDefault="003A5C5D">
      <w:pPr>
        <w:spacing w:after="0"/>
        <w:ind w:left="567" w:right="851"/>
        <w:jc w:val="both"/>
        <w:rPr>
          <w:rFonts w:ascii="Palatino Linotype" w:eastAsia="Palatino Linotype" w:hAnsi="Palatino Linotype" w:cs="Palatino Linotype"/>
          <w:i/>
          <w:iCs/>
        </w:rPr>
      </w:pPr>
    </w:p>
    <w:p w14:paraId="540AFDC6"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44B685FF" w14:textId="77777777" w:rsidR="003A5C5D" w:rsidRPr="00830619" w:rsidRDefault="003A5C5D">
      <w:pPr>
        <w:spacing w:after="0"/>
        <w:ind w:left="567" w:right="851"/>
        <w:jc w:val="both"/>
        <w:rPr>
          <w:rFonts w:ascii="Palatino Linotype" w:eastAsia="Palatino Linotype" w:hAnsi="Palatino Linotype" w:cs="Palatino Linotype"/>
          <w:i/>
          <w:iCs/>
        </w:rPr>
      </w:pPr>
    </w:p>
    <w:p w14:paraId="293F6526"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Para motivar la clasificación se deberán señalar las razones o circunstancias especiales que lo llevaron a concluir que el caso particular se ajusta al supuesto previsto por la norma legal invocada como fundamento.</w:t>
      </w:r>
    </w:p>
    <w:p w14:paraId="001830A9" w14:textId="77777777" w:rsidR="003A5C5D" w:rsidRPr="00830619" w:rsidRDefault="003A5C5D">
      <w:pPr>
        <w:spacing w:after="0"/>
        <w:ind w:left="567" w:right="851"/>
        <w:jc w:val="both"/>
        <w:rPr>
          <w:rFonts w:ascii="Palatino Linotype" w:eastAsia="Palatino Linotype" w:hAnsi="Palatino Linotype" w:cs="Palatino Linotype"/>
          <w:i/>
          <w:iCs/>
        </w:rPr>
      </w:pPr>
    </w:p>
    <w:p w14:paraId="3B0F6C4E"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En caso de referirse a información reservada, la motivación de la clasificación también deberá comprender las circunstancias que justifican el establecimiento de determinado plazo de reserva.</w:t>
      </w:r>
    </w:p>
    <w:p w14:paraId="59BACCEB" w14:textId="77777777" w:rsidR="003A5C5D" w:rsidRPr="00830619" w:rsidRDefault="003A5C5D">
      <w:pPr>
        <w:spacing w:after="0"/>
        <w:ind w:left="567" w:right="851"/>
        <w:jc w:val="both"/>
        <w:rPr>
          <w:rFonts w:ascii="Palatino Linotype" w:eastAsia="Palatino Linotype" w:hAnsi="Palatino Linotype" w:cs="Palatino Linotype"/>
          <w:i/>
          <w:iCs/>
        </w:rPr>
      </w:pPr>
    </w:p>
    <w:p w14:paraId="6E544004"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Tratándose de información clasificada como confidencial respecto de la cual se haya determinado su conservación permanente por tener valor histórico, ésta conservará tal carácter de conformidad con la normativa aplicable en materia de archivos.</w:t>
      </w:r>
    </w:p>
    <w:p w14:paraId="3128C1D4" w14:textId="77777777" w:rsidR="003A5C5D" w:rsidRPr="00830619" w:rsidRDefault="003A5C5D">
      <w:pPr>
        <w:spacing w:after="0"/>
        <w:ind w:left="567" w:right="851"/>
        <w:jc w:val="both"/>
        <w:rPr>
          <w:rFonts w:ascii="Palatino Linotype" w:eastAsia="Palatino Linotype" w:hAnsi="Palatino Linotype" w:cs="Palatino Linotype"/>
          <w:i/>
          <w:iCs/>
        </w:rPr>
      </w:pPr>
    </w:p>
    <w:p w14:paraId="03A0BCE8"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Los documentos contenidos en los archivos históricos y los identificados como históricos confidenciales no serán susceptibles de clasificación como reservados.</w:t>
      </w:r>
    </w:p>
    <w:p w14:paraId="487BD06B"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F7854B"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2C161B7"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En ausencia de los titulares de las áreas, la información será clasificada o desclasificada por la persona que lo supla, en términos de la normativa que rija la actuación del sujeto obligado.</w:t>
      </w:r>
    </w:p>
    <w:p w14:paraId="0FCE90A9"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 xml:space="preserve">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02905B72" w14:textId="77777777" w:rsidR="003A5C5D" w:rsidRPr="00830619" w:rsidRDefault="003A5C5D">
      <w:pPr>
        <w:spacing w:after="0" w:line="360" w:lineRule="auto"/>
        <w:ind w:left="567" w:right="851"/>
        <w:jc w:val="both"/>
        <w:rPr>
          <w:rFonts w:ascii="Palatino Linotype" w:eastAsia="Palatino Linotype" w:hAnsi="Palatino Linotype" w:cs="Palatino Linotype"/>
          <w:i/>
          <w:iCs/>
        </w:rPr>
      </w:pPr>
    </w:p>
    <w:p w14:paraId="7710D2CB"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Como se advierte dicho Acuerdo debe exponer de manera clara las razones por las 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vigentes a la fecha de la solicitud de información los cuales para mayor referencia en la parte que nos interesa, señalan:</w:t>
      </w:r>
    </w:p>
    <w:p w14:paraId="5B73A04C" w14:textId="77777777" w:rsidR="003A5C5D" w:rsidRPr="00830619" w:rsidRDefault="003A5C5D">
      <w:pPr>
        <w:spacing w:after="0" w:line="360" w:lineRule="auto"/>
        <w:jc w:val="both"/>
        <w:rPr>
          <w:rFonts w:ascii="Palatino Linotype" w:eastAsia="Palatino Linotype" w:hAnsi="Palatino Linotype" w:cs="Palatino Linotype"/>
        </w:rPr>
      </w:pPr>
    </w:p>
    <w:p w14:paraId="7DD95966" w14:textId="77777777" w:rsidR="003A5C5D" w:rsidRPr="00830619" w:rsidRDefault="006654DD">
      <w:pPr>
        <w:spacing w:after="0"/>
        <w:ind w:left="567" w:right="851"/>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Artículo 135.</w:t>
      </w:r>
      <w:r w:rsidRPr="00830619">
        <w:rPr>
          <w:rFonts w:ascii="Palatino Linotype" w:eastAsia="Palatino Linotype" w:hAnsi="Palatino Linotype" w:cs="Palatino Linotype"/>
          <w:i/>
          <w:iCs/>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6479D70" w14:textId="77777777" w:rsidR="003A5C5D" w:rsidRPr="00830619" w:rsidRDefault="003A5C5D">
      <w:pPr>
        <w:spacing w:after="0" w:line="360" w:lineRule="auto"/>
        <w:ind w:left="567" w:right="851"/>
        <w:jc w:val="both"/>
        <w:rPr>
          <w:rFonts w:ascii="Palatino Linotype" w:eastAsia="Palatino Linotype" w:hAnsi="Palatino Linotype" w:cs="Palatino Linotype"/>
          <w:i/>
          <w:iCs/>
        </w:rPr>
      </w:pPr>
    </w:p>
    <w:p w14:paraId="546F7D12"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En tal virtud, el acuerdo emitido por el Comité de Transparencia, en términos de los artículos 122, 132  y 143 fracción I  de la  Ley de Transparencia y Acceso a la Información Pública del Estado de México y Municipios, deberá contener un 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14:paraId="274713C5" w14:textId="77777777" w:rsidR="000B6793" w:rsidRPr="00830619" w:rsidRDefault="000B6793">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41DFBE5"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Es decir, el acuerdo deberá contener un razonamiento lógico con el que se demuestre que la información solicitada por la parte Recurrente se encuentra en alguna de las hipótesis que contempla la misma ley; toda vez que de acuerdo con la referida Ley la carga de la prueba para justificar toda negativa de acceso a la información por actualizarse cualquiera de los supuestos previstos en la Ley, corresponde a los Sujetos Obligados fundando y motivando debidamente la clasificación.</w:t>
      </w:r>
    </w:p>
    <w:p w14:paraId="1D5570A9"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1CFCF85"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Respecto de la fundamentación y motivación, debe recordarse que la primera de ellas consiste en 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14:paraId="4C591023"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0FCF889" w14:textId="6CCE2523" w:rsidR="003A5C5D" w:rsidRPr="00830619" w:rsidRDefault="006654DD" w:rsidP="000B6793">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14:paraId="43D7860C" w14:textId="77777777" w:rsidR="003A5C5D" w:rsidRPr="00830619" w:rsidRDefault="006654DD">
      <w:pPr>
        <w:pBdr>
          <w:top w:val="nil"/>
          <w:left w:val="nil"/>
          <w:bottom w:val="nil"/>
          <w:right w:val="nil"/>
          <w:between w:val="nil"/>
        </w:pBdr>
        <w:spacing w:after="0"/>
        <w:ind w:left="567" w:right="902"/>
        <w:jc w:val="both"/>
        <w:rPr>
          <w:rFonts w:ascii="Palatino Linotype" w:eastAsia="Palatino Linotype" w:hAnsi="Palatino Linotype" w:cs="Palatino Linotype"/>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FUNDAMENTACIÓN Y MOTIVACIÓN. EL ASPECTO FORMAL DE LA GARANTÍA Y SU FINALIDAD SE TRADUCEN EN EXPLICAR, JUSTIFICAR, POSIBILITAR LA DEFENSA Y COMUNICAR LA DECISIÓN.</w:t>
      </w:r>
      <w:r w:rsidRPr="00830619">
        <w:rPr>
          <w:rFonts w:ascii="Palatino Linotype" w:eastAsia="Palatino Linotype" w:hAnsi="Palatino Linotype" w:cs="Palatino Linotype"/>
          <w:i/>
          <w:iC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E3E51E0" w14:textId="77777777" w:rsidR="003A5C5D" w:rsidRPr="00830619" w:rsidRDefault="003A5C5D">
      <w:pPr>
        <w:pBdr>
          <w:top w:val="nil"/>
          <w:left w:val="nil"/>
          <w:bottom w:val="nil"/>
          <w:right w:val="nil"/>
          <w:between w:val="nil"/>
        </w:pBdr>
        <w:spacing w:after="0"/>
        <w:ind w:left="567" w:right="902"/>
        <w:jc w:val="both"/>
        <w:rPr>
          <w:rFonts w:ascii="Palatino Linotype" w:eastAsia="Palatino Linotype" w:hAnsi="Palatino Linotype" w:cs="Palatino Linotype"/>
        </w:rPr>
      </w:pPr>
    </w:p>
    <w:p w14:paraId="77D7DE35" w14:textId="77777777" w:rsidR="003A5C5D" w:rsidRPr="00830619" w:rsidRDefault="006654DD">
      <w:pPr>
        <w:pBdr>
          <w:top w:val="nil"/>
          <w:left w:val="nil"/>
          <w:bottom w:val="nil"/>
          <w:right w:val="nil"/>
          <w:between w:val="nil"/>
        </w:pBdr>
        <w:spacing w:after="0"/>
        <w:ind w:left="567" w:right="902"/>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FUNDAMENTACION Y MOTIVACION</w:t>
      </w:r>
      <w:r w:rsidRPr="00830619">
        <w:rPr>
          <w:rFonts w:ascii="Palatino Linotype" w:eastAsia="Palatino Linotype" w:hAnsi="Palatino Linotype" w:cs="Palatino Linotype"/>
          <w:i/>
          <w:iC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p>
    <w:p w14:paraId="2F747D4F" w14:textId="77777777" w:rsidR="003A5C5D" w:rsidRPr="00830619" w:rsidRDefault="003A5C5D">
      <w:pPr>
        <w:spacing w:after="0" w:line="360" w:lineRule="auto"/>
        <w:ind w:right="49"/>
        <w:jc w:val="both"/>
        <w:rPr>
          <w:rFonts w:ascii="Palatino Linotype" w:eastAsia="Palatino Linotype" w:hAnsi="Palatino Linotype" w:cs="Palatino Linotype"/>
        </w:rPr>
      </w:pPr>
    </w:p>
    <w:p w14:paraId="22F80276" w14:textId="409B8C53"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Es por ello que se estima que </w:t>
      </w:r>
      <w:r w:rsidR="000B6793" w:rsidRPr="00830619">
        <w:rPr>
          <w:rFonts w:ascii="Palatino Linotype" w:eastAsia="Palatino Linotype" w:hAnsi="Palatino Linotype" w:cs="Palatino Linotype"/>
        </w:rPr>
        <w:t>el Sujeto Obligado no proporcionó la información de la temporalidad correspondiente, además de que</w:t>
      </w:r>
      <w:r w:rsidR="00CD1E94" w:rsidRPr="00830619">
        <w:rPr>
          <w:rFonts w:ascii="Palatino Linotype" w:eastAsia="Palatino Linotype" w:hAnsi="Palatino Linotype" w:cs="Palatino Linotype"/>
        </w:rPr>
        <w:t xml:space="preserve"> </w:t>
      </w:r>
      <w:r w:rsidRPr="00830619">
        <w:rPr>
          <w:rFonts w:ascii="Palatino Linotype" w:eastAsia="Palatino Linotype" w:hAnsi="Palatino Linotype" w:cs="Palatino Linotype"/>
        </w:rPr>
        <w:t xml:space="preserve">no remitió un elemento indispensable para validad la información y, esto es, el Acuerdo de Clasificación de la Información emitida por el Comité de Transparencia.  </w:t>
      </w:r>
    </w:p>
    <w:p w14:paraId="1F833CA4" w14:textId="77777777" w:rsidR="003A5C5D" w:rsidRPr="00830619" w:rsidRDefault="003A5C5D">
      <w:pPr>
        <w:spacing w:after="0" w:line="360" w:lineRule="auto"/>
        <w:ind w:right="49"/>
        <w:jc w:val="both"/>
        <w:rPr>
          <w:rFonts w:ascii="Palatino Linotype" w:eastAsia="Palatino Linotype" w:hAnsi="Palatino Linotype" w:cs="Palatino Linotype"/>
        </w:rPr>
      </w:pPr>
    </w:p>
    <w:p w14:paraId="08BA15E8" w14:textId="77777777" w:rsidR="003A5C5D" w:rsidRPr="00830619" w:rsidRDefault="006654DD">
      <w:pPr>
        <w:spacing w:after="0" w:line="360" w:lineRule="auto"/>
        <w:ind w:right="49"/>
        <w:jc w:val="both"/>
        <w:rPr>
          <w:rFonts w:ascii="Palatino Linotype" w:eastAsia="Palatino Linotype" w:hAnsi="Palatino Linotype" w:cs="Palatino Linotype"/>
          <w:b/>
          <w:bCs/>
        </w:rPr>
      </w:pPr>
      <w:r w:rsidRPr="00830619">
        <w:rPr>
          <w:rFonts w:ascii="Palatino Linotype" w:eastAsia="Palatino Linotype" w:hAnsi="Palatino Linotype" w:cs="Palatino Linotype"/>
        </w:rPr>
        <w:t xml:space="preserve">Por consiguiente, se determina que los agravios hechos valer por el Recurrente devienen </w:t>
      </w:r>
      <w:r w:rsidRPr="00830619">
        <w:rPr>
          <w:rFonts w:ascii="Palatino Linotype" w:eastAsia="Palatino Linotype" w:hAnsi="Palatino Linotype" w:cs="Palatino Linotype"/>
          <w:b/>
          <w:bCs/>
        </w:rPr>
        <w:t xml:space="preserve">FUNDADOS. </w:t>
      </w:r>
    </w:p>
    <w:p w14:paraId="65E70CD7" w14:textId="77777777" w:rsidR="003A5C5D" w:rsidRPr="00830619" w:rsidRDefault="003A5C5D">
      <w:pPr>
        <w:spacing w:after="0" w:line="360" w:lineRule="auto"/>
        <w:ind w:right="49"/>
        <w:jc w:val="both"/>
        <w:rPr>
          <w:rFonts w:ascii="Palatino Linotype" w:eastAsia="Palatino Linotype" w:hAnsi="Palatino Linotype" w:cs="Palatino Linotype"/>
          <w:b/>
          <w:bCs/>
        </w:rPr>
      </w:pPr>
    </w:p>
    <w:p w14:paraId="6BE490B5"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b/>
          <w:bCs/>
        </w:rPr>
        <w:t xml:space="preserve">Quinto. Versión Pública. </w:t>
      </w:r>
      <w:r w:rsidRPr="00830619">
        <w:rPr>
          <w:rFonts w:ascii="Palatino Linotype" w:eastAsia="Palatino Linotype" w:hAnsi="Palatino Linotype" w:cs="Palatino Linotype"/>
        </w:rPr>
        <w:t>Como fue debidamente apuntado, el Sujeto Obligado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A907294" w14:textId="77777777" w:rsidR="003A5C5D" w:rsidRPr="00830619" w:rsidRDefault="003A5C5D">
      <w:pPr>
        <w:spacing w:after="0" w:line="360" w:lineRule="auto"/>
        <w:jc w:val="both"/>
        <w:rPr>
          <w:rFonts w:ascii="Palatino Linotype" w:eastAsia="Palatino Linotype" w:hAnsi="Palatino Linotype" w:cs="Palatino Linotype"/>
          <w:b/>
          <w:bCs/>
        </w:rPr>
      </w:pPr>
    </w:p>
    <w:p w14:paraId="5288774C" w14:textId="77777777" w:rsidR="003A5C5D" w:rsidRPr="00830619" w:rsidRDefault="006654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8558F27" w14:textId="77777777" w:rsidR="003A5C5D" w:rsidRPr="00830619" w:rsidRDefault="003A5C5D">
      <w:pPr>
        <w:pBdr>
          <w:top w:val="nil"/>
          <w:left w:val="nil"/>
          <w:bottom w:val="nil"/>
          <w:right w:val="nil"/>
          <w:between w:val="nil"/>
        </w:pBdr>
        <w:spacing w:after="0" w:line="360" w:lineRule="auto"/>
        <w:ind w:right="49"/>
        <w:jc w:val="both"/>
        <w:rPr>
          <w:rFonts w:ascii="Times New Roman" w:eastAsia="Times New Roman" w:hAnsi="Times New Roman" w:cs="Times New Roman"/>
        </w:rPr>
      </w:pPr>
    </w:p>
    <w:p w14:paraId="65619E43" w14:textId="77777777" w:rsidR="003A5C5D" w:rsidRPr="00830619" w:rsidRDefault="006654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D015B09" w14:textId="77777777" w:rsidR="003A5C5D" w:rsidRPr="00830619" w:rsidRDefault="003A5C5D">
      <w:pPr>
        <w:pBdr>
          <w:top w:val="nil"/>
          <w:left w:val="nil"/>
          <w:bottom w:val="nil"/>
          <w:right w:val="nil"/>
          <w:between w:val="nil"/>
        </w:pBdr>
        <w:spacing w:after="0" w:line="360" w:lineRule="auto"/>
        <w:ind w:right="49"/>
        <w:jc w:val="both"/>
        <w:rPr>
          <w:rFonts w:ascii="Times New Roman" w:eastAsia="Times New Roman" w:hAnsi="Times New Roman" w:cs="Times New Roman"/>
        </w:rPr>
      </w:pPr>
    </w:p>
    <w:p w14:paraId="680E5B48" w14:textId="77777777" w:rsidR="003A5C5D" w:rsidRPr="00830619" w:rsidRDefault="006654D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09D0D278" w14:textId="77777777" w:rsidR="003A5C5D" w:rsidRPr="00830619" w:rsidRDefault="003A5C5D">
      <w:pPr>
        <w:pBdr>
          <w:top w:val="nil"/>
          <w:left w:val="nil"/>
          <w:bottom w:val="nil"/>
          <w:right w:val="nil"/>
          <w:between w:val="nil"/>
        </w:pBdr>
        <w:spacing w:after="0" w:line="360" w:lineRule="auto"/>
        <w:ind w:right="49"/>
        <w:jc w:val="both"/>
        <w:rPr>
          <w:rFonts w:ascii="Times New Roman" w:eastAsia="Times New Roman" w:hAnsi="Times New Roman" w:cs="Times New Roman"/>
        </w:rPr>
      </w:pPr>
    </w:p>
    <w:p w14:paraId="2B26FBFE"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rPr>
        <w:t> </w:t>
      </w: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Artículo 3.</w:t>
      </w:r>
      <w:r w:rsidRPr="00830619">
        <w:rPr>
          <w:rFonts w:ascii="Palatino Linotype" w:eastAsia="Palatino Linotype" w:hAnsi="Palatino Linotype" w:cs="Palatino Linotype"/>
          <w:i/>
          <w:iCs/>
        </w:rPr>
        <w:t xml:space="preserve"> Para los efectos de la presente Ley se entenderá por:</w:t>
      </w:r>
    </w:p>
    <w:p w14:paraId="119E142C"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i/>
          <w:iCs/>
        </w:rPr>
        <w:t>…</w:t>
      </w:r>
    </w:p>
    <w:p w14:paraId="787887BD"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IX. Datos personales</w:t>
      </w:r>
      <w:r w:rsidRPr="00830619">
        <w:rPr>
          <w:rFonts w:ascii="Palatino Linotype" w:eastAsia="Palatino Linotype" w:hAnsi="Palatino Linotype" w:cs="Palatino Linotype"/>
          <w:i/>
          <w:iCs/>
        </w:rPr>
        <w:t>: La información concerniente a una persona, identificada o identificable según lo dispuesto por la Ley de Protección de Datos Personales del Estado de México;</w:t>
      </w:r>
    </w:p>
    <w:p w14:paraId="42FC60DC"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i/>
          <w:iCs/>
        </w:rPr>
        <w:t>…</w:t>
      </w:r>
    </w:p>
    <w:p w14:paraId="671CB3DB"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XX. Información clasificada</w:t>
      </w:r>
      <w:r w:rsidRPr="00830619">
        <w:rPr>
          <w:rFonts w:ascii="Palatino Linotype" w:eastAsia="Palatino Linotype" w:hAnsi="Palatino Linotype" w:cs="Palatino Linotype"/>
          <w:i/>
          <w:iCs/>
        </w:rPr>
        <w:t>: Aquella considerada por la presente Ley como reservada o confidencial;</w:t>
      </w:r>
    </w:p>
    <w:p w14:paraId="532CD3E4"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XXI. Información confidencial</w:t>
      </w:r>
      <w:r w:rsidRPr="00830619">
        <w:rPr>
          <w:rFonts w:ascii="Palatino Linotype" w:eastAsia="Palatino Linotype" w:hAnsi="Palatino Linotype" w:cs="Palatino Linotype"/>
          <w:i/>
          <w:iC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9C9AAEA"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i/>
          <w:iCs/>
        </w:rPr>
        <w:t>…</w:t>
      </w:r>
    </w:p>
    <w:p w14:paraId="48AED216"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XXXII. Protección de Datos Personales</w:t>
      </w:r>
      <w:r w:rsidRPr="00830619">
        <w:rPr>
          <w:rFonts w:ascii="Palatino Linotype" w:eastAsia="Palatino Linotype" w:hAnsi="Palatino Linotype" w:cs="Palatino Linotype"/>
          <w:i/>
          <w:iCs/>
        </w:rPr>
        <w:t>: Derecho humano que tutela la privacidad de datos personales en poder de los sujetos obligados y sujetos particulares;</w:t>
      </w:r>
    </w:p>
    <w:p w14:paraId="75BE723A"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i/>
          <w:iCs/>
        </w:rPr>
        <w:t>…</w:t>
      </w:r>
    </w:p>
    <w:p w14:paraId="26310BEA"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XLV. Versión pública</w:t>
      </w:r>
      <w:r w:rsidRPr="00830619">
        <w:rPr>
          <w:rFonts w:ascii="Palatino Linotype" w:eastAsia="Palatino Linotype" w:hAnsi="Palatino Linotype" w:cs="Palatino Linotype"/>
          <w:i/>
          <w:iCs/>
        </w:rPr>
        <w:t>: Documento en el que se elimine, suprime o borra la información clasificada como reservada o confidencial para permitir su acceso.</w:t>
      </w:r>
    </w:p>
    <w:p w14:paraId="42A2D8C3"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 Artículo 6</w:t>
      </w:r>
      <w:r w:rsidRPr="00830619">
        <w:rPr>
          <w:rFonts w:ascii="Palatino Linotype" w:eastAsia="Palatino Linotype" w:hAnsi="Palatino Linotype" w:cs="Palatino Linotype"/>
          <w:i/>
          <w:iC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C6298FD"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i/>
          <w:iCs/>
        </w:rPr>
        <w:t>…</w:t>
      </w:r>
    </w:p>
    <w:p w14:paraId="6D940E2E"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Artículo 91.</w:t>
      </w:r>
      <w:r w:rsidRPr="00830619">
        <w:rPr>
          <w:rFonts w:ascii="Palatino Linotype" w:eastAsia="Palatino Linotype" w:hAnsi="Palatino Linotype" w:cs="Palatino Linotype"/>
          <w:i/>
          <w:iCs/>
        </w:rPr>
        <w:t xml:space="preserve"> El acceso a la información pública será restringido excepcionalmente, cuando ésta sea clasificada como reservada o confidencial.</w:t>
      </w:r>
      <w:r w:rsidRPr="00830619">
        <w:rPr>
          <w:rFonts w:ascii="Palatino Linotype" w:eastAsia="Palatino Linotype" w:hAnsi="Palatino Linotype" w:cs="Palatino Linotype"/>
          <w:i/>
          <w:iCs/>
        </w:rPr>
        <w:br/>
        <w:t>…</w:t>
      </w:r>
    </w:p>
    <w:p w14:paraId="63F0E6AE"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Artículo 132.</w:t>
      </w:r>
      <w:r w:rsidRPr="00830619">
        <w:rPr>
          <w:rFonts w:ascii="Palatino Linotype" w:eastAsia="Palatino Linotype" w:hAnsi="Palatino Linotype" w:cs="Palatino Linotype"/>
          <w:i/>
          <w:iCs/>
        </w:rPr>
        <w:t xml:space="preserve"> La clasificación de la información se llevará a cabo en el momento en que:</w:t>
      </w:r>
    </w:p>
    <w:p w14:paraId="2BCE97AD"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w:t>
      </w:r>
      <w:r w:rsidRPr="00830619">
        <w:rPr>
          <w:rFonts w:ascii="Palatino Linotype" w:eastAsia="Palatino Linotype" w:hAnsi="Palatino Linotype" w:cs="Palatino Linotype"/>
          <w:i/>
          <w:iCs/>
        </w:rPr>
        <w:t>. Se reciba una solicitud de acceso a la información;</w:t>
      </w:r>
    </w:p>
    <w:p w14:paraId="2F9D81FE"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II.</w:t>
      </w:r>
      <w:r w:rsidRPr="00830619">
        <w:rPr>
          <w:rFonts w:ascii="Palatino Linotype" w:eastAsia="Palatino Linotype" w:hAnsi="Palatino Linotype" w:cs="Palatino Linotype"/>
          <w:i/>
          <w:iCs/>
        </w:rPr>
        <w:t xml:space="preserve"> Se determine mediante resolución de autoridad competente; o</w:t>
      </w:r>
    </w:p>
    <w:p w14:paraId="4890C550"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III.</w:t>
      </w:r>
      <w:r w:rsidRPr="00830619">
        <w:rPr>
          <w:rFonts w:ascii="Palatino Linotype" w:eastAsia="Palatino Linotype" w:hAnsi="Palatino Linotype" w:cs="Palatino Linotype"/>
          <w:i/>
          <w:iCs/>
        </w:rPr>
        <w:t xml:space="preserve"> Se generen versiones públicas para dar cumplimiento a las obligaciones de transparencia previstas en esta Ley.</w:t>
      </w:r>
    </w:p>
    <w:p w14:paraId="74EE784F"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w:t>
      </w:r>
    </w:p>
    <w:p w14:paraId="7B8A5E44"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Artículo 137.</w:t>
      </w:r>
      <w:r w:rsidRPr="00830619">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64F4261"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 Artículo 143.</w:t>
      </w:r>
      <w:r w:rsidRPr="00830619">
        <w:rPr>
          <w:rFonts w:ascii="Palatino Linotype" w:eastAsia="Palatino Linotype" w:hAnsi="Palatino Linotype" w:cs="Palatino Linotype"/>
          <w:i/>
          <w:iCs/>
        </w:rPr>
        <w:t xml:space="preserve"> Para los efectos de esta Ley se considera información confidencial, la clasificada como tal, de manera permanente, por su naturaleza, cuando:</w:t>
      </w:r>
    </w:p>
    <w:p w14:paraId="29B23777" w14:textId="77777777" w:rsidR="003A5C5D" w:rsidRPr="00830619" w:rsidRDefault="006654DD">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w:t>
      </w:r>
      <w:r w:rsidRPr="00830619">
        <w:rPr>
          <w:rFonts w:ascii="Palatino Linotype" w:eastAsia="Palatino Linotype" w:hAnsi="Palatino Linotype" w:cs="Palatino Linotype"/>
          <w:i/>
          <w:iCs/>
        </w:rPr>
        <w:t xml:space="preserve"> Se refiera a la información privada y los datos personales concernientes a una persona física o jurídico colectiva identificada o identificable...”</w:t>
      </w:r>
    </w:p>
    <w:p w14:paraId="35069ADC" w14:textId="77777777" w:rsidR="003A5C5D" w:rsidRPr="00830619" w:rsidRDefault="003A5C5D">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p>
    <w:p w14:paraId="596FC076" w14:textId="77777777" w:rsidR="003A5C5D" w:rsidRPr="00830619" w:rsidRDefault="006654DD">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830619">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F376734" w14:textId="77777777" w:rsidR="003A5C5D" w:rsidRPr="00830619" w:rsidRDefault="003A5C5D">
      <w:pPr>
        <w:pBdr>
          <w:top w:val="nil"/>
          <w:left w:val="nil"/>
          <w:bottom w:val="nil"/>
          <w:right w:val="nil"/>
          <w:between w:val="nil"/>
        </w:pBdr>
        <w:spacing w:after="0" w:line="360" w:lineRule="auto"/>
        <w:ind w:right="50"/>
        <w:jc w:val="both"/>
        <w:rPr>
          <w:rFonts w:ascii="Times New Roman" w:eastAsia="Times New Roman" w:hAnsi="Times New Roman" w:cs="Times New Roman"/>
        </w:rPr>
      </w:pPr>
    </w:p>
    <w:p w14:paraId="7B7F04C9" w14:textId="77777777" w:rsidR="003A5C5D" w:rsidRPr="00830619" w:rsidRDefault="006654DD">
      <w:pPr>
        <w:pBdr>
          <w:top w:val="nil"/>
          <w:left w:val="nil"/>
          <w:bottom w:val="nil"/>
          <w:right w:val="nil"/>
          <w:between w:val="nil"/>
        </w:pBdr>
        <w:spacing w:after="0" w:line="360" w:lineRule="auto"/>
        <w:ind w:right="50"/>
        <w:jc w:val="both"/>
        <w:rPr>
          <w:rFonts w:ascii="Times New Roman" w:eastAsia="Times New Roman" w:hAnsi="Times New Roman" w:cs="Times New Roman"/>
        </w:rPr>
      </w:pPr>
      <w:r w:rsidRPr="0083061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2E79D7C"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30619">
        <w:rPr>
          <w:rFonts w:ascii="Palatino Linotype" w:eastAsia="Palatino Linotype" w:hAnsi="Palatino Linotype" w:cs="Palatino Linotype"/>
          <w:b/>
          <w:bCs/>
        </w:rPr>
        <w:t>Registro Federal de Contribuyentes</w:t>
      </w:r>
      <w:r w:rsidRPr="00830619">
        <w:rPr>
          <w:rFonts w:ascii="Palatino Linotype" w:eastAsia="Palatino Linotype" w:hAnsi="Palatino Linotype" w:cs="Palatino Linotype"/>
        </w:rPr>
        <w:t xml:space="preserve"> (RFC), la </w:t>
      </w:r>
      <w:r w:rsidRPr="00830619">
        <w:rPr>
          <w:rFonts w:ascii="Palatino Linotype" w:eastAsia="Palatino Linotype" w:hAnsi="Palatino Linotype" w:cs="Palatino Linotype"/>
          <w:b/>
          <w:bCs/>
        </w:rPr>
        <w:t>Clave Única de Registro de Población</w:t>
      </w:r>
      <w:r w:rsidRPr="00830619">
        <w:rPr>
          <w:rFonts w:ascii="Palatino Linotype" w:eastAsia="Palatino Linotype" w:hAnsi="Palatino Linotype" w:cs="Palatino Linotype"/>
        </w:rPr>
        <w:t xml:space="preserve"> (CURP), la </w:t>
      </w:r>
      <w:r w:rsidRPr="00830619">
        <w:rPr>
          <w:rFonts w:ascii="Palatino Linotype" w:eastAsia="Palatino Linotype" w:hAnsi="Palatino Linotype" w:cs="Palatino Linotype"/>
          <w:b/>
          <w:bCs/>
        </w:rPr>
        <w:t>Clave de cualquier tipo de seguridad social</w:t>
      </w:r>
      <w:r w:rsidRPr="00830619">
        <w:rPr>
          <w:rFonts w:ascii="Palatino Linotype" w:eastAsia="Palatino Linotype" w:hAnsi="Palatino Linotype" w:cs="Palatino Linotype"/>
        </w:rPr>
        <w:t xml:space="preserve"> (ISSEMYM, u otros), los </w:t>
      </w:r>
      <w:r w:rsidRPr="00830619">
        <w:rPr>
          <w:rFonts w:ascii="Palatino Linotype" w:eastAsia="Palatino Linotype" w:hAnsi="Palatino Linotype" w:cs="Palatino Linotype"/>
          <w:b/>
          <w:bCs/>
        </w:rPr>
        <w:t>números de cuentas bancarias</w:t>
      </w:r>
      <w:r w:rsidRPr="00830619">
        <w:rPr>
          <w:rFonts w:ascii="Palatino Linotype" w:eastAsia="Palatino Linotype" w:hAnsi="Palatino Linotype" w:cs="Palatino Linotype"/>
        </w:rPr>
        <w:t xml:space="preserve">, claves estandarizadas – interbancarias - (CLABES) y de tarjetas, los </w:t>
      </w:r>
      <w:r w:rsidRPr="00830619">
        <w:rPr>
          <w:rFonts w:ascii="Palatino Linotype" w:eastAsia="Palatino Linotype" w:hAnsi="Palatino Linotype" w:cs="Palatino Linotype"/>
          <w:b/>
          <w:bCs/>
        </w:rPr>
        <w:t>préstamos o descuentos</w:t>
      </w:r>
      <w:r w:rsidRPr="00830619">
        <w:rPr>
          <w:rFonts w:ascii="Palatino Linotype" w:eastAsia="Palatino Linotype" w:hAnsi="Palatino Linotype" w:cs="Palatino Linotype"/>
        </w:rPr>
        <w:t xml:space="preserve"> que se le hagan a la persona y que no tengan relación con los impuestos o la cuota por seguridad social, el</w:t>
      </w:r>
      <w:r w:rsidRPr="00830619">
        <w:rPr>
          <w:rFonts w:ascii="Palatino Linotype" w:eastAsia="Palatino Linotype" w:hAnsi="Palatino Linotype" w:cs="Palatino Linotype"/>
          <w:b/>
          <w:bCs/>
        </w:rPr>
        <w:t xml:space="preserve"> número de empleado, </w:t>
      </w:r>
      <w:r w:rsidRPr="00830619">
        <w:rPr>
          <w:rFonts w:ascii="Palatino Linotype" w:eastAsia="Palatino Linotype" w:hAnsi="Palatino Linotype" w:cs="Palatino Linotype"/>
        </w:rPr>
        <w:t>y cualquier información de carácter fiscal.</w:t>
      </w:r>
    </w:p>
    <w:p w14:paraId="1A9191AA"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5D8DE4A6" w14:textId="77777777" w:rsidR="003A5C5D" w:rsidRPr="00830619" w:rsidRDefault="006654DD">
      <w:pPr>
        <w:pBdr>
          <w:top w:val="nil"/>
          <w:left w:val="nil"/>
          <w:bottom w:val="nil"/>
          <w:right w:val="nil"/>
          <w:between w:val="nil"/>
        </w:pBdr>
        <w:spacing w:after="0" w:line="360" w:lineRule="auto"/>
        <w:ind w:right="50"/>
        <w:jc w:val="both"/>
        <w:rPr>
          <w:rFonts w:ascii="Times New Roman" w:eastAsia="Times New Roman" w:hAnsi="Times New Roman" w:cs="Times New Roman"/>
        </w:rPr>
      </w:pPr>
      <w:r w:rsidRPr="0083061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7898F7F"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Por cuanto hace al </w:t>
      </w:r>
      <w:r w:rsidRPr="00830619">
        <w:rPr>
          <w:rFonts w:ascii="Palatino Linotype" w:eastAsia="Palatino Linotype" w:hAnsi="Palatino Linotype" w:cs="Palatino Linotype"/>
          <w:b/>
          <w:bCs/>
        </w:rPr>
        <w:t>Registro Federal de Contribuyentes, RFC,</w:t>
      </w:r>
      <w:r w:rsidRPr="00830619">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352B0C9"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7654EAF4" w14:textId="77777777" w:rsidR="003A5C5D" w:rsidRPr="00830619" w:rsidRDefault="006654DD">
      <w:pPr>
        <w:pBdr>
          <w:top w:val="nil"/>
          <w:left w:val="nil"/>
          <w:bottom w:val="nil"/>
          <w:right w:val="nil"/>
          <w:between w:val="nil"/>
        </w:pBdr>
        <w:spacing w:after="0" w:line="360" w:lineRule="auto"/>
        <w:jc w:val="both"/>
        <w:rPr>
          <w:rFonts w:ascii="Times New Roman" w:eastAsia="Times New Roman" w:hAnsi="Times New Roman" w:cs="Times New Roman"/>
        </w:rPr>
      </w:pPr>
      <w:r w:rsidRPr="00830619">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2C68DF9"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Lo anterior se apoya del criterio orientador con clave de control SO/019/2017, emitido por el entonces Instituto Nacional de Transparencia, Acceso a la Información y Protección de Datos Personales, INAI, el cual es del tenor literal siguiente:</w:t>
      </w:r>
    </w:p>
    <w:p w14:paraId="064162B3"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15742D52"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 “Registro Federal de Contribuyentes (RFC) de personas físicas</w:t>
      </w:r>
      <w:r w:rsidRPr="00830619">
        <w:rPr>
          <w:rFonts w:ascii="Palatino Linotype" w:eastAsia="Palatino Linotype" w:hAnsi="Palatino Linotype" w:cs="Palatino Linotype"/>
          <w:i/>
          <w:iCs/>
        </w:rPr>
        <w:t>. El RFC es una clave de carácter fiscal, única e irrepetible, que permite identificar al titular, su edad y fecha de nacimiento, por lo que es un dato personal de carácter confidencial.”</w:t>
      </w:r>
    </w:p>
    <w:p w14:paraId="24FB506C"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8490A76"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52338CC"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33469B1D"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De igual manera la </w:t>
      </w:r>
      <w:r w:rsidRPr="00830619">
        <w:rPr>
          <w:rFonts w:ascii="Palatino Linotype" w:eastAsia="Palatino Linotype" w:hAnsi="Palatino Linotype" w:cs="Palatino Linotype"/>
          <w:b/>
          <w:bCs/>
        </w:rPr>
        <w:t>Clave Única de Registro de Población</w:t>
      </w:r>
      <w:r w:rsidRPr="00830619">
        <w:rPr>
          <w:rFonts w:ascii="Palatino Linotype" w:eastAsia="Palatino Linotype" w:hAnsi="Palatino Linotype" w:cs="Palatino Linotype"/>
        </w:rPr>
        <w:t xml:space="preserve">, </w:t>
      </w:r>
      <w:r w:rsidRPr="00830619">
        <w:rPr>
          <w:rFonts w:ascii="Palatino Linotype" w:eastAsia="Palatino Linotype" w:hAnsi="Palatino Linotype" w:cs="Palatino Linotype"/>
          <w:b/>
          <w:bCs/>
        </w:rPr>
        <w:t>CURP,</w:t>
      </w:r>
      <w:r w:rsidRPr="00830619">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6B9796F"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04745F42"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Argumento que se apoya del criterio orientador con Clave de control SO/018/2017, emitido por el entonces Instituto Nacional de Transparencia, Acceso a la Información y Protección de Datos Personales, INAI, el cual refiere:</w:t>
      </w:r>
    </w:p>
    <w:p w14:paraId="7F7728D6"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19668CFC" w14:textId="77777777" w:rsidR="003A5C5D" w:rsidRPr="00830619" w:rsidRDefault="006654DD">
      <w:pPr>
        <w:pBdr>
          <w:top w:val="nil"/>
          <w:left w:val="nil"/>
          <w:bottom w:val="nil"/>
          <w:right w:val="nil"/>
          <w:between w:val="nil"/>
        </w:pBdr>
        <w:spacing w:after="0"/>
        <w:ind w:left="851"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 xml:space="preserve"> “Clave Única de Registro de Población (CURP). </w:t>
      </w:r>
      <w:r w:rsidRPr="00830619">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E3B611D"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709468B" w14:textId="77777777" w:rsidR="003A5C5D" w:rsidRPr="00830619" w:rsidRDefault="006654DD">
      <w:pPr>
        <w:pBdr>
          <w:top w:val="nil"/>
          <w:left w:val="nil"/>
          <w:bottom w:val="nil"/>
          <w:right w:val="nil"/>
          <w:between w:val="nil"/>
        </w:pBdr>
        <w:spacing w:after="0" w:line="360" w:lineRule="auto"/>
        <w:jc w:val="both"/>
        <w:rPr>
          <w:rFonts w:ascii="Times New Roman" w:eastAsia="Times New Roman" w:hAnsi="Times New Roman" w:cs="Times New Roman"/>
        </w:rPr>
      </w:pPr>
      <w:r w:rsidRPr="00830619">
        <w:rPr>
          <w:rFonts w:ascii="Palatino Linotype" w:eastAsia="Palatino Linotype" w:hAnsi="Palatino Linotype" w:cs="Palatino Linotype"/>
        </w:rPr>
        <w:t xml:space="preserve">Por lo que respecta a la </w:t>
      </w:r>
      <w:r w:rsidRPr="00830619">
        <w:rPr>
          <w:rFonts w:ascii="Palatino Linotype" w:eastAsia="Palatino Linotype" w:hAnsi="Palatino Linotype" w:cs="Palatino Linotype"/>
          <w:b/>
          <w:bCs/>
        </w:rPr>
        <w:t>clave de seguridad social</w:t>
      </w:r>
      <w:r w:rsidRPr="00830619">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59E3EE07" w14:textId="77777777" w:rsidR="003A5C5D" w:rsidRPr="00830619" w:rsidRDefault="006654DD">
      <w:pPr>
        <w:pBdr>
          <w:top w:val="nil"/>
          <w:left w:val="nil"/>
          <w:bottom w:val="nil"/>
          <w:right w:val="nil"/>
          <w:between w:val="nil"/>
        </w:pBdr>
        <w:spacing w:after="0" w:line="360" w:lineRule="auto"/>
        <w:jc w:val="both"/>
        <w:rPr>
          <w:rFonts w:ascii="Times New Roman" w:eastAsia="Times New Roman" w:hAnsi="Times New Roman" w:cs="Times New Roman"/>
        </w:rPr>
      </w:pPr>
      <w:r w:rsidRPr="00830619">
        <w:rPr>
          <w:rFonts w:ascii="Palatino Linotype" w:eastAsia="Palatino Linotype" w:hAnsi="Palatino Linotype" w:cs="Palatino Linotype"/>
        </w:rPr>
        <w:t xml:space="preserve">Respecto de los </w:t>
      </w:r>
      <w:r w:rsidRPr="00830619">
        <w:rPr>
          <w:rFonts w:ascii="Palatino Linotype" w:eastAsia="Palatino Linotype" w:hAnsi="Palatino Linotype" w:cs="Palatino Linotype"/>
          <w:b/>
          <w:bCs/>
        </w:rPr>
        <w:t>números de cuentas bancari</w:t>
      </w:r>
      <w:r w:rsidRPr="00830619">
        <w:rPr>
          <w:rFonts w:ascii="Palatino Linotype" w:eastAsia="Palatino Linotype" w:hAnsi="Palatino Linotype" w:cs="Palatino Linotype"/>
        </w:rPr>
        <w:t xml:space="preserve">as, </w:t>
      </w:r>
      <w:r w:rsidRPr="00830619">
        <w:rPr>
          <w:rFonts w:ascii="Palatino Linotype" w:eastAsia="Palatino Linotype" w:hAnsi="Palatino Linotype" w:cs="Palatino Linotype"/>
          <w:b/>
          <w:bCs/>
        </w:rPr>
        <w:t>claves estandarizadas –interbancarias- (CLABES) y de tarjetas</w:t>
      </w:r>
      <w:r w:rsidRPr="00830619">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182F70D7"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F08A9F7"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3A6D5BF9"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106E2106"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6BF5942E"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En esa virtud, este Pleno determina que dicha información no puede ser del dominio público, toda vez que se podría dar un uso inadecuado a la misma o cometer algún ilícito o fraude como ya ha sido expuesto. </w:t>
      </w:r>
    </w:p>
    <w:p w14:paraId="4742A0F9"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62263876"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6F50F60F"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0FFC8C92" w14:textId="77777777" w:rsidR="003A5C5D" w:rsidRPr="00830619" w:rsidRDefault="006654DD">
      <w:pPr>
        <w:pBdr>
          <w:top w:val="nil"/>
          <w:left w:val="nil"/>
          <w:bottom w:val="nil"/>
          <w:right w:val="nil"/>
          <w:between w:val="nil"/>
        </w:pBdr>
        <w:spacing w:after="0" w:line="360" w:lineRule="auto"/>
        <w:jc w:val="both"/>
        <w:rPr>
          <w:rFonts w:ascii="Times New Roman" w:eastAsia="Times New Roman" w:hAnsi="Times New Roman" w:cs="Times New Roman"/>
        </w:rPr>
      </w:pPr>
      <w:r w:rsidRPr="00830619">
        <w:rPr>
          <w:rFonts w:ascii="Palatino Linotype" w:eastAsia="Palatino Linotype" w:hAnsi="Palatino Linotype" w:cs="Palatino Linotype"/>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66A97EE6"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Cuentas bancarias y/o CLABE interbancaria de personas físicas y morales privadas.</w:t>
      </w:r>
      <w:r w:rsidRPr="00830619">
        <w:rPr>
          <w:rFonts w:ascii="Palatino Linotype" w:eastAsia="Palatino Linotype" w:hAnsi="Palatino Linotype" w:cs="Palatino Linotype"/>
          <w:i/>
          <w:iC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F7630CC"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“Cuentas bancarias y/o CLABE interbancaria de sujetos obligados que reciben y/o transfieren recursos públicos, son información pública.</w:t>
      </w:r>
      <w:r w:rsidRPr="00830619">
        <w:rPr>
          <w:rFonts w:ascii="Palatino Linotype" w:eastAsia="Palatino Linotype" w:hAnsi="Palatino Linotype" w:cs="Palatino Linotype"/>
          <w:i/>
          <w:iC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43AC386"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D6BB51D"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Por cuanto hace a los </w:t>
      </w:r>
      <w:r w:rsidRPr="00830619">
        <w:rPr>
          <w:rFonts w:ascii="Palatino Linotype" w:eastAsia="Palatino Linotype" w:hAnsi="Palatino Linotype" w:cs="Palatino Linotype"/>
          <w:b/>
          <w:bCs/>
        </w:rPr>
        <w:t>préstamos o descuentos de carácter personal</w:t>
      </w:r>
      <w:r w:rsidRPr="00830619">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480FCD4F"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21443D3F"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51EE62CB"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4150D578"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 xml:space="preserve">“ARTÍCULO 84. </w:t>
      </w:r>
      <w:r w:rsidRPr="00830619">
        <w:rPr>
          <w:rFonts w:ascii="Palatino Linotype" w:eastAsia="Palatino Linotype" w:hAnsi="Palatino Linotype" w:cs="Palatino Linotype"/>
          <w:i/>
          <w:iCs/>
        </w:rPr>
        <w:t>Sólo podrán hacerse retenciones, descuentos o deducciones al sueldo de los servidores públicos por concepto de:</w:t>
      </w:r>
    </w:p>
    <w:p w14:paraId="551A409F"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I.</w:t>
      </w:r>
      <w:r w:rsidRPr="00830619">
        <w:rPr>
          <w:rFonts w:ascii="Palatino Linotype" w:eastAsia="Palatino Linotype" w:hAnsi="Palatino Linotype" w:cs="Palatino Linotype"/>
          <w:i/>
          <w:iCs/>
        </w:rPr>
        <w:t xml:space="preserve"> Gravámenes fiscales relacionados con el sueldo;</w:t>
      </w:r>
    </w:p>
    <w:p w14:paraId="6B2E0068"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II.</w:t>
      </w:r>
      <w:r w:rsidRPr="00830619">
        <w:rPr>
          <w:rFonts w:ascii="Palatino Linotype" w:eastAsia="Palatino Linotype" w:hAnsi="Palatino Linotype" w:cs="Palatino Linotype"/>
          <w:i/>
          <w:iCs/>
        </w:rPr>
        <w:t xml:space="preserve"> Deudas contraídas con las instituciones públicas o dependencias por concepto de anticipos de sueldo, pagos hechos con exceso, errores o pérdidas debidamente comprobados;</w:t>
      </w:r>
    </w:p>
    <w:p w14:paraId="5ED27E28"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III.</w:t>
      </w:r>
      <w:r w:rsidRPr="00830619">
        <w:rPr>
          <w:rFonts w:ascii="Palatino Linotype" w:eastAsia="Palatino Linotype" w:hAnsi="Palatino Linotype" w:cs="Palatino Linotype"/>
          <w:i/>
          <w:iCs/>
        </w:rPr>
        <w:t xml:space="preserve"> </w:t>
      </w:r>
      <w:r w:rsidRPr="00830619">
        <w:rPr>
          <w:rFonts w:ascii="Palatino Linotype" w:eastAsia="Palatino Linotype" w:hAnsi="Palatino Linotype" w:cs="Palatino Linotype"/>
          <w:b/>
          <w:bCs/>
          <w:i/>
          <w:iCs/>
        </w:rPr>
        <w:t>Cuotas sindicales</w:t>
      </w:r>
      <w:r w:rsidRPr="00830619">
        <w:rPr>
          <w:rFonts w:ascii="Palatino Linotype" w:eastAsia="Palatino Linotype" w:hAnsi="Palatino Linotype" w:cs="Palatino Linotype"/>
          <w:i/>
          <w:iCs/>
        </w:rPr>
        <w:t>;</w:t>
      </w:r>
    </w:p>
    <w:p w14:paraId="4C3E9F6B"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IV.</w:t>
      </w:r>
      <w:r w:rsidRPr="00830619">
        <w:rPr>
          <w:rFonts w:ascii="Palatino Linotype" w:eastAsia="Palatino Linotype" w:hAnsi="Palatino Linotype" w:cs="Palatino Linotype"/>
          <w:i/>
          <w:iCs/>
        </w:rPr>
        <w:t xml:space="preserve"> Cuotas de aportación a fondos para la constitución de cooperativas y de cajas de ahorro, siempre que el servidor público hubiese manifestado previamente, de manera expresa, su conformidad;</w:t>
      </w:r>
    </w:p>
    <w:p w14:paraId="1976B260"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V.</w:t>
      </w:r>
      <w:r w:rsidRPr="00830619">
        <w:rPr>
          <w:rFonts w:ascii="Palatino Linotype" w:eastAsia="Palatino Linotype" w:hAnsi="Palatino Linotype" w:cs="Palatino Linotype"/>
          <w:i/>
          <w:iCs/>
        </w:rPr>
        <w:t xml:space="preserve"> Descuentos ordenados por el Instituto de Seguridad Social del Estado de México y Municipios, con motivo de cuotas y obligaciones contraídas con éste por los servidores públicos;</w:t>
      </w:r>
    </w:p>
    <w:p w14:paraId="79A5D2EE"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VI.</w:t>
      </w:r>
      <w:r w:rsidRPr="00830619">
        <w:rPr>
          <w:rFonts w:ascii="Palatino Linotype" w:eastAsia="Palatino Linotype" w:hAnsi="Palatino Linotype" w:cs="Palatino Linotype"/>
          <w:i/>
          <w:iCs/>
        </w:rPr>
        <w:t xml:space="preserve"> Obligaciones a cargo del servidor público con las que haya consentido, derivadas de la adquisición o del uso de habitaciones consideradas como de interés social;</w:t>
      </w:r>
    </w:p>
    <w:p w14:paraId="6999EE4B"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VII.</w:t>
      </w:r>
      <w:r w:rsidRPr="00830619">
        <w:rPr>
          <w:rFonts w:ascii="Palatino Linotype" w:eastAsia="Palatino Linotype" w:hAnsi="Palatino Linotype" w:cs="Palatino Linotype"/>
          <w:i/>
          <w:iCs/>
        </w:rPr>
        <w:t xml:space="preserve"> Faltas de puntualidad o de asistencia injustificadas;</w:t>
      </w:r>
    </w:p>
    <w:p w14:paraId="51579A92"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VIII. Pensiones alimenticias ordenadas por la autoridad judicial;</w:t>
      </w:r>
      <w:r w:rsidRPr="00830619">
        <w:rPr>
          <w:rFonts w:ascii="Palatino Linotype" w:eastAsia="Palatino Linotype" w:hAnsi="Palatino Linotype" w:cs="Palatino Linotype"/>
          <w:i/>
          <w:iCs/>
        </w:rPr>
        <w:t xml:space="preserve"> o</w:t>
      </w:r>
    </w:p>
    <w:p w14:paraId="28D1BF63"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IX. Cualquier otro convenido con instituciones de servicios y aceptado por el servidor público.</w:t>
      </w:r>
    </w:p>
    <w:p w14:paraId="11A80578"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i/>
          <w:iC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75E69186"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969C614"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Como se puede observar, el precepto citado establece claramente cuáles son esos descuentos o gravámenes que directamente se relacionan con las obligaciones adquiridas como servidores públicos y aquéllos que únicamente inciden en su vida privada. </w:t>
      </w:r>
    </w:p>
    <w:p w14:paraId="59E0C59B"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50F48A42" w14:textId="2A631416"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De este modo, los </w:t>
      </w:r>
      <w:r w:rsidRPr="00830619">
        <w:rPr>
          <w:rFonts w:ascii="Palatino Linotype" w:eastAsia="Palatino Linotype" w:hAnsi="Palatino Linotype" w:cs="Palatino Linotype"/>
          <w:b/>
          <w:bCs/>
        </w:rPr>
        <w:t>descuentos o deducciones por cuotas sindicales</w:t>
      </w:r>
      <w:r w:rsidRPr="00830619">
        <w:rPr>
          <w:rFonts w:ascii="Palatino Linotype" w:eastAsia="Palatino Linotype" w:hAnsi="Palatino Linotype" w:cs="Palatino Linotype"/>
        </w:rPr>
        <w:t xml:space="preserve">, </w:t>
      </w:r>
      <w:r w:rsidRPr="00830619">
        <w:rPr>
          <w:rFonts w:ascii="Palatino Linotype" w:eastAsia="Palatino Linotype" w:hAnsi="Palatino Linotype" w:cs="Palatino Linotype"/>
          <w:b/>
          <w:bCs/>
        </w:rPr>
        <w:t>pensiones alimenticias</w:t>
      </w:r>
      <w:r w:rsidRPr="00830619">
        <w:rPr>
          <w:rFonts w:ascii="Palatino Linotype" w:eastAsia="Palatino Linotype" w:hAnsi="Palatino Linotype" w:cs="Palatino Linotype"/>
        </w:rPr>
        <w:t xml:space="preserve"> o </w:t>
      </w:r>
      <w:r w:rsidRPr="00830619">
        <w:rPr>
          <w:rFonts w:ascii="Palatino Linotype" w:eastAsia="Palatino Linotype" w:hAnsi="Palatino Linotype" w:cs="Palatino Linotype"/>
          <w:b/>
          <w:bCs/>
        </w:rPr>
        <w:t>créditos adquiridos con instituciones privadas</w:t>
      </w:r>
      <w:r w:rsidRPr="00830619">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830619">
        <w:rPr>
          <w:rFonts w:ascii="Palatino Linotype" w:eastAsia="Palatino Linotype" w:hAnsi="Palatino Linotype" w:cs="Palatino Linotype"/>
          <w:b/>
          <w:bCs/>
        </w:rPr>
        <w:t>es información que no es de carácter público, sino que constituye información confidencial</w:t>
      </w:r>
      <w:r w:rsidRPr="00830619">
        <w:rPr>
          <w:rFonts w:ascii="Palatino Linotype" w:eastAsia="Palatino Linotype" w:hAnsi="Palatino Linotype" w:cs="Palatino Linotype"/>
        </w:rPr>
        <w:t xml:space="preserve"> en virtud de que corresponde con decisiones personales, y por tanto, se debe clasificar.</w:t>
      </w:r>
    </w:p>
    <w:p w14:paraId="5068F312"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6541E55C"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2C08E2E0"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6BF466CA"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1A185529"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Con relación al </w:t>
      </w:r>
      <w:r w:rsidRPr="00830619">
        <w:rPr>
          <w:rFonts w:ascii="Palatino Linotype" w:eastAsia="Palatino Linotype" w:hAnsi="Palatino Linotype" w:cs="Palatino Linotype"/>
          <w:b/>
          <w:bCs/>
        </w:rPr>
        <w:t>número de empleado</w:t>
      </w:r>
      <w:r w:rsidRPr="00830619">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3287D073"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1F549B5A"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0BD8A1CB"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10C390E9" w14:textId="77777777" w:rsidR="003A5C5D" w:rsidRPr="00830619" w:rsidRDefault="006654DD">
      <w:pPr>
        <w:pBdr>
          <w:top w:val="nil"/>
          <w:left w:val="nil"/>
          <w:bottom w:val="nil"/>
          <w:right w:val="nil"/>
          <w:between w:val="nil"/>
        </w:pBdr>
        <w:spacing w:after="0" w:line="240" w:lineRule="auto"/>
        <w:ind w:left="567" w:right="709"/>
        <w:jc w:val="both"/>
        <w:rPr>
          <w:rFonts w:ascii="Palatino Linotype" w:eastAsia="Palatino Linotype" w:hAnsi="Palatino Linotype" w:cs="Palatino Linotype"/>
          <w:i/>
          <w:iCs/>
        </w:rPr>
      </w:pPr>
      <w:r w:rsidRPr="00830619">
        <w:rPr>
          <w:rFonts w:ascii="Palatino Linotype" w:eastAsia="Palatino Linotype" w:hAnsi="Palatino Linotype" w:cs="Palatino Linotype"/>
          <w:b/>
          <w:bCs/>
          <w:i/>
          <w:iCs/>
        </w:rPr>
        <w:t xml:space="preserve">“Número de empleado. </w:t>
      </w:r>
      <w:r w:rsidRPr="00830619">
        <w:rPr>
          <w:rFonts w:ascii="Palatino Linotype" w:eastAsia="Palatino Linotype" w:hAnsi="Palatino Linotype" w:cs="Palatino Linotype"/>
          <w:i/>
          <w:iC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399AFBE8" w14:textId="77777777" w:rsidR="003A5C5D" w:rsidRPr="00830619" w:rsidRDefault="003A5C5D">
      <w:pPr>
        <w:pBdr>
          <w:top w:val="nil"/>
          <w:left w:val="nil"/>
          <w:bottom w:val="nil"/>
          <w:right w:val="nil"/>
          <w:between w:val="nil"/>
        </w:pBdr>
        <w:spacing w:after="0" w:line="240" w:lineRule="auto"/>
        <w:ind w:left="992" w:right="992"/>
        <w:jc w:val="both"/>
        <w:rPr>
          <w:rFonts w:ascii="Times New Roman" w:eastAsia="Times New Roman" w:hAnsi="Times New Roman" w:cs="Times New Roman"/>
        </w:rPr>
      </w:pPr>
    </w:p>
    <w:p w14:paraId="09BED524"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9038218"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6A2BF84" w14:textId="77777777" w:rsidR="003A5C5D" w:rsidRPr="00830619" w:rsidRDefault="006654DD">
      <w:pPr>
        <w:pBdr>
          <w:top w:val="nil"/>
          <w:left w:val="nil"/>
          <w:bottom w:val="nil"/>
          <w:right w:val="nil"/>
          <w:between w:val="nil"/>
        </w:pBdr>
        <w:spacing w:after="0" w:line="360" w:lineRule="auto"/>
        <w:jc w:val="both"/>
        <w:rPr>
          <w:rFonts w:ascii="Times New Roman" w:eastAsia="Times New Roman" w:hAnsi="Times New Roman" w:cs="Times New Roman"/>
        </w:rPr>
      </w:pPr>
      <w:r w:rsidRPr="00830619">
        <w:rPr>
          <w:rFonts w:ascii="Palatino Linotype" w:eastAsia="Palatino Linotype" w:hAnsi="Palatino Linotype" w:cs="Palatino Linotype"/>
          <w:b/>
          <w:bCs/>
        </w:rPr>
        <w:t>De la información fiscal</w:t>
      </w:r>
      <w:r w:rsidRPr="00830619">
        <w:rPr>
          <w:rFonts w:ascii="Palatino Linotype" w:eastAsia="Palatino Linotype" w:hAnsi="Palatino Linotype" w:cs="Palatino Linotype"/>
        </w:rPr>
        <w:t>: </w:t>
      </w:r>
    </w:p>
    <w:p w14:paraId="7C99FAE6" w14:textId="77777777" w:rsidR="003A5C5D" w:rsidRPr="00830619" w:rsidRDefault="003A5C5D">
      <w:pPr>
        <w:spacing w:after="0" w:line="360" w:lineRule="auto"/>
      </w:pPr>
    </w:p>
    <w:p w14:paraId="3A3B427D" w14:textId="77777777" w:rsidR="003A5C5D" w:rsidRPr="00830619" w:rsidRDefault="006654DD">
      <w:pPr>
        <w:pBdr>
          <w:top w:val="nil"/>
          <w:left w:val="nil"/>
          <w:bottom w:val="nil"/>
          <w:right w:val="nil"/>
          <w:between w:val="nil"/>
        </w:pBdr>
        <w:spacing w:after="0" w:line="360" w:lineRule="auto"/>
        <w:jc w:val="both"/>
        <w:rPr>
          <w:rFonts w:ascii="Times New Roman" w:eastAsia="Times New Roman" w:hAnsi="Times New Roman" w:cs="Times New Roman"/>
        </w:rPr>
      </w:pPr>
      <w:r w:rsidRPr="00830619">
        <w:rPr>
          <w:rFonts w:ascii="Palatino Linotype" w:eastAsia="Palatino Linotype" w:hAnsi="Palatino Linotype" w:cs="Palatino Linotype"/>
        </w:rPr>
        <w:t xml:space="preserve">La </w:t>
      </w:r>
      <w:r w:rsidRPr="00830619">
        <w:rPr>
          <w:rFonts w:ascii="Palatino Linotype" w:eastAsia="Palatino Linotype" w:hAnsi="Palatino Linotype" w:cs="Palatino Linotype"/>
          <w:b/>
          <w:bCs/>
        </w:rPr>
        <w:t>Cadena Original</w:t>
      </w:r>
      <w:r w:rsidRPr="00830619">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0E7295D9" w14:textId="77777777" w:rsidR="003A5C5D" w:rsidRPr="00830619" w:rsidRDefault="003A5C5D">
      <w:pPr>
        <w:spacing w:after="0" w:line="360" w:lineRule="auto"/>
      </w:pPr>
    </w:p>
    <w:p w14:paraId="5CEB508A"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Los </w:t>
      </w:r>
      <w:r w:rsidRPr="00830619">
        <w:rPr>
          <w:rFonts w:ascii="Palatino Linotype" w:eastAsia="Palatino Linotype" w:hAnsi="Palatino Linotype" w:cs="Palatino Linotype"/>
          <w:b/>
          <w:bCs/>
        </w:rPr>
        <w:t>códigos bidimensionales</w:t>
      </w:r>
      <w:r w:rsidRPr="00830619">
        <w:rPr>
          <w:rFonts w:ascii="Palatino Linotype" w:eastAsia="Palatino Linotype" w:hAnsi="Palatino Linotype" w:cs="Palatino Linotype"/>
        </w:rPr>
        <w:t xml:space="preserve"> o </w:t>
      </w:r>
      <w:r w:rsidRPr="00830619">
        <w:rPr>
          <w:rFonts w:ascii="Palatino Linotype" w:eastAsia="Palatino Linotype" w:hAnsi="Palatino Linotype" w:cs="Palatino Linotype"/>
          <w:b/>
          <w:bCs/>
        </w:rPr>
        <w:t xml:space="preserve">códigos QR, </w:t>
      </w:r>
      <w:r w:rsidRPr="00830619">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830619">
        <w:rPr>
          <w:rFonts w:ascii="Palatino Linotype" w:eastAsia="Palatino Linotype" w:hAnsi="Palatino Linotype" w:cs="Palatino Linotype"/>
          <w:b/>
          <w:bCs/>
        </w:rPr>
        <w:t xml:space="preserve">Sujeto Obligado </w:t>
      </w:r>
      <w:r w:rsidRPr="00830619">
        <w:rPr>
          <w:rFonts w:ascii="Palatino Linotype" w:eastAsia="Palatino Linotype" w:hAnsi="Palatino Linotype" w:cs="Palatino Linotype"/>
        </w:rPr>
        <w:t>analizar dicha circunstancia con la finalidad de determinar si se actualiza algún supuesto de confidencialidad.</w:t>
      </w:r>
    </w:p>
    <w:p w14:paraId="360651DB" w14:textId="77777777" w:rsidR="000B6793" w:rsidRPr="00830619" w:rsidRDefault="000B6793">
      <w:pPr>
        <w:pBdr>
          <w:top w:val="nil"/>
          <w:left w:val="nil"/>
          <w:bottom w:val="nil"/>
          <w:right w:val="nil"/>
          <w:between w:val="nil"/>
        </w:pBdr>
        <w:spacing w:after="0" w:line="360" w:lineRule="auto"/>
        <w:jc w:val="both"/>
        <w:rPr>
          <w:rFonts w:ascii="Times New Roman" w:eastAsia="Times New Roman" w:hAnsi="Times New Roman" w:cs="Times New Roman"/>
        </w:rPr>
      </w:pPr>
    </w:p>
    <w:p w14:paraId="4A7DAC80"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En tal sentido, si derivado del análisis efectuado por </w:t>
      </w:r>
      <w:r w:rsidRPr="00830619">
        <w:rPr>
          <w:rFonts w:ascii="Palatino Linotype" w:eastAsia="Palatino Linotype" w:hAnsi="Palatino Linotype" w:cs="Palatino Linotype"/>
          <w:b/>
          <w:bCs/>
        </w:rPr>
        <w:t xml:space="preserve">Sujeto Obligado </w:t>
      </w:r>
      <w:r w:rsidRPr="00830619">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524F99B1"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2C80A6B"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830619">
        <w:rPr>
          <w:rFonts w:ascii="Palatino Linotype" w:eastAsia="Palatino Linotype" w:hAnsi="Palatino Linotype" w:cs="Palatino Linotype"/>
          <w:b/>
          <w:bCs/>
          <w:u w:val="single"/>
        </w:rPr>
        <w:t>sólo por cuanto hace al nombre</w:t>
      </w:r>
      <w:r w:rsidRPr="00830619">
        <w:rPr>
          <w:rFonts w:ascii="Palatino Linotype" w:eastAsia="Palatino Linotype" w:hAnsi="Palatino Linotype" w:cs="Palatino Linotype"/>
          <w:b/>
          <w:bCs/>
        </w:rPr>
        <w:t xml:space="preserve">, </w:t>
      </w:r>
      <w:r w:rsidRPr="00830619">
        <w:rPr>
          <w:rFonts w:ascii="Palatino Linotype" w:eastAsia="Palatino Linotype" w:hAnsi="Palatino Linotype" w:cs="Palatino Linotype"/>
        </w:rPr>
        <w:t xml:space="preserve">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830619">
        <w:rPr>
          <w:rFonts w:ascii="Palatino Linotype" w:eastAsia="Palatino Linotype" w:hAnsi="Palatino Linotype" w:cs="Palatino Linotype"/>
          <w:b/>
          <w:bCs/>
        </w:rPr>
        <w:t>que desempeñen funciones operativas</w:t>
      </w:r>
      <w:r w:rsidRPr="00830619">
        <w:rPr>
          <w:rFonts w:ascii="Palatino Linotype" w:eastAsia="Palatino Linotype" w:hAnsi="Palatino Linotype" w:cs="Palatino Linotype"/>
        </w:rPr>
        <w:t>.</w:t>
      </w:r>
    </w:p>
    <w:p w14:paraId="5F449305"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64C91316" w14:textId="453DAB00"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Al respecto, la información </w:t>
      </w:r>
      <w:r w:rsidRPr="00830619">
        <w:rPr>
          <w:rFonts w:ascii="Palatino Linotype" w:eastAsia="Palatino Linotype" w:hAnsi="Palatino Linotype" w:cs="Palatino Linotype"/>
          <w:b/>
          <w:bCs/>
        </w:rPr>
        <w:t>de los elementos que realizan funciones operativas, entre ellos su nombre, deben ser protegido</w:t>
      </w:r>
      <w:r w:rsidRPr="00830619">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10EE1EE4"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1A23D9E3"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presentación de la solicitud, así como los requisitos previstos por los numerales Vigésimo tercero y Trigésimo tercero, de los Lineamientos generales en materia de clasificación y desclasificación de la información, así como para la elaboración de versiones públicas, vigentes a la fecha de presentación de la solicitud, al aplicar la prueba de daño correspondiente.</w:t>
      </w:r>
    </w:p>
    <w:p w14:paraId="6C6A90C2"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4F4064A0"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830619">
        <w:rPr>
          <w:rFonts w:ascii="Palatino Linotype" w:eastAsia="Palatino Linotype" w:hAnsi="Palatino Linotype" w:cs="Palatino Linotype"/>
        </w:rPr>
        <w:t xml:space="preserve">Como sustento de lo anterior, es preciso mencionar que el </w:t>
      </w:r>
      <w:r w:rsidRPr="00830619">
        <w:rPr>
          <w:rFonts w:ascii="Palatino Linotype" w:eastAsia="Palatino Linotype" w:hAnsi="Palatino Linotype" w:cs="Palatino Linotype"/>
          <w:b/>
          <w:bCs/>
        </w:rPr>
        <w:t xml:space="preserve">actual Pleno de este Instituto ha sostenido el criterio de no dar a conocer los nombres de aquellos servidores públicos que realizan funciones operativas en materia de seguridad pública, </w:t>
      </w:r>
      <w:r w:rsidRPr="00830619">
        <w:rPr>
          <w:rFonts w:ascii="Palatino Linotype" w:eastAsia="Palatino Linotype" w:hAnsi="Palatino Linotype" w:cs="Palatino Linotype"/>
        </w:rPr>
        <w:t xml:space="preserve">pues los vuelve identificables y posiblemente reconocibles para grupos delictivos, que pudieran relacionarlos directamente con actividades u operativos pasados, presentes o ubicarlos simplemente por el hecho de pertenecer a una organización que lleva a cabo actividades de prevención y salvaguarda de la integridad de las personas en el combate a la delincuencia; así, dicha información puede ser utilizada para </w:t>
      </w:r>
      <w:r w:rsidRPr="00830619">
        <w:rPr>
          <w:rFonts w:ascii="Palatino Linotype" w:eastAsia="Palatino Linotype" w:hAnsi="Palatino Linotype" w:cs="Palatino Linotype"/>
          <w:b/>
          <w:bCs/>
        </w:rPr>
        <w:t>vulnerar la vida, seguridad o salud de dichos elementos, incluso la de sus familias o entorno social. </w:t>
      </w:r>
    </w:p>
    <w:p w14:paraId="74613B98"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51381E85"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En tal contexto, es procedente la clasificación del nombre de los elementos operativos como información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70F7A829"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67FB108C"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25B6BB2E"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6E3791E6"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orientador histórico 06/09, emitido por el entonces Instituto Federal de Acceso a la Información y Protección de Datos, que establece lo siguiente:</w:t>
      </w:r>
    </w:p>
    <w:p w14:paraId="64E51B9D"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44614800" w14:textId="77777777" w:rsidR="003A5C5D" w:rsidRPr="00830619" w:rsidRDefault="006654D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“Nombres de servidores públicos dedicados a actividades en materia de seguridad, por excepción pueden considerarse información reservada.</w:t>
      </w:r>
      <w:r w:rsidRPr="00830619">
        <w:rPr>
          <w:rFonts w:ascii="Palatino Linotype" w:eastAsia="Palatino Linotype" w:hAnsi="Palatino Linotype" w:cs="Palatino Linotype"/>
          <w:i/>
          <w:iC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3140C67"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32CB48C"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830619">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830619">
        <w:rPr>
          <w:rFonts w:ascii="Palatino Linotype" w:eastAsia="Palatino Linotype" w:hAnsi="Palatino Linotype" w:cs="Palatino Linotype"/>
          <w:b/>
          <w:bCs/>
        </w:rPr>
        <w:t>funciones de carácter operativo.</w:t>
      </w:r>
    </w:p>
    <w:p w14:paraId="35170C44"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503E6964"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055DEF42"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7FB066DA" w14:textId="77777777" w:rsidR="003A5C5D" w:rsidRPr="00830619" w:rsidRDefault="006654DD">
      <w:pPr>
        <w:pBdr>
          <w:top w:val="nil"/>
          <w:left w:val="nil"/>
          <w:bottom w:val="nil"/>
          <w:right w:val="nil"/>
          <w:between w:val="nil"/>
        </w:pBdr>
        <w:spacing w:after="0" w:line="240" w:lineRule="auto"/>
        <w:ind w:left="567" w:right="760"/>
        <w:jc w:val="both"/>
        <w:rPr>
          <w:rFonts w:ascii="Times New Roman" w:eastAsia="Times New Roman" w:hAnsi="Times New Roman" w:cs="Times New Roman"/>
        </w:rPr>
      </w:pPr>
      <w:r w:rsidRPr="00830619">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830619">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30619">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830619">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830619">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830619">
        <w:rPr>
          <w:rFonts w:ascii="Palatino Linotype" w:eastAsia="Palatino Linotype" w:hAnsi="Palatino Linotype" w:cs="Palatino Linotype"/>
          <w:i/>
          <w:iCs/>
        </w:rPr>
        <w:t>”</w:t>
      </w:r>
    </w:p>
    <w:p w14:paraId="2D66BC06" w14:textId="77777777" w:rsidR="003A5C5D" w:rsidRPr="00830619" w:rsidRDefault="006654DD">
      <w:pPr>
        <w:pBdr>
          <w:top w:val="nil"/>
          <w:left w:val="nil"/>
          <w:bottom w:val="nil"/>
          <w:right w:val="nil"/>
          <w:between w:val="nil"/>
        </w:pBdr>
        <w:spacing w:after="0" w:line="240" w:lineRule="auto"/>
        <w:ind w:left="567" w:right="760"/>
        <w:jc w:val="both"/>
        <w:rPr>
          <w:rFonts w:ascii="Times New Roman" w:eastAsia="Times New Roman" w:hAnsi="Times New Roman" w:cs="Times New Roman"/>
        </w:rPr>
      </w:pPr>
      <w:r w:rsidRPr="00830619">
        <w:rPr>
          <w:rFonts w:ascii="Palatino Linotype" w:eastAsia="Palatino Linotype" w:hAnsi="Palatino Linotype" w:cs="Palatino Linotype"/>
          <w:b/>
          <w:bCs/>
          <w:i/>
          <w:iCs/>
        </w:rPr>
        <w:t>“TRANSPARENCIA Y ACCESO A LA INFORMACIÓN PÚBLICA GUBERNAMENTAL. EL ARTÍCULO 14, FRACCIÓN I, DE LA LEY FEDERAL RELATIVA, NO VIOLA LA GARANTÍA DE ACCESO A LA INFORMACIÓN.</w:t>
      </w:r>
      <w:r w:rsidRPr="00830619">
        <w:rPr>
          <w:rFonts w:ascii="Palatino Linotype" w:eastAsia="Palatino Linotype" w:hAnsi="Palatino Linotype" w:cs="Palatino Linotype"/>
          <w:i/>
          <w:iC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30619">
        <w:rPr>
          <w:rFonts w:ascii="Palatino Linotype" w:eastAsia="Palatino Linotype" w:hAnsi="Palatino Linotype" w:cs="Palatino Linotype"/>
          <w:b/>
          <w:bCs/>
          <w:i/>
          <w:iC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30619">
        <w:rPr>
          <w:rFonts w:ascii="Palatino Linotype" w:eastAsia="Palatino Linotype" w:hAnsi="Palatino Linotype" w:cs="Palatino Linotype"/>
          <w:i/>
          <w:iCs/>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947EB59"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71CA5E0"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Por lo que hace a las </w:t>
      </w:r>
      <w:r w:rsidRPr="00830619">
        <w:rPr>
          <w:rFonts w:ascii="Palatino Linotype" w:eastAsia="Palatino Linotype" w:hAnsi="Palatino Linotype" w:cs="Palatino Linotype"/>
          <w:b/>
          <w:bCs/>
          <w:u w:val="single"/>
        </w:rPr>
        <w:t>percepciones, o ingresos</w:t>
      </w:r>
      <w:r w:rsidRPr="00830619">
        <w:rPr>
          <w:rFonts w:ascii="Palatino Linotype" w:eastAsia="Palatino Linotype" w:hAnsi="Palatino Linotype" w:cs="Palatino Linotype"/>
        </w:rPr>
        <w:t xml:space="preserve"> como se dijo es información de carácter público que no podrá ser clasificada, por las razones expuestas en el considerando cuarto, entre las que se destaca </w:t>
      </w:r>
      <w:r w:rsidRPr="00830619">
        <w:rPr>
          <w:rFonts w:ascii="Palatino Linotype" w:eastAsia="Palatino Linotype" w:hAnsi="Palatino Linotype" w:cs="Palatino Linotype"/>
          <w:b/>
          <w:bCs/>
          <w:u w:val="single"/>
        </w:rPr>
        <w:t xml:space="preserve">las remuneraciones brutas y netas de todos los servidores públicos, que incluya todas las percepciones, entre las cuales, se encuentran los sueldos, prestaciones, gratificaciones, primas, comisiones, dietas, bonos, estímulos, ingresos, entre otros </w:t>
      </w:r>
      <w:r w:rsidRPr="00830619">
        <w:rPr>
          <w:rFonts w:ascii="Palatino Linotype" w:eastAsia="Palatino Linotype" w:hAnsi="Palatino Linotype" w:cs="Palatino Linotype"/>
        </w:rPr>
        <w:t xml:space="preserve"> se trata de información vinculada con las obligaciones de transparencia </w:t>
      </w:r>
      <w:r w:rsidRPr="00830619">
        <w:rPr>
          <w:rFonts w:ascii="Palatino Linotype" w:eastAsia="Palatino Linotype" w:hAnsi="Palatino Linotype" w:cs="Palatino Linotype"/>
          <w:b/>
          <w:bCs/>
          <w:u w:val="single"/>
        </w:rPr>
        <w:t xml:space="preserve">que los Sujetos Obligados deberán poner a disposición del público de manera permanente y actualizada, por ello no resulta procedente su clasificación. </w:t>
      </w:r>
    </w:p>
    <w:p w14:paraId="61145578"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 </w:t>
      </w:r>
    </w:p>
    <w:p w14:paraId="641FC74A" w14:textId="77777777" w:rsidR="003A5C5D" w:rsidRPr="00830619" w:rsidRDefault="006654DD">
      <w:pPr>
        <w:pBdr>
          <w:top w:val="nil"/>
          <w:left w:val="nil"/>
          <w:bottom w:val="nil"/>
          <w:right w:val="nil"/>
          <w:between w:val="nil"/>
        </w:pBdr>
        <w:spacing w:after="0" w:line="360" w:lineRule="auto"/>
        <w:jc w:val="both"/>
        <w:rPr>
          <w:rFonts w:ascii="Times New Roman" w:eastAsia="Times New Roman" w:hAnsi="Times New Roman" w:cs="Times New Roman"/>
        </w:rPr>
      </w:pPr>
      <w:r w:rsidRPr="00830619">
        <w:rPr>
          <w:rFonts w:ascii="Palatino Linotype" w:eastAsia="Palatino Linotype" w:hAnsi="Palatino Linotype" w:cs="Palatino Linotype"/>
        </w:rPr>
        <w:t xml:space="preserve">En cuanto a la </w:t>
      </w:r>
      <w:r w:rsidRPr="00830619">
        <w:rPr>
          <w:rFonts w:ascii="Palatino Linotype" w:eastAsia="Palatino Linotype" w:hAnsi="Palatino Linotype" w:cs="Palatino Linotype"/>
          <w:b/>
          <w:bCs/>
          <w:u w:val="single"/>
        </w:rPr>
        <w:t>Firma de servidores públicos</w:t>
      </w:r>
      <w:r w:rsidRPr="00830619">
        <w:rPr>
          <w:rFonts w:ascii="Palatino Linotype" w:eastAsia="Palatino Linotype" w:hAnsi="Palatino Linotype" w:cs="Palatino Linotype"/>
        </w:rPr>
        <w:t>, contenidas en los recibos de nómina, si bien,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r w:rsidRPr="00830619">
        <w:rPr>
          <w:rFonts w:ascii="Palatino Linotype" w:eastAsia="Palatino Linotype" w:hAnsi="Palatino Linotype" w:cs="Palatino Linotype"/>
          <w:b/>
          <w:bCs/>
          <w:u w:val="single"/>
        </w:rPr>
        <w:t>, sin embargo, en el caso de los servidores públicos,</w:t>
      </w:r>
      <w:r w:rsidRPr="00830619">
        <w:rPr>
          <w:rFonts w:ascii="Palatino Linotype" w:eastAsia="Palatino Linotype" w:hAnsi="Palatino Linotype" w:cs="Palatino Linotype"/>
        </w:rPr>
        <w:t xml:space="preserve"> dicho dato es público cuando, en ejercicio de las atribuciones que les fueron conferidas, emiten un acto de autoridad, siendo la firma el medio por el cual se le da validez a dicho acto.</w:t>
      </w:r>
    </w:p>
    <w:p w14:paraId="322D54E6" w14:textId="77777777" w:rsidR="003A5C5D" w:rsidRPr="00830619" w:rsidRDefault="003A5C5D">
      <w:pPr>
        <w:spacing w:after="0" w:line="360" w:lineRule="auto"/>
      </w:pPr>
    </w:p>
    <w:p w14:paraId="101ECE6E" w14:textId="77777777" w:rsidR="003A5C5D" w:rsidRPr="00830619" w:rsidRDefault="006654DD">
      <w:pPr>
        <w:pBdr>
          <w:top w:val="nil"/>
          <w:left w:val="nil"/>
          <w:bottom w:val="nil"/>
          <w:right w:val="nil"/>
          <w:between w:val="nil"/>
        </w:pBdr>
        <w:spacing w:after="0" w:line="360" w:lineRule="auto"/>
        <w:jc w:val="both"/>
        <w:rPr>
          <w:rFonts w:ascii="Times New Roman" w:eastAsia="Times New Roman" w:hAnsi="Times New Roman" w:cs="Times New Roman"/>
        </w:rPr>
      </w:pPr>
      <w:r w:rsidRPr="00830619">
        <w:rPr>
          <w:rFonts w:ascii="Palatino Linotype" w:eastAsia="Palatino Linotype" w:hAnsi="Palatino Linotype" w:cs="Palatino Linotype"/>
        </w:rPr>
        <w:t>Robustece lo anterior el criterio orientador 02-19 emitido por el entonces Instituto Nacional de Transparencia, Acceso a la Información y Protección de Datos Personales, INAI, el cual refiere:</w:t>
      </w:r>
    </w:p>
    <w:p w14:paraId="08E20165" w14:textId="77777777" w:rsidR="003A5C5D" w:rsidRPr="00830619" w:rsidRDefault="003A5C5D">
      <w:pPr>
        <w:spacing w:after="0"/>
      </w:pPr>
    </w:p>
    <w:p w14:paraId="615C3257" w14:textId="77777777" w:rsidR="003A5C5D" w:rsidRPr="00830619" w:rsidRDefault="006654DD">
      <w:pPr>
        <w:pBdr>
          <w:top w:val="nil"/>
          <w:left w:val="nil"/>
          <w:bottom w:val="nil"/>
          <w:right w:val="nil"/>
          <w:between w:val="nil"/>
        </w:pBdr>
        <w:spacing w:after="0" w:line="240" w:lineRule="auto"/>
        <w:ind w:left="567" w:right="-7"/>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Firma y rúbrica de servidores públicos.</w:t>
      </w:r>
      <w:r w:rsidRPr="00830619">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9042BB8" w14:textId="77777777" w:rsidR="003A5C5D" w:rsidRPr="00830619" w:rsidRDefault="003A5C5D">
      <w:pPr>
        <w:pBdr>
          <w:top w:val="nil"/>
          <w:left w:val="nil"/>
          <w:bottom w:val="nil"/>
          <w:right w:val="nil"/>
          <w:between w:val="nil"/>
        </w:pBdr>
        <w:spacing w:after="0" w:line="240" w:lineRule="auto"/>
        <w:ind w:right="-7"/>
        <w:jc w:val="both"/>
        <w:rPr>
          <w:rFonts w:ascii="Palatino Linotype" w:eastAsia="Palatino Linotype" w:hAnsi="Palatino Linotype" w:cs="Palatino Linotype"/>
          <w:i/>
          <w:iCs/>
        </w:rPr>
      </w:pPr>
    </w:p>
    <w:p w14:paraId="200DEBD7" w14:textId="77777777" w:rsidR="003A5C5D" w:rsidRPr="00830619" w:rsidRDefault="006654DD">
      <w:pPr>
        <w:pBdr>
          <w:top w:val="nil"/>
          <w:left w:val="nil"/>
          <w:bottom w:val="nil"/>
          <w:right w:val="nil"/>
          <w:between w:val="nil"/>
        </w:pBdr>
        <w:spacing w:after="0" w:line="240" w:lineRule="auto"/>
        <w:ind w:right="-7"/>
        <w:jc w:val="both"/>
        <w:rPr>
          <w:rFonts w:ascii="Times New Roman" w:eastAsia="Times New Roman" w:hAnsi="Times New Roman" w:cs="Times New Roman"/>
        </w:rPr>
      </w:pPr>
      <w:r w:rsidRPr="00830619">
        <w:rPr>
          <w:rFonts w:ascii="Palatino Linotype" w:eastAsia="Palatino Linotype" w:hAnsi="Palatino Linotype" w:cs="Palatino Linotype"/>
        </w:rPr>
        <w:t>Por lo que en caso de plasmarse en recibos de nómina, no procede su clasificación.</w:t>
      </w:r>
    </w:p>
    <w:p w14:paraId="511D6135"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6F2720BE"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830619">
        <w:rPr>
          <w:rFonts w:ascii="Palatino Linotype" w:eastAsia="Palatino Linotype" w:hAnsi="Palatino Linotype" w:cs="Palatino Linotype"/>
          <w:b/>
          <w:bCs/>
          <w:u w:val="single"/>
        </w:rPr>
        <w:t>razones, motivos o circunstancias especiales</w:t>
      </w:r>
      <w:r w:rsidRPr="00830619">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4B2007D8"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26D9B5D3" w14:textId="77777777" w:rsidR="003A5C5D" w:rsidRPr="00830619" w:rsidRDefault="006654DD">
      <w:pPr>
        <w:pBdr>
          <w:top w:val="nil"/>
          <w:left w:val="nil"/>
          <w:bottom w:val="nil"/>
          <w:right w:val="nil"/>
          <w:between w:val="nil"/>
        </w:pBdr>
        <w:spacing w:after="0" w:line="360" w:lineRule="auto"/>
        <w:ind w:right="50"/>
        <w:jc w:val="both"/>
        <w:rPr>
          <w:rFonts w:ascii="Times New Roman" w:eastAsia="Times New Roman" w:hAnsi="Times New Roman" w:cs="Times New Roman"/>
        </w:rPr>
      </w:pPr>
      <w:r w:rsidRPr="00830619">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92116A7"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“Artículo 49.</w:t>
      </w:r>
      <w:r w:rsidRPr="00830619">
        <w:rPr>
          <w:rFonts w:ascii="Palatino Linotype" w:eastAsia="Palatino Linotype" w:hAnsi="Palatino Linotype" w:cs="Palatino Linotype"/>
          <w:i/>
          <w:iCs/>
        </w:rPr>
        <w:t xml:space="preserve"> </w:t>
      </w:r>
      <w:r w:rsidRPr="00830619">
        <w:rPr>
          <w:rFonts w:ascii="Palatino Linotype" w:eastAsia="Palatino Linotype" w:hAnsi="Palatino Linotype" w:cs="Palatino Linotype"/>
          <w:b/>
          <w:bCs/>
          <w:i/>
          <w:iCs/>
        </w:rPr>
        <w:t>Los Comités de Transparencia</w:t>
      </w:r>
      <w:r w:rsidRPr="00830619">
        <w:rPr>
          <w:rFonts w:ascii="Palatino Linotype" w:eastAsia="Palatino Linotype" w:hAnsi="Palatino Linotype" w:cs="Palatino Linotype"/>
          <w:i/>
          <w:iCs/>
        </w:rPr>
        <w:t xml:space="preserve"> tendrán las siguientes atribuciones:</w:t>
      </w:r>
    </w:p>
    <w:p w14:paraId="556EC495"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VIII. Aprobar, modificar o revocar la clasificación de la información</w:t>
      </w:r>
      <w:r w:rsidRPr="00830619">
        <w:rPr>
          <w:rFonts w:ascii="Palatino Linotype" w:eastAsia="Palatino Linotype" w:hAnsi="Palatino Linotype" w:cs="Palatino Linotype"/>
          <w:i/>
          <w:iCs/>
        </w:rPr>
        <w:t>…”</w:t>
      </w:r>
    </w:p>
    <w:p w14:paraId="15785FA6"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Artículo 53.</w:t>
      </w:r>
      <w:r w:rsidRPr="00830619">
        <w:rPr>
          <w:rFonts w:ascii="Palatino Linotype" w:eastAsia="Palatino Linotype" w:hAnsi="Palatino Linotype" w:cs="Palatino Linotype"/>
          <w:i/>
          <w:iCs/>
        </w:rPr>
        <w:t xml:space="preserve"> Las </w:t>
      </w:r>
      <w:r w:rsidRPr="00830619">
        <w:rPr>
          <w:rFonts w:ascii="Palatino Linotype" w:eastAsia="Palatino Linotype" w:hAnsi="Palatino Linotype" w:cs="Palatino Linotype"/>
          <w:b/>
          <w:bCs/>
          <w:i/>
          <w:iCs/>
        </w:rPr>
        <w:t>Unidades de Transparencia</w:t>
      </w:r>
      <w:r w:rsidRPr="00830619">
        <w:rPr>
          <w:rFonts w:ascii="Palatino Linotype" w:eastAsia="Palatino Linotype" w:hAnsi="Palatino Linotype" w:cs="Palatino Linotype"/>
          <w:i/>
          <w:iCs/>
        </w:rPr>
        <w:t xml:space="preserve"> tendrán las siguientes </w:t>
      </w:r>
      <w:r w:rsidRPr="00830619">
        <w:rPr>
          <w:rFonts w:ascii="Palatino Linotype" w:eastAsia="Palatino Linotype" w:hAnsi="Palatino Linotype" w:cs="Palatino Linotype"/>
          <w:b/>
          <w:bCs/>
          <w:i/>
          <w:iCs/>
        </w:rPr>
        <w:t>funciones</w:t>
      </w:r>
      <w:r w:rsidRPr="00830619">
        <w:rPr>
          <w:rFonts w:ascii="Palatino Linotype" w:eastAsia="Palatino Linotype" w:hAnsi="Palatino Linotype" w:cs="Palatino Linotype"/>
          <w:i/>
          <w:iCs/>
        </w:rPr>
        <w:t>:</w:t>
      </w:r>
    </w:p>
    <w:p w14:paraId="45FA1CC6"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X. Presentar ante el Comité, el proyecto de clasificación de información</w:t>
      </w:r>
      <w:r w:rsidRPr="00830619">
        <w:rPr>
          <w:rFonts w:ascii="Palatino Linotype" w:eastAsia="Palatino Linotype" w:hAnsi="Palatino Linotype" w:cs="Palatino Linotype"/>
          <w:i/>
          <w:iCs/>
        </w:rPr>
        <w:t>…” </w:t>
      </w:r>
    </w:p>
    <w:p w14:paraId="272EBDFC" w14:textId="77777777" w:rsidR="003A5C5D" w:rsidRPr="00830619" w:rsidRDefault="006654DD">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830619">
        <w:rPr>
          <w:rFonts w:ascii="Palatino Linotype" w:eastAsia="Palatino Linotype" w:hAnsi="Palatino Linotype" w:cs="Palatino Linotype"/>
          <w:b/>
          <w:bCs/>
          <w:i/>
          <w:iCs/>
        </w:rPr>
        <w:t>“Artículo 59.</w:t>
      </w:r>
      <w:r w:rsidRPr="00830619">
        <w:rPr>
          <w:rFonts w:ascii="Palatino Linotype" w:eastAsia="Palatino Linotype" w:hAnsi="Palatino Linotype" w:cs="Palatino Linotype"/>
          <w:i/>
          <w:iCs/>
        </w:rPr>
        <w:t xml:space="preserve"> Los </w:t>
      </w:r>
      <w:r w:rsidRPr="00830619">
        <w:rPr>
          <w:rFonts w:ascii="Palatino Linotype" w:eastAsia="Palatino Linotype" w:hAnsi="Palatino Linotype" w:cs="Palatino Linotype"/>
          <w:b/>
          <w:bCs/>
          <w:i/>
          <w:iCs/>
        </w:rPr>
        <w:t>servidores públicos habilitados</w:t>
      </w:r>
      <w:r w:rsidRPr="00830619">
        <w:rPr>
          <w:rFonts w:ascii="Palatino Linotype" w:eastAsia="Palatino Linotype" w:hAnsi="Palatino Linotype" w:cs="Palatino Linotype"/>
          <w:i/>
          <w:iCs/>
        </w:rPr>
        <w:t xml:space="preserve"> tendrán las </w:t>
      </w:r>
      <w:r w:rsidRPr="00830619">
        <w:rPr>
          <w:rFonts w:ascii="Palatino Linotype" w:eastAsia="Palatino Linotype" w:hAnsi="Palatino Linotype" w:cs="Palatino Linotype"/>
          <w:b/>
          <w:bCs/>
          <w:i/>
          <w:iCs/>
        </w:rPr>
        <w:t>funciones</w:t>
      </w:r>
      <w:r w:rsidRPr="00830619">
        <w:rPr>
          <w:rFonts w:ascii="Palatino Linotype" w:eastAsia="Palatino Linotype" w:hAnsi="Palatino Linotype" w:cs="Palatino Linotype"/>
          <w:i/>
          <w:iCs/>
        </w:rPr>
        <w:t xml:space="preserve"> siguientes:</w:t>
      </w:r>
    </w:p>
    <w:p w14:paraId="473B2F28" w14:textId="77777777" w:rsidR="003A5C5D" w:rsidRPr="00830619" w:rsidRDefault="006654DD">
      <w:pPr>
        <w:pBdr>
          <w:top w:val="nil"/>
          <w:left w:val="nil"/>
          <w:bottom w:val="nil"/>
          <w:right w:val="nil"/>
          <w:between w:val="nil"/>
        </w:pBdr>
        <w:spacing w:after="0" w:line="240" w:lineRule="auto"/>
        <w:ind w:left="567" w:right="709"/>
        <w:jc w:val="both"/>
        <w:rPr>
          <w:rFonts w:ascii="Palatino Linotype" w:eastAsia="Palatino Linotype" w:hAnsi="Palatino Linotype" w:cs="Palatino Linotype"/>
          <w:i/>
          <w:iCs/>
        </w:rPr>
      </w:pPr>
      <w:r w:rsidRPr="00830619">
        <w:rPr>
          <w:rFonts w:ascii="Palatino Linotype" w:eastAsia="Palatino Linotype" w:hAnsi="Palatino Linotype" w:cs="Palatino Linotype"/>
          <w:b/>
          <w:bCs/>
          <w:i/>
          <w:iCs/>
        </w:rPr>
        <w:t>V. Integrar y presentar al responsable de la Unidad de Transparencia la propuesta de clasificación de información</w:t>
      </w:r>
      <w:r w:rsidRPr="00830619">
        <w:rPr>
          <w:rFonts w:ascii="Palatino Linotype" w:eastAsia="Palatino Linotype" w:hAnsi="Palatino Linotype" w:cs="Palatino Linotype"/>
          <w:i/>
          <w:iCs/>
        </w:rPr>
        <w:t>, la cual tendrá los fundamentos y argumentos en que se basa dicha propuesta…”</w:t>
      </w:r>
    </w:p>
    <w:p w14:paraId="448CFDBA" w14:textId="77777777" w:rsidR="003A5C5D" w:rsidRPr="00830619" w:rsidRDefault="003A5C5D">
      <w:pPr>
        <w:pBdr>
          <w:top w:val="nil"/>
          <w:left w:val="nil"/>
          <w:bottom w:val="nil"/>
          <w:right w:val="nil"/>
          <w:between w:val="nil"/>
        </w:pBdr>
        <w:spacing w:after="0" w:line="360" w:lineRule="auto"/>
        <w:ind w:left="1134" w:right="902"/>
        <w:jc w:val="both"/>
        <w:rPr>
          <w:rFonts w:ascii="Times New Roman" w:eastAsia="Times New Roman" w:hAnsi="Times New Roman" w:cs="Times New Roman"/>
        </w:rPr>
      </w:pPr>
    </w:p>
    <w:p w14:paraId="6FEEAD7F"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282D4AD"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6025CE48"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5678D67"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10A87BD1" w14:textId="77777777" w:rsidR="003A5C5D" w:rsidRPr="00830619" w:rsidRDefault="006654DD">
      <w:pPr>
        <w:pBdr>
          <w:top w:val="nil"/>
          <w:left w:val="nil"/>
          <w:bottom w:val="nil"/>
          <w:right w:val="nil"/>
          <w:between w:val="nil"/>
        </w:pBdr>
        <w:spacing w:after="0" w:line="240" w:lineRule="auto"/>
        <w:ind w:left="851" w:right="902"/>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Artículo 149.</w:t>
      </w:r>
      <w:r w:rsidRPr="00830619">
        <w:rPr>
          <w:rFonts w:ascii="Palatino Linotype" w:eastAsia="Palatino Linotype" w:hAnsi="Palatino Linotype" w:cs="Palatino Linotype"/>
          <w:i/>
          <w:iCs/>
        </w:rPr>
        <w:t xml:space="preserve"> El </w:t>
      </w:r>
      <w:r w:rsidRPr="00830619">
        <w:rPr>
          <w:rFonts w:ascii="Palatino Linotype" w:eastAsia="Palatino Linotype" w:hAnsi="Palatino Linotype" w:cs="Palatino Linotype"/>
          <w:b/>
          <w:bCs/>
          <w:i/>
          <w:iCs/>
        </w:rPr>
        <w:t>acuerdo que clasifique la información como confidencial</w:t>
      </w:r>
      <w:r w:rsidRPr="00830619">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 </w:t>
      </w:r>
    </w:p>
    <w:p w14:paraId="2AA2BAC6" w14:textId="77777777" w:rsidR="003A5C5D" w:rsidRPr="00830619" w:rsidRDefault="003A5C5D">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p>
    <w:p w14:paraId="3FE3FA19" w14:textId="77777777" w:rsidR="003A5C5D" w:rsidRPr="00830619" w:rsidRDefault="006654DD">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Es decir, el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7FE6574" w14:textId="77777777" w:rsidR="003A5C5D" w:rsidRPr="00830619" w:rsidRDefault="003A5C5D">
      <w:pPr>
        <w:pBdr>
          <w:top w:val="nil"/>
          <w:left w:val="nil"/>
          <w:bottom w:val="nil"/>
          <w:right w:val="nil"/>
          <w:between w:val="nil"/>
        </w:pBdr>
        <w:spacing w:after="0" w:line="360" w:lineRule="auto"/>
        <w:ind w:right="51"/>
        <w:jc w:val="both"/>
        <w:rPr>
          <w:rFonts w:ascii="Times New Roman" w:eastAsia="Times New Roman" w:hAnsi="Times New Roman" w:cs="Times New Roman"/>
        </w:rPr>
      </w:pPr>
    </w:p>
    <w:p w14:paraId="6586DAD8" w14:textId="77777777" w:rsidR="003A5C5D" w:rsidRPr="00830619" w:rsidRDefault="006654DD">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Asimismo, respecto a las formalidades que deberá llevar el acuerdo de clasificación que deberá emitir el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01868A28" w14:textId="77777777" w:rsidR="003A5C5D" w:rsidRPr="00830619" w:rsidRDefault="003A5C5D">
      <w:pPr>
        <w:pBdr>
          <w:top w:val="nil"/>
          <w:left w:val="nil"/>
          <w:bottom w:val="nil"/>
          <w:right w:val="nil"/>
          <w:between w:val="nil"/>
        </w:pBdr>
        <w:spacing w:after="0" w:line="360" w:lineRule="auto"/>
        <w:ind w:left="567" w:right="51"/>
        <w:jc w:val="both"/>
        <w:rPr>
          <w:rFonts w:ascii="Times New Roman" w:eastAsia="Times New Roman" w:hAnsi="Times New Roman" w:cs="Times New Roman"/>
        </w:rPr>
      </w:pPr>
    </w:p>
    <w:p w14:paraId="216ED369"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 xml:space="preserve"> “Quincuagésimo. </w:t>
      </w:r>
      <w:r w:rsidRPr="00830619">
        <w:rPr>
          <w:rFonts w:ascii="Palatino Linotype" w:eastAsia="Palatino Linotype" w:hAnsi="Palatino Linotype" w:cs="Palatino Linotype"/>
          <w:i/>
          <w:iCs/>
        </w:rPr>
        <w:t>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3B1236F"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 xml:space="preserve">Quincuagésimo primero. </w:t>
      </w:r>
      <w:r w:rsidRPr="00830619">
        <w:rPr>
          <w:rFonts w:ascii="Palatino Linotype" w:eastAsia="Palatino Linotype" w:hAnsi="Palatino Linotype" w:cs="Palatino Linotype"/>
          <w:i/>
          <w:iCs/>
        </w:rPr>
        <w:t>Toda acta del Comité de Transparencia deberá contener: </w:t>
      </w:r>
    </w:p>
    <w:p w14:paraId="2DA938D2"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w:t>
      </w:r>
      <w:r w:rsidRPr="00830619">
        <w:rPr>
          <w:rFonts w:ascii="Palatino Linotype" w:eastAsia="Palatino Linotype" w:hAnsi="Palatino Linotype" w:cs="Palatino Linotype"/>
          <w:i/>
          <w:iCs/>
        </w:rPr>
        <w:t xml:space="preserve"> El número de sesión y fecha; </w:t>
      </w:r>
    </w:p>
    <w:p w14:paraId="4FF5AA2A"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II</w:t>
      </w:r>
      <w:r w:rsidRPr="00830619">
        <w:rPr>
          <w:rFonts w:ascii="Palatino Linotype" w:eastAsia="Palatino Linotype" w:hAnsi="Palatino Linotype" w:cs="Palatino Linotype"/>
          <w:i/>
          <w:iCs/>
        </w:rPr>
        <w:t>. El nombre del área que solicitó la clasificación de información; </w:t>
      </w:r>
    </w:p>
    <w:p w14:paraId="1E8DF599"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III</w:t>
      </w:r>
      <w:r w:rsidRPr="00830619">
        <w:rPr>
          <w:rFonts w:ascii="Palatino Linotype" w:eastAsia="Palatino Linotype" w:hAnsi="Palatino Linotype" w:cs="Palatino Linotype"/>
          <w:i/>
          <w:iCs/>
        </w:rPr>
        <w:t>. La fundamentación legal y motivación correspondiente; </w:t>
      </w:r>
    </w:p>
    <w:p w14:paraId="4713B2C4"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IV</w:t>
      </w:r>
      <w:r w:rsidRPr="00830619">
        <w:rPr>
          <w:rFonts w:ascii="Palatino Linotype" w:eastAsia="Palatino Linotype" w:hAnsi="Palatino Linotype" w:cs="Palatino Linotype"/>
          <w:i/>
          <w:iCs/>
        </w:rPr>
        <w:t>. La resolución o resoluciones aprobadas; y </w:t>
      </w:r>
    </w:p>
    <w:p w14:paraId="59BDEE48"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V</w:t>
      </w:r>
      <w:r w:rsidRPr="00830619">
        <w:rPr>
          <w:rFonts w:ascii="Palatino Linotype" w:eastAsia="Palatino Linotype" w:hAnsi="Palatino Linotype" w:cs="Palatino Linotype"/>
          <w:i/>
          <w:iCs/>
        </w:rPr>
        <w:t>. La rúbrica o firma digital de cada integrante del Comité de Transparencia. </w:t>
      </w:r>
    </w:p>
    <w:p w14:paraId="666B1B44"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i/>
          <w:iCs/>
        </w:rPr>
        <w:t>Las resoluciones del Comité en las que se haya determinado confirmar o modificar la clasificación de información pública como reservada, deberán incluir, cuando menos: </w:t>
      </w:r>
    </w:p>
    <w:p w14:paraId="3601FB1C"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w:t>
      </w:r>
      <w:r w:rsidRPr="00830619">
        <w:rPr>
          <w:rFonts w:ascii="Palatino Linotype" w:eastAsia="Palatino Linotype" w:hAnsi="Palatino Linotype" w:cs="Palatino Linotype"/>
          <w:i/>
          <w:iCs/>
        </w:rPr>
        <w:t xml:space="preserve"> Los motivos y razonamientos que sustenten la confirmación o modificación de la prueba de daño;</w:t>
      </w:r>
    </w:p>
    <w:p w14:paraId="050B413C"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II</w:t>
      </w:r>
      <w:r w:rsidRPr="00830619">
        <w:rPr>
          <w:rFonts w:ascii="Palatino Linotype" w:eastAsia="Palatino Linotype" w:hAnsi="Palatino Linotype" w:cs="Palatino Linotype"/>
          <w:i/>
          <w:iCs/>
        </w:rPr>
        <w:t>. Descripción de las partes o secciones reservadas, en caso de clasificación parcial</w:t>
      </w:r>
      <w:r w:rsidRPr="00830619">
        <w:rPr>
          <w:rFonts w:ascii="Palatino Linotype" w:eastAsia="Palatino Linotype" w:hAnsi="Palatino Linotype" w:cs="Palatino Linotype"/>
          <w:b/>
          <w:bCs/>
          <w:i/>
          <w:iCs/>
        </w:rPr>
        <w:t>; </w:t>
      </w:r>
    </w:p>
    <w:p w14:paraId="1BD24908"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III.</w:t>
      </w:r>
      <w:r w:rsidRPr="00830619">
        <w:rPr>
          <w:rFonts w:ascii="Palatino Linotype" w:eastAsia="Palatino Linotype" w:hAnsi="Palatino Linotype" w:cs="Palatino Linotype"/>
          <w:i/>
          <w:iCs/>
        </w:rPr>
        <w:t xml:space="preserve"> El periodo por el que mantendrá su clasificación y fecha de expiración; y </w:t>
      </w:r>
    </w:p>
    <w:p w14:paraId="6D486E27"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IV.</w:t>
      </w:r>
      <w:r w:rsidRPr="00830619">
        <w:rPr>
          <w:rFonts w:ascii="Palatino Linotype" w:eastAsia="Palatino Linotype" w:hAnsi="Palatino Linotype" w:cs="Palatino Linotype"/>
          <w:i/>
          <w:iCs/>
        </w:rPr>
        <w:t xml:space="preserve"> El nombre del titular y área encargada de realizar la versión pública del documento, en su caso. </w:t>
      </w:r>
    </w:p>
    <w:p w14:paraId="0EB6BB7E"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i/>
          <w:iCs/>
        </w:rPr>
        <w:t>En los casos en que se clasifique la información como reservada siempre se entregará o anexará la prueba de daño con la respuesta al solicitante. </w:t>
      </w:r>
    </w:p>
    <w:p w14:paraId="134384DA"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i/>
          <w:iCs/>
        </w:rPr>
        <w:t>En los casos de resoluciones del Comité de Transparencia en las que se confirme la clasificación de información confidencial solo se deberán de identificar los tipos de datos protegidos, de conformidad con el lineamiento trigésimo octavo.</w:t>
      </w:r>
    </w:p>
    <w:p w14:paraId="204C5BE4" w14:textId="77777777" w:rsidR="003A5C5D" w:rsidRPr="00830619" w:rsidRDefault="003A5C5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C6DF240" w14:textId="77777777" w:rsidR="003A5C5D" w:rsidRPr="00830619" w:rsidRDefault="006654DD">
      <w:pPr>
        <w:pBdr>
          <w:top w:val="nil"/>
          <w:left w:val="nil"/>
          <w:bottom w:val="nil"/>
          <w:right w:val="nil"/>
          <w:between w:val="nil"/>
        </w:pBd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10F3527A" w14:textId="77777777" w:rsidR="003A5C5D" w:rsidRPr="00830619" w:rsidRDefault="003A5C5D">
      <w:pPr>
        <w:pBdr>
          <w:top w:val="nil"/>
          <w:left w:val="nil"/>
          <w:bottom w:val="nil"/>
          <w:right w:val="nil"/>
          <w:between w:val="nil"/>
        </w:pBdr>
        <w:spacing w:after="0" w:line="360" w:lineRule="auto"/>
        <w:jc w:val="both"/>
        <w:rPr>
          <w:rFonts w:ascii="Times New Roman" w:eastAsia="Times New Roman" w:hAnsi="Times New Roman" w:cs="Times New Roman"/>
        </w:rPr>
      </w:pPr>
    </w:p>
    <w:p w14:paraId="61AFC1E6" w14:textId="77777777" w:rsidR="003A5C5D" w:rsidRPr="00830619" w:rsidRDefault="006654DD">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830619">
        <w:rPr>
          <w:rFonts w:ascii="Palatino Linotype" w:eastAsia="Palatino Linotype" w:hAnsi="Palatino Linotype" w:cs="Palatino Linotype"/>
          <w:i/>
          <w:iCs/>
        </w:rPr>
        <w:t>“</w:t>
      </w:r>
      <w:r w:rsidRPr="00830619">
        <w:rPr>
          <w:rFonts w:ascii="Palatino Linotype" w:eastAsia="Palatino Linotype" w:hAnsi="Palatino Linotype" w:cs="Palatino Linotype"/>
          <w:b/>
          <w:bCs/>
          <w:i/>
          <w:iCs/>
        </w:rPr>
        <w:t>Quincuagésimo segundo</w:t>
      </w:r>
      <w:r w:rsidRPr="00830619">
        <w:rPr>
          <w:rFonts w:ascii="Palatino Linotype" w:eastAsia="Palatino Linotype" w:hAnsi="Palatino Linotype" w:cs="Palatino Linotype"/>
          <w:i/>
          <w:iC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EAE7B82" w14:textId="77777777" w:rsidR="003A5C5D" w:rsidRPr="00830619" w:rsidRDefault="006654DD">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830619">
        <w:rPr>
          <w:rFonts w:ascii="Palatino Linotype" w:eastAsia="Palatino Linotype" w:hAnsi="Palatino Linotype" w:cs="Palatino Linotype"/>
          <w:i/>
          <w:iCs/>
        </w:rPr>
        <w:t>En el caso específico de la clasificación y elaboración de versiones públicas de documentos que contengan información confidencial, las áreas de los sujetos obligados deberán: </w:t>
      </w:r>
    </w:p>
    <w:p w14:paraId="76C4F3BA" w14:textId="77777777" w:rsidR="003A5C5D" w:rsidRPr="00830619" w:rsidRDefault="006654DD">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830619">
        <w:rPr>
          <w:rFonts w:ascii="Palatino Linotype" w:eastAsia="Palatino Linotype" w:hAnsi="Palatino Linotype" w:cs="Palatino Linotype"/>
          <w:b/>
          <w:bCs/>
          <w:i/>
          <w:iCs/>
        </w:rPr>
        <w:t>I.</w:t>
      </w:r>
      <w:r w:rsidRPr="00830619">
        <w:rPr>
          <w:rFonts w:ascii="Palatino Linotype" w:eastAsia="Palatino Linotype" w:hAnsi="Palatino Linotype" w:cs="Palatino Linotype"/>
          <w:i/>
          <w:iCs/>
        </w:rPr>
        <w:t xml:space="preserve"> Fijar la fecha en que se elaboró la versión pública y la fecha en la cual el Comité de Transparencia confirmó dicha versión;</w:t>
      </w:r>
    </w:p>
    <w:p w14:paraId="7CC72E0A" w14:textId="77777777" w:rsidR="003A5C5D" w:rsidRPr="00830619" w:rsidRDefault="006654DD">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830619">
        <w:rPr>
          <w:rFonts w:ascii="Palatino Linotype" w:eastAsia="Palatino Linotype" w:hAnsi="Palatino Linotype" w:cs="Palatino Linotype"/>
          <w:b/>
          <w:bCs/>
          <w:i/>
          <w:iCs/>
        </w:rPr>
        <w:t>II.</w:t>
      </w:r>
      <w:r w:rsidRPr="00830619">
        <w:rPr>
          <w:rFonts w:ascii="Palatino Linotype" w:eastAsia="Palatino Linotype" w:hAnsi="Palatino Linotype" w:cs="Palatino Linotype"/>
          <w:i/>
          <w:iCs/>
        </w:rPr>
        <w:t xml:space="preserve"> Señalar dentro del documento el tipo de información confidencial que fue testada en cada caso específico, de conformidad con el lineamiento trigésimo octavo; y</w:t>
      </w:r>
    </w:p>
    <w:p w14:paraId="003E1F10" w14:textId="77777777" w:rsidR="003A5C5D" w:rsidRPr="00830619" w:rsidRDefault="006654DD">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830619">
        <w:rPr>
          <w:rFonts w:ascii="Palatino Linotype" w:eastAsia="Palatino Linotype" w:hAnsi="Palatino Linotype" w:cs="Palatino Linotype"/>
          <w:b/>
          <w:bCs/>
          <w:i/>
          <w:iCs/>
        </w:rPr>
        <w:t>III.</w:t>
      </w:r>
      <w:r w:rsidRPr="00830619">
        <w:rPr>
          <w:rFonts w:ascii="Palatino Linotype" w:eastAsia="Palatino Linotype" w:hAnsi="Palatino Linotype" w:cs="Palatino Linotype"/>
          <w:i/>
          <w:iCs/>
        </w:rPr>
        <w:t xml:space="preserve"> Señalar las personas o instancias autorizadas a acceder a la información clasificada.</w:t>
      </w:r>
    </w:p>
    <w:p w14:paraId="6A3A4BCD" w14:textId="77777777" w:rsidR="003A5C5D" w:rsidRPr="00830619" w:rsidRDefault="006654DD">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830619">
        <w:rPr>
          <w:rFonts w:ascii="Palatino Linotype" w:eastAsia="Palatino Linotype" w:hAnsi="Palatino Linotype" w:cs="Palatino Linotype"/>
          <w:i/>
          <w:iCs/>
        </w:rPr>
        <w:t>En los documentos de difusión electrónica, señalar en la primera hoja y en el nombre del archivo, que la versión pública corresponde a un documento que contiene información confidencial.”</w:t>
      </w:r>
    </w:p>
    <w:p w14:paraId="597AF102" w14:textId="77777777" w:rsidR="003A5C5D" w:rsidRPr="00830619" w:rsidRDefault="006654DD">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830619">
        <w:rPr>
          <w:rFonts w:ascii="Palatino Linotype" w:eastAsia="Palatino Linotype" w:hAnsi="Palatino Linotype" w:cs="Palatino Linotype"/>
          <w:i/>
          <w:iCs/>
        </w:rPr>
        <w:t>…</w:t>
      </w:r>
    </w:p>
    <w:p w14:paraId="5C7CB36A" w14:textId="77777777" w:rsidR="003A5C5D" w:rsidRPr="00830619" w:rsidRDefault="006654DD">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830619">
        <w:rPr>
          <w:rFonts w:ascii="Palatino Linotype" w:eastAsia="Palatino Linotype" w:hAnsi="Palatino Linotype" w:cs="Palatino Linotype"/>
          <w:b/>
          <w:bCs/>
          <w:i/>
          <w:iCs/>
        </w:rPr>
        <w:t xml:space="preserve">Quincuagésimo cuarto. </w:t>
      </w:r>
      <w:r w:rsidRPr="00830619">
        <w:rPr>
          <w:rFonts w:ascii="Palatino Linotype" w:eastAsia="Palatino Linotype" w:hAnsi="Palatino Linotype" w:cs="Palatino Linotype"/>
          <w:i/>
          <w:iCs/>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30619">
        <w:rPr>
          <w:rFonts w:ascii="Palatino Linotype" w:eastAsia="Palatino Linotype" w:hAnsi="Palatino Linotype" w:cs="Palatino Linotype"/>
          <w:b/>
          <w:bCs/>
          <w:i/>
          <w:iCs/>
        </w:rPr>
        <w:t> </w:t>
      </w:r>
    </w:p>
    <w:p w14:paraId="36FBD39B"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 xml:space="preserve">Quincuagésimo quinto. </w:t>
      </w:r>
      <w:r w:rsidRPr="00830619">
        <w:rPr>
          <w:rFonts w:ascii="Palatino Linotype" w:eastAsia="Palatino Linotype" w:hAnsi="Palatino Linotype" w:cs="Palatino Linotype"/>
          <w:i/>
          <w:iCs/>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5F1C2F0"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w:t>
      </w:r>
    </w:p>
    <w:p w14:paraId="56D06507"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Quincuagésimo séptimo</w:t>
      </w:r>
      <w:r w:rsidRPr="00830619">
        <w:rPr>
          <w:rFonts w:ascii="Palatino Linotype" w:eastAsia="Palatino Linotype" w:hAnsi="Palatino Linotype" w:cs="Palatino Linotype"/>
          <w:i/>
          <w:iCs/>
        </w:rPr>
        <w:t>. Se considera, en principio, como información pública y no podrá omitirse de las versiones públicas la siguiente: </w:t>
      </w:r>
    </w:p>
    <w:p w14:paraId="13C0907E"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w:t>
      </w:r>
      <w:r w:rsidRPr="00830619">
        <w:rPr>
          <w:rFonts w:ascii="Palatino Linotype" w:eastAsia="Palatino Linotype" w:hAnsi="Palatino Linotype" w:cs="Palatino Linotype"/>
          <w:i/>
          <w:iCs/>
        </w:rPr>
        <w:t>. La relativa a las Obligaciones de Transparencia que contempla el Título V de la Ley General y las demás disposiciones legales aplicables; </w:t>
      </w:r>
    </w:p>
    <w:p w14:paraId="5D73E82B"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II.</w:t>
      </w:r>
      <w:r w:rsidRPr="00830619">
        <w:rPr>
          <w:rFonts w:ascii="Palatino Linotype" w:eastAsia="Palatino Linotype" w:hAnsi="Palatino Linotype" w:cs="Palatino Linotype"/>
          <w:i/>
          <w:iCs/>
        </w:rPr>
        <w:t xml:space="preserve"> El nombre de los integrantes de los sujetos obligados en los documentos, y sus firmas autógrafas o digitales, cuando sean utilizados en el ejercicio de las facultades conferidas para el desempeño del servicio público, y</w:t>
      </w:r>
    </w:p>
    <w:p w14:paraId="429EB4E1"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III</w:t>
      </w:r>
      <w:r w:rsidRPr="00830619">
        <w:rPr>
          <w:rFonts w:ascii="Palatino Linotype" w:eastAsia="Palatino Linotype" w:hAnsi="Palatino Linotype" w:cs="Palatino Linotype"/>
          <w:i/>
          <w:iCs/>
        </w:rPr>
        <w:t>. La información que documente decisiones y los actos de autoridad concluidos de los sujetos obligados, así como el ejercicio de las facultades o actividades de los servidores públicos, de manera que se pueda valorar el desempeño de los mismos. </w:t>
      </w:r>
    </w:p>
    <w:p w14:paraId="5D8DEDDC"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i/>
          <w:iCs/>
        </w:rPr>
        <w:t>Lo anterior, siempre y cuando no se acredite alguna causal de clasificación, prevista en las leyes o en los tratados internacionales suscritas por el Estado mexicano.  </w:t>
      </w:r>
    </w:p>
    <w:p w14:paraId="28EAEDC2" w14:textId="77777777" w:rsidR="003A5C5D" w:rsidRPr="00830619" w:rsidRDefault="006654DD">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830619">
        <w:rPr>
          <w:rFonts w:ascii="Palatino Linotype" w:eastAsia="Palatino Linotype" w:hAnsi="Palatino Linotype" w:cs="Palatino Linotype"/>
          <w:b/>
          <w:bCs/>
          <w:i/>
          <w:iCs/>
        </w:rPr>
        <w:t>Quincuagésimo octavo</w:t>
      </w:r>
      <w:r w:rsidRPr="00830619">
        <w:rPr>
          <w:rFonts w:ascii="Palatino Linotype" w:eastAsia="Palatino Linotype" w:hAnsi="Palatino Linotype" w:cs="Palatino Linotype"/>
          <w:i/>
          <w:iCs/>
        </w:rPr>
        <w:t>. Los sujetos obligados garantizarán que los sistemas o medios empleados para eliminar la información en las versiones públicas sean irreversibles, de tal forma que no permitan su recuperación o la visualización de la misma.”</w:t>
      </w:r>
    </w:p>
    <w:p w14:paraId="57B00756" w14:textId="77777777" w:rsidR="003A5C5D" w:rsidRPr="00830619" w:rsidRDefault="003A5C5D">
      <w:pPr>
        <w:spacing w:after="0" w:line="360" w:lineRule="auto"/>
        <w:jc w:val="both"/>
        <w:rPr>
          <w:rFonts w:ascii="Palatino Linotype" w:eastAsia="Palatino Linotype" w:hAnsi="Palatino Linotype" w:cs="Palatino Linotype"/>
        </w:rPr>
      </w:pPr>
    </w:p>
    <w:p w14:paraId="1716629C"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rPr>
        <w:t xml:space="preserve">Es así como, en mérito de lo expuesto en líneas anteriores, resultan parcialmente fundadas las razones o motivos de inconformidad hechos valer por la parte </w:t>
      </w:r>
      <w:r w:rsidRPr="00830619">
        <w:rPr>
          <w:rFonts w:ascii="Palatino Linotype" w:eastAsia="Palatino Linotype" w:hAnsi="Palatino Linotype" w:cs="Palatino Linotype"/>
          <w:b/>
          <w:bCs/>
        </w:rPr>
        <w:t>RECURRENTE</w:t>
      </w:r>
      <w:r w:rsidRPr="00830619">
        <w:rPr>
          <w:rFonts w:ascii="Palatino Linotype" w:eastAsia="Palatino Linotype" w:hAnsi="Palatino Linotype" w:cs="Palatino Linotype"/>
        </w:rPr>
        <w:t xml:space="preserve"> dentro del recurso de revisión </w:t>
      </w:r>
      <w:r w:rsidRPr="00830619">
        <w:rPr>
          <w:rFonts w:ascii="Palatino Linotype" w:eastAsia="Palatino Linotype" w:hAnsi="Palatino Linotype" w:cs="Palatino Linotype"/>
          <w:b/>
          <w:bCs/>
        </w:rPr>
        <w:t>11989/INFOEM/IP/RR/2025</w:t>
      </w:r>
      <w:r w:rsidRPr="00830619">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por lo que se </w:t>
      </w:r>
      <w:r w:rsidRPr="00830619">
        <w:rPr>
          <w:rFonts w:ascii="Palatino Linotype" w:eastAsia="Palatino Linotype" w:hAnsi="Palatino Linotype" w:cs="Palatino Linotype"/>
          <w:b/>
          <w:bCs/>
        </w:rPr>
        <w:t xml:space="preserve">MODIFICA </w:t>
      </w:r>
      <w:r w:rsidRPr="00830619">
        <w:rPr>
          <w:rFonts w:ascii="Palatino Linotype" w:eastAsia="Palatino Linotype" w:hAnsi="Palatino Linotype" w:cs="Palatino Linotype"/>
        </w:rPr>
        <w:t xml:space="preserve">la respuesta del </w:t>
      </w:r>
      <w:r w:rsidRPr="00830619">
        <w:rPr>
          <w:rFonts w:ascii="Palatino Linotype" w:eastAsia="Palatino Linotype" w:hAnsi="Palatino Linotype" w:cs="Palatino Linotype"/>
          <w:b/>
          <w:bCs/>
        </w:rPr>
        <w:t xml:space="preserve">SUJETO OBLIGADO </w:t>
      </w:r>
      <w:r w:rsidRPr="00830619">
        <w:rPr>
          <w:rFonts w:ascii="Palatino Linotype" w:eastAsia="Palatino Linotype" w:hAnsi="Palatino Linotype" w:cs="Palatino Linotype"/>
        </w:rPr>
        <w:t xml:space="preserve">a la solicitud de información </w:t>
      </w:r>
      <w:r w:rsidRPr="00830619">
        <w:rPr>
          <w:rFonts w:ascii="Palatino Linotype" w:eastAsia="Palatino Linotype" w:hAnsi="Palatino Linotype" w:cs="Palatino Linotype"/>
          <w:b/>
          <w:bCs/>
        </w:rPr>
        <w:t>00084/TONANI/IP/2025</w:t>
      </w:r>
      <w:r w:rsidRPr="00830619">
        <w:rPr>
          <w:rFonts w:ascii="Palatino Linotype" w:eastAsia="Palatino Linotype" w:hAnsi="Palatino Linotype" w:cs="Palatino Linotype"/>
        </w:rPr>
        <w:t xml:space="preserve">.  </w:t>
      </w:r>
    </w:p>
    <w:p w14:paraId="69DEDA5B" w14:textId="77777777" w:rsidR="000B6793" w:rsidRPr="00830619" w:rsidRDefault="000B6793">
      <w:pPr>
        <w:spacing w:after="0" w:line="360" w:lineRule="auto"/>
        <w:ind w:right="49"/>
        <w:jc w:val="both"/>
        <w:rPr>
          <w:rFonts w:ascii="Palatino Linotype" w:eastAsia="Palatino Linotype" w:hAnsi="Palatino Linotype" w:cs="Palatino Linotype"/>
          <w:b/>
          <w:bCs/>
        </w:rPr>
      </w:pPr>
    </w:p>
    <w:p w14:paraId="50D1B185" w14:textId="77777777" w:rsidR="003A5C5D" w:rsidRPr="00830619" w:rsidRDefault="006654DD" w:rsidP="000B6793">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2B7F0B70" w14:textId="77777777" w:rsidR="000B6793" w:rsidRPr="00830619" w:rsidRDefault="000B6793">
      <w:pPr>
        <w:spacing w:before="240" w:after="240" w:line="360" w:lineRule="auto"/>
        <w:jc w:val="both"/>
        <w:rPr>
          <w:rFonts w:ascii="Palatino Linotype" w:eastAsia="Palatino Linotype" w:hAnsi="Palatino Linotype" w:cs="Palatino Linotype"/>
        </w:rPr>
      </w:pPr>
    </w:p>
    <w:p w14:paraId="179413A9" w14:textId="77777777" w:rsidR="003A5C5D" w:rsidRPr="00830619" w:rsidRDefault="006654DD">
      <w:pPr>
        <w:spacing w:after="0" w:line="360" w:lineRule="auto"/>
        <w:ind w:right="49"/>
        <w:jc w:val="center"/>
        <w:rPr>
          <w:rFonts w:ascii="Palatino Linotype" w:eastAsia="Palatino Linotype" w:hAnsi="Palatino Linotype" w:cs="Palatino Linotype"/>
          <w:b/>
          <w:bCs/>
        </w:rPr>
      </w:pPr>
      <w:r w:rsidRPr="00830619">
        <w:rPr>
          <w:rFonts w:ascii="Palatino Linotype" w:eastAsia="Palatino Linotype" w:hAnsi="Palatino Linotype" w:cs="Palatino Linotype"/>
          <w:b/>
          <w:bCs/>
        </w:rPr>
        <w:t>III.</w:t>
      </w:r>
      <w:r w:rsidRPr="00830619">
        <w:rPr>
          <w:rFonts w:ascii="Palatino Linotype" w:eastAsia="Palatino Linotype" w:hAnsi="Palatino Linotype" w:cs="Palatino Linotype"/>
          <w:b/>
          <w:bCs/>
        </w:rPr>
        <w:tab/>
        <w:t>R E S U E L V E:</w:t>
      </w:r>
    </w:p>
    <w:p w14:paraId="26C2F3CB" w14:textId="77777777" w:rsidR="003A5C5D" w:rsidRPr="00830619" w:rsidRDefault="003A5C5D">
      <w:pPr>
        <w:spacing w:after="0" w:line="360" w:lineRule="auto"/>
        <w:ind w:right="49"/>
        <w:jc w:val="both"/>
        <w:rPr>
          <w:rFonts w:ascii="Palatino Linotype" w:eastAsia="Palatino Linotype" w:hAnsi="Palatino Linotype" w:cs="Palatino Linotype"/>
        </w:rPr>
      </w:pPr>
    </w:p>
    <w:p w14:paraId="200F6B78"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b/>
          <w:bCs/>
        </w:rPr>
        <w:t>Primero.</w:t>
      </w:r>
      <w:r w:rsidRPr="00830619">
        <w:rPr>
          <w:rFonts w:ascii="Palatino Linotype" w:eastAsia="Palatino Linotype" w:hAnsi="Palatino Linotype" w:cs="Palatino Linotype"/>
        </w:rPr>
        <w:t xml:space="preserve"> Resultan</w:t>
      </w:r>
      <w:r w:rsidRPr="00830619">
        <w:rPr>
          <w:rFonts w:ascii="Palatino Linotype" w:eastAsia="Palatino Linotype" w:hAnsi="Palatino Linotype" w:cs="Palatino Linotype"/>
          <w:b/>
          <w:bCs/>
        </w:rPr>
        <w:t xml:space="preserve"> FUNDADOS</w:t>
      </w:r>
      <w:r w:rsidRPr="00830619">
        <w:rPr>
          <w:rFonts w:ascii="Palatino Linotype" w:eastAsia="Palatino Linotype" w:hAnsi="Palatino Linotype" w:cs="Palatino Linotype"/>
        </w:rPr>
        <w:t xml:space="preserve"> los motivos de inconformidad hechos valer por la parte </w:t>
      </w:r>
      <w:r w:rsidRPr="00830619">
        <w:rPr>
          <w:rFonts w:ascii="Palatino Linotype" w:eastAsia="Palatino Linotype" w:hAnsi="Palatino Linotype" w:cs="Palatino Linotype"/>
          <w:b/>
          <w:bCs/>
        </w:rPr>
        <w:t>Recurrente</w:t>
      </w:r>
      <w:r w:rsidRPr="00830619">
        <w:rPr>
          <w:rFonts w:ascii="Palatino Linotype" w:eastAsia="Palatino Linotype" w:hAnsi="Palatino Linotype" w:cs="Palatino Linotype"/>
        </w:rPr>
        <w:t xml:space="preserve"> en el Recurso de Revisión </w:t>
      </w:r>
      <w:r w:rsidRPr="00830619">
        <w:rPr>
          <w:rFonts w:ascii="Palatino Linotype" w:eastAsia="Palatino Linotype" w:hAnsi="Palatino Linotype" w:cs="Palatino Linotype"/>
          <w:b/>
          <w:bCs/>
        </w:rPr>
        <w:t>11989/INFOEM/IP/RR/2025</w:t>
      </w:r>
      <w:r w:rsidRPr="00830619">
        <w:rPr>
          <w:rFonts w:ascii="Palatino Linotype" w:eastAsia="Palatino Linotype" w:hAnsi="Palatino Linotype" w:cs="Palatino Linotype"/>
        </w:rPr>
        <w:t xml:space="preserve">, por lo que, en términos del </w:t>
      </w:r>
      <w:r w:rsidRPr="00830619">
        <w:rPr>
          <w:rFonts w:ascii="Palatino Linotype" w:eastAsia="Palatino Linotype" w:hAnsi="Palatino Linotype" w:cs="Palatino Linotype"/>
          <w:b/>
          <w:bCs/>
        </w:rPr>
        <w:t>Considerando Cuarto</w:t>
      </w:r>
      <w:r w:rsidRPr="00830619">
        <w:rPr>
          <w:rFonts w:ascii="Palatino Linotype" w:eastAsia="Palatino Linotype" w:hAnsi="Palatino Linotype" w:cs="Palatino Linotype"/>
        </w:rPr>
        <w:t xml:space="preserve"> de esta resolución, se </w:t>
      </w:r>
      <w:r w:rsidRPr="00830619">
        <w:rPr>
          <w:rFonts w:ascii="Palatino Linotype" w:eastAsia="Palatino Linotype" w:hAnsi="Palatino Linotype" w:cs="Palatino Linotype"/>
          <w:b/>
          <w:bCs/>
        </w:rPr>
        <w:t>MODIFICA</w:t>
      </w:r>
      <w:r w:rsidRPr="00830619">
        <w:rPr>
          <w:rFonts w:ascii="Palatino Linotype" w:eastAsia="Palatino Linotype" w:hAnsi="Palatino Linotype" w:cs="Palatino Linotype"/>
        </w:rPr>
        <w:t xml:space="preserve"> la respuesta emitida por el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w:t>
      </w:r>
    </w:p>
    <w:p w14:paraId="256BC30E" w14:textId="77777777" w:rsidR="000B6793" w:rsidRPr="00830619" w:rsidRDefault="000B6793">
      <w:pPr>
        <w:spacing w:after="0" w:line="360" w:lineRule="auto"/>
        <w:ind w:right="49"/>
        <w:jc w:val="both"/>
        <w:rPr>
          <w:rFonts w:ascii="Palatino Linotype" w:eastAsia="Palatino Linotype" w:hAnsi="Palatino Linotype" w:cs="Palatino Linotype"/>
        </w:rPr>
      </w:pPr>
    </w:p>
    <w:p w14:paraId="0A9AA154" w14:textId="77777777" w:rsidR="003A5C5D" w:rsidRPr="00830619" w:rsidRDefault="006654DD">
      <w:pPr>
        <w:spacing w:after="0" w:line="360" w:lineRule="auto"/>
        <w:jc w:val="both"/>
        <w:rPr>
          <w:rFonts w:ascii="Palatino Linotype" w:eastAsia="Palatino Linotype" w:hAnsi="Palatino Linotype" w:cs="Palatino Linotype"/>
        </w:rPr>
      </w:pPr>
      <w:bookmarkStart w:id="2" w:name="_heading=h.1fob9te" w:colFirst="0" w:colLast="0"/>
      <w:bookmarkEnd w:id="2"/>
      <w:r w:rsidRPr="00830619">
        <w:rPr>
          <w:rFonts w:ascii="Palatino Linotype" w:eastAsia="Palatino Linotype" w:hAnsi="Palatino Linotype" w:cs="Palatino Linotype"/>
          <w:b/>
          <w:bCs/>
        </w:rPr>
        <w:t>Segundo</w:t>
      </w:r>
      <w:r w:rsidRPr="00830619">
        <w:rPr>
          <w:rFonts w:ascii="Palatino Linotype" w:eastAsia="Palatino Linotype" w:hAnsi="Palatino Linotype" w:cs="Palatino Linotype"/>
        </w:rPr>
        <w:t xml:space="preserve">. Se </w:t>
      </w:r>
      <w:r w:rsidRPr="00830619">
        <w:rPr>
          <w:rFonts w:ascii="Palatino Linotype" w:eastAsia="Palatino Linotype" w:hAnsi="Palatino Linotype" w:cs="Palatino Linotype"/>
          <w:b/>
          <w:bCs/>
        </w:rPr>
        <w:t>ORDENA</w:t>
      </w:r>
      <w:r w:rsidRPr="00830619">
        <w:rPr>
          <w:rFonts w:ascii="Palatino Linotype" w:eastAsia="Palatino Linotype" w:hAnsi="Palatino Linotype" w:cs="Palatino Linotype"/>
        </w:rPr>
        <w:t xml:space="preserve"> al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 xml:space="preserve"> a que, en términos del Considerando </w:t>
      </w:r>
      <w:r w:rsidRPr="00830619">
        <w:rPr>
          <w:rFonts w:ascii="Palatino Linotype" w:eastAsia="Palatino Linotype" w:hAnsi="Palatino Linotype" w:cs="Palatino Linotype"/>
          <w:b/>
          <w:bCs/>
        </w:rPr>
        <w:t>Cuarto y Quinto</w:t>
      </w:r>
      <w:r w:rsidRPr="00830619">
        <w:rPr>
          <w:rFonts w:ascii="Palatino Linotype" w:eastAsia="Palatino Linotype" w:hAnsi="Palatino Linotype" w:cs="Palatino Linotype"/>
        </w:rPr>
        <w:t>, haga entrega, vía Sistema de Acceso a la Información Mexiquense (</w:t>
      </w:r>
      <w:r w:rsidRPr="00830619">
        <w:rPr>
          <w:rFonts w:ascii="Palatino Linotype" w:eastAsia="Palatino Linotype" w:hAnsi="Palatino Linotype" w:cs="Palatino Linotype"/>
          <w:b/>
          <w:bCs/>
        </w:rPr>
        <w:t>SAIMEX</w:t>
      </w:r>
      <w:r w:rsidRPr="00830619">
        <w:rPr>
          <w:rFonts w:ascii="Palatino Linotype" w:eastAsia="Palatino Linotype" w:hAnsi="Palatino Linotype" w:cs="Palatino Linotype"/>
        </w:rPr>
        <w:t xml:space="preserve">), en versión pública de la siguiente información: </w:t>
      </w:r>
    </w:p>
    <w:p w14:paraId="692BD8F9" w14:textId="77777777" w:rsidR="003A5C5D" w:rsidRPr="00830619" w:rsidRDefault="003A5C5D">
      <w:pPr>
        <w:spacing w:after="0" w:line="360" w:lineRule="auto"/>
        <w:jc w:val="both"/>
        <w:rPr>
          <w:rFonts w:ascii="Palatino Linotype" w:eastAsia="Palatino Linotype" w:hAnsi="Palatino Linotype" w:cs="Palatino Linotype"/>
        </w:rPr>
      </w:pPr>
    </w:p>
    <w:p w14:paraId="522FB0E8" w14:textId="77777777" w:rsidR="003A5C5D" w:rsidRPr="00830619" w:rsidRDefault="006654DD">
      <w:pPr>
        <w:numPr>
          <w:ilvl w:val="0"/>
          <w:numId w:val="1"/>
        </w:numPr>
        <w:pBdr>
          <w:top w:val="nil"/>
          <w:left w:val="nil"/>
          <w:bottom w:val="nil"/>
          <w:right w:val="nil"/>
          <w:between w:val="nil"/>
        </w:pBdr>
        <w:tabs>
          <w:tab w:val="left" w:pos="709"/>
        </w:tabs>
        <w:spacing w:after="0" w:line="360" w:lineRule="auto"/>
        <w:ind w:right="426"/>
        <w:jc w:val="both"/>
        <w:rPr>
          <w:rFonts w:ascii="Palatino Linotype" w:eastAsia="Palatino Linotype" w:hAnsi="Palatino Linotype" w:cs="Palatino Linotype"/>
        </w:rPr>
      </w:pPr>
      <w:r w:rsidRPr="00830619">
        <w:rPr>
          <w:rFonts w:ascii="Palatino Linotype" w:eastAsia="Palatino Linotype" w:hAnsi="Palatino Linotype" w:cs="Palatino Linotype"/>
          <w:b/>
          <w:bCs/>
        </w:rPr>
        <w:t xml:space="preserve">Recibos de nómina faltantes de la segunda quincena de septiembre de dos mil veinticinco de los servidores públicos adscritos al Ayuntamiento de Tonanitla. </w:t>
      </w:r>
    </w:p>
    <w:p w14:paraId="0AA29611" w14:textId="77777777" w:rsidR="003A5C5D" w:rsidRPr="00830619" w:rsidRDefault="003A5C5D">
      <w:pPr>
        <w:pBdr>
          <w:top w:val="nil"/>
          <w:left w:val="nil"/>
          <w:bottom w:val="nil"/>
          <w:right w:val="nil"/>
          <w:between w:val="nil"/>
        </w:pBdr>
        <w:tabs>
          <w:tab w:val="left" w:pos="709"/>
        </w:tabs>
        <w:spacing w:after="0" w:line="360" w:lineRule="auto"/>
        <w:ind w:left="720"/>
        <w:jc w:val="both"/>
        <w:rPr>
          <w:rFonts w:ascii="Palatino Linotype" w:eastAsia="Palatino Linotype" w:hAnsi="Palatino Linotype" w:cs="Palatino Linotype"/>
        </w:rPr>
      </w:pPr>
    </w:p>
    <w:p w14:paraId="1A63BF3A" w14:textId="77777777" w:rsidR="003A5C5D" w:rsidRPr="00830619" w:rsidRDefault="006654DD">
      <w:pPr>
        <w:spacing w:after="0"/>
        <w:ind w:left="567" w:right="615"/>
        <w:jc w:val="both"/>
        <w:rPr>
          <w:rFonts w:ascii="Palatino Linotype" w:eastAsia="Palatino Linotype" w:hAnsi="Palatino Linotype" w:cs="Palatino Linotype"/>
          <w:i/>
          <w:iCs/>
        </w:rPr>
      </w:pPr>
      <w:r w:rsidRPr="00830619">
        <w:rPr>
          <w:rFonts w:ascii="Palatino Linotype" w:eastAsia="Palatino Linotype" w:hAnsi="Palatino Linotype" w:cs="Palatino Linotype"/>
          <w:i/>
          <w:iCs/>
        </w:rPr>
        <w:t>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7FABDE9F" w14:textId="77777777" w:rsidR="003A5C5D" w:rsidRPr="00830619" w:rsidRDefault="003A5C5D">
      <w:pPr>
        <w:spacing w:after="0" w:line="360" w:lineRule="auto"/>
        <w:ind w:right="40"/>
        <w:jc w:val="both"/>
        <w:rPr>
          <w:rFonts w:ascii="Palatino Linotype" w:eastAsia="Palatino Linotype" w:hAnsi="Palatino Linotype" w:cs="Palatino Linotype"/>
          <w:b/>
          <w:bCs/>
        </w:rPr>
      </w:pPr>
    </w:p>
    <w:p w14:paraId="7F886FB2"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b/>
          <w:bCs/>
        </w:rPr>
        <w:t>Tercero.</w:t>
      </w:r>
      <w:r w:rsidRPr="00830619">
        <w:rPr>
          <w:rFonts w:ascii="Palatino Linotype" w:eastAsia="Palatino Linotype" w:hAnsi="Palatino Linotype" w:cs="Palatino Linotype"/>
        </w:rPr>
        <w:t xml:space="preserve"> </w:t>
      </w:r>
      <w:r w:rsidRPr="00830619">
        <w:rPr>
          <w:rFonts w:ascii="Palatino Linotype" w:eastAsia="Palatino Linotype" w:hAnsi="Palatino Linotype" w:cs="Palatino Linotype"/>
          <w:b/>
          <w:bCs/>
        </w:rPr>
        <w:t xml:space="preserve">Notifíquese vía SAIMEX </w:t>
      </w:r>
      <w:r w:rsidRPr="00830619">
        <w:rPr>
          <w:rFonts w:ascii="Palatino Linotype" w:eastAsia="Palatino Linotype" w:hAnsi="Palatino Linotype" w:cs="Palatino Linotype"/>
        </w:rPr>
        <w:t>la presente resolución al T</w:t>
      </w:r>
      <w:r w:rsidRPr="00830619">
        <w:rPr>
          <w:rFonts w:ascii="Palatino Linotype" w:eastAsia="Palatino Linotype" w:hAnsi="Palatino Linotype" w:cs="Palatino Linotype"/>
          <w:b/>
          <w:bCs/>
        </w:rPr>
        <w:t xml:space="preserve">itular de la Unidad de Transparencia </w:t>
      </w:r>
      <w:r w:rsidRPr="00830619">
        <w:rPr>
          <w:rFonts w:ascii="Palatino Linotype" w:eastAsia="Palatino Linotype" w:hAnsi="Palatino Linotype" w:cs="Palatino Linotype"/>
        </w:rPr>
        <w:t xml:space="preserve">del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031FC45" w14:textId="77777777" w:rsidR="003A5C5D" w:rsidRPr="00830619" w:rsidRDefault="003A5C5D">
      <w:pPr>
        <w:spacing w:after="0" w:line="360" w:lineRule="auto"/>
        <w:ind w:right="49"/>
        <w:jc w:val="both"/>
        <w:rPr>
          <w:rFonts w:ascii="Palatino Linotype" w:eastAsia="Palatino Linotype" w:hAnsi="Palatino Linotype" w:cs="Palatino Linotype"/>
        </w:rPr>
      </w:pPr>
    </w:p>
    <w:p w14:paraId="08A7BF9B" w14:textId="77777777" w:rsidR="003A5C5D" w:rsidRPr="00830619" w:rsidRDefault="006654DD">
      <w:pPr>
        <w:spacing w:after="0" w:line="360" w:lineRule="auto"/>
        <w:jc w:val="both"/>
        <w:rPr>
          <w:rFonts w:ascii="Palatino Linotype" w:eastAsia="Palatino Linotype" w:hAnsi="Palatino Linotype" w:cs="Palatino Linotype"/>
        </w:rPr>
      </w:pPr>
      <w:r w:rsidRPr="00830619">
        <w:rPr>
          <w:rFonts w:ascii="Palatino Linotype" w:eastAsia="Palatino Linotype" w:hAnsi="Palatino Linotype" w:cs="Palatino Linotype"/>
          <w:b/>
          <w:bCs/>
        </w:rPr>
        <w:t xml:space="preserve">Cuarto. Notifíquese vía SAIMEX </w:t>
      </w:r>
      <w:r w:rsidRPr="00830619">
        <w:rPr>
          <w:rFonts w:ascii="Palatino Linotype" w:eastAsia="Palatino Linotype" w:hAnsi="Palatino Linotype" w:cs="Palatino Linotype"/>
        </w:rPr>
        <w:t xml:space="preserve">a la parte </w:t>
      </w:r>
      <w:r w:rsidRPr="00830619">
        <w:rPr>
          <w:rFonts w:ascii="Palatino Linotype" w:eastAsia="Palatino Linotype" w:hAnsi="Palatino Linotype" w:cs="Palatino Linotype"/>
          <w:b/>
          <w:bCs/>
        </w:rPr>
        <w:t xml:space="preserve">Recurrente </w:t>
      </w:r>
      <w:r w:rsidRPr="00830619">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66E5D4D" w14:textId="77777777" w:rsidR="003A5C5D" w:rsidRPr="00830619" w:rsidRDefault="003A5C5D">
      <w:pPr>
        <w:spacing w:after="0" w:line="360" w:lineRule="auto"/>
        <w:jc w:val="both"/>
        <w:rPr>
          <w:rFonts w:ascii="Palatino Linotype" w:eastAsia="Palatino Linotype" w:hAnsi="Palatino Linotype" w:cs="Palatino Linotype"/>
        </w:rPr>
      </w:pPr>
    </w:p>
    <w:p w14:paraId="72FE0B17" w14:textId="77777777" w:rsidR="003A5C5D" w:rsidRPr="00830619" w:rsidRDefault="006654DD">
      <w:pPr>
        <w:spacing w:after="0" w:line="360" w:lineRule="auto"/>
        <w:ind w:right="49"/>
        <w:jc w:val="both"/>
        <w:rPr>
          <w:rFonts w:ascii="Palatino Linotype" w:eastAsia="Palatino Linotype" w:hAnsi="Palatino Linotype" w:cs="Palatino Linotype"/>
        </w:rPr>
      </w:pPr>
      <w:r w:rsidRPr="00830619">
        <w:rPr>
          <w:rFonts w:ascii="Palatino Linotype" w:eastAsia="Palatino Linotype" w:hAnsi="Palatino Linotype" w:cs="Palatino Linotype"/>
          <w:b/>
          <w:bCs/>
        </w:rPr>
        <w:t>Quinto.</w:t>
      </w:r>
      <w:r w:rsidRPr="0083061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830619">
        <w:rPr>
          <w:rFonts w:ascii="Palatino Linotype" w:eastAsia="Palatino Linotype" w:hAnsi="Palatino Linotype" w:cs="Palatino Linotype"/>
          <w:b/>
          <w:bCs/>
        </w:rPr>
        <w:t>SUJETO OBLIGADO</w:t>
      </w:r>
      <w:r w:rsidRPr="00830619">
        <w:rPr>
          <w:rFonts w:ascii="Palatino Linotype" w:eastAsia="Palatino Linotype" w:hAnsi="Palatino Linotype" w:cs="Palatino Linotype"/>
        </w:rPr>
        <w:t xml:space="preserve"> de manera fundada y motivada, podrá solicitar una ampliación de plazo para el cumplimiento de la presente resolución.</w:t>
      </w:r>
    </w:p>
    <w:p w14:paraId="16FC736F" w14:textId="77777777" w:rsidR="003A5C5D" w:rsidRPr="00830619" w:rsidRDefault="003A5C5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DE52963" w14:textId="7DFC14D2" w:rsidR="003A5C5D" w:rsidRPr="000D62F9" w:rsidRDefault="006654DD">
      <w:pPr>
        <w:spacing w:line="360" w:lineRule="auto"/>
        <w:jc w:val="both"/>
        <w:rPr>
          <w:rFonts w:ascii="Palatino Linotype" w:eastAsia="Palatino Linotype" w:hAnsi="Palatino Linotype" w:cs="Palatino Linotype"/>
        </w:rPr>
      </w:pPr>
      <w:bookmarkStart w:id="3" w:name="_heading=h.gjdgxs" w:colFirst="0" w:colLast="0"/>
      <w:bookmarkEnd w:id="3"/>
      <w:r w:rsidRPr="0083061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B44E56" w:rsidRPr="00830619">
        <w:rPr>
          <w:rFonts w:ascii="Palatino Linotype" w:eastAsia="Palatino Linotype" w:hAnsi="Palatino Linotype" w:cs="Palatino Linotype"/>
        </w:rPr>
        <w:t>, EMITIENDO VOTO PARTICULAR</w:t>
      </w:r>
      <w:r w:rsidRPr="00830619">
        <w:rPr>
          <w:rFonts w:ascii="Palatino Linotype" w:eastAsia="Palatino Linotype" w:hAnsi="Palatino Linotype" w:cs="Palatino Linotype"/>
        </w:rPr>
        <w:t xml:space="preserve"> Y GUADALUPE RAMÍREZ PEÑA</w:t>
      </w:r>
      <w:r w:rsidR="00B44E56" w:rsidRPr="00830619">
        <w:rPr>
          <w:rFonts w:ascii="Palatino Linotype" w:eastAsia="Palatino Linotype" w:hAnsi="Palatino Linotype" w:cs="Palatino Linotype"/>
        </w:rPr>
        <w:t>, EMITIENDO VOTO PARTICULAR</w:t>
      </w:r>
      <w:r w:rsidRPr="00830619">
        <w:rPr>
          <w:rFonts w:ascii="Palatino Linotype" w:eastAsia="Palatino Linotype" w:hAnsi="Palatino Linotype" w:cs="Palatino Linotype"/>
        </w:rPr>
        <w:t>; EN LA CUARTA SESIÓN ORDINARIA CELEBRADA EL CINCO DE FEBRERO DE DOS MIL VEINTISÉIS, ANTE EL SECRETARIO TÉCNICO DEL PLENO ALEXIS TAPIA RAMÍREZ.</w:t>
      </w:r>
    </w:p>
    <w:p w14:paraId="0B71A06C" w14:textId="25BF0764" w:rsidR="003A5C5D" w:rsidRPr="000D62F9" w:rsidRDefault="003A5C5D"/>
    <w:p w14:paraId="2C8B4B84" w14:textId="76DCC5AA" w:rsidR="00B44E56" w:rsidRPr="000D62F9" w:rsidRDefault="00B44E56"/>
    <w:p w14:paraId="0E980C3D" w14:textId="7A1A2ED6" w:rsidR="00B44E56" w:rsidRPr="000D62F9" w:rsidRDefault="00B44E56"/>
    <w:p w14:paraId="5983CE2A" w14:textId="3088F601" w:rsidR="00B44E56" w:rsidRPr="000D62F9" w:rsidRDefault="00B44E56"/>
    <w:p w14:paraId="1152488D" w14:textId="1CB607F1" w:rsidR="00B44E56" w:rsidRPr="000D62F9" w:rsidRDefault="00B44E56"/>
    <w:p w14:paraId="0E5B5D4E" w14:textId="62172804" w:rsidR="00B44E56" w:rsidRPr="000D62F9" w:rsidRDefault="00B44E56"/>
    <w:p w14:paraId="2D670183" w14:textId="77777777" w:rsidR="00B44E56" w:rsidRPr="000D62F9" w:rsidRDefault="00B44E56"/>
    <w:sectPr w:rsidR="00B44E56" w:rsidRPr="000D62F9">
      <w:headerReference w:type="even" r:id="rId11"/>
      <w:headerReference w:type="default" r:id="rId12"/>
      <w:footerReference w:type="even" r:id="rId13"/>
      <w:footerReference w:type="default" r:id="rId14"/>
      <w:headerReference w:type="first" r:id="rId15"/>
      <w:footerReference w:type="first" r:id="rId16"/>
      <w:pgSz w:w="12240" w:h="15840"/>
      <w:pgMar w:top="2041"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59330" w14:textId="77777777" w:rsidR="00C54B3C" w:rsidRDefault="00C54B3C">
      <w:pPr>
        <w:spacing w:after="0" w:line="240" w:lineRule="auto"/>
      </w:pPr>
      <w:r>
        <w:separator/>
      </w:r>
    </w:p>
  </w:endnote>
  <w:endnote w:type="continuationSeparator" w:id="0">
    <w:p w14:paraId="2497707B" w14:textId="77777777" w:rsidR="00C54B3C" w:rsidRDefault="00C54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FB34812D-5413-4699-86B9-227A1864BDDF}"/>
    <w:embedBold r:id="rId2" w:fontKey="{62804AD3-4BEC-4A39-A5DB-AEB5DEA11D10}"/>
    <w:embedItalic r:id="rId3" w:fontKey="{58E3DF80-1ACF-4F41-BD75-229A3B48911B}"/>
    <w:embedBoldItalic r:id="rId4" w:fontKey="{9F188E4F-8C87-480F-8CA3-CB84ECBF6BFE}"/>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C96C51BC-45A0-4064-B679-453D458FFB9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E3EA5E7-7F0A-4CE8-A0CF-EA81198C210D}"/>
    <w:embedBold r:id="rId7" w:fontKey="{1BA5A892-5B19-4955-A8E7-6E07140A363F}"/>
  </w:font>
  <w:font w:name="Georgia">
    <w:panose1 w:val="02040502050405020303"/>
    <w:charset w:val="00"/>
    <w:family w:val="roman"/>
    <w:pitch w:val="variable"/>
    <w:sig w:usb0="00000287" w:usb1="00000000" w:usb2="00000000" w:usb3="00000000" w:csb0="0000009F" w:csb1="00000000"/>
    <w:embedItalic r:id="rId8" w:fontKey="{89E22BE0-7B6C-46A9-A29E-23383780694A}"/>
  </w:font>
  <w:font w:name="Calibri Light">
    <w:panose1 w:val="020F0302020204030204"/>
    <w:charset w:val="00"/>
    <w:family w:val="swiss"/>
    <w:pitch w:val="variable"/>
    <w:sig w:usb0="E4002EFF" w:usb1="C200247B" w:usb2="00000009" w:usb3="00000000" w:csb0="000001FF" w:csb1="00000000"/>
    <w:embedRegular r:id="rId9" w:fontKey="{229E4C61-273E-476C-805F-3FA54FC3082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36D28" w14:textId="77777777" w:rsidR="003A5C5D" w:rsidRDefault="003A5C5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0B37E" w14:textId="68D14804" w:rsidR="003A5C5D" w:rsidRDefault="006654D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62E51">
      <w:rPr>
        <w:b/>
        <w:bCs/>
        <w:noProof/>
        <w:color w:val="000000"/>
        <w:sz w:val="24"/>
        <w:szCs w:val="24"/>
      </w:rPr>
      <w:t>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62E51">
      <w:rPr>
        <w:b/>
        <w:bCs/>
        <w:noProof/>
        <w:color w:val="000000"/>
        <w:sz w:val="24"/>
        <w:szCs w:val="24"/>
      </w:rPr>
      <w:t>58</w:t>
    </w:r>
    <w:r>
      <w:rPr>
        <w:b/>
        <w:bCs/>
        <w:color w:val="000000"/>
        <w:sz w:val="24"/>
        <w:szCs w:val="24"/>
      </w:rPr>
      <w:fldChar w:fldCharType="end"/>
    </w:r>
  </w:p>
  <w:p w14:paraId="4232F005" w14:textId="77777777" w:rsidR="003A5C5D" w:rsidRDefault="003A5C5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2777" w14:textId="4D8521F7" w:rsidR="003A5C5D" w:rsidRDefault="006654D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62E5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62E51">
      <w:rPr>
        <w:b/>
        <w:bCs/>
        <w:noProof/>
        <w:color w:val="000000"/>
        <w:sz w:val="24"/>
        <w:szCs w:val="24"/>
      </w:rPr>
      <w:t>58</w:t>
    </w:r>
    <w:r>
      <w:rPr>
        <w:b/>
        <w:bCs/>
        <w:color w:val="000000"/>
        <w:sz w:val="24"/>
        <w:szCs w:val="24"/>
      </w:rPr>
      <w:fldChar w:fldCharType="end"/>
    </w:r>
  </w:p>
  <w:p w14:paraId="7C32C623" w14:textId="77777777" w:rsidR="003A5C5D" w:rsidRDefault="003A5C5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E6728" w14:textId="77777777" w:rsidR="00C54B3C" w:rsidRDefault="00C54B3C">
      <w:pPr>
        <w:spacing w:after="0" w:line="240" w:lineRule="auto"/>
      </w:pPr>
      <w:r>
        <w:separator/>
      </w:r>
    </w:p>
  </w:footnote>
  <w:footnote w:type="continuationSeparator" w:id="0">
    <w:p w14:paraId="4BF1F45B" w14:textId="77777777" w:rsidR="00C54B3C" w:rsidRDefault="00C54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A64" w14:textId="77777777" w:rsidR="003A5C5D" w:rsidRDefault="003A5C5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04C76" w14:textId="77777777" w:rsidR="003A5C5D" w:rsidRDefault="006654DD">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25143805" wp14:editId="13B5CD3E">
          <wp:simplePos x="0" y="0"/>
          <wp:positionH relativeFrom="column">
            <wp:posOffset>-744853</wp:posOffset>
          </wp:positionH>
          <wp:positionV relativeFrom="paragraph">
            <wp:posOffset>-315593</wp:posOffset>
          </wp:positionV>
          <wp:extent cx="7809876" cy="10165823"/>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3A5C5D" w14:paraId="1C90B47C" w14:textId="77777777">
      <w:tc>
        <w:tcPr>
          <w:tcW w:w="2551" w:type="dxa"/>
          <w:vAlign w:val="center"/>
        </w:tcPr>
        <w:p w14:paraId="3891FC9F" w14:textId="77777777" w:rsidR="003A5C5D" w:rsidRDefault="006654D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53952A9D" w14:textId="77777777" w:rsidR="003A5C5D" w:rsidRDefault="006654D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11989/INFOEM/IP/RR/202</w:t>
          </w:r>
          <w:r>
            <w:rPr>
              <w:rFonts w:ascii="Palatino Linotype" w:eastAsia="Palatino Linotype" w:hAnsi="Palatino Linotype" w:cs="Palatino Linotype"/>
              <w:b/>
              <w:bCs/>
              <w:sz w:val="20"/>
              <w:szCs w:val="20"/>
            </w:rPr>
            <w:t>5</w:t>
          </w:r>
        </w:p>
      </w:tc>
    </w:tr>
    <w:tr w:rsidR="003A5C5D" w14:paraId="05971B4A" w14:textId="77777777">
      <w:trPr>
        <w:trHeight w:val="217"/>
      </w:trPr>
      <w:tc>
        <w:tcPr>
          <w:tcW w:w="2551" w:type="dxa"/>
          <w:vAlign w:val="center"/>
        </w:tcPr>
        <w:p w14:paraId="7668BEA7" w14:textId="77777777" w:rsidR="003A5C5D" w:rsidRDefault="006654D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2B67030E" w14:textId="77777777" w:rsidR="003A5C5D" w:rsidRDefault="003A5C5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29ED09A0" w14:textId="77777777" w:rsidR="003A5C5D" w:rsidRDefault="006654DD">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Tonanitla</w:t>
          </w:r>
        </w:p>
      </w:tc>
    </w:tr>
    <w:tr w:rsidR="003A5C5D" w14:paraId="0B7466B7" w14:textId="77777777">
      <w:tc>
        <w:tcPr>
          <w:tcW w:w="2551" w:type="dxa"/>
          <w:vAlign w:val="center"/>
        </w:tcPr>
        <w:p w14:paraId="10FEA965" w14:textId="77777777" w:rsidR="003A5C5D" w:rsidRDefault="006654D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14B5546C" w14:textId="77777777" w:rsidR="003A5C5D" w:rsidRDefault="006654D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0B9525CB" w14:textId="77777777" w:rsidR="003A5C5D" w:rsidRDefault="003A5C5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1CCC2" w14:textId="77777777" w:rsidR="003A5C5D" w:rsidRDefault="006654DD">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408F8A8E" wp14:editId="5DC34AEB">
          <wp:simplePos x="0" y="0"/>
          <wp:positionH relativeFrom="column">
            <wp:posOffset>-712466</wp:posOffset>
          </wp:positionH>
          <wp:positionV relativeFrom="paragraph">
            <wp:posOffset>-117472</wp:posOffset>
          </wp:positionV>
          <wp:extent cx="7809865" cy="1016571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887" w:type="dxa"/>
      <w:tblInd w:w="3611" w:type="dxa"/>
      <w:tblLayout w:type="fixed"/>
      <w:tblLook w:val="0400" w:firstRow="0" w:lastRow="0" w:firstColumn="0" w:lastColumn="0" w:noHBand="0" w:noVBand="1"/>
    </w:tblPr>
    <w:tblGrid>
      <w:gridCol w:w="2565"/>
      <w:gridCol w:w="3322"/>
    </w:tblGrid>
    <w:tr w:rsidR="003A5C5D" w14:paraId="79AEA505" w14:textId="77777777">
      <w:tc>
        <w:tcPr>
          <w:tcW w:w="2565" w:type="dxa"/>
          <w:vAlign w:val="center"/>
        </w:tcPr>
        <w:p w14:paraId="4988F56F" w14:textId="77777777" w:rsidR="003A5C5D" w:rsidRDefault="006654D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322" w:type="dxa"/>
          <w:vAlign w:val="center"/>
        </w:tcPr>
        <w:p w14:paraId="263C7DB1" w14:textId="77777777" w:rsidR="003A5C5D" w:rsidRDefault="006654D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11989/INFOEM/IP/RR/2025</w:t>
          </w:r>
        </w:p>
      </w:tc>
    </w:tr>
    <w:tr w:rsidR="003A5C5D" w14:paraId="06B84793" w14:textId="77777777">
      <w:tc>
        <w:tcPr>
          <w:tcW w:w="2565" w:type="dxa"/>
          <w:vAlign w:val="center"/>
        </w:tcPr>
        <w:p w14:paraId="3BFDBA16" w14:textId="77777777" w:rsidR="003A5C5D" w:rsidRDefault="006654D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322" w:type="dxa"/>
          <w:vAlign w:val="center"/>
        </w:tcPr>
        <w:p w14:paraId="0FD8AED8" w14:textId="77777777" w:rsidR="003A5C5D" w:rsidRDefault="003A5C5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r>
    <w:tr w:rsidR="003A5C5D" w14:paraId="03F42251" w14:textId="77777777">
      <w:trPr>
        <w:trHeight w:val="152"/>
      </w:trPr>
      <w:tc>
        <w:tcPr>
          <w:tcW w:w="2565" w:type="dxa"/>
          <w:vAlign w:val="center"/>
        </w:tcPr>
        <w:p w14:paraId="669E813B" w14:textId="77777777" w:rsidR="003A5C5D" w:rsidRDefault="006654DD">
          <w:pP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322" w:type="dxa"/>
          <w:vAlign w:val="center"/>
        </w:tcPr>
        <w:p w14:paraId="69D0A26D" w14:textId="77777777" w:rsidR="003A5C5D" w:rsidRDefault="006654DD">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Ayuntamiento de Tonanitla </w:t>
          </w:r>
        </w:p>
      </w:tc>
    </w:tr>
    <w:tr w:rsidR="003A5C5D" w14:paraId="5F98EE1B" w14:textId="77777777">
      <w:tc>
        <w:tcPr>
          <w:tcW w:w="2565" w:type="dxa"/>
          <w:vAlign w:val="center"/>
        </w:tcPr>
        <w:p w14:paraId="47D5346C" w14:textId="77777777" w:rsidR="003A5C5D" w:rsidRDefault="006654D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322" w:type="dxa"/>
          <w:vAlign w:val="center"/>
        </w:tcPr>
        <w:p w14:paraId="5948F983" w14:textId="77777777" w:rsidR="003A5C5D" w:rsidRDefault="006654D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08F361A5" w14:textId="77777777" w:rsidR="003A5C5D" w:rsidRDefault="006654DD">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E50C3"/>
    <w:multiLevelType w:val="multilevel"/>
    <w:tmpl w:val="F970E8FA"/>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1B2315"/>
    <w:multiLevelType w:val="multilevel"/>
    <w:tmpl w:val="1684318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DE78D9"/>
    <w:multiLevelType w:val="multilevel"/>
    <w:tmpl w:val="F112CFB6"/>
    <w:lvl w:ilvl="0">
      <w:start w:val="7"/>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3766FB"/>
    <w:multiLevelType w:val="multilevel"/>
    <w:tmpl w:val="F0B6FC86"/>
    <w:lvl w:ilvl="0">
      <w:start w:val="1"/>
      <w:numFmt w:val="decimal"/>
      <w:lvlText w:val="%1."/>
      <w:lvlJc w:val="left"/>
      <w:pPr>
        <w:ind w:left="206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EC15E3"/>
    <w:multiLevelType w:val="multilevel"/>
    <w:tmpl w:val="C7742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417F61"/>
    <w:multiLevelType w:val="multilevel"/>
    <w:tmpl w:val="F5682C2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C5D"/>
    <w:rsid w:val="000B6793"/>
    <w:rsid w:val="000D62F9"/>
    <w:rsid w:val="00181A2D"/>
    <w:rsid w:val="0029010C"/>
    <w:rsid w:val="003A5C5D"/>
    <w:rsid w:val="00403856"/>
    <w:rsid w:val="006654DD"/>
    <w:rsid w:val="00830619"/>
    <w:rsid w:val="008F1A12"/>
    <w:rsid w:val="00A62E51"/>
    <w:rsid w:val="00B44E56"/>
    <w:rsid w:val="00C54B3C"/>
    <w:rsid w:val="00CD1E94"/>
    <w:rsid w:val="00E347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05386"/>
  <w15:docId w15:val="{6263E7C7-F44C-4FCB-96D8-AC1DFF40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37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7DA"/>
    <w:rPr>
      <w:rFonts w:ascii="Calibri" w:eastAsia="Times New Roman" w:hAnsi="Calibri" w:cs="Times New Roman"/>
    </w:rPr>
  </w:style>
  <w:style w:type="paragraph" w:styleId="Piedepgina">
    <w:name w:val="footer"/>
    <w:basedOn w:val="Normal"/>
    <w:link w:val="PiedepginaCar"/>
    <w:uiPriority w:val="99"/>
    <w:unhideWhenUsed/>
    <w:rsid w:val="00937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7DA"/>
    <w:rPr>
      <w:rFonts w:ascii="Calibri" w:eastAsia="Times New Roman" w:hAnsi="Calibri"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4721"/>
    <w:pPr>
      <w:spacing w:after="160"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4721"/>
    <w:rPr>
      <w:rFonts w:ascii="Calibri" w:eastAsia="Calibri" w:hAnsi="Calibri" w:cs="Calibri"/>
      <w:lang w:eastAsia="es-MX"/>
    </w:rPr>
  </w:style>
  <w:style w:type="character" w:styleId="Hipervnculo">
    <w:name w:val="Hyperlink"/>
    <w:basedOn w:val="Fuentedeprrafopredeter"/>
    <w:uiPriority w:val="99"/>
    <w:unhideWhenUsed/>
    <w:rsid w:val="003E21AB"/>
    <w:rPr>
      <w:color w:val="0563C1" w:themeColor="hyperlink"/>
      <w:u w:val="single"/>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B20C1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B20C1F"/>
    <w:rPr>
      <w:rFonts w:ascii="Times New Roman" w:eastAsia="Times New Roman" w:hAnsi="Times New Roman" w:cs="Times New Roman"/>
      <w:sz w:val="24"/>
      <w:szCs w:val="24"/>
      <w:lang w:val="es-ES" w:eastAsia="es-ES"/>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7C6E7D"/>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7C6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5F87"/>
    <w:pPr>
      <w:spacing w:before="100" w:beforeAutospacing="1" w:after="100" w:afterAutospacing="1" w:line="240" w:lineRule="auto"/>
    </w:pPr>
    <w:rPr>
      <w:rFonts w:ascii="Times New Roman" w:hAnsi="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ransparenciapresupuestaria.gob.mx/es/PTP/Glosari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partados.hacienda.gob.mx/contabilidad/documentos/informe_cuenta/1998/cuenta_publica/Glosario/n.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E5hwrsWUgWxGgMlwKm29eTmww==">CgMxLjAyCWguMzBqMHpsbDIJaC4xZm9iOXRlMghoLmdqZGd4czgAciExa2lCajd5Z0N2dXB3WXdqZFdUNm1NTmJQc0taSktuYlg=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16457</Words>
  <Characters>90516</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2026-02-09T16:39:00Z</cp:lastPrinted>
  <dcterms:created xsi:type="dcterms:W3CDTF">2026-03-24T17:49:00Z</dcterms:created>
  <dcterms:modified xsi:type="dcterms:W3CDTF">2026-03-24T17:49:00Z</dcterms:modified>
</cp:coreProperties>
</file>