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hanging="2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bCs w:val="1"/>
          <w:sz w:val="22"/>
          <w:szCs w:val="22"/>
          <w:rtl w:val="0"/>
        </w:rPr>
        <w:t xml:space="preserve">veintiuno de enero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 dos mil veintiséis.</w:t>
      </w:r>
      <w:r w:rsidDel="00000000" w:rsidR="00000000" w:rsidRPr="00000000">
        <w:rPr>
          <w:rtl w:val="0"/>
        </w:rPr>
      </w:r>
    </w:p>
    <w:p w:rsidR="00000000" w:rsidDel="00000000" w:rsidP="00000000" w:rsidRDefault="00000000" w:rsidRPr="00000000" w14:paraId="000000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bookmarkStart w:colFirst="0" w:colLast="0" w:name="_heading=h.8fuygbry74mk" w:id="0"/>
      <w:bookmarkEnd w:id="0"/>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09394/INFOEM/IP/RR/2025, </w:t>
      </w:r>
      <w:r w:rsidDel="00000000" w:rsidR="00000000" w:rsidRPr="00000000">
        <w:rPr>
          <w:rFonts w:ascii="Palatino Linotype" w:cs="Palatino Linotype" w:eastAsia="Palatino Linotype" w:hAnsi="Palatino Linotype"/>
          <w:sz w:val="22"/>
          <w:szCs w:val="22"/>
          <w:rtl w:val="0"/>
        </w:rPr>
        <w:t xml:space="preserve">interpuesto por </w:t>
      </w:r>
      <w:r w:rsidDel="00000000" w:rsidR="00000000" w:rsidRPr="00000000">
        <w:rPr>
          <w:rFonts w:ascii="Palatino Linotype" w:cs="Palatino Linotype" w:eastAsia="Palatino Linotype" w:hAnsi="Palatino Linotype"/>
          <w:b w:val="1"/>
          <w:bCs w:val="1"/>
          <w:sz w:val="22"/>
          <w:szCs w:val="22"/>
          <w:rtl w:val="0"/>
        </w:rPr>
        <w:t xml:space="preserve">XXXX XXXXXXX XXXXXXXX,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por parte del </w:t>
      </w:r>
      <w:r w:rsidDel="00000000" w:rsidR="00000000" w:rsidRPr="00000000">
        <w:rPr>
          <w:rFonts w:ascii="Palatino Linotype" w:cs="Palatino Linotype" w:eastAsia="Palatino Linotype" w:hAnsi="Palatino Linotype"/>
          <w:b w:val="1"/>
          <w:bCs w:val="1"/>
          <w:sz w:val="22"/>
          <w:szCs w:val="22"/>
          <w:rtl w:val="0"/>
        </w:rPr>
        <w:t xml:space="preserve">Ayuntamiento de Chiconcuac</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ind w:right="49"/>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w:t>
        <w:tab/>
        <w:t xml:space="preserve">A N T E C E D E N T E S </w:t>
      </w:r>
    </w:p>
    <w:p w:rsidR="00000000" w:rsidDel="00000000" w:rsidP="00000000" w:rsidRDefault="00000000" w:rsidRPr="00000000" w14:paraId="0000000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Solicitud de Acceso a la Información. El veintisiete de junio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 </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line="360" w:lineRule="auto"/>
        <w:ind w:left="567" w:right="49" w:hanging="360"/>
        <w:jc w:val="both"/>
        <w:rPr>
          <w:rFonts w:ascii="Palatino Linotype" w:cs="Palatino Linotype" w:eastAsia="Palatino Linotype" w:hAnsi="Palatino Linotype"/>
          <w:b w:val="1"/>
          <w:bCs w:val="1"/>
          <w:sz w:val="22"/>
          <w:szCs w:val="22"/>
        </w:rPr>
      </w:pPr>
      <w:bookmarkStart w:colFirst="0" w:colLast="0" w:name="_heading=h.3znysh7" w:id="1"/>
      <w:bookmarkEnd w:id="1"/>
      <w:r w:rsidDel="00000000" w:rsidR="00000000" w:rsidRPr="00000000">
        <w:rPr>
          <w:rFonts w:ascii="Palatino Linotype" w:cs="Palatino Linotype" w:eastAsia="Palatino Linotype" w:hAnsi="Palatino Linotype"/>
          <w:b w:val="1"/>
          <w:bCs w:val="1"/>
          <w:sz w:val="22"/>
          <w:szCs w:val="22"/>
          <w:rtl w:val="0"/>
        </w:rPr>
        <w:t xml:space="preserve">00108/CHICONCU/IP/2025</w:t>
      </w:r>
    </w:p>
    <w:p w:rsidR="00000000" w:rsidDel="00000000" w:rsidP="00000000" w:rsidRDefault="00000000" w:rsidRPr="00000000" w14:paraId="0000000A">
      <w:pPr>
        <w:spacing w:line="276" w:lineRule="auto"/>
        <w:ind w:left="567" w:right="843"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sirva este medio para enviarle un cordial y afectuoso saludo. Así mismo REQUIERO DIGITALEMNETE la certificaciones de Supervisores y Residentes de Obra que emite el Colegio de Arquitectos del Estado de México A.C. de todos y cada uno de los servidores públicos con los que cuente la Dirección de Obras Públicas</w:t>
      </w:r>
      <w:r w:rsidDel="00000000" w:rsidR="00000000" w:rsidRPr="00000000">
        <w:rPr>
          <w:rFonts w:ascii="Palatino Linotype" w:cs="Palatino Linotype" w:eastAsia="Palatino Linotype" w:hAnsi="Palatino Linotype"/>
          <w:b w:val="1"/>
          <w:bCs w:val="1"/>
          <w:i w:val="1"/>
          <w:iCs w:val="1"/>
          <w:sz w:val="22"/>
          <w:szCs w:val="22"/>
          <w:rtl w:val="0"/>
        </w:rPr>
        <w:t xml:space="preserve">” (Sic.)</w:t>
      </w:r>
    </w:p>
    <w:p w:rsidR="00000000" w:rsidDel="00000000" w:rsidP="00000000" w:rsidRDefault="00000000" w:rsidRPr="00000000" w14:paraId="0000000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D">
      <w:pPr>
        <w:widowControl w:val="0"/>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treinta de julio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 solicitud en los siguientes términos:</w:t>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que suscribe, por medio del presente y en atención a la solicitud 00108/CHICONCU/IP/2025; "sirva este medio para enviarle un cordial y afectuoso saludo. Así mismo REQUIERO DIGITALEMNETE la certificaciones de Supervisores y Residentes de Obra que emite el Colegio de Arquitectos del Estado de México A.C. de todos y cada uno de los servidores públicos con los que cuente la Dirección de Obras Públicas.” (Sic), lo anterior para dar cumplimiento al art. 51, 52 y 53 de la Ley de Transparencia y Acceso a la Información del Estado de México y Municipios, hago constar de la información que se a requerido al área responsable que genera la misma. Sin más por el momento, me despido. ATENTAMENTE UNIDAD DE TRANSPARENCIA Y ACCESO A LA INFORMACIÓN PÚBLICA Y PROTECCIÓN DE DATOS PERSONALES DEL MUNICIPIO DE CHICONCUAC</w:t>
      </w:r>
    </w:p>
    <w:p w:rsidR="00000000" w:rsidDel="00000000" w:rsidP="00000000" w:rsidRDefault="00000000" w:rsidRPr="00000000" w14:paraId="00000011">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2">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AIDEE MONSERRAT VELAZQUEZ CRUZ”</w:t>
      </w:r>
    </w:p>
    <w:p w:rsidR="00000000" w:rsidDel="00000000" w:rsidP="00000000" w:rsidRDefault="00000000" w:rsidRPr="00000000" w14:paraId="00000013">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4">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adjuntó el documento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00108CHICONCUIP2025.pdf</w:t>
      </w:r>
      <w:r w:rsidDel="00000000" w:rsidR="00000000" w:rsidRPr="00000000">
        <w:rPr>
          <w:rFonts w:ascii="Palatino Linotype" w:cs="Palatino Linotype" w:eastAsia="Palatino Linotype" w:hAnsi="Palatino Linotype"/>
          <w:sz w:val="22"/>
          <w:szCs w:val="22"/>
          <w:rtl w:val="0"/>
        </w:rPr>
        <w:t xml:space="preserve"> que contiene lo siguiente: </w:t>
      </w:r>
    </w:p>
    <w:p w:rsidR="00000000" w:rsidDel="00000000" w:rsidP="00000000" w:rsidRDefault="00000000" w:rsidRPr="00000000" w14:paraId="00000015">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CHCI/OP/140/2025</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suscrito por el Director de Obras Públicas refirió que no cuenta con autorización para acceder al expediente personal de los servidores públicos, por lo que se encuentra impedido a proporcionar lo solicitado.</w:t>
      </w:r>
    </w:p>
    <w:p w:rsidR="00000000" w:rsidDel="00000000" w:rsidP="00000000" w:rsidRDefault="00000000" w:rsidRPr="00000000" w14:paraId="00000017">
      <w:pPr>
        <w:widowControl w:val="0"/>
        <w:spacing w:line="360" w:lineRule="auto"/>
        <w:ind w:left="3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once</w:t>
      </w:r>
      <w:r w:rsidDel="00000000" w:rsidR="00000000" w:rsidRPr="00000000">
        <w:rPr>
          <w:rFonts w:ascii="Palatino Linotype" w:cs="Palatino Linotype" w:eastAsia="Palatino Linotype" w:hAnsi="Palatino Linotype"/>
          <w:sz w:val="22"/>
          <w:szCs w:val="22"/>
          <w:rtl w:val="0"/>
        </w:rPr>
        <w:t xml:space="preserve"> d</w:t>
      </w:r>
      <w:r w:rsidDel="00000000" w:rsidR="00000000" w:rsidRPr="00000000">
        <w:rPr>
          <w:rFonts w:ascii="Palatino Linotype" w:cs="Palatino Linotype" w:eastAsia="Palatino Linotype" w:hAnsi="Palatino Linotype"/>
          <w:b w:val="1"/>
          <w:bCs w:val="1"/>
          <w:sz w:val="22"/>
          <w:szCs w:val="22"/>
          <w:rtl w:val="0"/>
        </w:rPr>
        <w:t xml:space="preserve">e agosto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el recurso de revisión, mediante el cual y manifestó lo siguiente: </w:t>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“la Dirección de Obras Públicas del H. Ayuntamiento de Chiconcuac sigue en la negativa de querer exhibir las certificaciones de Supervisores y Residentes de Obra que emite el Colegio de Arquitectos del Estado de México A.C. de todos y cada uno de los servidores públicos con los que cuente la Dirección de Obras Públicas, por que su personal no cuenta con las ya mencionadas ya que de acuerdo por los dispuesto en los artículos 216 y 218 del REGLAMENTO DEL LIBRO DÉCIMO SEGUNDO DEL CÓDIGO ADMINISTRATIVO DEL ESTADO DE MÉXICO los supervisores y residentes de obra tienen que contar con esta certificación, y esta dirección esta obligada a hacer publica dicha información de acuerdo a la Excepciones al Principio de Consentimiento estipuladas por el articulo 21 fracción I, de la LEY DE PROTECCIÓN DE DATOS PERSONALES EN POSESIÓN DE SUJETOS OBLIGADOS DEL ESTADO DE MÉXICO Y MUNICIPIOS. derivado de lo anterior es mas que evidente que el actual director de obras publicas oculta información de carácter publico y esta incurriendo en una falta administrativa por lo que solicito que se de vista a la contraloría municipal del h. ayuntamiento de Chiconcuac para que inicie lo que a derecho corresponda..” (Sic.)</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left="720"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Motivo de inconformidad:</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“a Dirección de Obras Públicas del H. Ayuntamiento de Chiconcuac sigue en la negativa de querer exhibir las certificaciones de Supervisores y Residentes de Obra que emite el Colegio de Arquitectos del Estado de México A.C. de todos y cada uno de los servidores públicos con los que cuente la Dirección de Obras Públicas, por que su personal no cuenta con las ya mencionadas ya que de acuerdo por los dispuesto en los artículos 216 y 218 del REGLAMENTO DEL LIBRO DÉCIMO SEGUNDO DEL CÓDIGO ADMINISTRATIVO DEL ESTADO DE MÉXICO los supervisores y residentes de obra tienen que contar con esta certificación, y esta dirección esta obligada a hacer publica dicha información de acuerdo a la Excepciones al Principio de Consentimiento estipuladas por el articulo 21 fracción I, de la LEY DE PROTECCIÓN DE DATOS PERSONALES EN POSESIÓN DE SUJETOS OBLIGADOS DEL ESTADO DE MÉXICO Y MUNICIPIOS. derivado de lo anterior es mas que evidente que el actual director de obras publicas oculta información de carácter publico y esta incurriendo en una falta administrativa por lo que solicito que se de vista a la contraloría municipal del h. ayuntamiento de Chiconcuac para que inicie lo que a derecho corresponda.” (Sic.)</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Recurrente adjuntó el documento electrónico denominado 00108CHICONCUIP2025.pdf que corresponde al documento emitido en respuesta a la solicitud.</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sz w:val="22"/>
          <w:szCs w:val="22"/>
          <w:rtl w:val="0"/>
        </w:rPr>
        <w:t xml:space="preserve">09394/INFOEM/IP/RR/2025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catorce de agosto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22">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el Sujeto Obligado rindió informe justificado el diecinueve de agosto de dos mil veinticinco, mediante el cual refiere que se realizó una búsqueda exhaustiva y razonable para dar solución a la solicitud, por lo qué el Titular de la Unidad de Transparencia indicó que los supervisores y residentes de obra se encuentran en proceso de certificación, por lo que se someterá a consideración del Comité de Transparencia para evaluar y coadyuvar en el funcionamiento de la Dirección de Obras Públicas. El contenido del informe justificado se puso a disposición del Recurrente el catorce de enero de dos mil veintiséis.</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Ampliación de plazo. El catorce de enero de dos mil veintiséis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C">
      <w:pPr>
        <w:numPr>
          <w:ilvl w:val="0"/>
          <w:numId w:val="6"/>
        </w:numPr>
        <w:tabs>
          <w:tab w:val="left" w:leader="none" w:pos="993"/>
        </w:tabs>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D">
      <w:pPr>
        <w:numPr>
          <w:ilvl w:val="0"/>
          <w:numId w:val="6"/>
        </w:numPr>
        <w:tabs>
          <w:tab w:val="left" w:leader="none" w:pos="993"/>
        </w:tabs>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E">
      <w:pPr>
        <w:numPr>
          <w:ilvl w:val="0"/>
          <w:numId w:val="6"/>
        </w:numPr>
        <w:tabs>
          <w:tab w:val="left" w:leader="none" w:pos="993"/>
        </w:tabs>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2F">
      <w:pPr>
        <w:numPr>
          <w:ilvl w:val="0"/>
          <w:numId w:val="6"/>
        </w:numPr>
        <w:tabs>
          <w:tab w:val="left" w:leader="none" w:pos="993"/>
        </w:tabs>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4">
      <w:pPr>
        <w:spacing w:after="240" w:before="240" w:line="36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5">
      <w:pPr>
        <w:spacing w:after="240" w:before="240" w:line="36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veintiuno de enero de dos mil veintiséis</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 debidamente sustanciado </w:t>
        <w:tab/>
        <w:t xml:space="preserve">el expediente electrónico y no existe diligencia pendiente de desahogo, se emite la Resolución que conforme a Derecho proceda, de acuerdo con los siguientes: </w:t>
      </w:r>
    </w:p>
    <w:p w:rsidR="00000000" w:rsidDel="00000000" w:rsidP="00000000" w:rsidRDefault="00000000" w:rsidRPr="00000000" w14:paraId="0000003A">
      <w:pPr>
        <w:spacing w:line="360" w:lineRule="auto"/>
        <w:ind w:left="720" w:right="49" w:hanging="72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w:t>
        <w:tab/>
        <w:t xml:space="preserve">C O N S I D E R A N D O: </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3F">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178. </w:t>
      </w:r>
      <w:r w:rsidDel="00000000" w:rsidR="00000000" w:rsidRPr="00000000">
        <w:rPr>
          <w:rFonts w:ascii="Palatino Linotype" w:cs="Palatino Linotype" w:eastAsia="Palatino Linotype" w:hAnsi="Palatino Linotype"/>
          <w:i w:val="1"/>
          <w:iCs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treinta de julio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bCs w:val="1"/>
          <w:sz w:val="22"/>
          <w:szCs w:val="22"/>
          <w:rtl w:val="0"/>
        </w:rPr>
        <w:t xml:space="preserve">once de agosto del año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bCs w:val="1"/>
          <w:sz w:val="22"/>
          <w:szCs w:val="22"/>
          <w:rtl w:val="0"/>
        </w:rPr>
        <w:t xml:space="preserve">sexto día hábil </w:t>
      </w:r>
      <w:r w:rsidDel="00000000" w:rsidR="00000000" w:rsidRPr="00000000">
        <w:rPr>
          <w:rFonts w:ascii="Palatino Linotype" w:cs="Palatino Linotype" w:eastAsia="Palatino Linotype" w:hAnsi="Palatino Linotype"/>
          <w:sz w:val="22"/>
          <w:szCs w:val="22"/>
          <w:rtl w:val="0"/>
        </w:rPr>
        <w:t xml:space="preserve">siguiente al que se tuvo conocimiento de la respuesta respectivamente.</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42">
      <w:pPr>
        <w:spacing w:line="360" w:lineRule="auto"/>
        <w:ind w:left="567"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3">
      <w:pPr>
        <w:spacing w:line="360" w:lineRule="auto"/>
        <w:ind w:left="567"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negativa a la información solicitada;</w:t>
      </w:r>
    </w:p>
    <w:p w:rsidR="00000000" w:rsidDel="00000000" w:rsidP="00000000" w:rsidRDefault="00000000" w:rsidRPr="00000000" w14:paraId="00000044">
      <w:pPr>
        <w:spacing w:line="360" w:lineRule="auto"/>
        <w:ind w:left="567"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9">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A">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B">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F">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6">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D">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E">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5F">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0">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1">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5">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6">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7">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8">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9">
      <w:pPr>
        <w:tabs>
          <w:tab w:val="left" w:leader="none" w:pos="8647"/>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A">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análisis de la solicitud de información motivo del recurso de revisión que ahora se resuelve, se tiene que el Recurrente solicitó al </w:t>
      </w:r>
      <w:r w:rsidDel="00000000" w:rsidR="00000000" w:rsidRPr="00000000">
        <w:rPr>
          <w:rFonts w:ascii="Palatino Linotype" w:cs="Palatino Linotype" w:eastAsia="Palatino Linotype" w:hAnsi="Palatino Linotype"/>
          <w:b w:val="1"/>
          <w:bCs w:val="1"/>
          <w:sz w:val="22"/>
          <w:szCs w:val="22"/>
          <w:rtl w:val="0"/>
        </w:rPr>
        <w:t xml:space="preserve">Ayuntamiento de Chiconcuac</w:t>
      </w:r>
      <w:r w:rsidDel="00000000" w:rsidR="00000000" w:rsidRPr="00000000">
        <w:rPr>
          <w:rFonts w:ascii="Palatino Linotype" w:cs="Palatino Linotype" w:eastAsia="Palatino Linotype" w:hAnsi="Palatino Linotype"/>
          <w:sz w:val="22"/>
          <w:szCs w:val="22"/>
          <w:rtl w:val="0"/>
        </w:rPr>
        <w:t xml:space="preserve">, la siguiente información:</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Certificaciones del Colegio de Arquitectos del Estado de México de supervisores y residentes de obra de los servidores públicos adscritos a la Dirección de Obras Públicas.</w:t>
      </w:r>
    </w:p>
    <w:p w:rsidR="00000000" w:rsidDel="00000000" w:rsidP="00000000" w:rsidRDefault="00000000" w:rsidRPr="00000000" w14:paraId="0000006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por conducto de la Dirección de Obras Públicas indicó que se encuentra impedido a proporcionar la información ya que no está facultado para acceder a los expedientes de personal.  </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Recurrente mostró su inconformidad argumentando la negativa de la información. </w:t>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la naturaleza de la información requerida, es que es necesario traer a colación el artículo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47. Para ingresar al servicio público se requiere: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Presentar una solicitud utilizando la forma oficial que se autorice por la institución pública o dependencia correspondiente;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Ser de nacionalidad mexicana, con la excepción prevista en el artículo 17 de la presente ley;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Estar en pleno ejercicio de sus derechos civiles y políticos, en su caso;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Acreditar, cuando proceda, el cumplimiento de la Ley del Servicio Militar Nacional;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Derogada.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No haber sido separado anteriormente del servicio por las causas previstas en el artículo 93 de la presente ley;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Tener buena salud, lo que se comprobará con los certificados médicos correspondientes, en la forma en que se establezca en cada institución pública;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Cumplir con los requisitos que se establezcan para los diferentes puestos;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Acreditar por medio de los exámenes correspondientes los conocimientos y aptitudes necesarios para el desempeño del puesto; y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No estar inhabilitado para el ejercicio del servicio público.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 Presentar certificado expedido por la Unidad del Registro de Deudores Alimentarios Morosos en el que conste, si se encuentra inscrito o no en el mismo.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como se aprecia, se determina que, para el ingreso al servicio público, las personas interesadas deben cumplir con los requisitos que se establezcan para los diferentes puestos.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Es así que, sobre el expediente del personal de los Sujetos Obligados, resulta oportuno traer a contexto el contenido del artículo 98 fracción XVII, de la Ley anteriormente mencionada que refiere que son obligaciones de las instituciones públicas, el </w:t>
      </w:r>
      <w:r w:rsidDel="00000000" w:rsidR="00000000" w:rsidRPr="00000000">
        <w:rPr>
          <w:rFonts w:ascii="Palatino Linotype" w:cs="Palatino Linotype" w:eastAsia="Palatino Linotype" w:hAnsi="Palatino Linotype"/>
          <w:b w:val="1"/>
          <w:bCs w:val="1"/>
          <w:sz w:val="22"/>
          <w:szCs w:val="22"/>
          <w:u w:val="single"/>
          <w:rtl w:val="0"/>
        </w:rPr>
        <w:t xml:space="preserve">integrar los expedientes de los servidores públicos</w:t>
      </w:r>
      <w:r w:rsidDel="00000000" w:rsidR="00000000" w:rsidRPr="00000000">
        <w:rPr>
          <w:rFonts w:ascii="Palatino Linotype" w:cs="Palatino Linotype" w:eastAsia="Palatino Linotype" w:hAnsi="Palatino Linotype"/>
          <w:sz w:val="22"/>
          <w:szCs w:val="22"/>
          <w:rtl w:val="0"/>
        </w:rPr>
        <w:t xml:space="preserve"> y proporcionar las constancias que éstos soliciten para el trámite de los asuntos de su interés en los términos que señalen los ordenamientos respectivos, se inserta su contenido íntegro:</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567"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“TITULO CUARTO</w:t>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567"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las Obligaciones de las Instituciones Públicas</w:t>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567"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CAPITULO I</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567"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las Obligaciones en General</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98. Son obligaciones de las instituciones públicas:</w:t>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 Integrar los expedientes de los servidores públicos </w:t>
      </w:r>
      <w:r w:rsidDel="00000000" w:rsidR="00000000" w:rsidRPr="00000000">
        <w:rPr>
          <w:rFonts w:ascii="Palatino Linotype" w:cs="Palatino Linotype" w:eastAsia="Palatino Linotype" w:hAnsi="Palatino Linotype"/>
          <w:i w:val="1"/>
          <w:iCs w:val="1"/>
          <w:sz w:val="22"/>
          <w:szCs w:val="22"/>
          <w:rtl w:val="0"/>
        </w:rPr>
        <w:t xml:space="preserve">y proporcionar las constancias que éstos soliciten para el trámite de los asuntos de su interés en los términos que señalen los ordenamientos respectivos.</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expuesto hasta este punto, se tiene la obligación de integrar el expediente de personal, donde obran todos aquellos documentos que se relacionan con cada uno de los servidores públicos, así como los documentos que amparen que se cumplieron los requisitos establecidos en el artículo 47 de la Ley en Materia.</w:t>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escapa de la óptica de este Organismo Garante que el Recurrente solicitó la certificación del Residente de Obra y Supervisor de Obra, que de acuerdo al Reglamento del Libro Décimo Segundo del Código Administrativo del Estado de México, son los siguientes conceptos:</w:t>
      </w:r>
    </w:p>
    <w:p w:rsidR="00000000" w:rsidDel="00000000" w:rsidP="00000000" w:rsidRDefault="00000000" w:rsidRPr="00000000" w14:paraId="00000091">
      <w:pPr>
        <w:spacing w:line="360" w:lineRule="auto"/>
        <w:ind w:left="1440" w:hanging="14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XXXV. Residente de obra: servidor público responsable de verificar que la ejecución de los trabajos se efectúe conforme al contrato.</w:t>
      </w:r>
    </w:p>
    <w:p w:rsidR="00000000" w:rsidDel="00000000" w:rsidP="00000000" w:rsidRDefault="00000000" w:rsidRPr="00000000" w14:paraId="00000093">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94">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XL. Supervisor de obra: es el servidor público o persona que auxilia al residente de obra para verificar que la ejecución de los trabajos se realice conforme al contrato.</w:t>
      </w:r>
    </w:p>
    <w:p w:rsidR="00000000" w:rsidDel="00000000" w:rsidP="00000000" w:rsidRDefault="00000000" w:rsidRPr="00000000" w14:paraId="00000095">
      <w:pPr>
        <w:spacing w:line="360" w:lineRule="auto"/>
        <w:ind w:left="1440" w:hanging="14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necesario traer a contexto los artículos 216 y 2018 del mismo ordenamiento legal, los cuales establecen lo siguiente: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TÍTULO SEXTO</w:t>
      </w:r>
    </w:p>
    <w:p w:rsidR="00000000" w:rsidDel="00000000" w:rsidP="00000000" w:rsidRDefault="00000000" w:rsidRPr="00000000" w14:paraId="00000099">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Ejecución de la Obra Pública</w:t>
      </w:r>
    </w:p>
    <w:p w:rsidR="00000000" w:rsidDel="00000000" w:rsidP="00000000" w:rsidRDefault="00000000" w:rsidRPr="00000000" w14:paraId="0000009A">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Sección Primera</w:t>
      </w:r>
    </w:p>
    <w:p w:rsidR="00000000" w:rsidDel="00000000" w:rsidP="00000000" w:rsidRDefault="00000000" w:rsidRPr="00000000" w14:paraId="0000009B">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Coordinación y los Responsables de la Obra Pública.</w:t>
      </w:r>
    </w:p>
    <w:p w:rsidR="00000000" w:rsidDel="00000000" w:rsidP="00000000" w:rsidRDefault="00000000" w:rsidRPr="00000000" w14:paraId="0000009C">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D">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216.- Para designar al residente de obra, el contratante deberá prever que tenga los conocimientos, experiencia, habilidades y capacidad suficiente para administrar y dirigir los trabajos; considerando la formación profesional, la experiencia en administración y construcción de obras, el desarrollo profesional y el conocimiento de obras similares a las que se hará cargo. </w:t>
      </w:r>
      <w:r w:rsidDel="00000000" w:rsidR="00000000" w:rsidRPr="00000000">
        <w:rPr>
          <w:rFonts w:ascii="Palatino Linotype" w:cs="Palatino Linotype" w:eastAsia="Palatino Linotype" w:hAnsi="Palatino Linotype"/>
          <w:b w:val="1"/>
          <w:bCs w:val="1"/>
          <w:i w:val="1"/>
          <w:iCs w:val="1"/>
          <w:sz w:val="22"/>
          <w:szCs w:val="22"/>
          <w:rtl w:val="0"/>
        </w:rPr>
        <w:t xml:space="preserve">Para acreditar esto el servidor público designado deberá presentar la certificación de conocimientos y habilidades expedida en la materia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E">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F">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218.- La supervisión es el auxiliar de la residencia de obra. Tendrá las funciones que se señalan en este Reglamento, así como las que, en su caso, se pacten en el contrato de supervisión. </w:t>
      </w:r>
      <w:r w:rsidDel="00000000" w:rsidR="00000000" w:rsidRPr="00000000">
        <w:rPr>
          <w:rFonts w:ascii="Palatino Linotype" w:cs="Palatino Linotype" w:eastAsia="Palatino Linotype" w:hAnsi="Palatino Linotype"/>
          <w:b w:val="1"/>
          <w:bCs w:val="1"/>
          <w:i w:val="1"/>
          <w:iCs w:val="1"/>
          <w:sz w:val="22"/>
          <w:szCs w:val="22"/>
          <w:rtl w:val="0"/>
        </w:rPr>
        <w:t xml:space="preserve">Para tal función se deberá contar con la certificación de conocimientos y habilidades en la materia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este punto, se tiene que los supervisores y residentes de obra deben contar con certificación, ya que son servidores públicos encargados de la verificación de ejecución de obras públicas, para que las mismas se ajusten a los contratos celebrados. De ser el caso de que cuenten con la certificación correspondiente, la misma deberá obrar en los expedientes de personal correspondientes. </w:t>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Código Administrativo del Estado de Mpexico establece en su artículo 12.72, 13.73, 12.74 lo siguiente: </w:t>
      </w:r>
    </w:p>
    <w:p w:rsidR="00000000" w:rsidDel="00000000" w:rsidP="00000000" w:rsidRDefault="00000000" w:rsidRPr="00000000" w14:paraId="000000A4">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CAPÍTULO NOVENO</w:t>
      </w:r>
    </w:p>
    <w:p w:rsidR="00000000" w:rsidDel="00000000" w:rsidP="00000000" w:rsidRDefault="00000000" w:rsidRPr="00000000" w14:paraId="000000A5">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Del Procedimiento de Evaluación de Confianza de los Responsables del Seguimiento de la Obra Pública</w:t>
      </w:r>
    </w:p>
    <w:p w:rsidR="00000000" w:rsidDel="00000000" w:rsidP="00000000" w:rsidRDefault="00000000" w:rsidRPr="00000000" w14:paraId="000000A6">
      <w:pPr>
        <w:spacing w:line="360" w:lineRule="auto"/>
        <w:ind w:left="567" w:right="843"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12.72.- Los servidores públicos que tengan bajo su responsabilidad la </w:t>
      </w:r>
      <w:r w:rsidDel="00000000" w:rsidR="00000000" w:rsidRPr="00000000">
        <w:rPr>
          <w:rFonts w:ascii="Palatino Linotype" w:cs="Palatino Linotype" w:eastAsia="Palatino Linotype" w:hAnsi="Palatino Linotype"/>
          <w:b w:val="1"/>
          <w:bCs w:val="1"/>
          <w:i w:val="1"/>
          <w:iCs w:val="1"/>
          <w:sz w:val="22"/>
          <w:szCs w:val="22"/>
          <w:rtl w:val="0"/>
        </w:rPr>
        <w:t xml:space="preserve">residencia y supervisión de obras públicas</w:t>
      </w:r>
      <w:r w:rsidDel="00000000" w:rsidR="00000000" w:rsidRPr="00000000">
        <w:rPr>
          <w:rFonts w:ascii="Palatino Linotype" w:cs="Palatino Linotype" w:eastAsia="Palatino Linotype" w:hAnsi="Palatino Linotype"/>
          <w:i w:val="1"/>
          <w:iCs w:val="1"/>
          <w:sz w:val="22"/>
          <w:szCs w:val="22"/>
          <w:rtl w:val="0"/>
        </w:rPr>
        <w:t xml:space="preserve"> y la revisión de precios unitarios, alzados y mixtos, además de contar con su título profesional y cédula legalmente expedidos, </w:t>
      </w:r>
      <w:r w:rsidDel="00000000" w:rsidR="00000000" w:rsidRPr="00000000">
        <w:rPr>
          <w:rFonts w:ascii="Palatino Linotype" w:cs="Palatino Linotype" w:eastAsia="Palatino Linotype" w:hAnsi="Palatino Linotype"/>
          <w:b w:val="1"/>
          <w:bCs w:val="1"/>
          <w:i w:val="1"/>
          <w:iCs w:val="1"/>
          <w:sz w:val="22"/>
          <w:szCs w:val="22"/>
          <w:rtl w:val="0"/>
        </w:rPr>
        <w:t xml:space="preserve">deberán acreditar el procedimiento de evaluación de confianza ante la Unidad Estatal de Certificación de Confianza de la Secretaría de la Contraloría, en términos del presente Capítulo.</w:t>
      </w:r>
    </w:p>
    <w:p w:rsidR="00000000" w:rsidDel="00000000" w:rsidP="00000000" w:rsidRDefault="00000000" w:rsidRPr="00000000" w14:paraId="000000A7">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secretario del ramo publicará la relación de los sujetos obligados en el periódico oficial "Gaceta del Gobierno", así como de los aptos en la página web.</w:t>
      </w:r>
    </w:p>
    <w:p w:rsidR="00000000" w:rsidDel="00000000" w:rsidP="00000000" w:rsidRDefault="00000000" w:rsidRPr="00000000" w14:paraId="000000A8">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9">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12.73.- Para facilitar el acceso al procedimiento de evaluación de confianza, la Secretaría del ramo deberá habilitarlo a la Secretaría de la Contraloría para que inicie el trámite correspondiente.</w:t>
      </w:r>
    </w:p>
    <w:p w:rsidR="00000000" w:rsidDel="00000000" w:rsidP="00000000" w:rsidRDefault="00000000" w:rsidRPr="00000000" w14:paraId="000000AA">
      <w:pPr>
        <w:spacing w:line="360" w:lineRule="auto"/>
        <w:ind w:left="567" w:right="843"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12.74.- Los servidores públicos obligados deberán presentar la Certificación de Confianza en los casos siguientes:</w:t>
      </w:r>
    </w:p>
    <w:p w:rsidR="00000000" w:rsidDel="00000000" w:rsidP="00000000" w:rsidRDefault="00000000" w:rsidRPr="00000000" w14:paraId="000000A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Por ingreso.</w:t>
      </w:r>
    </w:p>
    <w:p w:rsidR="00000000" w:rsidDel="00000000" w:rsidP="00000000" w:rsidRDefault="00000000" w:rsidRPr="00000000" w14:paraId="000000AC">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Reingreso.</w:t>
      </w:r>
    </w:p>
    <w:p w:rsidR="00000000" w:rsidDel="00000000" w:rsidP="00000000" w:rsidRDefault="00000000" w:rsidRPr="00000000" w14:paraId="000000AD">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Promoción.</w:t>
      </w:r>
    </w:p>
    <w:p w:rsidR="00000000" w:rsidDel="00000000" w:rsidP="00000000" w:rsidRDefault="00000000" w:rsidRPr="00000000" w14:paraId="000000AE">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Por permanencia.</w:t>
      </w:r>
    </w:p>
    <w:p w:rsidR="00000000" w:rsidDel="00000000" w:rsidP="00000000" w:rsidRDefault="00000000" w:rsidRPr="00000000" w14:paraId="000000AF">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incumplimiento de esta obligación será causa de responsabilidad administrativa en términos de la Ley de Responsabilidades Administrativas del Estado de México y Municipios, estarán impedidos para desarrollar funciones inherentes a este capítulo.</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Secretaría de la Contraloría establece lo siguiente: </w:t>
      </w:r>
    </w:p>
    <w:p w:rsidR="00000000" w:rsidDel="00000000" w:rsidP="00000000" w:rsidRDefault="00000000" w:rsidRPr="00000000" w14:paraId="000000B2">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25478" cy="3921622"/>
            <wp:effectExtent b="0" l="0" r="0" t="0"/>
            <wp:docPr descr="Interfaz de usuario gráfica, Texto, Aplicación, Correo electrónico&#10;&#10;El contenido generado por IA puede ser incorrecto." id="1287602991" name="image1.png"/>
            <a:graphic>
              <a:graphicData uri="http://schemas.openxmlformats.org/drawingml/2006/picture">
                <pic:pic>
                  <pic:nvPicPr>
                    <pic:cNvPr descr="Interfaz de usuario gráfica, Texto, Aplicación, Correo electrónico&#10;&#10;El contenido generado por IA puede ser incorrecto." id="0" name="image1.png"/>
                    <pic:cNvPicPr preferRelativeResize="0"/>
                  </pic:nvPicPr>
                  <pic:blipFill>
                    <a:blip r:embed="rId7"/>
                    <a:srcRect b="0" l="0" r="0" t="0"/>
                    <a:stretch>
                      <a:fillRect/>
                    </a:stretch>
                  </pic:blipFill>
                  <pic:spPr>
                    <a:xfrm>
                      <a:off x="0" y="0"/>
                      <a:ext cx="5725478" cy="392162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quien emite las certificaciones de residencia y supervisión de obra pública de servidores públicos del ambito estatal o municipal es un ente distinto al Colegio de Arquitectos del Estado de México, como puede ser la Secretaría de la Contraloría.</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desapercibido que el Titular de la Unidad de Transparencia turnó la solicitud a la Dirección de Obras Públicas, que de acuerdo al Reglamento Orgánico de la Administración Pública Municipal tiene las siguientes atribuciones: </w:t>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TÍTULO DÉCIMO TERCERO</w:t>
      </w:r>
    </w:p>
    <w:p w:rsidR="00000000" w:rsidDel="00000000" w:rsidP="00000000" w:rsidRDefault="00000000" w:rsidRPr="00000000" w14:paraId="000000B9">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Dirección de Obras Públicas</w:t>
      </w:r>
    </w:p>
    <w:p w:rsidR="00000000" w:rsidDel="00000000" w:rsidP="00000000" w:rsidRDefault="00000000" w:rsidRPr="00000000" w14:paraId="000000BA">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CAPÍTULO PRIMERO Competencia y Estructura Administrativa</w:t>
      </w:r>
    </w:p>
    <w:p w:rsidR="00000000" w:rsidDel="00000000" w:rsidP="00000000" w:rsidRDefault="00000000" w:rsidRPr="00000000" w14:paraId="000000B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13.1.- La Dirección de Obras Públicas tiene las atribuciones que le confieren la Ley Orgánica Municipal del Estado de México; el Libro Décimo Segundo del Código Administrativo del Estado de México; el Reglamento del Libro Décimo Segundo del Código Administrativo del Estado de México; el Bando Municipal de Chiconcuac; el presente Reglamento y las demás que le señalen otras disposiciones legales y normativas, las que serán ejercidas por medio de su titular y las áreas adscritas a la Dirección de Obras Públicas.</w:t>
      </w:r>
    </w:p>
    <w:p w:rsidR="00000000" w:rsidDel="00000000" w:rsidP="00000000" w:rsidRDefault="00000000" w:rsidRPr="00000000" w14:paraId="000000BC">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D">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13.2.- La Dirección de Obras Públicas, a través de su titular, tiene las siguientes atribuciones: </w:t>
      </w:r>
    </w:p>
    <w:p w:rsidR="00000000" w:rsidDel="00000000" w:rsidP="00000000" w:rsidRDefault="00000000" w:rsidRPr="00000000" w14:paraId="000000BE">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Inspeccionar, asistir técnicamente y apoyar en la realización de las obras públicas, que se autoricen en el Municipio, con la participación, en su caso, de las comunidades, en coordinación con los órganos auxiliares competentes. Asimismo, construirá y mejorará la obra de infraestructura y equipamiento urbano municipal; </w:t>
      </w:r>
    </w:p>
    <w:p w:rsidR="00000000" w:rsidDel="00000000" w:rsidP="00000000" w:rsidRDefault="00000000" w:rsidRPr="00000000" w14:paraId="000000BF">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Elaborar, actualizar y/o modificar el Programa Anual de Obras Públicas y el Programa Operativo Anual de conformidad con las prioridades, objetivos y lineamientos del Plan de Desarrollo Municipal vigente, los Planes de Desarrollo Federal y Estatal, y los Planes Metropolitanos, integrando en la medida de lo posible, la participación ciudadana; </w:t>
      </w:r>
    </w:p>
    <w:p w:rsidR="00000000" w:rsidDel="00000000" w:rsidP="00000000" w:rsidRDefault="00000000" w:rsidRPr="00000000" w14:paraId="000000C0">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Evaluar el cumplimiento del Programa Anual de Obras Públicas y el Programa Operativo Anual y el avance en la consecución de los objetivos del Plan de Desarrollo Municipal en la materia, en coordinación con la Unidad de Información, Planeación, Programación y Evaluación; </w:t>
      </w:r>
    </w:p>
    <w:p w:rsidR="00000000" w:rsidDel="00000000" w:rsidP="00000000" w:rsidRDefault="00000000" w:rsidRPr="00000000" w14:paraId="000000C1">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Licitar, concursar y adjudicar, según sea el caso, las obras públicas por contrato y los servicios relacionados con las mismas aprobadas en los programas anuales, previa autorización del Ayuntamiento de conformidad con la normatividad de la fuente de recursos y los montos aprobados; </w:t>
      </w:r>
    </w:p>
    <w:p w:rsidR="00000000" w:rsidDel="00000000" w:rsidP="00000000" w:rsidRDefault="00000000" w:rsidRPr="00000000" w14:paraId="000000C2">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Elaborar y validar el acuerdo correspondiente para su firma ante la Presidenta Municipal, en caso de obras por administración directa, conforme a la normatividad aplicable;</w:t>
      </w:r>
    </w:p>
    <w:p w:rsidR="00000000" w:rsidDel="00000000" w:rsidP="00000000" w:rsidRDefault="00000000" w:rsidRPr="00000000" w14:paraId="000000C3">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Elaborar los contratos de obra pública y gestionar el pago de anticipos conforme a la normatividad aplicable; </w:t>
      </w:r>
    </w:p>
    <w:p w:rsidR="00000000" w:rsidDel="00000000" w:rsidP="00000000" w:rsidRDefault="00000000" w:rsidRPr="00000000" w14:paraId="000000C4">
      <w:pPr>
        <w:spacing w:line="360" w:lineRule="auto"/>
        <w:ind w:left="567" w:right="843"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 Designar al Residente de Obra y hacer del conocimiento del mismo, a los contratistas adjudicados; </w:t>
      </w:r>
    </w:p>
    <w:p w:rsidR="00000000" w:rsidDel="00000000" w:rsidP="00000000" w:rsidRDefault="00000000" w:rsidRPr="00000000" w14:paraId="000000C5">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Validar las estimaciones de obra y gestionar los pagos correspondientes hasta el finiquito de las obras, así como aplicar las sanciones a que se hagan acreedores los contratistas, por incumplimiento de los términos pactados en coordinación con la Residencia de Obra; </w:t>
      </w:r>
    </w:p>
    <w:p w:rsidR="00000000" w:rsidDel="00000000" w:rsidP="00000000" w:rsidRDefault="00000000" w:rsidRPr="00000000" w14:paraId="000000C6">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Elaborar los estudios técnicos, sociales, de impacto ambiental y los proyectos ejecutivos de las obras públicas incluidas en los programas anuales; </w:t>
      </w:r>
    </w:p>
    <w:p w:rsidR="00000000" w:rsidDel="00000000" w:rsidP="00000000" w:rsidRDefault="00000000" w:rsidRPr="00000000" w14:paraId="000000C7">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 Ejecutar las obras públicas de los programas anuales aprobados, por administración o contrato; </w:t>
      </w:r>
    </w:p>
    <w:p w:rsidR="00000000" w:rsidDel="00000000" w:rsidP="00000000" w:rsidRDefault="00000000" w:rsidRPr="00000000" w14:paraId="000000C8">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 Elaborar las actas de entrega recepción de las obras concluidas de conformidad con las normas establecidas; </w:t>
      </w:r>
    </w:p>
    <w:p w:rsidR="00000000" w:rsidDel="00000000" w:rsidP="00000000" w:rsidRDefault="00000000" w:rsidRPr="00000000" w14:paraId="000000C9">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XII. Elaborar, resguardar y conservar toda la documentación comprobatoria que se genere por planeación, control, ejecución y entrega de obra pública dentro del expediente único de obra, el cual deberá conservarse dentro del archivo interno de la Dirección de Obras Públicas el tiempo que la normatividad indique; </w:t>
      </w:r>
    </w:p>
    <w:p w:rsidR="00000000" w:rsidDel="00000000" w:rsidP="00000000" w:rsidRDefault="00000000" w:rsidRPr="00000000" w14:paraId="000000CA">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XIII. Remitir al Archivo Municipal los expedientes únicos de obra cuya temporalidad por concepto de comprobación y/o fiscalización haya expirado y no se encuentren en proceso de verificación y/o investigación conforme a la normatividad aplicable; </w:t>
      </w:r>
    </w:p>
    <w:p w:rsidR="00000000" w:rsidDel="00000000" w:rsidP="00000000" w:rsidRDefault="00000000" w:rsidRPr="00000000" w14:paraId="000000C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XIV. Elaborar los proyectos ejecutivos y vigilar que los mismos contengan los elementos mínimos necesarios para la planeación y ejecución de la obra pública conforme a la normatividad aplicable; </w:t>
      </w:r>
    </w:p>
    <w:p w:rsidR="00000000" w:rsidDel="00000000" w:rsidP="00000000" w:rsidRDefault="00000000" w:rsidRPr="00000000" w14:paraId="000000CC">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XV. Construir obras viales e instalar los equipos y el señalamiento necesario para el control vial en coordinación con la Unidad de Transporte y Movilidad dentro del territorio municipal; </w:t>
      </w:r>
    </w:p>
    <w:p w:rsidR="00000000" w:rsidDel="00000000" w:rsidP="00000000" w:rsidRDefault="00000000" w:rsidRPr="00000000" w14:paraId="000000CD">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XVI. Gestionar la expropiación de predios cuando por causas de beneficio público sea necesario, apegándose siempre al marco legal aplicable en coordinación con otras dependencias federales, estatales y/o municipales; </w:t>
      </w:r>
    </w:p>
    <w:p w:rsidR="00000000" w:rsidDel="00000000" w:rsidP="00000000" w:rsidRDefault="00000000" w:rsidRPr="00000000" w14:paraId="000000CE">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XVII. Promover la participación de la ciudadanía, la iniciativa privada y los órdenes de gobierno, federal y estatal, en la ejecución de obras públicas conforme a la normatividad aplicable; </w:t>
      </w:r>
    </w:p>
    <w:p w:rsidR="00000000" w:rsidDel="00000000" w:rsidP="00000000" w:rsidRDefault="00000000" w:rsidRPr="00000000" w14:paraId="000000CF">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XVIII. Celebrar convenios con particulares, dependencias y organismos de los ámbitos de gobierno federal, estatal y de otros municipios, para la ejecución de obras públicas; </w:t>
      </w:r>
    </w:p>
    <w:p w:rsidR="00000000" w:rsidDel="00000000" w:rsidP="00000000" w:rsidRDefault="00000000" w:rsidRPr="00000000" w14:paraId="000000D0">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XIX. Integrar y mantener actualizado el padrón de contratistas del Municipio; </w:t>
      </w:r>
    </w:p>
    <w:p w:rsidR="00000000" w:rsidDel="00000000" w:rsidP="00000000" w:rsidRDefault="00000000" w:rsidRPr="00000000" w14:paraId="000000D1">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 Proyectar y ejecutar las obras públicas que realice para sí el Municipio, así como aquellas de reparación, adaptación y demolición de inmuebles propiedad del Municipio que le sean expresamente asignadas por el Ayuntamiento o la Presidenta Municipal; </w:t>
      </w:r>
    </w:p>
    <w:p w:rsidR="00000000" w:rsidDel="00000000" w:rsidP="00000000" w:rsidRDefault="00000000" w:rsidRPr="00000000" w14:paraId="000000D2">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 Participar activamente en el Comité Interno de Obras Públicas del Municipio de Chiconcuac, asesorando técnicamente a sus integrantes, a efecto de que el inicio, desarrollo y conclusión de los procesos licitatorios y las excepciones a los mismos, se realicen en estricto apego a los ordenamientos jurídicos correspondientes;</w:t>
      </w:r>
    </w:p>
    <w:p w:rsidR="00000000" w:rsidDel="00000000" w:rsidP="00000000" w:rsidRDefault="00000000" w:rsidRPr="00000000" w14:paraId="000000D3">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XXII. Construir, rehabilitar, mantener y/o conservar las avenidas, calles, callejones y banquetas conforme a los programas presupuestales autorizados para tal fin; </w:t>
      </w:r>
    </w:p>
    <w:p w:rsidR="00000000" w:rsidDel="00000000" w:rsidP="00000000" w:rsidRDefault="00000000" w:rsidRPr="00000000" w14:paraId="000000D4">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XXIII. Proponer al Ayuntamiento las normas relativas al ordenamiento y regulación del uso de calles, callejones y banquetas; y </w:t>
      </w:r>
    </w:p>
    <w:p w:rsidR="00000000" w:rsidDel="00000000" w:rsidP="00000000" w:rsidRDefault="00000000" w:rsidRPr="00000000" w14:paraId="000000D5">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XXIV. Las demás que le instruyan la Presidenta Municipal en el ejercicio de sus facultades, así como las que expresamente le otorguen otros ordenamientos jurídicos y/o administrativos. </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se aprecia, la Dirección de Obras Públicas, únicamente tiene entre sus atribuciones designar al residente de obra, no así, verificar si cuenta con certificaciones, o bien, integrar su expediente de personal, en consecuencia, se determina que no es la unidad administrativa competente. </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sentido, el Titular de la Unidad de Transparencia, en el informe justificado indicó que los servidores públicos se encuentran en proceso de certificación, solicitando la intervención del Comité de Transparencia.</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firstLine="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al haber turnado la solicitud a la Dirección de Obras Públicas y la Unidad de Transparencia es que se tiene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DC">
      <w:pPr>
        <w:spacing w:line="360" w:lineRule="auto"/>
        <w:ind w:firstLine="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DE">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DF">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E0">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E1">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E2">
      <w:pPr>
        <w:spacing w:after="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solicitud no se turnó a la unidad administrativa que cuentan con atribuciones para generar, administrar o poseer la información relacionada con el expediente de personal, por lo que no se acreditó la correcta búsqueda exhaustiva y razonable de la información.</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dicho lo anterior, es necesario traer a contexto el artículo 4.6 y 4.7 del Reglamento Orgánico de la Administración Municipal del Ayuntamiento de Chiconcuac, el cual dispone lo siguiente: </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CAPÍTULO SEGUNDO</w:t>
      </w:r>
    </w:p>
    <w:p w:rsidR="00000000" w:rsidDel="00000000" w:rsidP="00000000" w:rsidRDefault="00000000" w:rsidRPr="00000000" w14:paraId="000000E8">
      <w:pPr>
        <w:spacing w:line="360" w:lineRule="auto"/>
        <w:ind w:left="567" w:right="843"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la Unidad de Recursos Humanos</w:t>
      </w:r>
    </w:p>
    <w:p w:rsidR="00000000" w:rsidDel="00000000" w:rsidP="00000000" w:rsidRDefault="00000000" w:rsidRPr="00000000" w14:paraId="000000E9">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4.6.- La Unidad de Recursos Humanos, es la unidad administrativa encargada del reclutamiento, selección, observancia y vigilancia del personal humano que requiere y trabaja para la Administración Pública Municipal. </w:t>
      </w:r>
    </w:p>
    <w:p w:rsidR="00000000" w:rsidDel="00000000" w:rsidP="00000000" w:rsidRDefault="00000000" w:rsidRPr="00000000" w14:paraId="000000EA">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E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4.7.- La Unidad de Recursos Humanos, a través de su titular ejercerá las atribuciones, facultades y el cumplimiento de las obligaciones siguientes:</w:t>
      </w:r>
    </w:p>
    <w:p w:rsidR="00000000" w:rsidDel="00000000" w:rsidP="00000000" w:rsidRDefault="00000000" w:rsidRPr="00000000" w14:paraId="000000EC">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Integrar y resguardar los expedientes con la información de todo el personal que labora para la Administración Pública Municipal;</w:t>
      </w:r>
    </w:p>
    <w:p w:rsidR="00000000" w:rsidDel="00000000" w:rsidP="00000000" w:rsidRDefault="00000000" w:rsidRPr="00000000" w14:paraId="000000ED">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E">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Elaborar mecanismos de control para la selección, rotación y promoción del personal al servicio de la Administración Pública Municipal; </w:t>
      </w:r>
    </w:p>
    <w:p w:rsidR="00000000" w:rsidDel="00000000" w:rsidP="00000000" w:rsidRDefault="00000000" w:rsidRPr="00000000" w14:paraId="000000EF">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Seleccionar, contratar, capacitar, controlar y disciplinar al personal de la Administración Pública Municipal, proponiendo al Ayuntamiento los sueldos, salarios y las demás remuneraciones que deban percibir los servidores públicos municipales;</w:t>
      </w:r>
    </w:p>
    <w:p w:rsidR="00000000" w:rsidDel="00000000" w:rsidP="00000000" w:rsidRDefault="00000000" w:rsidRPr="00000000" w14:paraId="000000F0">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1">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XIII. Sera la Unidad encargada de notificar cualquier decisión tomada en Cabildo respecto de nombramientos, remociones y demás decisiones que tengan que ver con la relación laboral de los servidores públicos para con el Ayuntamiento;</w:t>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la unidad administrativa competente para conocer respecto a los expedientes de personal, así como de verificar que se cumplan las disposiciones normativas en material laboral en el Ayuntamiento de Chiconcuac es la Unidad de Recursos Humanos, por lo que se ORDENA al Sujeto Obligado a realizar una nueva búsqueda exhaustiva y razonable de la información a efecto de localizar y poner a disposición del Recurrente, las certificaciones de supervisores y residentes de Obra, emitidas por el Colegio de Arquitectos del Estado de México A.C a servidores públicos adscritos a la Dirección de Obras Públicas al veintisiete de junio de dos mil veinticinco. </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se debe enfatizar que el particular precisó que requiere </w:t>
      </w:r>
      <w:r w:rsidDel="00000000" w:rsidR="00000000" w:rsidRPr="00000000">
        <w:rPr>
          <w:rFonts w:ascii="Palatino Linotype" w:cs="Palatino Linotype" w:eastAsia="Palatino Linotype" w:hAnsi="Palatino Linotype"/>
          <w:b w:val="1"/>
          <w:bCs w:val="1"/>
          <w:sz w:val="22"/>
          <w:szCs w:val="22"/>
          <w:rtl w:val="0"/>
        </w:rPr>
        <w:t xml:space="preserve">las certificaciones del Colegio de Arquitectos del Estado de México A.C. </w:t>
      </w:r>
      <w:r w:rsidDel="00000000" w:rsidR="00000000" w:rsidRPr="00000000">
        <w:rPr>
          <w:rFonts w:ascii="Palatino Linotype" w:cs="Palatino Linotype" w:eastAsia="Palatino Linotype" w:hAnsi="Palatino Linotype"/>
          <w:sz w:val="22"/>
          <w:szCs w:val="22"/>
          <w:rtl w:val="0"/>
        </w:rPr>
        <w:t xml:space="preserve">Al respecto es necesario precisar que el colegio está integrado por arquitectos del Estado de México, comprometidos a crecer de forma profesional y gremial, aportando capacitaciones y certificaciones a los colegas arquitectos y futuros arquitectos, además señala:</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Desde su creación, el Colegio ha tenido como propósito fundamental promover el intercambio de ideas y experiencias profesionales, fomentando la capacitación constante de sus integrantes mediante talleres, cursos y certificaciones.</w:t>
      </w:r>
    </w:p>
    <w:p w:rsidR="00000000" w:rsidDel="00000000" w:rsidP="00000000" w:rsidRDefault="00000000" w:rsidRPr="00000000" w14:paraId="000000F8">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F9">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 estas acciones, se busca impulsar el desarrollo de los arquitectos y de todos aquellos vinculados con el ámbito de la arquitectura y la construcción, contribuyendo así al crecimiento del gremio.</w:t>
      </w:r>
    </w:p>
    <w:p w:rsidR="00000000" w:rsidDel="00000000" w:rsidP="00000000" w:rsidRDefault="00000000" w:rsidRPr="00000000" w14:paraId="000000F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Colegio de Arquitectos del Estado de México ofrece diversos cursos y capacitaciones dirigidos a Arquitectos, entre los cursos que ofertan son los siguientes:</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Pr>
        <w:drawing>
          <wp:inline distB="0" distT="0" distL="0" distR="0">
            <wp:extent cx="5487107" cy="4390899"/>
            <wp:effectExtent b="0" l="0" r="0" t="0"/>
            <wp:docPr descr="Una captura de pantalla de una red social&#10;&#10;El contenido generado por IA puede ser incorrecto." id="1287602992" name="image3.png"/>
            <a:graphic>
              <a:graphicData uri="http://schemas.openxmlformats.org/drawingml/2006/picture">
                <pic:pic>
                  <pic:nvPicPr>
                    <pic:cNvPr descr="Una captura de pantalla de una red social&#10;&#10;El contenido generado por IA puede ser incorrecto." id="0" name="image3.png"/>
                    <pic:cNvPicPr preferRelativeResize="0"/>
                  </pic:nvPicPr>
                  <pic:blipFill>
                    <a:blip r:embed="rId8"/>
                    <a:srcRect b="0" l="0" r="0" t="0"/>
                    <a:stretch>
                      <a:fillRect/>
                    </a:stretch>
                  </pic:blipFill>
                  <pic:spPr>
                    <a:xfrm>
                      <a:off x="0" y="0"/>
                      <a:ext cx="5487107" cy="4390899"/>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como se ha mencionado en líneas anteriores, la certificación exigible a la que hace referencia la normatividad en materia de obra pública no es la emitida por el Colegio de Referencia; sin embargo, al haber señalado puntualmente el particular que requiere la certificación emitida por el Colegio referido, es que el Sujeto Obligado debe realizar una búsqueda exhaustiva y razonable, a efecto de localizar y poner a disposición del Recurrente las certificaciones de residentes y supervisores de obra por el Colegio de Arquitectos del Estado de México a servidores públicos adscritos a la Dirección de Obras Públicas.</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como resultado de la búsqueda exhaustiva y razonable de la información, se determina que esta no obra en los archivos del Sujeto Obligado por no haberse administrado o poseído, bastará con que así lo haga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manera clara y precisa, en términos del artículo 19, párrafo segundo de la Ley de Transparencia y Acceso a la Información pública del Estado de México y Municipios.</w:t>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Finalmente, respecto de las manifestaciones realizadas por el Recurrente como razones o motivos de inconformidad, consistentes en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“…derivado de lo anterior es mas que evidente que el actual director de obras publicas oculta información de carácter publico y esta incurriendo en una falta administrativa por lo que solicito que se de vista a la contraloría municipal del h. ayuntamiento de Chiconcuac para que inicie lo que a derecho corresponda.” (sic)</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y derivado que el Recurso de Revisión no es el medio para sancionar, este Organismo Garante sugiere a la persona solicitante, interponer su queja o denuncia ante la autoridad competente.</w:t>
      </w: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w:t>
      </w:r>
      <w:r w:rsidDel="00000000" w:rsidR="00000000" w:rsidRPr="00000000">
        <w:rPr>
          <w:rFonts w:ascii="Palatino Linotype" w:cs="Palatino Linotype" w:eastAsia="Palatino Linotype" w:hAnsi="Palatino Linotype"/>
          <w:sz w:val="22"/>
          <w:szCs w:val="22"/>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menoscabo al derecho a la protección de los datos personales de terceros.</w:t>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109">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A">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0B">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10C">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 Información confidencial: </w:t>
      </w:r>
      <w:r w:rsidDel="00000000" w:rsidR="00000000" w:rsidRPr="00000000">
        <w:rPr>
          <w:rFonts w:ascii="Palatino Linotype" w:cs="Palatino Linotype" w:eastAsia="Palatino Linotype" w:hAnsi="Palatino Linotype"/>
          <w:i w:val="1"/>
          <w:iCs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0D">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0E">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1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111">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p>
    <w:p w:rsidR="00000000" w:rsidDel="00000000" w:rsidP="00000000" w:rsidRDefault="00000000" w:rsidRPr="00000000" w14:paraId="00000112">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 autoridad competente; o</w:t>
      </w:r>
    </w:p>
    <w:p w:rsidR="00000000" w:rsidDel="00000000" w:rsidP="00000000" w:rsidRDefault="00000000" w:rsidRPr="00000000" w14:paraId="00000113">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14">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1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16">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1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18">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1A">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rsidR="00000000" w:rsidDel="00000000" w:rsidP="00000000" w:rsidRDefault="00000000" w:rsidRPr="00000000" w14:paraId="0000011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“Quincuagésimo. </w:t>
      </w:r>
      <w:r w:rsidDel="00000000" w:rsidR="00000000" w:rsidRPr="00000000">
        <w:rPr>
          <w:rFonts w:ascii="Palatino Linotype" w:cs="Palatino Linotype" w:eastAsia="Palatino Linotype" w:hAnsi="Palatino Linotype"/>
          <w:i w:val="1"/>
          <w:iCs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 </w:t>
      </w:r>
      <w:r w:rsidDel="00000000" w:rsidR="00000000" w:rsidRPr="00000000">
        <w:rPr>
          <w:rFonts w:ascii="Palatino Linotype" w:cs="Palatino Linotype" w:eastAsia="Palatino Linotype" w:hAnsi="Palatino Linotype"/>
          <w:i w:val="1"/>
          <w:iCs w:val="1"/>
          <w:sz w:val="22"/>
          <w:szCs w:val="22"/>
          <w:rtl w:val="0"/>
        </w:rPr>
        <w:t xml:space="preserve">Toda acta del Comité de Transparencia deberá contener: </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El número de sesión y fecha; </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del área que solicitó la clasificación de información;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fundamentación legal y motivación correspondiente;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La resolución o resoluciones aprobadas; y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rúbrica o firma digital de cada integrante del Comité de Transparencia.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Los motivos y razonamientos que sustenten la confirmación o modificación de la prueba de daño;</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El periodo por el que mantendrá su clasificación y fecha de expiración; y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nombre del titular y área encargada de realizar la versión pública del documento, en su caso.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2B">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2C">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2D">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2E">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2F">
      <w:pPr>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Señalar las personas o instancias autorizadas a acceder a la información clasificada.</w:t>
      </w:r>
    </w:p>
    <w:p w:rsidR="00000000" w:rsidDel="00000000" w:rsidP="00000000" w:rsidRDefault="00000000" w:rsidRPr="00000000" w14:paraId="00000130">
      <w:pPr>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 </w:t>
      </w:r>
      <w:r w:rsidDel="00000000" w:rsidR="00000000" w:rsidRPr="00000000">
        <w:rPr>
          <w:rFonts w:ascii="Palatino Linotype" w:cs="Palatino Linotype" w:eastAsia="Palatino Linotype" w:hAnsi="Palatino Linotype"/>
          <w:i w:val="1"/>
          <w:iCs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133">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 </w:t>
      </w:r>
      <w:r w:rsidDel="00000000" w:rsidR="00000000" w:rsidRPr="00000000">
        <w:rPr>
          <w:rFonts w:ascii="Palatino Linotype" w:cs="Palatino Linotype" w:eastAsia="Palatino Linotype" w:hAnsi="Palatino Linotype"/>
          <w:i w:val="1"/>
          <w:iCs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34">
      <w:pPr>
        <w:spacing w:after="120" w:before="120" w:lineRule="auto"/>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135">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36">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37">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38">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39">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3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octavo</w:t>
      </w:r>
      <w:r w:rsidDel="00000000" w:rsidR="00000000" w:rsidRPr="00000000">
        <w:rPr>
          <w:rFonts w:ascii="Palatino Linotype" w:cs="Palatino Linotype" w:eastAsia="Palatino Linotype" w:hAnsi="Palatino Linotype"/>
          <w:i w:val="1"/>
          <w:iCs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parcialmente fundados </w:t>
      </w:r>
      <w:r w:rsidDel="00000000" w:rsidR="00000000" w:rsidRPr="00000000">
        <w:rPr>
          <w:rFonts w:ascii="Palatino Linotype" w:cs="Palatino Linotype" w:eastAsia="Palatino Linotype" w:hAnsi="Palatino Linotype"/>
          <w:sz w:val="22"/>
          <w:szCs w:val="22"/>
          <w:rtl w:val="0"/>
        </w:rPr>
        <w:t xml:space="preserve">los motivos de inconformidad hechos valer por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w:t>
      </w:r>
      <w:r w:rsidDel="00000000" w:rsidR="00000000" w:rsidRPr="00000000">
        <w:rPr>
          <w:rFonts w:ascii="Palatino Linotype" w:cs="Palatino Linotype" w:eastAsia="Palatino Linotype" w:hAnsi="Palatino Linotype"/>
          <w:b w:val="1"/>
          <w:bCs w:val="1"/>
          <w:sz w:val="22"/>
          <w:szCs w:val="22"/>
          <w:rtl w:val="0"/>
        </w:rPr>
        <w:t xml:space="preserve"> 09394/INFOEM/IP/RR/2025, </w:t>
      </w:r>
      <w:r w:rsidDel="00000000" w:rsidR="00000000" w:rsidRPr="00000000">
        <w:rPr>
          <w:rFonts w:ascii="Palatino Linotype" w:cs="Palatino Linotype" w:eastAsia="Palatino Linotype" w:hAnsi="Palatino Linotype"/>
          <w:sz w:val="22"/>
          <w:szCs w:val="22"/>
          <w:rtl w:val="0"/>
        </w:rPr>
        <w:t xml:space="preserve">por lo que</w:t>
      </w:r>
      <w:r w:rsidDel="00000000" w:rsidR="00000000" w:rsidRPr="00000000">
        <w:rPr>
          <w:rFonts w:ascii="Palatino Linotype" w:cs="Palatino Linotype" w:eastAsia="Palatino Linotype" w:hAnsi="Palatino Linotype"/>
          <w:b w:val="1"/>
          <w:bCs w:val="1"/>
          <w:sz w:val="22"/>
          <w:szCs w:val="22"/>
          <w:rtl w:val="0"/>
        </w:rPr>
        <w:t xml:space="preserve">, en términos del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se REVOCA l</w:t>
      </w:r>
      <w:r w:rsidDel="00000000" w:rsidR="00000000" w:rsidRPr="00000000">
        <w:rPr>
          <w:rFonts w:ascii="Palatino Linotype" w:cs="Palatino Linotype" w:eastAsia="Palatino Linotype" w:hAnsi="Palatino Linotype"/>
          <w:sz w:val="22"/>
          <w:szCs w:val="22"/>
          <w:rtl w:val="0"/>
        </w:rPr>
        <w:t xml:space="preserve">a respuesta del</w:t>
      </w:r>
      <w:r w:rsidDel="00000000" w:rsidR="00000000" w:rsidRPr="00000000">
        <w:rPr>
          <w:rFonts w:ascii="Palatino Linotype" w:cs="Palatino Linotype" w:eastAsia="Palatino Linotype" w:hAnsi="Palatino Linotype"/>
          <w:b w:val="1"/>
          <w:bCs w:val="1"/>
          <w:sz w:val="22"/>
          <w:szCs w:val="22"/>
          <w:rtl w:val="0"/>
        </w:rPr>
        <w:t xml:space="preserve"> Sujeto Obligado.</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b w:val="1"/>
          <w:bCs w:val="1"/>
          <w:sz w:val="22"/>
          <w:szCs w:val="22"/>
        </w:rPr>
      </w:pPr>
      <w:bookmarkStart w:colFirst="0" w:colLast="0" w:name="_heading=h.j3ppyxwlb1s2" w:id="2"/>
      <w:bookmarkEnd w:id="2"/>
      <w:r w:rsidDel="00000000" w:rsidR="00000000" w:rsidRPr="00000000">
        <w:rPr>
          <w:rFonts w:ascii="Palatino Linotype" w:cs="Palatino Linotype" w:eastAsia="Palatino Linotype" w:hAnsi="Palatino Linotype"/>
          <w:b w:val="1"/>
          <w:bCs w:val="1"/>
          <w:sz w:val="22"/>
          <w:szCs w:val="22"/>
          <w:rtl w:val="0"/>
        </w:rPr>
        <w:t xml:space="preserve">Segundo. Se Ordena al Sujeto Obligado </w:t>
      </w:r>
      <w:r w:rsidDel="00000000" w:rsidR="00000000" w:rsidRPr="00000000">
        <w:rPr>
          <w:rFonts w:ascii="Palatino Linotype" w:cs="Palatino Linotype" w:eastAsia="Palatino Linotype" w:hAnsi="Palatino Linotype"/>
          <w:sz w:val="22"/>
          <w:szCs w:val="22"/>
          <w:rtl w:val="0"/>
        </w:rPr>
        <w:t xml:space="preserve">que en términos de los</w:t>
      </w:r>
      <w:r w:rsidDel="00000000" w:rsidR="00000000" w:rsidRPr="00000000">
        <w:rPr>
          <w:rFonts w:ascii="Palatino Linotype" w:cs="Palatino Linotype" w:eastAsia="Palatino Linotype" w:hAnsi="Palatino Linotype"/>
          <w:b w:val="1"/>
          <w:bCs w:val="1"/>
          <w:sz w:val="22"/>
          <w:szCs w:val="22"/>
          <w:rtl w:val="0"/>
        </w:rPr>
        <w:t xml:space="preserve"> Considerandos Cuarto y Quinto </w:t>
      </w:r>
      <w:r w:rsidDel="00000000" w:rsidR="00000000" w:rsidRPr="00000000">
        <w:rPr>
          <w:rFonts w:ascii="Palatino Linotype" w:cs="Palatino Linotype" w:eastAsia="Palatino Linotype" w:hAnsi="Palatino Linotype"/>
          <w:sz w:val="22"/>
          <w:szCs w:val="22"/>
          <w:rtl w:val="0"/>
        </w:rPr>
        <w:t xml:space="preserve">de esta resolución, haga entrega a </w:t>
      </w:r>
      <w:r w:rsidDel="00000000" w:rsidR="00000000" w:rsidRPr="00000000">
        <w:rPr>
          <w:rFonts w:ascii="Palatino Linotype" w:cs="Palatino Linotype" w:eastAsia="Palatino Linotype" w:hAnsi="Palatino Linotype"/>
          <w:b w:val="1"/>
          <w:bCs w:val="1"/>
          <w:sz w:val="22"/>
          <w:szCs w:val="22"/>
          <w:rtl w:val="0"/>
        </w:rPr>
        <w:t xml:space="preserve">la parte Recurrente a través del SAIMEX, de ser el caso en versión pública, </w:t>
      </w:r>
      <w:r w:rsidDel="00000000" w:rsidR="00000000" w:rsidRPr="00000000">
        <w:rPr>
          <w:rFonts w:ascii="Palatino Linotype" w:cs="Palatino Linotype" w:eastAsia="Palatino Linotype" w:hAnsi="Palatino Linotype"/>
          <w:sz w:val="22"/>
          <w:szCs w:val="22"/>
          <w:rtl w:val="0"/>
        </w:rPr>
        <w:t xml:space="preserve">la siguiente información:</w:t>
      </w:r>
      <w:r w:rsidDel="00000000" w:rsidR="00000000" w:rsidRPr="00000000">
        <w:rPr>
          <w:rtl w:val="0"/>
        </w:rPr>
      </w:r>
    </w:p>
    <w:p w:rsidR="00000000" w:rsidDel="00000000" w:rsidP="00000000" w:rsidRDefault="00000000" w:rsidRPr="00000000" w14:paraId="0000013F">
      <w:pPr>
        <w:numPr>
          <w:ilvl w:val="0"/>
          <w:numId w:val="4"/>
        </w:numPr>
        <w:pBdr>
          <w:top w:space="0" w:sz="0" w:val="nil"/>
          <w:left w:space="0" w:sz="0" w:val="nil"/>
          <w:bottom w:space="0" w:sz="0" w:val="nil"/>
          <w:right w:space="0" w:sz="0" w:val="nil"/>
          <w:between w:space="0" w:sz="0" w:val="nil"/>
        </w:pBdr>
        <w:spacing w:line="360" w:lineRule="auto"/>
        <w:ind w:left="567" w:right="49"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Certificaciones de Supervisor o Residente de Obra, emitidas por el Colegio de Arquitectos del Estado de México A.C a los servidores públicos adscritos a la Dirección de Obras Públicas en funciones al veintisiete de junio de dos mil veinticinco.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left="567" w:right="49"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ind w:left="284"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left="284"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ind w:left="284" w:right="5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ser el caso de que no se cuente con la información que se ordena entregar por no haberse administrado o poseído, bastará con que así lo haga del conocimiento de la parte </w:t>
      </w:r>
      <w:r w:rsidDel="00000000" w:rsidR="00000000" w:rsidRPr="00000000">
        <w:rPr>
          <w:rFonts w:ascii="Palatino Linotype" w:cs="Palatino Linotype" w:eastAsia="Palatino Linotype" w:hAnsi="Palatino Linotype"/>
          <w:b w:val="1"/>
          <w:bCs w:val="1"/>
          <w:i w:val="1"/>
          <w:iCs w:val="1"/>
          <w:sz w:val="22"/>
          <w:szCs w:val="22"/>
          <w:rtl w:val="0"/>
        </w:rPr>
        <w:t xml:space="preserve">Recurrente</w:t>
      </w:r>
      <w:r w:rsidDel="00000000" w:rsidR="00000000" w:rsidRPr="00000000">
        <w:rPr>
          <w:rFonts w:ascii="Palatino Linotype" w:cs="Palatino Linotype" w:eastAsia="Palatino Linotype" w:hAnsi="Palatino Linotype"/>
          <w:i w:val="1"/>
          <w:iCs w:val="1"/>
          <w:sz w:val="22"/>
          <w:szCs w:val="22"/>
          <w:rtl w:val="0"/>
        </w:rPr>
        <w:t xml:space="preserve">, de manera clara y precisa, en términos del artículo 19, párrafo segundo de la Ley de Transparencia y Acceso a la Información pública del Estado de México y Municipios.</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46">
      <w:pPr>
        <w:spacing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bCs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bCs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1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ind w:right="-93"/>
        <w:jc w:val="both"/>
        <w:rPr>
          <w:rFonts w:ascii="Palatino Linotype" w:cs="Palatino Linotype" w:eastAsia="Palatino Linotype" w:hAnsi="Palatino Linotype"/>
          <w:sz w:val="22"/>
          <w:szCs w:val="22"/>
        </w:rPr>
      </w:pPr>
      <w:bookmarkStart w:colFirst="0" w:colLast="0" w:name="_heading=h.jl0dlasot4f" w:id="4"/>
      <w:bookmarkEnd w:id="4"/>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rsidR="00000000" w:rsidDel="00000000" w:rsidP="00000000" w:rsidRDefault="00000000" w:rsidRPr="00000000" w14:paraId="0000014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-401952</wp:posOffset>
          </wp:positionV>
          <wp:extent cx="7809876" cy="10165823"/>
          <wp:effectExtent b="0" l="0" r="0" t="0"/>
          <wp:wrapNone/>
          <wp:docPr id="128760298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Recurso de Revisión:</w:t>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09394/INFOEM/IP/RR/2025</w:t>
          </w:r>
        </w:p>
      </w:tc>
    </w:tr>
    <w:tr>
      <w:trPr>
        <w:cantSplit w:val="0"/>
        <w:trHeight w:val="217" w:hRule="atLeast"/>
        <w:tblHeader w:val="0"/>
      </w:trPr>
      <w:tc>
        <w:tcPr>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Sujeto obligado:</w:t>
          </w:r>
        </w:p>
      </w:tc>
      <w:tc>
        <w:tcPr>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Ayuntamiento de Chiconcuac</w:t>
          </w:r>
        </w:p>
      </w:tc>
    </w:tr>
    <w:tr>
      <w:trPr>
        <w:cantSplit w:val="0"/>
        <w:tblHeader w:val="0"/>
      </w:trPr>
      <w:tc>
        <w:tcPr>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Comisionada ponente:</w:t>
          </w:r>
        </w:p>
      </w:tc>
      <w:tc>
        <w:tcPr>
          <w:vAlign w:val="center"/>
        </w:tcPr>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Guadalupe Ramírez Peña</w:t>
          </w:r>
        </w:p>
      </w:tc>
    </w:tr>
  </w:tb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-929003</wp:posOffset>
          </wp:positionH>
          <wp:positionV relativeFrom="paragraph">
            <wp:posOffset>-644523</wp:posOffset>
          </wp:positionV>
          <wp:extent cx="7809865" cy="10165715"/>
          <wp:effectExtent b="0" l="0" r="0" t="0"/>
          <wp:wrapNone/>
          <wp:docPr id="128760299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461.0" w:type="dxa"/>
      <w:jc w:val="left"/>
      <w:tblInd w:w="3611.0" w:type="dxa"/>
      <w:tblLayout w:type="fixed"/>
      <w:tblLook w:val="0400"/>
    </w:tblPr>
    <w:tblGrid>
      <w:gridCol w:w="2343"/>
      <w:gridCol w:w="3118"/>
      <w:tblGridChange w:id="0">
        <w:tblGrid>
          <w:gridCol w:w="2343"/>
          <w:gridCol w:w="3118"/>
        </w:tblGrid>
      </w:tblGridChange>
    </w:tblGrid>
    <w:tr>
      <w:trPr>
        <w:cantSplit w:val="0"/>
        <w:tblHeader w:val="0"/>
      </w:trPr>
      <w:tc>
        <w:tcP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Recurso de Revisión:</w:t>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2"/>
              <w:szCs w:val="22"/>
              <w:rtl w:val="0"/>
            </w:rPr>
            <w:t xml:space="preserve">09394/INFOEM/IP/RR/2025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Recurrente:</w:t>
          </w:r>
        </w:p>
      </w:tc>
      <w:tc>
        <w:tcPr>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XXXX XXXXXXX XXXXXXXX </w:t>
          </w:r>
        </w:p>
      </w:tc>
    </w:tr>
    <w:tr>
      <w:trPr>
        <w:cantSplit w:val="0"/>
        <w:trHeight w:val="152" w:hRule="atLeast"/>
        <w:tblHeader w:val="0"/>
      </w:trPr>
      <w:tc>
        <w:tcPr>
          <w:vAlign w:val="center"/>
        </w:tcPr>
        <w:p w:rsidR="00000000" w:rsidDel="00000000" w:rsidP="00000000" w:rsidRDefault="00000000" w:rsidRPr="00000000" w14:paraId="00000171">
          <w:pP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Sujeto obligado:</w:t>
          </w:r>
        </w:p>
        <w:p w:rsidR="00000000" w:rsidDel="00000000" w:rsidP="00000000" w:rsidRDefault="00000000" w:rsidRPr="00000000" w14:paraId="00000172">
          <w:pP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2"/>
              <w:szCs w:val="22"/>
              <w:rtl w:val="0"/>
            </w:rPr>
            <w:t xml:space="preserve">Ayuntamiento de Chiconcuac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Comisionada ponente:</w:t>
          </w:r>
        </w:p>
      </w:tc>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Guadalupe Ramírez Peña</w:t>
          </w:r>
        </w:p>
      </w:tc>
    </w:tr>
  </w:tbl>
  <w:p w:rsidR="00000000" w:rsidDel="00000000" w:rsidP="00000000" w:rsidRDefault="00000000" w:rsidRPr="00000000" w14:paraId="00000176">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927" w:hanging="360"/>
      </w:pPr>
      <w:rPr>
        <w:b w:val="1"/>
        <w:bCs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C1F2B"/>
    <w:rPr>
      <w:vertAlign w:val="superscript"/>
    </w:rPr>
  </w:style>
  <w:style w:type="character" w:styleId="PuestoCar" w:customStyle="1">
    <w:name w:val="Puesto Car"/>
    <w:aliases w:val="Cita textual Car"/>
    <w:basedOn w:val="Fuentedeprrafopredeter"/>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top w:w="15.0" w:type="dxa"/>
        <w:left w:w="115.0" w:type="dxa"/>
        <w:bottom w:w="15.0" w:type="dxa"/>
        <w:right w:w="115.0" w:type="dxa"/>
      </w:tblCellMar>
    </w:tblPr>
  </w:style>
  <w:style w:type="table" w:styleId="aa" w:customStyle="1">
    <w:basedOn w:val="TableNormal3"/>
    <w:tblPr>
      <w:tblStyleRowBandSize w:val="1"/>
      <w:tblStyleColBandSize w:val="1"/>
      <w:tblCellMar>
        <w:top w:w="15.0" w:type="dxa"/>
        <w:left w:w="115.0" w:type="dxa"/>
        <w:bottom w:w="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08.0" w:type="dxa"/>
        <w:right w:w="108.0" w:type="dxa"/>
      </w:tblCellMar>
    </w:tblPr>
  </w:style>
  <w:style w:type="table" w:styleId="af0" w:customStyle="1">
    <w:basedOn w:val="TableNormal2"/>
    <w:tblPr>
      <w:tblStyleRowBandSize w:val="1"/>
      <w:tblStyleColBandSize w:val="1"/>
      <w:tblCellMar>
        <w:left w:w="108.0" w:type="dxa"/>
        <w:right w:w="108.0" w:type="dxa"/>
      </w:tblCellMar>
    </w:tblPr>
  </w:style>
  <w:style w:type="table" w:styleId="af1" w:customStyle="1">
    <w:basedOn w:val="TableNormal2"/>
    <w:tblPr>
      <w:tblStyleRowBandSize w:val="1"/>
      <w:tblStyleColBandSize w:val="1"/>
      <w:tblCellMar>
        <w:top w:w="15.0" w:type="dxa"/>
        <w:left w:w="115.0" w:type="dxa"/>
        <w:bottom w:w="15.0" w:type="dxa"/>
        <w:right w:w="115.0" w:type="dxa"/>
      </w:tblCellMar>
    </w:tblPr>
  </w:style>
  <w:style w:type="table" w:styleId="af2" w:customStyle="1">
    <w:basedOn w:val="TableNormal2"/>
    <w:tblPr>
      <w:tblStyleRowBandSize w:val="1"/>
      <w:tblStyleColBandSize w:val="1"/>
      <w:tblCellMar>
        <w:top w:w="15.0" w:type="dxa"/>
        <w:left w:w="115.0" w:type="dxa"/>
        <w:bottom w:w="15.0" w:type="dxa"/>
        <w:right w:w="115.0" w:type="dxa"/>
      </w:tblCellMar>
    </w:tblPr>
  </w:style>
  <w:style w:type="character" w:styleId="Textoennegrita">
    <w:name w:val="Strong"/>
    <w:basedOn w:val="Fuentedeprrafopredeter"/>
    <w:uiPriority w:val="22"/>
    <w:qFormat w:val="1"/>
    <w:rsid w:val="00AC6527"/>
    <w:rPr>
      <w:b w:val="1"/>
      <w:bCs w:val="1"/>
    </w:rPr>
  </w:style>
  <w:style w:type="character" w:styleId="apple-tab-span" w:customStyle="1">
    <w:name w:val="apple-tab-span"/>
    <w:basedOn w:val="Fuentedeprrafopredeter"/>
    <w:rsid w:val="00EB58F7"/>
  </w:style>
  <w:style w:type="paragraph" w:styleId="Listaconvietas3">
    <w:name w:val="List Bullet 3"/>
    <w:basedOn w:val="Normal"/>
    <w:uiPriority w:val="99"/>
    <w:unhideWhenUsed w:val="1"/>
    <w:rsid w:val="00AF720B"/>
    <w:pPr>
      <w:numPr>
        <w:numId w:val="1"/>
      </w:numPr>
      <w:contextualSpacing w:val="1"/>
    </w:p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top w:w="15.0" w:type="dxa"/>
        <w:left w:w="115.0" w:type="dxa"/>
        <w:bottom w:w="15.0" w:type="dxa"/>
        <w:right w:w="115.0" w:type="dxa"/>
      </w:tblCellMar>
    </w:tblPr>
  </w:style>
  <w:style w:type="table" w:styleId="af5" w:customStyle="1">
    <w:basedOn w:val="TableNormal1"/>
    <w:tblPr>
      <w:tblStyleRowBandSize w:val="1"/>
      <w:tblStyleColBandSize w:val="1"/>
      <w:tblCellMar>
        <w:top w:w="15.0" w:type="dxa"/>
        <w:left w:w="115.0" w:type="dxa"/>
        <w:bottom w:w="15.0" w:type="dxa"/>
        <w:right w:w="115.0" w:type="dxa"/>
      </w:tblCellMar>
    </w:tblPr>
  </w:style>
  <w:style w:type="paragraph" w:styleId="Listaconvietas">
    <w:name w:val="List Bullet"/>
    <w:basedOn w:val="Normal"/>
    <w:uiPriority w:val="99"/>
    <w:unhideWhenUsed w:val="1"/>
    <w:rsid w:val="00E97D6F"/>
    <w:pPr>
      <w:numPr>
        <w:numId w:val="4"/>
      </w:numPr>
      <w:contextualSpacing w:val="1"/>
    </w:pPr>
    <w:rPr>
      <w:lang w:val="es-ES"/>
    </w:rPr>
  </w:style>
  <w:style w:type="character" w:styleId="Mencinsinresolver4" w:customStyle="1">
    <w:name w:val="Mención sin resolver4"/>
    <w:basedOn w:val="Fuentedeprrafopredeter"/>
    <w:uiPriority w:val="99"/>
    <w:semiHidden w:val="1"/>
    <w:unhideWhenUsed w:val="1"/>
    <w:rsid w:val="00E8288F"/>
    <w:rPr>
      <w:color w:val="605e5c"/>
      <w:shd w:color="auto" w:fill="e1dfdd" w:val="clear"/>
    </w:rPr>
  </w:style>
  <w:style w:type="paragraph" w:styleId="xgmail-msonormal" w:customStyle="1">
    <w:name w:val="x_gmail-msonormal"/>
    <w:basedOn w:val="Normal"/>
    <w:rsid w:val="009B2050"/>
    <w:pPr>
      <w:spacing w:after="100" w:afterAutospacing="1" w:before="100" w:beforeAutospacing="1"/>
    </w:pPr>
    <w:rPr>
      <w:lang w:eastAsia="en-US" w:val="en-US"/>
    </w:rPr>
  </w:style>
  <w:style w:type="table" w:styleId="11" w:customStyle="1">
    <w:name w:val="11"/>
    <w:basedOn w:val="Tablanormal"/>
    <w:rsid w:val="0087332C"/>
    <w:rPr>
      <w:lang w:val="es-ES"/>
    </w:rPr>
    <w:tblPr>
      <w:tblStyleRowBandSize w:val="1"/>
      <w:tblStyleColBandSize w:val="1"/>
      <w:tblInd w:w="0.0" w:type="nil"/>
      <w:tblCellMar>
        <w:left w:w="115.0" w:type="dxa"/>
        <w:right w:w="115.0" w:type="dxa"/>
      </w:tblCellMar>
    </w:tblPr>
  </w:style>
  <w:style w:type="table" w:styleId="10" w:customStyle="1">
    <w:name w:val="10"/>
    <w:basedOn w:val="Tablanormal"/>
    <w:rsid w:val="0087332C"/>
    <w:rPr>
      <w:lang w:val="es-ES"/>
    </w:rPr>
    <w:tblPr>
      <w:tblStyleRowBandSize w:val="1"/>
      <w:tblStyleColBandSize w:val="1"/>
      <w:tblInd w:w="0.0" w:type="nil"/>
      <w:tblCellMar>
        <w:left w:w="115.0" w:type="dxa"/>
        <w:right w:w="115.0" w:type="dxa"/>
      </w:tblCellMar>
    </w:tblPr>
  </w:style>
  <w:style w:type="table" w:styleId="af6" w:customStyle="1">
    <w:basedOn w:val="TableNormal0"/>
    <w:tblPr>
      <w:tblStyleRowBandSize w:val="1"/>
      <w:tblStyleColBandSize w:val="1"/>
      <w:tblCellMar>
        <w:top w:w="15.0" w:type="dxa"/>
        <w:left w:w="115.0" w:type="dxa"/>
        <w:bottom w:w="15.0" w:type="dxa"/>
        <w:right w:w="115.0" w:type="dxa"/>
      </w:tblCellMar>
    </w:tblPr>
  </w:style>
  <w:style w:type="table" w:styleId="af7" w:customStyle="1">
    <w:basedOn w:val="TableNormal0"/>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99"/>
    <w:unhideWhenUsed w:val="1"/>
    <w:rsid w:val="00FB389B"/>
    <w:pPr>
      <w:spacing w:after="120"/>
    </w:pPr>
    <w:rPr>
      <w:lang w:eastAsia="es-ES" w:val="es-ES"/>
    </w:rPr>
  </w:style>
  <w:style w:type="character" w:styleId="TextoindependienteCar" w:customStyle="1">
    <w:name w:val="Texto independiente Car"/>
    <w:basedOn w:val="Fuentedeprrafopredeter"/>
    <w:link w:val="Textoindependiente"/>
    <w:uiPriority w:val="99"/>
    <w:rsid w:val="00FB389B"/>
    <w:rPr>
      <w:lang w:eastAsia="es-ES" w:val="es-ES"/>
    </w:rPr>
  </w:style>
  <w:style w:type="paragraph" w:styleId="INFOEM" w:customStyle="1">
    <w:name w:val="INFOEM"/>
    <w:basedOn w:val="Normal"/>
    <w:qFormat w:val="1"/>
    <w:rsid w:val="00D5108C"/>
    <w:pPr>
      <w:spacing w:after="160" w:before="240" w:line="360" w:lineRule="auto"/>
      <w:ind w:left="851" w:right="851"/>
      <w:jc w:val="both"/>
    </w:pPr>
    <w:rPr>
      <w:rFonts w:ascii="Palatino Linotype" w:hAnsi="Palatino Linotype" w:cstheme="minorBidi" w:eastAsiaTheme="minorHAnsi"/>
      <w:i w:val="1"/>
      <w:sz w:val="22"/>
      <w:szCs w:val="14"/>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v6S61RiVfb+ITLlT67vMad3AQ==">CgMxLjAyDmguOGZ1eWdicnk3NG1rMgloLjN6bnlzaDcyDmguajNwcHl4d2xiMXMyMghoLnR5amN3dDINaC5qbDBkbGFzb3Q0ZjgAciExOEhfekQwNzBSUG04bnQ1ZmdIQm51SlE3c242bjlZWDU=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2026-03-19T20:38:00Z</dcterms:created>
  <dc:creator>Cuenta Microsoft</dc:creator>
</cp:coreProperties>
</file>