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AABCC" w14:textId="73335997" w:rsidR="00705D12" w:rsidRPr="000D7A6D"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CF3C6E">
        <w:rPr>
          <w:rFonts w:ascii="Palatino Linotype" w:eastAsia="Palatino Linotype" w:hAnsi="Palatino Linotype" w:cs="Palatino Linotype"/>
          <w:color w:val="000000"/>
          <w:sz w:val="24"/>
          <w:szCs w:val="24"/>
        </w:rPr>
        <w:t>Resolución del Pleno del Instit</w:t>
      </w:r>
      <w:r w:rsidR="00CF4DE3" w:rsidRPr="00CF3C6E">
        <w:rPr>
          <w:rFonts w:ascii="Palatino Linotype" w:eastAsia="Palatino Linotype" w:hAnsi="Palatino Linotype" w:cs="Palatino Linotype"/>
          <w:color w:val="000000"/>
          <w:sz w:val="24"/>
          <w:szCs w:val="24"/>
        </w:rPr>
        <w:t>uto de Transparencia, Acceso a</w:t>
      </w:r>
      <w:r w:rsidRPr="00CF3C6E">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CF3C6E">
        <w:rPr>
          <w:rFonts w:ascii="Palatino Linotype" w:eastAsia="Palatino Linotype" w:hAnsi="Palatino Linotype" w:cs="Palatino Linotype"/>
          <w:color w:val="000000"/>
          <w:sz w:val="24"/>
          <w:szCs w:val="24"/>
        </w:rPr>
        <w:t xml:space="preserve"> en Metepec, Estado de México, </w:t>
      </w:r>
      <w:r w:rsidR="00774537" w:rsidRPr="000D7A6D">
        <w:rPr>
          <w:rFonts w:ascii="Palatino Linotype" w:eastAsia="Palatino Linotype" w:hAnsi="Palatino Linotype" w:cs="Palatino Linotype"/>
          <w:b/>
          <w:color w:val="000000"/>
          <w:sz w:val="24"/>
          <w:szCs w:val="24"/>
        </w:rPr>
        <w:t>de</w:t>
      </w:r>
      <w:r w:rsidR="00B94FA3" w:rsidRPr="000D7A6D">
        <w:rPr>
          <w:rFonts w:ascii="Palatino Linotype" w:eastAsia="Palatino Linotype" w:hAnsi="Palatino Linotype" w:cs="Palatino Linotype"/>
          <w:b/>
          <w:color w:val="000000"/>
          <w:sz w:val="24"/>
          <w:szCs w:val="24"/>
        </w:rPr>
        <w:t xml:space="preserve"> fecha </w:t>
      </w:r>
      <w:r w:rsidR="00E70B68" w:rsidRPr="000D7A6D">
        <w:rPr>
          <w:rFonts w:ascii="Palatino Linotype" w:eastAsia="Palatino Linotype" w:hAnsi="Palatino Linotype" w:cs="Palatino Linotype"/>
          <w:b/>
          <w:color w:val="000000"/>
          <w:sz w:val="24"/>
          <w:szCs w:val="24"/>
        </w:rPr>
        <w:t>cinco</w:t>
      </w:r>
      <w:r w:rsidR="000D7A6D" w:rsidRPr="000D7A6D">
        <w:rPr>
          <w:rFonts w:ascii="Palatino Linotype" w:eastAsia="Palatino Linotype" w:hAnsi="Palatino Linotype" w:cs="Palatino Linotype"/>
          <w:b/>
          <w:color w:val="000000"/>
          <w:sz w:val="24"/>
          <w:szCs w:val="24"/>
        </w:rPr>
        <w:t xml:space="preserve"> (05)</w:t>
      </w:r>
      <w:r w:rsidR="00C72DE0" w:rsidRPr="000D7A6D">
        <w:rPr>
          <w:rFonts w:ascii="Palatino Linotype" w:eastAsia="Palatino Linotype" w:hAnsi="Palatino Linotype" w:cs="Palatino Linotype"/>
          <w:b/>
          <w:color w:val="000000"/>
          <w:sz w:val="24"/>
          <w:szCs w:val="24"/>
        </w:rPr>
        <w:t xml:space="preserve"> de </w:t>
      </w:r>
      <w:r w:rsidR="00E70B68" w:rsidRPr="000D7A6D">
        <w:rPr>
          <w:rFonts w:ascii="Palatino Linotype" w:eastAsia="Palatino Linotype" w:hAnsi="Palatino Linotype" w:cs="Palatino Linotype"/>
          <w:b/>
          <w:color w:val="000000"/>
          <w:sz w:val="24"/>
          <w:szCs w:val="24"/>
        </w:rPr>
        <w:t>febrero</w:t>
      </w:r>
      <w:r w:rsidR="00154279" w:rsidRPr="000D7A6D">
        <w:rPr>
          <w:rFonts w:ascii="Palatino Linotype" w:eastAsia="Palatino Linotype" w:hAnsi="Palatino Linotype" w:cs="Palatino Linotype"/>
          <w:b/>
          <w:color w:val="000000"/>
          <w:sz w:val="24"/>
          <w:szCs w:val="24"/>
        </w:rPr>
        <w:t xml:space="preserve"> de </w:t>
      </w:r>
      <w:r w:rsidR="00752ABE" w:rsidRPr="000D7A6D">
        <w:rPr>
          <w:rFonts w:ascii="Palatino Linotype" w:eastAsia="Palatino Linotype" w:hAnsi="Palatino Linotype" w:cs="Palatino Linotype"/>
          <w:b/>
          <w:color w:val="000000"/>
          <w:sz w:val="24"/>
          <w:szCs w:val="24"/>
        </w:rPr>
        <w:t>dos mil veintiséis</w:t>
      </w:r>
      <w:r w:rsidRPr="000D7A6D">
        <w:rPr>
          <w:rFonts w:ascii="Palatino Linotype" w:eastAsia="Palatino Linotype" w:hAnsi="Palatino Linotype" w:cs="Palatino Linotype"/>
          <w:b/>
          <w:color w:val="000000"/>
          <w:sz w:val="24"/>
          <w:szCs w:val="24"/>
        </w:rPr>
        <w:t xml:space="preserve">. </w:t>
      </w:r>
    </w:p>
    <w:p w14:paraId="033DB5BD" w14:textId="77777777" w:rsidR="00705D12" w:rsidRPr="00CF3C6E"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14:paraId="7171B440" w14:textId="1B9D5472" w:rsidR="00705D12" w:rsidRPr="00CF3C6E" w:rsidRDefault="00331433">
      <w:pPr>
        <w:spacing w:after="0" w:line="360" w:lineRule="auto"/>
        <w:jc w:val="both"/>
        <w:rPr>
          <w:rFonts w:ascii="Palatino Linotype" w:eastAsia="Palatino Linotype" w:hAnsi="Palatino Linotype" w:cs="Palatino Linotype"/>
          <w:sz w:val="24"/>
          <w:szCs w:val="24"/>
        </w:rPr>
      </w:pPr>
      <w:r w:rsidRPr="00CF3C6E">
        <w:rPr>
          <w:rFonts w:ascii="Palatino Linotype" w:eastAsia="Palatino Linotype" w:hAnsi="Palatino Linotype" w:cs="Palatino Linotype"/>
          <w:b/>
          <w:sz w:val="24"/>
          <w:szCs w:val="24"/>
        </w:rPr>
        <w:t>VISTO</w:t>
      </w:r>
      <w:r w:rsidRPr="00CF3C6E">
        <w:rPr>
          <w:rFonts w:ascii="Palatino Linotype" w:eastAsia="Palatino Linotype" w:hAnsi="Palatino Linotype" w:cs="Palatino Linotype"/>
          <w:sz w:val="24"/>
          <w:szCs w:val="24"/>
        </w:rPr>
        <w:t xml:space="preserve"> el expediente electrónico formado con motivo de</w:t>
      </w:r>
      <w:r w:rsidR="00D40D01" w:rsidRPr="00CF3C6E">
        <w:rPr>
          <w:rFonts w:ascii="Palatino Linotype" w:eastAsia="Palatino Linotype" w:hAnsi="Palatino Linotype" w:cs="Palatino Linotype"/>
          <w:sz w:val="24"/>
          <w:szCs w:val="24"/>
        </w:rPr>
        <w:t>l</w:t>
      </w:r>
      <w:r w:rsidRPr="00CF3C6E">
        <w:rPr>
          <w:rFonts w:ascii="Palatino Linotype" w:eastAsia="Palatino Linotype" w:hAnsi="Palatino Linotype" w:cs="Palatino Linotype"/>
          <w:sz w:val="24"/>
          <w:szCs w:val="24"/>
        </w:rPr>
        <w:t xml:space="preserve"> recurso de revisión número </w:t>
      </w:r>
      <w:r w:rsidR="00395273" w:rsidRPr="00CF3C6E">
        <w:rPr>
          <w:rFonts w:ascii="Palatino Linotype" w:eastAsia="Palatino Linotype" w:hAnsi="Palatino Linotype" w:cs="Palatino Linotype"/>
          <w:b/>
          <w:sz w:val="24"/>
          <w:szCs w:val="24"/>
        </w:rPr>
        <w:t>14298</w:t>
      </w:r>
      <w:r w:rsidR="00C33E12" w:rsidRPr="00CF3C6E">
        <w:rPr>
          <w:rFonts w:ascii="Palatino Linotype" w:eastAsia="Palatino Linotype" w:hAnsi="Palatino Linotype" w:cs="Palatino Linotype"/>
          <w:b/>
          <w:sz w:val="24"/>
          <w:szCs w:val="24"/>
        </w:rPr>
        <w:t>/INFOEM/IP/RR/2025</w:t>
      </w:r>
      <w:r w:rsidR="00FB0363" w:rsidRPr="00CF3C6E">
        <w:rPr>
          <w:rFonts w:ascii="Palatino Linotype" w:eastAsia="Palatino Linotype" w:hAnsi="Palatino Linotype" w:cs="Palatino Linotype"/>
          <w:b/>
          <w:sz w:val="24"/>
          <w:szCs w:val="24"/>
        </w:rPr>
        <w:t>,</w:t>
      </w:r>
      <w:r w:rsidRPr="00CF3C6E">
        <w:rPr>
          <w:rFonts w:ascii="Palatino Linotype" w:eastAsia="Palatino Linotype" w:hAnsi="Palatino Linotype" w:cs="Palatino Linotype"/>
          <w:b/>
          <w:sz w:val="24"/>
          <w:szCs w:val="24"/>
        </w:rPr>
        <w:t xml:space="preserve"> </w:t>
      </w:r>
      <w:r w:rsidRPr="00CF3C6E">
        <w:rPr>
          <w:rFonts w:ascii="Palatino Linotype" w:eastAsia="Palatino Linotype" w:hAnsi="Palatino Linotype" w:cs="Palatino Linotype"/>
          <w:sz w:val="24"/>
          <w:szCs w:val="24"/>
        </w:rPr>
        <w:t>interpuesto por</w:t>
      </w:r>
      <w:r w:rsidR="00AC11A9" w:rsidRPr="00CF3C6E">
        <w:rPr>
          <w:rFonts w:ascii="Palatino Linotype" w:eastAsia="Palatino Linotype" w:hAnsi="Palatino Linotype" w:cs="Palatino Linotype"/>
          <w:sz w:val="24"/>
          <w:szCs w:val="24"/>
        </w:rPr>
        <w:t xml:space="preserve"> </w:t>
      </w:r>
      <w:r w:rsidR="00673A9B">
        <w:rPr>
          <w:rFonts w:ascii="Palatino Linotype" w:eastAsia="Palatino Linotype" w:hAnsi="Palatino Linotype" w:cs="Palatino Linotype"/>
          <w:b/>
          <w:sz w:val="24"/>
          <w:szCs w:val="24"/>
        </w:rPr>
        <w:t>XXXX</w:t>
      </w:r>
      <w:r w:rsidRPr="00CF3C6E">
        <w:rPr>
          <w:rFonts w:ascii="Palatino Linotype" w:eastAsia="Palatino Linotype" w:hAnsi="Palatino Linotype" w:cs="Palatino Linotype"/>
          <w:sz w:val="24"/>
          <w:szCs w:val="24"/>
        </w:rPr>
        <w:t xml:space="preserve">, a quien en lo sucesivo </w:t>
      </w:r>
      <w:r w:rsidR="001B2593" w:rsidRPr="00CF3C6E">
        <w:rPr>
          <w:rFonts w:ascii="Palatino Linotype" w:eastAsia="Palatino Linotype" w:hAnsi="Palatino Linotype" w:cs="Palatino Linotype"/>
          <w:sz w:val="24"/>
          <w:szCs w:val="24"/>
        </w:rPr>
        <w:t xml:space="preserve">se le </w:t>
      </w:r>
      <w:r w:rsidRPr="00CF3C6E">
        <w:rPr>
          <w:rFonts w:ascii="Palatino Linotype" w:eastAsia="Palatino Linotype" w:hAnsi="Palatino Linotype" w:cs="Palatino Linotype"/>
          <w:sz w:val="24"/>
          <w:szCs w:val="24"/>
        </w:rPr>
        <w:t>denominar</w:t>
      </w:r>
      <w:r w:rsidR="001B2593" w:rsidRPr="00CF3C6E">
        <w:rPr>
          <w:rFonts w:ascii="Palatino Linotype" w:eastAsia="Palatino Linotype" w:hAnsi="Palatino Linotype" w:cs="Palatino Linotype"/>
          <w:sz w:val="24"/>
          <w:szCs w:val="24"/>
        </w:rPr>
        <w:t xml:space="preserve">á </w:t>
      </w:r>
      <w:r w:rsidR="00752ABE" w:rsidRPr="00CF3C6E">
        <w:rPr>
          <w:rFonts w:ascii="Palatino Linotype" w:eastAsia="Palatino Linotype" w:hAnsi="Palatino Linotype" w:cs="Palatino Linotype"/>
          <w:b/>
          <w:sz w:val="24"/>
          <w:szCs w:val="24"/>
        </w:rPr>
        <w:t>LA</w:t>
      </w:r>
      <w:r w:rsidR="005C53AF" w:rsidRPr="00CF3C6E">
        <w:rPr>
          <w:rFonts w:ascii="Palatino Linotype" w:eastAsia="Palatino Linotype" w:hAnsi="Palatino Linotype" w:cs="Palatino Linotype"/>
          <w:b/>
          <w:sz w:val="24"/>
          <w:szCs w:val="24"/>
        </w:rPr>
        <w:t xml:space="preserve"> RECURRENTE</w:t>
      </w:r>
      <w:r w:rsidRPr="00CF3C6E">
        <w:rPr>
          <w:rFonts w:ascii="Palatino Linotype" w:eastAsia="Palatino Linotype" w:hAnsi="Palatino Linotype" w:cs="Palatino Linotype"/>
          <w:b/>
          <w:sz w:val="24"/>
          <w:szCs w:val="24"/>
        </w:rPr>
        <w:t xml:space="preserve">, </w:t>
      </w:r>
      <w:r w:rsidRPr="00CF3C6E">
        <w:rPr>
          <w:rFonts w:ascii="Palatino Linotype" w:eastAsia="Palatino Linotype" w:hAnsi="Palatino Linotype" w:cs="Palatino Linotype"/>
          <w:sz w:val="24"/>
          <w:szCs w:val="24"/>
        </w:rPr>
        <w:t xml:space="preserve">en contra de la falta de respuesta del </w:t>
      </w:r>
      <w:r w:rsidR="00752ABE" w:rsidRPr="00CF3C6E">
        <w:rPr>
          <w:rFonts w:ascii="Palatino Linotype" w:hAnsi="Palatino Linotype"/>
          <w:b/>
          <w:bCs/>
          <w:color w:val="000000"/>
          <w:sz w:val="24"/>
          <w:szCs w:val="24"/>
        </w:rPr>
        <w:t>Ayuntamiento de Tepotzotlán</w:t>
      </w:r>
      <w:r w:rsidRPr="00CF3C6E">
        <w:rPr>
          <w:rFonts w:ascii="Palatino Linotype" w:eastAsia="Palatino Linotype" w:hAnsi="Palatino Linotype" w:cs="Palatino Linotype"/>
          <w:b/>
          <w:sz w:val="24"/>
          <w:szCs w:val="24"/>
        </w:rPr>
        <w:t xml:space="preserve">, </w:t>
      </w:r>
      <w:r w:rsidR="000D7A6D">
        <w:rPr>
          <w:rFonts w:ascii="Palatino Linotype" w:eastAsia="Palatino Linotype" w:hAnsi="Palatino Linotype" w:cs="Palatino Linotype"/>
          <w:sz w:val="24"/>
          <w:szCs w:val="24"/>
        </w:rPr>
        <w:t>en adelante</w:t>
      </w:r>
      <w:r w:rsidR="001B2593" w:rsidRPr="00CF3C6E">
        <w:rPr>
          <w:rFonts w:ascii="Palatino Linotype" w:eastAsia="Palatino Linotype" w:hAnsi="Palatino Linotype" w:cs="Palatino Linotype"/>
          <w:sz w:val="24"/>
          <w:szCs w:val="24"/>
        </w:rPr>
        <w:t xml:space="preserve"> </w:t>
      </w:r>
      <w:r w:rsidR="005C53AF" w:rsidRPr="00CF3C6E">
        <w:rPr>
          <w:rFonts w:ascii="Palatino Linotype" w:eastAsia="Palatino Linotype" w:hAnsi="Palatino Linotype" w:cs="Palatino Linotype"/>
          <w:b/>
          <w:sz w:val="24"/>
          <w:szCs w:val="24"/>
        </w:rPr>
        <w:t>EL SUJETO OBLIGADO</w:t>
      </w:r>
      <w:r w:rsidRPr="00CF3C6E">
        <w:rPr>
          <w:rFonts w:ascii="Palatino Linotype" w:eastAsia="Palatino Linotype" w:hAnsi="Palatino Linotype" w:cs="Palatino Linotype"/>
          <w:b/>
          <w:sz w:val="24"/>
          <w:szCs w:val="24"/>
        </w:rPr>
        <w:t xml:space="preserve">, </w:t>
      </w:r>
      <w:r w:rsidR="001B2593" w:rsidRPr="00CF3C6E">
        <w:rPr>
          <w:rFonts w:ascii="Palatino Linotype" w:eastAsia="Palatino Linotype" w:hAnsi="Palatino Linotype" w:cs="Palatino Linotype"/>
          <w:sz w:val="24"/>
          <w:szCs w:val="24"/>
        </w:rPr>
        <w:t xml:space="preserve">en lo conducente se </w:t>
      </w:r>
      <w:r w:rsidRPr="00CF3C6E">
        <w:rPr>
          <w:rFonts w:ascii="Palatino Linotype" w:eastAsia="Palatino Linotype" w:hAnsi="Palatino Linotype" w:cs="Palatino Linotype"/>
          <w:sz w:val="24"/>
          <w:szCs w:val="24"/>
        </w:rPr>
        <w:t xml:space="preserve">procede </w:t>
      </w:r>
      <w:r w:rsidR="001B2593" w:rsidRPr="00CF3C6E">
        <w:rPr>
          <w:rFonts w:ascii="Palatino Linotype" w:eastAsia="Palatino Linotype" w:hAnsi="Palatino Linotype" w:cs="Palatino Linotype"/>
          <w:sz w:val="24"/>
          <w:szCs w:val="24"/>
        </w:rPr>
        <w:t>a dictar la presente resolución:</w:t>
      </w:r>
      <w:r w:rsidRPr="00CF3C6E">
        <w:rPr>
          <w:rFonts w:ascii="Palatino Linotype" w:eastAsia="Palatino Linotype" w:hAnsi="Palatino Linotype" w:cs="Palatino Linotype"/>
          <w:sz w:val="24"/>
          <w:szCs w:val="24"/>
        </w:rPr>
        <w:t xml:space="preserve"> </w:t>
      </w:r>
    </w:p>
    <w:p w14:paraId="321CFBFB" w14:textId="77777777" w:rsidR="00705D12" w:rsidRPr="00CF3C6E" w:rsidRDefault="00705D12">
      <w:pPr>
        <w:spacing w:after="0" w:line="360" w:lineRule="auto"/>
        <w:jc w:val="both"/>
        <w:rPr>
          <w:rFonts w:ascii="Palatino Linotype" w:eastAsia="Palatino Linotype" w:hAnsi="Palatino Linotype" w:cs="Palatino Linotype"/>
          <w:sz w:val="24"/>
          <w:szCs w:val="24"/>
        </w:rPr>
      </w:pPr>
    </w:p>
    <w:p w14:paraId="1CFB98FD" w14:textId="77777777" w:rsidR="00705D12" w:rsidRPr="00CF3C6E" w:rsidRDefault="00331433">
      <w:pPr>
        <w:spacing w:after="0" w:line="360" w:lineRule="auto"/>
        <w:jc w:val="center"/>
        <w:rPr>
          <w:rFonts w:ascii="Palatino Linotype" w:eastAsia="Palatino Linotype" w:hAnsi="Palatino Linotype" w:cs="Palatino Linotype"/>
          <w:b/>
          <w:sz w:val="24"/>
          <w:szCs w:val="24"/>
        </w:rPr>
      </w:pPr>
      <w:r w:rsidRPr="00CF3C6E">
        <w:rPr>
          <w:rFonts w:ascii="Palatino Linotype" w:eastAsia="Palatino Linotype" w:hAnsi="Palatino Linotype" w:cs="Palatino Linotype"/>
          <w:b/>
          <w:sz w:val="24"/>
          <w:szCs w:val="24"/>
        </w:rPr>
        <w:t>A N T E C E D E N T E S</w:t>
      </w:r>
    </w:p>
    <w:p w14:paraId="7B28DC5A" w14:textId="77777777" w:rsidR="00705D12" w:rsidRPr="00CF3C6E" w:rsidRDefault="00705D12">
      <w:pPr>
        <w:spacing w:after="0" w:line="360" w:lineRule="auto"/>
        <w:rPr>
          <w:rFonts w:ascii="Palatino Linotype" w:eastAsia="Palatino Linotype" w:hAnsi="Palatino Linotype" w:cs="Palatino Linotype"/>
          <w:b/>
          <w:sz w:val="24"/>
          <w:szCs w:val="24"/>
        </w:rPr>
      </w:pPr>
    </w:p>
    <w:p w14:paraId="699A5C9B" w14:textId="77777777" w:rsidR="00705D12" w:rsidRPr="00CF3C6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color w:val="000000"/>
          <w:sz w:val="24"/>
          <w:szCs w:val="24"/>
        </w:rPr>
        <w:t xml:space="preserve">El </w:t>
      </w:r>
      <w:r w:rsidR="000F0265" w:rsidRPr="00CF3C6E">
        <w:rPr>
          <w:rFonts w:ascii="Palatino Linotype" w:eastAsia="Palatino Linotype" w:hAnsi="Palatino Linotype" w:cs="Palatino Linotype"/>
          <w:b/>
          <w:color w:val="000000"/>
          <w:sz w:val="24"/>
          <w:szCs w:val="24"/>
        </w:rPr>
        <w:t>diecisiete</w:t>
      </w:r>
      <w:r w:rsidR="00450B07" w:rsidRPr="00CF3C6E">
        <w:rPr>
          <w:rFonts w:ascii="Palatino Linotype" w:eastAsia="Palatino Linotype" w:hAnsi="Palatino Linotype" w:cs="Palatino Linotype"/>
          <w:b/>
          <w:color w:val="000000"/>
          <w:sz w:val="24"/>
          <w:szCs w:val="24"/>
        </w:rPr>
        <w:t xml:space="preserve"> </w:t>
      </w:r>
      <w:r w:rsidR="00723225" w:rsidRPr="00CF3C6E">
        <w:rPr>
          <w:rFonts w:ascii="Palatino Linotype" w:eastAsia="Palatino Linotype" w:hAnsi="Palatino Linotype" w:cs="Palatino Linotype"/>
          <w:b/>
          <w:color w:val="000000"/>
          <w:sz w:val="24"/>
          <w:szCs w:val="24"/>
        </w:rPr>
        <w:t xml:space="preserve">de </w:t>
      </w:r>
      <w:r w:rsidR="00752ABE" w:rsidRPr="00CF3C6E">
        <w:rPr>
          <w:rFonts w:ascii="Palatino Linotype" w:eastAsia="Palatino Linotype" w:hAnsi="Palatino Linotype" w:cs="Palatino Linotype"/>
          <w:b/>
          <w:color w:val="000000"/>
          <w:sz w:val="24"/>
          <w:szCs w:val="24"/>
        </w:rPr>
        <w:t>noviembre</w:t>
      </w:r>
      <w:r w:rsidR="00015676" w:rsidRPr="00CF3C6E">
        <w:rPr>
          <w:rFonts w:ascii="Palatino Linotype" w:eastAsia="Palatino Linotype" w:hAnsi="Palatino Linotype" w:cs="Palatino Linotype"/>
          <w:b/>
          <w:color w:val="000000"/>
          <w:sz w:val="24"/>
          <w:szCs w:val="24"/>
        </w:rPr>
        <w:t xml:space="preserve"> de dos mil veinticinco</w:t>
      </w:r>
      <w:r w:rsidRPr="00CF3C6E">
        <w:rPr>
          <w:rFonts w:ascii="Palatino Linotype" w:eastAsia="Palatino Linotype" w:hAnsi="Palatino Linotype" w:cs="Palatino Linotype"/>
          <w:b/>
          <w:color w:val="000000"/>
          <w:sz w:val="24"/>
          <w:szCs w:val="24"/>
        </w:rPr>
        <w:t xml:space="preserve">, </w:t>
      </w:r>
      <w:r w:rsidR="00752ABE" w:rsidRPr="00CF3C6E">
        <w:rPr>
          <w:rFonts w:ascii="Palatino Linotype" w:eastAsia="Palatino Linotype" w:hAnsi="Palatino Linotype" w:cs="Palatino Linotype"/>
          <w:b/>
          <w:color w:val="000000"/>
          <w:sz w:val="24"/>
          <w:szCs w:val="24"/>
        </w:rPr>
        <w:t>LA</w:t>
      </w:r>
      <w:r w:rsidR="005C53AF" w:rsidRPr="00CF3C6E">
        <w:rPr>
          <w:rFonts w:ascii="Palatino Linotype" w:eastAsia="Palatino Linotype" w:hAnsi="Palatino Linotype" w:cs="Palatino Linotype"/>
          <w:b/>
          <w:color w:val="000000"/>
          <w:sz w:val="24"/>
          <w:szCs w:val="24"/>
        </w:rPr>
        <w:t xml:space="preserve"> RECURRENTE</w:t>
      </w:r>
      <w:r w:rsidRPr="00CF3C6E">
        <w:rPr>
          <w:rFonts w:ascii="Palatino Linotype" w:eastAsia="Palatino Linotype" w:hAnsi="Palatino Linotype" w:cs="Palatino Linotype"/>
          <w:b/>
          <w:color w:val="000000"/>
          <w:sz w:val="24"/>
          <w:szCs w:val="24"/>
        </w:rPr>
        <w:t xml:space="preserve">, </w:t>
      </w:r>
      <w:r w:rsidR="00B2326D" w:rsidRPr="00CF3C6E">
        <w:rPr>
          <w:rFonts w:ascii="Palatino Linotype" w:eastAsia="Palatino Linotype" w:hAnsi="Palatino Linotype" w:cs="Palatino Linotype"/>
          <w:color w:val="000000"/>
          <w:sz w:val="24"/>
          <w:szCs w:val="24"/>
        </w:rPr>
        <w:t>presentó a través del</w:t>
      </w:r>
      <w:r w:rsidRPr="00CF3C6E">
        <w:rPr>
          <w:rFonts w:ascii="Palatino Linotype" w:eastAsia="Palatino Linotype" w:hAnsi="Palatino Linotype" w:cs="Palatino Linotype"/>
          <w:color w:val="000000"/>
          <w:sz w:val="24"/>
          <w:szCs w:val="24"/>
        </w:rPr>
        <w:t xml:space="preserve"> </w:t>
      </w:r>
      <w:r w:rsidR="00B2326D" w:rsidRPr="00CF3C6E">
        <w:rPr>
          <w:rFonts w:ascii="Palatino Linotype" w:eastAsia="Palatino Linotype" w:hAnsi="Palatino Linotype" w:cs="Palatino Linotype"/>
          <w:color w:val="000000"/>
          <w:sz w:val="24"/>
          <w:szCs w:val="24"/>
        </w:rPr>
        <w:t>Sistema de Acceso a la Información Mexiquense</w:t>
      </w:r>
      <w:r w:rsidRPr="00CF3C6E">
        <w:rPr>
          <w:rFonts w:ascii="Palatino Linotype" w:eastAsia="Palatino Linotype" w:hAnsi="Palatino Linotype" w:cs="Palatino Linotype"/>
          <w:color w:val="000000"/>
          <w:sz w:val="24"/>
          <w:szCs w:val="24"/>
        </w:rPr>
        <w:t xml:space="preserve"> </w:t>
      </w:r>
      <w:r w:rsidR="001B2593" w:rsidRPr="00CF3C6E">
        <w:rPr>
          <w:rFonts w:ascii="Palatino Linotype" w:eastAsia="Palatino Linotype" w:hAnsi="Palatino Linotype" w:cs="Palatino Linotype"/>
          <w:color w:val="000000"/>
          <w:sz w:val="24"/>
          <w:szCs w:val="24"/>
        </w:rPr>
        <w:t>(</w:t>
      </w:r>
      <w:r w:rsidR="00B2326D" w:rsidRPr="00CF3C6E">
        <w:rPr>
          <w:rFonts w:ascii="Palatino Linotype" w:eastAsia="Palatino Linotype" w:hAnsi="Palatino Linotype" w:cs="Palatino Linotype"/>
          <w:color w:val="000000"/>
          <w:sz w:val="24"/>
          <w:szCs w:val="24"/>
        </w:rPr>
        <w:t>SAIMEX</w:t>
      </w:r>
      <w:r w:rsidR="001B2593"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la solicitud de acceso a la información pública, con número de folio </w:t>
      </w:r>
      <w:r w:rsidRPr="00CF3C6E">
        <w:rPr>
          <w:rFonts w:ascii="Palatino Linotype" w:eastAsia="Palatino Linotype" w:hAnsi="Palatino Linotype" w:cs="Palatino Linotype"/>
          <w:b/>
          <w:color w:val="000000"/>
          <w:sz w:val="24"/>
          <w:szCs w:val="24"/>
        </w:rPr>
        <w:t xml:space="preserve"> </w:t>
      </w:r>
      <w:r w:rsidR="00DF37C5" w:rsidRPr="00CF3C6E">
        <w:rPr>
          <w:rFonts w:ascii="Palatino Linotype" w:eastAsia="Palatino Linotype" w:hAnsi="Palatino Linotype" w:cs="Palatino Linotype"/>
          <w:b/>
          <w:color w:val="000000"/>
          <w:sz w:val="24"/>
          <w:szCs w:val="24"/>
        </w:rPr>
        <w:t>0</w:t>
      </w:r>
      <w:r w:rsidR="00395273" w:rsidRPr="00CF3C6E">
        <w:rPr>
          <w:rFonts w:ascii="Palatino Linotype" w:eastAsia="Palatino Linotype" w:hAnsi="Palatino Linotype" w:cs="Palatino Linotype"/>
          <w:b/>
          <w:color w:val="000000"/>
          <w:sz w:val="24"/>
          <w:szCs w:val="24"/>
        </w:rPr>
        <w:t>1262</w:t>
      </w:r>
      <w:r w:rsidR="00654638" w:rsidRPr="00CF3C6E">
        <w:rPr>
          <w:rFonts w:ascii="Palatino Linotype" w:eastAsia="Palatino Linotype" w:hAnsi="Palatino Linotype" w:cs="Palatino Linotype"/>
          <w:b/>
          <w:color w:val="000000"/>
          <w:sz w:val="24"/>
          <w:szCs w:val="24"/>
        </w:rPr>
        <w:t>/</w:t>
      </w:r>
      <w:r w:rsidR="00752ABE" w:rsidRPr="00CF3C6E">
        <w:rPr>
          <w:rFonts w:ascii="Palatino Linotype" w:eastAsia="Palatino Linotype" w:hAnsi="Palatino Linotype" w:cs="Palatino Linotype"/>
          <w:b/>
          <w:color w:val="000000"/>
          <w:sz w:val="24"/>
          <w:szCs w:val="24"/>
        </w:rPr>
        <w:t>TEPOTZOT</w:t>
      </w:r>
      <w:r w:rsidR="00DF37C5" w:rsidRPr="00CF3C6E">
        <w:rPr>
          <w:rFonts w:ascii="Palatino Linotype" w:eastAsia="Palatino Linotype" w:hAnsi="Palatino Linotype" w:cs="Palatino Linotype"/>
          <w:b/>
          <w:color w:val="000000"/>
          <w:sz w:val="24"/>
          <w:szCs w:val="24"/>
        </w:rPr>
        <w:t>/IP/2025</w:t>
      </w:r>
      <w:r w:rsidR="00DA17D3" w:rsidRPr="00CF3C6E">
        <w:rPr>
          <w:rFonts w:ascii="Palatino Linotype" w:eastAsia="Palatino Linotype" w:hAnsi="Palatino Linotype" w:cs="Palatino Linotype"/>
          <w:color w:val="000000"/>
          <w:sz w:val="24"/>
          <w:szCs w:val="24"/>
        </w:rPr>
        <w:t>,</w:t>
      </w:r>
      <w:r w:rsidR="004C0FD5" w:rsidRPr="00CF3C6E">
        <w:rPr>
          <w:rFonts w:ascii="Palatino Linotype" w:eastAsia="Palatino Linotype" w:hAnsi="Palatino Linotype" w:cs="Palatino Linotype"/>
          <w:color w:val="000000"/>
          <w:sz w:val="24"/>
          <w:szCs w:val="24"/>
        </w:rPr>
        <w:t xml:space="preserve"> </w:t>
      </w:r>
      <w:r w:rsidR="00553158" w:rsidRPr="00CF3C6E">
        <w:rPr>
          <w:rFonts w:ascii="Palatino Linotype" w:eastAsia="Palatino Linotype" w:hAnsi="Palatino Linotype" w:cs="Palatino Linotype"/>
          <w:color w:val="000000"/>
          <w:sz w:val="24"/>
          <w:szCs w:val="24"/>
        </w:rPr>
        <w:t xml:space="preserve">misma que se tuvo por presentada el dieciocho de noviembre del mismo año, </w:t>
      </w:r>
      <w:r w:rsidR="006236D6" w:rsidRPr="00CF3C6E">
        <w:rPr>
          <w:rFonts w:ascii="Palatino Linotype" w:eastAsia="Palatino Linotype" w:hAnsi="Palatino Linotype" w:cs="Palatino Linotype"/>
          <w:color w:val="000000"/>
          <w:sz w:val="24"/>
          <w:szCs w:val="24"/>
        </w:rPr>
        <w:t>en</w:t>
      </w:r>
      <w:r w:rsidRPr="00CF3C6E">
        <w:rPr>
          <w:rFonts w:ascii="Palatino Linotype" w:eastAsia="Palatino Linotype" w:hAnsi="Palatino Linotype" w:cs="Palatino Linotype"/>
          <w:color w:val="000000"/>
          <w:sz w:val="24"/>
          <w:szCs w:val="24"/>
        </w:rPr>
        <w:t xml:space="preserve"> la que solicit</w:t>
      </w:r>
      <w:r w:rsidR="001B2593" w:rsidRPr="00CF3C6E">
        <w:rPr>
          <w:rFonts w:ascii="Palatino Linotype" w:eastAsia="Palatino Linotype" w:hAnsi="Palatino Linotype" w:cs="Palatino Linotype"/>
          <w:color w:val="000000"/>
          <w:sz w:val="24"/>
          <w:szCs w:val="24"/>
        </w:rPr>
        <w:t>ó</w:t>
      </w:r>
      <w:r w:rsidRPr="00CF3C6E">
        <w:rPr>
          <w:rFonts w:ascii="Palatino Linotype" w:eastAsia="Palatino Linotype" w:hAnsi="Palatino Linotype" w:cs="Palatino Linotype"/>
          <w:b/>
          <w:color w:val="000000"/>
          <w:sz w:val="24"/>
          <w:szCs w:val="24"/>
        </w:rPr>
        <w:t xml:space="preserve"> </w:t>
      </w:r>
      <w:r w:rsidRPr="00CF3C6E">
        <w:rPr>
          <w:rFonts w:ascii="Palatino Linotype" w:eastAsia="Palatino Linotype" w:hAnsi="Palatino Linotype" w:cs="Palatino Linotype"/>
          <w:color w:val="000000"/>
          <w:sz w:val="24"/>
          <w:szCs w:val="24"/>
        </w:rPr>
        <w:t xml:space="preserve">lo siguiente: </w:t>
      </w:r>
    </w:p>
    <w:p w14:paraId="61DFA682" w14:textId="77777777" w:rsidR="00705D12" w:rsidRPr="00CF3C6E"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14:paraId="5C03C143" w14:textId="77777777" w:rsidR="00557D50" w:rsidRPr="00CF3C6E" w:rsidRDefault="00395273"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b/>
          <w:color w:val="000000"/>
          <w:sz w:val="24"/>
          <w:szCs w:val="24"/>
        </w:rPr>
        <w:t>01262/TEPOTZOT/IP/2025</w:t>
      </w:r>
      <w:r w:rsidR="00656D21" w:rsidRPr="00CF3C6E">
        <w:rPr>
          <w:rFonts w:ascii="Palatino Linotype" w:eastAsia="Palatino Linotype" w:hAnsi="Palatino Linotype" w:cs="Palatino Linotype"/>
          <w:b/>
          <w:color w:val="000000"/>
          <w:sz w:val="24"/>
          <w:szCs w:val="24"/>
        </w:rPr>
        <w:t>:</w:t>
      </w:r>
    </w:p>
    <w:p w14:paraId="171A00BB" w14:textId="77777777" w:rsidR="009A0E57" w:rsidRPr="00CF3C6E"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CF3C6E">
        <w:rPr>
          <w:rFonts w:ascii="Palatino Linotype" w:eastAsia="Palatino Linotype" w:hAnsi="Palatino Linotype" w:cs="Palatino Linotype"/>
          <w:i/>
          <w:color w:val="000000"/>
          <w:sz w:val="24"/>
          <w:szCs w:val="24"/>
        </w:rPr>
        <w:t>“</w:t>
      </w:r>
      <w:r w:rsidR="00395273" w:rsidRPr="00CF3C6E">
        <w:rPr>
          <w:rFonts w:ascii="Palatino Linotype" w:hAnsi="Palatino Linotype"/>
          <w:i/>
          <w:color w:val="000000"/>
          <w:sz w:val="24"/>
          <w:szCs w:val="24"/>
        </w:rPr>
        <w:t>Informe si algún proveedor de 2025 tiene relación de parentesco, amistad, sociedad o vínculo político con la presidenta municipal o su círculo de mando. En caso afirmativo, detalle nombres y vínculos.</w:t>
      </w:r>
      <w:r w:rsidR="00395273" w:rsidRPr="00CF3C6E">
        <w:rPr>
          <w:rFonts w:ascii="Palatino Linotype" w:eastAsia="Palatino Linotype" w:hAnsi="Palatino Linotype" w:cs="Palatino Linotype"/>
          <w:i/>
          <w:color w:val="000000"/>
          <w:sz w:val="24"/>
          <w:szCs w:val="24"/>
        </w:rPr>
        <w:t xml:space="preserve"> </w:t>
      </w:r>
      <w:r w:rsidR="00D55518" w:rsidRPr="00CF3C6E">
        <w:rPr>
          <w:rFonts w:ascii="Palatino Linotype" w:eastAsia="Palatino Linotype" w:hAnsi="Palatino Linotype" w:cs="Palatino Linotype"/>
          <w:i/>
          <w:color w:val="000000"/>
          <w:sz w:val="24"/>
          <w:szCs w:val="24"/>
        </w:rPr>
        <w:t>“</w:t>
      </w:r>
      <w:r w:rsidRPr="00CF3C6E">
        <w:rPr>
          <w:rFonts w:ascii="Palatino Linotype" w:eastAsia="Palatino Linotype" w:hAnsi="Palatino Linotype" w:cs="Palatino Linotype"/>
          <w:i/>
          <w:color w:val="000000"/>
          <w:sz w:val="24"/>
          <w:szCs w:val="24"/>
        </w:rPr>
        <w:t>(Sic)</w:t>
      </w:r>
    </w:p>
    <w:p w14:paraId="5B9AD428" w14:textId="77777777" w:rsidR="00A66C55" w:rsidRPr="00CF3C6E"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14:paraId="5DC9F4A5" w14:textId="77777777" w:rsidR="00513BAF" w:rsidRPr="000D7A6D" w:rsidRDefault="000E16F8" w:rsidP="000D7A6D">
      <w:pPr>
        <w:pStyle w:val="Prrafodelista"/>
        <w:numPr>
          <w:ilvl w:val="0"/>
          <w:numId w:val="10"/>
        </w:numPr>
        <w:spacing w:line="360" w:lineRule="auto"/>
        <w:ind w:left="0" w:firstLine="0"/>
        <w:jc w:val="both"/>
        <w:rPr>
          <w:rFonts w:ascii="Palatino Linotype" w:eastAsia="Palatino Linotype" w:hAnsi="Palatino Linotype" w:cs="Palatino Linotype"/>
          <w:b/>
        </w:rPr>
      </w:pPr>
      <w:r w:rsidRPr="000D7A6D">
        <w:rPr>
          <w:rFonts w:ascii="Palatino Linotype" w:eastAsia="Palatino Linotype" w:hAnsi="Palatino Linotype" w:cs="Palatino Linotype"/>
          <w:b/>
        </w:rPr>
        <w:t>Modalidad de entrega</w:t>
      </w:r>
      <w:r w:rsidRPr="000D7A6D">
        <w:rPr>
          <w:rFonts w:ascii="Palatino Linotype" w:eastAsia="Palatino Linotype" w:hAnsi="Palatino Linotype" w:cs="Palatino Linotype"/>
        </w:rPr>
        <w:t xml:space="preserve">: a través del </w:t>
      </w:r>
      <w:r w:rsidRPr="000D7A6D">
        <w:rPr>
          <w:rFonts w:ascii="Palatino Linotype" w:eastAsia="Palatino Linotype" w:hAnsi="Palatino Linotype" w:cs="Palatino Linotype"/>
          <w:b/>
        </w:rPr>
        <w:t>SAIMEX.</w:t>
      </w:r>
    </w:p>
    <w:p w14:paraId="27BB5049" w14:textId="77777777" w:rsidR="00472875" w:rsidRPr="00CF3C6E"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803BB0A" w14:textId="77777777" w:rsidR="00705D12" w:rsidRPr="00CF3C6E"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F3C6E">
        <w:rPr>
          <w:rFonts w:ascii="Palatino Linotype" w:eastAsia="Palatino Linotype" w:hAnsi="Palatino Linotype" w:cs="Palatino Linotype"/>
          <w:b/>
          <w:color w:val="000000"/>
          <w:sz w:val="24"/>
          <w:szCs w:val="24"/>
        </w:rPr>
        <w:lastRenderedPageBreak/>
        <w:t>EL SUJETO OBLIGADO</w:t>
      </w:r>
      <w:r w:rsidR="00331433" w:rsidRPr="00CF3C6E">
        <w:rPr>
          <w:rFonts w:ascii="Palatino Linotype" w:eastAsia="Palatino Linotype" w:hAnsi="Palatino Linotype" w:cs="Palatino Linotype"/>
          <w:color w:val="000000"/>
          <w:sz w:val="24"/>
          <w:szCs w:val="24"/>
        </w:rPr>
        <w:t xml:space="preserve"> no proporcionó respuesta a la</w:t>
      </w:r>
      <w:r w:rsidR="00557D50" w:rsidRPr="00CF3C6E">
        <w:rPr>
          <w:rFonts w:ascii="Palatino Linotype" w:eastAsia="Palatino Linotype" w:hAnsi="Palatino Linotype" w:cs="Palatino Linotype"/>
          <w:color w:val="000000"/>
          <w:sz w:val="24"/>
          <w:szCs w:val="24"/>
        </w:rPr>
        <w:t>s</w:t>
      </w:r>
      <w:r w:rsidR="00331433" w:rsidRPr="00CF3C6E">
        <w:rPr>
          <w:rFonts w:ascii="Palatino Linotype" w:eastAsia="Palatino Linotype" w:hAnsi="Palatino Linotype" w:cs="Palatino Linotype"/>
          <w:color w:val="000000"/>
          <w:sz w:val="24"/>
          <w:szCs w:val="24"/>
        </w:rPr>
        <w:t xml:space="preserve"> solicitud</w:t>
      </w:r>
      <w:r w:rsidR="00557D50" w:rsidRPr="00CF3C6E">
        <w:rPr>
          <w:rFonts w:ascii="Palatino Linotype" w:eastAsia="Palatino Linotype" w:hAnsi="Palatino Linotype" w:cs="Palatino Linotype"/>
          <w:color w:val="000000"/>
          <w:sz w:val="24"/>
          <w:szCs w:val="24"/>
        </w:rPr>
        <w:t>es</w:t>
      </w:r>
      <w:r w:rsidR="00331433" w:rsidRPr="00CF3C6E">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CF3C6E">
        <w:rPr>
          <w:rFonts w:ascii="Palatino Linotype" w:eastAsia="Palatino Linotype" w:hAnsi="Palatino Linotype" w:cs="Palatino Linotype"/>
          <w:color w:val="000000"/>
          <w:sz w:val="24"/>
          <w:szCs w:val="24"/>
        </w:rPr>
        <w:t>,</w:t>
      </w:r>
      <w:r w:rsidR="00331433" w:rsidRPr="00CF3C6E">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14:paraId="222B4327" w14:textId="77777777" w:rsidR="00705D12" w:rsidRPr="00CF3C6E"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0BC04CF" w14:textId="77777777" w:rsidR="00705D12" w:rsidRPr="00CF3C6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color w:val="000000"/>
          <w:sz w:val="24"/>
          <w:szCs w:val="24"/>
        </w:rPr>
        <w:t>Ante la falta de respuesta</w:t>
      </w:r>
      <w:r w:rsidRPr="00CF3C6E">
        <w:rPr>
          <w:rFonts w:ascii="Palatino Linotype" w:eastAsia="Palatino Linotype" w:hAnsi="Palatino Linotype" w:cs="Palatino Linotype"/>
          <w:b/>
          <w:color w:val="000000"/>
          <w:sz w:val="24"/>
          <w:szCs w:val="24"/>
        </w:rPr>
        <w:t xml:space="preserve"> </w:t>
      </w:r>
      <w:r w:rsidR="005C53AF" w:rsidRPr="00CF3C6E">
        <w:rPr>
          <w:rFonts w:ascii="Palatino Linotype" w:eastAsia="Palatino Linotype" w:hAnsi="Palatino Linotype" w:cs="Palatino Linotype"/>
          <w:color w:val="000000"/>
          <w:sz w:val="24"/>
          <w:szCs w:val="24"/>
        </w:rPr>
        <w:t xml:space="preserve">del </w:t>
      </w:r>
      <w:r w:rsidR="005C53AF" w:rsidRPr="00CF3C6E">
        <w:rPr>
          <w:rFonts w:ascii="Palatino Linotype" w:eastAsia="Palatino Linotype" w:hAnsi="Palatino Linotype" w:cs="Palatino Linotype"/>
          <w:b/>
          <w:color w:val="000000"/>
          <w:sz w:val="24"/>
          <w:szCs w:val="24"/>
        </w:rPr>
        <w:t>SUJETO OBLIGADO</w:t>
      </w:r>
      <w:r w:rsidR="00C877CB" w:rsidRPr="00CF3C6E">
        <w:rPr>
          <w:rFonts w:ascii="Palatino Linotype" w:eastAsia="Palatino Linotype" w:hAnsi="Palatino Linotype" w:cs="Palatino Linotype"/>
          <w:color w:val="000000"/>
          <w:sz w:val="24"/>
          <w:szCs w:val="24"/>
        </w:rPr>
        <w:t xml:space="preserve">, </w:t>
      </w:r>
      <w:r w:rsidR="00752ABE" w:rsidRPr="00CF3C6E">
        <w:rPr>
          <w:rFonts w:ascii="Palatino Linotype" w:eastAsia="Palatino Linotype" w:hAnsi="Palatino Linotype" w:cs="Palatino Linotype"/>
          <w:b/>
          <w:color w:val="000000"/>
          <w:sz w:val="24"/>
          <w:szCs w:val="24"/>
        </w:rPr>
        <w:t>LA</w:t>
      </w:r>
      <w:r w:rsidR="005C53AF" w:rsidRPr="00CF3C6E">
        <w:rPr>
          <w:rFonts w:ascii="Palatino Linotype" w:eastAsia="Palatino Linotype" w:hAnsi="Palatino Linotype" w:cs="Palatino Linotype"/>
          <w:b/>
          <w:color w:val="000000"/>
          <w:sz w:val="24"/>
          <w:szCs w:val="24"/>
        </w:rPr>
        <w:t xml:space="preserve"> RECURRENTE</w:t>
      </w:r>
      <w:r w:rsidR="005C53AF" w:rsidRPr="00CF3C6E">
        <w:rPr>
          <w:rFonts w:ascii="Palatino Linotype" w:eastAsia="Palatino Linotype" w:hAnsi="Palatino Linotype" w:cs="Palatino Linotype"/>
          <w:color w:val="000000"/>
          <w:sz w:val="24"/>
          <w:szCs w:val="24"/>
        </w:rPr>
        <w:t xml:space="preserve"> interpuso el Recurso de R</w:t>
      </w:r>
      <w:r w:rsidRPr="00CF3C6E">
        <w:rPr>
          <w:rFonts w:ascii="Palatino Linotype" w:eastAsia="Palatino Linotype" w:hAnsi="Palatino Linotype" w:cs="Palatino Linotype"/>
          <w:color w:val="000000"/>
          <w:sz w:val="24"/>
          <w:szCs w:val="24"/>
        </w:rPr>
        <w:t xml:space="preserve">evisión el </w:t>
      </w:r>
      <w:r w:rsidR="00DA17D3" w:rsidRPr="00CF3C6E">
        <w:rPr>
          <w:rFonts w:ascii="Palatino Linotype" w:eastAsia="Palatino Linotype" w:hAnsi="Palatino Linotype" w:cs="Palatino Linotype"/>
          <w:b/>
          <w:color w:val="000000"/>
          <w:sz w:val="24"/>
          <w:szCs w:val="24"/>
        </w:rPr>
        <w:t>doce</w:t>
      </w:r>
      <w:r w:rsidR="00654638" w:rsidRPr="00CF3C6E">
        <w:rPr>
          <w:rFonts w:ascii="Palatino Linotype" w:eastAsia="Palatino Linotype" w:hAnsi="Palatino Linotype" w:cs="Palatino Linotype"/>
          <w:b/>
          <w:color w:val="000000"/>
          <w:sz w:val="24"/>
          <w:szCs w:val="24"/>
        </w:rPr>
        <w:t xml:space="preserve"> </w:t>
      </w:r>
      <w:r w:rsidR="00752ABE" w:rsidRPr="00CF3C6E">
        <w:rPr>
          <w:rFonts w:ascii="Palatino Linotype" w:eastAsia="Palatino Linotype" w:hAnsi="Palatino Linotype" w:cs="Palatino Linotype"/>
          <w:b/>
          <w:color w:val="000000"/>
          <w:sz w:val="24"/>
          <w:szCs w:val="24"/>
        </w:rPr>
        <w:t>de diciembre</w:t>
      </w:r>
      <w:r w:rsidR="00836DD8" w:rsidRPr="00CF3C6E">
        <w:rPr>
          <w:rFonts w:ascii="Palatino Linotype" w:eastAsia="Palatino Linotype" w:hAnsi="Palatino Linotype" w:cs="Palatino Linotype"/>
          <w:b/>
          <w:color w:val="000000"/>
          <w:sz w:val="24"/>
          <w:szCs w:val="24"/>
        </w:rPr>
        <w:t xml:space="preserve"> </w:t>
      </w:r>
      <w:r w:rsidR="00E1136B" w:rsidRPr="00CF3C6E">
        <w:rPr>
          <w:rFonts w:ascii="Palatino Linotype" w:eastAsia="Palatino Linotype" w:hAnsi="Palatino Linotype" w:cs="Palatino Linotype"/>
          <w:b/>
          <w:color w:val="000000"/>
          <w:sz w:val="24"/>
          <w:szCs w:val="24"/>
        </w:rPr>
        <w:t>de dos mil veinticinco</w:t>
      </w:r>
      <w:r w:rsidR="00FE4FAE" w:rsidRPr="00CF3C6E">
        <w:rPr>
          <w:rFonts w:ascii="Palatino Linotype" w:eastAsia="Palatino Linotype" w:hAnsi="Palatino Linotype" w:cs="Palatino Linotype"/>
          <w:b/>
          <w:color w:val="000000"/>
          <w:sz w:val="24"/>
          <w:szCs w:val="24"/>
        </w:rPr>
        <w:t xml:space="preserve">, </w:t>
      </w:r>
      <w:r w:rsidRPr="00CF3C6E">
        <w:rPr>
          <w:rFonts w:ascii="Palatino Linotype" w:eastAsia="Palatino Linotype" w:hAnsi="Palatino Linotype" w:cs="Palatino Linotype"/>
          <w:color w:val="000000"/>
          <w:sz w:val="24"/>
          <w:szCs w:val="24"/>
        </w:rPr>
        <w:t xml:space="preserve">registrado en el </w:t>
      </w:r>
      <w:r w:rsidRPr="00CF3C6E">
        <w:rPr>
          <w:rFonts w:ascii="Palatino Linotype" w:eastAsia="Palatino Linotype" w:hAnsi="Palatino Linotype" w:cs="Palatino Linotype"/>
          <w:b/>
          <w:color w:val="000000"/>
          <w:sz w:val="24"/>
          <w:szCs w:val="24"/>
        </w:rPr>
        <w:t xml:space="preserve">SAIMEX </w:t>
      </w:r>
      <w:r w:rsidRPr="00CF3C6E">
        <w:rPr>
          <w:rFonts w:ascii="Palatino Linotype" w:eastAsia="Palatino Linotype" w:hAnsi="Palatino Linotype" w:cs="Palatino Linotype"/>
          <w:color w:val="000000"/>
          <w:sz w:val="24"/>
          <w:szCs w:val="24"/>
        </w:rPr>
        <w:t xml:space="preserve">con </w:t>
      </w:r>
      <w:r w:rsidR="00FB0F99" w:rsidRPr="00CF3C6E">
        <w:rPr>
          <w:rFonts w:ascii="Palatino Linotype" w:eastAsia="Palatino Linotype" w:hAnsi="Palatino Linotype" w:cs="Palatino Linotype"/>
          <w:color w:val="000000"/>
          <w:sz w:val="24"/>
          <w:szCs w:val="24"/>
        </w:rPr>
        <w:t>el</w:t>
      </w:r>
      <w:r w:rsidR="00557D50" w:rsidRPr="00CF3C6E">
        <w:rPr>
          <w:rFonts w:ascii="Palatino Linotype" w:eastAsia="Palatino Linotype" w:hAnsi="Palatino Linotype" w:cs="Palatino Linotype"/>
          <w:color w:val="000000"/>
          <w:sz w:val="24"/>
          <w:szCs w:val="24"/>
        </w:rPr>
        <w:t xml:space="preserve"> </w:t>
      </w:r>
      <w:r w:rsidRPr="00CF3C6E">
        <w:rPr>
          <w:rFonts w:ascii="Palatino Linotype" w:eastAsia="Palatino Linotype" w:hAnsi="Palatino Linotype" w:cs="Palatino Linotype"/>
          <w:color w:val="000000"/>
          <w:sz w:val="24"/>
          <w:szCs w:val="24"/>
        </w:rPr>
        <w:t xml:space="preserve">número de expediente </w:t>
      </w:r>
      <w:r w:rsidR="00395273" w:rsidRPr="00CF3C6E">
        <w:rPr>
          <w:rFonts w:ascii="Palatino Linotype" w:eastAsia="Palatino Linotype" w:hAnsi="Palatino Linotype" w:cs="Palatino Linotype"/>
          <w:b/>
          <w:sz w:val="24"/>
          <w:szCs w:val="24"/>
        </w:rPr>
        <w:t>14298</w:t>
      </w:r>
      <w:r w:rsidR="00FB0F99" w:rsidRPr="00CF3C6E">
        <w:rPr>
          <w:rFonts w:ascii="Palatino Linotype" w:eastAsia="Palatino Linotype" w:hAnsi="Palatino Linotype" w:cs="Palatino Linotype"/>
          <w:b/>
          <w:sz w:val="24"/>
          <w:szCs w:val="24"/>
        </w:rPr>
        <w:t>/INFOEM/IP/RR/2025</w:t>
      </w:r>
      <w:r w:rsidR="007824D8" w:rsidRPr="00CF3C6E">
        <w:rPr>
          <w:rFonts w:ascii="Palatino Linotype" w:eastAsia="Palatino Linotype" w:hAnsi="Palatino Linotype" w:cs="Palatino Linotype"/>
          <w:b/>
          <w:color w:val="000000"/>
          <w:sz w:val="24"/>
          <w:szCs w:val="24"/>
        </w:rPr>
        <w:t xml:space="preserve">, </w:t>
      </w:r>
      <w:r w:rsidR="00B2326D" w:rsidRPr="00CF3C6E">
        <w:rPr>
          <w:rFonts w:ascii="Palatino Linotype" w:eastAsia="Palatino Linotype" w:hAnsi="Palatino Linotype" w:cs="Palatino Linotype"/>
          <w:color w:val="000000"/>
          <w:sz w:val="24"/>
          <w:szCs w:val="24"/>
        </w:rPr>
        <w:t>en el</w:t>
      </w:r>
      <w:r w:rsidR="00557D50" w:rsidRPr="00CF3C6E">
        <w:rPr>
          <w:rFonts w:ascii="Palatino Linotype" w:eastAsia="Palatino Linotype" w:hAnsi="Palatino Linotype" w:cs="Palatino Linotype"/>
          <w:color w:val="000000"/>
          <w:sz w:val="24"/>
          <w:szCs w:val="24"/>
        </w:rPr>
        <w:t xml:space="preserve"> cual aduce, la</w:t>
      </w:r>
      <w:r w:rsidRPr="00CF3C6E">
        <w:rPr>
          <w:rFonts w:ascii="Palatino Linotype" w:eastAsia="Palatino Linotype" w:hAnsi="Palatino Linotype" w:cs="Palatino Linotype"/>
          <w:color w:val="000000"/>
          <w:sz w:val="24"/>
          <w:szCs w:val="24"/>
        </w:rPr>
        <w:t>s siguientes manifestaciones:</w:t>
      </w:r>
    </w:p>
    <w:p w14:paraId="78116AA3" w14:textId="77777777" w:rsidR="005C53AF" w:rsidRPr="00CF3C6E"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14:paraId="4F34EFB7" w14:textId="24F05283" w:rsidR="00705D12" w:rsidRPr="00CF3C6E" w:rsidRDefault="000D7A6D" w:rsidP="005C53AF">
      <w:pPr>
        <w:numPr>
          <w:ilvl w:val="0"/>
          <w:numId w:val="5"/>
        </w:numPr>
        <w:spacing w:after="0"/>
        <w:ind w:left="993"/>
        <w:jc w:val="both"/>
        <w:rPr>
          <w:rFonts w:ascii="Palatino Linotype" w:eastAsia="Palatino Linotype" w:hAnsi="Palatino Linotype" w:cs="Palatino Linotype"/>
          <w:b/>
          <w:sz w:val="24"/>
          <w:szCs w:val="24"/>
        </w:rPr>
      </w:pPr>
      <w:r w:rsidRPr="00CF3C6E">
        <w:rPr>
          <w:rFonts w:ascii="Palatino Linotype" w:eastAsia="Palatino Linotype" w:hAnsi="Palatino Linotype" w:cs="Palatino Linotype"/>
          <w:b/>
          <w:sz w:val="24"/>
          <w:szCs w:val="24"/>
        </w:rPr>
        <w:t xml:space="preserve">ACTO IMPUGNADO: </w:t>
      </w:r>
    </w:p>
    <w:p w14:paraId="3CDD2D1A" w14:textId="77777777" w:rsidR="00C877CB" w:rsidRPr="00CF3C6E" w:rsidRDefault="00331433" w:rsidP="006B375B">
      <w:pPr>
        <w:ind w:left="633"/>
        <w:jc w:val="both"/>
        <w:rPr>
          <w:rFonts w:ascii="Palatino Linotype" w:eastAsia="Times New Roman" w:hAnsi="Palatino Linotype" w:cs="Times New Roman"/>
          <w:i/>
          <w:sz w:val="24"/>
          <w:szCs w:val="24"/>
          <w:lang w:val="es-MX"/>
        </w:rPr>
      </w:pPr>
      <w:r w:rsidRPr="00CF3C6E">
        <w:rPr>
          <w:rFonts w:ascii="Palatino Linotype" w:eastAsia="Palatino Linotype" w:hAnsi="Palatino Linotype" w:cs="Palatino Linotype"/>
          <w:i/>
          <w:color w:val="000000"/>
          <w:sz w:val="24"/>
          <w:szCs w:val="24"/>
        </w:rPr>
        <w:t>“</w:t>
      </w:r>
      <w:r w:rsidR="00395273" w:rsidRPr="00CF3C6E">
        <w:rPr>
          <w:rFonts w:ascii="Palatino Linotype" w:hAnsi="Palatino Linotype"/>
          <w:i/>
          <w:color w:val="000000"/>
          <w:sz w:val="24"/>
          <w:szCs w:val="24"/>
        </w:rPr>
        <w:t>Informe si algún proveedor de 2025 tiene relación de parentesco, amistad, sociedad o vínculo político con la presidenta municipal o su círculo de mando. En caso afirmativo, detalle nombres y vínculos.</w:t>
      </w:r>
      <w:r w:rsidR="00395273" w:rsidRPr="00CF3C6E">
        <w:rPr>
          <w:rFonts w:ascii="Palatino Linotype" w:eastAsia="Palatino Linotype" w:hAnsi="Palatino Linotype" w:cs="Palatino Linotype"/>
          <w:i/>
          <w:color w:val="000000"/>
          <w:sz w:val="24"/>
          <w:szCs w:val="24"/>
        </w:rPr>
        <w:t xml:space="preserve"> </w:t>
      </w:r>
      <w:r w:rsidR="008359F3" w:rsidRPr="00CF3C6E">
        <w:rPr>
          <w:rFonts w:ascii="Palatino Linotype" w:eastAsia="Palatino Linotype" w:hAnsi="Palatino Linotype" w:cs="Palatino Linotype"/>
          <w:i/>
          <w:color w:val="000000"/>
          <w:sz w:val="24"/>
          <w:szCs w:val="24"/>
        </w:rPr>
        <w:t>“</w:t>
      </w:r>
      <w:r w:rsidRPr="00CF3C6E">
        <w:rPr>
          <w:rFonts w:ascii="Palatino Linotype" w:eastAsia="Palatino Linotype" w:hAnsi="Palatino Linotype" w:cs="Palatino Linotype"/>
          <w:i/>
          <w:color w:val="000000"/>
          <w:sz w:val="24"/>
          <w:szCs w:val="24"/>
        </w:rPr>
        <w:t>(Sic).</w:t>
      </w:r>
    </w:p>
    <w:p w14:paraId="0C180E53" w14:textId="77777777" w:rsidR="009E4B39" w:rsidRPr="00CF3C6E" w:rsidRDefault="009E4B39" w:rsidP="005C53AF">
      <w:pPr>
        <w:spacing w:after="0"/>
        <w:ind w:left="993"/>
        <w:jc w:val="both"/>
        <w:rPr>
          <w:rFonts w:ascii="Palatino Linotype" w:eastAsia="Palatino Linotype" w:hAnsi="Palatino Linotype" w:cs="Palatino Linotype"/>
          <w:i/>
          <w:color w:val="000000"/>
          <w:sz w:val="24"/>
          <w:szCs w:val="24"/>
        </w:rPr>
      </w:pPr>
    </w:p>
    <w:p w14:paraId="11EA2B65" w14:textId="2015CD39" w:rsidR="00705D12" w:rsidRPr="00CF3C6E" w:rsidRDefault="000D7A6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b/>
          <w:color w:val="000000"/>
          <w:sz w:val="24"/>
          <w:szCs w:val="24"/>
        </w:rPr>
        <w:t>RAZONES O MOTIVOS DE INCONFORMIDAD</w:t>
      </w:r>
      <w:r w:rsidRPr="00CF3C6E">
        <w:rPr>
          <w:rFonts w:ascii="Palatino Linotype" w:eastAsia="Palatino Linotype" w:hAnsi="Palatino Linotype" w:cs="Palatino Linotype"/>
          <w:color w:val="000000"/>
          <w:sz w:val="24"/>
          <w:szCs w:val="24"/>
        </w:rPr>
        <w:t xml:space="preserve">: </w:t>
      </w:r>
    </w:p>
    <w:p w14:paraId="5F8F7FBB" w14:textId="77777777" w:rsidR="00376D02" w:rsidRPr="00CF3C6E" w:rsidRDefault="00376D02" w:rsidP="00376D02">
      <w:pPr>
        <w:pStyle w:val="Prrafodelista"/>
        <w:ind w:left="720"/>
        <w:jc w:val="both"/>
        <w:rPr>
          <w:rFonts w:ascii="Palatino Linotype" w:eastAsia="Palatino Linotype" w:hAnsi="Palatino Linotype" w:cs="Palatino Linotype"/>
          <w:i/>
          <w:color w:val="000000"/>
        </w:rPr>
      </w:pPr>
      <w:r w:rsidRPr="00CF3C6E">
        <w:rPr>
          <w:rFonts w:ascii="Palatino Linotype" w:eastAsia="Palatino Linotype" w:hAnsi="Palatino Linotype" w:cs="Palatino Linotype"/>
          <w:i/>
          <w:color w:val="000000"/>
        </w:rPr>
        <w:t xml:space="preserve"> “</w:t>
      </w:r>
      <w:r w:rsidR="00110BFE" w:rsidRPr="00CF3C6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110BFE" w:rsidRPr="00CF3C6E">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CF3C6E">
        <w:rPr>
          <w:rFonts w:ascii="Palatino Linotype" w:hAnsi="Palatino Linotype"/>
          <w:i/>
          <w:color w:val="000000"/>
        </w:rPr>
        <w:t>.</w:t>
      </w:r>
      <w:r w:rsidRPr="00CF3C6E">
        <w:rPr>
          <w:rFonts w:ascii="Palatino Linotype" w:hAnsi="Palatino Linotype"/>
          <w:i/>
          <w:color w:val="000000"/>
        </w:rPr>
        <w:t>”</w:t>
      </w:r>
      <w:r w:rsidRPr="00CF3C6E">
        <w:rPr>
          <w:rFonts w:ascii="Palatino Linotype" w:eastAsia="Palatino Linotype" w:hAnsi="Palatino Linotype" w:cs="Palatino Linotype"/>
          <w:i/>
          <w:color w:val="000000"/>
        </w:rPr>
        <w:t xml:space="preserve"> (Sic).</w:t>
      </w:r>
    </w:p>
    <w:p w14:paraId="1F24120F" w14:textId="77777777" w:rsidR="00FE4FAE" w:rsidRPr="00CF3C6E" w:rsidRDefault="00FE4FAE" w:rsidP="00317E8A">
      <w:pPr>
        <w:pStyle w:val="Prrafodelista"/>
        <w:ind w:left="851"/>
        <w:jc w:val="both"/>
        <w:rPr>
          <w:rFonts w:ascii="Palatino Linotype" w:eastAsia="Palatino Linotype" w:hAnsi="Palatino Linotype" w:cs="Palatino Linotype"/>
          <w:i/>
          <w:color w:val="000000"/>
        </w:rPr>
      </w:pPr>
    </w:p>
    <w:p w14:paraId="45D59D38" w14:textId="77777777" w:rsidR="00195A58" w:rsidRPr="00CF3C6E" w:rsidRDefault="00195A58" w:rsidP="00654638">
      <w:pPr>
        <w:spacing w:after="0" w:line="360" w:lineRule="auto"/>
        <w:jc w:val="both"/>
        <w:rPr>
          <w:rFonts w:ascii="Palatino Linotype" w:eastAsia="Palatino Linotype" w:hAnsi="Palatino Linotype" w:cs="Palatino Linotype"/>
          <w:sz w:val="24"/>
          <w:szCs w:val="24"/>
        </w:rPr>
      </w:pPr>
    </w:p>
    <w:p w14:paraId="2EFD4A08" w14:textId="77777777" w:rsidR="00175A3C" w:rsidRPr="00CF3C6E"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color w:val="000000"/>
          <w:sz w:val="24"/>
          <w:szCs w:val="24"/>
        </w:rPr>
        <w:t>Medio de impugnación que le fue turnado por me</w:t>
      </w:r>
      <w:r w:rsidR="00557D50" w:rsidRPr="00CF3C6E">
        <w:rPr>
          <w:rFonts w:ascii="Palatino Linotype" w:eastAsia="Palatino Linotype" w:hAnsi="Palatino Linotype" w:cs="Palatino Linotype"/>
          <w:color w:val="000000"/>
          <w:sz w:val="24"/>
          <w:szCs w:val="24"/>
        </w:rPr>
        <w:t>d</w:t>
      </w:r>
      <w:r w:rsidR="00FE5D54" w:rsidRPr="00CF3C6E">
        <w:rPr>
          <w:rFonts w:ascii="Palatino Linotype" w:eastAsia="Palatino Linotype" w:hAnsi="Palatino Linotype" w:cs="Palatino Linotype"/>
          <w:color w:val="000000"/>
          <w:sz w:val="24"/>
          <w:szCs w:val="24"/>
        </w:rPr>
        <w:t>io del sistema electrónico a la Comisionada</w:t>
      </w:r>
      <w:r w:rsidRPr="00CF3C6E">
        <w:rPr>
          <w:rFonts w:ascii="Palatino Linotype" w:eastAsia="Palatino Linotype" w:hAnsi="Palatino Linotype" w:cs="Palatino Linotype"/>
          <w:color w:val="000000"/>
          <w:sz w:val="24"/>
          <w:szCs w:val="24"/>
        </w:rPr>
        <w:t xml:space="preserve"> </w:t>
      </w:r>
      <w:r w:rsidR="00FE5D54" w:rsidRPr="00CF3C6E">
        <w:rPr>
          <w:rFonts w:ascii="Palatino Linotype" w:eastAsia="Palatino Linotype" w:hAnsi="Palatino Linotype" w:cs="Palatino Linotype"/>
          <w:color w:val="000000"/>
          <w:sz w:val="24"/>
          <w:szCs w:val="24"/>
        </w:rPr>
        <w:t>María del Rosario Mejía Ayala</w:t>
      </w:r>
      <w:r w:rsidR="005C2871"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en términos del arábigo 185</w:t>
      </w:r>
      <w:r w:rsidR="005C2871"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fracción I</w:t>
      </w:r>
      <w:r w:rsidR="005C2871"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CF3C6E">
        <w:rPr>
          <w:rFonts w:ascii="Palatino Linotype" w:eastAsia="Palatino Linotype" w:hAnsi="Palatino Linotype" w:cs="Palatino Linotype"/>
          <w:color w:val="000000"/>
          <w:sz w:val="24"/>
          <w:szCs w:val="24"/>
        </w:rPr>
        <w:t>recayó el</w:t>
      </w:r>
      <w:r w:rsidRPr="00CF3C6E">
        <w:rPr>
          <w:rFonts w:ascii="Palatino Linotype" w:eastAsia="Palatino Linotype" w:hAnsi="Palatino Linotype" w:cs="Palatino Linotype"/>
          <w:color w:val="000000"/>
          <w:sz w:val="24"/>
          <w:szCs w:val="24"/>
        </w:rPr>
        <w:t xml:space="preserve"> acuerdo de admisión de fecha</w:t>
      </w:r>
      <w:r w:rsidR="00546FA7" w:rsidRPr="00CF3C6E">
        <w:rPr>
          <w:rFonts w:ascii="Palatino Linotype" w:eastAsia="Palatino Linotype" w:hAnsi="Palatino Linotype" w:cs="Palatino Linotype"/>
          <w:color w:val="000000"/>
          <w:sz w:val="24"/>
          <w:szCs w:val="24"/>
        </w:rPr>
        <w:t xml:space="preserve"> </w:t>
      </w:r>
      <w:r w:rsidR="00395273" w:rsidRPr="00CF3C6E">
        <w:rPr>
          <w:rFonts w:ascii="Palatino Linotype" w:eastAsia="Palatino Linotype" w:hAnsi="Palatino Linotype" w:cs="Palatino Linotype"/>
          <w:b/>
          <w:color w:val="000000"/>
          <w:sz w:val="24"/>
          <w:szCs w:val="24"/>
        </w:rPr>
        <w:t>diecisiete</w:t>
      </w:r>
      <w:r w:rsidR="00450B07" w:rsidRPr="00CF3C6E">
        <w:rPr>
          <w:rFonts w:ascii="Palatino Linotype" w:eastAsia="Palatino Linotype" w:hAnsi="Palatino Linotype" w:cs="Palatino Linotype"/>
          <w:b/>
          <w:color w:val="000000"/>
          <w:sz w:val="24"/>
          <w:szCs w:val="24"/>
        </w:rPr>
        <w:t xml:space="preserve"> </w:t>
      </w:r>
      <w:r w:rsidR="00A3780B" w:rsidRPr="00CF3C6E">
        <w:rPr>
          <w:rFonts w:ascii="Palatino Linotype" w:eastAsia="Palatino Linotype" w:hAnsi="Palatino Linotype" w:cs="Palatino Linotype"/>
          <w:b/>
          <w:color w:val="000000"/>
          <w:sz w:val="24"/>
          <w:szCs w:val="24"/>
        </w:rPr>
        <w:t xml:space="preserve">de </w:t>
      </w:r>
      <w:r w:rsidR="0098681B" w:rsidRPr="00CF3C6E">
        <w:rPr>
          <w:rFonts w:ascii="Palatino Linotype" w:eastAsia="Palatino Linotype" w:hAnsi="Palatino Linotype" w:cs="Palatino Linotype"/>
          <w:b/>
          <w:color w:val="000000"/>
          <w:sz w:val="24"/>
          <w:szCs w:val="24"/>
        </w:rPr>
        <w:t>diciembre</w:t>
      </w:r>
      <w:r w:rsidR="00E42354" w:rsidRPr="00CF3C6E">
        <w:rPr>
          <w:rFonts w:ascii="Palatino Linotype" w:eastAsia="Palatino Linotype" w:hAnsi="Palatino Linotype" w:cs="Palatino Linotype"/>
          <w:b/>
          <w:color w:val="000000"/>
          <w:sz w:val="24"/>
          <w:szCs w:val="24"/>
        </w:rPr>
        <w:t xml:space="preserve"> de dos mil veinticinco</w:t>
      </w:r>
      <w:r w:rsidRPr="00CF3C6E">
        <w:rPr>
          <w:rFonts w:ascii="Palatino Linotype" w:eastAsia="Palatino Linotype" w:hAnsi="Palatino Linotype" w:cs="Palatino Linotype"/>
          <w:b/>
          <w:color w:val="000000"/>
          <w:sz w:val="24"/>
          <w:szCs w:val="24"/>
        </w:rPr>
        <w:t xml:space="preserve">, </w:t>
      </w:r>
      <w:r w:rsidRPr="00CF3C6E">
        <w:rPr>
          <w:rFonts w:ascii="Palatino Linotype" w:eastAsia="Palatino Linotype" w:hAnsi="Palatino Linotype" w:cs="Palatino Linotype"/>
          <w:sz w:val="24"/>
          <w:szCs w:val="24"/>
        </w:rPr>
        <w:t>determinando</w:t>
      </w:r>
      <w:r w:rsidRPr="00CF3C6E">
        <w:rPr>
          <w:rFonts w:ascii="Palatino Linotype" w:eastAsia="Palatino Linotype" w:hAnsi="Palatino Linotype" w:cs="Palatino Linotype"/>
          <w:color w:val="000000"/>
          <w:sz w:val="24"/>
          <w:szCs w:val="24"/>
        </w:rPr>
        <w:t xml:space="preserve"> un plazo de siete días para que las partes </w:t>
      </w:r>
      <w:r w:rsidRPr="00CF3C6E">
        <w:rPr>
          <w:rFonts w:ascii="Palatino Linotype" w:eastAsia="Palatino Linotype" w:hAnsi="Palatino Linotype" w:cs="Palatino Linotype"/>
          <w:sz w:val="24"/>
          <w:szCs w:val="24"/>
        </w:rPr>
        <w:t>manifestar</w:t>
      </w:r>
      <w:r w:rsidR="005C53AF" w:rsidRPr="00CF3C6E">
        <w:rPr>
          <w:rFonts w:ascii="Palatino Linotype" w:eastAsia="Palatino Linotype" w:hAnsi="Palatino Linotype" w:cs="Palatino Linotype"/>
          <w:sz w:val="24"/>
          <w:szCs w:val="24"/>
        </w:rPr>
        <w:t xml:space="preserve">an </w:t>
      </w:r>
      <w:r w:rsidRPr="00CF3C6E">
        <w:rPr>
          <w:rFonts w:ascii="Palatino Linotype" w:eastAsia="Palatino Linotype" w:hAnsi="Palatino Linotype" w:cs="Palatino Linotype"/>
          <w:color w:val="000000"/>
          <w:sz w:val="24"/>
          <w:szCs w:val="24"/>
        </w:rPr>
        <w:t xml:space="preserve">lo que a su derecho corresponda en términos de los numerales ya citados. </w:t>
      </w:r>
    </w:p>
    <w:p w14:paraId="460DE2D5" w14:textId="77777777" w:rsidR="00175A3C" w:rsidRPr="00CF3C6E"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DC3DBA0" w14:textId="77777777" w:rsidR="00705D12" w:rsidRPr="00CF3C6E"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b/>
          <w:color w:val="000000"/>
          <w:sz w:val="24"/>
          <w:szCs w:val="24"/>
        </w:rPr>
        <w:t>EL SUJETO OBLIGADO</w:t>
      </w:r>
      <w:r w:rsidR="00331433" w:rsidRPr="00CF3C6E">
        <w:rPr>
          <w:rFonts w:ascii="Palatino Linotype" w:eastAsia="Palatino Linotype" w:hAnsi="Palatino Linotype" w:cs="Palatino Linotype"/>
          <w:color w:val="000000"/>
          <w:sz w:val="24"/>
          <w:szCs w:val="24"/>
        </w:rPr>
        <w:t xml:space="preserve"> fue omiso en rendir el </w:t>
      </w:r>
      <w:r w:rsidR="00A61C28" w:rsidRPr="00CF3C6E">
        <w:rPr>
          <w:rFonts w:ascii="Palatino Linotype" w:eastAsia="Palatino Linotype" w:hAnsi="Palatino Linotype" w:cs="Palatino Linotype"/>
          <w:color w:val="000000"/>
          <w:sz w:val="24"/>
          <w:szCs w:val="24"/>
        </w:rPr>
        <w:t xml:space="preserve">Informe Justificado; </w:t>
      </w:r>
      <w:r w:rsidR="00803D98" w:rsidRPr="00CF3C6E">
        <w:rPr>
          <w:rFonts w:ascii="Palatino Linotype" w:eastAsia="Palatino Linotype" w:hAnsi="Palatino Linotype" w:cs="Palatino Linotype"/>
          <w:color w:val="000000"/>
          <w:sz w:val="24"/>
          <w:szCs w:val="24"/>
        </w:rPr>
        <w:t>asimismo</w:t>
      </w:r>
      <w:r w:rsidR="00A61C28" w:rsidRPr="00CF3C6E">
        <w:rPr>
          <w:rFonts w:ascii="Palatino Linotype" w:eastAsia="Palatino Linotype" w:hAnsi="Palatino Linotype" w:cs="Palatino Linotype"/>
          <w:color w:val="000000"/>
          <w:sz w:val="24"/>
          <w:szCs w:val="24"/>
        </w:rPr>
        <w:t xml:space="preserve"> </w:t>
      </w:r>
      <w:r w:rsidR="00752ABE" w:rsidRPr="00CF3C6E">
        <w:rPr>
          <w:rFonts w:ascii="Palatino Linotype" w:eastAsia="Palatino Linotype" w:hAnsi="Palatino Linotype" w:cs="Palatino Linotype"/>
          <w:b/>
          <w:color w:val="000000"/>
          <w:sz w:val="24"/>
          <w:szCs w:val="24"/>
        </w:rPr>
        <w:t>LA</w:t>
      </w:r>
      <w:r w:rsidRPr="00CF3C6E">
        <w:rPr>
          <w:rFonts w:ascii="Palatino Linotype" w:eastAsia="Palatino Linotype" w:hAnsi="Palatino Linotype" w:cs="Palatino Linotype"/>
          <w:b/>
          <w:color w:val="000000"/>
          <w:sz w:val="24"/>
          <w:szCs w:val="24"/>
        </w:rPr>
        <w:t xml:space="preserve"> RECURRENTE</w:t>
      </w:r>
      <w:r w:rsidR="00331433" w:rsidRPr="00CF3C6E">
        <w:rPr>
          <w:rFonts w:ascii="Palatino Linotype" w:eastAsia="Palatino Linotype" w:hAnsi="Palatino Linotype" w:cs="Palatino Linotype"/>
          <w:color w:val="000000"/>
          <w:sz w:val="24"/>
          <w:szCs w:val="24"/>
        </w:rPr>
        <w:t xml:space="preserve"> </w:t>
      </w:r>
      <w:r w:rsidR="00803D98" w:rsidRPr="00CF3C6E">
        <w:rPr>
          <w:rFonts w:ascii="Palatino Linotype" w:eastAsia="Palatino Linotype" w:hAnsi="Palatino Linotype" w:cs="Palatino Linotype"/>
          <w:color w:val="000000"/>
          <w:sz w:val="24"/>
          <w:szCs w:val="24"/>
        </w:rPr>
        <w:t>no proporciono manifestaciones que a su derecho convinieran.</w:t>
      </w:r>
    </w:p>
    <w:p w14:paraId="7DCD3F38" w14:textId="77777777" w:rsidR="00705D12" w:rsidRPr="00CF3C6E"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5FF4D17" w14:textId="068E5B98" w:rsidR="00705D12" w:rsidRPr="00CF3C6E"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color w:val="000000"/>
          <w:sz w:val="24"/>
          <w:szCs w:val="24"/>
        </w:rPr>
        <w:t>Ahora bien, e</w:t>
      </w:r>
      <w:r w:rsidR="00331433" w:rsidRPr="00CF3C6E">
        <w:rPr>
          <w:rFonts w:ascii="Palatino Linotype" w:eastAsia="Palatino Linotype" w:hAnsi="Palatino Linotype" w:cs="Palatino Linotype"/>
          <w:color w:val="000000"/>
          <w:sz w:val="24"/>
          <w:szCs w:val="24"/>
        </w:rPr>
        <w:t>n términos del artículo 185</w:t>
      </w:r>
      <w:r w:rsidR="005C2871" w:rsidRPr="00CF3C6E">
        <w:rPr>
          <w:rFonts w:ascii="Palatino Linotype" w:eastAsia="Palatino Linotype" w:hAnsi="Palatino Linotype" w:cs="Palatino Linotype"/>
          <w:color w:val="000000"/>
          <w:sz w:val="24"/>
          <w:szCs w:val="24"/>
        </w:rPr>
        <w:t>,</w:t>
      </w:r>
      <w:r w:rsidR="00331433" w:rsidRPr="00CF3C6E">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CF3C6E">
        <w:rPr>
          <w:rFonts w:ascii="Palatino Linotype" w:eastAsia="Palatino Linotype" w:hAnsi="Palatino Linotype" w:cs="Palatino Linotype"/>
          <w:color w:val="000000"/>
          <w:sz w:val="24"/>
          <w:szCs w:val="24"/>
        </w:rPr>
        <w:t>el</w:t>
      </w:r>
      <w:r w:rsidRPr="00CF3C6E">
        <w:rPr>
          <w:rFonts w:ascii="Palatino Linotype" w:eastAsia="Palatino Linotype" w:hAnsi="Palatino Linotype" w:cs="Palatino Linotype"/>
          <w:b/>
          <w:color w:val="000000"/>
          <w:sz w:val="24"/>
          <w:szCs w:val="24"/>
        </w:rPr>
        <w:t xml:space="preserve"> </w:t>
      </w:r>
      <w:r w:rsidR="00132775" w:rsidRPr="00CF3C6E">
        <w:rPr>
          <w:rFonts w:ascii="Palatino Linotype" w:eastAsia="Palatino Linotype" w:hAnsi="Palatino Linotype" w:cs="Palatino Linotype"/>
          <w:b/>
          <w:color w:val="000000"/>
          <w:sz w:val="24"/>
          <w:szCs w:val="24"/>
        </w:rPr>
        <w:t>veintiuno</w:t>
      </w:r>
      <w:r w:rsidR="0098681B" w:rsidRPr="00CF3C6E">
        <w:rPr>
          <w:rFonts w:ascii="Palatino Linotype" w:eastAsia="Palatino Linotype" w:hAnsi="Palatino Linotype" w:cs="Palatino Linotype"/>
          <w:b/>
          <w:color w:val="000000"/>
          <w:sz w:val="24"/>
          <w:szCs w:val="24"/>
        </w:rPr>
        <w:t xml:space="preserve"> </w:t>
      </w:r>
      <w:r w:rsidR="004C0FD5" w:rsidRPr="00CF3C6E">
        <w:rPr>
          <w:rFonts w:ascii="Palatino Linotype" w:eastAsia="Palatino Linotype" w:hAnsi="Palatino Linotype" w:cs="Palatino Linotype"/>
          <w:b/>
          <w:color w:val="000000"/>
          <w:sz w:val="24"/>
          <w:szCs w:val="24"/>
        </w:rPr>
        <w:t>de enero</w:t>
      </w:r>
      <w:r w:rsidR="00F17233" w:rsidRPr="00CF3C6E">
        <w:rPr>
          <w:rFonts w:ascii="Palatino Linotype" w:eastAsia="Palatino Linotype" w:hAnsi="Palatino Linotype" w:cs="Palatino Linotype"/>
          <w:b/>
          <w:color w:val="000000"/>
          <w:sz w:val="24"/>
          <w:szCs w:val="24"/>
        </w:rPr>
        <w:t xml:space="preserve"> </w:t>
      </w:r>
      <w:r w:rsidR="004C0FD5" w:rsidRPr="00CF3C6E">
        <w:rPr>
          <w:rFonts w:ascii="Palatino Linotype" w:eastAsia="Palatino Linotype" w:hAnsi="Palatino Linotype" w:cs="Palatino Linotype"/>
          <w:b/>
          <w:color w:val="000000"/>
          <w:sz w:val="24"/>
          <w:szCs w:val="24"/>
        </w:rPr>
        <w:t>de dos mil veintiséis</w:t>
      </w:r>
      <w:r w:rsidR="005C2871" w:rsidRPr="00CF3C6E">
        <w:rPr>
          <w:rFonts w:ascii="Palatino Linotype" w:eastAsia="Palatino Linotype" w:hAnsi="Palatino Linotype" w:cs="Palatino Linotype"/>
          <w:b/>
          <w:color w:val="000000"/>
          <w:sz w:val="24"/>
          <w:szCs w:val="24"/>
        </w:rPr>
        <w:t>,</w:t>
      </w:r>
      <w:r w:rsidR="00331433" w:rsidRPr="00CF3C6E">
        <w:rPr>
          <w:rFonts w:ascii="Palatino Linotype" w:eastAsia="Palatino Linotype" w:hAnsi="Palatino Linotype" w:cs="Palatino Linotype"/>
          <w:b/>
          <w:color w:val="000000"/>
          <w:sz w:val="24"/>
          <w:szCs w:val="24"/>
        </w:rPr>
        <w:t xml:space="preserve"> </w:t>
      </w:r>
      <w:r w:rsidR="00331433" w:rsidRPr="00CF3C6E">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0D7A6D">
        <w:rPr>
          <w:rFonts w:ascii="Palatino Linotype" w:eastAsia="Palatino Linotype" w:hAnsi="Palatino Linotype" w:cs="Palatino Linotype"/>
          <w:color w:val="000000"/>
          <w:sz w:val="24"/>
          <w:szCs w:val="24"/>
        </w:rPr>
        <w:t>---------------------</w:t>
      </w:r>
    </w:p>
    <w:p w14:paraId="40E79193" w14:textId="77777777" w:rsidR="00705D12" w:rsidRPr="00CF3C6E" w:rsidRDefault="00331433">
      <w:pPr>
        <w:spacing w:after="0" w:line="360" w:lineRule="auto"/>
        <w:jc w:val="center"/>
        <w:rPr>
          <w:rFonts w:ascii="Palatino Linotype" w:eastAsia="Palatino Linotype" w:hAnsi="Palatino Linotype" w:cs="Palatino Linotype"/>
          <w:sz w:val="24"/>
          <w:szCs w:val="24"/>
        </w:rPr>
      </w:pPr>
      <w:r w:rsidRPr="00CF3C6E">
        <w:rPr>
          <w:rFonts w:ascii="Palatino Linotype" w:eastAsia="Palatino Linotype" w:hAnsi="Palatino Linotype" w:cs="Palatino Linotype"/>
          <w:b/>
          <w:sz w:val="24"/>
          <w:szCs w:val="24"/>
        </w:rPr>
        <w:lastRenderedPageBreak/>
        <w:t xml:space="preserve">C O N S I D E R A N D O </w:t>
      </w:r>
    </w:p>
    <w:p w14:paraId="0EC89A3C" w14:textId="77777777" w:rsidR="00705D12" w:rsidRPr="00CF3C6E" w:rsidRDefault="00705D12">
      <w:pPr>
        <w:spacing w:after="0" w:line="360" w:lineRule="auto"/>
        <w:jc w:val="both"/>
        <w:rPr>
          <w:rFonts w:ascii="Palatino Linotype" w:eastAsia="Palatino Linotype" w:hAnsi="Palatino Linotype" w:cs="Palatino Linotype"/>
          <w:sz w:val="24"/>
          <w:szCs w:val="24"/>
        </w:rPr>
      </w:pPr>
    </w:p>
    <w:p w14:paraId="40D19D81" w14:textId="77777777" w:rsidR="00705D12" w:rsidRPr="00CF3C6E" w:rsidRDefault="00331433">
      <w:pPr>
        <w:spacing w:after="0" w:line="360" w:lineRule="auto"/>
        <w:jc w:val="both"/>
        <w:rPr>
          <w:rFonts w:ascii="Palatino Linotype" w:eastAsia="Palatino Linotype" w:hAnsi="Palatino Linotype" w:cs="Palatino Linotype"/>
          <w:sz w:val="24"/>
          <w:szCs w:val="24"/>
        </w:rPr>
      </w:pPr>
      <w:r w:rsidRPr="00CF3C6E">
        <w:rPr>
          <w:rFonts w:ascii="Palatino Linotype" w:eastAsia="Palatino Linotype" w:hAnsi="Palatino Linotype" w:cs="Palatino Linotype"/>
          <w:b/>
          <w:sz w:val="24"/>
          <w:szCs w:val="24"/>
        </w:rPr>
        <w:t>PRIMERO. De la competencia</w:t>
      </w:r>
      <w:r w:rsidRPr="00CF3C6E">
        <w:rPr>
          <w:rFonts w:ascii="Palatino Linotype" w:eastAsia="Palatino Linotype" w:hAnsi="Palatino Linotype" w:cs="Palatino Linotype"/>
          <w:sz w:val="24"/>
          <w:szCs w:val="24"/>
        </w:rPr>
        <w:t>.</w:t>
      </w:r>
    </w:p>
    <w:p w14:paraId="4494300F" w14:textId="77777777" w:rsidR="00705D12" w:rsidRPr="00CF3C6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4049342" w14:textId="77777777" w:rsidR="00705D12" w:rsidRPr="00CF3C6E" w:rsidRDefault="00705D12">
      <w:pPr>
        <w:spacing w:after="0" w:line="360" w:lineRule="auto"/>
        <w:jc w:val="both"/>
        <w:rPr>
          <w:rFonts w:ascii="Palatino Linotype" w:eastAsia="Palatino Linotype" w:hAnsi="Palatino Linotype" w:cs="Palatino Linotype"/>
          <w:sz w:val="24"/>
          <w:szCs w:val="24"/>
        </w:rPr>
      </w:pPr>
    </w:p>
    <w:p w14:paraId="018AFD70" w14:textId="77777777" w:rsidR="00705D12" w:rsidRPr="00CF3C6E" w:rsidRDefault="00331433">
      <w:pPr>
        <w:spacing w:after="0" w:line="360" w:lineRule="auto"/>
        <w:jc w:val="both"/>
        <w:rPr>
          <w:rFonts w:ascii="Palatino Linotype" w:eastAsia="Palatino Linotype" w:hAnsi="Palatino Linotype" w:cs="Palatino Linotype"/>
          <w:sz w:val="24"/>
          <w:szCs w:val="24"/>
        </w:rPr>
      </w:pPr>
      <w:r w:rsidRPr="00CF3C6E">
        <w:rPr>
          <w:rFonts w:ascii="Palatino Linotype" w:eastAsia="Palatino Linotype" w:hAnsi="Palatino Linotype" w:cs="Palatino Linotype"/>
          <w:b/>
          <w:sz w:val="24"/>
          <w:szCs w:val="24"/>
        </w:rPr>
        <w:t>SEGUNDO. De la Oportunidad y Procedencia del Recurso de Revisión</w:t>
      </w:r>
      <w:r w:rsidRPr="00CF3C6E">
        <w:rPr>
          <w:rFonts w:ascii="Palatino Linotype" w:eastAsia="Palatino Linotype" w:hAnsi="Palatino Linotype" w:cs="Palatino Linotype"/>
          <w:sz w:val="24"/>
          <w:szCs w:val="24"/>
        </w:rPr>
        <w:t>.</w:t>
      </w:r>
    </w:p>
    <w:p w14:paraId="4C296503" w14:textId="77777777" w:rsidR="00705D12" w:rsidRPr="00CF3C6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F3C6E">
        <w:rPr>
          <w:rFonts w:ascii="Palatino Linotype" w:eastAsia="Palatino Linotype" w:hAnsi="Palatino Linotype" w:cs="Palatino Linotype"/>
          <w:color w:val="000000"/>
          <w:sz w:val="24"/>
          <w:szCs w:val="24"/>
        </w:rPr>
        <w:t>El artículo 178</w:t>
      </w:r>
      <w:r w:rsidR="00A7643A"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F3C6E">
        <w:rPr>
          <w:rFonts w:ascii="Palatino Linotype" w:eastAsia="Palatino Linotype" w:hAnsi="Palatino Linotype" w:cs="Palatino Linotype"/>
          <w:color w:val="000000"/>
          <w:sz w:val="24"/>
          <w:szCs w:val="24"/>
        </w:rPr>
        <w:t>el</w:t>
      </w:r>
      <w:r w:rsidR="005C53AF" w:rsidRPr="00CF3C6E">
        <w:rPr>
          <w:rFonts w:ascii="Palatino Linotype" w:eastAsia="Palatino Linotype" w:hAnsi="Palatino Linotype" w:cs="Palatino Linotype"/>
          <w:b/>
          <w:color w:val="000000"/>
          <w:sz w:val="24"/>
          <w:szCs w:val="24"/>
        </w:rPr>
        <w:t xml:space="preserve"> SUJETO OBLIGADO</w:t>
      </w:r>
      <w:r w:rsidRPr="00CF3C6E">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CF3C6E">
        <w:rPr>
          <w:rFonts w:ascii="Palatino Linotype" w:eastAsia="Palatino Linotype" w:hAnsi="Palatino Linotype" w:cs="Palatino Linotype"/>
          <w:color w:val="000000"/>
          <w:sz w:val="24"/>
          <w:szCs w:val="24"/>
        </w:rPr>
        <w:t>ación pública, el recurso podrá</w:t>
      </w:r>
      <w:r w:rsidRPr="00CF3C6E">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14:paraId="6B150E30" w14:textId="77777777" w:rsidR="00705D12" w:rsidRPr="00CF3C6E" w:rsidRDefault="00705D12">
      <w:pPr>
        <w:spacing w:after="0" w:line="360" w:lineRule="auto"/>
        <w:jc w:val="both"/>
        <w:rPr>
          <w:rFonts w:ascii="Palatino Linotype" w:eastAsia="Palatino Linotype" w:hAnsi="Palatino Linotype" w:cs="Palatino Linotype"/>
          <w:sz w:val="24"/>
          <w:szCs w:val="24"/>
        </w:rPr>
      </w:pPr>
    </w:p>
    <w:p w14:paraId="21CE3489" w14:textId="77777777" w:rsidR="00705D12" w:rsidRPr="00CF3C6E"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F3C6E">
        <w:rPr>
          <w:rFonts w:ascii="Palatino Linotype" w:eastAsia="Palatino Linotype" w:hAnsi="Palatino Linotype" w:cs="Palatino Linotype"/>
          <w:color w:val="000000"/>
          <w:sz w:val="24"/>
          <w:szCs w:val="24"/>
        </w:rPr>
        <w:lastRenderedPageBreak/>
        <w:t>El artículo 179</w:t>
      </w:r>
      <w:r w:rsidR="00A7643A"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fracción VII</w:t>
      </w:r>
      <w:r w:rsidR="00A7643A" w:rsidRPr="00CF3C6E">
        <w:rPr>
          <w:rFonts w:ascii="Palatino Linotype" w:eastAsia="Palatino Linotype" w:hAnsi="Palatino Linotype" w:cs="Palatino Linotype"/>
          <w:color w:val="000000"/>
          <w:sz w:val="24"/>
          <w:szCs w:val="24"/>
        </w:rPr>
        <w:t>,</w:t>
      </w:r>
      <w:r w:rsidRPr="00CF3C6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F3C6E">
        <w:rPr>
          <w:rFonts w:ascii="Palatino Linotype" w:eastAsia="Palatino Linotype" w:hAnsi="Palatino Linotype" w:cs="Palatino Linotype"/>
          <w:b/>
          <w:color w:val="000000"/>
          <w:sz w:val="24"/>
          <w:szCs w:val="24"/>
        </w:rPr>
        <w:t>EL SUJETO OBLIGADO</w:t>
      </w:r>
      <w:r w:rsidRPr="00CF3C6E">
        <w:rPr>
          <w:rFonts w:ascii="Palatino Linotype" w:eastAsia="Palatino Linotype" w:hAnsi="Palatino Linotype" w:cs="Palatino Linotype"/>
          <w:color w:val="000000"/>
          <w:sz w:val="24"/>
          <w:szCs w:val="24"/>
        </w:rPr>
        <w:t xml:space="preserve">, hipótesis jurídica que se actualiza en este caso, aunado a que la parte </w:t>
      </w:r>
      <w:r w:rsidRPr="00CF3C6E">
        <w:rPr>
          <w:rFonts w:ascii="Palatino Linotype" w:eastAsia="Palatino Linotype" w:hAnsi="Palatino Linotype" w:cs="Palatino Linotype"/>
          <w:b/>
          <w:color w:val="000000"/>
          <w:sz w:val="24"/>
          <w:szCs w:val="24"/>
        </w:rPr>
        <w:t>Recurrente</w:t>
      </w:r>
      <w:r w:rsidRPr="00CF3C6E">
        <w:rPr>
          <w:rFonts w:ascii="Palatino Linotype" w:eastAsia="Palatino Linotype" w:hAnsi="Palatino Linotype" w:cs="Palatino Linotype"/>
          <w:color w:val="000000"/>
          <w:sz w:val="24"/>
          <w:szCs w:val="24"/>
        </w:rPr>
        <w:t xml:space="preserve"> combate </w:t>
      </w:r>
      <w:r w:rsidR="00A61C28" w:rsidRPr="00CF3C6E">
        <w:rPr>
          <w:rFonts w:ascii="Palatino Linotype" w:eastAsia="Palatino Linotype" w:hAnsi="Palatino Linotype" w:cs="Palatino Linotype"/>
          <w:color w:val="000000"/>
          <w:sz w:val="24"/>
          <w:szCs w:val="24"/>
        </w:rPr>
        <w:t xml:space="preserve">la </w:t>
      </w:r>
      <w:r w:rsidRPr="00CF3C6E">
        <w:rPr>
          <w:rFonts w:ascii="Palatino Linotype" w:eastAsia="Palatino Linotype" w:hAnsi="Palatino Linotype" w:cs="Palatino Linotype"/>
          <w:color w:val="000000"/>
          <w:sz w:val="24"/>
          <w:szCs w:val="24"/>
        </w:rPr>
        <w:t xml:space="preserve">falta de trámite por </w:t>
      </w:r>
      <w:r w:rsidR="005C53AF" w:rsidRPr="00CF3C6E">
        <w:rPr>
          <w:rFonts w:ascii="Palatino Linotype" w:eastAsia="Palatino Linotype" w:hAnsi="Palatino Linotype" w:cs="Palatino Linotype"/>
          <w:b/>
          <w:color w:val="000000"/>
          <w:sz w:val="24"/>
          <w:szCs w:val="24"/>
        </w:rPr>
        <w:t>EL SUJETO OBLIGADO</w:t>
      </w:r>
      <w:r w:rsidRPr="00CF3C6E">
        <w:rPr>
          <w:rFonts w:ascii="Palatino Linotype" w:eastAsia="Palatino Linotype" w:hAnsi="Palatino Linotype" w:cs="Palatino Linotype"/>
          <w:color w:val="000000"/>
          <w:sz w:val="24"/>
          <w:szCs w:val="24"/>
        </w:rPr>
        <w:t xml:space="preserve"> y expresa motivos de inconformidad en contra de dicha circunstancia.</w:t>
      </w:r>
    </w:p>
    <w:p w14:paraId="7EC23139" w14:textId="77777777" w:rsidR="00CF3C6E" w:rsidRPr="00CF3C6E" w:rsidRDefault="00CF3C6E">
      <w:pPr>
        <w:rPr>
          <w:rFonts w:ascii="Palatino Linotype" w:eastAsia="Palatino Linotype" w:hAnsi="Palatino Linotype" w:cs="Palatino Linotype"/>
          <w:color w:val="000000"/>
          <w:sz w:val="24"/>
          <w:szCs w:val="24"/>
        </w:rPr>
      </w:pPr>
    </w:p>
    <w:p w14:paraId="7AE76684" w14:textId="77777777" w:rsidR="00CF3C6E" w:rsidRPr="00D60BC2" w:rsidRDefault="00CF3C6E" w:rsidP="00CF3C6E">
      <w:pPr>
        <w:pStyle w:val="Ttulo2"/>
        <w:rPr>
          <w:rFonts w:ascii="Palatino Linotype" w:hAnsi="Palatino Linotype"/>
          <w:b w:val="0"/>
          <w:sz w:val="24"/>
          <w:szCs w:val="24"/>
        </w:rPr>
      </w:pPr>
      <w:bookmarkStart w:id="1" w:name="_Toc82017149"/>
      <w:r w:rsidRPr="00D60BC2">
        <w:rPr>
          <w:rFonts w:ascii="Palatino Linotype" w:hAnsi="Palatino Linotype"/>
          <w:sz w:val="24"/>
          <w:szCs w:val="24"/>
        </w:rPr>
        <w:t xml:space="preserve">TERCERO. De las causales del sobreseimiento </w:t>
      </w:r>
    </w:p>
    <w:p w14:paraId="44DF0050" w14:textId="3BE0B400" w:rsidR="00CF3C6E" w:rsidRPr="00D60BC2" w:rsidRDefault="00CF3C6E" w:rsidP="000D7A6D">
      <w:pPr>
        <w:pStyle w:val="Prrafodelista"/>
        <w:numPr>
          <w:ilvl w:val="0"/>
          <w:numId w:val="4"/>
        </w:numPr>
        <w:spacing w:line="360" w:lineRule="auto"/>
        <w:ind w:left="0" w:right="49" w:firstLine="0"/>
        <w:contextualSpacing/>
        <w:jc w:val="both"/>
        <w:rPr>
          <w:rFonts w:ascii="Palatino Linotype" w:eastAsia="MS Gothic" w:hAnsi="Palatino Linotype"/>
          <w:b/>
          <w:lang w:val="es-ES_tradnl"/>
        </w:rPr>
      </w:pPr>
      <w:r w:rsidRPr="00D60BC2">
        <w:rPr>
          <w:rFonts w:ascii="Palatino Linotype" w:eastAsia="Palatino Linotype" w:hAnsi="Palatino Linotype" w:cs="Palatino Linotype"/>
        </w:rPr>
        <w:t>E</w:t>
      </w:r>
      <w:r w:rsidRPr="00D60BC2">
        <w:rPr>
          <w:rFonts w:ascii="Palatino Linotype" w:eastAsia="Palatino Linotype" w:hAnsi="Palatino Linotype" w:cs="Palatino Linotype"/>
          <w:color w:val="000000"/>
        </w:rPr>
        <w:t>ste Instituto, realiza el estudio preferente y oficioso de las cuales de improcedencia, en el entendido de que las mismas deben ser analizadas sea que las hayan hecho valer o no las partes, por tratarse de una cuestión de orden público y de estudio preferente.</w:t>
      </w:r>
    </w:p>
    <w:p w14:paraId="3A1BC658" w14:textId="77777777" w:rsidR="00CF3C6E" w:rsidRPr="00D60BC2" w:rsidRDefault="00CF3C6E" w:rsidP="00CF3C6E">
      <w:pPr>
        <w:spacing w:line="360" w:lineRule="auto"/>
        <w:ind w:right="49"/>
        <w:contextualSpacing/>
        <w:jc w:val="both"/>
        <w:rPr>
          <w:rFonts w:ascii="Palatino Linotype" w:hAnsi="Palatino Linotype"/>
          <w:sz w:val="24"/>
          <w:szCs w:val="24"/>
        </w:rPr>
      </w:pPr>
    </w:p>
    <w:p w14:paraId="5694EA2B" w14:textId="77777777" w:rsidR="00CF3C6E" w:rsidRPr="00D60BC2" w:rsidRDefault="00CF3C6E" w:rsidP="00CF3C6E">
      <w:pPr>
        <w:spacing w:line="360" w:lineRule="auto"/>
        <w:ind w:right="49"/>
        <w:contextualSpacing/>
        <w:jc w:val="both"/>
        <w:rPr>
          <w:rFonts w:ascii="Palatino Linotype" w:hAnsi="Palatino Linotype" w:cs="Arial"/>
          <w:sz w:val="24"/>
          <w:szCs w:val="24"/>
        </w:rPr>
      </w:pPr>
      <w:r w:rsidRPr="00D60BC2">
        <w:rPr>
          <w:rFonts w:ascii="Palatino Linotype" w:hAnsi="Palatino Linotype"/>
          <w:sz w:val="24"/>
          <w:szCs w:val="24"/>
        </w:rPr>
        <w:t>En primer término es necesario recordar que el particular solicitó lo siguiente</w:t>
      </w:r>
      <w:r w:rsidRPr="00D60BC2">
        <w:rPr>
          <w:rFonts w:ascii="Palatino Linotype" w:eastAsia="MS Gothic" w:hAnsi="Palatino Linotype" w:cstheme="majorBidi"/>
          <w:sz w:val="24"/>
          <w:szCs w:val="24"/>
        </w:rPr>
        <w:t>:</w:t>
      </w:r>
    </w:p>
    <w:p w14:paraId="29E86969" w14:textId="77777777" w:rsidR="00CF3C6E" w:rsidRPr="00D60BC2" w:rsidRDefault="00CF3C6E" w:rsidP="00CF3C6E">
      <w:pPr>
        <w:spacing w:line="360" w:lineRule="auto"/>
        <w:ind w:right="49"/>
        <w:contextualSpacing/>
        <w:jc w:val="both"/>
        <w:rPr>
          <w:rFonts w:ascii="Palatino Linotype" w:hAnsi="Palatino Linotype" w:cs="Arial"/>
          <w:sz w:val="24"/>
          <w:szCs w:val="24"/>
        </w:rPr>
      </w:pPr>
    </w:p>
    <w:p w14:paraId="5420A94D" w14:textId="77777777" w:rsidR="00CF3C6E" w:rsidRPr="00D60BC2" w:rsidRDefault="00CF3C6E" w:rsidP="00CF3C6E">
      <w:pPr>
        <w:pStyle w:val="Prrafodelista"/>
        <w:ind w:left="644" w:right="899"/>
        <w:jc w:val="both"/>
        <w:rPr>
          <w:rFonts w:ascii="Palatino Linotype" w:hAnsi="Palatino Linotype" w:cs="Arial"/>
          <w:i/>
          <w:color w:val="000000" w:themeColor="text1"/>
        </w:rPr>
      </w:pPr>
      <w:r w:rsidRPr="00D60BC2">
        <w:rPr>
          <w:rFonts w:ascii="Palatino Linotype" w:hAnsi="Palatino Linotype" w:cs="Arial"/>
          <w:i/>
          <w:color w:val="000000" w:themeColor="text1"/>
        </w:rPr>
        <w:t>“</w:t>
      </w:r>
      <w:r w:rsidRPr="00D60BC2">
        <w:rPr>
          <w:rFonts w:ascii="Palatino Linotype" w:hAnsi="Palatino Linotype"/>
          <w:i/>
          <w:color w:val="000000"/>
        </w:rPr>
        <w:t>Informe si algún proveedor de 2025 tiene relación de parentesco, amistad, sociedad o vínculo político con la presidenta municipal o su círculo de mando. En caso afirmativo, detalle nombres y vínculos</w:t>
      </w:r>
      <w:r w:rsidRPr="00D60BC2">
        <w:rPr>
          <w:rFonts w:ascii="Palatino Linotype" w:hAnsi="Palatino Linotype" w:cs="Arial"/>
          <w:i/>
          <w:color w:val="000000" w:themeColor="text1"/>
        </w:rPr>
        <w:t>” (Sic)</w:t>
      </w:r>
    </w:p>
    <w:p w14:paraId="040BC5BE" w14:textId="77777777" w:rsidR="00CF3C6E" w:rsidRPr="00D60BC2" w:rsidRDefault="00CF3C6E" w:rsidP="00CF3C6E">
      <w:pPr>
        <w:pStyle w:val="Prrafodelista"/>
        <w:ind w:left="644" w:right="899"/>
        <w:jc w:val="both"/>
        <w:rPr>
          <w:rFonts w:ascii="Palatino Linotype" w:hAnsi="Palatino Linotype" w:cs="Arial"/>
          <w:i/>
          <w:color w:val="000000" w:themeColor="text1"/>
        </w:rPr>
      </w:pPr>
    </w:p>
    <w:p w14:paraId="52ADCA89" w14:textId="77777777" w:rsidR="00CF3C6E" w:rsidRPr="00D60BC2" w:rsidRDefault="00CF3C6E" w:rsidP="000D7A6D">
      <w:pPr>
        <w:pStyle w:val="Prrafodelista"/>
        <w:numPr>
          <w:ilvl w:val="0"/>
          <w:numId w:val="4"/>
        </w:numPr>
        <w:spacing w:before="240" w:after="240" w:line="360" w:lineRule="auto"/>
        <w:ind w:left="0" w:right="49" w:firstLine="0"/>
        <w:contextualSpacing/>
        <w:jc w:val="both"/>
        <w:rPr>
          <w:rFonts w:ascii="Palatino Linotype" w:hAnsi="Palatino Linotype" w:cs="Arial"/>
        </w:rPr>
      </w:pPr>
      <w:r w:rsidRPr="00D60BC2">
        <w:rPr>
          <w:rFonts w:ascii="Palatino Linotype" w:eastAsia="MS Gothic" w:hAnsi="Palatino Linotype" w:cstheme="majorBidi"/>
        </w:rPr>
        <w:t>El Sujeto Obligado no dió respuesta a la solicitud de información.</w:t>
      </w:r>
    </w:p>
    <w:p w14:paraId="703FD2AB" w14:textId="77777777" w:rsidR="00CF3C6E" w:rsidRPr="00D60BC2" w:rsidRDefault="00CF3C6E" w:rsidP="00CF3C6E">
      <w:pPr>
        <w:pStyle w:val="Prrafodelista"/>
        <w:tabs>
          <w:tab w:val="left" w:pos="284"/>
          <w:tab w:val="left" w:pos="426"/>
        </w:tabs>
        <w:spacing w:before="240" w:after="240" w:line="360" w:lineRule="auto"/>
        <w:ind w:left="0" w:right="49"/>
        <w:contextualSpacing/>
        <w:jc w:val="both"/>
        <w:rPr>
          <w:rFonts w:ascii="Palatino Linotype" w:hAnsi="Palatino Linotype" w:cs="Arial"/>
        </w:rPr>
      </w:pPr>
    </w:p>
    <w:p w14:paraId="5B81CF59" w14:textId="77777777" w:rsidR="00CF3C6E" w:rsidRPr="00D60BC2" w:rsidRDefault="00CF3C6E" w:rsidP="000D7A6D">
      <w:pPr>
        <w:pStyle w:val="Prrafodelista"/>
        <w:numPr>
          <w:ilvl w:val="0"/>
          <w:numId w:val="4"/>
        </w:numPr>
        <w:spacing w:before="240" w:after="240" w:line="360" w:lineRule="auto"/>
        <w:ind w:left="0" w:right="49" w:firstLine="0"/>
        <w:contextualSpacing/>
        <w:jc w:val="both"/>
        <w:rPr>
          <w:rFonts w:ascii="Palatino Linotype" w:hAnsi="Palatino Linotype" w:cs="Arial"/>
        </w:rPr>
      </w:pPr>
      <w:r w:rsidRPr="00D60BC2">
        <w:rPr>
          <w:rFonts w:ascii="Palatino Linotype" w:eastAsia="MS Gothic" w:hAnsi="Palatino Linotype" w:cstheme="majorBidi"/>
        </w:rPr>
        <w:t xml:space="preserve">Inconforme con la falta de respuesta, el particular interpuso recurso de revisión con número </w:t>
      </w:r>
      <w:r w:rsidRPr="00D60BC2">
        <w:rPr>
          <w:rFonts w:ascii="Palatino Linotype" w:eastAsia="MS Gothic" w:hAnsi="Palatino Linotype" w:cstheme="majorBidi"/>
          <w:b/>
          <w:bCs/>
        </w:rPr>
        <w:t xml:space="preserve">14298/INFOEM/IP/RR/2025 </w:t>
      </w:r>
      <w:r w:rsidRPr="00D60BC2">
        <w:rPr>
          <w:rFonts w:ascii="Palatino Linotype" w:eastAsia="MS Gothic" w:hAnsi="Palatino Linotype" w:cstheme="majorBidi"/>
        </w:rPr>
        <w:t>señalando como:</w:t>
      </w:r>
    </w:p>
    <w:p w14:paraId="1DFC7275" w14:textId="77777777" w:rsidR="00CF3C6E" w:rsidRPr="00D60BC2" w:rsidRDefault="00CF3C6E" w:rsidP="00CF3C6E">
      <w:pPr>
        <w:pStyle w:val="Prrafodelista"/>
        <w:rPr>
          <w:rFonts w:ascii="Palatino Linotype" w:hAnsi="Palatino Linotype" w:cs="Arial"/>
        </w:rPr>
      </w:pPr>
    </w:p>
    <w:p w14:paraId="78BFC645" w14:textId="486AFE99" w:rsidR="00CF3C6E" w:rsidRPr="00D60BC2" w:rsidRDefault="000D7A6D" w:rsidP="00CF3C6E">
      <w:pPr>
        <w:numPr>
          <w:ilvl w:val="0"/>
          <w:numId w:val="5"/>
        </w:numPr>
        <w:spacing w:after="0"/>
        <w:ind w:left="993"/>
        <w:jc w:val="both"/>
        <w:rPr>
          <w:rFonts w:ascii="Palatino Linotype" w:eastAsia="Palatino Linotype" w:hAnsi="Palatino Linotype" w:cs="Palatino Linotype"/>
          <w:b/>
          <w:sz w:val="24"/>
          <w:szCs w:val="24"/>
        </w:rPr>
      </w:pPr>
      <w:r w:rsidRPr="00D60BC2">
        <w:rPr>
          <w:rFonts w:ascii="Palatino Linotype" w:eastAsia="Palatino Linotype" w:hAnsi="Palatino Linotype" w:cs="Palatino Linotype"/>
          <w:b/>
          <w:sz w:val="24"/>
          <w:szCs w:val="24"/>
        </w:rPr>
        <w:t xml:space="preserve">ACTO IMPUGNADO: </w:t>
      </w:r>
    </w:p>
    <w:p w14:paraId="7026481D" w14:textId="77777777" w:rsidR="00CF3C6E" w:rsidRPr="00D60BC2" w:rsidRDefault="00CF3C6E" w:rsidP="00CF3C6E">
      <w:pPr>
        <w:ind w:left="633"/>
        <w:jc w:val="both"/>
        <w:rPr>
          <w:rFonts w:ascii="Palatino Linotype" w:eastAsia="Times New Roman" w:hAnsi="Palatino Linotype" w:cs="Times New Roman"/>
          <w:i/>
          <w:sz w:val="24"/>
          <w:szCs w:val="24"/>
          <w:lang w:val="es-MX"/>
        </w:rPr>
      </w:pPr>
      <w:r w:rsidRPr="00D60BC2">
        <w:rPr>
          <w:rFonts w:ascii="Palatino Linotype" w:eastAsia="Palatino Linotype" w:hAnsi="Palatino Linotype" w:cs="Palatino Linotype"/>
          <w:i/>
          <w:color w:val="000000"/>
          <w:sz w:val="24"/>
          <w:szCs w:val="24"/>
        </w:rPr>
        <w:t>“</w:t>
      </w:r>
      <w:r w:rsidRPr="00D60BC2">
        <w:rPr>
          <w:rFonts w:ascii="Palatino Linotype" w:hAnsi="Palatino Linotype"/>
          <w:i/>
          <w:color w:val="000000"/>
          <w:sz w:val="24"/>
          <w:szCs w:val="24"/>
        </w:rPr>
        <w:t>Informe si algún proveedor de 2025 tiene relación de parentesco, amistad, sociedad o vínculo político con la presidenta municipal o su círculo de mando. En caso afirmativo, detalle nombres y vínculos.</w:t>
      </w:r>
      <w:r w:rsidRPr="00D60BC2">
        <w:rPr>
          <w:rFonts w:ascii="Palatino Linotype" w:eastAsia="Palatino Linotype" w:hAnsi="Palatino Linotype" w:cs="Palatino Linotype"/>
          <w:i/>
          <w:color w:val="000000"/>
          <w:sz w:val="24"/>
          <w:szCs w:val="24"/>
        </w:rPr>
        <w:t xml:space="preserve"> “(Sic).</w:t>
      </w:r>
    </w:p>
    <w:p w14:paraId="0AF678D8" w14:textId="219840A2" w:rsidR="00CF3C6E" w:rsidRPr="00D60BC2" w:rsidRDefault="000D7A6D" w:rsidP="00CF3C6E">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D60BC2">
        <w:rPr>
          <w:rFonts w:ascii="Palatino Linotype" w:eastAsia="Palatino Linotype" w:hAnsi="Palatino Linotype" w:cs="Palatino Linotype"/>
          <w:b/>
          <w:color w:val="000000"/>
          <w:sz w:val="24"/>
          <w:szCs w:val="24"/>
        </w:rPr>
        <w:lastRenderedPageBreak/>
        <w:t>RAZONES O MOTIVOS DE INCONFORMIDAD</w:t>
      </w:r>
      <w:r w:rsidR="00CF3C6E" w:rsidRPr="00D60BC2">
        <w:rPr>
          <w:rFonts w:ascii="Palatino Linotype" w:eastAsia="Palatino Linotype" w:hAnsi="Palatino Linotype" w:cs="Palatino Linotype"/>
          <w:color w:val="000000"/>
          <w:sz w:val="24"/>
          <w:szCs w:val="24"/>
        </w:rPr>
        <w:t xml:space="preserve">: </w:t>
      </w:r>
    </w:p>
    <w:p w14:paraId="2C86AF6A" w14:textId="77777777" w:rsidR="00CF3C6E" w:rsidRPr="00D60BC2" w:rsidRDefault="00CF3C6E" w:rsidP="00CF3C6E">
      <w:pPr>
        <w:pStyle w:val="Prrafodelista"/>
        <w:ind w:left="720"/>
        <w:jc w:val="both"/>
        <w:rPr>
          <w:rFonts w:ascii="Palatino Linotype" w:eastAsia="Palatino Linotype" w:hAnsi="Palatino Linotype" w:cs="Palatino Linotype"/>
          <w:i/>
          <w:color w:val="000000"/>
        </w:rPr>
      </w:pPr>
      <w:r w:rsidRPr="00D60BC2">
        <w:rPr>
          <w:rFonts w:ascii="Palatino Linotype" w:eastAsia="Palatino Linotype" w:hAnsi="Palatino Linotype" w:cs="Palatino Linotype"/>
          <w:i/>
          <w:color w:val="000000"/>
        </w:rPr>
        <w:t xml:space="preserve"> “</w:t>
      </w:r>
      <w:r w:rsidRPr="00D60BC2">
        <w:rPr>
          <w:rFonts w:ascii="Palatino Linotype" w:hAnsi="Palatino Linotype"/>
          <w:i/>
          <w:color w:val="000000"/>
        </w:rPr>
        <w:t>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60BC2">
        <w:rPr>
          <w:rFonts w:ascii="Palatino Linotype" w:eastAsia="Palatino Linotype" w:hAnsi="Palatino Linotype" w:cs="Palatino Linotype"/>
          <w:i/>
          <w:color w:val="000000"/>
        </w:rPr>
        <w:t xml:space="preserve"> (Sic).</w:t>
      </w:r>
    </w:p>
    <w:p w14:paraId="46045125" w14:textId="77777777" w:rsidR="00CF3C6E" w:rsidRPr="00D60BC2" w:rsidRDefault="00CF3C6E" w:rsidP="00CF3C6E">
      <w:pPr>
        <w:ind w:right="899"/>
        <w:jc w:val="both"/>
        <w:rPr>
          <w:rFonts w:ascii="Palatino Linotype" w:hAnsi="Palatino Linotype" w:cs="Arial"/>
          <w:i/>
          <w:color w:val="000000" w:themeColor="text1"/>
          <w:sz w:val="24"/>
          <w:szCs w:val="24"/>
        </w:rPr>
      </w:pPr>
    </w:p>
    <w:bookmarkEnd w:id="1"/>
    <w:p w14:paraId="2EA9D7E7" w14:textId="77777777" w:rsidR="00CF3C6E" w:rsidRPr="00D60BC2" w:rsidRDefault="00CF3C6E" w:rsidP="000D7A6D">
      <w:pPr>
        <w:pStyle w:val="Prrafodelista"/>
        <w:numPr>
          <w:ilvl w:val="0"/>
          <w:numId w:val="4"/>
        </w:numPr>
        <w:spacing w:before="240" w:line="360" w:lineRule="auto"/>
        <w:ind w:left="0" w:right="49" w:firstLine="0"/>
        <w:contextualSpacing/>
        <w:jc w:val="both"/>
        <w:rPr>
          <w:rFonts w:ascii="Palatino Linotype" w:eastAsia="Palatino Linotype" w:hAnsi="Palatino Linotype" w:cs="Palatino Linotype"/>
          <w:b/>
          <w:color w:val="000000"/>
        </w:rPr>
      </w:pPr>
      <w:r w:rsidRPr="00D60BC2">
        <w:rPr>
          <w:rFonts w:ascii="Palatino Linotype" w:eastAsia="Palatino Linotype" w:hAnsi="Palatino Linotype" w:cs="Palatino Linotype"/>
          <w:color w:val="000000"/>
        </w:rPr>
        <w:t xml:space="preserve">De la solicitud se advierte, que el particular planteó una cuestión con la que pretende que EL </w:t>
      </w:r>
      <w:r w:rsidRPr="00D60BC2">
        <w:rPr>
          <w:rFonts w:ascii="Palatino Linotype" w:eastAsia="Palatino Linotype" w:hAnsi="Palatino Linotype" w:cs="Palatino Linotype"/>
          <w:b/>
          <w:color w:val="000000"/>
        </w:rPr>
        <w:t>SUJETO OBLIGADO</w:t>
      </w:r>
      <w:r w:rsidRPr="00D60BC2">
        <w:rPr>
          <w:rFonts w:ascii="Palatino Linotype" w:eastAsia="Palatino Linotype" w:hAnsi="Palatino Linotype" w:cs="Palatino Linotype"/>
          <w:color w:val="000000"/>
        </w:rPr>
        <w:t xml:space="preserve"> de respuesta a un cuestionamiento, por lo que el particular no </w:t>
      </w:r>
      <w:r w:rsidRPr="00D60BC2">
        <w:rPr>
          <w:rFonts w:ascii="Palatino Linotype" w:eastAsia="Palatino Linotype" w:hAnsi="Palatino Linotype" w:cs="Palatino Linotype"/>
          <w:color w:val="000000"/>
        </w:rPr>
        <w:lastRenderedPageBreak/>
        <w:t xml:space="preserve">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Pr="00D60BC2">
        <w:rPr>
          <w:rFonts w:ascii="Palatino Linotype" w:eastAsia="Palatino Linotype" w:hAnsi="Palatino Linotype" w:cs="Palatino Linotype"/>
          <w:b/>
          <w:color w:val="000000"/>
        </w:rPr>
        <w:t>SUJETO OBLIGADO.</w:t>
      </w:r>
    </w:p>
    <w:p w14:paraId="44CC7C21" w14:textId="77777777" w:rsidR="00CF3C6E" w:rsidRPr="00D60BC2" w:rsidRDefault="00CF3C6E" w:rsidP="00CF3C6E">
      <w:pPr>
        <w:spacing w:line="360" w:lineRule="auto"/>
        <w:jc w:val="both"/>
        <w:rPr>
          <w:rFonts w:ascii="Palatino Linotype" w:eastAsia="Palatino Linotype" w:hAnsi="Palatino Linotype" w:cs="Palatino Linotype"/>
          <w:color w:val="000000"/>
          <w:sz w:val="24"/>
          <w:szCs w:val="24"/>
        </w:rPr>
      </w:pPr>
    </w:p>
    <w:p w14:paraId="73C2D534" w14:textId="77777777" w:rsidR="00CF3C6E" w:rsidRPr="00D60BC2" w:rsidRDefault="00CF3C6E" w:rsidP="000D7A6D">
      <w:pPr>
        <w:numPr>
          <w:ilvl w:val="0"/>
          <w:numId w:val="4"/>
        </w:numPr>
        <w:spacing w:after="0" w:line="360" w:lineRule="auto"/>
        <w:ind w:left="0" w:firstLine="0"/>
        <w:contextualSpacing/>
        <w:jc w:val="both"/>
        <w:rPr>
          <w:rFonts w:ascii="Palatino Linotype" w:eastAsia="MS Mincho" w:hAnsi="Palatino Linotype"/>
          <w:sz w:val="24"/>
          <w:szCs w:val="24"/>
        </w:rPr>
      </w:pPr>
      <w:r w:rsidRPr="00D60BC2">
        <w:rPr>
          <w:rFonts w:ascii="Palatino Linotype" w:hAnsi="Palatino Linotype" w:cs="Arial"/>
          <w:sz w:val="24"/>
          <w:szCs w:val="24"/>
        </w:rPr>
        <w:t>En este orden de ideas, es importante dejar en claro lo que debe entenderse por derecho de petición, así como por derecho de acceso a la información pública, con el objeto de distinguir el ejercicio de ambos derechos.</w:t>
      </w:r>
    </w:p>
    <w:p w14:paraId="147A1638" w14:textId="77777777" w:rsidR="00CF3C6E" w:rsidRPr="00D60BC2" w:rsidRDefault="00CF3C6E" w:rsidP="000D7A6D">
      <w:pPr>
        <w:spacing w:line="360" w:lineRule="auto"/>
        <w:contextualSpacing/>
        <w:rPr>
          <w:rFonts w:ascii="Palatino Linotype" w:eastAsia="MS Mincho" w:hAnsi="Palatino Linotype"/>
          <w:sz w:val="24"/>
          <w:szCs w:val="24"/>
        </w:rPr>
      </w:pPr>
    </w:p>
    <w:p w14:paraId="2AB30C3B" w14:textId="77777777" w:rsidR="00CF3C6E" w:rsidRPr="00D60BC2" w:rsidRDefault="00CF3C6E" w:rsidP="000D7A6D">
      <w:pPr>
        <w:numPr>
          <w:ilvl w:val="0"/>
          <w:numId w:val="4"/>
        </w:numPr>
        <w:spacing w:after="0" w:line="360" w:lineRule="auto"/>
        <w:ind w:left="0" w:firstLine="0"/>
        <w:contextualSpacing/>
        <w:jc w:val="both"/>
        <w:rPr>
          <w:rFonts w:ascii="Palatino Linotype" w:eastAsia="MS Mincho" w:hAnsi="Palatino Linotype"/>
          <w:sz w:val="24"/>
          <w:szCs w:val="24"/>
        </w:rPr>
      </w:pPr>
      <w:r w:rsidRPr="00D60BC2">
        <w:rPr>
          <w:rFonts w:ascii="Palatino Linotype" w:hAnsi="Palatino Linotype" w:cs="Arial"/>
          <w:sz w:val="24"/>
          <w:szCs w:val="24"/>
        </w:rPr>
        <w:t xml:space="preserve">Por lo que respecta a la definición de Derecho de Petición, el Maestro Ignacio Burgoa Orihuela refiere: </w:t>
      </w:r>
    </w:p>
    <w:p w14:paraId="5205C6C0" w14:textId="77777777" w:rsidR="00CF3C6E" w:rsidRPr="00D60BC2" w:rsidRDefault="00CF3C6E" w:rsidP="00CF3C6E">
      <w:pPr>
        <w:tabs>
          <w:tab w:val="left" w:pos="9214"/>
        </w:tabs>
        <w:spacing w:line="360" w:lineRule="auto"/>
        <w:ind w:left="851" w:right="822"/>
        <w:jc w:val="both"/>
        <w:rPr>
          <w:rFonts w:ascii="Palatino Linotype" w:hAnsi="Palatino Linotype"/>
          <w:sz w:val="24"/>
          <w:szCs w:val="24"/>
        </w:rPr>
      </w:pPr>
      <w:r w:rsidRPr="00D60BC2">
        <w:rPr>
          <w:rFonts w:ascii="Palatino Linotype" w:hAnsi="Palatino Linotype"/>
          <w:i/>
          <w:sz w:val="24"/>
          <w:szCs w:val="24"/>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D60BC2">
        <w:rPr>
          <w:rFonts w:ascii="Palatino Linotype" w:hAnsi="Palatino Linotype"/>
          <w:sz w:val="24"/>
          <w:szCs w:val="24"/>
        </w:rPr>
        <w:t>(Sic)</w:t>
      </w:r>
    </w:p>
    <w:p w14:paraId="42A69EBF" w14:textId="77777777" w:rsidR="00CF3C6E" w:rsidRPr="00D60BC2" w:rsidRDefault="00CF3C6E" w:rsidP="00CF3C6E">
      <w:pPr>
        <w:tabs>
          <w:tab w:val="left" w:pos="9214"/>
        </w:tabs>
        <w:spacing w:line="360" w:lineRule="auto"/>
        <w:ind w:right="709"/>
        <w:jc w:val="both"/>
        <w:rPr>
          <w:rFonts w:ascii="Palatino Linotype" w:hAnsi="Palatino Linotype"/>
          <w:i/>
          <w:sz w:val="24"/>
          <w:szCs w:val="24"/>
        </w:rPr>
      </w:pPr>
    </w:p>
    <w:p w14:paraId="0D24EDEA" w14:textId="77777777" w:rsidR="00CF3C6E" w:rsidRPr="00D60BC2" w:rsidRDefault="00CF3C6E" w:rsidP="000D7A6D">
      <w:pPr>
        <w:numPr>
          <w:ilvl w:val="0"/>
          <w:numId w:val="4"/>
        </w:numPr>
        <w:autoSpaceDE w:val="0"/>
        <w:autoSpaceDN w:val="0"/>
        <w:adjustRightInd w:val="0"/>
        <w:spacing w:before="120" w:after="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Por su parte, David Cienfuegos Salgado, concibe al derecho de petición como: </w:t>
      </w:r>
    </w:p>
    <w:p w14:paraId="5CC7EC65" w14:textId="77777777" w:rsidR="00CF3C6E" w:rsidRPr="00D60BC2" w:rsidRDefault="00CF3C6E" w:rsidP="000D7A6D">
      <w:pPr>
        <w:tabs>
          <w:tab w:val="left" w:pos="9214"/>
        </w:tabs>
        <w:spacing w:line="360" w:lineRule="auto"/>
        <w:ind w:right="709"/>
        <w:jc w:val="both"/>
        <w:rPr>
          <w:rFonts w:ascii="Palatino Linotype" w:hAnsi="Palatino Linotype"/>
          <w:sz w:val="24"/>
          <w:szCs w:val="24"/>
        </w:rPr>
      </w:pPr>
      <w:r w:rsidRPr="00D60BC2">
        <w:rPr>
          <w:rFonts w:ascii="Palatino Linotype" w:hAnsi="Palatino Linotype"/>
          <w:i/>
          <w:sz w:val="24"/>
          <w:szCs w:val="24"/>
        </w:rPr>
        <w:t xml:space="preserve">“… el derecho de toda persona a ser escuchado por quienes ejercen el poder público...” </w:t>
      </w:r>
      <w:r w:rsidRPr="00D60BC2">
        <w:rPr>
          <w:rFonts w:ascii="Palatino Linotype" w:hAnsi="Palatino Linotype"/>
          <w:sz w:val="24"/>
          <w:szCs w:val="24"/>
        </w:rPr>
        <w:t xml:space="preserve">(Sic) </w:t>
      </w:r>
    </w:p>
    <w:p w14:paraId="7CC4B5FB" w14:textId="77777777" w:rsidR="00CF3C6E" w:rsidRPr="00D60BC2" w:rsidRDefault="00CF3C6E" w:rsidP="000D7A6D">
      <w:pPr>
        <w:tabs>
          <w:tab w:val="left" w:pos="9214"/>
        </w:tabs>
        <w:spacing w:line="360" w:lineRule="auto"/>
        <w:ind w:right="709"/>
        <w:jc w:val="both"/>
        <w:rPr>
          <w:rFonts w:ascii="Palatino Linotype" w:hAnsi="Palatino Linotype"/>
          <w:i/>
          <w:sz w:val="24"/>
          <w:szCs w:val="24"/>
        </w:rPr>
      </w:pPr>
    </w:p>
    <w:p w14:paraId="21864F7A" w14:textId="77777777" w:rsidR="00CF3C6E" w:rsidRPr="00D60BC2" w:rsidRDefault="00CF3C6E" w:rsidP="000D7A6D">
      <w:pPr>
        <w:numPr>
          <w:ilvl w:val="0"/>
          <w:numId w:val="4"/>
        </w:numPr>
        <w:autoSpaceDE w:val="0"/>
        <w:autoSpaceDN w:val="0"/>
        <w:adjustRightInd w:val="0"/>
        <w:spacing w:before="120" w:after="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A este respecto, para diferenciar el derecho de petición del derecho de acceso a la información, resulta conducente señalar que José Guadalupe Robles, conceptualiza al derecho a la información como: </w:t>
      </w:r>
    </w:p>
    <w:p w14:paraId="38A3C760" w14:textId="77777777" w:rsidR="00CF3C6E" w:rsidRPr="00D60BC2" w:rsidRDefault="00CF3C6E" w:rsidP="00CF3C6E">
      <w:pPr>
        <w:autoSpaceDE w:val="0"/>
        <w:autoSpaceDN w:val="0"/>
        <w:adjustRightInd w:val="0"/>
        <w:spacing w:before="120" w:line="360" w:lineRule="auto"/>
        <w:contextualSpacing/>
        <w:jc w:val="both"/>
        <w:rPr>
          <w:rFonts w:ascii="Palatino Linotype" w:hAnsi="Palatino Linotype" w:cs="Arial"/>
          <w:sz w:val="24"/>
          <w:szCs w:val="24"/>
        </w:rPr>
      </w:pPr>
    </w:p>
    <w:p w14:paraId="7E246F5C" w14:textId="77777777" w:rsidR="00CF3C6E" w:rsidRPr="00D60BC2" w:rsidRDefault="00CF3C6E" w:rsidP="00CF3C6E">
      <w:pPr>
        <w:tabs>
          <w:tab w:val="left" w:pos="9214"/>
        </w:tabs>
        <w:spacing w:line="360" w:lineRule="auto"/>
        <w:ind w:left="851" w:right="822"/>
        <w:jc w:val="both"/>
        <w:rPr>
          <w:rFonts w:ascii="Palatino Linotype" w:hAnsi="Palatino Linotype"/>
          <w:i/>
          <w:sz w:val="24"/>
          <w:szCs w:val="24"/>
        </w:rPr>
      </w:pPr>
      <w:r w:rsidRPr="00D60BC2">
        <w:rPr>
          <w:rFonts w:ascii="Palatino Linotype" w:hAnsi="Palatino Linotype"/>
          <w:i/>
          <w:sz w:val="24"/>
          <w:szCs w:val="24"/>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D60BC2">
        <w:rPr>
          <w:rFonts w:ascii="Palatino Linotype" w:hAnsi="Palatino Linotype"/>
          <w:sz w:val="24"/>
          <w:szCs w:val="24"/>
        </w:rPr>
        <w:t>(Sic)</w:t>
      </w:r>
      <w:r w:rsidRPr="00D60BC2">
        <w:rPr>
          <w:rFonts w:ascii="Palatino Linotype" w:hAnsi="Palatino Linotype"/>
          <w:i/>
          <w:sz w:val="24"/>
          <w:szCs w:val="24"/>
        </w:rPr>
        <w:t xml:space="preserve"> </w:t>
      </w:r>
    </w:p>
    <w:p w14:paraId="56D1132F" w14:textId="77777777" w:rsidR="00CF3C6E" w:rsidRPr="00D60BC2" w:rsidRDefault="00CF3C6E" w:rsidP="00CF3C6E">
      <w:pPr>
        <w:autoSpaceDE w:val="0"/>
        <w:autoSpaceDN w:val="0"/>
        <w:adjustRightInd w:val="0"/>
        <w:spacing w:before="120" w:after="120" w:line="360" w:lineRule="auto"/>
        <w:contextualSpacing/>
        <w:jc w:val="both"/>
        <w:rPr>
          <w:rFonts w:ascii="Palatino Linotype" w:hAnsi="Palatino Linotype"/>
          <w:sz w:val="24"/>
          <w:szCs w:val="24"/>
        </w:rPr>
      </w:pPr>
    </w:p>
    <w:p w14:paraId="2DD9C82B"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sz w:val="24"/>
          <w:szCs w:val="24"/>
        </w:rPr>
      </w:pPr>
      <w:r w:rsidRPr="00D60BC2">
        <w:rPr>
          <w:rFonts w:ascii="Palatino Linotype" w:hAnsi="Palatino Linotype" w:cs="Arial"/>
          <w:sz w:val="24"/>
          <w:szCs w:val="24"/>
        </w:rPr>
        <w:t xml:space="preserve">Ahora bien, el derecho </w:t>
      </w:r>
      <w:r w:rsidRPr="00D60BC2">
        <w:rPr>
          <w:rFonts w:ascii="Palatino Linotype" w:hAnsi="Palatino Linotype"/>
          <w:sz w:val="24"/>
          <w:szCs w:val="24"/>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D36BB11" w14:textId="77777777" w:rsidR="00CF3C6E" w:rsidRPr="00D60BC2" w:rsidRDefault="00CF3C6E" w:rsidP="00CF3C6E">
      <w:pPr>
        <w:spacing w:before="120" w:after="120" w:line="360" w:lineRule="auto"/>
        <w:ind w:left="851" w:right="822"/>
        <w:jc w:val="both"/>
        <w:rPr>
          <w:rFonts w:ascii="Palatino Linotype" w:hAnsi="Palatino Linotype"/>
          <w:i/>
          <w:sz w:val="24"/>
          <w:szCs w:val="24"/>
        </w:rPr>
      </w:pPr>
      <w:r w:rsidRPr="00D60BC2">
        <w:rPr>
          <w:rFonts w:ascii="Palatino Linotype" w:hAnsi="Palatino Linotype"/>
          <w:sz w:val="24"/>
          <w:szCs w:val="24"/>
        </w:rPr>
        <w:t>“</w:t>
      </w:r>
      <w:r w:rsidRPr="00D60BC2">
        <w:rPr>
          <w:rFonts w:ascii="Palatino Linotype" w:hAnsi="Palatino Linotype"/>
          <w:b/>
          <w:i/>
          <w:sz w:val="24"/>
          <w:szCs w:val="24"/>
        </w:rPr>
        <w:t>Artículo 4.</w:t>
      </w:r>
      <w:r w:rsidRPr="00D60BC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B35D08" w14:textId="77777777" w:rsidR="00CF3C6E" w:rsidRPr="00D60BC2" w:rsidRDefault="00CF3C6E" w:rsidP="00CF3C6E">
      <w:pPr>
        <w:spacing w:before="120" w:after="120" w:line="360" w:lineRule="auto"/>
        <w:ind w:left="851" w:right="822"/>
        <w:jc w:val="both"/>
        <w:rPr>
          <w:rFonts w:ascii="Palatino Linotype" w:hAnsi="Palatino Linotype"/>
          <w:i/>
          <w:sz w:val="24"/>
          <w:szCs w:val="24"/>
        </w:rPr>
      </w:pPr>
      <w:r w:rsidRPr="00D60BC2">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D60BC2">
        <w:rPr>
          <w:rFonts w:ascii="Palatino Linotype" w:hAnsi="Palatino Linotype" w:cs="Arial"/>
          <w:i/>
          <w:color w:val="000000"/>
          <w:sz w:val="24"/>
          <w:szCs w:val="24"/>
        </w:rPr>
        <w:t>mexicano</w:t>
      </w:r>
      <w:r w:rsidRPr="00D60BC2">
        <w:rPr>
          <w:rFonts w:ascii="Palatino Linotype" w:hAnsi="Palatino Linotype"/>
          <w:i/>
          <w:sz w:val="24"/>
          <w:szCs w:val="24"/>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04DE49" w14:textId="77777777" w:rsidR="00CF3C6E" w:rsidRPr="00D60BC2" w:rsidRDefault="00CF3C6E" w:rsidP="00CF3C6E">
      <w:pPr>
        <w:spacing w:before="120" w:after="120" w:line="360" w:lineRule="auto"/>
        <w:ind w:left="851" w:right="822"/>
        <w:jc w:val="both"/>
        <w:rPr>
          <w:rFonts w:ascii="Palatino Linotype" w:hAnsi="Palatino Linotype"/>
          <w:i/>
          <w:sz w:val="24"/>
          <w:szCs w:val="24"/>
        </w:rPr>
      </w:pPr>
      <w:r w:rsidRPr="00D60BC2">
        <w:rPr>
          <w:rFonts w:ascii="Palatino Linotype" w:hAnsi="Palatino Linotype"/>
          <w:i/>
          <w:sz w:val="24"/>
          <w:szCs w:val="24"/>
        </w:rPr>
        <w:lastRenderedPageBreak/>
        <w:t>Los sujetos obligados deben poner en práctica, políticas y programas de acceso a la información</w:t>
      </w:r>
      <w:r w:rsidRPr="00D60BC2">
        <w:rPr>
          <w:rFonts w:ascii="Palatino Linotype" w:hAnsi="Palatino Linotype"/>
          <w:sz w:val="24"/>
          <w:szCs w:val="24"/>
        </w:rPr>
        <w:t xml:space="preserve"> </w:t>
      </w:r>
      <w:r w:rsidRPr="00D60BC2">
        <w:rPr>
          <w:rFonts w:ascii="Palatino Linotype" w:hAnsi="Palatino Linotype"/>
          <w:i/>
          <w:sz w:val="24"/>
          <w:szCs w:val="24"/>
        </w:rPr>
        <w:t>que se apeguen a criterios de publicidad, veracidad, oportunidad, precisión y suficiencia en beneficio de los solicitantes.”</w:t>
      </w:r>
    </w:p>
    <w:p w14:paraId="20D08351" w14:textId="77777777" w:rsidR="00CF3C6E" w:rsidRPr="00D60BC2" w:rsidRDefault="00CF3C6E" w:rsidP="00CF3C6E">
      <w:pPr>
        <w:spacing w:before="120" w:after="120" w:line="360" w:lineRule="auto"/>
        <w:ind w:left="709" w:right="709"/>
        <w:jc w:val="both"/>
        <w:rPr>
          <w:rFonts w:ascii="Palatino Linotype" w:hAnsi="Palatino Linotype"/>
          <w:i/>
          <w:sz w:val="24"/>
          <w:szCs w:val="24"/>
        </w:rPr>
      </w:pPr>
    </w:p>
    <w:p w14:paraId="7A4A8A5F"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8AB5773" w14:textId="77777777" w:rsidR="00CF3C6E" w:rsidRPr="00D60BC2" w:rsidRDefault="00CF3C6E" w:rsidP="000D7A6D">
      <w:pPr>
        <w:autoSpaceDE w:val="0"/>
        <w:autoSpaceDN w:val="0"/>
        <w:adjustRightInd w:val="0"/>
        <w:spacing w:before="120" w:after="120" w:line="360" w:lineRule="auto"/>
        <w:contextualSpacing/>
        <w:jc w:val="both"/>
        <w:rPr>
          <w:rFonts w:ascii="Palatino Linotype" w:hAnsi="Palatino Linotype" w:cs="Arial"/>
          <w:sz w:val="24"/>
          <w:szCs w:val="24"/>
        </w:rPr>
      </w:pPr>
    </w:p>
    <w:p w14:paraId="004690DA"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E2FA5E8" w14:textId="77777777" w:rsidR="00CF3C6E" w:rsidRPr="00D60BC2" w:rsidRDefault="00CF3C6E" w:rsidP="00CF3C6E">
      <w:pPr>
        <w:spacing w:line="360" w:lineRule="auto"/>
        <w:contextualSpacing/>
        <w:rPr>
          <w:rFonts w:ascii="Palatino Linotype" w:hAnsi="Palatino Linotype" w:cs="Arial"/>
          <w:sz w:val="24"/>
          <w:szCs w:val="24"/>
        </w:rPr>
      </w:pPr>
    </w:p>
    <w:p w14:paraId="74FC7D49"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En esa tesitura, los Sujetos Obligados deberán poner en práctica, políticas y programas de acceso a la información que se apeguen a criterios de publicidad, veracidad, oportunidad, precisión y suficiencia en beneficio de los solicitantes</w:t>
      </w:r>
    </w:p>
    <w:p w14:paraId="155F571A" w14:textId="77777777" w:rsidR="00CF3C6E" w:rsidRPr="00D60BC2" w:rsidRDefault="00CF3C6E" w:rsidP="000D7A6D">
      <w:pPr>
        <w:contextualSpacing/>
        <w:rPr>
          <w:rFonts w:ascii="Palatino Linotype" w:hAnsi="Palatino Linotype" w:cs="Arial"/>
          <w:sz w:val="24"/>
          <w:szCs w:val="24"/>
        </w:rPr>
      </w:pPr>
    </w:p>
    <w:p w14:paraId="059D4469"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Lo anterior tiene sustento en los artículos 3 fracciones XI y XXII; 4; 11 y 41 de la Ley de Transparencia y Acceso a la Información Pública del Estado de México y Municipios:</w:t>
      </w:r>
    </w:p>
    <w:p w14:paraId="6B2E8D1D"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
          <w:bCs/>
          <w:i/>
          <w:noProof/>
          <w:sz w:val="24"/>
          <w:szCs w:val="24"/>
        </w:rPr>
        <w:lastRenderedPageBreak/>
        <w:t xml:space="preserve">“Artículo 3. </w:t>
      </w:r>
      <w:r w:rsidRPr="00D60BC2">
        <w:rPr>
          <w:rFonts w:ascii="Palatino Linotype" w:hAnsi="Palatino Linotype" w:cs="Arial"/>
          <w:b/>
          <w:bCs/>
          <w:i/>
          <w:noProof/>
          <w:sz w:val="24"/>
          <w:szCs w:val="24"/>
          <w:u w:val="single"/>
        </w:rPr>
        <w:t xml:space="preserve">Para los efectos </w:t>
      </w:r>
      <w:r w:rsidRPr="00D60BC2">
        <w:rPr>
          <w:rFonts w:ascii="Palatino Linotype" w:hAnsi="Palatino Linotype" w:cs="Arial"/>
          <w:b/>
          <w:i/>
          <w:sz w:val="24"/>
          <w:szCs w:val="24"/>
          <w:u w:val="single"/>
        </w:rPr>
        <w:t>de</w:t>
      </w:r>
      <w:r w:rsidRPr="00D60BC2">
        <w:rPr>
          <w:rFonts w:ascii="Palatino Linotype" w:hAnsi="Palatino Linotype" w:cs="Arial"/>
          <w:b/>
          <w:bCs/>
          <w:i/>
          <w:noProof/>
          <w:sz w:val="24"/>
          <w:szCs w:val="24"/>
          <w:u w:val="single"/>
        </w:rPr>
        <w:t xml:space="preserve"> la presente Ley se entenderá por</w:t>
      </w:r>
      <w:r w:rsidRPr="00D60BC2">
        <w:rPr>
          <w:rFonts w:ascii="Palatino Linotype" w:hAnsi="Palatino Linotype" w:cs="Arial"/>
          <w:b/>
          <w:bCs/>
          <w:i/>
          <w:noProof/>
          <w:sz w:val="24"/>
          <w:szCs w:val="24"/>
        </w:rPr>
        <w:t xml:space="preserve">: </w:t>
      </w:r>
      <w:r w:rsidRPr="00D60BC2">
        <w:rPr>
          <w:rFonts w:ascii="Palatino Linotype" w:hAnsi="Palatino Linotype" w:cs="Arial"/>
          <w:bCs/>
          <w:i/>
          <w:noProof/>
          <w:sz w:val="24"/>
          <w:szCs w:val="24"/>
        </w:rPr>
        <w:t>…</w:t>
      </w:r>
    </w:p>
    <w:p w14:paraId="73E88BE4"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Cs/>
          <w:i/>
          <w:noProof/>
          <w:sz w:val="24"/>
          <w:szCs w:val="24"/>
        </w:rPr>
        <w:t>…</w:t>
      </w:r>
    </w:p>
    <w:p w14:paraId="3B4B9B7F"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
          <w:bCs/>
          <w:i/>
          <w:noProof/>
          <w:sz w:val="24"/>
          <w:szCs w:val="24"/>
        </w:rPr>
        <w:t>XI. Documento:</w:t>
      </w:r>
      <w:r w:rsidRPr="00D60BC2">
        <w:rPr>
          <w:rFonts w:ascii="Palatino Linotype" w:hAnsi="Palatino Linotype" w:cs="Arial"/>
          <w:bCs/>
          <w:i/>
          <w:noProof/>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D60BC2">
        <w:rPr>
          <w:rFonts w:ascii="Palatino Linotype" w:hAnsi="Palatino Linotype" w:cs="Arial"/>
          <w:i/>
          <w:color w:val="000000"/>
          <w:sz w:val="24"/>
          <w:szCs w:val="24"/>
        </w:rPr>
        <w:t>servidores</w:t>
      </w:r>
      <w:r w:rsidRPr="00D60BC2">
        <w:rPr>
          <w:rFonts w:ascii="Palatino Linotype" w:hAnsi="Palatino Linotype" w:cs="Arial"/>
          <w:bCs/>
          <w:i/>
          <w:noProof/>
          <w:sz w:val="24"/>
          <w:szCs w:val="24"/>
        </w:rPr>
        <w:t xml:space="preserve"> públicos e integrantes, sin importar su fuente o fecha de elaboración. Los documentos podrán estar en cualquier medio, sea escrito, impreso, sonoro, visual, electrónico, informático u holográfico; </w:t>
      </w:r>
    </w:p>
    <w:p w14:paraId="5E991FBE"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
          <w:bCs/>
          <w:i/>
          <w:noProof/>
          <w:sz w:val="24"/>
          <w:szCs w:val="24"/>
        </w:rPr>
        <w:t>Artículo 4.</w:t>
      </w:r>
      <w:r w:rsidRPr="00D60BC2">
        <w:rPr>
          <w:rFonts w:ascii="Palatino Linotype" w:hAnsi="Palatino Linotype" w:cs="Arial"/>
          <w:bCs/>
          <w:i/>
          <w:noProof/>
          <w:sz w:val="24"/>
          <w:szCs w:val="24"/>
        </w:rPr>
        <w:t xml:space="preserve"> </w:t>
      </w:r>
      <w:r w:rsidRPr="00D60BC2">
        <w:rPr>
          <w:rFonts w:ascii="Palatino Linotype" w:hAnsi="Palatino Linotype" w:cs="Arial"/>
          <w:b/>
          <w:bCs/>
          <w:i/>
          <w:noProof/>
          <w:sz w:val="24"/>
          <w:szCs w:val="24"/>
          <w:u w:val="single"/>
        </w:rPr>
        <w:t>El derecho humano de acceso a la información pública es la prerrogativa de las personas para buscar, difundir, investigar, recabar, recibir y solicitar información pública</w:t>
      </w:r>
      <w:r w:rsidRPr="00D60BC2">
        <w:rPr>
          <w:rFonts w:ascii="Palatino Linotype" w:hAnsi="Palatino Linotype" w:cs="Arial"/>
          <w:bCs/>
          <w:i/>
          <w:noProof/>
          <w:sz w:val="24"/>
          <w:szCs w:val="24"/>
        </w:rPr>
        <w:t xml:space="preserve">, sin necesidad de acreditar personalidad ni interés jurídico. </w:t>
      </w:r>
    </w:p>
    <w:p w14:paraId="3363963D"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Cs/>
          <w:i/>
          <w:noProof/>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60BC2">
        <w:rPr>
          <w:rFonts w:ascii="Palatino Linotype" w:hAnsi="Palatino Linotype" w:cs="Arial"/>
          <w:i/>
          <w:color w:val="000000"/>
          <w:sz w:val="24"/>
          <w:szCs w:val="24"/>
        </w:rPr>
        <w:t>información</w:t>
      </w:r>
      <w:r w:rsidRPr="00D60BC2">
        <w:rPr>
          <w:rFonts w:ascii="Palatino Linotype" w:hAnsi="Palatino Linotype" w:cs="Arial"/>
          <w:bCs/>
          <w:i/>
          <w:noProof/>
          <w:sz w:val="24"/>
          <w:szCs w:val="24"/>
        </w:rPr>
        <w:t xml:space="preserve">. Solo podrá ser clasificada excepcionalmente como reservada temporalmente por razones de interés público, en los términos de las causas legítimas y estrictamente necesarias previstas por esta Ley. </w:t>
      </w:r>
    </w:p>
    <w:p w14:paraId="0E877050"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Cs/>
          <w:i/>
          <w:noProof/>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7CEC71D8"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
          <w:bCs/>
          <w:i/>
          <w:noProof/>
          <w:sz w:val="24"/>
          <w:szCs w:val="24"/>
        </w:rPr>
        <w:lastRenderedPageBreak/>
        <w:t>Artículo 11.-</w:t>
      </w:r>
      <w:r w:rsidRPr="00D60BC2">
        <w:rPr>
          <w:rFonts w:ascii="Palatino Linotype" w:hAnsi="Palatino Linotype" w:cs="Arial"/>
          <w:bCs/>
          <w:i/>
          <w:noProof/>
          <w:sz w:val="24"/>
          <w:szCs w:val="24"/>
        </w:rPr>
        <w:t xml:space="preserve"> </w:t>
      </w:r>
      <w:r w:rsidRPr="00D60BC2">
        <w:rPr>
          <w:rFonts w:ascii="Palatino Linotype" w:hAnsi="Palatino Linotype" w:cs="Arial"/>
          <w:b/>
          <w:bCs/>
          <w:i/>
          <w:noProof/>
          <w:sz w:val="24"/>
          <w:szCs w:val="24"/>
          <w:u w:val="single"/>
        </w:rPr>
        <w:t>Los Sujetos Obligados sólo proporcionarán la información que generen en el ejercicio de sus atribuciones</w:t>
      </w:r>
      <w:r w:rsidRPr="00D60BC2">
        <w:rPr>
          <w:rFonts w:ascii="Palatino Linotype" w:hAnsi="Palatino Linotype" w:cs="Arial"/>
          <w:bCs/>
          <w:i/>
          <w:noProof/>
          <w:sz w:val="24"/>
          <w:szCs w:val="24"/>
        </w:rPr>
        <w:t>.</w:t>
      </w:r>
    </w:p>
    <w:p w14:paraId="15D861EF"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
          <w:bCs/>
          <w:i/>
          <w:noProof/>
          <w:sz w:val="24"/>
          <w:szCs w:val="24"/>
        </w:rPr>
        <w:t>Artículo 12.</w:t>
      </w:r>
      <w:r w:rsidRPr="00D60BC2">
        <w:rPr>
          <w:rFonts w:ascii="Palatino Linotype" w:hAnsi="Palatino Linotype" w:cs="Arial"/>
          <w:bCs/>
          <w:i/>
          <w:noProof/>
          <w:sz w:val="24"/>
          <w:szCs w:val="24"/>
        </w:rPr>
        <w:t xml:space="preserve"> Quienes generen, recopilen, administren, manejen, procesen, archiven o conserven información pública</w:t>
      </w:r>
      <w:r w:rsidRPr="00D60BC2">
        <w:rPr>
          <w:rFonts w:ascii="Palatino Linotype" w:hAnsi="Palatino Linotype" w:cs="Arial"/>
          <w:b/>
          <w:bCs/>
          <w:i/>
          <w:noProof/>
          <w:sz w:val="24"/>
          <w:szCs w:val="24"/>
        </w:rPr>
        <w:t xml:space="preserve"> </w:t>
      </w:r>
      <w:r w:rsidRPr="00D60BC2">
        <w:rPr>
          <w:rFonts w:ascii="Palatino Linotype" w:hAnsi="Palatino Linotype" w:cs="Arial"/>
          <w:bCs/>
          <w:i/>
          <w:noProof/>
          <w:sz w:val="24"/>
          <w:szCs w:val="24"/>
        </w:rPr>
        <w:t xml:space="preserve">serán responsables de la misma en los términos de las disposiciones jurídicas </w:t>
      </w:r>
      <w:r w:rsidRPr="00D60BC2">
        <w:rPr>
          <w:rFonts w:ascii="Palatino Linotype" w:hAnsi="Palatino Linotype" w:cs="Arial"/>
          <w:i/>
          <w:color w:val="000000"/>
          <w:sz w:val="24"/>
          <w:szCs w:val="24"/>
        </w:rPr>
        <w:t>aplicables</w:t>
      </w:r>
      <w:r w:rsidRPr="00D60BC2">
        <w:rPr>
          <w:rFonts w:ascii="Palatino Linotype" w:hAnsi="Palatino Linotype" w:cs="Arial"/>
          <w:bCs/>
          <w:i/>
          <w:noProof/>
          <w:sz w:val="24"/>
          <w:szCs w:val="24"/>
        </w:rPr>
        <w:t xml:space="preserve">. </w:t>
      </w:r>
    </w:p>
    <w:p w14:paraId="2931C80C" w14:textId="77777777" w:rsidR="00CF3C6E" w:rsidRPr="00D60BC2" w:rsidRDefault="00CF3C6E" w:rsidP="00CF3C6E">
      <w:pPr>
        <w:spacing w:before="120" w:after="120" w:line="360" w:lineRule="auto"/>
        <w:ind w:left="851" w:right="822"/>
        <w:jc w:val="both"/>
        <w:rPr>
          <w:rFonts w:ascii="Palatino Linotype" w:hAnsi="Palatino Linotype" w:cs="Arial"/>
          <w:bCs/>
          <w:i/>
          <w:noProof/>
          <w:sz w:val="24"/>
          <w:szCs w:val="24"/>
        </w:rPr>
      </w:pPr>
      <w:r w:rsidRPr="00D60BC2">
        <w:rPr>
          <w:rFonts w:ascii="Palatino Linotype" w:hAnsi="Palatino Linotype" w:cs="Arial"/>
          <w:b/>
          <w:bCs/>
          <w:i/>
          <w:noProof/>
          <w:sz w:val="24"/>
          <w:szCs w:val="24"/>
          <w:u w:val="single"/>
        </w:rPr>
        <w:t>Los sujetos obligados sólo proporcionarán la información pública que se les requiera y que obre en sus archivos</w:t>
      </w:r>
      <w:r w:rsidRPr="00D60BC2">
        <w:rPr>
          <w:rFonts w:ascii="Palatino Linotype" w:hAnsi="Palatino Linotype" w:cs="Arial"/>
          <w:bCs/>
          <w:i/>
          <w:noProof/>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D42D01" w14:textId="77777777" w:rsidR="00CF3C6E" w:rsidRPr="00D60BC2" w:rsidRDefault="00CF3C6E" w:rsidP="00CF3C6E">
      <w:pPr>
        <w:spacing w:before="120" w:after="120" w:line="360" w:lineRule="auto"/>
        <w:ind w:left="851" w:right="822"/>
        <w:jc w:val="both"/>
        <w:rPr>
          <w:rFonts w:ascii="Palatino Linotype" w:hAnsi="Palatino Linotype" w:cs="Arial"/>
          <w:color w:val="000000"/>
          <w:sz w:val="24"/>
          <w:szCs w:val="24"/>
        </w:rPr>
      </w:pPr>
      <w:r w:rsidRPr="00D60BC2">
        <w:rPr>
          <w:rFonts w:ascii="Palatino Linotype" w:hAnsi="Palatino Linotype" w:cs="Arial"/>
          <w:color w:val="000000"/>
          <w:sz w:val="24"/>
          <w:szCs w:val="24"/>
        </w:rPr>
        <w:t>(Énfasis añadido)</w:t>
      </w:r>
    </w:p>
    <w:p w14:paraId="67CF657D" w14:textId="77777777" w:rsidR="00CF3C6E" w:rsidRPr="00D60BC2" w:rsidRDefault="00CF3C6E" w:rsidP="00CF3C6E">
      <w:pPr>
        <w:spacing w:before="120" w:after="120" w:line="360" w:lineRule="auto"/>
        <w:ind w:left="709" w:right="709"/>
        <w:jc w:val="both"/>
        <w:rPr>
          <w:rFonts w:ascii="Palatino Linotype" w:hAnsi="Palatino Linotype" w:cs="Arial"/>
          <w:color w:val="000000"/>
          <w:sz w:val="24"/>
          <w:szCs w:val="24"/>
        </w:rPr>
      </w:pPr>
    </w:p>
    <w:p w14:paraId="1A755C6E"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367B0A5" w14:textId="77777777" w:rsidR="00CF3C6E" w:rsidRPr="00D60BC2" w:rsidRDefault="00CF3C6E" w:rsidP="000D7A6D">
      <w:pPr>
        <w:autoSpaceDE w:val="0"/>
        <w:autoSpaceDN w:val="0"/>
        <w:adjustRightInd w:val="0"/>
        <w:spacing w:before="120" w:after="120" w:line="360" w:lineRule="auto"/>
        <w:contextualSpacing/>
        <w:jc w:val="both"/>
        <w:rPr>
          <w:rFonts w:ascii="Palatino Linotype" w:hAnsi="Palatino Linotype" w:cs="Arial"/>
          <w:sz w:val="24"/>
          <w:szCs w:val="24"/>
        </w:rPr>
      </w:pPr>
    </w:p>
    <w:p w14:paraId="5BF064C2"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D60BC2">
        <w:rPr>
          <w:rFonts w:ascii="Palatino Linotype" w:hAnsi="Palatino Linotype" w:cs="Arial"/>
          <w:sz w:val="24"/>
          <w:szCs w:val="24"/>
        </w:rPr>
        <w:lastRenderedPageBreak/>
        <w:t>fuente o fecha de elaboración. Los documentos podrán estar en cualquier medio, sea escrito, impreso, sonoro, visual, electrónico, informático u holográfico.</w:t>
      </w:r>
    </w:p>
    <w:p w14:paraId="305656DF" w14:textId="77777777" w:rsidR="00CF3C6E" w:rsidRPr="00D60BC2" w:rsidRDefault="00CF3C6E" w:rsidP="00CF3C6E">
      <w:pPr>
        <w:ind w:left="720"/>
        <w:contextualSpacing/>
        <w:rPr>
          <w:rFonts w:ascii="Palatino Linotype" w:hAnsi="Palatino Linotype" w:cs="Arial"/>
          <w:sz w:val="24"/>
          <w:szCs w:val="24"/>
        </w:rPr>
      </w:pPr>
    </w:p>
    <w:p w14:paraId="7B4F6E2B"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1425A90" w14:textId="77777777" w:rsidR="00CF3C6E" w:rsidRPr="00D60BC2" w:rsidRDefault="00CF3C6E" w:rsidP="000D7A6D">
      <w:pPr>
        <w:contextualSpacing/>
        <w:rPr>
          <w:rFonts w:ascii="Palatino Linotype" w:hAnsi="Palatino Linotype" w:cs="Arial"/>
          <w:sz w:val="24"/>
          <w:szCs w:val="24"/>
        </w:rPr>
      </w:pPr>
    </w:p>
    <w:p w14:paraId="5999125D"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En síntesis, el derecho de acceso a la información pública se satisface en aquellos casos en que se entregue el soporte documental en que conste la información pública, toda vez que los Sujetos Obligados</w:t>
      </w:r>
      <w:r w:rsidRPr="00D60BC2">
        <w:rPr>
          <w:rFonts w:ascii="Palatino Linotype" w:hAnsi="Palatino Linotype" w:cs="Arial"/>
          <w:b/>
          <w:sz w:val="24"/>
          <w:szCs w:val="24"/>
        </w:rPr>
        <w:t xml:space="preserve"> </w:t>
      </w:r>
      <w:r w:rsidRPr="00D60BC2">
        <w:rPr>
          <w:rFonts w:ascii="Palatino Linotype" w:hAnsi="Palatino Linotype" w:cs="Arial"/>
          <w:sz w:val="24"/>
          <w:szCs w:val="24"/>
        </w:rPr>
        <w:t xml:space="preserve">no tienen el deber de generar, poseer o administrar la información pública con el grado de detalle que se señala en la solicitud de información pública; esto es, que no tienen el deber de generar un documento </w:t>
      </w:r>
      <w:r w:rsidRPr="00D60BC2">
        <w:rPr>
          <w:rFonts w:ascii="Palatino Linotype" w:hAnsi="Palatino Linotype" w:cs="Arial"/>
          <w:b/>
          <w:i/>
          <w:sz w:val="24"/>
          <w:szCs w:val="24"/>
        </w:rPr>
        <w:t>ad hoc</w:t>
      </w:r>
      <w:r w:rsidRPr="00D60BC2">
        <w:rPr>
          <w:rFonts w:ascii="Palatino Linotype" w:hAnsi="Palatino Linotype" w:cs="Arial"/>
          <w:sz w:val="24"/>
          <w:szCs w:val="24"/>
        </w:rPr>
        <w:t>, para satisfacer el derecho de acceso a la información pública.</w:t>
      </w:r>
    </w:p>
    <w:p w14:paraId="606261A2" w14:textId="77777777" w:rsidR="00CF3C6E" w:rsidRPr="00D60BC2" w:rsidRDefault="00CF3C6E" w:rsidP="000D7A6D">
      <w:pPr>
        <w:contextualSpacing/>
        <w:rPr>
          <w:rFonts w:ascii="Palatino Linotype" w:hAnsi="Palatino Linotype" w:cs="Arial"/>
          <w:sz w:val="24"/>
          <w:szCs w:val="24"/>
        </w:rPr>
      </w:pPr>
    </w:p>
    <w:p w14:paraId="39487A9D"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Lo anterior se traduce en que el documento o documentos a que se hizo referencia, podrán ser entregados al </w:t>
      </w:r>
      <w:r w:rsidRPr="00D60BC2">
        <w:rPr>
          <w:rFonts w:ascii="Palatino Linotype" w:hAnsi="Palatino Linotype" w:cs="Arial"/>
          <w:b/>
          <w:sz w:val="24"/>
          <w:szCs w:val="24"/>
        </w:rPr>
        <w:t>RECURRENTE</w:t>
      </w:r>
      <w:r w:rsidRPr="00D60BC2">
        <w:rPr>
          <w:rFonts w:ascii="Palatino Linotype" w:hAnsi="Palatino Linotype" w:cs="Arial"/>
          <w:sz w:val="24"/>
          <w:szCs w:val="24"/>
        </w:rPr>
        <w:t xml:space="preserve">, tal y como hayan sido generados por </w:t>
      </w:r>
      <w:r w:rsidRPr="00D60BC2">
        <w:rPr>
          <w:rFonts w:ascii="Palatino Linotype" w:hAnsi="Palatino Linotype" w:cs="Arial"/>
          <w:b/>
          <w:sz w:val="24"/>
          <w:szCs w:val="24"/>
        </w:rPr>
        <w:t>EL SUJETO OBLIGADO</w:t>
      </w:r>
      <w:r w:rsidRPr="00D60BC2">
        <w:rPr>
          <w:rFonts w:ascii="Palatino Linotype" w:hAnsi="Palatino Linotype" w:cs="Arial"/>
          <w:sz w:val="24"/>
          <w:szCs w:val="24"/>
        </w:rPr>
        <w:t xml:space="preserve">, sin que subsista la obligación para éste último de generar un documento </w:t>
      </w:r>
      <w:r w:rsidRPr="00D60BC2">
        <w:rPr>
          <w:rFonts w:ascii="Palatino Linotype" w:hAnsi="Palatino Linotype" w:cs="Arial"/>
          <w:b/>
          <w:i/>
          <w:sz w:val="24"/>
          <w:szCs w:val="24"/>
        </w:rPr>
        <w:t>ad hoc</w:t>
      </w:r>
      <w:r w:rsidRPr="00D60BC2">
        <w:rPr>
          <w:rFonts w:ascii="Palatino Linotype" w:hAnsi="Palatino Linotype" w:cs="Arial"/>
          <w:sz w:val="24"/>
          <w:szCs w:val="24"/>
        </w:rPr>
        <w:t xml:space="preserve">, para satisfacer el derecho de acceso a la información pública del </w:t>
      </w:r>
      <w:r w:rsidRPr="00D60BC2">
        <w:rPr>
          <w:rFonts w:ascii="Palatino Linotype" w:hAnsi="Palatino Linotype" w:cs="Arial"/>
          <w:b/>
          <w:sz w:val="24"/>
          <w:szCs w:val="24"/>
        </w:rPr>
        <w:t>RECURRENTE</w:t>
      </w:r>
      <w:r w:rsidRPr="00D60BC2">
        <w:rPr>
          <w:rFonts w:ascii="Palatino Linotype" w:hAnsi="Palatino Linotype" w:cs="Arial"/>
          <w:sz w:val="24"/>
          <w:szCs w:val="24"/>
        </w:rPr>
        <w:t>.</w:t>
      </w:r>
    </w:p>
    <w:p w14:paraId="2C94AF0E" w14:textId="77777777" w:rsidR="00CF3C6E" w:rsidRPr="00D60BC2" w:rsidRDefault="00CF3C6E" w:rsidP="00CF3C6E">
      <w:pPr>
        <w:ind w:left="720"/>
        <w:contextualSpacing/>
        <w:rPr>
          <w:rFonts w:ascii="Palatino Linotype" w:hAnsi="Palatino Linotype" w:cs="Arial"/>
          <w:sz w:val="24"/>
          <w:szCs w:val="24"/>
        </w:rPr>
      </w:pPr>
    </w:p>
    <w:p w14:paraId="5F0C73A4"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 xml:space="preserve">Como apoyo a lo anterior, es aplicable el Criterio 09-10, emitido por </w:t>
      </w:r>
      <w:r w:rsidRPr="00D60BC2">
        <w:rPr>
          <w:rFonts w:ascii="Palatino Linotype" w:eastAsia="Arial Unicode MS" w:hAnsi="Palatino Linotype" w:cs="Arial"/>
          <w:sz w:val="24"/>
          <w:szCs w:val="24"/>
        </w:rPr>
        <w:t xml:space="preserve">el Pleno del entonces </w:t>
      </w:r>
      <w:r w:rsidRPr="00D60BC2">
        <w:rPr>
          <w:rFonts w:ascii="Palatino Linotype" w:eastAsia="Arial Unicode MS" w:hAnsi="Palatino Linotype" w:cs="Arial"/>
          <w:bCs/>
          <w:sz w:val="24"/>
          <w:szCs w:val="24"/>
        </w:rPr>
        <w:t xml:space="preserve">Instituto Federal </w:t>
      </w:r>
      <w:r w:rsidRPr="00D60BC2">
        <w:rPr>
          <w:rFonts w:ascii="Palatino Linotype" w:hAnsi="Palatino Linotype" w:cs="Arial"/>
          <w:sz w:val="24"/>
          <w:szCs w:val="24"/>
        </w:rPr>
        <w:t>de</w:t>
      </w:r>
      <w:r w:rsidRPr="00D60BC2">
        <w:rPr>
          <w:rFonts w:ascii="Palatino Linotype" w:eastAsia="Arial Unicode MS" w:hAnsi="Palatino Linotype" w:cs="Arial"/>
          <w:bCs/>
          <w:sz w:val="24"/>
          <w:szCs w:val="24"/>
        </w:rPr>
        <w:t xml:space="preserve"> Acceso a la Información y Protección de Datos (IFAI), </w:t>
      </w:r>
      <w:r w:rsidRPr="00D60BC2">
        <w:rPr>
          <w:rFonts w:ascii="Palatino Linotype" w:eastAsia="Arial Unicode MS" w:hAnsi="Palatino Linotype" w:cs="Arial"/>
          <w:sz w:val="24"/>
          <w:szCs w:val="24"/>
        </w:rPr>
        <w:t>ahora Instituto Nacional de Transparencia, Acceso a la Información y Protección de Datos Personales (INAI),</w:t>
      </w:r>
      <w:r w:rsidRPr="00D60BC2">
        <w:rPr>
          <w:rFonts w:ascii="Palatino Linotype" w:hAnsi="Palatino Linotype"/>
          <w:bCs/>
          <w:sz w:val="24"/>
          <w:szCs w:val="24"/>
        </w:rPr>
        <w:t xml:space="preserve"> que dice:</w:t>
      </w:r>
      <w:r w:rsidRPr="00D60BC2">
        <w:rPr>
          <w:rFonts w:ascii="Palatino Linotype" w:hAnsi="Palatino Linotype"/>
          <w:b/>
          <w:bCs/>
          <w:sz w:val="24"/>
          <w:szCs w:val="24"/>
        </w:rPr>
        <w:t xml:space="preserve"> </w:t>
      </w:r>
    </w:p>
    <w:p w14:paraId="273FBFA3"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lastRenderedPageBreak/>
        <w:t>“</w:t>
      </w:r>
      <w:r w:rsidRPr="00D60BC2">
        <w:rPr>
          <w:rFonts w:ascii="Palatino Linotype" w:hAnsi="Palatino Linotype" w:cs="Arial"/>
          <w:b/>
          <w:i/>
          <w:sz w:val="24"/>
          <w:szCs w:val="24"/>
          <w:u w:val="single"/>
        </w:rPr>
        <w:t>Las dependencias y entidades no están obligadas a generar documentos ad hoc para responder una solicitud de acceso a la información.</w:t>
      </w:r>
      <w:r w:rsidRPr="00D60BC2">
        <w:rPr>
          <w:rFonts w:ascii="Palatino Linotype" w:hAnsi="Palatino Linotype" w:cs="Arial"/>
          <w:i/>
          <w:sz w:val="24"/>
          <w:szCs w:val="24"/>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3A78FD4"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t>Expedientes:</w:t>
      </w:r>
    </w:p>
    <w:p w14:paraId="5E459A05"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t>0438/08 Pemex Exploración y Producción – Alonso Lujambio Irazábal</w:t>
      </w:r>
    </w:p>
    <w:p w14:paraId="2F32A223"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t>1751/09 Laboratorios de Biológicos y Reactivos de México S.A. de C.V. – María Marván Laborde</w:t>
      </w:r>
    </w:p>
    <w:p w14:paraId="4482D6E8"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t>2868/09 Consejo Nacional de Ciencia y Tecnología – Jacqueline Peschard Mariscal</w:t>
      </w:r>
    </w:p>
    <w:p w14:paraId="6A7B52FA"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t>5160/09 Secretaría de Hacienda y Crédito Público – Ángel Trinidad Zaldívar</w:t>
      </w:r>
    </w:p>
    <w:p w14:paraId="182B32B7" w14:textId="77777777" w:rsidR="00CF3C6E" w:rsidRPr="00D60BC2" w:rsidRDefault="00CF3C6E" w:rsidP="00CF3C6E">
      <w:pPr>
        <w:spacing w:line="360" w:lineRule="auto"/>
        <w:ind w:left="851" w:right="822"/>
        <w:jc w:val="both"/>
        <w:rPr>
          <w:rFonts w:ascii="Palatino Linotype" w:hAnsi="Palatino Linotype" w:cs="Arial"/>
          <w:i/>
          <w:sz w:val="24"/>
          <w:szCs w:val="24"/>
        </w:rPr>
      </w:pPr>
      <w:r w:rsidRPr="00D60BC2">
        <w:rPr>
          <w:rFonts w:ascii="Palatino Linotype" w:hAnsi="Palatino Linotype" w:cs="Arial"/>
          <w:i/>
          <w:sz w:val="24"/>
          <w:szCs w:val="24"/>
        </w:rPr>
        <w:t>0304/10 Instituto Nacional de Cancerología – Jacqueline Peschard Mariscal”</w:t>
      </w:r>
    </w:p>
    <w:p w14:paraId="4C454D8D" w14:textId="77777777" w:rsidR="00CF3C6E" w:rsidRPr="00D60BC2" w:rsidRDefault="00CF3C6E" w:rsidP="00CF3C6E">
      <w:pPr>
        <w:spacing w:line="360" w:lineRule="auto"/>
        <w:ind w:left="851" w:right="822"/>
        <w:jc w:val="both"/>
        <w:rPr>
          <w:rFonts w:ascii="Palatino Linotype" w:hAnsi="Palatino Linotype" w:cs="Arial"/>
          <w:sz w:val="24"/>
          <w:szCs w:val="24"/>
        </w:rPr>
      </w:pPr>
      <w:r w:rsidRPr="00D60BC2">
        <w:rPr>
          <w:rFonts w:ascii="Palatino Linotype" w:hAnsi="Palatino Linotype" w:cs="Arial"/>
          <w:sz w:val="24"/>
          <w:szCs w:val="24"/>
        </w:rPr>
        <w:t>(Énfasis añadido)</w:t>
      </w:r>
    </w:p>
    <w:p w14:paraId="19BD0779" w14:textId="77777777" w:rsidR="00CF3C6E" w:rsidRPr="00D60BC2" w:rsidRDefault="00CF3C6E" w:rsidP="00CF3C6E">
      <w:pPr>
        <w:spacing w:line="360" w:lineRule="auto"/>
        <w:ind w:left="851" w:right="822"/>
        <w:jc w:val="both"/>
        <w:rPr>
          <w:rFonts w:ascii="Palatino Linotype" w:hAnsi="Palatino Linotype" w:cs="Arial"/>
          <w:sz w:val="24"/>
          <w:szCs w:val="24"/>
        </w:rPr>
      </w:pPr>
    </w:p>
    <w:p w14:paraId="03D459FE" w14:textId="77777777" w:rsidR="00CF3C6E" w:rsidRPr="00D60BC2" w:rsidRDefault="00CF3C6E" w:rsidP="000D7A6D">
      <w:pPr>
        <w:numPr>
          <w:ilvl w:val="0"/>
          <w:numId w:val="4"/>
        </w:numPr>
        <w:spacing w:before="120" w:after="120" w:line="360" w:lineRule="auto"/>
        <w:ind w:left="0" w:firstLine="0"/>
        <w:contextualSpacing/>
        <w:jc w:val="both"/>
        <w:rPr>
          <w:rFonts w:ascii="Palatino Linotype" w:hAnsi="Palatino Linotype"/>
          <w:sz w:val="24"/>
          <w:szCs w:val="24"/>
        </w:rPr>
      </w:pPr>
      <w:r w:rsidRPr="00D60BC2">
        <w:rPr>
          <w:rFonts w:ascii="Palatino Linotype" w:hAnsi="Palatino Linotype"/>
          <w:sz w:val="24"/>
          <w:szCs w:val="24"/>
        </w:rPr>
        <w:t xml:space="preserve">Al respecto, es conveniente señalar que los Sujetos Obligados, no están constreñidos a generar documentos </w:t>
      </w:r>
      <w:r w:rsidRPr="00D60BC2">
        <w:rPr>
          <w:rFonts w:ascii="Palatino Linotype" w:hAnsi="Palatino Linotype"/>
          <w:b/>
          <w:i/>
          <w:sz w:val="24"/>
          <w:szCs w:val="24"/>
        </w:rPr>
        <w:t>ad hoc</w:t>
      </w:r>
      <w:r w:rsidRPr="00D60BC2">
        <w:rPr>
          <w:rFonts w:ascii="Palatino Linotype" w:hAnsi="Palatino Linotype"/>
          <w:sz w:val="24"/>
          <w:szCs w:val="24"/>
        </w:rPr>
        <w:t>, para responder a las solicitud de información que les sean formuladas.</w:t>
      </w:r>
    </w:p>
    <w:p w14:paraId="048D1F1F" w14:textId="77777777" w:rsidR="00CF3C6E" w:rsidRPr="00D60BC2" w:rsidRDefault="00CF3C6E" w:rsidP="000D7A6D">
      <w:pPr>
        <w:spacing w:before="120" w:after="120" w:line="360" w:lineRule="auto"/>
        <w:contextualSpacing/>
        <w:jc w:val="both"/>
        <w:rPr>
          <w:rFonts w:ascii="Palatino Linotype" w:hAnsi="Palatino Linotype"/>
          <w:sz w:val="24"/>
          <w:szCs w:val="24"/>
        </w:rPr>
      </w:pPr>
    </w:p>
    <w:p w14:paraId="34EFA46E" w14:textId="77777777" w:rsidR="00CF3C6E" w:rsidRPr="00D60BC2" w:rsidRDefault="00CF3C6E" w:rsidP="000D7A6D">
      <w:pPr>
        <w:numPr>
          <w:ilvl w:val="0"/>
          <w:numId w:val="4"/>
        </w:numPr>
        <w:spacing w:before="120" w:after="120" w:line="360" w:lineRule="auto"/>
        <w:ind w:left="0" w:firstLine="0"/>
        <w:contextualSpacing/>
        <w:jc w:val="both"/>
        <w:rPr>
          <w:rFonts w:ascii="Palatino Linotype" w:hAnsi="Palatino Linotype"/>
          <w:sz w:val="24"/>
          <w:szCs w:val="24"/>
        </w:rPr>
      </w:pPr>
      <w:r w:rsidRPr="00D60BC2">
        <w:rPr>
          <w:rFonts w:ascii="Palatino Linotype" w:hAnsi="Palatino Linotype" w:cs="Arial"/>
          <w:sz w:val="24"/>
          <w:szCs w:val="24"/>
        </w:rPr>
        <w:lastRenderedPageBreak/>
        <w:t xml:space="preserve">Corolario a lo anterior, el doctrinario Ernesto Villanueva Villanueva define al derecho de acceso a la información como: </w:t>
      </w:r>
    </w:p>
    <w:p w14:paraId="26DB5896" w14:textId="77777777" w:rsidR="00CF3C6E" w:rsidRPr="00D60BC2" w:rsidRDefault="00CF3C6E" w:rsidP="00CF3C6E">
      <w:pPr>
        <w:tabs>
          <w:tab w:val="left" w:pos="8222"/>
        </w:tabs>
        <w:spacing w:before="120" w:after="120" w:line="360" w:lineRule="auto"/>
        <w:ind w:left="851" w:right="822"/>
        <w:jc w:val="both"/>
        <w:rPr>
          <w:rFonts w:ascii="Palatino Linotype" w:hAnsi="Palatino Linotype" w:cs="Arial"/>
          <w:bCs/>
          <w:noProof/>
          <w:sz w:val="24"/>
          <w:szCs w:val="24"/>
        </w:rPr>
      </w:pPr>
      <w:r w:rsidRPr="00D60BC2">
        <w:rPr>
          <w:rFonts w:ascii="Palatino Linotype" w:hAnsi="Palatino Linotype" w:cs="Arial"/>
          <w:bCs/>
          <w:i/>
          <w:noProof/>
          <w:sz w:val="24"/>
          <w:szCs w:val="24"/>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D60BC2">
        <w:rPr>
          <w:rFonts w:ascii="Palatino Linotype" w:hAnsi="Palatino Linotype" w:cs="Arial"/>
          <w:bCs/>
          <w:noProof/>
          <w:sz w:val="24"/>
          <w:szCs w:val="24"/>
        </w:rPr>
        <w:t xml:space="preserve">(Sic) </w:t>
      </w:r>
    </w:p>
    <w:p w14:paraId="47E245D0" w14:textId="77777777" w:rsidR="00CF3C6E" w:rsidRPr="00D60BC2" w:rsidRDefault="00CF3C6E" w:rsidP="00CF3C6E">
      <w:pPr>
        <w:spacing w:before="120" w:after="120" w:line="360" w:lineRule="auto"/>
        <w:ind w:left="709" w:right="709"/>
        <w:jc w:val="both"/>
        <w:rPr>
          <w:rFonts w:ascii="Palatino Linotype" w:hAnsi="Palatino Linotype" w:cs="Arial"/>
          <w:bCs/>
          <w:noProof/>
          <w:sz w:val="24"/>
          <w:szCs w:val="24"/>
        </w:rPr>
      </w:pPr>
    </w:p>
    <w:p w14:paraId="4E9D15CD"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hAnsi="Palatino Linotype" w:cs="Arial"/>
          <w:b/>
          <w:sz w:val="24"/>
          <w:szCs w:val="24"/>
          <w:u w:val="single"/>
        </w:rPr>
      </w:pPr>
      <w:r w:rsidRPr="00D60BC2">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D60BC2">
        <w:rPr>
          <w:rFonts w:ascii="Palatino Linotype" w:hAnsi="Palatino Linotype" w:cs="Arial"/>
          <w:color w:val="000000"/>
          <w:sz w:val="24"/>
          <w:szCs w:val="24"/>
        </w:rPr>
        <w:t xml:space="preserve">la pretensión del peticionario consiste generalmente en obligar a la autoridad responsable a que actúe en el sentido de contestar lo solicitado, mientras que en el </w:t>
      </w:r>
      <w:r w:rsidRPr="00D60BC2">
        <w:rPr>
          <w:rFonts w:ascii="Palatino Linotype" w:hAnsi="Palatino Linotype" w:cs="Arial"/>
          <w:bCs/>
          <w:sz w:val="24"/>
          <w:szCs w:val="24"/>
          <w:lang w:eastAsia="es-CO"/>
        </w:rPr>
        <w:t xml:space="preserve">segundo supuesto </w:t>
      </w:r>
      <w:r w:rsidRPr="00D60BC2">
        <w:rPr>
          <w:rFonts w:ascii="Palatino Linotype" w:hAnsi="Palatino Linotype" w:cs="Arial"/>
          <w:b/>
          <w:bCs/>
          <w:sz w:val="24"/>
          <w:szCs w:val="24"/>
          <w:u w:val="single"/>
          <w:lang w:eastAsia="es-CO"/>
        </w:rPr>
        <w:t>la solicitud de acceso a la información pública se encamina primordialmente a</w:t>
      </w:r>
      <w:r w:rsidRPr="00D60BC2">
        <w:rPr>
          <w:rFonts w:ascii="Palatino Linotype" w:hAnsi="Palatino Linotype" w:cs="Arial"/>
          <w:b/>
          <w:sz w:val="24"/>
          <w:szCs w:val="24"/>
          <w:u w:val="single"/>
        </w:rPr>
        <w:t xml:space="preserve"> permitir el </w:t>
      </w:r>
      <w:r w:rsidRPr="00D60BC2">
        <w:rPr>
          <w:rFonts w:ascii="Palatino Linotype" w:hAnsi="Palatino Linotype" w:cs="Arial"/>
          <w:b/>
          <w:sz w:val="24"/>
          <w:szCs w:val="24"/>
          <w:u w:val="single"/>
          <w:lang w:eastAsia="es-CO"/>
        </w:rPr>
        <w:t xml:space="preserve">acceso a datos, registros y todo tipo de información pública que conste en documentos, sea generada o se encuentre en posesión de </w:t>
      </w:r>
      <w:r w:rsidRPr="00D60BC2">
        <w:rPr>
          <w:rFonts w:ascii="Palatino Linotype" w:hAnsi="Palatino Linotype" w:cs="Arial"/>
          <w:b/>
          <w:sz w:val="24"/>
          <w:szCs w:val="24"/>
          <w:u w:val="single"/>
        </w:rPr>
        <w:t xml:space="preserve">la autoridad. </w:t>
      </w:r>
    </w:p>
    <w:p w14:paraId="7B5A401F" w14:textId="77777777" w:rsidR="00CF3C6E" w:rsidRPr="00D60BC2" w:rsidRDefault="00CF3C6E" w:rsidP="000D7A6D">
      <w:pPr>
        <w:autoSpaceDE w:val="0"/>
        <w:autoSpaceDN w:val="0"/>
        <w:adjustRightInd w:val="0"/>
        <w:spacing w:before="120" w:after="120" w:line="360" w:lineRule="auto"/>
        <w:contextualSpacing/>
        <w:jc w:val="both"/>
        <w:rPr>
          <w:rFonts w:ascii="Palatino Linotype" w:hAnsi="Palatino Linotype" w:cs="Arial"/>
          <w:b/>
          <w:sz w:val="24"/>
          <w:szCs w:val="24"/>
          <w:u w:val="single"/>
        </w:rPr>
      </w:pPr>
    </w:p>
    <w:p w14:paraId="505ADF9E" w14:textId="77777777" w:rsidR="00CF3C6E" w:rsidRPr="00D60BC2" w:rsidRDefault="00CF3C6E" w:rsidP="000D7A6D">
      <w:pPr>
        <w:numPr>
          <w:ilvl w:val="0"/>
          <w:numId w:val="4"/>
        </w:numPr>
        <w:autoSpaceDE w:val="0"/>
        <w:autoSpaceDN w:val="0"/>
        <w:adjustRightInd w:val="0"/>
        <w:spacing w:before="120" w:after="120" w:line="360" w:lineRule="auto"/>
        <w:ind w:left="0" w:firstLine="0"/>
        <w:contextualSpacing/>
        <w:jc w:val="both"/>
        <w:rPr>
          <w:rFonts w:ascii="Palatino Linotype" w:eastAsia="Arial Unicode MS" w:hAnsi="Palatino Linotype" w:cs="Arial"/>
          <w:sz w:val="24"/>
          <w:szCs w:val="24"/>
        </w:rPr>
      </w:pPr>
      <w:r w:rsidRPr="00D60BC2">
        <w:rPr>
          <w:rFonts w:ascii="Palatino Linotype" w:hAnsi="Palatino Linotype" w:cs="Arial"/>
          <w:sz w:val="24"/>
          <w:szCs w:val="24"/>
        </w:rPr>
        <w:t xml:space="preserve">Así las cosas, debe señalarse que en la solicitud de información presentada en </w:t>
      </w:r>
      <w:r w:rsidRPr="00D60BC2">
        <w:rPr>
          <w:rFonts w:ascii="Palatino Linotype" w:hAnsi="Palatino Linotype" w:cs="Arial"/>
          <w:b/>
          <w:sz w:val="24"/>
          <w:szCs w:val="24"/>
        </w:rPr>
        <w:t>EL SAIMEX,</w:t>
      </w:r>
      <w:r w:rsidRPr="00D60BC2">
        <w:rPr>
          <w:rFonts w:ascii="Palatino Linotype" w:hAnsi="Palatino Linotype" w:cs="Arial"/>
          <w:sz w:val="24"/>
          <w:szCs w:val="24"/>
        </w:rPr>
        <w:t xml:space="preserve"> </w:t>
      </w:r>
      <w:r w:rsidRPr="00D60BC2">
        <w:rPr>
          <w:rFonts w:ascii="Palatino Linotype" w:hAnsi="Palatino Linotype" w:cs="Arial"/>
          <w:b/>
          <w:sz w:val="24"/>
          <w:szCs w:val="24"/>
        </w:rPr>
        <w:t>EL RECURRENTE</w:t>
      </w:r>
      <w:r w:rsidRPr="00D60BC2">
        <w:rPr>
          <w:rFonts w:ascii="Palatino Linotype" w:hAnsi="Palatino Linotype" w:cs="Arial"/>
          <w:sz w:val="24"/>
          <w:szCs w:val="24"/>
        </w:rPr>
        <w:t xml:space="preserve"> requiere la respuesta a una interrogante por parte de </w:t>
      </w:r>
      <w:r w:rsidRPr="00D60BC2">
        <w:rPr>
          <w:rFonts w:ascii="Palatino Linotype" w:hAnsi="Palatino Linotype" w:cs="Arial"/>
          <w:b/>
          <w:sz w:val="24"/>
          <w:szCs w:val="24"/>
        </w:rPr>
        <w:t>EL SUJETO OBLIGADO</w:t>
      </w:r>
      <w:r w:rsidRPr="00D60BC2">
        <w:rPr>
          <w:rFonts w:ascii="Palatino Linotype" w:hAnsi="Palatino Linotype" w:cs="Arial"/>
          <w:sz w:val="24"/>
          <w:szCs w:val="24"/>
        </w:rPr>
        <w:t xml:space="preserve"> mediante la realización de un </w:t>
      </w:r>
      <w:r w:rsidRPr="00D60BC2">
        <w:rPr>
          <w:rFonts w:ascii="Palatino Linotype" w:hAnsi="Palatino Linotype" w:cs="Arial"/>
          <w:b/>
          <w:sz w:val="24"/>
          <w:szCs w:val="24"/>
          <w:u w:val="single"/>
        </w:rPr>
        <w:t>cuestionamiento</w:t>
      </w:r>
      <w:r w:rsidRPr="00D60BC2">
        <w:rPr>
          <w:rFonts w:ascii="Palatino Linotype" w:hAnsi="Palatino Linotype" w:cs="Arial"/>
          <w:sz w:val="24"/>
          <w:szCs w:val="24"/>
        </w:rPr>
        <w:t>.</w:t>
      </w:r>
    </w:p>
    <w:p w14:paraId="4941A210" w14:textId="77777777" w:rsidR="00CF3C6E" w:rsidRPr="00D60BC2" w:rsidRDefault="00CF3C6E" w:rsidP="00CF3C6E">
      <w:pPr>
        <w:autoSpaceDE w:val="0"/>
        <w:autoSpaceDN w:val="0"/>
        <w:adjustRightInd w:val="0"/>
        <w:spacing w:before="120" w:after="120" w:line="360" w:lineRule="auto"/>
        <w:contextualSpacing/>
        <w:jc w:val="both"/>
        <w:rPr>
          <w:rFonts w:ascii="Palatino Linotype" w:hAnsi="Palatino Linotype" w:cs="Arial"/>
          <w:sz w:val="24"/>
          <w:szCs w:val="24"/>
        </w:rPr>
      </w:pPr>
    </w:p>
    <w:p w14:paraId="75F32EB4" w14:textId="77777777" w:rsidR="00CF3C6E" w:rsidRPr="00D60BC2" w:rsidRDefault="00CF3C6E" w:rsidP="000D7A6D">
      <w:pPr>
        <w:numPr>
          <w:ilvl w:val="0"/>
          <w:numId w:val="4"/>
        </w:numPr>
        <w:spacing w:after="0" w:line="360" w:lineRule="auto"/>
        <w:ind w:left="0" w:right="49" w:firstLine="0"/>
        <w:contextualSpacing/>
        <w:jc w:val="both"/>
        <w:rPr>
          <w:rFonts w:ascii="Palatino Linotype" w:hAnsi="Palatino Linotype" w:cs="Arial"/>
          <w:color w:val="000000"/>
          <w:sz w:val="24"/>
          <w:szCs w:val="24"/>
        </w:rPr>
      </w:pPr>
      <w:r w:rsidRPr="00D60BC2">
        <w:rPr>
          <w:rFonts w:ascii="Palatino Linotype" w:hAnsi="Palatino Linotype" w:cs="Arial"/>
          <w:color w:val="000000"/>
          <w:sz w:val="24"/>
          <w:szCs w:val="24"/>
        </w:rPr>
        <w:t xml:space="preserve">Entonces, al tratarse de un derecho de petición estamos en presencia de una consulta que se aleja del derecho de acceso a la información pública, actualizando lo dispuesto en el artículo 191 fracción VI </w:t>
      </w:r>
      <w:r w:rsidRPr="00D60BC2">
        <w:rPr>
          <w:rFonts w:ascii="Palatino Linotype" w:hAnsi="Palatino Linotype" w:cs="Arial"/>
          <w:sz w:val="24"/>
          <w:szCs w:val="24"/>
        </w:rPr>
        <w:t>de la Ley de Transparencia y Acceso a la Información Pública del Estado de México y Municipios, el cual dispone lo siguiente:</w:t>
      </w:r>
    </w:p>
    <w:p w14:paraId="5D873758"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Artículo 191. El recurso será desechado por improcedente cuando:</w:t>
      </w:r>
    </w:p>
    <w:p w14:paraId="27631CB6"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lastRenderedPageBreak/>
        <w:t xml:space="preserve">I. Sea extemporáneo por haber transcurrido el plazo establecido en la presente Ley, a partir de la respuesta; </w:t>
      </w:r>
    </w:p>
    <w:p w14:paraId="2051419E"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 xml:space="preserve">II. Se esté tramitando ante el Poder Judicial de la Federación algún recurso o medio de defensa interpuesto por el recurrente; </w:t>
      </w:r>
    </w:p>
    <w:p w14:paraId="684F1985"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 xml:space="preserve">III. No actualice alguno de los supuestos previstos en la presente Ley; </w:t>
      </w:r>
    </w:p>
    <w:p w14:paraId="3D92FC53"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 xml:space="preserve">IV. No se haya desahogado la prevención en los términos establecidos en la presente Ley; </w:t>
      </w:r>
    </w:p>
    <w:p w14:paraId="4AE6E367"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 xml:space="preserve">V. Se impugne la veracidad de la información proporcionada; </w:t>
      </w:r>
    </w:p>
    <w:p w14:paraId="16AECBCC" w14:textId="77777777" w:rsidR="00CF3C6E" w:rsidRPr="00D60BC2" w:rsidRDefault="00CF3C6E" w:rsidP="00CF3C6E">
      <w:pPr>
        <w:tabs>
          <w:tab w:val="left" w:pos="851"/>
        </w:tabs>
        <w:spacing w:line="360" w:lineRule="auto"/>
        <w:ind w:left="851" w:right="822"/>
        <w:contextualSpacing/>
        <w:jc w:val="both"/>
        <w:rPr>
          <w:rFonts w:ascii="Palatino Linotype" w:hAnsi="Palatino Linotype"/>
          <w:b/>
          <w:i/>
          <w:sz w:val="24"/>
          <w:szCs w:val="24"/>
        </w:rPr>
      </w:pPr>
      <w:r w:rsidRPr="00D60BC2">
        <w:rPr>
          <w:rFonts w:ascii="Palatino Linotype" w:hAnsi="Palatino Linotype"/>
          <w:b/>
          <w:i/>
          <w:sz w:val="24"/>
          <w:szCs w:val="24"/>
        </w:rPr>
        <w:t xml:space="preserve">VI. Se trate de una consulta, o trámite en específico; y </w:t>
      </w:r>
    </w:p>
    <w:p w14:paraId="4ACD21BB"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VII. El recurrente amplíe su solicitud en el recurso de revisión, únicamente respecto de los nuevos contenidos.</w:t>
      </w:r>
    </w:p>
    <w:p w14:paraId="3A93EDDB" w14:textId="77777777" w:rsidR="00CF3C6E" w:rsidRPr="00D60BC2" w:rsidRDefault="00CF3C6E" w:rsidP="00CF3C6E">
      <w:pPr>
        <w:tabs>
          <w:tab w:val="left" w:pos="567"/>
        </w:tabs>
        <w:spacing w:line="360" w:lineRule="auto"/>
        <w:contextualSpacing/>
        <w:jc w:val="both"/>
        <w:rPr>
          <w:rFonts w:ascii="Palatino Linotype" w:hAnsi="Palatino Linotype"/>
          <w:sz w:val="24"/>
          <w:szCs w:val="24"/>
        </w:rPr>
      </w:pPr>
    </w:p>
    <w:p w14:paraId="5818CC1D" w14:textId="77777777" w:rsidR="00CF3C6E" w:rsidRPr="00D60BC2" w:rsidRDefault="00CF3C6E" w:rsidP="000D7A6D">
      <w:pPr>
        <w:numPr>
          <w:ilvl w:val="0"/>
          <w:numId w:val="4"/>
        </w:numPr>
        <w:spacing w:after="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La fracción VI del citado precepto legal, contempla la improcedencia del recurso de revisión cuando se trate de una consulta, lo cual se relaciona con la solicitud de acceso a la información pública.</w:t>
      </w:r>
    </w:p>
    <w:p w14:paraId="4A5B6168" w14:textId="77777777" w:rsidR="00CF3C6E" w:rsidRPr="00D60BC2" w:rsidRDefault="00CF3C6E" w:rsidP="000D7A6D">
      <w:pPr>
        <w:spacing w:line="360" w:lineRule="auto"/>
        <w:contextualSpacing/>
        <w:jc w:val="both"/>
        <w:rPr>
          <w:rFonts w:ascii="Palatino Linotype" w:hAnsi="Palatino Linotype" w:cs="Arial"/>
          <w:sz w:val="24"/>
          <w:szCs w:val="24"/>
        </w:rPr>
      </w:pPr>
    </w:p>
    <w:p w14:paraId="2EB4A9B3" w14:textId="77777777" w:rsidR="00CF3C6E" w:rsidRPr="00D60BC2" w:rsidRDefault="00CF3C6E" w:rsidP="000D7A6D">
      <w:pPr>
        <w:numPr>
          <w:ilvl w:val="0"/>
          <w:numId w:val="4"/>
        </w:numPr>
        <w:spacing w:after="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Sin embargo, al haber sido admitido el recurso de revisión, aún y cuando actualiza una causal de improcedencia, es necesario traer a contexto el artículo 192 fracción IV, de la multicitada Ley de Transparencia:</w:t>
      </w:r>
    </w:p>
    <w:p w14:paraId="63DF067A" w14:textId="77777777" w:rsidR="00CF3C6E" w:rsidRPr="00D60BC2" w:rsidRDefault="00CF3C6E" w:rsidP="000D7A6D">
      <w:pPr>
        <w:spacing w:line="360" w:lineRule="auto"/>
        <w:contextualSpacing/>
        <w:jc w:val="both"/>
        <w:rPr>
          <w:rFonts w:ascii="Palatino Linotype" w:hAnsi="Palatino Linotype" w:cs="Arial"/>
          <w:sz w:val="24"/>
          <w:szCs w:val="24"/>
        </w:rPr>
      </w:pPr>
    </w:p>
    <w:p w14:paraId="7E0856F9" w14:textId="77777777" w:rsidR="00CF3C6E" w:rsidRPr="00D60BC2" w:rsidRDefault="00CF3C6E" w:rsidP="00CF3C6E">
      <w:pPr>
        <w:tabs>
          <w:tab w:val="left" w:pos="851"/>
        </w:tabs>
        <w:spacing w:line="360" w:lineRule="auto"/>
        <w:ind w:left="851" w:right="822"/>
        <w:contextualSpacing/>
        <w:jc w:val="both"/>
        <w:rPr>
          <w:rFonts w:ascii="Palatino Linotype" w:hAnsi="Palatino Linotype" w:cs="Arial"/>
          <w:i/>
          <w:sz w:val="24"/>
          <w:szCs w:val="24"/>
        </w:rPr>
      </w:pPr>
      <w:r w:rsidRPr="00D60BC2">
        <w:rPr>
          <w:rFonts w:ascii="Palatino Linotype" w:hAnsi="Palatino Linotype"/>
          <w:i/>
          <w:sz w:val="24"/>
          <w:szCs w:val="24"/>
        </w:rPr>
        <w:t>Artículo 192. El recurso será sobreseído, en todo o en parte, cuando una vez admitido, se actualicen alguno de los siguientes supuestos:</w:t>
      </w:r>
    </w:p>
    <w:p w14:paraId="20FD9ACD"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 xml:space="preserve">I. El recurrente se desista expresamente del recurso; </w:t>
      </w:r>
    </w:p>
    <w:p w14:paraId="3C286631"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 xml:space="preserve">II. El recurrente fallezca o, tratándose de personas jurídicas colectivas, se disuelva; </w:t>
      </w:r>
    </w:p>
    <w:p w14:paraId="74E536B8"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lastRenderedPageBreak/>
        <w:t xml:space="preserve">III. El sujeto obligado responsable del acto lo modifique o revoque de tal manera que el recurso de revisión quede sin materia; </w:t>
      </w:r>
    </w:p>
    <w:p w14:paraId="187137A4" w14:textId="77777777" w:rsidR="00CF3C6E" w:rsidRPr="00D60BC2" w:rsidRDefault="00CF3C6E" w:rsidP="00CF3C6E">
      <w:pPr>
        <w:tabs>
          <w:tab w:val="left" w:pos="851"/>
        </w:tabs>
        <w:spacing w:line="360" w:lineRule="auto"/>
        <w:ind w:left="851" w:right="822"/>
        <w:contextualSpacing/>
        <w:jc w:val="both"/>
        <w:rPr>
          <w:rFonts w:ascii="Palatino Linotype" w:hAnsi="Palatino Linotype"/>
          <w:b/>
          <w:i/>
          <w:sz w:val="24"/>
          <w:szCs w:val="24"/>
        </w:rPr>
      </w:pPr>
      <w:r w:rsidRPr="00D60BC2">
        <w:rPr>
          <w:rFonts w:ascii="Palatino Linotype" w:hAnsi="Palatino Linotype"/>
          <w:b/>
          <w:i/>
          <w:sz w:val="24"/>
          <w:szCs w:val="24"/>
        </w:rPr>
        <w:t xml:space="preserve">IV. Admitido el recurso de revisión, aparezca alguna causal de improcedencia en los términos de la presente Ley; y </w:t>
      </w:r>
    </w:p>
    <w:p w14:paraId="4A705FBA" w14:textId="77777777" w:rsidR="00CF3C6E" w:rsidRPr="00D60BC2" w:rsidRDefault="00CF3C6E" w:rsidP="00CF3C6E">
      <w:pPr>
        <w:tabs>
          <w:tab w:val="left" w:pos="851"/>
        </w:tabs>
        <w:spacing w:line="360" w:lineRule="auto"/>
        <w:ind w:left="851" w:right="822"/>
        <w:contextualSpacing/>
        <w:jc w:val="both"/>
        <w:rPr>
          <w:rFonts w:ascii="Palatino Linotype" w:hAnsi="Palatino Linotype"/>
          <w:i/>
          <w:sz w:val="24"/>
          <w:szCs w:val="24"/>
        </w:rPr>
      </w:pPr>
      <w:r w:rsidRPr="00D60BC2">
        <w:rPr>
          <w:rFonts w:ascii="Palatino Linotype" w:hAnsi="Palatino Linotype"/>
          <w:i/>
          <w:sz w:val="24"/>
          <w:szCs w:val="24"/>
        </w:rPr>
        <w:t>V. Cuando por cualquier motivo quede sin materia el recurso.</w:t>
      </w:r>
    </w:p>
    <w:p w14:paraId="5415318B" w14:textId="77777777" w:rsidR="00CF3C6E" w:rsidRPr="00D60BC2" w:rsidRDefault="00CF3C6E" w:rsidP="00CF3C6E">
      <w:pPr>
        <w:tabs>
          <w:tab w:val="left" w:pos="567"/>
        </w:tabs>
        <w:spacing w:line="360" w:lineRule="auto"/>
        <w:ind w:left="567" w:right="822"/>
        <w:contextualSpacing/>
        <w:jc w:val="both"/>
        <w:rPr>
          <w:rFonts w:ascii="Palatino Linotype" w:hAnsi="Palatino Linotype" w:cs="Arial"/>
          <w:i/>
          <w:sz w:val="24"/>
          <w:szCs w:val="24"/>
        </w:rPr>
      </w:pPr>
    </w:p>
    <w:p w14:paraId="4C1A8C91" w14:textId="77777777" w:rsidR="00CF3C6E" w:rsidRPr="00D60BC2" w:rsidRDefault="00CF3C6E" w:rsidP="000D7A6D">
      <w:pPr>
        <w:numPr>
          <w:ilvl w:val="0"/>
          <w:numId w:val="4"/>
        </w:numPr>
        <w:spacing w:after="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14:paraId="318F862C" w14:textId="77777777" w:rsidR="00CF3C6E" w:rsidRPr="00D60BC2" w:rsidRDefault="00CF3C6E" w:rsidP="000D7A6D">
      <w:pPr>
        <w:spacing w:before="240" w:after="240" w:line="360" w:lineRule="auto"/>
        <w:contextualSpacing/>
        <w:jc w:val="both"/>
        <w:rPr>
          <w:rFonts w:ascii="Palatino Linotype" w:hAnsi="Palatino Linotype"/>
          <w:sz w:val="24"/>
          <w:szCs w:val="24"/>
        </w:rPr>
      </w:pPr>
    </w:p>
    <w:p w14:paraId="6A1B043F" w14:textId="77777777" w:rsidR="00CF3C6E" w:rsidRPr="00D60BC2" w:rsidRDefault="00CF3C6E" w:rsidP="000D7A6D">
      <w:pPr>
        <w:numPr>
          <w:ilvl w:val="0"/>
          <w:numId w:val="4"/>
        </w:numPr>
        <w:spacing w:before="240" w:after="240" w:line="360" w:lineRule="auto"/>
        <w:ind w:left="0" w:firstLine="0"/>
        <w:contextualSpacing/>
        <w:jc w:val="both"/>
        <w:rPr>
          <w:rFonts w:ascii="Palatino Linotype" w:hAnsi="Palatino Linotype"/>
          <w:sz w:val="24"/>
          <w:szCs w:val="24"/>
        </w:rPr>
      </w:pPr>
      <w:r w:rsidRPr="00D60BC2">
        <w:rPr>
          <w:rFonts w:ascii="Palatino Linotype" w:hAnsi="Palatino Linotype" w:cs="Arial"/>
          <w:sz w:val="24"/>
          <w:szCs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3D418C8" w14:textId="77777777" w:rsidR="00CF3C6E" w:rsidRPr="00D60BC2" w:rsidRDefault="00CF3C6E" w:rsidP="00CF3C6E">
      <w:pPr>
        <w:spacing w:line="360" w:lineRule="auto"/>
        <w:ind w:left="567" w:right="567"/>
        <w:jc w:val="both"/>
        <w:rPr>
          <w:rFonts w:ascii="Palatino Linotype" w:hAnsi="Palatino Linotype" w:cs="Arial"/>
          <w:i/>
          <w:sz w:val="24"/>
          <w:szCs w:val="24"/>
        </w:rPr>
      </w:pPr>
      <w:r w:rsidRPr="00D60BC2">
        <w:rPr>
          <w:rFonts w:ascii="Palatino Linotype" w:hAnsi="Palatino Linotype" w:cs="Arial"/>
          <w:i/>
          <w:sz w:val="24"/>
          <w:szCs w:val="24"/>
        </w:rPr>
        <w:t>“</w:t>
      </w:r>
      <w:r w:rsidRPr="00D60BC2">
        <w:rPr>
          <w:rFonts w:ascii="Palatino Linotype" w:hAnsi="Palatino Linotype" w:cs="Arial"/>
          <w:b/>
          <w:i/>
          <w:sz w:val="24"/>
          <w:szCs w:val="24"/>
        </w:rPr>
        <w:t>SOBRESEIMIENTO EN EL JUICIO DE AMPARO DIRECTO. IMPIDE EL ESTUDIO DE LAS VIOLACIONES PROCESALES PLANTEADAS EN LOS CONCEPTOS DE VIOLACIÓN.</w:t>
      </w:r>
      <w:r w:rsidRPr="00D60BC2">
        <w:rPr>
          <w:rFonts w:ascii="Palatino Linotype" w:hAnsi="Palatino Linotype" w:cs="Arial"/>
          <w:i/>
          <w:sz w:val="24"/>
          <w:szCs w:val="24"/>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AC7681A" w14:textId="77777777" w:rsidR="00CF3C6E" w:rsidRPr="00D60BC2" w:rsidRDefault="00CF3C6E" w:rsidP="00CF3C6E">
      <w:pPr>
        <w:spacing w:line="360" w:lineRule="auto"/>
        <w:ind w:left="567" w:right="567"/>
        <w:jc w:val="both"/>
        <w:rPr>
          <w:rFonts w:ascii="Palatino Linotype" w:hAnsi="Palatino Linotype" w:cs="Arial"/>
          <w:i/>
          <w:sz w:val="24"/>
          <w:szCs w:val="24"/>
        </w:rPr>
      </w:pPr>
      <w:r w:rsidRPr="00D60BC2">
        <w:rPr>
          <w:rFonts w:ascii="Palatino Linotype" w:hAnsi="Palatino Linotype" w:cs="Arial"/>
          <w:i/>
          <w:sz w:val="24"/>
          <w:szCs w:val="24"/>
        </w:rPr>
        <w:lastRenderedPageBreak/>
        <w:t>SEPTIMO TRIBUNAL COLEGIADO EN MATERIA CIVIL DEL PRIMER CIRCUITO</w:t>
      </w:r>
    </w:p>
    <w:p w14:paraId="4EF1972B" w14:textId="77777777" w:rsidR="00CF3C6E" w:rsidRPr="00D60BC2" w:rsidRDefault="00CF3C6E" w:rsidP="00CF3C6E">
      <w:pPr>
        <w:spacing w:line="360" w:lineRule="auto"/>
        <w:ind w:left="567" w:right="567"/>
        <w:jc w:val="both"/>
        <w:rPr>
          <w:rFonts w:ascii="Palatino Linotype" w:hAnsi="Palatino Linotype" w:cs="Arial"/>
          <w:i/>
          <w:sz w:val="24"/>
          <w:szCs w:val="24"/>
        </w:rPr>
      </w:pPr>
      <w:r w:rsidRPr="00D60BC2">
        <w:rPr>
          <w:rFonts w:ascii="Palatino Linotype" w:hAnsi="Palatino Linotype" w:cs="Arial"/>
          <w:i/>
          <w:sz w:val="24"/>
          <w:szCs w:val="24"/>
        </w:rPr>
        <w:t>Amparo directo 699/2008. Mariana Leticia González Steele. 13 de noviembre de 2008. Unanimidad de votos. Ponente: Sara Judith Montalvo Trejo. Secretario: Arnulfo Mateos García.”</w:t>
      </w:r>
    </w:p>
    <w:p w14:paraId="254131DA" w14:textId="77777777" w:rsidR="00CF3C6E" w:rsidRPr="00D60BC2" w:rsidRDefault="00CF3C6E" w:rsidP="00CF3C6E">
      <w:pPr>
        <w:spacing w:line="360" w:lineRule="auto"/>
        <w:ind w:left="567" w:right="567"/>
        <w:jc w:val="both"/>
        <w:rPr>
          <w:rFonts w:ascii="Palatino Linotype" w:hAnsi="Palatino Linotype" w:cs="Arial"/>
          <w:i/>
          <w:sz w:val="24"/>
          <w:szCs w:val="24"/>
        </w:rPr>
      </w:pPr>
    </w:p>
    <w:p w14:paraId="51223AE1" w14:textId="77777777" w:rsidR="00CF3C6E" w:rsidRPr="00D60BC2" w:rsidRDefault="00CF3C6E" w:rsidP="000D7A6D">
      <w:pPr>
        <w:numPr>
          <w:ilvl w:val="0"/>
          <w:numId w:val="4"/>
        </w:numPr>
        <w:spacing w:after="0" w:line="360" w:lineRule="auto"/>
        <w:ind w:left="0" w:firstLine="0"/>
        <w:contextualSpacing/>
        <w:jc w:val="both"/>
        <w:rPr>
          <w:rFonts w:ascii="Palatino Linotype" w:hAnsi="Palatino Linotype" w:cs="Arial"/>
          <w:sz w:val="24"/>
          <w:szCs w:val="24"/>
        </w:rPr>
      </w:pPr>
      <w:r w:rsidRPr="00D60BC2">
        <w:rPr>
          <w:rFonts w:ascii="Palatino Linotype" w:hAnsi="Palatino Linotype" w:cs="Arial"/>
          <w:sz w:val="24"/>
          <w:szCs w:val="24"/>
        </w:rPr>
        <w:t>No obstante, a efecto de no vulnerar los derechos del particular, este Órgano Garante deja a salvo sus derechos para que, si así lo desea, presente una nueva solicitud de acceso a la información requiriendo información que sea de su interés.</w:t>
      </w:r>
    </w:p>
    <w:p w14:paraId="2939BCE8" w14:textId="77777777" w:rsidR="00CF3C6E" w:rsidRPr="00D60BC2" w:rsidRDefault="00CF3C6E" w:rsidP="000D7A6D">
      <w:pPr>
        <w:autoSpaceDE w:val="0"/>
        <w:autoSpaceDN w:val="0"/>
        <w:adjustRightInd w:val="0"/>
        <w:spacing w:before="120" w:after="120" w:line="360" w:lineRule="auto"/>
        <w:contextualSpacing/>
        <w:jc w:val="both"/>
        <w:rPr>
          <w:rFonts w:ascii="Palatino Linotype" w:hAnsi="Palatino Linotype" w:cs="Arial"/>
          <w:sz w:val="24"/>
          <w:szCs w:val="24"/>
        </w:rPr>
      </w:pPr>
    </w:p>
    <w:p w14:paraId="2710CABA" w14:textId="77777777" w:rsidR="00CF3C6E" w:rsidRPr="00D60BC2" w:rsidRDefault="00CF3C6E" w:rsidP="000D7A6D">
      <w:pPr>
        <w:numPr>
          <w:ilvl w:val="0"/>
          <w:numId w:val="4"/>
        </w:numPr>
        <w:spacing w:after="0" w:line="360" w:lineRule="auto"/>
        <w:ind w:left="0" w:firstLine="0"/>
        <w:contextualSpacing/>
        <w:jc w:val="both"/>
        <w:rPr>
          <w:rFonts w:ascii="Palatino Linotype" w:hAnsi="Palatino Linotype" w:cs="Palatino Linotype"/>
          <w:sz w:val="24"/>
          <w:szCs w:val="24"/>
        </w:rPr>
      </w:pPr>
      <w:r w:rsidRPr="00D60BC2">
        <w:rPr>
          <w:rFonts w:ascii="Palatino Linotype" w:hAnsi="Palatino Linotype" w:cs="Arial"/>
          <w:sz w:val="24"/>
          <w:szCs w:val="24"/>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4A3E0F1F" w14:textId="77777777" w:rsidR="00CF3C6E" w:rsidRPr="00D60BC2" w:rsidRDefault="00CF3C6E" w:rsidP="000D7A6D">
      <w:pPr>
        <w:pStyle w:val="Prrafodelista"/>
        <w:shd w:val="clear" w:color="auto" w:fill="FFFFFF"/>
        <w:tabs>
          <w:tab w:val="left" w:pos="284"/>
        </w:tabs>
        <w:spacing w:line="360" w:lineRule="auto"/>
        <w:ind w:left="0"/>
        <w:jc w:val="both"/>
        <w:rPr>
          <w:rFonts w:ascii="Palatino Linotype" w:hAnsi="Palatino Linotype" w:cs="Arial"/>
        </w:rPr>
      </w:pPr>
    </w:p>
    <w:p w14:paraId="49D6F207" w14:textId="6694D14C" w:rsidR="00CF3C6E" w:rsidRPr="000D7A6D" w:rsidRDefault="00CF3C6E" w:rsidP="000D7A6D">
      <w:pPr>
        <w:pStyle w:val="Prrafodelista"/>
        <w:numPr>
          <w:ilvl w:val="0"/>
          <w:numId w:val="4"/>
        </w:numPr>
        <w:spacing w:before="240" w:after="240" w:line="360" w:lineRule="auto"/>
        <w:ind w:left="0" w:right="49" w:firstLine="0"/>
        <w:contextualSpacing/>
        <w:jc w:val="both"/>
        <w:rPr>
          <w:rFonts w:ascii="Palatino Linotype" w:hAnsi="Palatino Linotype" w:cs="Palatino Linotype"/>
        </w:rPr>
      </w:pPr>
      <w:r w:rsidRPr="00D60BC2">
        <w:rPr>
          <w:rFonts w:ascii="Palatino Linotype" w:hAnsi="Palatino Linotype"/>
          <w:color w:val="000000"/>
          <w:lang w:eastAsia="es-MX"/>
        </w:rPr>
        <w:t xml:space="preserve">Por lo anteriormente expuesto y fundado, este </w:t>
      </w:r>
      <w:r w:rsidRPr="00D60BC2">
        <w:rPr>
          <w:rFonts w:ascii="Palatino Linotype" w:hAnsi="Palatino Linotype"/>
          <w:b/>
          <w:bCs/>
          <w:color w:val="000000"/>
          <w:lang w:eastAsia="es-MX"/>
        </w:rPr>
        <w:t>ÓRGANO GARANTE</w:t>
      </w:r>
      <w:r w:rsidRPr="00D60BC2">
        <w:rPr>
          <w:rFonts w:ascii="Palatino Linotype" w:hAnsi="Palatino Linotype"/>
          <w:color w:val="000000"/>
          <w:lang w:eastAsia="es-MX"/>
        </w:rPr>
        <w:t xml:space="preserve"> emite los siguientes:</w:t>
      </w:r>
      <w:r w:rsidR="000D7A6D">
        <w:rPr>
          <w:rFonts w:ascii="Palatino Linotype" w:hAnsi="Palatino Linotype"/>
          <w:color w:val="000000"/>
          <w:lang w:eastAsia="es-MX"/>
        </w:rPr>
        <w:t xml:space="preserve"> </w:t>
      </w:r>
    </w:p>
    <w:p w14:paraId="4813F16D" w14:textId="77777777" w:rsidR="000D7A6D" w:rsidRPr="000D7A6D" w:rsidRDefault="000D7A6D" w:rsidP="000D7A6D">
      <w:pPr>
        <w:pStyle w:val="Prrafodelista"/>
        <w:rPr>
          <w:rFonts w:ascii="Palatino Linotype" w:hAnsi="Palatino Linotype" w:cs="Palatino Linotype"/>
        </w:rPr>
      </w:pPr>
    </w:p>
    <w:p w14:paraId="35756B66" w14:textId="77777777" w:rsidR="00705D12" w:rsidRPr="00D60BC2" w:rsidRDefault="00331433">
      <w:pPr>
        <w:spacing w:after="0" w:line="360" w:lineRule="auto"/>
        <w:ind w:left="426"/>
        <w:jc w:val="center"/>
        <w:rPr>
          <w:rFonts w:ascii="Palatino Linotype" w:eastAsia="Palatino Linotype" w:hAnsi="Palatino Linotype" w:cs="Palatino Linotype"/>
          <w:b/>
          <w:color w:val="000000"/>
          <w:sz w:val="24"/>
          <w:szCs w:val="24"/>
        </w:rPr>
      </w:pPr>
      <w:r w:rsidRPr="00D60BC2">
        <w:rPr>
          <w:rFonts w:ascii="Palatino Linotype" w:eastAsia="Palatino Linotype" w:hAnsi="Palatino Linotype" w:cs="Palatino Linotype"/>
          <w:b/>
          <w:color w:val="000000"/>
          <w:sz w:val="24"/>
          <w:szCs w:val="24"/>
        </w:rPr>
        <w:t>S E    R E S U E L V E</w:t>
      </w:r>
    </w:p>
    <w:p w14:paraId="74A5F5E7" w14:textId="77777777" w:rsidR="00705D12" w:rsidRPr="00D60BC2" w:rsidRDefault="00705D12">
      <w:pPr>
        <w:spacing w:after="0" w:line="360" w:lineRule="auto"/>
        <w:ind w:left="426"/>
        <w:jc w:val="center"/>
        <w:rPr>
          <w:rFonts w:ascii="Palatino Linotype" w:eastAsia="Palatino Linotype" w:hAnsi="Palatino Linotype" w:cs="Palatino Linotype"/>
          <w:b/>
          <w:color w:val="000000"/>
          <w:sz w:val="24"/>
          <w:szCs w:val="24"/>
        </w:rPr>
      </w:pPr>
    </w:p>
    <w:p w14:paraId="1DD7948F" w14:textId="77777777" w:rsidR="00CF3C6E" w:rsidRPr="00D60BC2" w:rsidRDefault="00CF3C6E" w:rsidP="00CF3C6E">
      <w:pPr>
        <w:spacing w:before="240" w:after="240" w:line="360" w:lineRule="auto"/>
        <w:jc w:val="both"/>
        <w:rPr>
          <w:rFonts w:ascii="Palatino Linotype" w:hAnsi="Palatino Linotype" w:cs="Arial"/>
          <w:sz w:val="24"/>
          <w:szCs w:val="24"/>
        </w:rPr>
      </w:pPr>
      <w:bookmarkStart w:id="2" w:name="_Toc450120669"/>
      <w:bookmarkStart w:id="3" w:name="_Toc460947011"/>
      <w:r w:rsidRPr="00D60BC2">
        <w:rPr>
          <w:rFonts w:ascii="Palatino Linotype" w:hAnsi="Palatino Linotype" w:cs="Arial"/>
          <w:b/>
          <w:sz w:val="24"/>
          <w:szCs w:val="24"/>
        </w:rPr>
        <w:t xml:space="preserve">PRIMERO. </w:t>
      </w:r>
      <w:r w:rsidRPr="00D60BC2">
        <w:rPr>
          <w:rFonts w:ascii="Palatino Linotype" w:hAnsi="Palatino Linotype"/>
          <w:sz w:val="24"/>
          <w:szCs w:val="24"/>
        </w:rPr>
        <w:t xml:space="preserve">Se </w:t>
      </w:r>
      <w:r w:rsidRPr="00D60BC2">
        <w:rPr>
          <w:rFonts w:ascii="Palatino Linotype" w:hAnsi="Palatino Linotype"/>
          <w:b/>
          <w:sz w:val="24"/>
          <w:szCs w:val="24"/>
        </w:rPr>
        <w:t>SOBRESEE</w:t>
      </w:r>
      <w:r w:rsidRPr="00D60BC2">
        <w:rPr>
          <w:rFonts w:ascii="Palatino Linotype" w:hAnsi="Palatino Linotype"/>
          <w:sz w:val="24"/>
          <w:szCs w:val="24"/>
        </w:rPr>
        <w:t xml:space="preserve"> el recurso de revisión número </w:t>
      </w:r>
      <w:r w:rsidRPr="00D60BC2">
        <w:rPr>
          <w:rFonts w:ascii="Palatino Linotype" w:hAnsi="Palatino Linotype"/>
          <w:b/>
          <w:sz w:val="24"/>
          <w:szCs w:val="24"/>
        </w:rPr>
        <w:t>14298/INFOEM/IP/RR/2025</w:t>
      </w:r>
      <w:r w:rsidRPr="00D60BC2">
        <w:rPr>
          <w:rFonts w:ascii="Palatino Linotype" w:hAnsi="Palatino Linotype" w:cs="Arial"/>
          <w:bCs/>
          <w:sz w:val="24"/>
          <w:szCs w:val="24"/>
        </w:rPr>
        <w:t>,</w:t>
      </w:r>
      <w:r w:rsidRPr="00D60BC2">
        <w:rPr>
          <w:rFonts w:ascii="Palatino Linotype" w:hAnsi="Palatino Linotype" w:cs="Arial"/>
          <w:sz w:val="24"/>
          <w:szCs w:val="24"/>
        </w:rPr>
        <w:t xml:space="preserve"> </w:t>
      </w:r>
      <w:r w:rsidRPr="00D60BC2">
        <w:rPr>
          <w:rFonts w:ascii="Palatino Linotype" w:hAnsi="Palatino Linotype"/>
          <w:sz w:val="24"/>
          <w:szCs w:val="24"/>
        </w:rPr>
        <w:t>conforme al artículo 1</w:t>
      </w:r>
      <w:r w:rsidRPr="00D60BC2">
        <w:rPr>
          <w:rFonts w:ascii="Palatino Linotype" w:hAnsi="Palatino Linotype" w:cs="Arial"/>
          <w:color w:val="000000" w:themeColor="text1"/>
          <w:sz w:val="24"/>
          <w:szCs w:val="24"/>
        </w:rPr>
        <w:t xml:space="preserve">92, fracción IV, </w:t>
      </w:r>
      <w:r w:rsidRPr="00D60BC2">
        <w:rPr>
          <w:rFonts w:ascii="Palatino Linotype" w:hAnsi="Palatino Linotype"/>
          <w:sz w:val="24"/>
          <w:szCs w:val="24"/>
        </w:rPr>
        <w:t>de la Ley de Transparencia y Acceso a la Información Pública del Estado de México y Municipios</w:t>
      </w:r>
      <w:r w:rsidRPr="00D60BC2">
        <w:rPr>
          <w:rFonts w:ascii="Palatino Linotype" w:hAnsi="Palatino Linotype" w:cs="Arial"/>
          <w:color w:val="000000" w:themeColor="text1"/>
          <w:sz w:val="24"/>
          <w:szCs w:val="24"/>
        </w:rPr>
        <w:t xml:space="preserve">, </w:t>
      </w:r>
      <w:r w:rsidRPr="00D60BC2">
        <w:rPr>
          <w:rFonts w:ascii="Palatino Linotype" w:eastAsia="Times New Roman" w:hAnsi="Palatino Linotype" w:cs="Tahoma"/>
          <w:sz w:val="24"/>
          <w:szCs w:val="24"/>
        </w:rPr>
        <w:t xml:space="preserve">por actualizarse la causal de improcedencia </w:t>
      </w:r>
      <w:r w:rsidRPr="00D60BC2">
        <w:rPr>
          <w:rFonts w:ascii="Palatino Linotype" w:eastAsia="Times New Roman" w:hAnsi="Palatino Linotype" w:cs="Tahoma"/>
          <w:sz w:val="24"/>
          <w:szCs w:val="24"/>
        </w:rPr>
        <w:lastRenderedPageBreak/>
        <w:t xml:space="preserve">establecida en la fracción VI, del artículo 191 de dicho ordenamiento jurídico, en términos del </w:t>
      </w:r>
      <w:r w:rsidRPr="00D60BC2">
        <w:rPr>
          <w:rFonts w:ascii="Palatino Linotype" w:eastAsia="Times New Roman" w:hAnsi="Palatino Linotype" w:cs="Tahoma"/>
          <w:b/>
          <w:sz w:val="24"/>
          <w:szCs w:val="24"/>
        </w:rPr>
        <w:t>Considerando Tercero</w:t>
      </w:r>
      <w:r w:rsidRPr="00D60BC2">
        <w:rPr>
          <w:rFonts w:ascii="Palatino Linotype" w:eastAsia="Times New Roman" w:hAnsi="Palatino Linotype" w:cs="Tahoma"/>
          <w:sz w:val="24"/>
          <w:szCs w:val="24"/>
        </w:rPr>
        <w:t xml:space="preserve"> de la presente Resolución.</w:t>
      </w:r>
    </w:p>
    <w:p w14:paraId="726AEC51" w14:textId="77777777" w:rsidR="00CF3C6E" w:rsidRPr="00D60BC2" w:rsidRDefault="00CF3C6E" w:rsidP="00CF3C6E">
      <w:pPr>
        <w:spacing w:before="240" w:after="360" w:line="360" w:lineRule="auto"/>
        <w:jc w:val="both"/>
        <w:rPr>
          <w:rStyle w:val="Ttulo2Car"/>
          <w:rFonts w:ascii="Palatino Linotype" w:hAnsi="Palatino Linotype"/>
          <w:b w:val="0"/>
          <w:color w:val="000000" w:themeColor="text1"/>
          <w:sz w:val="24"/>
          <w:szCs w:val="24"/>
        </w:rPr>
      </w:pPr>
      <w:bookmarkStart w:id="4" w:name="_Toc461648590"/>
      <w:bookmarkStart w:id="5" w:name="_Toc461648682"/>
      <w:bookmarkStart w:id="6" w:name="_Toc462228049"/>
      <w:bookmarkStart w:id="7" w:name="_Toc462228129"/>
      <w:bookmarkStart w:id="8" w:name="_Toc496099789"/>
      <w:bookmarkStart w:id="9" w:name="_Toc496100166"/>
      <w:bookmarkStart w:id="10" w:name="_Toc499756977"/>
      <w:bookmarkStart w:id="11" w:name="_Toc499757020"/>
      <w:bookmarkStart w:id="12" w:name="_Toc504377974"/>
      <w:r w:rsidRPr="00D60BC2">
        <w:rPr>
          <w:rFonts w:ascii="Palatino Linotype" w:hAnsi="Palatino Linotype" w:cs="Arial"/>
          <w:b/>
          <w:sz w:val="24"/>
          <w:szCs w:val="24"/>
        </w:rPr>
        <w:t>SEGUNDO.</w:t>
      </w:r>
      <w:bookmarkEnd w:id="4"/>
      <w:bookmarkEnd w:id="5"/>
      <w:bookmarkEnd w:id="6"/>
      <w:bookmarkEnd w:id="7"/>
      <w:bookmarkEnd w:id="8"/>
      <w:bookmarkEnd w:id="9"/>
      <w:bookmarkEnd w:id="10"/>
      <w:bookmarkEnd w:id="11"/>
      <w:bookmarkEnd w:id="12"/>
      <w:r w:rsidRPr="00D60BC2">
        <w:rPr>
          <w:rStyle w:val="Ttulo2Car"/>
          <w:rFonts w:ascii="Palatino Linotype" w:hAnsi="Palatino Linotype"/>
          <w:b w:val="0"/>
          <w:color w:val="000000" w:themeColor="text1"/>
          <w:sz w:val="24"/>
          <w:szCs w:val="24"/>
        </w:rPr>
        <w:t xml:space="preserve"> </w:t>
      </w:r>
      <w:r w:rsidRPr="00D60BC2">
        <w:rPr>
          <w:rFonts w:ascii="Palatino Linotype" w:eastAsia="MS Mincho" w:hAnsi="Palatino Linotype" w:cs="Arial"/>
          <w:b/>
          <w:bCs/>
          <w:color w:val="000000" w:themeColor="text1"/>
          <w:sz w:val="24"/>
          <w:szCs w:val="24"/>
          <w:shd w:val="clear" w:color="auto" w:fill="FFFFFF"/>
        </w:rPr>
        <w:t xml:space="preserve">Notifíquese </w:t>
      </w:r>
      <w:r w:rsidRPr="00D60BC2">
        <w:rPr>
          <w:rFonts w:ascii="Palatino Linotype" w:eastAsia="MS Mincho" w:hAnsi="Palatino Linotype"/>
          <w:color w:val="000000" w:themeColor="text1"/>
          <w:sz w:val="24"/>
          <w:szCs w:val="24"/>
          <w:shd w:val="clear" w:color="auto" w:fill="FFFFFF"/>
        </w:rPr>
        <w:t>al Titular de la Unidad de Transparencia del</w:t>
      </w:r>
      <w:r w:rsidRPr="00D60BC2">
        <w:rPr>
          <w:rFonts w:ascii="Palatino Linotype" w:eastAsia="MS Mincho" w:hAnsi="Palatino Linotype"/>
          <w:b/>
          <w:bCs/>
          <w:color w:val="000000" w:themeColor="text1"/>
          <w:sz w:val="24"/>
          <w:szCs w:val="24"/>
          <w:shd w:val="clear" w:color="auto" w:fill="FFFFFF"/>
        </w:rPr>
        <w:t xml:space="preserve"> SUJETO OBLIGADO</w:t>
      </w:r>
      <w:r w:rsidRPr="00D60BC2">
        <w:rPr>
          <w:rFonts w:ascii="Palatino Linotype" w:eastAsia="MS Mincho" w:hAnsi="Palatino Linotype"/>
          <w:color w:val="000000" w:themeColor="text1"/>
          <w:sz w:val="24"/>
          <w:szCs w:val="24"/>
          <w:shd w:val="clear" w:color="auto" w:fill="FFFFFF"/>
        </w:rPr>
        <w:t xml:space="preserve"> vía Sistema de Acceso a Información Mexiquense, </w:t>
      </w:r>
      <w:r w:rsidRPr="00D60BC2">
        <w:rPr>
          <w:rFonts w:ascii="Palatino Linotype" w:eastAsia="MS Mincho" w:hAnsi="Palatino Linotype"/>
          <w:b/>
          <w:color w:val="000000" w:themeColor="text1"/>
          <w:sz w:val="24"/>
          <w:szCs w:val="24"/>
          <w:shd w:val="clear" w:color="auto" w:fill="FFFFFF"/>
        </w:rPr>
        <w:t>SAIMEX</w:t>
      </w:r>
      <w:r w:rsidRPr="00D60BC2">
        <w:rPr>
          <w:rFonts w:ascii="Palatino Linotype" w:eastAsia="MS Mincho" w:hAnsi="Palatino Linotype"/>
          <w:color w:val="000000" w:themeColor="text1"/>
          <w:sz w:val="24"/>
          <w:szCs w:val="24"/>
          <w:shd w:val="clear" w:color="auto" w:fill="FFFFFF"/>
        </w:rPr>
        <w:t xml:space="preserve">, la presente resolución, para su conocimiento. </w:t>
      </w:r>
    </w:p>
    <w:p w14:paraId="0AF8CC60" w14:textId="77777777" w:rsidR="00CF3C6E" w:rsidRPr="00D60BC2" w:rsidRDefault="00CF3C6E" w:rsidP="00CF3C6E">
      <w:pPr>
        <w:spacing w:line="360" w:lineRule="auto"/>
        <w:jc w:val="both"/>
        <w:rPr>
          <w:rFonts w:ascii="Palatino Linotype" w:hAnsi="Palatino Linotype"/>
          <w:sz w:val="24"/>
          <w:szCs w:val="24"/>
        </w:rPr>
      </w:pPr>
      <w:bookmarkStart w:id="13" w:name="_Toc460947013"/>
      <w:bookmarkEnd w:id="2"/>
      <w:bookmarkEnd w:id="3"/>
      <w:r w:rsidRPr="00D60BC2">
        <w:rPr>
          <w:rFonts w:ascii="Palatino Linotype" w:hAnsi="Palatino Linotype" w:cs="Arial"/>
          <w:b/>
          <w:sz w:val="24"/>
          <w:szCs w:val="24"/>
        </w:rPr>
        <w:t xml:space="preserve">TERCERO. </w:t>
      </w:r>
      <w:r w:rsidRPr="00D60BC2">
        <w:rPr>
          <w:rFonts w:ascii="Palatino Linotype" w:hAnsi="Palatino Linotype"/>
          <w:b/>
          <w:bCs/>
          <w:color w:val="222222"/>
          <w:sz w:val="24"/>
          <w:szCs w:val="24"/>
        </w:rPr>
        <w:t xml:space="preserve">Notifíquese a </w:t>
      </w:r>
      <w:r w:rsidRPr="00D60BC2">
        <w:rPr>
          <w:rFonts w:ascii="Palatino Linotype" w:hAnsi="Palatino Linotype"/>
          <w:b/>
          <w:sz w:val="24"/>
          <w:szCs w:val="24"/>
        </w:rPr>
        <w:t xml:space="preserve">la RECURRENTE </w:t>
      </w:r>
      <w:r w:rsidRPr="00D60BC2">
        <w:rPr>
          <w:rFonts w:ascii="Palatino Linotype" w:hAnsi="Palatino Linotype"/>
          <w:sz w:val="24"/>
          <w:szCs w:val="24"/>
        </w:rPr>
        <w:t xml:space="preserve">la presente resolución a través de </w:t>
      </w:r>
      <w:r w:rsidRPr="00D60BC2">
        <w:rPr>
          <w:rFonts w:ascii="Palatino Linotype" w:hAnsi="Palatino Linotype"/>
          <w:b/>
          <w:sz w:val="24"/>
          <w:szCs w:val="24"/>
        </w:rPr>
        <w:t>SAIMEX.</w:t>
      </w:r>
    </w:p>
    <w:p w14:paraId="05C5368D" w14:textId="77777777" w:rsidR="00CF3C6E" w:rsidRPr="00D60BC2" w:rsidRDefault="00CF3C6E" w:rsidP="00CF3C6E">
      <w:pPr>
        <w:spacing w:line="360" w:lineRule="auto"/>
        <w:jc w:val="both"/>
        <w:rPr>
          <w:rFonts w:ascii="Palatino Linotype" w:hAnsi="Palatino Linotype"/>
          <w:sz w:val="24"/>
          <w:szCs w:val="24"/>
        </w:rPr>
      </w:pPr>
    </w:p>
    <w:bookmarkEnd w:id="13"/>
    <w:p w14:paraId="79CA711F" w14:textId="77777777" w:rsidR="00CF3C6E" w:rsidRPr="00CF3C6E" w:rsidRDefault="00CF3C6E" w:rsidP="00CF3C6E">
      <w:pPr>
        <w:spacing w:line="360" w:lineRule="auto"/>
        <w:jc w:val="both"/>
        <w:rPr>
          <w:rFonts w:ascii="Palatino Linotype" w:eastAsia="MS Mincho" w:hAnsi="Palatino Linotype"/>
          <w:sz w:val="24"/>
          <w:szCs w:val="24"/>
        </w:rPr>
      </w:pPr>
      <w:r w:rsidRPr="00D60BC2">
        <w:rPr>
          <w:rFonts w:ascii="Palatino Linotype" w:eastAsia="MS Mincho" w:hAnsi="Palatino Linotype"/>
          <w:b/>
          <w:sz w:val="24"/>
          <w:szCs w:val="24"/>
        </w:rPr>
        <w:t>CUARTO.</w:t>
      </w:r>
      <w:r w:rsidRPr="00D60BC2">
        <w:rPr>
          <w:rFonts w:ascii="Palatino Linotype" w:eastAsia="MS Mincho" w:hAnsi="Palatino Linotype"/>
          <w:sz w:val="24"/>
          <w:szCs w:val="24"/>
        </w:rPr>
        <w:t xml:space="preserve"> Se hace del conocimiento de la </w:t>
      </w:r>
      <w:r w:rsidRPr="00D60BC2">
        <w:rPr>
          <w:rFonts w:ascii="Palatino Linotype" w:hAnsi="Palatino Linotype" w:cs="Tahoma"/>
          <w:b/>
          <w:sz w:val="24"/>
          <w:szCs w:val="24"/>
          <w:lang w:eastAsia="en-US"/>
        </w:rPr>
        <w:t>RECURRENTE</w:t>
      </w:r>
      <w:r w:rsidRPr="00D60BC2">
        <w:rPr>
          <w:rFonts w:ascii="Palatino Linotype" w:eastAsia="MS Mincho" w:hAnsi="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60BC2">
        <w:rPr>
          <w:rFonts w:ascii="Palatino Linotype" w:eastAsia="MS Mincho" w:hAnsi="Palatino Linotype"/>
          <w:bCs/>
          <w:sz w:val="24"/>
          <w:szCs w:val="24"/>
        </w:rPr>
        <w:t>vía juicio de amparo</w:t>
      </w:r>
      <w:r w:rsidRPr="00D60BC2">
        <w:rPr>
          <w:rFonts w:ascii="Palatino Linotype" w:eastAsia="MS Mincho" w:hAnsi="Palatino Linotype"/>
          <w:sz w:val="24"/>
          <w:szCs w:val="24"/>
        </w:rPr>
        <w:t> en los términos de las leyes aplicables.</w:t>
      </w:r>
      <w:bookmarkStart w:id="14" w:name="_Toc466371865"/>
      <w:bookmarkStart w:id="15" w:name="_Toc466377653"/>
    </w:p>
    <w:p w14:paraId="593D0879" w14:textId="77777777" w:rsidR="000D7A6D" w:rsidRDefault="000D7A6D" w:rsidP="00E70B68">
      <w:pPr>
        <w:spacing w:before="240" w:after="240" w:line="360" w:lineRule="auto"/>
        <w:ind w:firstLine="1"/>
        <w:jc w:val="both"/>
        <w:rPr>
          <w:rFonts w:ascii="Palatino Linotype" w:hAnsi="Palatino Linotype" w:cs="Palatino Linotype"/>
          <w:sz w:val="24"/>
        </w:rPr>
      </w:pPr>
      <w:bookmarkStart w:id="16" w:name="_Hlk99014733"/>
      <w:bookmarkEnd w:id="14"/>
      <w:bookmarkEnd w:id="15"/>
    </w:p>
    <w:p w14:paraId="7440A28A" w14:textId="77777777" w:rsidR="00E70B68" w:rsidRPr="00E70B68" w:rsidRDefault="00E70B68" w:rsidP="00E70B68">
      <w:pPr>
        <w:spacing w:before="240" w:after="240" w:line="360" w:lineRule="auto"/>
        <w:ind w:firstLine="1"/>
        <w:jc w:val="both"/>
        <w:rPr>
          <w:rFonts w:ascii="Palatino Linotype" w:hAnsi="Palatino Linotype"/>
          <w:sz w:val="24"/>
        </w:rPr>
      </w:pPr>
      <w:r w:rsidRPr="00E70B6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E70B68">
        <w:rPr>
          <w:rFonts w:ascii="Palatino Linotype" w:hAnsi="Palatino Linotype" w:cs="Palatino Linotype"/>
          <w:color w:val="000000" w:themeColor="text1"/>
          <w:sz w:val="24"/>
        </w:rPr>
        <w:t>ALEXIS TAPIA RAMÍREZ.</w:t>
      </w:r>
    </w:p>
    <w:bookmarkEnd w:id="16"/>
    <w:p w14:paraId="6BFDB7CB" w14:textId="77777777" w:rsidR="00F8043F" w:rsidRPr="00CF3C6E" w:rsidRDefault="00F8043F">
      <w:pPr>
        <w:spacing w:after="0"/>
        <w:rPr>
          <w:rFonts w:ascii="Palatino Linotype" w:hAnsi="Palatino Linotype"/>
          <w:sz w:val="24"/>
          <w:szCs w:val="24"/>
        </w:rPr>
      </w:pPr>
    </w:p>
    <w:p w14:paraId="7F80CAED" w14:textId="77777777" w:rsidR="00F8043F" w:rsidRPr="00CF3C6E" w:rsidRDefault="00F8043F">
      <w:pPr>
        <w:spacing w:after="0"/>
        <w:rPr>
          <w:rFonts w:ascii="Palatino Linotype" w:hAnsi="Palatino Linotype"/>
          <w:sz w:val="24"/>
          <w:szCs w:val="24"/>
        </w:rPr>
      </w:pPr>
    </w:p>
    <w:p w14:paraId="0AF5D153" w14:textId="77777777" w:rsidR="00F8043F" w:rsidRPr="00CF3C6E" w:rsidRDefault="00F8043F">
      <w:pPr>
        <w:spacing w:after="0"/>
        <w:rPr>
          <w:rFonts w:ascii="Palatino Linotype" w:hAnsi="Palatino Linotype"/>
          <w:sz w:val="24"/>
          <w:szCs w:val="24"/>
        </w:rPr>
      </w:pPr>
    </w:p>
    <w:p w14:paraId="136C0DEF" w14:textId="77777777" w:rsidR="00F8043F" w:rsidRPr="00CF3C6E" w:rsidRDefault="00F8043F">
      <w:pPr>
        <w:spacing w:after="0"/>
        <w:rPr>
          <w:rFonts w:ascii="Palatino Linotype" w:hAnsi="Palatino Linotype"/>
          <w:sz w:val="24"/>
          <w:szCs w:val="24"/>
        </w:rPr>
      </w:pPr>
    </w:p>
    <w:p w14:paraId="335F46D1" w14:textId="77777777" w:rsidR="00F8043F" w:rsidRPr="00CF3C6E" w:rsidRDefault="00F8043F">
      <w:pPr>
        <w:spacing w:after="0"/>
        <w:rPr>
          <w:rFonts w:ascii="Palatino Linotype" w:hAnsi="Palatino Linotype"/>
          <w:sz w:val="24"/>
          <w:szCs w:val="24"/>
        </w:rPr>
      </w:pPr>
    </w:p>
    <w:p w14:paraId="692C9438" w14:textId="77777777" w:rsidR="002F1167" w:rsidRPr="00CF3C6E" w:rsidRDefault="002F1167">
      <w:pPr>
        <w:spacing w:after="0"/>
        <w:rPr>
          <w:rFonts w:ascii="Palatino Linotype" w:hAnsi="Palatino Linotype"/>
          <w:sz w:val="24"/>
          <w:szCs w:val="24"/>
        </w:rPr>
      </w:pPr>
    </w:p>
    <w:p w14:paraId="6E3F0F71" w14:textId="77777777" w:rsidR="002F1167" w:rsidRPr="00CF3C6E" w:rsidRDefault="002F1167">
      <w:pPr>
        <w:spacing w:after="0"/>
        <w:rPr>
          <w:rFonts w:ascii="Palatino Linotype" w:hAnsi="Palatino Linotype"/>
          <w:sz w:val="24"/>
          <w:szCs w:val="24"/>
        </w:rPr>
      </w:pPr>
    </w:p>
    <w:p w14:paraId="04405FDC" w14:textId="77777777" w:rsidR="002F1167" w:rsidRPr="00CF3C6E" w:rsidRDefault="002F1167">
      <w:pPr>
        <w:spacing w:after="0"/>
        <w:rPr>
          <w:rFonts w:ascii="Palatino Linotype" w:hAnsi="Palatino Linotype"/>
          <w:sz w:val="24"/>
          <w:szCs w:val="24"/>
        </w:rPr>
      </w:pPr>
    </w:p>
    <w:p w14:paraId="34AA2D80" w14:textId="77777777" w:rsidR="002F1167" w:rsidRPr="00CF3C6E" w:rsidRDefault="002F1167">
      <w:pPr>
        <w:spacing w:after="0"/>
        <w:rPr>
          <w:rFonts w:ascii="Palatino Linotype" w:hAnsi="Palatino Linotype"/>
          <w:sz w:val="24"/>
          <w:szCs w:val="24"/>
        </w:rPr>
      </w:pPr>
    </w:p>
    <w:p w14:paraId="7FA05246" w14:textId="77777777" w:rsidR="002F1167" w:rsidRPr="00CF3C6E" w:rsidRDefault="002F1167">
      <w:pPr>
        <w:spacing w:after="0"/>
        <w:rPr>
          <w:rFonts w:ascii="Palatino Linotype" w:hAnsi="Palatino Linotype"/>
          <w:sz w:val="24"/>
          <w:szCs w:val="24"/>
        </w:rPr>
      </w:pPr>
    </w:p>
    <w:p w14:paraId="44815246" w14:textId="77777777" w:rsidR="002F1167" w:rsidRPr="00CF3C6E" w:rsidRDefault="002F1167">
      <w:pPr>
        <w:spacing w:after="0"/>
        <w:rPr>
          <w:rFonts w:ascii="Palatino Linotype" w:hAnsi="Palatino Linotype"/>
          <w:sz w:val="24"/>
          <w:szCs w:val="24"/>
        </w:rPr>
      </w:pPr>
    </w:p>
    <w:p w14:paraId="303E113C" w14:textId="77777777" w:rsidR="002F1167" w:rsidRPr="00CF3C6E" w:rsidRDefault="002F1167">
      <w:pPr>
        <w:spacing w:after="0"/>
        <w:rPr>
          <w:rFonts w:ascii="Palatino Linotype" w:hAnsi="Palatino Linotype"/>
          <w:sz w:val="24"/>
          <w:szCs w:val="24"/>
        </w:rPr>
      </w:pPr>
    </w:p>
    <w:p w14:paraId="5828016A" w14:textId="77777777" w:rsidR="002F1167" w:rsidRPr="00CF3C6E" w:rsidRDefault="002F1167">
      <w:pPr>
        <w:spacing w:after="0"/>
        <w:rPr>
          <w:rFonts w:ascii="Palatino Linotype" w:hAnsi="Palatino Linotype"/>
          <w:sz w:val="24"/>
          <w:szCs w:val="24"/>
        </w:rPr>
      </w:pPr>
    </w:p>
    <w:p w14:paraId="11CB1873" w14:textId="77777777" w:rsidR="002F1167" w:rsidRPr="00CF3C6E" w:rsidRDefault="002F1167">
      <w:pPr>
        <w:spacing w:after="0"/>
        <w:rPr>
          <w:rFonts w:ascii="Palatino Linotype" w:hAnsi="Palatino Linotype"/>
          <w:sz w:val="24"/>
          <w:szCs w:val="24"/>
        </w:rPr>
      </w:pPr>
    </w:p>
    <w:p w14:paraId="3775BE8E" w14:textId="77777777" w:rsidR="002F1167" w:rsidRPr="00CF3C6E" w:rsidRDefault="002F1167">
      <w:pPr>
        <w:spacing w:after="0"/>
        <w:rPr>
          <w:rFonts w:ascii="Palatino Linotype" w:hAnsi="Palatino Linotype"/>
          <w:sz w:val="24"/>
          <w:szCs w:val="24"/>
        </w:rPr>
      </w:pPr>
    </w:p>
    <w:p w14:paraId="3B1C3211" w14:textId="77777777" w:rsidR="002F1167" w:rsidRPr="00CF3C6E" w:rsidRDefault="002F1167">
      <w:pPr>
        <w:spacing w:after="0"/>
        <w:rPr>
          <w:rFonts w:ascii="Palatino Linotype" w:hAnsi="Palatino Linotype"/>
          <w:sz w:val="24"/>
          <w:szCs w:val="24"/>
        </w:rPr>
      </w:pPr>
    </w:p>
    <w:p w14:paraId="43B97FE8" w14:textId="77777777" w:rsidR="002F1167" w:rsidRPr="00CF3C6E" w:rsidRDefault="002F1167">
      <w:pPr>
        <w:spacing w:after="0"/>
        <w:rPr>
          <w:rFonts w:ascii="Palatino Linotype" w:hAnsi="Palatino Linotype"/>
          <w:sz w:val="24"/>
          <w:szCs w:val="24"/>
        </w:rPr>
      </w:pPr>
    </w:p>
    <w:p w14:paraId="3E6CB6EE" w14:textId="77777777" w:rsidR="002F1167" w:rsidRPr="00CF3C6E" w:rsidRDefault="002F1167">
      <w:pPr>
        <w:spacing w:after="0"/>
        <w:rPr>
          <w:rFonts w:ascii="Palatino Linotype" w:hAnsi="Palatino Linotype"/>
          <w:sz w:val="24"/>
          <w:szCs w:val="24"/>
        </w:rPr>
      </w:pPr>
    </w:p>
    <w:p w14:paraId="6BB2A585" w14:textId="77777777" w:rsidR="002F1167" w:rsidRPr="00CF3C6E" w:rsidRDefault="002F1167">
      <w:pPr>
        <w:spacing w:after="0"/>
        <w:rPr>
          <w:rFonts w:ascii="Palatino Linotype" w:hAnsi="Palatino Linotype"/>
          <w:sz w:val="24"/>
          <w:szCs w:val="24"/>
        </w:rPr>
      </w:pPr>
    </w:p>
    <w:p w14:paraId="3F84D015" w14:textId="77777777" w:rsidR="002F1167" w:rsidRPr="00CF3C6E" w:rsidRDefault="002F1167">
      <w:pPr>
        <w:spacing w:after="0"/>
        <w:rPr>
          <w:rFonts w:ascii="Palatino Linotype" w:hAnsi="Palatino Linotype"/>
          <w:sz w:val="24"/>
          <w:szCs w:val="24"/>
        </w:rPr>
      </w:pPr>
    </w:p>
    <w:p w14:paraId="652F9DB4" w14:textId="77777777" w:rsidR="002F1167" w:rsidRPr="00CF3C6E" w:rsidRDefault="002F1167">
      <w:pPr>
        <w:spacing w:after="0"/>
        <w:rPr>
          <w:rFonts w:ascii="Palatino Linotype" w:hAnsi="Palatino Linotype"/>
          <w:sz w:val="24"/>
          <w:szCs w:val="24"/>
        </w:rPr>
      </w:pPr>
    </w:p>
    <w:p w14:paraId="6EC1E7B1" w14:textId="77777777" w:rsidR="002F1167" w:rsidRPr="00CF3C6E" w:rsidRDefault="002F1167">
      <w:pPr>
        <w:spacing w:after="0"/>
        <w:rPr>
          <w:rFonts w:ascii="Palatino Linotype" w:hAnsi="Palatino Linotype"/>
          <w:sz w:val="24"/>
          <w:szCs w:val="24"/>
        </w:rPr>
      </w:pPr>
    </w:p>
    <w:p w14:paraId="1FE26152" w14:textId="77777777" w:rsidR="002F1167" w:rsidRPr="00CF3C6E" w:rsidRDefault="002F1167">
      <w:pPr>
        <w:spacing w:after="0"/>
        <w:rPr>
          <w:rFonts w:ascii="Palatino Linotype" w:hAnsi="Palatino Linotype"/>
          <w:sz w:val="24"/>
          <w:szCs w:val="24"/>
        </w:rPr>
      </w:pPr>
    </w:p>
    <w:p w14:paraId="4ABC4F8B" w14:textId="77777777" w:rsidR="002F1167" w:rsidRPr="00CF3C6E" w:rsidRDefault="002F1167">
      <w:pPr>
        <w:spacing w:after="0"/>
        <w:rPr>
          <w:rFonts w:ascii="Palatino Linotype" w:hAnsi="Palatino Linotype"/>
          <w:sz w:val="24"/>
          <w:szCs w:val="24"/>
        </w:rPr>
      </w:pPr>
    </w:p>
    <w:p w14:paraId="35446FA6" w14:textId="77777777" w:rsidR="00F8043F" w:rsidRPr="00CF3C6E" w:rsidRDefault="00F8043F">
      <w:pPr>
        <w:spacing w:after="0"/>
        <w:rPr>
          <w:rFonts w:ascii="Palatino Linotype" w:hAnsi="Palatino Linotype"/>
          <w:sz w:val="24"/>
          <w:szCs w:val="24"/>
        </w:rPr>
      </w:pPr>
    </w:p>
    <w:p w14:paraId="1D7BF937" w14:textId="77777777" w:rsidR="00F8043F" w:rsidRPr="00CF3C6E" w:rsidRDefault="00F8043F">
      <w:pPr>
        <w:spacing w:after="0"/>
        <w:rPr>
          <w:rFonts w:ascii="Palatino Linotype" w:hAnsi="Palatino Linotype"/>
          <w:sz w:val="24"/>
          <w:szCs w:val="24"/>
        </w:rPr>
      </w:pPr>
    </w:p>
    <w:p w14:paraId="38147884" w14:textId="77777777" w:rsidR="00F8043F" w:rsidRPr="00CF3C6E" w:rsidRDefault="00F8043F">
      <w:pPr>
        <w:spacing w:after="0"/>
        <w:rPr>
          <w:rFonts w:ascii="Palatino Linotype" w:hAnsi="Palatino Linotype"/>
          <w:sz w:val="24"/>
          <w:szCs w:val="24"/>
        </w:rPr>
      </w:pPr>
    </w:p>
    <w:p w14:paraId="04602903" w14:textId="77777777" w:rsidR="00F8043F" w:rsidRPr="00CF3C6E" w:rsidRDefault="00F8043F">
      <w:pPr>
        <w:spacing w:after="0"/>
        <w:rPr>
          <w:rFonts w:ascii="Palatino Linotype" w:hAnsi="Palatino Linotype"/>
          <w:sz w:val="24"/>
          <w:szCs w:val="24"/>
        </w:rPr>
      </w:pPr>
    </w:p>
    <w:p w14:paraId="78120F62" w14:textId="77777777" w:rsidR="00F8043F" w:rsidRPr="00CF3C6E" w:rsidRDefault="00F8043F">
      <w:pPr>
        <w:spacing w:after="0"/>
        <w:rPr>
          <w:rFonts w:ascii="Palatino Linotype" w:hAnsi="Palatino Linotype"/>
          <w:sz w:val="24"/>
          <w:szCs w:val="24"/>
        </w:rPr>
      </w:pPr>
    </w:p>
    <w:p w14:paraId="67E524C0" w14:textId="77777777" w:rsidR="00F8043F" w:rsidRPr="00CF3C6E" w:rsidRDefault="00F8043F">
      <w:pPr>
        <w:spacing w:after="0"/>
        <w:rPr>
          <w:rFonts w:ascii="Palatino Linotype" w:hAnsi="Palatino Linotype"/>
          <w:sz w:val="24"/>
          <w:szCs w:val="24"/>
        </w:rPr>
      </w:pPr>
    </w:p>
    <w:p w14:paraId="5CBFC738" w14:textId="77777777" w:rsidR="00705D12" w:rsidRPr="00CF3C6E" w:rsidRDefault="00705D12">
      <w:pPr>
        <w:spacing w:after="0"/>
        <w:rPr>
          <w:rFonts w:ascii="Palatino Linotype" w:hAnsi="Palatino Linotype"/>
          <w:sz w:val="24"/>
          <w:szCs w:val="24"/>
        </w:rPr>
      </w:pPr>
    </w:p>
    <w:p w14:paraId="444A97A5" w14:textId="77777777" w:rsidR="00705D12" w:rsidRPr="00CF3C6E" w:rsidRDefault="00705D12">
      <w:pPr>
        <w:spacing w:after="0"/>
        <w:rPr>
          <w:rFonts w:ascii="Palatino Linotype" w:hAnsi="Palatino Linotype"/>
          <w:sz w:val="24"/>
          <w:szCs w:val="24"/>
        </w:rPr>
      </w:pPr>
    </w:p>
    <w:p w14:paraId="7CA868C8" w14:textId="77777777" w:rsidR="00705D12" w:rsidRPr="00CF3C6E" w:rsidRDefault="00705D12">
      <w:pPr>
        <w:spacing w:after="0"/>
        <w:rPr>
          <w:rFonts w:ascii="Palatino Linotype" w:hAnsi="Palatino Linotype"/>
          <w:sz w:val="24"/>
          <w:szCs w:val="24"/>
        </w:rPr>
      </w:pPr>
    </w:p>
    <w:p w14:paraId="63C8CAAC" w14:textId="77777777" w:rsidR="00705D12" w:rsidRPr="00CF3C6E" w:rsidRDefault="00705D12">
      <w:pPr>
        <w:spacing w:after="0"/>
        <w:rPr>
          <w:rFonts w:ascii="Palatino Linotype" w:hAnsi="Palatino Linotype"/>
          <w:sz w:val="24"/>
          <w:szCs w:val="24"/>
        </w:rPr>
      </w:pPr>
    </w:p>
    <w:p w14:paraId="291418CE" w14:textId="77777777" w:rsidR="00705D12" w:rsidRPr="00CF3C6E" w:rsidRDefault="00705D12">
      <w:pPr>
        <w:spacing w:after="0"/>
        <w:rPr>
          <w:rFonts w:ascii="Palatino Linotype" w:hAnsi="Palatino Linotype"/>
          <w:sz w:val="24"/>
          <w:szCs w:val="24"/>
        </w:rPr>
      </w:pPr>
    </w:p>
    <w:p w14:paraId="03085508" w14:textId="77777777" w:rsidR="00705D12" w:rsidRPr="00CF3C6E" w:rsidRDefault="00705D12">
      <w:pPr>
        <w:rPr>
          <w:rFonts w:ascii="Palatino Linotype" w:hAnsi="Palatino Linotype"/>
          <w:sz w:val="24"/>
          <w:szCs w:val="24"/>
        </w:rPr>
      </w:pPr>
      <w:bookmarkStart w:id="17" w:name="_heading=h.gjdgxs" w:colFirst="0" w:colLast="0"/>
      <w:bookmarkEnd w:id="17"/>
    </w:p>
    <w:sectPr w:rsidR="00705D12" w:rsidRPr="00CF3C6E" w:rsidSect="000D7A6D">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538B3" w14:textId="77777777" w:rsidR="0092476B" w:rsidRDefault="0092476B">
      <w:pPr>
        <w:spacing w:after="0" w:line="240" w:lineRule="auto"/>
      </w:pPr>
      <w:r>
        <w:separator/>
      </w:r>
    </w:p>
  </w:endnote>
  <w:endnote w:type="continuationSeparator" w:id="0">
    <w:p w14:paraId="7AF2B7E5" w14:textId="77777777" w:rsidR="0092476B" w:rsidRDefault="0092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A5A37" w14:textId="77777777" w:rsidR="009E4B39" w:rsidRPr="000D7A6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D7A6D">
      <w:rPr>
        <w:rFonts w:ascii="Palatino Linotype" w:eastAsia="Palatino Linotype" w:hAnsi="Palatino Linotype" w:cs="Palatino Linotype"/>
        <w:b/>
        <w:color w:val="000000"/>
        <w:szCs w:val="20"/>
      </w:rPr>
      <w:t xml:space="preserve">Página </w:t>
    </w:r>
    <w:r w:rsidRPr="000D7A6D">
      <w:rPr>
        <w:rFonts w:ascii="Palatino Linotype" w:eastAsia="Palatino Linotype" w:hAnsi="Palatino Linotype" w:cs="Palatino Linotype"/>
        <w:b/>
        <w:color w:val="000000"/>
        <w:szCs w:val="20"/>
      </w:rPr>
      <w:fldChar w:fldCharType="begin"/>
    </w:r>
    <w:r w:rsidRPr="000D7A6D">
      <w:rPr>
        <w:rFonts w:ascii="Palatino Linotype" w:eastAsia="Palatino Linotype" w:hAnsi="Palatino Linotype" w:cs="Palatino Linotype"/>
        <w:b/>
        <w:color w:val="000000"/>
        <w:szCs w:val="20"/>
      </w:rPr>
      <w:instrText>PAGE</w:instrText>
    </w:r>
    <w:r w:rsidRPr="000D7A6D">
      <w:rPr>
        <w:rFonts w:ascii="Palatino Linotype" w:eastAsia="Palatino Linotype" w:hAnsi="Palatino Linotype" w:cs="Palatino Linotype"/>
        <w:b/>
        <w:color w:val="000000"/>
        <w:szCs w:val="20"/>
      </w:rPr>
      <w:fldChar w:fldCharType="separate"/>
    </w:r>
    <w:r w:rsidR="00673A9B">
      <w:rPr>
        <w:rFonts w:ascii="Palatino Linotype" w:eastAsia="Palatino Linotype" w:hAnsi="Palatino Linotype" w:cs="Palatino Linotype"/>
        <w:b/>
        <w:noProof/>
        <w:color w:val="000000"/>
        <w:szCs w:val="20"/>
      </w:rPr>
      <w:t>19</w:t>
    </w:r>
    <w:r w:rsidRPr="000D7A6D">
      <w:rPr>
        <w:rFonts w:ascii="Palatino Linotype" w:eastAsia="Palatino Linotype" w:hAnsi="Palatino Linotype" w:cs="Palatino Linotype"/>
        <w:b/>
        <w:color w:val="000000"/>
        <w:szCs w:val="20"/>
      </w:rPr>
      <w:fldChar w:fldCharType="end"/>
    </w:r>
    <w:r w:rsidRPr="000D7A6D">
      <w:rPr>
        <w:rFonts w:ascii="Palatino Linotype" w:eastAsia="Palatino Linotype" w:hAnsi="Palatino Linotype" w:cs="Palatino Linotype"/>
        <w:b/>
        <w:color w:val="000000"/>
        <w:szCs w:val="20"/>
      </w:rPr>
      <w:t xml:space="preserve"> de </w:t>
    </w:r>
    <w:r w:rsidRPr="000D7A6D">
      <w:rPr>
        <w:rFonts w:ascii="Palatino Linotype" w:eastAsia="Palatino Linotype" w:hAnsi="Palatino Linotype" w:cs="Palatino Linotype"/>
        <w:b/>
        <w:color w:val="000000"/>
        <w:szCs w:val="20"/>
      </w:rPr>
      <w:fldChar w:fldCharType="begin"/>
    </w:r>
    <w:r w:rsidRPr="000D7A6D">
      <w:rPr>
        <w:rFonts w:ascii="Palatino Linotype" w:eastAsia="Palatino Linotype" w:hAnsi="Palatino Linotype" w:cs="Palatino Linotype"/>
        <w:b/>
        <w:color w:val="000000"/>
        <w:szCs w:val="20"/>
      </w:rPr>
      <w:instrText>NUMPAGES</w:instrText>
    </w:r>
    <w:r w:rsidRPr="000D7A6D">
      <w:rPr>
        <w:rFonts w:ascii="Palatino Linotype" w:eastAsia="Palatino Linotype" w:hAnsi="Palatino Linotype" w:cs="Palatino Linotype"/>
        <w:b/>
        <w:color w:val="000000"/>
        <w:szCs w:val="20"/>
      </w:rPr>
      <w:fldChar w:fldCharType="separate"/>
    </w:r>
    <w:r w:rsidR="00673A9B">
      <w:rPr>
        <w:rFonts w:ascii="Palatino Linotype" w:eastAsia="Palatino Linotype" w:hAnsi="Palatino Linotype" w:cs="Palatino Linotype"/>
        <w:b/>
        <w:noProof/>
        <w:color w:val="000000"/>
        <w:szCs w:val="20"/>
      </w:rPr>
      <w:t>19</w:t>
    </w:r>
    <w:r w:rsidRPr="000D7A6D">
      <w:rPr>
        <w:rFonts w:ascii="Palatino Linotype" w:eastAsia="Palatino Linotype" w:hAnsi="Palatino Linotype" w:cs="Palatino Linotype"/>
        <w:b/>
        <w:color w:val="000000"/>
        <w:szCs w:val="20"/>
      </w:rPr>
      <w:fldChar w:fldCharType="end"/>
    </w:r>
  </w:p>
  <w:p w14:paraId="3403D7FB" w14:textId="77777777"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4AB18" w14:textId="77777777" w:rsidR="009E4B39" w:rsidRPr="000D7A6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D7A6D">
      <w:rPr>
        <w:rFonts w:ascii="Palatino Linotype" w:eastAsia="Palatino Linotype" w:hAnsi="Palatino Linotype" w:cs="Palatino Linotype"/>
        <w:b/>
        <w:color w:val="000000"/>
        <w:szCs w:val="20"/>
      </w:rPr>
      <w:t xml:space="preserve">Página </w:t>
    </w:r>
    <w:r w:rsidRPr="000D7A6D">
      <w:rPr>
        <w:rFonts w:ascii="Palatino Linotype" w:eastAsia="Palatino Linotype" w:hAnsi="Palatino Linotype" w:cs="Palatino Linotype"/>
        <w:b/>
        <w:color w:val="000000"/>
        <w:szCs w:val="20"/>
      </w:rPr>
      <w:fldChar w:fldCharType="begin"/>
    </w:r>
    <w:r w:rsidRPr="000D7A6D">
      <w:rPr>
        <w:rFonts w:ascii="Palatino Linotype" w:eastAsia="Palatino Linotype" w:hAnsi="Palatino Linotype" w:cs="Palatino Linotype"/>
        <w:b/>
        <w:color w:val="000000"/>
        <w:szCs w:val="20"/>
      </w:rPr>
      <w:instrText>PAGE</w:instrText>
    </w:r>
    <w:r w:rsidRPr="000D7A6D">
      <w:rPr>
        <w:rFonts w:ascii="Palatino Linotype" w:eastAsia="Palatino Linotype" w:hAnsi="Palatino Linotype" w:cs="Palatino Linotype"/>
        <w:b/>
        <w:color w:val="000000"/>
        <w:szCs w:val="20"/>
      </w:rPr>
      <w:fldChar w:fldCharType="separate"/>
    </w:r>
    <w:r w:rsidR="00673A9B">
      <w:rPr>
        <w:rFonts w:ascii="Palatino Linotype" w:eastAsia="Palatino Linotype" w:hAnsi="Palatino Linotype" w:cs="Palatino Linotype"/>
        <w:b/>
        <w:noProof/>
        <w:color w:val="000000"/>
        <w:szCs w:val="20"/>
      </w:rPr>
      <w:t>1</w:t>
    </w:r>
    <w:r w:rsidRPr="000D7A6D">
      <w:rPr>
        <w:rFonts w:ascii="Palatino Linotype" w:eastAsia="Palatino Linotype" w:hAnsi="Palatino Linotype" w:cs="Palatino Linotype"/>
        <w:b/>
        <w:color w:val="000000"/>
        <w:szCs w:val="20"/>
      </w:rPr>
      <w:fldChar w:fldCharType="end"/>
    </w:r>
    <w:r w:rsidRPr="000D7A6D">
      <w:rPr>
        <w:rFonts w:ascii="Palatino Linotype" w:eastAsia="Palatino Linotype" w:hAnsi="Palatino Linotype" w:cs="Palatino Linotype"/>
        <w:b/>
        <w:color w:val="000000"/>
        <w:szCs w:val="20"/>
      </w:rPr>
      <w:t xml:space="preserve"> de </w:t>
    </w:r>
    <w:r w:rsidRPr="000D7A6D">
      <w:rPr>
        <w:rFonts w:ascii="Palatino Linotype" w:eastAsia="Palatino Linotype" w:hAnsi="Palatino Linotype" w:cs="Palatino Linotype"/>
        <w:b/>
        <w:color w:val="000000"/>
        <w:szCs w:val="20"/>
      </w:rPr>
      <w:fldChar w:fldCharType="begin"/>
    </w:r>
    <w:r w:rsidRPr="000D7A6D">
      <w:rPr>
        <w:rFonts w:ascii="Palatino Linotype" w:eastAsia="Palatino Linotype" w:hAnsi="Palatino Linotype" w:cs="Palatino Linotype"/>
        <w:b/>
        <w:color w:val="000000"/>
        <w:szCs w:val="20"/>
      </w:rPr>
      <w:instrText>NUMPAGES</w:instrText>
    </w:r>
    <w:r w:rsidRPr="000D7A6D">
      <w:rPr>
        <w:rFonts w:ascii="Palatino Linotype" w:eastAsia="Palatino Linotype" w:hAnsi="Palatino Linotype" w:cs="Palatino Linotype"/>
        <w:b/>
        <w:color w:val="000000"/>
        <w:szCs w:val="20"/>
      </w:rPr>
      <w:fldChar w:fldCharType="separate"/>
    </w:r>
    <w:r w:rsidR="00673A9B">
      <w:rPr>
        <w:rFonts w:ascii="Palatino Linotype" w:eastAsia="Palatino Linotype" w:hAnsi="Palatino Linotype" w:cs="Palatino Linotype"/>
        <w:b/>
        <w:noProof/>
        <w:color w:val="000000"/>
        <w:szCs w:val="20"/>
      </w:rPr>
      <w:t>19</w:t>
    </w:r>
    <w:r w:rsidRPr="000D7A6D">
      <w:rPr>
        <w:rFonts w:ascii="Palatino Linotype" w:eastAsia="Palatino Linotype" w:hAnsi="Palatino Linotype" w:cs="Palatino Linotype"/>
        <w:b/>
        <w:color w:val="000000"/>
        <w:szCs w:val="20"/>
      </w:rPr>
      <w:fldChar w:fldCharType="end"/>
    </w:r>
  </w:p>
  <w:p w14:paraId="0624832D" w14:textId="77777777"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F4EB0" w14:textId="77777777" w:rsidR="0092476B" w:rsidRDefault="0092476B">
      <w:pPr>
        <w:spacing w:after="0" w:line="240" w:lineRule="auto"/>
      </w:pPr>
      <w:r>
        <w:separator/>
      </w:r>
    </w:p>
  </w:footnote>
  <w:footnote w:type="continuationSeparator" w:id="0">
    <w:p w14:paraId="5FD75BD2" w14:textId="77777777" w:rsidR="0092476B" w:rsidRDefault="00924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14:paraId="0F3A8090" w14:textId="77777777" w:rsidTr="000D7A6D">
      <w:trPr>
        <w:trHeight w:val="227"/>
      </w:trPr>
      <w:tc>
        <w:tcPr>
          <w:tcW w:w="5246" w:type="dxa"/>
        </w:tcPr>
        <w:p w14:paraId="0EC4D3F1" w14:textId="22FACE86" w:rsidR="00E705AF" w:rsidRPr="000D7A6D" w:rsidRDefault="00E705AF" w:rsidP="000D7A6D">
          <w:pPr>
            <w:spacing w:after="0" w:line="256" w:lineRule="auto"/>
            <w:ind w:right="204"/>
            <w:jc w:val="right"/>
            <w:rPr>
              <w:rFonts w:ascii="Palatino Linotype" w:eastAsia="Palatino Linotype" w:hAnsi="Palatino Linotype" w:cs="Palatino Linotype"/>
              <w:b/>
              <w:sz w:val="24"/>
            </w:rPr>
          </w:pPr>
          <w:r w:rsidRPr="000D7A6D">
            <w:rPr>
              <w:rFonts w:ascii="Palatino Linotype" w:eastAsia="Palatino Linotype" w:hAnsi="Palatino Linotype" w:cs="Palatino Linotype"/>
              <w:b/>
              <w:sz w:val="24"/>
            </w:rPr>
            <w:t>Recurso de Revisión:</w:t>
          </w:r>
        </w:p>
      </w:tc>
      <w:tc>
        <w:tcPr>
          <w:tcW w:w="4819" w:type="dxa"/>
        </w:tcPr>
        <w:p w14:paraId="30037209" w14:textId="77777777" w:rsidR="00E705AF" w:rsidRPr="000D7A6D" w:rsidRDefault="00395273" w:rsidP="000D7A6D">
          <w:pPr>
            <w:spacing w:after="0" w:line="256" w:lineRule="auto"/>
            <w:ind w:right="214"/>
            <w:rPr>
              <w:rFonts w:ascii="Palatino Linotype" w:eastAsia="Palatino Linotype" w:hAnsi="Palatino Linotype" w:cs="Palatino Linotype"/>
              <w:sz w:val="24"/>
            </w:rPr>
          </w:pPr>
          <w:r w:rsidRPr="000D7A6D">
            <w:rPr>
              <w:rFonts w:ascii="Palatino Linotype" w:eastAsia="Palatino Linotype" w:hAnsi="Palatino Linotype" w:cs="Palatino Linotype"/>
              <w:sz w:val="24"/>
            </w:rPr>
            <w:t>14298/INFOEM/IP/RR/2025</w:t>
          </w:r>
        </w:p>
      </w:tc>
    </w:tr>
    <w:tr w:rsidR="00C72DE0" w14:paraId="5290CFE4" w14:textId="77777777" w:rsidTr="000D7A6D">
      <w:trPr>
        <w:trHeight w:val="242"/>
      </w:trPr>
      <w:tc>
        <w:tcPr>
          <w:tcW w:w="5246" w:type="dxa"/>
        </w:tcPr>
        <w:p w14:paraId="5262DE1E" w14:textId="77777777" w:rsidR="00C72DE0" w:rsidRPr="000D7A6D" w:rsidRDefault="00C72DE0" w:rsidP="000D7A6D">
          <w:pPr>
            <w:spacing w:after="0" w:line="256" w:lineRule="auto"/>
            <w:ind w:right="204"/>
            <w:jc w:val="right"/>
            <w:rPr>
              <w:rFonts w:ascii="Palatino Linotype" w:eastAsia="Palatino Linotype" w:hAnsi="Palatino Linotype" w:cs="Palatino Linotype"/>
              <w:b/>
              <w:sz w:val="24"/>
            </w:rPr>
          </w:pPr>
          <w:r w:rsidRPr="000D7A6D">
            <w:rPr>
              <w:rFonts w:ascii="Palatino Linotype" w:eastAsia="Palatino Linotype" w:hAnsi="Palatino Linotype" w:cs="Palatino Linotype"/>
              <w:b/>
              <w:sz w:val="24"/>
            </w:rPr>
            <w:t>Sujeto Obligado:</w:t>
          </w:r>
        </w:p>
      </w:tc>
      <w:tc>
        <w:tcPr>
          <w:tcW w:w="4819" w:type="dxa"/>
        </w:tcPr>
        <w:p w14:paraId="35EFFB84" w14:textId="77777777" w:rsidR="00C72DE0" w:rsidRPr="000D7A6D" w:rsidRDefault="0055482D" w:rsidP="000D7A6D">
          <w:pPr>
            <w:spacing w:after="0" w:line="256" w:lineRule="auto"/>
            <w:ind w:right="1207"/>
            <w:rPr>
              <w:rFonts w:ascii="Palatino Linotype" w:hAnsi="Palatino Linotype"/>
              <w:bCs/>
              <w:color w:val="000000"/>
              <w:sz w:val="24"/>
            </w:rPr>
          </w:pPr>
          <w:r w:rsidRPr="000D7A6D">
            <w:rPr>
              <w:rFonts w:ascii="Palatino Linotype" w:hAnsi="Palatino Linotype"/>
              <w:bCs/>
              <w:color w:val="000000"/>
              <w:sz w:val="24"/>
            </w:rPr>
            <w:t>Ayuntamiento de Tepotzotlán</w:t>
          </w:r>
        </w:p>
      </w:tc>
    </w:tr>
    <w:tr w:rsidR="00C72DE0" w14:paraId="09DD2523" w14:textId="77777777" w:rsidTr="000D7A6D">
      <w:trPr>
        <w:trHeight w:val="342"/>
      </w:trPr>
      <w:tc>
        <w:tcPr>
          <w:tcW w:w="5246" w:type="dxa"/>
        </w:tcPr>
        <w:p w14:paraId="18844EF9" w14:textId="7D77938F" w:rsidR="00C72DE0" w:rsidRPr="000D7A6D" w:rsidRDefault="000D7A6D" w:rsidP="000D7A6D">
          <w:pPr>
            <w:tabs>
              <w:tab w:val="left" w:pos="4892"/>
            </w:tabs>
            <w:spacing w:after="0" w:line="256" w:lineRule="auto"/>
            <w:ind w:right="204"/>
            <w:jc w:val="right"/>
            <w:rPr>
              <w:rFonts w:ascii="Palatino Linotype" w:eastAsia="Palatino Linotype" w:hAnsi="Palatino Linotype" w:cs="Palatino Linotype"/>
              <w:b/>
              <w:sz w:val="24"/>
            </w:rPr>
          </w:pPr>
          <w:r w:rsidRPr="000D7A6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A3CA476" wp14:editId="27DED9FF">
                <wp:simplePos x="0" y="0"/>
                <wp:positionH relativeFrom="margin">
                  <wp:posOffset>-1845082</wp:posOffset>
                </wp:positionH>
                <wp:positionV relativeFrom="page">
                  <wp:posOffset>-1004798</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0D7A6D">
            <w:rPr>
              <w:rFonts w:ascii="Palatino Linotype" w:eastAsia="Palatino Linotype" w:hAnsi="Palatino Linotype" w:cs="Palatino Linotype"/>
              <w:b/>
              <w:sz w:val="24"/>
            </w:rPr>
            <w:t>Comisionado Ponente:</w:t>
          </w:r>
        </w:p>
      </w:tc>
      <w:tc>
        <w:tcPr>
          <w:tcW w:w="4819" w:type="dxa"/>
        </w:tcPr>
        <w:p w14:paraId="26D66493" w14:textId="77777777" w:rsidR="00C72DE0" w:rsidRPr="000D7A6D" w:rsidRDefault="00C72DE0" w:rsidP="000D7A6D">
          <w:pPr>
            <w:spacing w:after="0" w:line="256" w:lineRule="auto"/>
            <w:ind w:right="214"/>
            <w:rPr>
              <w:rFonts w:ascii="Palatino Linotype" w:eastAsia="Palatino Linotype" w:hAnsi="Palatino Linotype" w:cs="Palatino Linotype"/>
              <w:sz w:val="24"/>
            </w:rPr>
          </w:pPr>
          <w:r w:rsidRPr="000D7A6D">
            <w:rPr>
              <w:rFonts w:ascii="Palatino Linotype" w:eastAsia="Palatino Linotype" w:hAnsi="Palatino Linotype" w:cs="Palatino Linotype"/>
              <w:sz w:val="24"/>
            </w:rPr>
            <w:t>María del Rosario Mejía Ayala</w:t>
          </w:r>
        </w:p>
      </w:tc>
    </w:tr>
  </w:tbl>
  <w:p w14:paraId="03E65901" w14:textId="1C978FE2"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14:paraId="3F4F69BD" w14:textId="77777777">
      <w:trPr>
        <w:trHeight w:val="227"/>
      </w:trPr>
      <w:tc>
        <w:tcPr>
          <w:tcW w:w="6770" w:type="dxa"/>
        </w:tcPr>
        <w:p w14:paraId="6F597306" w14:textId="051312D6" w:rsidR="009E4B39" w:rsidRPr="000D7A6D" w:rsidRDefault="009E4B39" w:rsidP="000D7A6D">
          <w:pPr>
            <w:spacing w:after="0" w:line="256" w:lineRule="auto"/>
            <w:ind w:left="2164" w:right="204"/>
            <w:jc w:val="right"/>
            <w:rPr>
              <w:rFonts w:ascii="Palatino Linotype" w:eastAsia="Palatino Linotype" w:hAnsi="Palatino Linotype" w:cs="Palatino Linotype"/>
              <w:b/>
              <w:sz w:val="24"/>
            </w:rPr>
          </w:pPr>
          <w:bookmarkStart w:id="18" w:name="_heading=h.30j0zll" w:colFirst="0" w:colLast="0"/>
          <w:bookmarkEnd w:id="18"/>
          <w:r w:rsidRPr="000D7A6D">
            <w:rPr>
              <w:rFonts w:ascii="Palatino Linotype" w:eastAsia="Palatino Linotype" w:hAnsi="Palatino Linotype" w:cs="Palatino Linotype"/>
              <w:b/>
              <w:sz w:val="24"/>
            </w:rPr>
            <w:t>Recurso de Revisión:</w:t>
          </w:r>
        </w:p>
      </w:tc>
      <w:tc>
        <w:tcPr>
          <w:tcW w:w="3828" w:type="dxa"/>
        </w:tcPr>
        <w:p w14:paraId="559E91E2" w14:textId="77777777" w:rsidR="009E4B39" w:rsidRPr="000D7A6D" w:rsidRDefault="00395273" w:rsidP="000D7A6D">
          <w:pPr>
            <w:spacing w:after="0" w:line="256" w:lineRule="auto"/>
            <w:ind w:right="214"/>
            <w:rPr>
              <w:rFonts w:ascii="Palatino Linotype" w:eastAsia="Palatino Linotype" w:hAnsi="Palatino Linotype" w:cs="Palatino Linotype"/>
              <w:sz w:val="24"/>
            </w:rPr>
          </w:pPr>
          <w:r w:rsidRPr="000D7A6D">
            <w:rPr>
              <w:rFonts w:ascii="Palatino Linotype" w:eastAsia="Palatino Linotype" w:hAnsi="Palatino Linotype" w:cs="Palatino Linotype"/>
              <w:sz w:val="24"/>
            </w:rPr>
            <w:t>14298</w:t>
          </w:r>
          <w:r w:rsidR="009E4B39" w:rsidRPr="000D7A6D">
            <w:rPr>
              <w:rFonts w:ascii="Palatino Linotype" w:eastAsia="Palatino Linotype" w:hAnsi="Palatino Linotype" w:cs="Palatino Linotype"/>
              <w:sz w:val="24"/>
            </w:rPr>
            <w:t xml:space="preserve">/INFOEM/IP/RR/2025 </w:t>
          </w:r>
        </w:p>
      </w:tc>
    </w:tr>
    <w:tr w:rsidR="009E4B39" w14:paraId="6B4D8948" w14:textId="77777777">
      <w:trPr>
        <w:trHeight w:val="242"/>
      </w:trPr>
      <w:tc>
        <w:tcPr>
          <w:tcW w:w="6770" w:type="dxa"/>
        </w:tcPr>
        <w:p w14:paraId="64983AF2" w14:textId="77777777" w:rsidR="009E4B39" w:rsidRPr="000D7A6D" w:rsidRDefault="009E4B39" w:rsidP="000D7A6D">
          <w:pPr>
            <w:spacing w:after="0" w:line="256" w:lineRule="auto"/>
            <w:ind w:right="204"/>
            <w:jc w:val="right"/>
            <w:rPr>
              <w:rFonts w:ascii="Palatino Linotype" w:eastAsia="Palatino Linotype" w:hAnsi="Palatino Linotype" w:cs="Palatino Linotype"/>
              <w:b/>
              <w:sz w:val="24"/>
            </w:rPr>
          </w:pPr>
          <w:r w:rsidRPr="000D7A6D">
            <w:rPr>
              <w:rFonts w:ascii="Palatino Linotype" w:eastAsia="Palatino Linotype" w:hAnsi="Palatino Linotype" w:cs="Palatino Linotype"/>
              <w:b/>
              <w:sz w:val="24"/>
            </w:rPr>
            <w:t>Sujeto Obligado:</w:t>
          </w:r>
        </w:p>
      </w:tc>
      <w:tc>
        <w:tcPr>
          <w:tcW w:w="3828" w:type="dxa"/>
        </w:tcPr>
        <w:p w14:paraId="3F1A3419" w14:textId="77777777" w:rsidR="009E4B39" w:rsidRPr="000D7A6D" w:rsidRDefault="0055482D" w:rsidP="00673A9B">
          <w:pPr>
            <w:spacing w:after="0" w:line="256" w:lineRule="auto"/>
            <w:ind w:right="214"/>
            <w:jc w:val="both"/>
            <w:rPr>
              <w:rFonts w:ascii="Palatino Linotype" w:eastAsia="Palatino Linotype" w:hAnsi="Palatino Linotype" w:cs="Palatino Linotype"/>
              <w:sz w:val="24"/>
            </w:rPr>
          </w:pPr>
          <w:r w:rsidRPr="000D7A6D">
            <w:rPr>
              <w:rFonts w:ascii="Palatino Linotype" w:hAnsi="Palatino Linotype"/>
              <w:bCs/>
              <w:color w:val="000000"/>
              <w:sz w:val="24"/>
            </w:rPr>
            <w:t>Ayuntamiento de Tepotzotlán</w:t>
          </w:r>
        </w:p>
      </w:tc>
    </w:tr>
    <w:tr w:rsidR="009E4B39" w14:paraId="1EFF9D8A" w14:textId="77777777">
      <w:trPr>
        <w:trHeight w:val="342"/>
      </w:trPr>
      <w:tc>
        <w:tcPr>
          <w:tcW w:w="6770" w:type="dxa"/>
        </w:tcPr>
        <w:p w14:paraId="18988612" w14:textId="77777777" w:rsidR="009E4B39" w:rsidRPr="000D7A6D" w:rsidRDefault="009E4B39" w:rsidP="000D7A6D">
          <w:pPr>
            <w:tabs>
              <w:tab w:val="left" w:pos="4892"/>
            </w:tabs>
            <w:spacing w:after="0" w:line="256" w:lineRule="auto"/>
            <w:ind w:right="204"/>
            <w:jc w:val="right"/>
            <w:rPr>
              <w:rFonts w:ascii="Palatino Linotype" w:eastAsia="Palatino Linotype" w:hAnsi="Palatino Linotype" w:cs="Palatino Linotype"/>
              <w:b/>
              <w:sz w:val="24"/>
            </w:rPr>
          </w:pPr>
          <w:r w:rsidRPr="000D7A6D">
            <w:rPr>
              <w:rFonts w:ascii="Palatino Linotype" w:eastAsia="Palatino Linotype" w:hAnsi="Palatino Linotype" w:cs="Palatino Linotype"/>
              <w:b/>
              <w:sz w:val="24"/>
            </w:rPr>
            <w:t>Recurrente:</w:t>
          </w:r>
        </w:p>
      </w:tc>
      <w:tc>
        <w:tcPr>
          <w:tcW w:w="3828" w:type="dxa"/>
        </w:tcPr>
        <w:p w14:paraId="2E5C1E35" w14:textId="5D470238" w:rsidR="009E4B39" w:rsidRPr="000D7A6D" w:rsidRDefault="00673A9B" w:rsidP="000D7A6D">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0D7A6D">
            <w:rPr>
              <w:rFonts w:ascii="Palatino Linotype" w:eastAsia="Palatino Linotype" w:hAnsi="Palatino Linotype" w:cs="Palatino Linotype"/>
              <w:sz w:val="24"/>
            </w:rPr>
            <w:t xml:space="preserve"> </w:t>
          </w:r>
          <w:r w:rsidR="00E041B5" w:rsidRPr="000D7A6D">
            <w:rPr>
              <w:rFonts w:ascii="Palatino Linotype" w:eastAsia="Palatino Linotype" w:hAnsi="Palatino Linotype" w:cs="Palatino Linotype"/>
              <w:sz w:val="24"/>
            </w:rPr>
            <w:t xml:space="preserve"> </w:t>
          </w:r>
        </w:p>
      </w:tc>
    </w:tr>
    <w:tr w:rsidR="009E4B39" w14:paraId="6D80AC25" w14:textId="77777777">
      <w:trPr>
        <w:trHeight w:val="342"/>
      </w:trPr>
      <w:tc>
        <w:tcPr>
          <w:tcW w:w="6770" w:type="dxa"/>
        </w:tcPr>
        <w:p w14:paraId="4F4B7925" w14:textId="42BC1F22" w:rsidR="009E4B39" w:rsidRPr="000D7A6D" w:rsidRDefault="000D7A6D" w:rsidP="000D7A6D">
          <w:pPr>
            <w:tabs>
              <w:tab w:val="left" w:pos="4892"/>
            </w:tabs>
            <w:spacing w:after="0" w:line="256" w:lineRule="auto"/>
            <w:ind w:right="204"/>
            <w:jc w:val="right"/>
            <w:rPr>
              <w:rFonts w:ascii="Palatino Linotype" w:eastAsia="Palatino Linotype" w:hAnsi="Palatino Linotype" w:cs="Palatino Linotype"/>
              <w:b/>
              <w:sz w:val="24"/>
            </w:rPr>
          </w:pPr>
          <w:r w:rsidRPr="000D7A6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14:anchorId="599B8C5A" wp14:editId="114FBED6">
                <wp:simplePos x="0" y="0"/>
                <wp:positionH relativeFrom="margin">
                  <wp:posOffset>-782476</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D7A6D">
            <w:rPr>
              <w:rFonts w:ascii="Palatino Linotype" w:eastAsia="Palatino Linotype" w:hAnsi="Palatino Linotype" w:cs="Palatino Linotype"/>
              <w:b/>
              <w:sz w:val="24"/>
            </w:rPr>
            <w:t>Comisionado Ponente:</w:t>
          </w:r>
        </w:p>
      </w:tc>
      <w:tc>
        <w:tcPr>
          <w:tcW w:w="3828" w:type="dxa"/>
        </w:tcPr>
        <w:p w14:paraId="1D735B42" w14:textId="77777777" w:rsidR="009E4B39" w:rsidRPr="000D7A6D" w:rsidRDefault="009E4B39" w:rsidP="000D7A6D">
          <w:pPr>
            <w:spacing w:after="0" w:line="256" w:lineRule="auto"/>
            <w:ind w:right="214"/>
            <w:rPr>
              <w:rFonts w:ascii="Palatino Linotype" w:eastAsia="Palatino Linotype" w:hAnsi="Palatino Linotype" w:cs="Palatino Linotype"/>
              <w:sz w:val="24"/>
            </w:rPr>
          </w:pPr>
          <w:r w:rsidRPr="000D7A6D">
            <w:rPr>
              <w:rFonts w:ascii="Palatino Linotype" w:eastAsia="Palatino Linotype" w:hAnsi="Palatino Linotype" w:cs="Palatino Linotype"/>
              <w:sz w:val="24"/>
            </w:rPr>
            <w:t>María del Rosario Mejía Ayala</w:t>
          </w:r>
        </w:p>
      </w:tc>
    </w:tr>
  </w:tbl>
  <w:p w14:paraId="7C58F7FB" w14:textId="0B6BD44C"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86"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3540DD"/>
    <w:multiLevelType w:val="hybridMultilevel"/>
    <w:tmpl w:val="4A7CCA7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5"/>
  </w:num>
  <w:num w:numId="6">
    <w:abstractNumId w:val="4"/>
  </w:num>
  <w:num w:numId="7">
    <w:abstractNumId w:val="8"/>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0A3"/>
    <w:rsid w:val="00040E91"/>
    <w:rsid w:val="00054543"/>
    <w:rsid w:val="0005773E"/>
    <w:rsid w:val="00072137"/>
    <w:rsid w:val="00075175"/>
    <w:rsid w:val="00075CFC"/>
    <w:rsid w:val="000907EC"/>
    <w:rsid w:val="000951EB"/>
    <w:rsid w:val="00097A79"/>
    <w:rsid w:val="000B1592"/>
    <w:rsid w:val="000B32D4"/>
    <w:rsid w:val="000C031C"/>
    <w:rsid w:val="000C1B44"/>
    <w:rsid w:val="000C2E96"/>
    <w:rsid w:val="000C31D1"/>
    <w:rsid w:val="000C7BD0"/>
    <w:rsid w:val="000D3D22"/>
    <w:rsid w:val="000D7A6D"/>
    <w:rsid w:val="000E16F8"/>
    <w:rsid w:val="000E2198"/>
    <w:rsid w:val="000F0265"/>
    <w:rsid w:val="000F34CE"/>
    <w:rsid w:val="00102046"/>
    <w:rsid w:val="00106FBA"/>
    <w:rsid w:val="00110BFE"/>
    <w:rsid w:val="00112B6E"/>
    <w:rsid w:val="0011721B"/>
    <w:rsid w:val="00120635"/>
    <w:rsid w:val="00123B82"/>
    <w:rsid w:val="00132775"/>
    <w:rsid w:val="001338A8"/>
    <w:rsid w:val="00133CC9"/>
    <w:rsid w:val="00146014"/>
    <w:rsid w:val="00150455"/>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27709"/>
    <w:rsid w:val="004309D5"/>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949C7"/>
    <w:rsid w:val="004A4A78"/>
    <w:rsid w:val="004A584E"/>
    <w:rsid w:val="004B2C63"/>
    <w:rsid w:val="004B7352"/>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4DD"/>
    <w:rsid w:val="00580711"/>
    <w:rsid w:val="00585512"/>
    <w:rsid w:val="005877E0"/>
    <w:rsid w:val="005900DA"/>
    <w:rsid w:val="00593CEC"/>
    <w:rsid w:val="00597E3E"/>
    <w:rsid w:val="005A01E9"/>
    <w:rsid w:val="005A2ACC"/>
    <w:rsid w:val="005A4862"/>
    <w:rsid w:val="005A7EE1"/>
    <w:rsid w:val="005B2850"/>
    <w:rsid w:val="005C2871"/>
    <w:rsid w:val="005C53AF"/>
    <w:rsid w:val="005D1169"/>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3A9B"/>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2099"/>
    <w:rsid w:val="008B6487"/>
    <w:rsid w:val="008C1C96"/>
    <w:rsid w:val="008C1DBE"/>
    <w:rsid w:val="008C3EB0"/>
    <w:rsid w:val="008C6B0E"/>
    <w:rsid w:val="008E1D66"/>
    <w:rsid w:val="008F1954"/>
    <w:rsid w:val="008F77CD"/>
    <w:rsid w:val="00900AC4"/>
    <w:rsid w:val="00904872"/>
    <w:rsid w:val="00910A3A"/>
    <w:rsid w:val="0092476B"/>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7735B"/>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3C6E"/>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0BC2"/>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0B68"/>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59E2D"/>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 w:type="character" w:customStyle="1" w:styleId="Ttulo2Car">
    <w:name w:val="Título 2 Car"/>
    <w:basedOn w:val="Fuentedeprrafopredeter"/>
    <w:link w:val="Ttulo2"/>
    <w:rsid w:val="00CF3C6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5CDD1-44F0-434B-A2D0-A7CB1649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4636</Words>
  <Characters>25501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cp:revision>
  <cp:lastPrinted>2026-02-09T17:50:00Z</cp:lastPrinted>
  <dcterms:created xsi:type="dcterms:W3CDTF">2026-01-26T23:57:00Z</dcterms:created>
  <dcterms:modified xsi:type="dcterms:W3CDTF">2026-02-17T23:29:00Z</dcterms:modified>
</cp:coreProperties>
</file>