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4853" w:rsidRDefault="00E30EFA">
      <w:pPr>
        <w:tabs>
          <w:tab w:val="left" w:pos="3465"/>
        </w:tabs>
        <w:spacing w:line="360" w:lineRule="auto"/>
        <w:ind w:right="-929"/>
        <w:jc w:val="both"/>
        <w:rPr>
          <w:rFonts w:ascii="Palatino Linotype" w:eastAsia="Palatino Linotype" w:hAnsi="Palatino Linotype" w:cs="Palatino Linotype"/>
          <w:b/>
          <w:bCs/>
        </w:rPr>
      </w:pPr>
      <w:bookmarkStart w:id="0" w:name="_GoBack"/>
      <w:bookmarkEnd w:id="0"/>
      <w:r>
        <w:rPr>
          <w:rFonts w:ascii="Palatino Linotype" w:eastAsia="Palatino Linotype" w:hAnsi="Palatino Linotype" w:cs="Palatino Linotype"/>
        </w:rPr>
        <w:t xml:space="preserve">Resolución del Pleno del Instituto de Transparencia, Acceso a la Información Pública y Protección de Datos Personales del Estado de México y Municipios, con domicilio en Metepec, Estado de México; </w:t>
      </w:r>
      <w:r>
        <w:rPr>
          <w:rFonts w:ascii="Palatino Linotype" w:eastAsia="Palatino Linotype" w:hAnsi="Palatino Linotype" w:cs="Palatino Linotype"/>
          <w:b/>
          <w:bCs/>
        </w:rPr>
        <w:t>de fecha veinte (20) de mayo de dos mil veintiséis.</w:t>
      </w:r>
    </w:p>
    <w:p w:rsidR="005C4853" w:rsidRDefault="005C4853">
      <w:pPr>
        <w:tabs>
          <w:tab w:val="left" w:pos="3465"/>
        </w:tabs>
        <w:spacing w:line="360" w:lineRule="auto"/>
        <w:ind w:right="-929"/>
        <w:jc w:val="both"/>
        <w:rPr>
          <w:rFonts w:ascii="Palatino Linotype" w:eastAsia="Palatino Linotype" w:hAnsi="Palatino Linotype" w:cs="Palatino Linotype"/>
        </w:rPr>
      </w:pPr>
    </w:p>
    <w:p w:rsidR="005C4853" w:rsidRDefault="00E30EFA">
      <w:pPr>
        <w:spacing w:line="360" w:lineRule="auto"/>
        <w:ind w:right="-929"/>
        <w:jc w:val="both"/>
        <w:rPr>
          <w:rFonts w:ascii="Palatino Linotype" w:eastAsia="Palatino Linotype" w:hAnsi="Palatino Linotype" w:cs="Palatino Linotype"/>
        </w:rPr>
      </w:pPr>
      <w:bookmarkStart w:id="1" w:name="_heading=h.4xr94d7ana6r" w:colFirst="0" w:colLast="0"/>
      <w:bookmarkEnd w:id="1"/>
      <w:r>
        <w:rPr>
          <w:rFonts w:ascii="Palatino Linotype" w:eastAsia="Palatino Linotype" w:hAnsi="Palatino Linotype" w:cs="Palatino Linotype"/>
          <w:b/>
          <w:bCs/>
        </w:rPr>
        <w:t xml:space="preserve">VISTAS </w:t>
      </w:r>
      <w:r>
        <w:rPr>
          <w:rFonts w:ascii="Palatino Linotype" w:eastAsia="Palatino Linotype" w:hAnsi="Palatino Linotype" w:cs="Palatino Linotype"/>
        </w:rPr>
        <w:t xml:space="preserve">las constancias para resolver el Recurso de Revisión </w:t>
      </w:r>
      <w:r>
        <w:rPr>
          <w:rFonts w:ascii="Palatino Linotype" w:eastAsia="Palatino Linotype" w:hAnsi="Palatino Linotype" w:cs="Palatino Linotype"/>
          <w:b/>
          <w:bCs/>
        </w:rPr>
        <w:t>13858/INFOEM/IP/RR/2025,</w:t>
      </w:r>
      <w:r>
        <w:rPr>
          <w:rFonts w:ascii="Palatino Linotype" w:eastAsia="Palatino Linotype" w:hAnsi="Palatino Linotype" w:cs="Palatino Linotype"/>
        </w:rPr>
        <w:t xml:space="preserve"> presentado por </w:t>
      </w:r>
      <w:r>
        <w:rPr>
          <w:rFonts w:ascii="Palatino Linotype" w:eastAsia="Palatino Linotype" w:hAnsi="Palatino Linotype" w:cs="Palatino Linotype"/>
          <w:b/>
          <w:bCs/>
        </w:rPr>
        <w:t>una persona que no aportó datos de identificación,</w:t>
      </w:r>
      <w:r>
        <w:rPr>
          <w:rFonts w:ascii="Palatino Linotype" w:eastAsia="Palatino Linotype" w:hAnsi="Palatino Linotype" w:cs="Palatino Linotype"/>
        </w:rPr>
        <w:t xml:space="preserve"> a quien en lo sucesivo se denominará </w:t>
      </w:r>
      <w:r>
        <w:rPr>
          <w:rFonts w:ascii="Palatino Linotype" w:eastAsia="Palatino Linotype" w:hAnsi="Palatino Linotype" w:cs="Palatino Linotype"/>
          <w:b/>
          <w:bCs/>
        </w:rPr>
        <w:t>EL RECURRENTE</w:t>
      </w:r>
      <w:r>
        <w:rPr>
          <w:rFonts w:ascii="Palatino Linotype" w:eastAsia="Palatino Linotype" w:hAnsi="Palatino Linotype" w:cs="Palatino Linotype"/>
        </w:rPr>
        <w:t xml:space="preserve">, en contra de la respuesta otorgada a la solicitud de información con número de folio </w:t>
      </w:r>
      <w:r>
        <w:rPr>
          <w:rFonts w:ascii="Palatino Linotype" w:eastAsia="Palatino Linotype" w:hAnsi="Palatino Linotype" w:cs="Palatino Linotype"/>
          <w:b/>
          <w:bCs/>
        </w:rPr>
        <w:t>05938/TOLUCA/IP/2025</w:t>
      </w:r>
      <w:r>
        <w:rPr>
          <w:rFonts w:ascii="Palatino Linotype" w:eastAsia="Palatino Linotype" w:hAnsi="Palatino Linotype" w:cs="Palatino Linotype"/>
        </w:rPr>
        <w:t xml:space="preserve">, por parte del </w:t>
      </w:r>
      <w:r>
        <w:rPr>
          <w:rFonts w:ascii="Palatino Linotype" w:eastAsia="Palatino Linotype" w:hAnsi="Palatino Linotype" w:cs="Palatino Linotype"/>
          <w:b/>
          <w:bCs/>
        </w:rPr>
        <w:t xml:space="preserve">Ayuntamiento de Toluca, </w:t>
      </w:r>
      <w:r>
        <w:rPr>
          <w:rFonts w:ascii="Palatino Linotype" w:eastAsia="Palatino Linotype" w:hAnsi="Palatino Linotype" w:cs="Palatino Linotype"/>
        </w:rPr>
        <w:t xml:space="preserve">en adelante </w:t>
      </w:r>
      <w:r>
        <w:rPr>
          <w:rFonts w:ascii="Palatino Linotype" w:eastAsia="Palatino Linotype" w:hAnsi="Palatino Linotype" w:cs="Palatino Linotype"/>
          <w:b/>
          <w:bCs/>
        </w:rPr>
        <w:t>EL SUJETO OBLIGADO,</w:t>
      </w:r>
      <w:r>
        <w:rPr>
          <w:rFonts w:ascii="Palatino Linotype" w:eastAsia="Palatino Linotype" w:hAnsi="Palatino Linotype" w:cs="Palatino Linotype"/>
        </w:rPr>
        <w:t xml:space="preserve"> se emite la presente Resolución con base en los siguientes:</w:t>
      </w:r>
    </w:p>
    <w:p w:rsidR="005C4853" w:rsidRDefault="00E30EFA">
      <w:pPr>
        <w:pStyle w:val="Ttulo1"/>
        <w:spacing w:before="0" w:line="360" w:lineRule="auto"/>
        <w:ind w:right="-929"/>
        <w:jc w:val="center"/>
        <w:rPr>
          <w:rFonts w:ascii="Palatino Linotype" w:eastAsia="Palatino Linotype" w:hAnsi="Palatino Linotype" w:cs="Palatino Linotype"/>
          <w:b/>
          <w:bCs/>
          <w:color w:val="000000"/>
          <w:sz w:val="24"/>
          <w:szCs w:val="24"/>
        </w:rPr>
      </w:pPr>
      <w:bookmarkStart w:id="2" w:name="_heading=h.gjdgxs" w:colFirst="0" w:colLast="0"/>
      <w:bookmarkEnd w:id="2"/>
      <w:r>
        <w:rPr>
          <w:rFonts w:ascii="Palatino Linotype" w:eastAsia="Palatino Linotype" w:hAnsi="Palatino Linotype" w:cs="Palatino Linotype"/>
          <w:b/>
          <w:bCs/>
          <w:color w:val="000000"/>
          <w:sz w:val="24"/>
          <w:szCs w:val="24"/>
        </w:rPr>
        <w:t>A N T E C E D E N T E S</w:t>
      </w:r>
    </w:p>
    <w:p w:rsidR="005C4853" w:rsidRDefault="005C4853">
      <w:pPr>
        <w:pBdr>
          <w:top w:val="nil"/>
          <w:left w:val="nil"/>
          <w:bottom w:val="nil"/>
          <w:right w:val="nil"/>
          <w:between w:val="nil"/>
        </w:pBdr>
        <w:spacing w:line="360" w:lineRule="auto"/>
        <w:ind w:right="-929"/>
        <w:jc w:val="both"/>
        <w:rPr>
          <w:rFonts w:ascii="Palatino Linotype" w:eastAsia="Palatino Linotype" w:hAnsi="Palatino Linotype" w:cs="Palatino Linotype"/>
          <w:b/>
          <w:bCs/>
          <w:color w:val="000000"/>
          <w:u w:val="single"/>
        </w:rPr>
      </w:pPr>
    </w:p>
    <w:p w:rsidR="005C4853" w:rsidRDefault="00E30EFA">
      <w:pPr>
        <w:numPr>
          <w:ilvl w:val="0"/>
          <w:numId w:val="2"/>
        </w:numPr>
        <w:pBdr>
          <w:top w:val="nil"/>
          <w:left w:val="nil"/>
          <w:bottom w:val="nil"/>
          <w:right w:val="nil"/>
          <w:between w:val="nil"/>
        </w:pBdr>
        <w:tabs>
          <w:tab w:val="left" w:pos="0"/>
        </w:tabs>
        <w:spacing w:line="360" w:lineRule="auto"/>
        <w:ind w:left="0" w:right="-929"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El día</w:t>
      </w:r>
      <w:r>
        <w:rPr>
          <w:rFonts w:ascii="Palatino Linotype" w:eastAsia="Palatino Linotype" w:hAnsi="Palatino Linotype" w:cs="Palatino Linotype"/>
          <w:b/>
          <w:bCs/>
          <w:color w:val="000000"/>
        </w:rPr>
        <w:t xml:space="preserve"> seis de noviembre dos mil veinticinco</w:t>
      </w:r>
      <w:r>
        <w:rPr>
          <w:rFonts w:ascii="Palatino Linotype" w:eastAsia="Palatino Linotype" w:hAnsi="Palatino Linotype" w:cs="Palatino Linotype"/>
          <w:color w:val="000000"/>
        </w:rPr>
        <w:t>,</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se presentó ante el Sujeto Obligado vía Sistema de Acceso a la Información Mexiquense, en adelante (SAIMEX), la siguiente solicitud de información pública:</w:t>
      </w:r>
    </w:p>
    <w:p w:rsidR="005C4853" w:rsidRDefault="005C4853">
      <w:pPr>
        <w:pBdr>
          <w:top w:val="nil"/>
          <w:left w:val="nil"/>
          <w:bottom w:val="nil"/>
          <w:right w:val="nil"/>
          <w:between w:val="nil"/>
        </w:pBdr>
        <w:spacing w:line="360" w:lineRule="auto"/>
        <w:ind w:right="-929"/>
        <w:jc w:val="both"/>
        <w:rPr>
          <w:rFonts w:ascii="Palatino Linotype" w:eastAsia="Palatino Linotype" w:hAnsi="Palatino Linotype" w:cs="Palatino Linotype"/>
          <w:color w:val="000000"/>
        </w:rPr>
      </w:pPr>
    </w:p>
    <w:p w:rsidR="005C4853" w:rsidRDefault="00E30EFA">
      <w:pPr>
        <w:pBdr>
          <w:top w:val="nil"/>
          <w:left w:val="nil"/>
          <w:bottom w:val="nil"/>
          <w:right w:val="nil"/>
          <w:between w:val="nil"/>
        </w:pBdr>
        <w:spacing w:line="360" w:lineRule="auto"/>
        <w:ind w:left="425" w:right="-929"/>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w:t>
      </w:r>
      <w:r>
        <w:rPr>
          <w:rFonts w:ascii="Palatino Linotype" w:eastAsia="Palatino Linotype" w:hAnsi="Palatino Linotype" w:cs="Palatino Linotype"/>
          <w:i/>
          <w:iCs/>
        </w:rPr>
        <w:t>¿Cuáles son los ingresos que tiene el ayuntamiento por las actividades económicas que se ejercen ahí? Y COMO SE IMPLEMENTA LOSINGRESO RECIBIDO POR CONCEPTO</w:t>
      </w:r>
      <w:r>
        <w:rPr>
          <w:rFonts w:ascii="Palatino Linotype" w:eastAsia="Palatino Linotype" w:hAnsi="Palatino Linotype" w:cs="Palatino Linotype"/>
          <w:i/>
          <w:iCs/>
          <w:color w:val="000000"/>
        </w:rPr>
        <w:t>”</w:t>
      </w:r>
    </w:p>
    <w:p w:rsidR="005C4853" w:rsidRDefault="005C4853">
      <w:pPr>
        <w:pBdr>
          <w:top w:val="nil"/>
          <w:left w:val="nil"/>
          <w:bottom w:val="nil"/>
          <w:right w:val="nil"/>
          <w:between w:val="nil"/>
        </w:pBdr>
        <w:spacing w:line="360" w:lineRule="auto"/>
        <w:ind w:left="425" w:right="-929"/>
        <w:jc w:val="both"/>
        <w:rPr>
          <w:rFonts w:ascii="Palatino Linotype" w:eastAsia="Palatino Linotype" w:hAnsi="Palatino Linotype" w:cs="Palatino Linotype"/>
          <w:color w:val="000000"/>
        </w:rPr>
      </w:pPr>
    </w:p>
    <w:p w:rsidR="005C4853" w:rsidRPr="00294684" w:rsidRDefault="00E30EFA">
      <w:pPr>
        <w:numPr>
          <w:ilvl w:val="0"/>
          <w:numId w:val="6"/>
        </w:numPr>
        <w:pBdr>
          <w:top w:val="nil"/>
          <w:left w:val="nil"/>
          <w:bottom w:val="nil"/>
          <w:right w:val="nil"/>
          <w:between w:val="nil"/>
        </w:pBdr>
        <w:tabs>
          <w:tab w:val="left" w:pos="0"/>
        </w:tabs>
        <w:spacing w:line="360" w:lineRule="auto"/>
        <w:ind w:left="709" w:right="-929"/>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Se eligió como modalidad de entrega de la información: </w:t>
      </w:r>
      <w:r>
        <w:rPr>
          <w:rFonts w:ascii="Palatino Linotype" w:eastAsia="Palatino Linotype" w:hAnsi="Palatino Linotype" w:cs="Palatino Linotype"/>
          <w:b/>
          <w:bCs/>
          <w:color w:val="000000"/>
        </w:rPr>
        <w:t>a través de SAIMEX</w:t>
      </w:r>
    </w:p>
    <w:p w:rsidR="00294684" w:rsidRDefault="00294684" w:rsidP="00294684">
      <w:pPr>
        <w:pBdr>
          <w:top w:val="nil"/>
          <w:left w:val="nil"/>
          <w:bottom w:val="nil"/>
          <w:right w:val="nil"/>
          <w:between w:val="nil"/>
        </w:pBdr>
        <w:tabs>
          <w:tab w:val="left" w:pos="0"/>
        </w:tabs>
        <w:spacing w:line="360" w:lineRule="auto"/>
        <w:ind w:right="-929"/>
        <w:jc w:val="both"/>
        <w:rPr>
          <w:rFonts w:ascii="Palatino Linotype" w:eastAsia="Palatino Linotype" w:hAnsi="Palatino Linotype" w:cs="Palatino Linotype"/>
          <w:color w:val="000000"/>
        </w:rPr>
      </w:pPr>
    </w:p>
    <w:p w:rsidR="005C4853" w:rsidRDefault="00E30EFA">
      <w:pPr>
        <w:numPr>
          <w:ilvl w:val="0"/>
          <w:numId w:val="2"/>
        </w:numPr>
        <w:pBdr>
          <w:top w:val="nil"/>
          <w:left w:val="nil"/>
          <w:bottom w:val="nil"/>
          <w:right w:val="nil"/>
          <w:between w:val="nil"/>
        </w:pBdr>
        <w:tabs>
          <w:tab w:val="left" w:pos="0"/>
        </w:tabs>
        <w:spacing w:line="360" w:lineRule="auto"/>
        <w:ind w:left="0" w:right="-929" w:firstLine="0"/>
        <w:jc w:val="both"/>
        <w:rPr>
          <w:rFonts w:ascii="Palatino Linotype" w:eastAsia="Palatino Linotype" w:hAnsi="Palatino Linotype" w:cs="Palatino Linotype"/>
          <w:b/>
          <w:bCs/>
        </w:rPr>
      </w:pPr>
      <w:r>
        <w:rPr>
          <w:rFonts w:ascii="Palatino Linotype" w:eastAsia="Palatino Linotype" w:hAnsi="Palatino Linotype" w:cs="Palatino Linotype"/>
          <w:color w:val="000000"/>
        </w:rPr>
        <w:lastRenderedPageBreak/>
        <w:t xml:space="preserve">El </w:t>
      </w:r>
      <w:r>
        <w:rPr>
          <w:rFonts w:ascii="Palatino Linotype" w:eastAsia="Palatino Linotype" w:hAnsi="Palatino Linotype" w:cs="Palatino Linotype"/>
          <w:b/>
          <w:bCs/>
          <w:color w:val="000000"/>
        </w:rPr>
        <w:t>veintisiete de noviembre de dos mil veinticinco</w:t>
      </w:r>
      <w:r>
        <w:rPr>
          <w:rFonts w:ascii="Palatino Linotype" w:eastAsia="Palatino Linotype" w:hAnsi="Palatino Linotype" w:cs="Palatino Linotype"/>
          <w:color w:val="000000"/>
        </w:rPr>
        <w:t xml:space="preserve">, </w:t>
      </w:r>
      <w:r>
        <w:rPr>
          <w:rFonts w:ascii="Palatino Linotype" w:eastAsia="Palatino Linotype" w:hAnsi="Palatino Linotype" w:cs="Palatino Linotype"/>
        </w:rPr>
        <w:t xml:space="preserve">el </w:t>
      </w:r>
      <w:r>
        <w:rPr>
          <w:rFonts w:ascii="Palatino Linotype" w:eastAsia="Palatino Linotype" w:hAnsi="Palatino Linotype" w:cs="Palatino Linotype"/>
          <w:b/>
          <w:bCs/>
        </w:rPr>
        <w:t xml:space="preserve">SUJETO OBLIGADO </w:t>
      </w:r>
      <w:r>
        <w:rPr>
          <w:rFonts w:ascii="Palatino Linotype" w:eastAsia="Palatino Linotype" w:hAnsi="Palatino Linotype" w:cs="Palatino Linotype"/>
        </w:rPr>
        <w:t xml:space="preserve">envió su respuesta a la </w:t>
      </w:r>
      <w:r>
        <w:rPr>
          <w:rFonts w:ascii="Palatino Linotype" w:eastAsia="Palatino Linotype" w:hAnsi="Palatino Linotype" w:cs="Palatino Linotype"/>
          <w:color w:val="000000"/>
        </w:rPr>
        <w:t>solicitud</w:t>
      </w:r>
      <w:r>
        <w:rPr>
          <w:rFonts w:ascii="Palatino Linotype" w:eastAsia="Palatino Linotype" w:hAnsi="Palatino Linotype" w:cs="Palatino Linotype"/>
        </w:rPr>
        <w:t xml:space="preserve"> de </w:t>
      </w:r>
      <w:r>
        <w:rPr>
          <w:rFonts w:ascii="Palatino Linotype" w:eastAsia="Palatino Linotype" w:hAnsi="Palatino Linotype" w:cs="Palatino Linotype"/>
          <w:color w:val="000000"/>
        </w:rPr>
        <w:t>acceso</w:t>
      </w:r>
      <w:r>
        <w:rPr>
          <w:rFonts w:ascii="Palatino Linotype" w:eastAsia="Palatino Linotype" w:hAnsi="Palatino Linotype" w:cs="Palatino Linotype"/>
        </w:rPr>
        <w:t xml:space="preserve"> a la información a través de SAIMEX, mediante seis archivos denominados:</w:t>
      </w:r>
    </w:p>
    <w:p w:rsidR="005C4853" w:rsidRDefault="00E30EFA">
      <w:pPr>
        <w:numPr>
          <w:ilvl w:val="0"/>
          <w:numId w:val="3"/>
        </w:numPr>
        <w:pBdr>
          <w:top w:val="nil"/>
          <w:left w:val="nil"/>
          <w:bottom w:val="nil"/>
          <w:right w:val="nil"/>
          <w:between w:val="nil"/>
        </w:pBdr>
        <w:tabs>
          <w:tab w:val="left" w:pos="0"/>
        </w:tabs>
        <w:spacing w:line="360" w:lineRule="auto"/>
        <w:ind w:left="426" w:right="-929"/>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ESTADO-ANALITICO-DEL-EJERCICIO-DEL-PRESUPUESTO-DE-EGRESOS-CON-BASE-EN-LA-CLASIFICACION-ECONOMICA-TIPO-DE-GASTO.-AL-30-DE-SEPTIEM</w:t>
      </w:r>
    </w:p>
    <w:p w:rsidR="005C4853" w:rsidRDefault="00E30EFA">
      <w:pPr>
        <w:numPr>
          <w:ilvl w:val="0"/>
          <w:numId w:val="3"/>
        </w:numPr>
        <w:pBdr>
          <w:top w:val="nil"/>
          <w:left w:val="nil"/>
          <w:bottom w:val="nil"/>
          <w:right w:val="nil"/>
          <w:between w:val="nil"/>
        </w:pBdr>
        <w:tabs>
          <w:tab w:val="left" w:pos="0"/>
        </w:tabs>
        <w:spacing w:line="360" w:lineRule="auto"/>
        <w:ind w:left="426" w:right="-929"/>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INGRESOS-ENE-SEP-2025.pdf</w:t>
      </w:r>
    </w:p>
    <w:p w:rsidR="005C4853" w:rsidRDefault="00E30EFA">
      <w:pPr>
        <w:numPr>
          <w:ilvl w:val="0"/>
          <w:numId w:val="3"/>
        </w:numPr>
        <w:pBdr>
          <w:top w:val="nil"/>
          <w:left w:val="nil"/>
          <w:bottom w:val="nil"/>
          <w:right w:val="nil"/>
          <w:between w:val="nil"/>
        </w:pBdr>
        <w:tabs>
          <w:tab w:val="left" w:pos="0"/>
        </w:tabs>
        <w:spacing w:line="360" w:lineRule="auto"/>
        <w:ind w:left="426" w:right="-929"/>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5938.pdf</w:t>
      </w:r>
    </w:p>
    <w:p w:rsidR="005C4853" w:rsidRDefault="00E30EFA">
      <w:pPr>
        <w:numPr>
          <w:ilvl w:val="0"/>
          <w:numId w:val="3"/>
        </w:numPr>
        <w:pBdr>
          <w:top w:val="nil"/>
          <w:left w:val="nil"/>
          <w:bottom w:val="nil"/>
          <w:right w:val="nil"/>
          <w:between w:val="nil"/>
        </w:pBdr>
        <w:tabs>
          <w:tab w:val="left" w:pos="0"/>
        </w:tabs>
        <w:spacing w:line="360" w:lineRule="auto"/>
        <w:ind w:left="426" w:right="-929"/>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ESTADO-ANALITICO-DEL-EJERCICIO-DEL-PRESUPUESTO-DE-EGRESOS-CON-BASE-EN-LA-CLASIFICACION-ADMINISTRATIVAAL-30-DE-SEPTIEMBRE-2025.pd</w:t>
      </w:r>
    </w:p>
    <w:p w:rsidR="005C4853" w:rsidRDefault="00E30EFA">
      <w:pPr>
        <w:numPr>
          <w:ilvl w:val="0"/>
          <w:numId w:val="3"/>
        </w:numPr>
        <w:pBdr>
          <w:top w:val="nil"/>
          <w:left w:val="nil"/>
          <w:bottom w:val="nil"/>
          <w:right w:val="nil"/>
          <w:between w:val="nil"/>
        </w:pBdr>
        <w:tabs>
          <w:tab w:val="left" w:pos="0"/>
        </w:tabs>
        <w:spacing w:line="360" w:lineRule="auto"/>
        <w:ind w:left="426" w:right="-929"/>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ESTADO-ANALITICO-DEL-EJERCICIO-DEL-PRESUPUESTO-DE-EGRESOS-CON-BASE-EN-LA-CLASIFICACION-POR-OBJETO-DEL-GASTO-AL-30-DE-SEPTIEMBRE-</w:t>
      </w:r>
    </w:p>
    <w:p w:rsidR="005C4853" w:rsidRDefault="00E30EFA">
      <w:pPr>
        <w:numPr>
          <w:ilvl w:val="0"/>
          <w:numId w:val="3"/>
        </w:numPr>
        <w:pBdr>
          <w:top w:val="nil"/>
          <w:left w:val="nil"/>
          <w:bottom w:val="nil"/>
          <w:right w:val="nil"/>
          <w:between w:val="nil"/>
        </w:pBdr>
        <w:tabs>
          <w:tab w:val="left" w:pos="0"/>
        </w:tabs>
        <w:spacing w:line="360" w:lineRule="auto"/>
        <w:ind w:left="426" w:right="-929"/>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ESTADO-ANALITICO-DEL-EJERCICIO-DEL-PRESUPUESTODE-EGRESOS-CON-BASE-EN-LA-CLASIFICACION-FUNCIONAL-AL-30-DE-SEPTIEMBRE-2025.pdf</w:t>
      </w:r>
    </w:p>
    <w:p w:rsidR="005C4853" w:rsidRDefault="005C4853">
      <w:pPr>
        <w:pBdr>
          <w:top w:val="nil"/>
          <w:left w:val="nil"/>
          <w:bottom w:val="nil"/>
          <w:right w:val="nil"/>
          <w:between w:val="nil"/>
        </w:pBdr>
        <w:tabs>
          <w:tab w:val="left" w:pos="0"/>
        </w:tabs>
        <w:spacing w:line="360" w:lineRule="auto"/>
        <w:ind w:right="-929"/>
        <w:jc w:val="both"/>
        <w:rPr>
          <w:rFonts w:ascii="Palatino Linotype" w:eastAsia="Palatino Linotype" w:hAnsi="Palatino Linotype" w:cs="Palatino Linotype"/>
          <w:b/>
          <w:bCs/>
        </w:rPr>
      </w:pPr>
    </w:p>
    <w:p w:rsidR="005C4853" w:rsidRDefault="00E30EFA">
      <w:pPr>
        <w:numPr>
          <w:ilvl w:val="0"/>
          <w:numId w:val="2"/>
        </w:numPr>
        <w:pBdr>
          <w:top w:val="nil"/>
          <w:left w:val="nil"/>
          <w:bottom w:val="nil"/>
          <w:right w:val="nil"/>
          <w:between w:val="nil"/>
        </w:pBdr>
        <w:tabs>
          <w:tab w:val="left" w:pos="0"/>
        </w:tabs>
        <w:spacing w:line="360" w:lineRule="auto"/>
        <w:ind w:left="0" w:right="-929" w:firstLine="0"/>
        <w:jc w:val="both"/>
        <w:rPr>
          <w:rFonts w:ascii="Palatino Linotype" w:eastAsia="Palatino Linotype" w:hAnsi="Palatino Linotype" w:cs="Palatino Linotype"/>
          <w:b/>
          <w:bCs/>
        </w:rPr>
      </w:pPr>
      <w:r>
        <w:rPr>
          <w:rFonts w:ascii="Palatino Linotype" w:eastAsia="Palatino Linotype" w:hAnsi="Palatino Linotype" w:cs="Palatino Linotype"/>
        </w:rPr>
        <w:t xml:space="preserve">Que de manera general corresponden a un informe general de recaudación de la Tesorería Municipal del uno de enero al treinta de septiembre de dos mil veinticinco, del que se advierte la cuenta de ingresos, importes y totales; y, cuatro formatos del Estado Analítico del Ejercicio del Presupuesto de Egresos (Clasificación económica, Clasificación </w:t>
      </w:r>
      <w:r>
        <w:rPr>
          <w:rFonts w:ascii="Palatino Linotype" w:eastAsia="Palatino Linotype" w:hAnsi="Palatino Linotype" w:cs="Palatino Linotype"/>
        </w:rPr>
        <w:lastRenderedPageBreak/>
        <w:t>administrativa, Clasificación por objeto de gasto y Clasificación funcional), del uno al treinta de septiembre de dos mil veinticinco.</w:t>
      </w:r>
    </w:p>
    <w:p w:rsidR="005C4853" w:rsidRDefault="005C4853">
      <w:pPr>
        <w:pBdr>
          <w:top w:val="nil"/>
          <w:left w:val="nil"/>
          <w:bottom w:val="nil"/>
          <w:right w:val="nil"/>
          <w:between w:val="nil"/>
        </w:pBdr>
        <w:tabs>
          <w:tab w:val="left" w:pos="0"/>
        </w:tabs>
        <w:spacing w:line="360" w:lineRule="auto"/>
        <w:ind w:left="502" w:right="-929"/>
        <w:jc w:val="both"/>
        <w:rPr>
          <w:rFonts w:ascii="Palatino Linotype" w:eastAsia="Palatino Linotype" w:hAnsi="Palatino Linotype" w:cs="Palatino Linotype"/>
          <w:b/>
          <w:bCs/>
        </w:rPr>
      </w:pPr>
    </w:p>
    <w:p w:rsidR="005C4853" w:rsidRDefault="00E30EFA">
      <w:pPr>
        <w:numPr>
          <w:ilvl w:val="0"/>
          <w:numId w:val="2"/>
        </w:numPr>
        <w:pBdr>
          <w:top w:val="nil"/>
          <w:left w:val="nil"/>
          <w:bottom w:val="nil"/>
          <w:right w:val="nil"/>
          <w:between w:val="nil"/>
        </w:pBdr>
        <w:tabs>
          <w:tab w:val="left" w:pos="0"/>
        </w:tabs>
        <w:spacing w:line="360" w:lineRule="auto"/>
        <w:ind w:left="0" w:right="-929" w:firstLine="0"/>
        <w:jc w:val="both"/>
        <w:rPr>
          <w:rFonts w:ascii="Palatino Linotype" w:eastAsia="Palatino Linotype" w:hAnsi="Palatino Linotype" w:cs="Palatino Linotype"/>
        </w:rPr>
      </w:pPr>
      <w:r>
        <w:rPr>
          <w:rFonts w:ascii="Palatino Linotype" w:eastAsia="Palatino Linotype" w:hAnsi="Palatino Linotype" w:cs="Palatino Linotype"/>
          <w:color w:val="000000"/>
        </w:rPr>
        <w:t>El</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b/>
          <w:bCs/>
        </w:rPr>
        <w:t xml:space="preserve">dos de junio de dos mil veinticinco, </w:t>
      </w:r>
      <w:r>
        <w:rPr>
          <w:rFonts w:ascii="Palatino Linotype" w:eastAsia="Palatino Linotype" w:hAnsi="Palatino Linotype" w:cs="Palatino Linotype"/>
        </w:rPr>
        <w:t xml:space="preserve">la parte </w:t>
      </w:r>
      <w:r>
        <w:rPr>
          <w:rFonts w:ascii="Palatino Linotype" w:eastAsia="Palatino Linotype" w:hAnsi="Palatino Linotype" w:cs="Palatino Linotype"/>
          <w:b/>
          <w:bCs/>
        </w:rPr>
        <w:t>Recurrente</w:t>
      </w:r>
      <w:r>
        <w:rPr>
          <w:rFonts w:ascii="Palatino Linotype" w:eastAsia="Palatino Linotype" w:hAnsi="Palatino Linotype" w:cs="Palatino Linotype"/>
        </w:rPr>
        <w:t xml:space="preserve"> interpuso el recurso de revisión a través de </w:t>
      </w:r>
      <w:r>
        <w:rPr>
          <w:rFonts w:ascii="Palatino Linotype" w:eastAsia="Palatino Linotype" w:hAnsi="Palatino Linotype" w:cs="Palatino Linotype"/>
          <w:b/>
          <w:bCs/>
        </w:rPr>
        <w:t xml:space="preserve">SAIMEX, </w:t>
      </w:r>
      <w:r>
        <w:rPr>
          <w:rFonts w:ascii="Palatino Linotype" w:eastAsia="Palatino Linotype" w:hAnsi="Palatino Linotype" w:cs="Palatino Linotype"/>
        </w:rPr>
        <w:t>en donde se manifestó de la siguiente manera:</w:t>
      </w:r>
    </w:p>
    <w:p w:rsidR="005C4853" w:rsidRDefault="005C4853">
      <w:pPr>
        <w:pBdr>
          <w:top w:val="nil"/>
          <w:left w:val="nil"/>
          <w:bottom w:val="nil"/>
          <w:right w:val="nil"/>
          <w:between w:val="nil"/>
        </w:pBdr>
        <w:tabs>
          <w:tab w:val="left" w:pos="0"/>
        </w:tabs>
        <w:spacing w:line="360" w:lineRule="auto"/>
        <w:ind w:right="-929"/>
        <w:jc w:val="both"/>
        <w:rPr>
          <w:rFonts w:ascii="Palatino Linotype" w:eastAsia="Palatino Linotype" w:hAnsi="Palatino Linotype" w:cs="Palatino Linotype"/>
        </w:rPr>
      </w:pPr>
    </w:p>
    <w:p w:rsidR="005C4853" w:rsidRDefault="00E30EFA">
      <w:pPr>
        <w:numPr>
          <w:ilvl w:val="0"/>
          <w:numId w:val="1"/>
        </w:numPr>
        <w:tabs>
          <w:tab w:val="left" w:pos="2745"/>
        </w:tabs>
        <w:spacing w:line="360" w:lineRule="auto"/>
        <w:ind w:right="-929"/>
        <w:jc w:val="both"/>
        <w:rPr>
          <w:rFonts w:ascii="Palatino Linotype" w:eastAsia="Palatino Linotype" w:hAnsi="Palatino Linotype" w:cs="Palatino Linotype"/>
          <w:b/>
          <w:bCs/>
        </w:rPr>
      </w:pPr>
      <w:r>
        <w:rPr>
          <w:rFonts w:ascii="Palatino Linotype" w:eastAsia="Palatino Linotype" w:hAnsi="Palatino Linotype" w:cs="Palatino Linotype"/>
          <w:b/>
          <w:bCs/>
        </w:rPr>
        <w:t xml:space="preserve">Acto impugnado: </w:t>
      </w:r>
    </w:p>
    <w:p w:rsidR="005C4853" w:rsidRDefault="00E30EFA">
      <w:pPr>
        <w:tabs>
          <w:tab w:val="left" w:pos="2745"/>
        </w:tabs>
        <w:spacing w:line="360" w:lineRule="auto"/>
        <w:ind w:left="709" w:right="-929"/>
        <w:jc w:val="both"/>
        <w:rPr>
          <w:rFonts w:ascii="Palatino Linotype" w:eastAsia="Palatino Linotype" w:hAnsi="Palatino Linotype" w:cs="Palatino Linotype"/>
          <w:i/>
          <w:iCs/>
        </w:rPr>
      </w:pPr>
      <w:r>
        <w:rPr>
          <w:rFonts w:ascii="Palatino Linotype" w:eastAsia="Palatino Linotype" w:hAnsi="Palatino Linotype" w:cs="Palatino Linotype"/>
          <w:i/>
          <w:iCs/>
        </w:rPr>
        <w:t>“la información esta incompleta no esta todo lo solicitado falta”</w:t>
      </w:r>
    </w:p>
    <w:p w:rsidR="005C4853" w:rsidRDefault="005C4853">
      <w:pPr>
        <w:tabs>
          <w:tab w:val="left" w:pos="2745"/>
        </w:tabs>
        <w:spacing w:line="360" w:lineRule="auto"/>
        <w:ind w:left="709" w:right="-929"/>
        <w:jc w:val="both"/>
        <w:rPr>
          <w:rFonts w:ascii="Palatino Linotype" w:eastAsia="Palatino Linotype" w:hAnsi="Palatino Linotype" w:cs="Palatino Linotype"/>
          <w:i/>
          <w:iCs/>
        </w:rPr>
      </w:pPr>
    </w:p>
    <w:p w:rsidR="005C4853" w:rsidRDefault="00E30EFA">
      <w:pPr>
        <w:numPr>
          <w:ilvl w:val="0"/>
          <w:numId w:val="10"/>
        </w:numPr>
        <w:spacing w:line="360" w:lineRule="auto"/>
        <w:ind w:right="-929"/>
        <w:jc w:val="both"/>
        <w:rPr>
          <w:rFonts w:ascii="Palatino Linotype" w:eastAsia="Palatino Linotype" w:hAnsi="Palatino Linotype" w:cs="Palatino Linotype"/>
        </w:rPr>
      </w:pPr>
      <w:bookmarkStart w:id="3" w:name="_heading=h.30j0zll" w:colFirst="0" w:colLast="0"/>
      <w:bookmarkEnd w:id="3"/>
      <w:r>
        <w:rPr>
          <w:rFonts w:ascii="Palatino Linotype" w:eastAsia="Palatino Linotype" w:hAnsi="Palatino Linotype" w:cs="Palatino Linotype"/>
          <w:b/>
          <w:bCs/>
        </w:rPr>
        <w:t>Razones o motivos de inconformidad</w:t>
      </w:r>
      <w:r>
        <w:rPr>
          <w:rFonts w:ascii="Palatino Linotype" w:eastAsia="Palatino Linotype" w:hAnsi="Palatino Linotype" w:cs="Palatino Linotype"/>
        </w:rPr>
        <w:t>:</w:t>
      </w:r>
    </w:p>
    <w:p w:rsidR="005C4853" w:rsidRDefault="00E30EFA">
      <w:pPr>
        <w:tabs>
          <w:tab w:val="left" w:pos="2745"/>
        </w:tabs>
        <w:spacing w:line="360" w:lineRule="auto"/>
        <w:ind w:left="709" w:right="-929"/>
        <w:jc w:val="both"/>
        <w:rPr>
          <w:rFonts w:ascii="Palatino Linotype" w:eastAsia="Palatino Linotype" w:hAnsi="Palatino Linotype" w:cs="Palatino Linotype"/>
          <w:b/>
          <w:bCs/>
          <w:i/>
          <w:iCs/>
        </w:rPr>
      </w:pPr>
      <w:r>
        <w:rPr>
          <w:rFonts w:ascii="Palatino Linotype" w:eastAsia="Palatino Linotype" w:hAnsi="Palatino Linotype" w:cs="Palatino Linotype"/>
          <w:i/>
          <w:iCs/>
        </w:rPr>
        <w:t>“la información esta incompleta no esta todo lo solicitado falta”</w:t>
      </w:r>
    </w:p>
    <w:p w:rsidR="005C4853" w:rsidRDefault="005C4853">
      <w:pPr>
        <w:tabs>
          <w:tab w:val="left" w:pos="2745"/>
        </w:tabs>
        <w:spacing w:line="360" w:lineRule="auto"/>
        <w:ind w:left="709" w:right="-929"/>
        <w:jc w:val="both"/>
        <w:rPr>
          <w:rFonts w:ascii="Palatino Linotype" w:eastAsia="Palatino Linotype" w:hAnsi="Palatino Linotype" w:cs="Palatino Linotype"/>
          <w:i/>
          <w:iCs/>
        </w:rPr>
      </w:pPr>
    </w:p>
    <w:p w:rsidR="005C4853" w:rsidRDefault="00E30EFA">
      <w:pPr>
        <w:numPr>
          <w:ilvl w:val="0"/>
          <w:numId w:val="2"/>
        </w:numPr>
        <w:pBdr>
          <w:top w:val="nil"/>
          <w:left w:val="nil"/>
          <w:bottom w:val="nil"/>
          <w:right w:val="nil"/>
          <w:between w:val="nil"/>
        </w:pBdr>
        <w:spacing w:line="360" w:lineRule="auto"/>
        <w:ind w:left="0" w:right="-929" w:firstLine="0"/>
        <w:jc w:val="both"/>
        <w:rPr>
          <w:rFonts w:ascii="Palatino Linotype" w:eastAsia="Palatino Linotype" w:hAnsi="Palatino Linotype" w:cs="Palatino Linotype"/>
          <w:color w:val="000000"/>
        </w:rPr>
      </w:pPr>
      <w:r>
        <w:rPr>
          <w:rFonts w:ascii="Palatino Linotype" w:eastAsia="Palatino Linotype" w:hAnsi="Palatino Linotype" w:cs="Palatino Linotype"/>
        </w:rPr>
        <w:t>Con fecha</w:t>
      </w:r>
      <w:r>
        <w:rPr>
          <w:rFonts w:ascii="Palatino Linotype" w:eastAsia="Palatino Linotype" w:hAnsi="Palatino Linotype" w:cs="Palatino Linotype"/>
          <w:b/>
          <w:bCs/>
        </w:rPr>
        <w:t xml:space="preserve"> nueve de diciembre dos mil veinticinco, </w:t>
      </w:r>
      <w:r>
        <w:rPr>
          <w:rFonts w:ascii="Palatino Linotype" w:eastAsia="Palatino Linotype" w:hAnsi="Palatino Linotype" w:cs="Palatino Linotype"/>
        </w:rPr>
        <w:t xml:space="preserve">este Instituto de Transparencia, Acceso a la Información Pública y Protección de Datos Personales del Estado de México y Municipios, admitió a trámite el recurso de revisión que ahora se resuelve, dando un plazo máximo de siete días hábiles para que las partes manifestaran lo que a su derecho resultara conveniente, ofrecieran pruebas, formulen alegatos y el </w:t>
      </w:r>
      <w:r>
        <w:rPr>
          <w:rFonts w:ascii="Palatino Linotype" w:eastAsia="Palatino Linotype" w:hAnsi="Palatino Linotype" w:cs="Palatino Linotype"/>
          <w:b/>
          <w:bCs/>
        </w:rPr>
        <w:t xml:space="preserve">SUJETO OBLIGADO </w:t>
      </w:r>
      <w:r>
        <w:rPr>
          <w:rFonts w:ascii="Palatino Linotype" w:eastAsia="Palatino Linotype" w:hAnsi="Palatino Linotype" w:cs="Palatino Linotype"/>
        </w:rPr>
        <w:t>presentará su informe justificado.</w:t>
      </w:r>
    </w:p>
    <w:p w:rsidR="005C4853" w:rsidRDefault="005C4853">
      <w:pPr>
        <w:pBdr>
          <w:top w:val="nil"/>
          <w:left w:val="nil"/>
          <w:bottom w:val="nil"/>
          <w:right w:val="nil"/>
          <w:between w:val="nil"/>
        </w:pBdr>
        <w:spacing w:line="360" w:lineRule="auto"/>
        <w:ind w:right="-929"/>
        <w:jc w:val="both"/>
        <w:rPr>
          <w:rFonts w:ascii="Palatino Linotype" w:eastAsia="Palatino Linotype" w:hAnsi="Palatino Linotype" w:cs="Palatino Linotype"/>
          <w:color w:val="000000"/>
        </w:rPr>
      </w:pPr>
    </w:p>
    <w:p w:rsidR="005C4853" w:rsidRDefault="00E30EFA">
      <w:pPr>
        <w:numPr>
          <w:ilvl w:val="0"/>
          <w:numId w:val="2"/>
        </w:numPr>
        <w:pBdr>
          <w:top w:val="nil"/>
          <w:left w:val="nil"/>
          <w:bottom w:val="nil"/>
          <w:right w:val="nil"/>
          <w:between w:val="nil"/>
        </w:pBdr>
        <w:spacing w:line="360" w:lineRule="auto"/>
        <w:ind w:left="0" w:right="-929"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El</w:t>
      </w:r>
      <w:r>
        <w:rPr>
          <w:rFonts w:ascii="Palatino Linotype" w:eastAsia="Palatino Linotype" w:hAnsi="Palatino Linotype" w:cs="Palatino Linotype"/>
          <w:b/>
          <w:bCs/>
          <w:color w:val="000000"/>
        </w:rPr>
        <w:t xml:space="preserve"> SUJETO </w:t>
      </w:r>
      <w:r>
        <w:rPr>
          <w:rFonts w:ascii="Palatino Linotype" w:eastAsia="Palatino Linotype" w:hAnsi="Palatino Linotype" w:cs="Palatino Linotype"/>
          <w:b/>
          <w:bCs/>
        </w:rPr>
        <w:t>OBLIGADO</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 xml:space="preserve">a través de un escrito y un oficio signados por el Titular </w:t>
      </w:r>
      <w:r>
        <w:rPr>
          <w:rFonts w:ascii="Palatino Linotype" w:eastAsia="Palatino Linotype" w:hAnsi="Palatino Linotype" w:cs="Palatino Linotype"/>
        </w:rPr>
        <w:t>de</w:t>
      </w:r>
      <w:r>
        <w:rPr>
          <w:rFonts w:ascii="Palatino Linotype" w:eastAsia="Palatino Linotype" w:hAnsi="Palatino Linotype" w:cs="Palatino Linotype"/>
          <w:color w:val="000000"/>
        </w:rPr>
        <w:t xml:space="preserve"> la Unidad de Transparencia y el Tesorero Municipal, respectivamente, rindió informe justificado confirmando la respuesta inicial emitida. Por su parte, el solicitante dejó de realizar manifestaciones que a su derecho conviniera y asistiera.</w:t>
      </w:r>
    </w:p>
    <w:p w:rsidR="005C4853" w:rsidRDefault="005C4853">
      <w:pPr>
        <w:pBdr>
          <w:top w:val="nil"/>
          <w:left w:val="nil"/>
          <w:bottom w:val="nil"/>
          <w:right w:val="nil"/>
          <w:between w:val="nil"/>
        </w:pBdr>
        <w:spacing w:line="360" w:lineRule="auto"/>
        <w:ind w:left="644" w:right="-929"/>
        <w:jc w:val="both"/>
        <w:rPr>
          <w:rFonts w:ascii="Palatino Linotype" w:eastAsia="Palatino Linotype" w:hAnsi="Palatino Linotype" w:cs="Palatino Linotype"/>
        </w:rPr>
      </w:pPr>
    </w:p>
    <w:p w:rsidR="005C4853" w:rsidRDefault="00E30EFA">
      <w:pPr>
        <w:numPr>
          <w:ilvl w:val="0"/>
          <w:numId w:val="2"/>
        </w:numPr>
        <w:pBdr>
          <w:top w:val="nil"/>
          <w:left w:val="nil"/>
          <w:bottom w:val="nil"/>
          <w:right w:val="nil"/>
          <w:between w:val="nil"/>
        </w:pBdr>
        <w:spacing w:line="360" w:lineRule="auto"/>
        <w:ind w:left="0" w:right="-929" w:firstLine="0"/>
        <w:jc w:val="both"/>
        <w:rPr>
          <w:rFonts w:ascii="Palatino Linotype" w:eastAsia="Palatino Linotype" w:hAnsi="Palatino Linotype" w:cs="Palatino Linotype"/>
          <w:b/>
          <w:bCs/>
          <w:color w:val="000000"/>
        </w:rPr>
      </w:pPr>
      <w:r>
        <w:rPr>
          <w:rFonts w:ascii="Palatino Linotype" w:eastAsia="Palatino Linotype" w:hAnsi="Palatino Linotype" w:cs="Palatino Linotype"/>
          <w:color w:val="000000"/>
        </w:rPr>
        <w:lastRenderedPageBreak/>
        <w:t xml:space="preserve">Seguidamente, mediante Acuerdo de fecha </w:t>
      </w:r>
      <w:r>
        <w:rPr>
          <w:rFonts w:ascii="Palatino Linotype" w:eastAsia="Palatino Linotype" w:hAnsi="Palatino Linotype" w:cs="Palatino Linotype"/>
          <w:b/>
          <w:bCs/>
          <w:color w:val="000000"/>
        </w:rPr>
        <w:t xml:space="preserve">doce de mayo del año en curso, </w:t>
      </w:r>
      <w:r>
        <w:rPr>
          <w:rFonts w:ascii="Palatino Linotype" w:eastAsia="Palatino Linotype" w:hAnsi="Palatino Linotype" w:cs="Palatino Linotype"/>
          <w:color w:val="000000"/>
        </w:rPr>
        <w:t xml:space="preserve">se amplió el </w:t>
      </w:r>
      <w:r>
        <w:rPr>
          <w:rFonts w:ascii="Palatino Linotype" w:eastAsia="Palatino Linotype" w:hAnsi="Palatino Linotype" w:cs="Palatino Linotype"/>
        </w:rPr>
        <w:t>término</w:t>
      </w:r>
      <w:r>
        <w:rPr>
          <w:rFonts w:ascii="Palatino Linotype" w:eastAsia="Palatino Linotype" w:hAnsi="Palatino Linotype" w:cs="Palatino Linotype"/>
          <w:color w:val="000000"/>
        </w:rPr>
        <w:t xml:space="preserve"> para resolver, consecutivamente se decretó el cierre de instrucción mediante Acuerdo de día </w:t>
      </w:r>
      <w:r>
        <w:rPr>
          <w:rFonts w:ascii="Palatino Linotype" w:eastAsia="Palatino Linotype" w:hAnsi="Palatino Linotype" w:cs="Palatino Linotype"/>
          <w:b/>
          <w:bCs/>
          <w:color w:val="000000"/>
        </w:rPr>
        <w:t>dieciocho del mismo mes y año</w:t>
      </w:r>
      <w:r>
        <w:rPr>
          <w:rFonts w:ascii="Palatino Linotype" w:eastAsia="Palatino Linotype" w:hAnsi="Palatino Linotype" w:cs="Palatino Linotype"/>
          <w:color w:val="000000"/>
        </w:rPr>
        <w:t xml:space="preserve">, se decretó el </w:t>
      </w:r>
      <w:r>
        <w:rPr>
          <w:rFonts w:ascii="Palatino Linotype" w:eastAsia="Palatino Linotype" w:hAnsi="Palatino Linotype" w:cs="Palatino Linotype"/>
          <w:b/>
          <w:bCs/>
          <w:color w:val="000000"/>
        </w:rPr>
        <w:t>cierre de instrucción</w:t>
      </w:r>
      <w:r>
        <w:rPr>
          <w:rFonts w:ascii="Palatino Linotype" w:eastAsia="Palatino Linotype" w:hAnsi="Palatino Linotype" w:cs="Palatino Linotype"/>
          <w:color w:val="000000"/>
        </w:rPr>
        <w:t>, mediante día por lo que no habiendo más que hacer constar, y</w:t>
      </w:r>
    </w:p>
    <w:p w:rsidR="005C4853" w:rsidRDefault="005C4853">
      <w:pPr>
        <w:pBdr>
          <w:top w:val="nil"/>
          <w:left w:val="nil"/>
          <w:bottom w:val="nil"/>
          <w:right w:val="nil"/>
          <w:between w:val="nil"/>
        </w:pBdr>
        <w:spacing w:line="360" w:lineRule="auto"/>
        <w:ind w:left="720" w:right="-929"/>
        <w:rPr>
          <w:rFonts w:ascii="Palatino Linotype" w:eastAsia="Palatino Linotype" w:hAnsi="Palatino Linotype" w:cs="Palatino Linotype"/>
          <w:b/>
          <w:bCs/>
          <w:color w:val="000000"/>
        </w:rPr>
      </w:pPr>
    </w:p>
    <w:p w:rsidR="005C4853" w:rsidRDefault="00E30EFA">
      <w:pPr>
        <w:pBdr>
          <w:top w:val="nil"/>
          <w:left w:val="nil"/>
          <w:bottom w:val="nil"/>
          <w:right w:val="nil"/>
          <w:between w:val="nil"/>
        </w:pBdr>
        <w:spacing w:line="360" w:lineRule="auto"/>
        <w:ind w:right="-929"/>
        <w:jc w:val="center"/>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C O N S I D E R A N D O</w:t>
      </w:r>
    </w:p>
    <w:p w:rsidR="005C4853" w:rsidRDefault="005C4853">
      <w:pPr>
        <w:pBdr>
          <w:top w:val="nil"/>
          <w:left w:val="nil"/>
          <w:bottom w:val="nil"/>
          <w:right w:val="nil"/>
          <w:between w:val="nil"/>
        </w:pBdr>
        <w:spacing w:line="360" w:lineRule="auto"/>
        <w:ind w:right="-929"/>
        <w:jc w:val="center"/>
        <w:rPr>
          <w:rFonts w:ascii="Palatino Linotype" w:eastAsia="Palatino Linotype" w:hAnsi="Palatino Linotype" w:cs="Palatino Linotype"/>
          <w:b/>
          <w:bCs/>
          <w:color w:val="000000"/>
        </w:rPr>
      </w:pPr>
    </w:p>
    <w:p w:rsidR="005C4853" w:rsidRDefault="00E30EFA">
      <w:pPr>
        <w:pStyle w:val="Ttulo2"/>
        <w:spacing w:before="0" w:line="360" w:lineRule="auto"/>
        <w:ind w:right="-929"/>
        <w:rPr>
          <w:rFonts w:ascii="Palatino Linotype" w:eastAsia="Palatino Linotype" w:hAnsi="Palatino Linotype" w:cs="Palatino Linotype"/>
          <w:b/>
          <w:bCs/>
          <w:color w:val="000000"/>
          <w:sz w:val="24"/>
          <w:szCs w:val="24"/>
        </w:rPr>
      </w:pPr>
      <w:bookmarkStart w:id="4" w:name="_heading=h.3znysh7" w:colFirst="0" w:colLast="0"/>
      <w:bookmarkEnd w:id="4"/>
      <w:r>
        <w:rPr>
          <w:rFonts w:ascii="Palatino Linotype" w:eastAsia="Palatino Linotype" w:hAnsi="Palatino Linotype" w:cs="Palatino Linotype"/>
          <w:b/>
          <w:bCs/>
          <w:color w:val="000000"/>
          <w:sz w:val="24"/>
          <w:szCs w:val="24"/>
        </w:rPr>
        <w:t>PRIMERO. Competencia</w:t>
      </w:r>
    </w:p>
    <w:p w:rsidR="005C4853" w:rsidRDefault="00E30EFA">
      <w:pPr>
        <w:numPr>
          <w:ilvl w:val="0"/>
          <w:numId w:val="2"/>
        </w:numPr>
        <w:pBdr>
          <w:top w:val="nil"/>
          <w:left w:val="nil"/>
          <w:bottom w:val="nil"/>
          <w:right w:val="nil"/>
          <w:between w:val="nil"/>
        </w:pBdr>
        <w:spacing w:line="360" w:lineRule="auto"/>
        <w:ind w:left="0" w:right="-929"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Este Instituto de Transparencia, Acceso a la Información Pública y Protección de Datos </w:t>
      </w:r>
      <w:r>
        <w:rPr>
          <w:rFonts w:ascii="Palatino Linotype" w:eastAsia="Palatino Linotype" w:hAnsi="Palatino Linotype" w:cs="Palatino Linotype"/>
        </w:rPr>
        <w:t>Personales</w:t>
      </w:r>
      <w:r>
        <w:rPr>
          <w:rFonts w:ascii="Palatino Linotype" w:eastAsia="Palatino Linotype" w:hAnsi="Palatino Linotype" w:cs="Palatino Linotype"/>
          <w:color w:val="000000"/>
        </w:rPr>
        <w:t xml:space="preserve"> del Estado de México y Municipios es competente para conocer y </w:t>
      </w:r>
      <w:r>
        <w:rPr>
          <w:rFonts w:ascii="Palatino Linotype" w:eastAsia="Palatino Linotype" w:hAnsi="Palatino Linotype" w:cs="Palatino Linotype"/>
        </w:rPr>
        <w:t>resolver</w:t>
      </w:r>
      <w:r>
        <w:rPr>
          <w:rFonts w:ascii="Palatino Linotype" w:eastAsia="Palatino Linotype" w:hAnsi="Palatino Linotype" w:cs="Palatino Linotype"/>
          <w:color w:val="000000"/>
        </w:rPr>
        <w:t xml:space="preserve"> el presente Recurso de Revisión, conforme a lo dispuesto en los artículos 6, Apartado A de la Constitución Política de los Estados Unidos Mexicanos; 5, párrafos trigésimo noveno, cuadragésimo y cuadragésimo primero,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rsidR="005C4853" w:rsidRDefault="005C4853">
      <w:pPr>
        <w:pBdr>
          <w:top w:val="nil"/>
          <w:left w:val="nil"/>
          <w:bottom w:val="nil"/>
          <w:right w:val="nil"/>
          <w:between w:val="nil"/>
        </w:pBdr>
        <w:spacing w:line="360" w:lineRule="auto"/>
        <w:ind w:right="-929"/>
        <w:jc w:val="both"/>
        <w:rPr>
          <w:rFonts w:ascii="Palatino Linotype" w:eastAsia="Palatino Linotype" w:hAnsi="Palatino Linotype" w:cs="Palatino Linotype"/>
          <w:color w:val="000000"/>
        </w:rPr>
      </w:pPr>
    </w:p>
    <w:p w:rsidR="005C4853" w:rsidRDefault="00E30EFA">
      <w:pPr>
        <w:pStyle w:val="Ttulo2"/>
        <w:spacing w:before="0" w:line="360" w:lineRule="auto"/>
        <w:ind w:right="-929"/>
        <w:rPr>
          <w:rFonts w:ascii="Palatino Linotype" w:eastAsia="Palatino Linotype" w:hAnsi="Palatino Linotype" w:cs="Palatino Linotype"/>
          <w:b/>
          <w:bCs/>
          <w:color w:val="000000"/>
          <w:sz w:val="24"/>
          <w:szCs w:val="24"/>
        </w:rPr>
      </w:pPr>
      <w:bookmarkStart w:id="5" w:name="_heading=h.2et92p0" w:colFirst="0" w:colLast="0"/>
      <w:bookmarkEnd w:id="5"/>
      <w:r>
        <w:rPr>
          <w:rFonts w:ascii="Palatino Linotype" w:eastAsia="Palatino Linotype" w:hAnsi="Palatino Linotype" w:cs="Palatino Linotype"/>
          <w:b/>
          <w:bCs/>
          <w:color w:val="000000"/>
          <w:sz w:val="24"/>
          <w:szCs w:val="24"/>
        </w:rPr>
        <w:t>SEGUNDO. Procedencia.</w:t>
      </w:r>
    </w:p>
    <w:p w:rsidR="005C4853" w:rsidRDefault="00E30EFA">
      <w:pPr>
        <w:numPr>
          <w:ilvl w:val="0"/>
          <w:numId w:val="2"/>
        </w:numPr>
        <w:pBdr>
          <w:top w:val="nil"/>
          <w:left w:val="nil"/>
          <w:bottom w:val="nil"/>
          <w:right w:val="nil"/>
          <w:between w:val="nil"/>
        </w:pBdr>
        <w:spacing w:line="360" w:lineRule="auto"/>
        <w:ind w:left="0" w:right="-929"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Este Órgano Garante considera que el medio de impugnación reúne los requisitos de </w:t>
      </w:r>
      <w:r>
        <w:rPr>
          <w:rFonts w:ascii="Palatino Linotype" w:eastAsia="Palatino Linotype" w:hAnsi="Palatino Linotype" w:cs="Palatino Linotype"/>
          <w:color w:val="000000"/>
        </w:rPr>
        <w:t>procedencia</w:t>
      </w:r>
      <w:r>
        <w:rPr>
          <w:rFonts w:ascii="Palatino Linotype" w:eastAsia="Palatino Linotype" w:hAnsi="Palatino Linotype" w:cs="Palatino Linotype"/>
        </w:rPr>
        <w:t xml:space="preserve"> </w:t>
      </w:r>
      <w:r>
        <w:rPr>
          <w:rFonts w:ascii="Palatino Linotype" w:eastAsia="Palatino Linotype" w:hAnsi="Palatino Linotype" w:cs="Palatino Linotype"/>
          <w:color w:val="000000"/>
        </w:rPr>
        <w:t xml:space="preserve">toda vez que: el recurso fue presentado dentro del plazo establecido en el artículo 178 de la Ley de Transparencia y Acceso a la Información Pública del Estado de </w:t>
      </w:r>
      <w:r>
        <w:rPr>
          <w:rFonts w:ascii="Palatino Linotype" w:eastAsia="Palatino Linotype" w:hAnsi="Palatino Linotype" w:cs="Palatino Linotype"/>
          <w:color w:val="000000"/>
        </w:rPr>
        <w:lastRenderedPageBreak/>
        <w:t>México y Municipios; asimismo no se tiene conocimiento de que se encuentre en trámite algún medio de defensa presentado por el Recurrente ante otra instancia.</w:t>
      </w:r>
    </w:p>
    <w:p w:rsidR="005C4853" w:rsidRDefault="005C4853">
      <w:pPr>
        <w:pBdr>
          <w:top w:val="nil"/>
          <w:left w:val="nil"/>
          <w:bottom w:val="nil"/>
          <w:right w:val="nil"/>
          <w:between w:val="nil"/>
        </w:pBdr>
        <w:spacing w:line="360" w:lineRule="auto"/>
        <w:ind w:right="-929"/>
        <w:jc w:val="both"/>
        <w:rPr>
          <w:rFonts w:ascii="Palatino Linotype" w:eastAsia="Palatino Linotype" w:hAnsi="Palatino Linotype" w:cs="Palatino Linotype"/>
        </w:rPr>
      </w:pPr>
    </w:p>
    <w:p w:rsidR="005C4853" w:rsidRDefault="00E30EFA">
      <w:pPr>
        <w:numPr>
          <w:ilvl w:val="0"/>
          <w:numId w:val="2"/>
        </w:numPr>
        <w:pBdr>
          <w:top w:val="nil"/>
          <w:left w:val="nil"/>
          <w:bottom w:val="nil"/>
          <w:right w:val="nil"/>
          <w:between w:val="nil"/>
        </w:pBdr>
        <w:spacing w:line="360" w:lineRule="auto"/>
        <w:ind w:left="0" w:right="-929" w:firstLine="0"/>
        <w:jc w:val="both"/>
        <w:rPr>
          <w:rFonts w:ascii="Palatino Linotype" w:eastAsia="Palatino Linotype" w:hAnsi="Palatino Linotype" w:cs="Palatino Linotype"/>
        </w:rPr>
      </w:pPr>
      <w:r>
        <w:rPr>
          <w:rFonts w:ascii="Palatino Linotype" w:eastAsia="Palatino Linotype" w:hAnsi="Palatino Linotype" w:cs="Palatino Linotype"/>
        </w:rPr>
        <w:t>Por otro lado, es de suma importancia señalar que la parte recurrente no proporciona un nombre completo como se advierte en el detalle de seguimiento del SAIMEX, no obstante lo anterior, no proporcionar el nombre completo no es motivo para archivar la solicitud de acceso a la información pública como concluida, conforme a lo previsto en el artículo 155, penúltimo párrafo de la Ley de Transparencia y Acceso a la Información Pública del Estado de México y Municipios que establece lo siguiente:</w:t>
      </w:r>
    </w:p>
    <w:p w:rsidR="005C4853" w:rsidRDefault="00E30EFA">
      <w:pPr>
        <w:spacing w:line="360" w:lineRule="auto"/>
        <w:ind w:left="567" w:right="-929"/>
        <w:jc w:val="both"/>
        <w:rPr>
          <w:rFonts w:ascii="Palatino Linotype" w:eastAsia="Palatino Linotype" w:hAnsi="Palatino Linotype" w:cs="Palatino Linotype"/>
          <w:i/>
          <w:iCs/>
        </w:rPr>
      </w:pPr>
      <w:r>
        <w:rPr>
          <w:rFonts w:ascii="Palatino Linotype" w:eastAsia="Palatino Linotype" w:hAnsi="Palatino Linotype" w:cs="Palatino Linotype"/>
          <w:i/>
          <w:iCs/>
        </w:rPr>
        <w:t>"</w:t>
      </w:r>
      <w:r>
        <w:rPr>
          <w:rFonts w:ascii="Palatino Linotype" w:eastAsia="Palatino Linotype" w:hAnsi="Palatino Linotype" w:cs="Palatino Linotype"/>
          <w:b/>
          <w:bCs/>
          <w:i/>
          <w:iCs/>
        </w:rPr>
        <w:t>Las solicitudes anónimas</w:t>
      </w:r>
      <w:r>
        <w:rPr>
          <w:rFonts w:ascii="Palatino Linotype" w:eastAsia="Palatino Linotype" w:hAnsi="Palatino Linotype" w:cs="Palatino Linotype"/>
          <w:i/>
          <w:iCs/>
        </w:rPr>
        <w:t xml:space="preserve">, con nombre incompleto o seudónimo </w:t>
      </w:r>
      <w:r>
        <w:rPr>
          <w:rFonts w:ascii="Palatino Linotype" w:eastAsia="Palatino Linotype" w:hAnsi="Palatino Linotype" w:cs="Palatino Linotype"/>
          <w:b/>
          <w:bCs/>
          <w:i/>
          <w:iCs/>
        </w:rPr>
        <w:t>serán procedentes para su trámite por parte del sujeto obligado ante quien se presente</w:t>
      </w:r>
      <w:r>
        <w:rPr>
          <w:rFonts w:ascii="Palatino Linotype" w:eastAsia="Palatino Linotype" w:hAnsi="Palatino Linotype" w:cs="Palatino Linotype"/>
          <w:i/>
          <w:iCs/>
        </w:rPr>
        <w:t>. No podrá requerirse información adicional con motivo del nombre proporcionado por el solicitante."</w:t>
      </w:r>
    </w:p>
    <w:p w:rsidR="005C4853" w:rsidRDefault="005C4853">
      <w:pPr>
        <w:pBdr>
          <w:top w:val="nil"/>
          <w:left w:val="nil"/>
          <w:bottom w:val="nil"/>
          <w:right w:val="nil"/>
          <w:between w:val="nil"/>
        </w:pBdr>
        <w:spacing w:line="360" w:lineRule="auto"/>
        <w:ind w:right="-929"/>
        <w:jc w:val="both"/>
        <w:rPr>
          <w:rFonts w:ascii="Palatino Linotype" w:eastAsia="Palatino Linotype" w:hAnsi="Palatino Linotype" w:cs="Palatino Linotype"/>
        </w:rPr>
      </w:pPr>
    </w:p>
    <w:p w:rsidR="005C4853" w:rsidRDefault="00E30EFA">
      <w:pPr>
        <w:numPr>
          <w:ilvl w:val="0"/>
          <w:numId w:val="2"/>
        </w:numPr>
        <w:pBdr>
          <w:top w:val="nil"/>
          <w:left w:val="nil"/>
          <w:bottom w:val="nil"/>
          <w:right w:val="nil"/>
          <w:between w:val="nil"/>
        </w:pBdr>
        <w:spacing w:line="360" w:lineRule="auto"/>
        <w:ind w:left="0" w:right="-929" w:firstLine="0"/>
        <w:jc w:val="both"/>
        <w:rPr>
          <w:rFonts w:ascii="Palatino Linotype" w:eastAsia="Palatino Linotype" w:hAnsi="Palatino Linotype" w:cs="Palatino Linotype"/>
        </w:rPr>
      </w:pPr>
      <w:r>
        <w:rPr>
          <w:rFonts w:ascii="Palatino Linotype" w:eastAsia="Palatino Linotype" w:hAnsi="Palatino Linotype" w:cs="Palatino Linotype"/>
        </w:rPr>
        <w:t>Finalmente, el escrito contiene las formalidades previstas por el artículo 180 último párrafo de la citada Ley de la Materia, por lo que es procedente que este Instituto conozca y resuelva el presente Recurso de Revisión.</w:t>
      </w:r>
    </w:p>
    <w:p w:rsidR="005C4853" w:rsidRDefault="005C4853">
      <w:pPr>
        <w:pBdr>
          <w:top w:val="nil"/>
          <w:left w:val="nil"/>
          <w:bottom w:val="nil"/>
          <w:right w:val="nil"/>
          <w:between w:val="nil"/>
        </w:pBdr>
        <w:spacing w:line="360" w:lineRule="auto"/>
        <w:ind w:right="-929"/>
        <w:jc w:val="both"/>
        <w:rPr>
          <w:rFonts w:ascii="Palatino Linotype" w:eastAsia="Palatino Linotype" w:hAnsi="Palatino Linotype" w:cs="Palatino Linotype"/>
        </w:rPr>
      </w:pPr>
    </w:p>
    <w:p w:rsidR="005C4853" w:rsidRDefault="00E30EFA">
      <w:pPr>
        <w:pStyle w:val="Ttulo2"/>
        <w:tabs>
          <w:tab w:val="left" w:pos="284"/>
          <w:tab w:val="left" w:pos="426"/>
        </w:tabs>
        <w:spacing w:before="0" w:line="360" w:lineRule="auto"/>
        <w:ind w:right="-929"/>
        <w:rPr>
          <w:rFonts w:ascii="Palatino Linotype" w:eastAsia="Palatino Linotype" w:hAnsi="Palatino Linotype" w:cs="Palatino Linotype"/>
          <w:b/>
          <w:bCs/>
          <w:color w:val="000000"/>
          <w:sz w:val="24"/>
          <w:szCs w:val="24"/>
        </w:rPr>
      </w:pPr>
      <w:bookmarkStart w:id="6" w:name="_heading=h.tyjcwt" w:colFirst="0" w:colLast="0"/>
      <w:bookmarkEnd w:id="6"/>
      <w:r>
        <w:rPr>
          <w:rFonts w:ascii="Palatino Linotype" w:eastAsia="Palatino Linotype" w:hAnsi="Palatino Linotype" w:cs="Palatino Linotype"/>
          <w:b/>
          <w:bCs/>
          <w:color w:val="000000"/>
          <w:sz w:val="24"/>
          <w:szCs w:val="24"/>
        </w:rPr>
        <w:t xml:space="preserve">TERCERO. Del planteamiento de la </w:t>
      </w:r>
      <w:r>
        <w:rPr>
          <w:rFonts w:ascii="Palatino Linotype" w:eastAsia="Palatino Linotype" w:hAnsi="Palatino Linotype" w:cs="Palatino Linotype"/>
          <w:b/>
          <w:bCs/>
          <w:i/>
          <w:iCs/>
          <w:color w:val="000000"/>
          <w:sz w:val="24"/>
          <w:szCs w:val="24"/>
        </w:rPr>
        <w:t>Litis.</w:t>
      </w:r>
    </w:p>
    <w:p w:rsidR="005C4853" w:rsidRDefault="00E30EFA">
      <w:pPr>
        <w:numPr>
          <w:ilvl w:val="0"/>
          <w:numId w:val="2"/>
        </w:numPr>
        <w:pBdr>
          <w:top w:val="nil"/>
          <w:left w:val="nil"/>
          <w:bottom w:val="nil"/>
          <w:right w:val="nil"/>
          <w:between w:val="nil"/>
        </w:pBdr>
        <w:spacing w:line="360" w:lineRule="auto"/>
        <w:ind w:left="0" w:right="-929" w:firstLine="0"/>
        <w:jc w:val="both"/>
        <w:rPr>
          <w:rFonts w:ascii="Palatino Linotype" w:eastAsia="Palatino Linotype" w:hAnsi="Palatino Linotype" w:cs="Palatino Linotype"/>
        </w:rPr>
      </w:pPr>
      <w:r>
        <w:rPr>
          <w:rFonts w:ascii="Palatino Linotype" w:eastAsia="Palatino Linotype" w:hAnsi="Palatino Linotype" w:cs="Palatino Linotype"/>
        </w:rPr>
        <w:t>Se solicitó tener acceso, a la información que a continuación se simplifica:</w:t>
      </w:r>
    </w:p>
    <w:p w:rsidR="005C4853" w:rsidRDefault="00E30EFA">
      <w:pPr>
        <w:numPr>
          <w:ilvl w:val="0"/>
          <w:numId w:val="4"/>
        </w:numPr>
        <w:pBdr>
          <w:top w:val="nil"/>
          <w:left w:val="nil"/>
          <w:bottom w:val="nil"/>
          <w:right w:val="nil"/>
          <w:between w:val="nil"/>
        </w:pBdr>
        <w:spacing w:line="360" w:lineRule="auto"/>
        <w:ind w:right="-929"/>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Tipo de ingresos que cuenta el Ayuntamiento por las actividades económicas que se ejerce; y</w:t>
      </w:r>
    </w:p>
    <w:p w:rsidR="005C4853" w:rsidRDefault="00E30EFA">
      <w:pPr>
        <w:numPr>
          <w:ilvl w:val="0"/>
          <w:numId w:val="4"/>
        </w:numPr>
        <w:pBdr>
          <w:top w:val="nil"/>
          <w:left w:val="nil"/>
          <w:bottom w:val="nil"/>
          <w:right w:val="nil"/>
          <w:between w:val="nil"/>
        </w:pBdr>
        <w:spacing w:line="360" w:lineRule="auto"/>
        <w:ind w:right="-929"/>
        <w:jc w:val="both"/>
        <w:rPr>
          <w:rFonts w:ascii="Palatino Linotype" w:eastAsia="Palatino Linotype" w:hAnsi="Palatino Linotype" w:cs="Palatino Linotype"/>
          <w:color w:val="000000"/>
        </w:rPr>
      </w:pPr>
      <w:r>
        <w:rPr>
          <w:rFonts w:ascii="Palatino Linotype" w:eastAsia="Palatino Linotype" w:hAnsi="Palatino Linotype" w:cs="Palatino Linotype"/>
        </w:rPr>
        <w:t>Cómo</w:t>
      </w:r>
      <w:r>
        <w:rPr>
          <w:rFonts w:ascii="Palatino Linotype" w:eastAsia="Palatino Linotype" w:hAnsi="Palatino Linotype" w:cs="Palatino Linotype"/>
          <w:color w:val="000000"/>
        </w:rPr>
        <w:t xml:space="preserve"> se implementan los ingresos recibidos, por concepto.</w:t>
      </w:r>
    </w:p>
    <w:p w:rsidR="005C4853" w:rsidRDefault="005C4853">
      <w:pPr>
        <w:pBdr>
          <w:top w:val="nil"/>
          <w:left w:val="nil"/>
          <w:bottom w:val="nil"/>
          <w:right w:val="nil"/>
          <w:between w:val="nil"/>
        </w:pBdr>
        <w:spacing w:line="360" w:lineRule="auto"/>
        <w:ind w:right="-929"/>
        <w:jc w:val="both"/>
        <w:rPr>
          <w:rFonts w:ascii="Palatino Linotype" w:eastAsia="Palatino Linotype" w:hAnsi="Palatino Linotype" w:cs="Palatino Linotype"/>
        </w:rPr>
      </w:pPr>
    </w:p>
    <w:p w:rsidR="005C4853" w:rsidRDefault="00E30EFA">
      <w:pPr>
        <w:numPr>
          <w:ilvl w:val="0"/>
          <w:numId w:val="2"/>
        </w:numPr>
        <w:pBdr>
          <w:top w:val="nil"/>
          <w:left w:val="nil"/>
          <w:bottom w:val="nil"/>
          <w:right w:val="nil"/>
          <w:between w:val="nil"/>
        </w:pBdr>
        <w:spacing w:line="360" w:lineRule="auto"/>
        <w:ind w:left="0" w:right="-929" w:firstLine="0"/>
        <w:jc w:val="both"/>
        <w:rPr>
          <w:rFonts w:ascii="Palatino Linotype" w:eastAsia="Palatino Linotype" w:hAnsi="Palatino Linotype" w:cs="Palatino Linotype"/>
        </w:rPr>
      </w:pPr>
      <w:r>
        <w:rPr>
          <w:rFonts w:ascii="Palatino Linotype" w:eastAsia="Palatino Linotype" w:hAnsi="Palatino Linotype" w:cs="Palatino Linotype"/>
        </w:rPr>
        <w:lastRenderedPageBreak/>
        <w:t>Inconforme con la respuesta, el solicitante interpuso recurso de revisión de manera general en contra de la entrega de información incompleta</w:t>
      </w:r>
      <w:r>
        <w:rPr>
          <w:rFonts w:ascii="Palatino Linotype" w:eastAsia="Palatino Linotype" w:hAnsi="Palatino Linotype" w:cs="Palatino Linotype"/>
          <w:color w:val="000000"/>
        </w:rPr>
        <w:t xml:space="preserve">. </w:t>
      </w:r>
      <w:r>
        <w:rPr>
          <w:rFonts w:ascii="Palatino Linotype" w:eastAsia="Palatino Linotype" w:hAnsi="Palatino Linotype" w:cs="Palatino Linotype"/>
        </w:rPr>
        <w:t xml:space="preserve">En dichas condiciones, la controversia a resolver en el presente proveído, corresponde a determinar si se actualiza la causal de procedencia prevista en el artículo 179, fracción V, de la Ley de Transparencia y Acceso a la Información Pública del Estado de México y Municipios; fracción que determina la hipótesis relativa a la entrega de información incompleta; contexto del cual se dolió el Recurrente al momento de interponer su inconformidad. De modo tal que el presente recurso de revisión se abocará en determinar si el Sujeto Obligado con su respuesta ciertamente actualiza la causal de procedencia señalada. </w:t>
      </w:r>
    </w:p>
    <w:p w:rsidR="005C4853" w:rsidRDefault="005C4853">
      <w:pPr>
        <w:pBdr>
          <w:top w:val="nil"/>
          <w:left w:val="nil"/>
          <w:bottom w:val="nil"/>
          <w:right w:val="nil"/>
          <w:between w:val="nil"/>
        </w:pBdr>
        <w:spacing w:line="360" w:lineRule="auto"/>
        <w:ind w:right="-929"/>
        <w:jc w:val="both"/>
        <w:rPr>
          <w:rFonts w:ascii="Palatino Linotype" w:eastAsia="Palatino Linotype" w:hAnsi="Palatino Linotype" w:cs="Palatino Linotype"/>
        </w:rPr>
      </w:pPr>
    </w:p>
    <w:p w:rsidR="005C4853" w:rsidRDefault="00E30EFA">
      <w:pPr>
        <w:spacing w:line="360" w:lineRule="auto"/>
        <w:ind w:right="-929"/>
        <w:rPr>
          <w:rFonts w:ascii="Palatino Linotype" w:eastAsia="Palatino Linotype" w:hAnsi="Palatino Linotype" w:cs="Palatino Linotype"/>
          <w:b/>
          <w:bCs/>
        </w:rPr>
      </w:pPr>
      <w:r>
        <w:rPr>
          <w:rFonts w:ascii="Palatino Linotype" w:eastAsia="Palatino Linotype" w:hAnsi="Palatino Linotype" w:cs="Palatino Linotype"/>
          <w:b/>
          <w:bCs/>
        </w:rPr>
        <w:t>CUARTO. Del estudio y resolución del asunto.</w:t>
      </w:r>
    </w:p>
    <w:p w:rsidR="005C4853" w:rsidRDefault="00E30EFA">
      <w:pPr>
        <w:numPr>
          <w:ilvl w:val="0"/>
          <w:numId w:val="2"/>
        </w:numPr>
        <w:pBdr>
          <w:top w:val="nil"/>
          <w:left w:val="nil"/>
          <w:bottom w:val="nil"/>
          <w:right w:val="nil"/>
          <w:between w:val="nil"/>
        </w:pBdr>
        <w:spacing w:line="360" w:lineRule="auto"/>
        <w:ind w:left="0" w:right="-929" w:firstLine="0"/>
        <w:jc w:val="both"/>
        <w:rPr>
          <w:rFonts w:ascii="Palatino Linotype" w:eastAsia="Palatino Linotype" w:hAnsi="Palatino Linotype" w:cs="Palatino Linotype"/>
        </w:rPr>
      </w:pPr>
      <w:r>
        <w:rPr>
          <w:rFonts w:ascii="Palatino Linotype" w:eastAsia="Palatino Linotype" w:hAnsi="Palatino Linotype" w:cs="Palatino Linotype"/>
        </w:rPr>
        <w:t>Determinado lo anterior; revisaremos la atención otorgada por el Sujeto Obligado a la solicitud que dio origen a este recurso, considerando imprescindible establecer lo que la regulación determina, por ello, en primer lugar, vamos a revisar lo que mandata nuestra Ley de Transparencia local, en su artículo 12, el cual establece que quienes generen, recopilen, administren, manejen, procesen, archiven o conserven información pública serán responsables de la misma, del mismo modo, el artículo 18, establece que los Sujetos Obligados deberán documentar todo acto que derive del ejercicio de sus facultades, competencias o funciones desde su origen la eventual publicidad y reutilización de la información que generen.</w:t>
      </w:r>
    </w:p>
    <w:p w:rsidR="005C4853" w:rsidRDefault="005C4853">
      <w:pPr>
        <w:pBdr>
          <w:top w:val="nil"/>
          <w:left w:val="nil"/>
          <w:bottom w:val="nil"/>
          <w:right w:val="nil"/>
          <w:between w:val="nil"/>
        </w:pBdr>
        <w:spacing w:line="360" w:lineRule="auto"/>
        <w:ind w:right="-929"/>
        <w:jc w:val="both"/>
        <w:rPr>
          <w:rFonts w:ascii="Palatino Linotype" w:eastAsia="Palatino Linotype" w:hAnsi="Palatino Linotype" w:cs="Palatino Linotype"/>
          <w:color w:val="000000"/>
        </w:rPr>
      </w:pPr>
    </w:p>
    <w:p w:rsidR="005C4853" w:rsidRDefault="00E30EFA">
      <w:pPr>
        <w:numPr>
          <w:ilvl w:val="0"/>
          <w:numId w:val="2"/>
        </w:numPr>
        <w:pBdr>
          <w:top w:val="nil"/>
          <w:left w:val="nil"/>
          <w:bottom w:val="nil"/>
          <w:right w:val="nil"/>
          <w:between w:val="nil"/>
        </w:pBdr>
        <w:spacing w:line="360" w:lineRule="auto"/>
        <w:ind w:left="0" w:right="-929"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Asimismo, es relevante mencionar que el artículo 19, del ordenamiento local de la materia señala que se presume que la información debe existir si se refiere a las facultades, competencias y funciones que los ordenamientos jurídicos aplicables otorgan a los sujetos </w:t>
      </w:r>
      <w:r>
        <w:rPr>
          <w:rFonts w:ascii="Palatino Linotype" w:eastAsia="Palatino Linotype" w:hAnsi="Palatino Linotype" w:cs="Palatino Linotype"/>
        </w:rPr>
        <w:lastRenderedPageBreak/>
        <w:t>obligados y en caso de que dichas facultades no se hayan ejercido, se deberá motivar la respuesta en función de las causas que motivaron tal circunstancia.</w:t>
      </w:r>
    </w:p>
    <w:p w:rsidR="005C4853" w:rsidRDefault="005C4853">
      <w:pPr>
        <w:pBdr>
          <w:top w:val="nil"/>
          <w:left w:val="nil"/>
          <w:bottom w:val="nil"/>
          <w:right w:val="nil"/>
          <w:between w:val="nil"/>
        </w:pBdr>
        <w:spacing w:line="360" w:lineRule="auto"/>
        <w:ind w:left="720" w:right="-929"/>
        <w:rPr>
          <w:rFonts w:ascii="Palatino Linotype" w:eastAsia="Palatino Linotype" w:hAnsi="Palatino Linotype" w:cs="Palatino Linotype"/>
          <w:color w:val="000000"/>
        </w:rPr>
      </w:pPr>
    </w:p>
    <w:p w:rsidR="005C4853" w:rsidRDefault="00E30EFA">
      <w:pPr>
        <w:numPr>
          <w:ilvl w:val="0"/>
          <w:numId w:val="2"/>
        </w:numPr>
        <w:pBdr>
          <w:top w:val="nil"/>
          <w:left w:val="nil"/>
          <w:bottom w:val="nil"/>
          <w:right w:val="nil"/>
          <w:between w:val="nil"/>
        </w:pBdr>
        <w:spacing w:line="360" w:lineRule="auto"/>
        <w:ind w:left="0" w:right="-929" w:firstLine="0"/>
        <w:jc w:val="both"/>
        <w:rPr>
          <w:rFonts w:ascii="Palatino Linotype" w:eastAsia="Palatino Linotype" w:hAnsi="Palatino Linotype" w:cs="Palatino Linotype"/>
        </w:rPr>
      </w:pPr>
      <w:r>
        <w:rPr>
          <w:rFonts w:ascii="Palatino Linotype" w:eastAsia="Palatino Linotype" w:hAnsi="Palatino Linotype" w:cs="Palatino Linotype"/>
        </w:rPr>
        <w:t>Los artículos antes citados, refieren que el derecho de acceso a la información pública es un derecho humano que abarca el solicitar, investigar, difundir y buscar información que se encuentre en los archivos de los sujetos obligados, ya sea porque estos las generaron o la poseen en atención a sus funciones, por lo que se le considera un bien común de dominio público, toda vez que al tratarse de acciones ejercidas por un servidor público, este lo hace en representación del Estado, por lo que le pertenece a todos y debe ser accesible a cualquier persona, ya sea que los particulares la puedan consultar por encontrarse publicada en cualquier medio de difusión o porque la requieren a través de una solicitud de acceso a la información, siempre y cuando no encuadre en una de las excepciones contempladas por la ley.</w:t>
      </w:r>
    </w:p>
    <w:p w:rsidR="005C4853" w:rsidRDefault="005C4853">
      <w:pPr>
        <w:spacing w:line="360" w:lineRule="auto"/>
        <w:ind w:right="-929"/>
        <w:rPr>
          <w:rFonts w:ascii="Palatino Linotype" w:eastAsia="Palatino Linotype" w:hAnsi="Palatino Linotype" w:cs="Palatino Linotype"/>
        </w:rPr>
      </w:pPr>
    </w:p>
    <w:p w:rsidR="005C4853" w:rsidRDefault="00E30EFA">
      <w:pPr>
        <w:numPr>
          <w:ilvl w:val="0"/>
          <w:numId w:val="2"/>
        </w:numPr>
        <w:pBdr>
          <w:top w:val="nil"/>
          <w:left w:val="nil"/>
          <w:bottom w:val="nil"/>
          <w:right w:val="nil"/>
          <w:between w:val="nil"/>
        </w:pBdr>
        <w:spacing w:line="360" w:lineRule="auto"/>
        <w:ind w:left="0" w:right="-929" w:firstLine="0"/>
        <w:jc w:val="both"/>
        <w:rPr>
          <w:rFonts w:ascii="Palatino Linotype" w:eastAsia="Palatino Linotype" w:hAnsi="Palatino Linotype" w:cs="Palatino Linotype"/>
        </w:rPr>
      </w:pPr>
      <w:bookmarkStart w:id="7" w:name="_heading=h.7ng5sqxcq9gd" w:colFirst="0" w:colLast="0"/>
      <w:bookmarkEnd w:id="7"/>
      <w:r>
        <w:rPr>
          <w:rFonts w:ascii="Palatino Linotype" w:eastAsia="Palatino Linotype" w:hAnsi="Palatino Linotype" w:cs="Palatino Linotype"/>
        </w:rPr>
        <w:t xml:space="preserve">Dicho lo anterior, se procede al análisis de los puntos que integraron la solicitud de información a efecto de determinar aquellos que fueron no colmados o en su caso atendidos. </w:t>
      </w:r>
    </w:p>
    <w:p w:rsidR="005C4853" w:rsidRDefault="005C4853">
      <w:pPr>
        <w:pBdr>
          <w:top w:val="nil"/>
          <w:left w:val="nil"/>
          <w:bottom w:val="nil"/>
          <w:right w:val="nil"/>
          <w:between w:val="nil"/>
        </w:pBdr>
        <w:spacing w:line="360" w:lineRule="auto"/>
        <w:ind w:left="720" w:right="-929"/>
        <w:rPr>
          <w:rFonts w:ascii="Palatino Linotype" w:eastAsia="Palatino Linotype" w:hAnsi="Palatino Linotype" w:cs="Palatino Linotype"/>
          <w:color w:val="000000"/>
        </w:rPr>
      </w:pPr>
    </w:p>
    <w:p w:rsidR="005C4853" w:rsidRPr="008266A0" w:rsidRDefault="00E30EFA">
      <w:pPr>
        <w:numPr>
          <w:ilvl w:val="0"/>
          <w:numId w:val="2"/>
        </w:numPr>
        <w:pBdr>
          <w:top w:val="nil"/>
          <w:left w:val="nil"/>
          <w:bottom w:val="nil"/>
          <w:right w:val="nil"/>
          <w:between w:val="nil"/>
        </w:pBdr>
        <w:spacing w:line="360" w:lineRule="auto"/>
        <w:ind w:left="0" w:right="-929" w:firstLine="0"/>
        <w:jc w:val="both"/>
        <w:rPr>
          <w:rFonts w:ascii="Palatino Linotype" w:eastAsia="Palatino Linotype" w:hAnsi="Palatino Linotype" w:cs="Palatino Linotype"/>
        </w:rPr>
      </w:pPr>
      <w:r w:rsidRPr="008266A0">
        <w:rPr>
          <w:rFonts w:ascii="Palatino Linotype" w:eastAsia="Palatino Linotype" w:hAnsi="Palatino Linotype" w:cs="Palatino Linotype"/>
        </w:rPr>
        <w:t xml:space="preserve">En ese contexto conviene inicialmente traer a contexto la documental consistente en el Informe General de Recaudación, generado por la Tesorería Municipal de un Ayuntamiento, ya que al corresponder al documento administrativo y financiero que muestra cuánto dinero ha recaudado el Municipio en un periodo determinado, así como el origen de esos ingresos, se estima que ciertamente corresponder aquel documento en el que de manera enunciativa más no limitativa se puede colmar el rubro tocante a  </w:t>
      </w:r>
      <w:r w:rsidR="003C6A99" w:rsidRPr="008266A0">
        <w:rPr>
          <w:rFonts w:ascii="Palatino Linotype" w:eastAsia="Palatino Linotype" w:hAnsi="Palatino Linotype" w:cs="Palatino Linotype"/>
          <w:i/>
        </w:rPr>
        <w:t>en que se aplican</w:t>
      </w:r>
      <w:r w:rsidRPr="008266A0">
        <w:rPr>
          <w:rFonts w:ascii="Palatino Linotype" w:eastAsia="Palatino Linotype" w:hAnsi="Palatino Linotype" w:cs="Palatino Linotype"/>
        </w:rPr>
        <w:t>.</w:t>
      </w:r>
    </w:p>
    <w:p w:rsidR="003C6A99" w:rsidRPr="008266A0" w:rsidRDefault="003C6A99" w:rsidP="003C6A99">
      <w:pPr>
        <w:pStyle w:val="Prrafodelista"/>
        <w:rPr>
          <w:rFonts w:ascii="Palatino Linotype" w:eastAsia="Palatino Linotype" w:hAnsi="Palatino Linotype" w:cs="Palatino Linotype"/>
        </w:rPr>
      </w:pPr>
    </w:p>
    <w:p w:rsidR="003C6A99" w:rsidRPr="008266A0" w:rsidRDefault="003C6A99">
      <w:pPr>
        <w:numPr>
          <w:ilvl w:val="0"/>
          <w:numId w:val="2"/>
        </w:numPr>
        <w:pBdr>
          <w:top w:val="nil"/>
          <w:left w:val="nil"/>
          <w:bottom w:val="nil"/>
          <w:right w:val="nil"/>
          <w:between w:val="nil"/>
        </w:pBdr>
        <w:spacing w:line="360" w:lineRule="auto"/>
        <w:ind w:left="0" w:right="-929" w:firstLine="0"/>
        <w:jc w:val="both"/>
        <w:rPr>
          <w:rFonts w:ascii="Palatino Linotype" w:eastAsia="Palatino Linotype" w:hAnsi="Palatino Linotype" w:cs="Palatino Linotype"/>
        </w:rPr>
      </w:pPr>
      <w:r w:rsidRPr="008266A0">
        <w:rPr>
          <w:rFonts w:ascii="Palatino Linotype" w:eastAsia="Palatino Linotype" w:hAnsi="Palatino Linotype" w:cs="Palatino Linotype"/>
        </w:rPr>
        <w:lastRenderedPageBreak/>
        <w:t xml:space="preserve">También lo es que no es posible que el particular de propia cuenta pueda determinar de esa información, cual está siendo destinada a un rubro determinado, </w:t>
      </w:r>
      <w:r w:rsidR="00222130" w:rsidRPr="008266A0">
        <w:rPr>
          <w:rFonts w:ascii="Palatino Linotype" w:eastAsia="Palatino Linotype" w:hAnsi="Palatino Linotype" w:cs="Palatino Linotype"/>
        </w:rPr>
        <w:t>cuyo</w:t>
      </w:r>
      <w:r w:rsidRPr="008266A0">
        <w:rPr>
          <w:rFonts w:ascii="Palatino Linotype" w:eastAsia="Palatino Linotype" w:hAnsi="Palatino Linotype" w:cs="Palatino Linotype"/>
        </w:rPr>
        <w:t xml:space="preserve"> origen </w:t>
      </w:r>
      <w:r w:rsidR="00222130" w:rsidRPr="008266A0">
        <w:rPr>
          <w:rFonts w:ascii="Palatino Linotype" w:eastAsia="Palatino Linotype" w:hAnsi="Palatino Linotype" w:cs="Palatino Linotype"/>
        </w:rPr>
        <w:t xml:space="preserve">de los recursos </w:t>
      </w:r>
      <w:r w:rsidRPr="008266A0">
        <w:rPr>
          <w:rFonts w:ascii="Palatino Linotype" w:eastAsia="Palatino Linotype" w:hAnsi="Palatino Linotype" w:cs="Palatino Linotype"/>
        </w:rPr>
        <w:t>corresponda a recursos propios del Ayuntamiento.</w:t>
      </w:r>
    </w:p>
    <w:p w:rsidR="00222130" w:rsidRPr="008266A0" w:rsidRDefault="00222130" w:rsidP="00222130">
      <w:pPr>
        <w:pStyle w:val="Prrafodelista"/>
        <w:rPr>
          <w:rFonts w:ascii="Palatino Linotype" w:eastAsia="Palatino Linotype" w:hAnsi="Palatino Linotype" w:cs="Palatino Linotype"/>
        </w:rPr>
      </w:pPr>
    </w:p>
    <w:p w:rsidR="00222130" w:rsidRPr="008266A0" w:rsidRDefault="00222130" w:rsidP="00222130">
      <w:pPr>
        <w:numPr>
          <w:ilvl w:val="0"/>
          <w:numId w:val="2"/>
        </w:numPr>
        <w:pBdr>
          <w:top w:val="nil"/>
          <w:left w:val="nil"/>
          <w:bottom w:val="nil"/>
          <w:right w:val="nil"/>
          <w:between w:val="nil"/>
        </w:pBdr>
        <w:spacing w:line="360" w:lineRule="auto"/>
        <w:ind w:left="0" w:right="-929" w:firstLine="0"/>
        <w:jc w:val="both"/>
        <w:rPr>
          <w:rFonts w:ascii="Palatino Linotype" w:eastAsia="Palatino Linotype" w:hAnsi="Palatino Linotype" w:cs="Palatino Linotype"/>
          <w:color w:val="000000"/>
        </w:rPr>
      </w:pPr>
      <w:r w:rsidRPr="008266A0">
        <w:rPr>
          <w:rFonts w:ascii="Palatino Linotype" w:eastAsia="Palatino Linotype" w:hAnsi="Palatino Linotype" w:cs="Palatino Linotype"/>
          <w:color w:val="000000"/>
        </w:rPr>
        <w:t xml:space="preserve">En este sentido, resulta pertinente precisar que el derecho de acceso a la información pública no se satisface únicamente mediante la entrega material de documentos. Por el contrario, los Sujetos </w:t>
      </w:r>
      <w:r w:rsidRPr="008266A0">
        <w:rPr>
          <w:rFonts w:ascii="Palatino Linotype" w:eastAsia="Palatino Linotype" w:hAnsi="Palatino Linotype" w:cs="Palatino Linotype"/>
        </w:rPr>
        <w:t>Obligados</w:t>
      </w:r>
      <w:r w:rsidRPr="008266A0">
        <w:rPr>
          <w:rFonts w:ascii="Palatino Linotype" w:eastAsia="Palatino Linotype" w:hAnsi="Palatino Linotype" w:cs="Palatino Linotype"/>
          <w:color w:val="000000"/>
        </w:rPr>
        <w:t xml:space="preserve"> se encuentran constreñidos a </w:t>
      </w:r>
      <w:r w:rsidRPr="008266A0">
        <w:rPr>
          <w:rFonts w:ascii="Palatino Linotype" w:eastAsia="Palatino Linotype" w:hAnsi="Palatino Linotype" w:cs="Palatino Linotype"/>
          <w:bCs/>
          <w:color w:val="000000"/>
        </w:rPr>
        <w:t>garantizar que la información se proporcione de manera clara, completa, ordenada y congruente con lo solicitado</w:t>
      </w:r>
      <w:r w:rsidRPr="008266A0">
        <w:rPr>
          <w:rFonts w:ascii="Palatino Linotype" w:eastAsia="Palatino Linotype" w:hAnsi="Palatino Linotype" w:cs="Palatino Linotype"/>
          <w:color w:val="000000"/>
        </w:rPr>
        <w:t>, de tal forma que el particular pueda identificar de manera plena los documentos que atienden su requerimiento.</w:t>
      </w:r>
    </w:p>
    <w:p w:rsidR="00222130" w:rsidRPr="008266A0" w:rsidRDefault="00222130" w:rsidP="00222130">
      <w:pPr>
        <w:pStyle w:val="Prrafodelista"/>
        <w:rPr>
          <w:rFonts w:ascii="Palatino Linotype" w:eastAsia="Palatino Linotype" w:hAnsi="Palatino Linotype" w:cs="Palatino Linotype"/>
          <w:color w:val="000000"/>
        </w:rPr>
      </w:pPr>
    </w:p>
    <w:p w:rsidR="00222130" w:rsidRPr="008266A0" w:rsidRDefault="00222130" w:rsidP="00222130">
      <w:pPr>
        <w:numPr>
          <w:ilvl w:val="0"/>
          <w:numId w:val="2"/>
        </w:numPr>
        <w:pBdr>
          <w:top w:val="nil"/>
          <w:left w:val="nil"/>
          <w:bottom w:val="nil"/>
          <w:right w:val="nil"/>
          <w:between w:val="nil"/>
        </w:pBdr>
        <w:spacing w:line="360" w:lineRule="auto"/>
        <w:ind w:left="0" w:right="-929" w:firstLine="0"/>
        <w:jc w:val="both"/>
        <w:rPr>
          <w:rFonts w:ascii="Palatino Linotype" w:eastAsia="Palatino Linotype" w:hAnsi="Palatino Linotype" w:cs="Palatino Linotype"/>
          <w:color w:val="000000"/>
        </w:rPr>
      </w:pPr>
      <w:r w:rsidRPr="008266A0">
        <w:rPr>
          <w:rFonts w:ascii="Palatino Linotype" w:eastAsia="Palatino Linotype" w:hAnsi="Palatino Linotype" w:cs="Palatino Linotype"/>
          <w:color w:val="000000"/>
        </w:rPr>
        <w:t xml:space="preserve">La entrega excesiva de información, la duplicidad de archivos y la ausencia información o sin una adecuada identificación precisa de los documentos que atienden la solicitud </w:t>
      </w:r>
      <w:r w:rsidRPr="008266A0">
        <w:rPr>
          <w:rFonts w:ascii="Palatino Linotype" w:eastAsia="Palatino Linotype" w:hAnsi="Palatino Linotype" w:cs="Palatino Linotype"/>
          <w:bCs/>
          <w:color w:val="000000"/>
        </w:rPr>
        <w:t>genera incertidumbre respecto de la atención otorgada</w:t>
      </w:r>
      <w:r w:rsidRPr="008266A0">
        <w:rPr>
          <w:rFonts w:ascii="Palatino Linotype" w:eastAsia="Palatino Linotype" w:hAnsi="Palatino Linotype" w:cs="Palatino Linotype"/>
          <w:color w:val="000000"/>
        </w:rPr>
        <w:t>, lo que se traduce en una afectación al ejercicio efectivo del derecho de acceso a la información.</w:t>
      </w:r>
    </w:p>
    <w:p w:rsidR="00222130" w:rsidRPr="008266A0" w:rsidRDefault="00222130" w:rsidP="00222130">
      <w:pPr>
        <w:pStyle w:val="Prrafodelista"/>
        <w:rPr>
          <w:rFonts w:ascii="Palatino Linotype" w:eastAsia="Palatino Linotype" w:hAnsi="Palatino Linotype" w:cs="Palatino Linotype"/>
          <w:color w:val="000000"/>
        </w:rPr>
      </w:pPr>
    </w:p>
    <w:p w:rsidR="00222130" w:rsidRPr="008266A0" w:rsidRDefault="00222130" w:rsidP="00222130">
      <w:pPr>
        <w:numPr>
          <w:ilvl w:val="0"/>
          <w:numId w:val="2"/>
        </w:numPr>
        <w:pBdr>
          <w:top w:val="nil"/>
          <w:left w:val="nil"/>
          <w:bottom w:val="nil"/>
          <w:right w:val="nil"/>
          <w:between w:val="nil"/>
        </w:pBdr>
        <w:spacing w:line="360" w:lineRule="auto"/>
        <w:ind w:left="0" w:right="-929" w:firstLine="0"/>
        <w:jc w:val="both"/>
        <w:rPr>
          <w:rFonts w:ascii="Palatino Linotype" w:eastAsia="Palatino Linotype" w:hAnsi="Palatino Linotype" w:cs="Palatino Linotype"/>
        </w:rPr>
      </w:pPr>
      <w:r w:rsidRPr="008266A0">
        <w:rPr>
          <w:rFonts w:ascii="Palatino Linotype" w:eastAsia="Palatino Linotype" w:hAnsi="Palatino Linotype" w:cs="Palatino Linotype"/>
        </w:rPr>
        <w:t xml:space="preserve">Bajo tales </w:t>
      </w:r>
      <w:r w:rsidRPr="008266A0">
        <w:rPr>
          <w:rFonts w:ascii="Palatino Linotype" w:eastAsia="Palatino Linotype" w:hAnsi="Palatino Linotype" w:cs="Palatino Linotype"/>
          <w:color w:val="000000"/>
        </w:rPr>
        <w:t>consideraciones</w:t>
      </w:r>
      <w:r w:rsidRPr="008266A0">
        <w:rPr>
          <w:rFonts w:ascii="Palatino Linotype" w:eastAsia="Palatino Linotype" w:hAnsi="Palatino Linotype" w:cs="Palatino Linotype"/>
        </w:rPr>
        <w:t xml:space="preserve"> resulta pertinente mencionar al Sujeto Obligado que la atención al ejercicio del Derecho de Acceso a la Información, debe ajustarse a lo dispuesto en el artículo 11 de la Ley en la Materia, que señala lo siguiente: </w:t>
      </w:r>
    </w:p>
    <w:p w:rsidR="00222130" w:rsidRPr="008266A0" w:rsidRDefault="00222130" w:rsidP="00222130">
      <w:pPr>
        <w:spacing w:before="240" w:after="240" w:line="276" w:lineRule="auto"/>
        <w:ind w:left="851" w:right="616"/>
        <w:jc w:val="both"/>
        <w:rPr>
          <w:rFonts w:ascii="Palatino Linotype" w:eastAsia="Palatino Linotype" w:hAnsi="Palatino Linotype" w:cs="Palatino Linotype"/>
          <w:i/>
          <w:iCs/>
        </w:rPr>
      </w:pPr>
      <w:r w:rsidRPr="008266A0">
        <w:rPr>
          <w:rFonts w:ascii="Palatino Linotype" w:eastAsia="Palatino Linotype" w:hAnsi="Palatino Linotype" w:cs="Palatino Linotype"/>
          <w:i/>
          <w:iCs/>
        </w:rPr>
        <w:t>Artículo 11. En la generación, publicación y entrega de información se deberá garantizar que ésta sea accesible, actualizada, completa, congruente, confiable, verificable, veraz, integral, oportuna y expedita, sujeta a un claro régimen de excepciones que deberá estar definido y ser además legítima y estrictamente necesaria en una sociedad democrática, por lo que atenderá las necesidades del derecho de acceso a la información de toda persona.</w:t>
      </w:r>
    </w:p>
    <w:p w:rsidR="00222130" w:rsidRPr="008266A0" w:rsidRDefault="00222130" w:rsidP="00222130">
      <w:pPr>
        <w:pBdr>
          <w:top w:val="nil"/>
          <w:left w:val="nil"/>
          <w:bottom w:val="nil"/>
          <w:right w:val="nil"/>
          <w:between w:val="nil"/>
        </w:pBdr>
        <w:spacing w:line="360" w:lineRule="auto"/>
        <w:ind w:right="-929"/>
        <w:jc w:val="both"/>
        <w:rPr>
          <w:rFonts w:ascii="Palatino Linotype" w:eastAsia="Palatino Linotype" w:hAnsi="Palatino Linotype" w:cs="Palatino Linotype"/>
          <w:color w:val="000000"/>
        </w:rPr>
      </w:pPr>
    </w:p>
    <w:p w:rsidR="00222130" w:rsidRPr="008266A0" w:rsidRDefault="00222130" w:rsidP="00222130">
      <w:pPr>
        <w:numPr>
          <w:ilvl w:val="0"/>
          <w:numId w:val="2"/>
        </w:numPr>
        <w:pBdr>
          <w:top w:val="nil"/>
          <w:left w:val="nil"/>
          <w:bottom w:val="nil"/>
          <w:right w:val="nil"/>
          <w:between w:val="nil"/>
        </w:pBdr>
        <w:spacing w:line="360" w:lineRule="auto"/>
        <w:ind w:left="0" w:right="-929" w:firstLine="0"/>
        <w:jc w:val="both"/>
        <w:rPr>
          <w:rFonts w:ascii="Palatino Linotype" w:eastAsia="Palatino Linotype" w:hAnsi="Palatino Linotype" w:cs="Palatino Linotype"/>
          <w:color w:val="000000"/>
        </w:rPr>
      </w:pPr>
      <w:r w:rsidRPr="008266A0">
        <w:rPr>
          <w:rFonts w:ascii="Palatino Linotype" w:eastAsia="Palatino Linotype" w:hAnsi="Palatino Linotype" w:cs="Palatino Linotype"/>
          <w:color w:val="000000"/>
        </w:rPr>
        <w:t xml:space="preserve">En el presente caso, la respuesta emitida por el Sujeto Obligado </w:t>
      </w:r>
      <w:r w:rsidRPr="008266A0">
        <w:rPr>
          <w:rFonts w:ascii="Palatino Linotype" w:eastAsia="Palatino Linotype" w:hAnsi="Palatino Linotype" w:cs="Palatino Linotype"/>
          <w:bCs/>
          <w:color w:val="000000"/>
        </w:rPr>
        <w:t xml:space="preserve">incumple diversos parámetros señalados </w:t>
      </w:r>
      <w:r w:rsidRPr="008266A0">
        <w:rPr>
          <w:rFonts w:ascii="Palatino Linotype" w:eastAsia="Palatino Linotype" w:hAnsi="Palatino Linotype" w:cs="Palatino Linotype"/>
        </w:rPr>
        <w:t>en</w:t>
      </w:r>
      <w:r w:rsidRPr="008266A0">
        <w:rPr>
          <w:rFonts w:ascii="Palatino Linotype" w:eastAsia="Palatino Linotype" w:hAnsi="Palatino Linotype" w:cs="Palatino Linotype"/>
          <w:bCs/>
          <w:color w:val="000000"/>
        </w:rPr>
        <w:t xml:space="preserve"> el artículo mencionado</w:t>
      </w:r>
      <w:r w:rsidRPr="008266A0">
        <w:rPr>
          <w:rFonts w:ascii="Palatino Linotype" w:eastAsia="Palatino Linotype" w:hAnsi="Palatino Linotype" w:cs="Palatino Linotype"/>
          <w:color w:val="000000"/>
        </w:rPr>
        <w:t>, por las siguientes razones:</w:t>
      </w:r>
    </w:p>
    <w:p w:rsidR="00222130" w:rsidRPr="008266A0" w:rsidRDefault="00222130" w:rsidP="00222130">
      <w:pPr>
        <w:numPr>
          <w:ilvl w:val="0"/>
          <w:numId w:val="11"/>
        </w:numPr>
        <w:pBdr>
          <w:top w:val="nil"/>
          <w:left w:val="nil"/>
          <w:bottom w:val="nil"/>
          <w:right w:val="nil"/>
          <w:between w:val="nil"/>
        </w:pBdr>
        <w:spacing w:before="280" w:line="360" w:lineRule="auto"/>
        <w:jc w:val="both"/>
        <w:rPr>
          <w:rFonts w:ascii="Palatino Linotype" w:eastAsia="Palatino Linotype" w:hAnsi="Palatino Linotype" w:cs="Palatino Linotype"/>
          <w:color w:val="000000"/>
        </w:rPr>
      </w:pPr>
      <w:r w:rsidRPr="008266A0">
        <w:rPr>
          <w:rFonts w:ascii="Palatino Linotype" w:eastAsia="Palatino Linotype" w:hAnsi="Palatino Linotype" w:cs="Palatino Linotype"/>
          <w:bCs/>
          <w:color w:val="000000"/>
        </w:rPr>
        <w:t>Accesibilidad:</w:t>
      </w:r>
      <w:r w:rsidRPr="008266A0">
        <w:rPr>
          <w:rFonts w:ascii="Palatino Linotype" w:eastAsia="Palatino Linotype" w:hAnsi="Palatino Linotype" w:cs="Palatino Linotype"/>
          <w:color w:val="000000"/>
        </w:rPr>
        <w:t xml:space="preserve"> La información fue entregada sin una correcta identificación lo que dificulta que el particular pueda </w:t>
      </w:r>
      <w:r w:rsidRPr="008266A0">
        <w:rPr>
          <w:rFonts w:ascii="Palatino Linotype" w:eastAsia="Palatino Linotype" w:hAnsi="Palatino Linotype" w:cs="Palatino Linotype"/>
          <w:bCs/>
          <w:color w:val="000000"/>
        </w:rPr>
        <w:t>acceder de manera clara y directa</w:t>
      </w:r>
      <w:r w:rsidRPr="008266A0">
        <w:rPr>
          <w:rFonts w:ascii="Palatino Linotype" w:eastAsia="Palatino Linotype" w:hAnsi="Palatino Linotype" w:cs="Palatino Linotype"/>
          <w:color w:val="000000"/>
        </w:rPr>
        <w:t xml:space="preserve"> a los documentos que corresponden a cada recurso de revisión. </w:t>
      </w:r>
    </w:p>
    <w:p w:rsidR="00222130" w:rsidRPr="008266A0" w:rsidRDefault="00222130" w:rsidP="00222130">
      <w:pPr>
        <w:numPr>
          <w:ilvl w:val="0"/>
          <w:numId w:val="11"/>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8266A0">
        <w:rPr>
          <w:rFonts w:ascii="Palatino Linotype" w:eastAsia="Palatino Linotype" w:hAnsi="Palatino Linotype" w:cs="Palatino Linotype"/>
          <w:bCs/>
          <w:color w:val="000000"/>
        </w:rPr>
        <w:t>Congruencia:</w:t>
      </w:r>
      <w:r w:rsidRPr="008266A0">
        <w:rPr>
          <w:rFonts w:ascii="Palatino Linotype" w:eastAsia="Palatino Linotype" w:hAnsi="Palatino Linotype" w:cs="Palatino Linotype"/>
          <w:color w:val="000000"/>
        </w:rPr>
        <w:t xml:space="preserve"> El Sujeto Obligado remitió </w:t>
      </w:r>
      <w:r w:rsidRPr="008266A0">
        <w:rPr>
          <w:rFonts w:ascii="Palatino Linotype" w:eastAsia="Palatino Linotype" w:hAnsi="Palatino Linotype" w:cs="Palatino Linotype"/>
          <w:bCs/>
          <w:color w:val="000000"/>
        </w:rPr>
        <w:t>información que incluso no corresponde con la temporalidad solicitada</w:t>
      </w:r>
      <w:r w:rsidRPr="008266A0">
        <w:rPr>
          <w:rFonts w:ascii="Palatino Linotype" w:eastAsia="Palatino Linotype" w:hAnsi="Palatino Linotype" w:cs="Palatino Linotype"/>
          <w:color w:val="000000"/>
        </w:rPr>
        <w:t xml:space="preserve">.  Esto implica que la entrega </w:t>
      </w:r>
      <w:r w:rsidRPr="008266A0">
        <w:rPr>
          <w:rFonts w:ascii="Palatino Linotype" w:eastAsia="Palatino Linotype" w:hAnsi="Palatino Linotype" w:cs="Palatino Linotype"/>
          <w:bCs/>
          <w:color w:val="000000"/>
        </w:rPr>
        <w:t>no es congruente con lo solicitado</w:t>
      </w:r>
      <w:r w:rsidRPr="008266A0">
        <w:rPr>
          <w:rFonts w:ascii="Palatino Linotype" w:eastAsia="Palatino Linotype" w:hAnsi="Palatino Linotype" w:cs="Palatino Linotype"/>
          <w:color w:val="000000"/>
        </w:rPr>
        <w:t>, incumpliendo lo previsto en la ley.</w:t>
      </w:r>
    </w:p>
    <w:p w:rsidR="00222130" w:rsidRPr="008266A0" w:rsidRDefault="00222130" w:rsidP="00222130">
      <w:pPr>
        <w:numPr>
          <w:ilvl w:val="0"/>
          <w:numId w:val="11"/>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8266A0">
        <w:rPr>
          <w:rFonts w:ascii="Palatino Linotype" w:eastAsia="Palatino Linotype" w:hAnsi="Palatino Linotype" w:cs="Palatino Linotype"/>
          <w:bCs/>
          <w:color w:val="000000"/>
        </w:rPr>
        <w:t>Confiabilidad:</w:t>
      </w:r>
      <w:r w:rsidRPr="008266A0">
        <w:rPr>
          <w:rFonts w:ascii="Palatino Linotype" w:eastAsia="Palatino Linotype" w:hAnsi="Palatino Linotype" w:cs="Palatino Linotype"/>
          <w:color w:val="000000"/>
        </w:rPr>
        <w:t xml:space="preserve"> La entrega de documentos sin una identificación precisa, </w:t>
      </w:r>
      <w:r w:rsidRPr="008266A0">
        <w:rPr>
          <w:rFonts w:ascii="Palatino Linotype" w:eastAsia="Palatino Linotype" w:hAnsi="Palatino Linotype" w:cs="Palatino Linotype"/>
          <w:bCs/>
          <w:color w:val="000000"/>
        </w:rPr>
        <w:t>dificulta la verificación de la información</w:t>
      </w:r>
      <w:r w:rsidRPr="008266A0">
        <w:rPr>
          <w:rFonts w:ascii="Palatino Linotype" w:eastAsia="Palatino Linotype" w:hAnsi="Palatino Linotype" w:cs="Palatino Linotype"/>
          <w:color w:val="000000"/>
        </w:rPr>
        <w:t xml:space="preserve">, impidiendo al solicitante confirmar que se trata de la totalidad de la información. </w:t>
      </w:r>
    </w:p>
    <w:p w:rsidR="00222130" w:rsidRPr="008266A0" w:rsidRDefault="00222130" w:rsidP="00222130">
      <w:pPr>
        <w:numPr>
          <w:ilvl w:val="0"/>
          <w:numId w:val="11"/>
        </w:numPr>
        <w:pBdr>
          <w:top w:val="nil"/>
          <w:left w:val="nil"/>
          <w:bottom w:val="nil"/>
          <w:right w:val="nil"/>
          <w:between w:val="nil"/>
        </w:pBdr>
        <w:spacing w:after="280" w:line="360" w:lineRule="auto"/>
        <w:jc w:val="both"/>
        <w:rPr>
          <w:rFonts w:ascii="Palatino Linotype" w:eastAsia="Palatino Linotype" w:hAnsi="Palatino Linotype" w:cs="Palatino Linotype"/>
          <w:color w:val="000000"/>
        </w:rPr>
      </w:pPr>
      <w:r w:rsidRPr="008266A0">
        <w:rPr>
          <w:rFonts w:ascii="Palatino Linotype" w:eastAsia="Palatino Linotype" w:hAnsi="Palatino Linotype" w:cs="Palatino Linotype"/>
          <w:bCs/>
          <w:color w:val="000000"/>
        </w:rPr>
        <w:t>Oportunidad y expedición:</w:t>
      </w:r>
      <w:r w:rsidRPr="008266A0">
        <w:rPr>
          <w:rFonts w:ascii="Palatino Linotype" w:eastAsia="Palatino Linotype" w:hAnsi="Palatino Linotype" w:cs="Palatino Linotype"/>
          <w:color w:val="000000"/>
        </w:rPr>
        <w:t xml:space="preserve"> Al enviar información sin una correcta identificación </w:t>
      </w:r>
      <w:r w:rsidRPr="008266A0">
        <w:rPr>
          <w:rFonts w:ascii="Palatino Linotype" w:eastAsia="Palatino Linotype" w:hAnsi="Palatino Linotype" w:cs="Palatino Linotype"/>
          <w:bCs/>
          <w:color w:val="000000"/>
        </w:rPr>
        <w:t>no permite un acceso expedito ni oportuno</w:t>
      </w:r>
      <w:r w:rsidRPr="008266A0">
        <w:rPr>
          <w:rFonts w:ascii="Palatino Linotype" w:eastAsia="Palatino Linotype" w:hAnsi="Palatino Linotype" w:cs="Palatino Linotype"/>
          <w:color w:val="000000"/>
        </w:rPr>
        <w:t xml:space="preserve"> a los documentos, afectando el ejercicio eficiente del derecho de acceso a la información.</w:t>
      </w:r>
    </w:p>
    <w:p w:rsidR="005C4853" w:rsidRPr="008266A0" w:rsidRDefault="005C4853">
      <w:pPr>
        <w:pBdr>
          <w:top w:val="nil"/>
          <w:left w:val="nil"/>
          <w:bottom w:val="nil"/>
          <w:right w:val="nil"/>
          <w:between w:val="nil"/>
        </w:pBdr>
        <w:spacing w:line="360" w:lineRule="auto"/>
        <w:ind w:left="720" w:right="-929"/>
        <w:rPr>
          <w:rFonts w:ascii="Palatino Linotype" w:eastAsia="Palatino Linotype" w:hAnsi="Palatino Linotype" w:cs="Palatino Linotype"/>
          <w:color w:val="000000"/>
        </w:rPr>
      </w:pPr>
    </w:p>
    <w:p w:rsidR="00222130" w:rsidRPr="008266A0" w:rsidRDefault="00222130" w:rsidP="00222130">
      <w:pPr>
        <w:numPr>
          <w:ilvl w:val="0"/>
          <w:numId w:val="2"/>
        </w:numPr>
        <w:pBdr>
          <w:top w:val="nil"/>
          <w:left w:val="nil"/>
          <w:bottom w:val="nil"/>
          <w:right w:val="nil"/>
          <w:between w:val="nil"/>
        </w:pBdr>
        <w:spacing w:line="360" w:lineRule="auto"/>
        <w:ind w:left="0" w:right="-929" w:firstLine="0"/>
        <w:jc w:val="both"/>
        <w:rPr>
          <w:rFonts w:ascii="Palatino Linotype" w:eastAsia="Palatino Linotype" w:hAnsi="Palatino Linotype" w:cs="Palatino Linotype"/>
        </w:rPr>
      </w:pPr>
      <w:r w:rsidRPr="008266A0">
        <w:rPr>
          <w:rFonts w:ascii="Palatino Linotype" w:eastAsia="Palatino Linotype" w:hAnsi="Palatino Linotype" w:cs="Palatino Linotype"/>
        </w:rPr>
        <w:t xml:space="preserve">Por otro lado, no solo no es posible que el solicitante lo deduzca; sino que en estricto sentido, lo </w:t>
      </w:r>
      <w:r w:rsidRPr="008266A0">
        <w:rPr>
          <w:rFonts w:ascii="Palatino Linotype" w:eastAsia="Palatino Linotype" w:hAnsi="Palatino Linotype" w:cs="Palatino Linotype"/>
          <w:color w:val="000000"/>
        </w:rPr>
        <w:t>entregado</w:t>
      </w:r>
      <w:r w:rsidRPr="008266A0">
        <w:rPr>
          <w:rFonts w:ascii="Palatino Linotype" w:eastAsia="Palatino Linotype" w:hAnsi="Palatino Linotype" w:cs="Palatino Linotype"/>
        </w:rPr>
        <w:t xml:space="preserve"> no ofrece y por tanto no colma, el rubro relativo al origen de los recursos producto de las actividades del Ayuntamiento; es decir a sus recursos propios, que atañen a aquellos ingresos económicos que el Municipio obtiene directamente por el ejercicio de sus facultades legales y administrativas, sin depender totalmente de transferencias federales o estatales.</w:t>
      </w:r>
    </w:p>
    <w:p w:rsidR="00222130" w:rsidRPr="008266A0" w:rsidRDefault="00222130" w:rsidP="00222130">
      <w:pPr>
        <w:pBdr>
          <w:top w:val="nil"/>
          <w:left w:val="nil"/>
          <w:bottom w:val="nil"/>
          <w:right w:val="nil"/>
          <w:between w:val="nil"/>
        </w:pBdr>
        <w:spacing w:line="360" w:lineRule="auto"/>
        <w:ind w:left="644" w:right="-929"/>
        <w:jc w:val="both"/>
        <w:rPr>
          <w:rFonts w:ascii="Palatino Linotype" w:eastAsia="Palatino Linotype" w:hAnsi="Palatino Linotype" w:cs="Palatino Linotype"/>
        </w:rPr>
      </w:pPr>
    </w:p>
    <w:p w:rsidR="00222130" w:rsidRPr="008266A0" w:rsidRDefault="00222130" w:rsidP="00222130">
      <w:pPr>
        <w:numPr>
          <w:ilvl w:val="0"/>
          <w:numId w:val="2"/>
        </w:numPr>
        <w:pBdr>
          <w:top w:val="nil"/>
          <w:left w:val="nil"/>
          <w:bottom w:val="nil"/>
          <w:right w:val="nil"/>
          <w:between w:val="nil"/>
        </w:pBdr>
        <w:spacing w:line="360" w:lineRule="auto"/>
        <w:ind w:left="0" w:right="-929" w:firstLine="0"/>
        <w:jc w:val="both"/>
        <w:rPr>
          <w:rFonts w:ascii="Palatino Linotype" w:eastAsia="Palatino Linotype" w:hAnsi="Palatino Linotype" w:cs="Palatino Linotype"/>
        </w:rPr>
      </w:pPr>
      <w:r w:rsidRPr="008266A0">
        <w:rPr>
          <w:rFonts w:ascii="Palatino Linotype" w:eastAsia="Palatino Linotype" w:hAnsi="Palatino Linotype" w:cs="Palatino Linotype"/>
        </w:rPr>
        <w:lastRenderedPageBreak/>
        <w:t>Cuyos recursos sirven para financiar servicios públicos, obras, programas y el funcionamiento del gobierno municipal y que por tanto ciertamente debe obrar en soporte documental en que conste o se advierta su aplicación y destino.</w:t>
      </w:r>
    </w:p>
    <w:p w:rsidR="00222130" w:rsidRPr="008266A0" w:rsidRDefault="00222130" w:rsidP="00222130">
      <w:pPr>
        <w:pBdr>
          <w:top w:val="nil"/>
          <w:left w:val="nil"/>
          <w:bottom w:val="nil"/>
          <w:right w:val="nil"/>
          <w:between w:val="nil"/>
        </w:pBdr>
        <w:spacing w:line="360" w:lineRule="auto"/>
        <w:ind w:right="-929"/>
        <w:jc w:val="both"/>
        <w:rPr>
          <w:rFonts w:ascii="Palatino Linotype" w:eastAsia="Palatino Linotype" w:hAnsi="Palatino Linotype" w:cs="Palatino Linotype"/>
        </w:rPr>
      </w:pPr>
    </w:p>
    <w:p w:rsidR="005C4853" w:rsidRPr="008266A0" w:rsidRDefault="00222130">
      <w:pPr>
        <w:numPr>
          <w:ilvl w:val="0"/>
          <w:numId w:val="2"/>
        </w:numPr>
        <w:pBdr>
          <w:top w:val="nil"/>
          <w:left w:val="nil"/>
          <w:bottom w:val="nil"/>
          <w:right w:val="nil"/>
          <w:between w:val="nil"/>
        </w:pBdr>
        <w:spacing w:line="360" w:lineRule="auto"/>
        <w:ind w:left="0" w:right="-929" w:firstLine="0"/>
        <w:jc w:val="both"/>
        <w:rPr>
          <w:rFonts w:ascii="Palatino Linotype" w:eastAsia="Palatino Linotype" w:hAnsi="Palatino Linotype" w:cs="Palatino Linotype"/>
        </w:rPr>
      </w:pPr>
      <w:r w:rsidRPr="008266A0">
        <w:rPr>
          <w:rFonts w:ascii="Palatino Linotype" w:eastAsia="Palatino Linotype" w:hAnsi="Palatino Linotype" w:cs="Palatino Linotype"/>
        </w:rPr>
        <w:t xml:space="preserve">Por otro lado, lo entregado en calidad de respuesta también resulta </w:t>
      </w:r>
      <w:r w:rsidR="00E30EFA" w:rsidRPr="008266A0">
        <w:rPr>
          <w:rFonts w:ascii="Palatino Linotype" w:eastAsia="Palatino Linotype" w:hAnsi="Palatino Linotype" w:cs="Palatino Linotype"/>
        </w:rPr>
        <w:t>insuficiente para tener por atendida la solicitud de información, en razón del lapso temporal pues como se señaló en el Considerando anterior; corresponde a un informe que abarca del día uno de enero al treinta de septiembre de dos mil veinticinco; luego entonces, derivado que la solicitud de información carece de temporalidad, se colige lo solicitado corresponde a la anualidad 2025, debiendo en tales condiciones, considerar como extremo temporal, la fecha de interposición de la solicitud de información, es decir al seis de noviembre de dicho año.</w:t>
      </w:r>
    </w:p>
    <w:p w:rsidR="005C4853" w:rsidRDefault="005C4853">
      <w:pPr>
        <w:pBdr>
          <w:top w:val="nil"/>
          <w:left w:val="nil"/>
          <w:bottom w:val="nil"/>
          <w:right w:val="nil"/>
          <w:between w:val="nil"/>
        </w:pBdr>
        <w:spacing w:line="360" w:lineRule="auto"/>
        <w:ind w:left="720" w:right="-929"/>
        <w:rPr>
          <w:rFonts w:ascii="Palatino Linotype" w:eastAsia="Palatino Linotype" w:hAnsi="Palatino Linotype" w:cs="Palatino Linotype"/>
          <w:color w:val="000000"/>
        </w:rPr>
      </w:pPr>
    </w:p>
    <w:p w:rsidR="005C4853" w:rsidRDefault="00E30EFA">
      <w:pPr>
        <w:numPr>
          <w:ilvl w:val="0"/>
          <w:numId w:val="2"/>
        </w:numPr>
        <w:pBdr>
          <w:top w:val="nil"/>
          <w:left w:val="nil"/>
          <w:bottom w:val="nil"/>
          <w:right w:val="nil"/>
          <w:between w:val="nil"/>
        </w:pBdr>
        <w:spacing w:line="360" w:lineRule="auto"/>
        <w:ind w:left="0" w:right="-929"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Por tanto, si bien lo entregado se encuentra relacionado con lo solicitado; también lo es que resulta incompleto de conformidad a las características que ostenta la solicitud de información de mérito, al no colmarse sus extremos temporales. </w:t>
      </w:r>
    </w:p>
    <w:p w:rsidR="005C4853" w:rsidRDefault="005C4853">
      <w:pPr>
        <w:pBdr>
          <w:top w:val="nil"/>
          <w:left w:val="nil"/>
          <w:bottom w:val="nil"/>
          <w:right w:val="nil"/>
          <w:between w:val="nil"/>
        </w:pBdr>
        <w:spacing w:line="360" w:lineRule="auto"/>
        <w:ind w:left="720" w:right="-929"/>
        <w:rPr>
          <w:rFonts w:ascii="Palatino Linotype" w:eastAsia="Palatino Linotype" w:hAnsi="Palatino Linotype" w:cs="Palatino Linotype"/>
          <w:color w:val="000000"/>
        </w:rPr>
      </w:pPr>
    </w:p>
    <w:p w:rsidR="005C4853" w:rsidRDefault="00E30EFA">
      <w:pPr>
        <w:numPr>
          <w:ilvl w:val="0"/>
          <w:numId w:val="2"/>
        </w:numPr>
        <w:pBdr>
          <w:top w:val="nil"/>
          <w:left w:val="nil"/>
          <w:bottom w:val="nil"/>
          <w:right w:val="nil"/>
          <w:between w:val="nil"/>
        </w:pBdr>
        <w:spacing w:line="360" w:lineRule="auto"/>
        <w:ind w:left="0" w:right="-929" w:firstLine="0"/>
        <w:jc w:val="both"/>
        <w:rPr>
          <w:rFonts w:ascii="Palatino Linotype" w:eastAsia="Palatino Linotype" w:hAnsi="Palatino Linotype" w:cs="Palatino Linotype"/>
        </w:rPr>
      </w:pPr>
      <w:r>
        <w:rPr>
          <w:rFonts w:ascii="Palatino Linotype" w:eastAsia="Palatino Linotype" w:hAnsi="Palatino Linotype" w:cs="Palatino Linotype"/>
        </w:rPr>
        <w:t>En razón de lo anterior, es dable ordenar que se realice una nueva búsqueda exhaustiva y razonable de lo solicitado de la información solicitada, y cumplir con lo expresado en el artículo 162 de la Ley de Transparencia y Acceso a la Información Pública del Estado de México y Municipios, el cual menciona lo siguiente:</w:t>
      </w:r>
    </w:p>
    <w:p w:rsidR="005C4853" w:rsidRDefault="00E30EFA">
      <w:pPr>
        <w:pBdr>
          <w:top w:val="nil"/>
          <w:left w:val="nil"/>
          <w:bottom w:val="nil"/>
          <w:right w:val="nil"/>
          <w:between w:val="nil"/>
        </w:pBdr>
        <w:spacing w:line="360" w:lineRule="auto"/>
        <w:ind w:left="864" w:right="-929"/>
        <w:jc w:val="both"/>
        <w:rPr>
          <w:rFonts w:ascii="Palatino Linotype" w:eastAsia="Palatino Linotype" w:hAnsi="Palatino Linotype" w:cs="Palatino Linotype"/>
        </w:rPr>
      </w:pPr>
      <w:r>
        <w:rPr>
          <w:rFonts w:ascii="Palatino Linotype" w:eastAsia="Palatino Linotype" w:hAnsi="Palatino Linotype" w:cs="Palatino Linotype"/>
          <w:i/>
          <w:iCs/>
        </w:rPr>
        <w:t xml:space="preserve">“Artículo 162. Las unidades de transparencia deberán garantizar que las solicitudes </w:t>
      </w:r>
      <w:r>
        <w:rPr>
          <w:rFonts w:ascii="Palatino Linotype" w:eastAsia="Palatino Linotype" w:hAnsi="Palatino Linotype" w:cs="Palatino Linotype"/>
          <w:b/>
          <w:bCs/>
          <w:i/>
          <w:iCs/>
        </w:rPr>
        <w:t xml:space="preserve">se turnen a todas las Áreas competentes </w:t>
      </w:r>
      <w:r>
        <w:rPr>
          <w:rFonts w:ascii="Palatino Linotype" w:eastAsia="Palatino Linotype" w:hAnsi="Palatino Linotype" w:cs="Palatino Linotype"/>
          <w:i/>
          <w:iCs/>
        </w:rPr>
        <w:t>que cuenten con la información o deban tenerla de acuerdo a sus facultades, competencias y funciones, con el objeto de que realicen una búsqueda exhaustiva y razonable de la información solicitada.”</w:t>
      </w:r>
    </w:p>
    <w:p w:rsidR="005C4853" w:rsidRDefault="00E30EFA">
      <w:pPr>
        <w:numPr>
          <w:ilvl w:val="0"/>
          <w:numId w:val="2"/>
        </w:numPr>
        <w:pBdr>
          <w:top w:val="nil"/>
          <w:left w:val="nil"/>
          <w:bottom w:val="nil"/>
          <w:right w:val="nil"/>
          <w:between w:val="nil"/>
        </w:pBdr>
        <w:spacing w:line="360" w:lineRule="auto"/>
        <w:ind w:left="0" w:right="-929" w:firstLine="0"/>
        <w:jc w:val="both"/>
        <w:rPr>
          <w:rFonts w:ascii="Palatino Linotype" w:eastAsia="Palatino Linotype" w:hAnsi="Palatino Linotype" w:cs="Palatino Linotype"/>
        </w:rPr>
      </w:pPr>
      <w:r>
        <w:rPr>
          <w:rFonts w:ascii="Palatino Linotype" w:eastAsia="Palatino Linotype" w:hAnsi="Palatino Linotype" w:cs="Palatino Linotype"/>
        </w:rPr>
        <w:lastRenderedPageBreak/>
        <w:t>Asimismo, resultando aplicable el Criterio 02/17 emitido por el Pleno del entonces Instituto Nacional de Transparencia y Acceso a la Información y Protección de Datos Personales, de título y texto siguientes:</w:t>
      </w:r>
    </w:p>
    <w:p w:rsidR="005C4853" w:rsidRDefault="00E30EFA">
      <w:pPr>
        <w:pBdr>
          <w:top w:val="nil"/>
          <w:left w:val="nil"/>
          <w:bottom w:val="nil"/>
          <w:right w:val="nil"/>
          <w:between w:val="nil"/>
        </w:pBdr>
        <w:spacing w:line="360" w:lineRule="auto"/>
        <w:ind w:left="851" w:right="-929"/>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“Congruencia y exhaustividad. Sus alcances para garantizar el derecho de acceso a la información. </w:t>
      </w:r>
      <w:r>
        <w:rPr>
          <w:rFonts w:ascii="Palatino Linotype" w:eastAsia="Palatino Linotype" w:hAnsi="Palatino Linotype" w:cs="Palatino Linotype"/>
          <w:i/>
          <w:iCs/>
        </w:rPr>
        <w:t xml:space="preserve">De conformidad con el artículo 3 de la Ley Federal de Procedimiento Administrativo, de aplicación supletoria a la Ley Federal de Transparencia y Acceso a la Información Pública, en términos de su artículo 7; todo acto administrativo debe cumplir con los principios de congruencia y exhaustividad. Para el efectivo ejercicio del derecho de acceso a la información, </w:t>
      </w:r>
      <w:r>
        <w:rPr>
          <w:rFonts w:ascii="Palatino Linotype" w:eastAsia="Palatino Linotype" w:hAnsi="Palatino Linotype" w:cs="Palatino Linotype"/>
          <w:b/>
          <w:bCs/>
          <w:i/>
          <w:iCs/>
        </w:rPr>
        <w:t>la congruencia implica que exista concordancia entre el requerimiento formulado por el particular y la respuesta proporcionada por el sujeto obligado</w:t>
      </w:r>
      <w:r>
        <w:rPr>
          <w:rFonts w:ascii="Palatino Linotype" w:eastAsia="Palatino Linotype" w:hAnsi="Palatino Linotype" w:cs="Palatino Linotype"/>
          <w:i/>
          <w:iCs/>
        </w:rPr>
        <w:t xml:space="preserve">; mientras que </w:t>
      </w:r>
      <w:r>
        <w:rPr>
          <w:rFonts w:ascii="Palatino Linotype" w:eastAsia="Palatino Linotype" w:hAnsi="Palatino Linotype" w:cs="Palatino Linotype"/>
          <w:b/>
          <w:bCs/>
          <w:i/>
          <w:iCs/>
        </w:rPr>
        <w:t>la exhaustividad significa que dicha respuesta se refiera expresamente a cada uno de los puntos solicitados</w:t>
      </w:r>
      <w:r>
        <w:rPr>
          <w:rFonts w:ascii="Palatino Linotype" w:eastAsia="Palatino Linotype" w:hAnsi="Palatino Linotype" w:cs="Palatino Linotype"/>
          <w:i/>
          <w:iCs/>
        </w:rPr>
        <w:t>. Por lo anterior, los sujetos obligados cumplirán con los principios de congruencia y exhaustividad, cuando las respuestas que emitan guarden una relación lógica con lo solicitado y atiendan de manera puntual y expresa, cada uno de los contenidos de información.”</w:t>
      </w:r>
    </w:p>
    <w:p w:rsidR="005C4853" w:rsidRDefault="005C4853">
      <w:pPr>
        <w:pBdr>
          <w:top w:val="nil"/>
          <w:left w:val="nil"/>
          <w:bottom w:val="nil"/>
          <w:right w:val="nil"/>
          <w:between w:val="nil"/>
        </w:pBdr>
        <w:spacing w:line="360" w:lineRule="auto"/>
        <w:ind w:left="851" w:right="-929"/>
        <w:jc w:val="both"/>
        <w:rPr>
          <w:rFonts w:ascii="Palatino Linotype" w:eastAsia="Palatino Linotype" w:hAnsi="Palatino Linotype" w:cs="Palatino Linotype"/>
        </w:rPr>
      </w:pPr>
    </w:p>
    <w:p w:rsidR="005C4853" w:rsidRDefault="00E30EFA">
      <w:pPr>
        <w:numPr>
          <w:ilvl w:val="0"/>
          <w:numId w:val="2"/>
        </w:numPr>
        <w:pBdr>
          <w:top w:val="nil"/>
          <w:left w:val="nil"/>
          <w:bottom w:val="nil"/>
          <w:right w:val="nil"/>
          <w:between w:val="nil"/>
        </w:pBdr>
        <w:spacing w:line="360" w:lineRule="auto"/>
        <w:ind w:left="0" w:right="-929" w:firstLine="0"/>
        <w:jc w:val="both"/>
        <w:rPr>
          <w:rFonts w:ascii="Palatino Linotype" w:eastAsia="Palatino Linotype" w:hAnsi="Palatino Linotype" w:cs="Palatino Linotype"/>
        </w:rPr>
      </w:pPr>
      <w:r>
        <w:rPr>
          <w:rFonts w:ascii="Palatino Linotype" w:eastAsia="Palatino Linotype" w:hAnsi="Palatino Linotype" w:cs="Palatino Linotype"/>
        </w:rPr>
        <w:t>Por otro lado, relativo a los cuatro formatos del Estado Analítico del Ejercicio del Presupuesto de Egresos (Clasificación económica, Clasificación administrativa, Clasificación por objeto de gasto y Clasificación funcional), se colige, se adjuntan con la finalidad de colma el rubro relativo a cómo se implementan los ingresos recibidos, por concepto.</w:t>
      </w:r>
    </w:p>
    <w:p w:rsidR="005C4853" w:rsidRDefault="005C4853">
      <w:pPr>
        <w:pBdr>
          <w:top w:val="nil"/>
          <w:left w:val="nil"/>
          <w:bottom w:val="nil"/>
          <w:right w:val="nil"/>
          <w:between w:val="nil"/>
        </w:pBdr>
        <w:spacing w:line="360" w:lineRule="auto"/>
        <w:ind w:right="-929"/>
        <w:jc w:val="both"/>
        <w:rPr>
          <w:rFonts w:ascii="Palatino Linotype" w:eastAsia="Palatino Linotype" w:hAnsi="Palatino Linotype" w:cs="Palatino Linotype"/>
        </w:rPr>
      </w:pPr>
    </w:p>
    <w:p w:rsidR="005C4853" w:rsidRDefault="00E30EFA">
      <w:pPr>
        <w:numPr>
          <w:ilvl w:val="0"/>
          <w:numId w:val="2"/>
        </w:numPr>
        <w:pBdr>
          <w:top w:val="nil"/>
          <w:left w:val="nil"/>
          <w:bottom w:val="nil"/>
          <w:right w:val="nil"/>
          <w:between w:val="nil"/>
        </w:pBdr>
        <w:spacing w:line="360" w:lineRule="auto"/>
        <w:ind w:left="0" w:right="-929"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Sin embargo, se considera no atiende lo solicitado, pues si bien dichos formatos, su contenido corresponde a reportes contables y presupuestarios que muestran cómo un Ayuntamiento está utilizando el presupuesto para gastar recursos públicos; también lo es </w:t>
      </w:r>
      <w:r>
        <w:rPr>
          <w:rFonts w:ascii="Palatino Linotype" w:eastAsia="Palatino Linotype" w:hAnsi="Palatino Linotype" w:cs="Palatino Linotype"/>
        </w:rPr>
        <w:lastRenderedPageBreak/>
        <w:t>que de los mismos no se puede determinar con puntualidad como se implementan los ingresos recibidos (metódicamente por concepto de los ingresos del ayuntamiento por actividades económicas que se ejerza).</w:t>
      </w:r>
    </w:p>
    <w:p w:rsidR="00294684" w:rsidRDefault="00294684" w:rsidP="00294684">
      <w:pPr>
        <w:pBdr>
          <w:top w:val="nil"/>
          <w:left w:val="nil"/>
          <w:bottom w:val="nil"/>
          <w:right w:val="nil"/>
          <w:between w:val="nil"/>
        </w:pBdr>
        <w:spacing w:line="360" w:lineRule="auto"/>
        <w:ind w:right="-929"/>
        <w:jc w:val="both"/>
        <w:rPr>
          <w:rFonts w:ascii="Palatino Linotype" w:eastAsia="Palatino Linotype" w:hAnsi="Palatino Linotype" w:cs="Palatino Linotype"/>
        </w:rPr>
      </w:pPr>
    </w:p>
    <w:p w:rsidR="005C4853" w:rsidRDefault="00E30EFA">
      <w:pPr>
        <w:numPr>
          <w:ilvl w:val="0"/>
          <w:numId w:val="2"/>
        </w:numPr>
        <w:pBdr>
          <w:top w:val="nil"/>
          <w:left w:val="nil"/>
          <w:bottom w:val="nil"/>
          <w:right w:val="nil"/>
          <w:between w:val="nil"/>
        </w:pBdr>
        <w:spacing w:line="360" w:lineRule="auto"/>
        <w:ind w:left="0" w:right="-929" w:firstLine="0"/>
        <w:jc w:val="both"/>
        <w:rPr>
          <w:rFonts w:ascii="Palatino Linotype" w:eastAsia="Palatino Linotype" w:hAnsi="Palatino Linotype" w:cs="Palatino Linotype"/>
        </w:rPr>
      </w:pPr>
      <w:r>
        <w:rPr>
          <w:rFonts w:ascii="Palatino Linotype" w:eastAsia="Palatino Linotype" w:hAnsi="Palatino Linotype" w:cs="Palatino Linotype"/>
        </w:rPr>
        <w:t>Ello en razón, que lo remitido corresponden a reportes contables y presupuestarios que muestran cómo un Ayuntamiento o ente público está utilizando el presupuesto autorizado para gastar recursos públicos, pero no permiten en el caso concreto, determinar puntualmente cómo se implementan los ingresos recibidos por concepto de los ingresos del ayuntamiento por actividades económicas que se ejerza.</w:t>
      </w:r>
    </w:p>
    <w:p w:rsidR="005C4853" w:rsidRDefault="005C4853">
      <w:pPr>
        <w:pBdr>
          <w:top w:val="nil"/>
          <w:left w:val="nil"/>
          <w:bottom w:val="nil"/>
          <w:right w:val="nil"/>
          <w:between w:val="nil"/>
        </w:pBdr>
        <w:spacing w:line="360" w:lineRule="auto"/>
        <w:ind w:left="720" w:right="-929"/>
        <w:rPr>
          <w:rFonts w:ascii="Palatino Linotype" w:eastAsia="Palatino Linotype" w:hAnsi="Palatino Linotype" w:cs="Palatino Linotype"/>
          <w:color w:val="000000"/>
        </w:rPr>
      </w:pPr>
    </w:p>
    <w:p w:rsidR="005C4853" w:rsidRDefault="00E30EFA">
      <w:pPr>
        <w:numPr>
          <w:ilvl w:val="0"/>
          <w:numId w:val="2"/>
        </w:numPr>
        <w:pBdr>
          <w:top w:val="nil"/>
          <w:left w:val="nil"/>
          <w:bottom w:val="nil"/>
          <w:right w:val="nil"/>
          <w:between w:val="nil"/>
        </w:pBdr>
        <w:spacing w:line="360" w:lineRule="auto"/>
        <w:ind w:left="0" w:right="-929" w:firstLine="0"/>
        <w:jc w:val="both"/>
        <w:rPr>
          <w:rFonts w:ascii="Palatino Linotype" w:eastAsia="Palatino Linotype" w:hAnsi="Palatino Linotype" w:cs="Palatino Linotype"/>
        </w:rPr>
      </w:pPr>
      <w:r>
        <w:rPr>
          <w:rFonts w:ascii="Palatino Linotype" w:eastAsia="Palatino Linotype" w:hAnsi="Palatino Linotype" w:cs="Palatino Linotype"/>
        </w:rPr>
        <w:t>Los estados e informes agregados, en general, tienen como propósito aportar información pertinente, clara, confiable y oportuna a los responsables de la gestión política y económica del Estado para ser utilizada en la toma de decisiones gubernamentales en general y sobre finanzas públicas en particular, así como para ser utilizada por los analistas y la sociedad en general.</w:t>
      </w:r>
    </w:p>
    <w:p w:rsidR="005C4853" w:rsidRDefault="005C4853">
      <w:pPr>
        <w:pBdr>
          <w:top w:val="nil"/>
          <w:left w:val="nil"/>
          <w:bottom w:val="nil"/>
          <w:right w:val="nil"/>
          <w:between w:val="nil"/>
        </w:pBdr>
        <w:spacing w:line="360" w:lineRule="auto"/>
        <w:ind w:right="-929"/>
        <w:jc w:val="both"/>
        <w:rPr>
          <w:rFonts w:ascii="Palatino Linotype" w:eastAsia="Palatino Linotype" w:hAnsi="Palatino Linotype" w:cs="Palatino Linotype"/>
        </w:rPr>
      </w:pPr>
    </w:p>
    <w:p w:rsidR="005C4853" w:rsidRDefault="00E30EFA">
      <w:pPr>
        <w:numPr>
          <w:ilvl w:val="0"/>
          <w:numId w:val="2"/>
        </w:numPr>
        <w:pBdr>
          <w:top w:val="nil"/>
          <w:left w:val="nil"/>
          <w:bottom w:val="nil"/>
          <w:right w:val="nil"/>
          <w:between w:val="nil"/>
        </w:pBdr>
        <w:spacing w:line="360" w:lineRule="auto"/>
        <w:ind w:left="0" w:right="-929" w:firstLine="0"/>
        <w:jc w:val="both"/>
        <w:rPr>
          <w:rFonts w:ascii="Palatino Linotype" w:eastAsia="Palatino Linotype" w:hAnsi="Palatino Linotype" w:cs="Palatino Linotype"/>
        </w:rPr>
      </w:pPr>
      <w:r>
        <w:rPr>
          <w:rFonts w:ascii="Palatino Linotype" w:eastAsia="Palatino Linotype" w:hAnsi="Palatino Linotype" w:cs="Palatino Linotype"/>
        </w:rPr>
        <w:t>La clasificación de la información presupuestaria a generar será al menos la siguiente:</w:t>
      </w:r>
    </w:p>
    <w:p w:rsidR="005C4853" w:rsidRDefault="00E30EFA">
      <w:pPr>
        <w:numPr>
          <w:ilvl w:val="0"/>
          <w:numId w:val="9"/>
        </w:numPr>
        <w:pBdr>
          <w:top w:val="nil"/>
          <w:left w:val="nil"/>
          <w:bottom w:val="nil"/>
          <w:right w:val="nil"/>
          <w:between w:val="nil"/>
        </w:pBdr>
        <w:spacing w:line="360" w:lineRule="auto"/>
        <w:ind w:right="-929"/>
        <w:jc w:val="both"/>
        <w:rPr>
          <w:rFonts w:ascii="Palatino Linotype" w:eastAsia="Palatino Linotype" w:hAnsi="Palatino Linotype" w:cs="Palatino Linotype"/>
        </w:rPr>
      </w:pPr>
      <w:r>
        <w:rPr>
          <w:rFonts w:ascii="Palatino Linotype" w:eastAsia="Palatino Linotype" w:hAnsi="Palatino Linotype" w:cs="Palatino Linotype"/>
        </w:rPr>
        <w:t>Clasificación por Objeto del Gasto (Capítulo y Concepto).</w:t>
      </w:r>
    </w:p>
    <w:p w:rsidR="005C4853" w:rsidRDefault="00E30EFA">
      <w:pPr>
        <w:numPr>
          <w:ilvl w:val="0"/>
          <w:numId w:val="9"/>
        </w:numPr>
        <w:pBdr>
          <w:top w:val="nil"/>
          <w:left w:val="nil"/>
          <w:bottom w:val="nil"/>
          <w:right w:val="nil"/>
          <w:between w:val="nil"/>
        </w:pBdr>
        <w:spacing w:line="360" w:lineRule="auto"/>
        <w:ind w:right="-929"/>
        <w:jc w:val="both"/>
        <w:rPr>
          <w:rFonts w:ascii="Palatino Linotype" w:eastAsia="Palatino Linotype" w:hAnsi="Palatino Linotype" w:cs="Palatino Linotype"/>
        </w:rPr>
      </w:pPr>
      <w:r>
        <w:rPr>
          <w:rFonts w:ascii="Palatino Linotype" w:eastAsia="Palatino Linotype" w:hAnsi="Palatino Linotype" w:cs="Palatino Linotype"/>
        </w:rPr>
        <w:t>Clasificación Económica (por Tipo de Gasto).</w:t>
      </w:r>
    </w:p>
    <w:p w:rsidR="005C4853" w:rsidRDefault="00E30EFA">
      <w:pPr>
        <w:numPr>
          <w:ilvl w:val="0"/>
          <w:numId w:val="9"/>
        </w:numPr>
        <w:pBdr>
          <w:top w:val="nil"/>
          <w:left w:val="nil"/>
          <w:bottom w:val="nil"/>
          <w:right w:val="nil"/>
          <w:between w:val="nil"/>
        </w:pBdr>
        <w:spacing w:line="360" w:lineRule="auto"/>
        <w:ind w:right="-929"/>
        <w:jc w:val="both"/>
        <w:rPr>
          <w:rFonts w:ascii="Palatino Linotype" w:eastAsia="Palatino Linotype" w:hAnsi="Palatino Linotype" w:cs="Palatino Linotype"/>
        </w:rPr>
      </w:pPr>
      <w:r>
        <w:rPr>
          <w:rFonts w:ascii="Palatino Linotype" w:eastAsia="Palatino Linotype" w:hAnsi="Palatino Linotype" w:cs="Palatino Linotype"/>
        </w:rPr>
        <w:t>Clasificación Administrativa.</w:t>
      </w:r>
    </w:p>
    <w:p w:rsidR="005C4853" w:rsidRDefault="00E30EFA">
      <w:pPr>
        <w:numPr>
          <w:ilvl w:val="0"/>
          <w:numId w:val="9"/>
        </w:numPr>
        <w:pBdr>
          <w:top w:val="nil"/>
          <w:left w:val="nil"/>
          <w:bottom w:val="nil"/>
          <w:right w:val="nil"/>
          <w:between w:val="nil"/>
        </w:pBdr>
        <w:spacing w:line="360" w:lineRule="auto"/>
        <w:ind w:right="-929"/>
        <w:jc w:val="both"/>
        <w:rPr>
          <w:rFonts w:ascii="Palatino Linotype" w:eastAsia="Palatino Linotype" w:hAnsi="Palatino Linotype" w:cs="Palatino Linotype"/>
        </w:rPr>
      </w:pPr>
      <w:r>
        <w:rPr>
          <w:rFonts w:ascii="Palatino Linotype" w:eastAsia="Palatino Linotype" w:hAnsi="Palatino Linotype" w:cs="Palatino Linotype"/>
        </w:rPr>
        <w:t>Clasificación Funcional (Finalidad y Función)</w:t>
      </w:r>
    </w:p>
    <w:p w:rsidR="005C4853" w:rsidRDefault="005C4853">
      <w:pPr>
        <w:pBdr>
          <w:top w:val="nil"/>
          <w:left w:val="nil"/>
          <w:bottom w:val="nil"/>
          <w:right w:val="nil"/>
          <w:between w:val="nil"/>
        </w:pBdr>
        <w:spacing w:line="360" w:lineRule="auto"/>
        <w:ind w:right="-929"/>
        <w:jc w:val="both"/>
        <w:rPr>
          <w:rFonts w:ascii="Palatino Linotype" w:eastAsia="Palatino Linotype" w:hAnsi="Palatino Linotype" w:cs="Palatino Linotype"/>
        </w:rPr>
      </w:pPr>
    </w:p>
    <w:p w:rsidR="005C4853" w:rsidRDefault="00E30EFA">
      <w:pPr>
        <w:numPr>
          <w:ilvl w:val="0"/>
          <w:numId w:val="2"/>
        </w:numPr>
        <w:pBdr>
          <w:top w:val="nil"/>
          <w:left w:val="nil"/>
          <w:bottom w:val="nil"/>
          <w:right w:val="nil"/>
          <w:between w:val="nil"/>
        </w:pBdr>
        <w:spacing w:line="360" w:lineRule="auto"/>
        <w:ind w:left="0" w:right="-929"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En ese sentido la </w:t>
      </w:r>
      <w:r>
        <w:rPr>
          <w:rFonts w:ascii="Palatino Linotype" w:eastAsia="Palatino Linotype" w:hAnsi="Palatino Linotype" w:cs="Palatino Linotype"/>
          <w:u w:val="single"/>
        </w:rPr>
        <w:t>clasificación económica</w:t>
      </w:r>
      <w:r>
        <w:rPr>
          <w:rFonts w:ascii="Palatino Linotype" w:eastAsia="Palatino Linotype" w:hAnsi="Palatino Linotype" w:cs="Palatino Linotype"/>
        </w:rPr>
        <w:t xml:space="preserve">, muestra en qué tipo de gasto se utiliza el dinero público, es decir, la naturaleza económica del gasto; como se desprende de lo </w:t>
      </w:r>
      <w:r>
        <w:rPr>
          <w:rFonts w:ascii="Palatino Linotype" w:eastAsia="Palatino Linotype" w:hAnsi="Palatino Linotype" w:cs="Palatino Linotype"/>
        </w:rPr>
        <w:lastRenderedPageBreak/>
        <w:t>entregado, a saber: gasto corriente, gasto de capital, amortización de la deuda, pensiones y jubilaciones y, participaciones.</w:t>
      </w:r>
    </w:p>
    <w:p w:rsidR="005C4853" w:rsidRDefault="005C4853">
      <w:pPr>
        <w:pBdr>
          <w:top w:val="nil"/>
          <w:left w:val="nil"/>
          <w:bottom w:val="nil"/>
          <w:right w:val="nil"/>
          <w:between w:val="nil"/>
        </w:pBdr>
        <w:spacing w:line="360" w:lineRule="auto"/>
        <w:ind w:left="644" w:right="-929"/>
        <w:jc w:val="both"/>
        <w:rPr>
          <w:rFonts w:ascii="Palatino Linotype" w:eastAsia="Palatino Linotype" w:hAnsi="Palatino Linotype" w:cs="Palatino Linotype"/>
        </w:rPr>
      </w:pPr>
    </w:p>
    <w:p w:rsidR="005C4853" w:rsidRDefault="00E30EFA">
      <w:pPr>
        <w:numPr>
          <w:ilvl w:val="0"/>
          <w:numId w:val="2"/>
        </w:numPr>
        <w:pBdr>
          <w:top w:val="nil"/>
          <w:left w:val="nil"/>
          <w:bottom w:val="nil"/>
          <w:right w:val="nil"/>
          <w:between w:val="nil"/>
        </w:pBdr>
        <w:spacing w:line="360" w:lineRule="auto"/>
        <w:ind w:left="0" w:right="-929"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La </w:t>
      </w:r>
      <w:r>
        <w:rPr>
          <w:rFonts w:ascii="Palatino Linotype" w:eastAsia="Palatino Linotype" w:hAnsi="Palatino Linotype" w:cs="Palatino Linotype"/>
          <w:u w:val="single"/>
        </w:rPr>
        <w:t>clasificación administrativa</w:t>
      </w:r>
      <w:r>
        <w:rPr>
          <w:rFonts w:ascii="Palatino Linotype" w:eastAsia="Palatino Linotype" w:hAnsi="Palatino Linotype" w:cs="Palatino Linotype"/>
        </w:rPr>
        <w:t xml:space="preserve"> muestra qué dependencia o área del Ayuntamiento ejerce el gasto, como precisamente se desprende de lo entregado en respuesta (Presidencia, Regidurías, Administración, etcétera)</w:t>
      </w:r>
    </w:p>
    <w:p w:rsidR="005C4853" w:rsidRDefault="005C4853">
      <w:pPr>
        <w:pBdr>
          <w:top w:val="nil"/>
          <w:left w:val="nil"/>
          <w:bottom w:val="nil"/>
          <w:right w:val="nil"/>
          <w:between w:val="nil"/>
        </w:pBdr>
        <w:spacing w:line="360" w:lineRule="auto"/>
        <w:ind w:left="644" w:right="-929"/>
        <w:jc w:val="both"/>
        <w:rPr>
          <w:rFonts w:ascii="Palatino Linotype" w:eastAsia="Palatino Linotype" w:hAnsi="Palatino Linotype" w:cs="Palatino Linotype"/>
        </w:rPr>
      </w:pPr>
    </w:p>
    <w:p w:rsidR="005C4853" w:rsidRDefault="00E30EFA">
      <w:pPr>
        <w:numPr>
          <w:ilvl w:val="0"/>
          <w:numId w:val="2"/>
        </w:numPr>
        <w:pBdr>
          <w:top w:val="nil"/>
          <w:left w:val="nil"/>
          <w:bottom w:val="nil"/>
          <w:right w:val="nil"/>
          <w:between w:val="nil"/>
        </w:pBdr>
        <w:spacing w:line="360" w:lineRule="auto"/>
        <w:ind w:left="0" w:right="-929"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Por cuanto hace a la </w:t>
      </w:r>
      <w:r>
        <w:rPr>
          <w:rFonts w:ascii="Palatino Linotype" w:eastAsia="Palatino Linotype" w:hAnsi="Palatino Linotype" w:cs="Palatino Linotype"/>
          <w:u w:val="single"/>
        </w:rPr>
        <w:t>clasificación por objeto del gasto</w:t>
      </w:r>
      <w:r>
        <w:rPr>
          <w:rFonts w:ascii="Palatino Linotype" w:eastAsia="Palatino Linotype" w:hAnsi="Palatino Linotype" w:cs="Palatino Linotype"/>
        </w:rPr>
        <w:t>, divide en capítulos, conceptos y partidas, por ejemplo 1000 Servicios Personales, 2000 Materiales y Suministros; luego entonces no es dable determinar cómo se implementan los ingresos recibidos puntualmente por concepto de los ingresos por actividades económicas que ejerce el Ayuntamiento.</w:t>
      </w:r>
    </w:p>
    <w:p w:rsidR="005C4853" w:rsidRDefault="005C4853">
      <w:pPr>
        <w:pBdr>
          <w:top w:val="nil"/>
          <w:left w:val="nil"/>
          <w:bottom w:val="nil"/>
          <w:right w:val="nil"/>
          <w:between w:val="nil"/>
        </w:pBdr>
        <w:spacing w:line="360" w:lineRule="auto"/>
        <w:ind w:left="644" w:right="-929"/>
        <w:jc w:val="both"/>
        <w:rPr>
          <w:rFonts w:ascii="Palatino Linotype" w:eastAsia="Palatino Linotype" w:hAnsi="Palatino Linotype" w:cs="Palatino Linotype"/>
        </w:rPr>
      </w:pPr>
    </w:p>
    <w:p w:rsidR="005C4853" w:rsidRDefault="00E30EFA">
      <w:pPr>
        <w:numPr>
          <w:ilvl w:val="0"/>
          <w:numId w:val="2"/>
        </w:numPr>
        <w:pBdr>
          <w:top w:val="nil"/>
          <w:left w:val="nil"/>
          <w:bottom w:val="nil"/>
          <w:right w:val="nil"/>
          <w:between w:val="nil"/>
        </w:pBdr>
        <w:spacing w:line="360" w:lineRule="auto"/>
        <w:ind w:left="0" w:right="-929"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Seguidamente, </w:t>
      </w:r>
      <w:r>
        <w:rPr>
          <w:rFonts w:ascii="Palatino Linotype" w:eastAsia="Palatino Linotype" w:hAnsi="Palatino Linotype" w:cs="Palatino Linotype"/>
          <w:u w:val="single"/>
        </w:rPr>
        <w:t>la clasificación funcional (finalidad y función)</w:t>
      </w:r>
      <w:r>
        <w:rPr>
          <w:rFonts w:ascii="Palatino Linotype" w:eastAsia="Palatino Linotype" w:hAnsi="Palatino Linotype" w:cs="Palatino Linotype"/>
        </w:rPr>
        <w:t>, muestra para qué función pública se utiliza el gasto; es decir, qué necesidad pública atiende, como se desprende precisamente de lo remitido: protección ambiental, transporte, saneamiento del sistema financiero, etcétera.</w:t>
      </w:r>
    </w:p>
    <w:p w:rsidR="005C4853" w:rsidRDefault="005C4853">
      <w:pPr>
        <w:pBdr>
          <w:top w:val="nil"/>
          <w:left w:val="nil"/>
          <w:bottom w:val="nil"/>
          <w:right w:val="nil"/>
          <w:between w:val="nil"/>
        </w:pBdr>
        <w:spacing w:line="360" w:lineRule="auto"/>
        <w:ind w:left="644" w:right="-929"/>
        <w:jc w:val="both"/>
        <w:rPr>
          <w:rFonts w:ascii="Palatino Linotype" w:eastAsia="Palatino Linotype" w:hAnsi="Palatino Linotype" w:cs="Palatino Linotype"/>
        </w:rPr>
      </w:pPr>
    </w:p>
    <w:p w:rsidR="005C4853" w:rsidRDefault="00E30EFA">
      <w:pPr>
        <w:numPr>
          <w:ilvl w:val="0"/>
          <w:numId w:val="2"/>
        </w:numPr>
        <w:pBdr>
          <w:top w:val="nil"/>
          <w:left w:val="nil"/>
          <w:bottom w:val="nil"/>
          <w:right w:val="nil"/>
          <w:between w:val="nil"/>
        </w:pBdr>
        <w:spacing w:line="360" w:lineRule="auto"/>
        <w:ind w:left="0" w:right="-929"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Luego entonces, si bien es cierto, lo sujetos obligados no están obligados a generar documentos </w:t>
      </w:r>
      <w:r>
        <w:rPr>
          <w:rFonts w:ascii="Palatino Linotype" w:eastAsia="Palatino Linotype" w:hAnsi="Palatino Linotype" w:cs="Palatino Linotype"/>
          <w:i/>
          <w:iCs/>
        </w:rPr>
        <w:t xml:space="preserve">ad hoc, </w:t>
      </w:r>
      <w:r>
        <w:rPr>
          <w:rFonts w:ascii="Palatino Linotype" w:eastAsia="Palatino Linotype" w:hAnsi="Palatino Linotype" w:cs="Palatino Linotype"/>
        </w:rPr>
        <w:t>con la finalidad de atender los requerimientos de los solicitantes conforme a sus intereses particulares, bastando con entregar el soporte documental en que conste o se advierta lo solicitado; también lo es que en el caso concreto, no es posible determinar a qué conceptos se aplicaron dichos recursos del universo de información, conceptos y rubros que se entregaron en respuesta.</w:t>
      </w:r>
    </w:p>
    <w:p w:rsidR="005C4853" w:rsidRDefault="005C4853">
      <w:pPr>
        <w:pBdr>
          <w:top w:val="nil"/>
          <w:left w:val="nil"/>
          <w:bottom w:val="nil"/>
          <w:right w:val="nil"/>
          <w:between w:val="nil"/>
        </w:pBdr>
        <w:spacing w:line="360" w:lineRule="auto"/>
        <w:ind w:left="644" w:right="-929"/>
        <w:jc w:val="both"/>
        <w:rPr>
          <w:rFonts w:ascii="Palatino Linotype" w:eastAsia="Palatino Linotype" w:hAnsi="Palatino Linotype" w:cs="Palatino Linotype"/>
        </w:rPr>
      </w:pPr>
    </w:p>
    <w:p w:rsidR="005C4853" w:rsidRDefault="00E30EFA">
      <w:pPr>
        <w:numPr>
          <w:ilvl w:val="0"/>
          <w:numId w:val="2"/>
        </w:numPr>
        <w:pBdr>
          <w:top w:val="nil"/>
          <w:left w:val="nil"/>
          <w:bottom w:val="nil"/>
          <w:right w:val="nil"/>
          <w:between w:val="nil"/>
        </w:pBdr>
        <w:spacing w:line="360" w:lineRule="auto"/>
        <w:ind w:left="0" w:right="-929" w:firstLine="0"/>
        <w:jc w:val="both"/>
        <w:rPr>
          <w:rFonts w:ascii="Palatino Linotype" w:eastAsia="Palatino Linotype" w:hAnsi="Palatino Linotype" w:cs="Palatino Linotype"/>
        </w:rPr>
      </w:pPr>
      <w:r>
        <w:rPr>
          <w:rFonts w:ascii="Palatino Linotype" w:eastAsia="Palatino Linotype" w:hAnsi="Palatino Linotype" w:cs="Palatino Linotype"/>
        </w:rPr>
        <w:lastRenderedPageBreak/>
        <w:t>Contexto similar ocurre con la liga de Internet remitida (https://www2.toluca.gob.mx/proactiva-fiscal), pues si bien esta se encuentra en formato abierto, permitiendo su ingreso de manera inmediata con la sola acción de dar clic en el enlace; también lo es, que esta remite a los presupuestos autorizados de los Ejercicios Fiscales 2018 a 2026, como se desprende de la siguiente captura:</w:t>
      </w:r>
    </w:p>
    <w:p w:rsidR="005C4853" w:rsidRDefault="005C4853">
      <w:pPr>
        <w:pBdr>
          <w:top w:val="nil"/>
          <w:left w:val="nil"/>
          <w:bottom w:val="nil"/>
          <w:right w:val="nil"/>
          <w:between w:val="nil"/>
        </w:pBdr>
        <w:spacing w:line="360" w:lineRule="auto"/>
        <w:ind w:left="720" w:right="-929"/>
        <w:rPr>
          <w:rFonts w:ascii="Palatino Linotype" w:eastAsia="Palatino Linotype" w:hAnsi="Palatino Linotype" w:cs="Palatino Linotype"/>
          <w:color w:val="000000"/>
        </w:rPr>
      </w:pPr>
    </w:p>
    <w:p w:rsidR="005C4853" w:rsidRDefault="00E30EFA">
      <w:pPr>
        <w:pBdr>
          <w:top w:val="nil"/>
          <w:left w:val="nil"/>
          <w:bottom w:val="nil"/>
          <w:right w:val="nil"/>
          <w:between w:val="nil"/>
        </w:pBdr>
        <w:spacing w:line="360" w:lineRule="auto"/>
        <w:ind w:right="-929"/>
        <w:jc w:val="both"/>
        <w:rPr>
          <w:rFonts w:ascii="Palatino Linotype" w:eastAsia="Palatino Linotype" w:hAnsi="Palatino Linotype" w:cs="Palatino Linotype"/>
        </w:rPr>
      </w:pPr>
      <w:r>
        <w:rPr>
          <w:rFonts w:ascii="Palatino Linotype" w:eastAsia="Palatino Linotype" w:hAnsi="Palatino Linotype" w:cs="Palatino Linotype"/>
          <w:noProof/>
          <w:lang w:val="es-MX"/>
        </w:rPr>
        <w:drawing>
          <wp:inline distT="0" distB="0" distL="0" distR="0">
            <wp:extent cx="5612130" cy="1905635"/>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5612130" cy="1905635"/>
                    </a:xfrm>
                    <a:prstGeom prst="rect">
                      <a:avLst/>
                    </a:prstGeom>
                    <a:ln/>
                  </pic:spPr>
                </pic:pic>
              </a:graphicData>
            </a:graphic>
          </wp:inline>
        </w:drawing>
      </w:r>
    </w:p>
    <w:p w:rsidR="005C4853" w:rsidRDefault="00E30EFA">
      <w:pPr>
        <w:pBdr>
          <w:top w:val="nil"/>
          <w:left w:val="nil"/>
          <w:bottom w:val="nil"/>
          <w:right w:val="nil"/>
          <w:between w:val="nil"/>
        </w:pBdr>
        <w:spacing w:line="360" w:lineRule="auto"/>
        <w:ind w:right="-929"/>
        <w:jc w:val="center"/>
        <w:rPr>
          <w:rFonts w:ascii="Palatino Linotype" w:eastAsia="Palatino Linotype" w:hAnsi="Palatino Linotype" w:cs="Palatino Linotype"/>
          <w:b/>
          <w:bCs/>
        </w:rPr>
      </w:pPr>
      <w:r>
        <w:rPr>
          <w:rFonts w:ascii="Palatino Linotype" w:eastAsia="Palatino Linotype" w:hAnsi="Palatino Linotype" w:cs="Palatino Linotype"/>
          <w:b/>
          <w:bCs/>
        </w:rPr>
        <w:t>(…)</w:t>
      </w:r>
    </w:p>
    <w:p w:rsidR="005C4853" w:rsidRDefault="005C4853">
      <w:pPr>
        <w:pBdr>
          <w:top w:val="nil"/>
          <w:left w:val="nil"/>
          <w:bottom w:val="nil"/>
          <w:right w:val="nil"/>
          <w:between w:val="nil"/>
        </w:pBdr>
        <w:spacing w:line="360" w:lineRule="auto"/>
        <w:ind w:left="720" w:right="-929"/>
        <w:rPr>
          <w:rFonts w:ascii="Palatino Linotype" w:eastAsia="Palatino Linotype" w:hAnsi="Palatino Linotype" w:cs="Palatino Linotype"/>
          <w:color w:val="000000"/>
        </w:rPr>
      </w:pPr>
    </w:p>
    <w:p w:rsidR="005C4853" w:rsidRDefault="00E30EFA">
      <w:pPr>
        <w:numPr>
          <w:ilvl w:val="0"/>
          <w:numId w:val="2"/>
        </w:numPr>
        <w:pBdr>
          <w:top w:val="nil"/>
          <w:left w:val="nil"/>
          <w:bottom w:val="nil"/>
          <w:right w:val="nil"/>
          <w:between w:val="nil"/>
        </w:pBdr>
        <w:spacing w:line="360" w:lineRule="auto"/>
        <w:ind w:left="0" w:right="-929" w:firstLine="0"/>
        <w:jc w:val="both"/>
        <w:rPr>
          <w:rFonts w:ascii="Palatino Linotype" w:eastAsia="Palatino Linotype" w:hAnsi="Palatino Linotype" w:cs="Palatino Linotype"/>
          <w:color w:val="000000"/>
        </w:rPr>
      </w:pPr>
      <w:r>
        <w:rPr>
          <w:rFonts w:ascii="Palatino Linotype" w:eastAsia="Palatino Linotype" w:hAnsi="Palatino Linotype" w:cs="Palatino Linotype"/>
        </w:rPr>
        <w:t xml:space="preserve">Luego entonces, tampoco es posible determinar cómo se realizó el gasto y el concepto derivado de la búsqueda exhaustiva, que en todo caso debiera emprender el solicitante en el cúmulo de información que obra en el sitio de referencia; sumado a que se desconoce cuáles fueron los conceptos, </w:t>
      </w:r>
      <w:r>
        <w:rPr>
          <w:rFonts w:ascii="Palatino Linotype" w:eastAsia="Palatino Linotype" w:hAnsi="Palatino Linotype" w:cs="Palatino Linotype"/>
          <w:u w:val="single"/>
        </w:rPr>
        <w:t>pues de ello no existió pronunciamiento</w:t>
      </w:r>
      <w:r>
        <w:rPr>
          <w:rFonts w:ascii="Palatino Linotype" w:eastAsia="Palatino Linotype" w:hAnsi="Palatino Linotype" w:cs="Palatino Linotype"/>
        </w:rPr>
        <w:t>.</w:t>
      </w:r>
    </w:p>
    <w:p w:rsidR="005C4853" w:rsidRDefault="005C4853">
      <w:pPr>
        <w:pBdr>
          <w:top w:val="nil"/>
          <w:left w:val="nil"/>
          <w:bottom w:val="nil"/>
          <w:right w:val="nil"/>
          <w:between w:val="nil"/>
        </w:pBdr>
        <w:spacing w:line="360" w:lineRule="auto"/>
        <w:ind w:right="-929"/>
        <w:jc w:val="both"/>
        <w:rPr>
          <w:rFonts w:ascii="Palatino Linotype" w:eastAsia="Palatino Linotype" w:hAnsi="Palatino Linotype" w:cs="Palatino Linotype"/>
          <w:color w:val="000000"/>
        </w:rPr>
      </w:pPr>
    </w:p>
    <w:p w:rsidR="005C4853" w:rsidRDefault="00E30EFA">
      <w:pPr>
        <w:numPr>
          <w:ilvl w:val="0"/>
          <w:numId w:val="2"/>
        </w:numPr>
        <w:pBdr>
          <w:top w:val="nil"/>
          <w:left w:val="nil"/>
          <w:bottom w:val="nil"/>
          <w:right w:val="nil"/>
          <w:between w:val="nil"/>
        </w:pBdr>
        <w:spacing w:line="360" w:lineRule="auto"/>
        <w:ind w:left="0" w:right="-929"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Lo anterior en virtud que</w:t>
      </w:r>
      <w:r>
        <w:rPr>
          <w:rFonts w:ascii="Palatino Linotype" w:eastAsia="Palatino Linotype" w:hAnsi="Palatino Linotype" w:cs="Palatino Linotype"/>
        </w:rPr>
        <w:t xml:space="preserve"> los artículos 11 y 161 de la Ley de Transparencia Estatal, señalan las características que debe disfrutar toda información entregada por los sujetos obligados desde el momento de su generación, publicación y entrega vía hipervínculo, así </w:t>
      </w:r>
      <w:r>
        <w:rPr>
          <w:rFonts w:ascii="Palatino Linotype" w:eastAsia="Palatino Linotype" w:hAnsi="Palatino Linotype" w:cs="Palatino Linotype"/>
        </w:rPr>
        <w:lastRenderedPageBreak/>
        <w:t>como la forma en que se deberá consultar la información, señalando una fuente precisa y concreta, como se observa a continuación:</w:t>
      </w:r>
    </w:p>
    <w:p w:rsidR="005C4853" w:rsidRDefault="00E30EFA">
      <w:pPr>
        <w:pBdr>
          <w:top w:val="nil"/>
          <w:left w:val="nil"/>
          <w:bottom w:val="nil"/>
          <w:right w:val="nil"/>
          <w:between w:val="nil"/>
        </w:pBdr>
        <w:spacing w:line="360" w:lineRule="auto"/>
        <w:ind w:left="567" w:right="-929"/>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Artículo 11.</w:t>
      </w:r>
      <w:r>
        <w:rPr>
          <w:rFonts w:ascii="Palatino Linotype" w:eastAsia="Palatino Linotype" w:hAnsi="Palatino Linotype" w:cs="Palatino Linotype"/>
          <w:i/>
          <w:iCs/>
          <w:color w:val="000000"/>
        </w:rPr>
        <w:t xml:space="preserve"> </w:t>
      </w:r>
      <w:r>
        <w:rPr>
          <w:rFonts w:ascii="Palatino Linotype" w:eastAsia="Palatino Linotype" w:hAnsi="Palatino Linotype" w:cs="Palatino Linotype"/>
          <w:b/>
          <w:bCs/>
          <w:i/>
          <w:iCs/>
          <w:color w:val="000000"/>
          <w:u w:val="single"/>
        </w:rPr>
        <w:t>En la generación, publicación y entrega de información se deberá garantizar que ésta sea accesible</w:t>
      </w:r>
      <w:r>
        <w:rPr>
          <w:rFonts w:ascii="Palatino Linotype" w:eastAsia="Palatino Linotype" w:hAnsi="Palatino Linotype" w:cs="Palatino Linotype"/>
          <w:i/>
          <w:iCs/>
          <w:color w:val="000000"/>
        </w:rPr>
        <w:t>, actualizada, completa, congruente, confiable, verificable, veraz, integral, oportuna y expedita, sujeta a un claro régimen de excepciones que deberá estar definido y ser además legítima y estrictamente necesaria en una sociedad democrática, por lo que atenderá las necesidades del derecho de acceso a la información de toda persona.</w:t>
      </w:r>
    </w:p>
    <w:p w:rsidR="005C4853" w:rsidRDefault="00E30EFA">
      <w:pPr>
        <w:pBdr>
          <w:top w:val="nil"/>
          <w:left w:val="nil"/>
          <w:bottom w:val="nil"/>
          <w:right w:val="nil"/>
          <w:between w:val="nil"/>
        </w:pBdr>
        <w:spacing w:line="360" w:lineRule="auto"/>
        <w:ind w:left="567" w:right="-929"/>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w:t>
      </w:r>
    </w:p>
    <w:p w:rsidR="005C4853" w:rsidRDefault="005C4853">
      <w:pPr>
        <w:pBdr>
          <w:top w:val="nil"/>
          <w:left w:val="nil"/>
          <w:bottom w:val="nil"/>
          <w:right w:val="nil"/>
          <w:between w:val="nil"/>
        </w:pBdr>
        <w:spacing w:line="360" w:lineRule="auto"/>
        <w:ind w:left="567" w:right="-929"/>
        <w:jc w:val="both"/>
        <w:rPr>
          <w:rFonts w:ascii="Palatino Linotype" w:eastAsia="Palatino Linotype" w:hAnsi="Palatino Linotype" w:cs="Palatino Linotype"/>
          <w:i/>
          <w:iCs/>
          <w:color w:val="000000"/>
        </w:rPr>
      </w:pPr>
    </w:p>
    <w:p w:rsidR="005C4853" w:rsidRDefault="00E30EFA">
      <w:pPr>
        <w:pBdr>
          <w:top w:val="nil"/>
          <w:left w:val="nil"/>
          <w:bottom w:val="nil"/>
          <w:right w:val="nil"/>
          <w:between w:val="nil"/>
        </w:pBdr>
        <w:spacing w:line="360" w:lineRule="auto"/>
        <w:ind w:left="567" w:right="-929"/>
        <w:jc w:val="both"/>
        <w:rPr>
          <w:rFonts w:ascii="Palatino Linotype" w:eastAsia="Palatino Linotype" w:hAnsi="Palatino Linotype" w:cs="Palatino Linotype"/>
          <w:b/>
          <w:bCs/>
          <w:i/>
          <w:iCs/>
          <w:color w:val="000000"/>
          <w:u w:val="single"/>
        </w:rPr>
      </w:pPr>
      <w:r>
        <w:rPr>
          <w:rFonts w:ascii="Palatino Linotype" w:eastAsia="Palatino Linotype" w:hAnsi="Palatino Linotype" w:cs="Palatino Linotype"/>
          <w:b/>
          <w:bCs/>
          <w:i/>
          <w:iCs/>
          <w:color w:val="000000"/>
        </w:rPr>
        <w:t>Artículo 161.</w:t>
      </w:r>
      <w:r>
        <w:rPr>
          <w:rFonts w:ascii="Palatino Linotype" w:eastAsia="Palatino Linotype" w:hAnsi="Palatino Linotype" w:cs="Palatino Linotype"/>
          <w:i/>
          <w:iCs/>
          <w:color w:val="000000"/>
        </w:rPr>
        <w:t xml:space="preserve"> </w:t>
      </w:r>
      <w:r>
        <w:rPr>
          <w:rFonts w:ascii="Palatino Linotype" w:eastAsia="Palatino Linotype" w:hAnsi="Palatino Linotype" w:cs="Palatino Linotype"/>
          <w:b/>
          <w:bCs/>
          <w:i/>
          <w:iCs/>
          <w:color w:val="000000"/>
          <w:u w:val="single"/>
        </w:rPr>
        <w:t>Cuando la información requerida por el solicitante ya esté</w:t>
      </w:r>
      <w:r>
        <w:rPr>
          <w:rFonts w:ascii="Palatino Linotype" w:eastAsia="Palatino Linotype" w:hAnsi="Palatino Linotype" w:cs="Palatino Linotype"/>
          <w:i/>
          <w:iCs/>
          <w:color w:val="000000"/>
        </w:rPr>
        <w:t xml:space="preserve"> disponible al público en medios impresos, tales como libros, compendios, trípticos, registros públicos, en formatos electrónicos </w:t>
      </w:r>
      <w:r>
        <w:rPr>
          <w:rFonts w:ascii="Palatino Linotype" w:eastAsia="Palatino Linotype" w:hAnsi="Palatino Linotype" w:cs="Palatino Linotype"/>
          <w:b/>
          <w:bCs/>
          <w:i/>
          <w:iCs/>
          <w:color w:val="000000"/>
          <w:u w:val="single"/>
        </w:rPr>
        <w:t>disponibles en Internet</w:t>
      </w:r>
      <w:r>
        <w:rPr>
          <w:rFonts w:ascii="Palatino Linotype" w:eastAsia="Palatino Linotype" w:hAnsi="Palatino Linotype" w:cs="Palatino Linotype"/>
          <w:i/>
          <w:iCs/>
          <w:color w:val="000000"/>
        </w:rPr>
        <w:t xml:space="preserve"> o en cualquier otro medio, </w:t>
      </w:r>
      <w:r>
        <w:rPr>
          <w:rFonts w:ascii="Palatino Linotype" w:eastAsia="Palatino Linotype" w:hAnsi="Palatino Linotype" w:cs="Palatino Linotype"/>
          <w:b/>
          <w:bCs/>
          <w:i/>
          <w:iCs/>
          <w:color w:val="000000"/>
          <w:u w:val="single"/>
        </w:rPr>
        <w:t>se le hará saber por el medio requerido por el solicitante la fuente, el lugar y la forma en que puede consultar, reproducir o adquirir dicha información en un plazo no mayor a cinco días hábiles. La fuente deberá ser precisa y concreta y no debe implicar que el solicitante realice una búsqueda en toda la información que se encuentre disponible.”</w:t>
      </w:r>
    </w:p>
    <w:p w:rsidR="005C4853" w:rsidRDefault="005C4853">
      <w:pPr>
        <w:pBdr>
          <w:top w:val="nil"/>
          <w:left w:val="nil"/>
          <w:bottom w:val="nil"/>
          <w:right w:val="nil"/>
          <w:between w:val="nil"/>
        </w:pBdr>
        <w:spacing w:line="360" w:lineRule="auto"/>
        <w:ind w:left="426" w:right="-929"/>
        <w:jc w:val="both"/>
        <w:rPr>
          <w:rFonts w:ascii="Palatino Linotype" w:eastAsia="Palatino Linotype" w:hAnsi="Palatino Linotype" w:cs="Palatino Linotype"/>
          <w:i/>
          <w:iCs/>
          <w:color w:val="000000"/>
        </w:rPr>
      </w:pPr>
    </w:p>
    <w:p w:rsidR="005C4853" w:rsidRDefault="00E30EFA">
      <w:pPr>
        <w:numPr>
          <w:ilvl w:val="0"/>
          <w:numId w:val="2"/>
        </w:numPr>
        <w:pBdr>
          <w:top w:val="nil"/>
          <w:left w:val="nil"/>
          <w:bottom w:val="nil"/>
          <w:right w:val="nil"/>
          <w:between w:val="nil"/>
        </w:pBdr>
        <w:spacing w:line="360" w:lineRule="auto"/>
        <w:ind w:left="0" w:right="-929"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De los artículos transcritos, se establecen las características que debe tener la </w:t>
      </w:r>
      <w:r>
        <w:rPr>
          <w:rFonts w:ascii="Palatino Linotype" w:eastAsia="Palatino Linotype" w:hAnsi="Palatino Linotype" w:cs="Palatino Linotype"/>
          <w:color w:val="000000"/>
        </w:rPr>
        <w:t>información</w:t>
      </w:r>
      <w:r>
        <w:rPr>
          <w:rFonts w:ascii="Palatino Linotype" w:eastAsia="Palatino Linotype" w:hAnsi="Palatino Linotype" w:cs="Palatino Linotype"/>
        </w:rPr>
        <w:t xml:space="preserve"> desde el momento de su generación, publicación y entrega, de igual manera se </w:t>
      </w:r>
      <w:r>
        <w:rPr>
          <w:rFonts w:ascii="Palatino Linotype" w:eastAsia="Palatino Linotype" w:hAnsi="Palatino Linotype" w:cs="Palatino Linotype"/>
          <w:color w:val="000000"/>
        </w:rPr>
        <w:t>contempla</w:t>
      </w:r>
      <w:r>
        <w:rPr>
          <w:rFonts w:ascii="Palatino Linotype" w:eastAsia="Palatino Linotype" w:hAnsi="Palatino Linotype" w:cs="Palatino Linotype"/>
        </w:rPr>
        <w:t xml:space="preserve"> el procedimiento a seguir por los sujetos obligados para informar a los solicitantes sobre información que se encuentre disponible en libros, compendios, formatos electrónicos, entre otros, haciéndole saber al solicitante como podrá consultar, reproducir o adquirir la información, en un plazo no mayor a cinco días hábiles, comprendiendo:</w:t>
      </w:r>
    </w:p>
    <w:p w:rsidR="00294684" w:rsidRDefault="00294684" w:rsidP="00294684">
      <w:pPr>
        <w:pBdr>
          <w:top w:val="nil"/>
          <w:left w:val="nil"/>
          <w:bottom w:val="nil"/>
          <w:right w:val="nil"/>
          <w:between w:val="nil"/>
        </w:pBdr>
        <w:spacing w:line="360" w:lineRule="auto"/>
        <w:ind w:right="-929"/>
        <w:jc w:val="both"/>
        <w:rPr>
          <w:rFonts w:ascii="Palatino Linotype" w:eastAsia="Palatino Linotype" w:hAnsi="Palatino Linotype" w:cs="Palatino Linotype"/>
        </w:rPr>
      </w:pPr>
    </w:p>
    <w:p w:rsidR="005C4853" w:rsidRDefault="00E30EFA">
      <w:pPr>
        <w:numPr>
          <w:ilvl w:val="0"/>
          <w:numId w:val="5"/>
        </w:numPr>
        <w:pBdr>
          <w:top w:val="nil"/>
          <w:left w:val="nil"/>
          <w:bottom w:val="nil"/>
          <w:right w:val="nil"/>
          <w:between w:val="nil"/>
        </w:pBdr>
        <w:spacing w:line="360" w:lineRule="auto"/>
        <w:ind w:right="-929" w:hanging="425"/>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lastRenderedPageBreak/>
        <w:t>La fuente,</w:t>
      </w:r>
    </w:p>
    <w:p w:rsidR="005C4853" w:rsidRDefault="00E30EFA">
      <w:pPr>
        <w:numPr>
          <w:ilvl w:val="0"/>
          <w:numId w:val="5"/>
        </w:numPr>
        <w:pBdr>
          <w:top w:val="nil"/>
          <w:left w:val="nil"/>
          <w:bottom w:val="nil"/>
          <w:right w:val="nil"/>
          <w:between w:val="nil"/>
        </w:pBdr>
        <w:spacing w:line="360" w:lineRule="auto"/>
        <w:ind w:right="-929" w:hanging="425"/>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El lugar, y</w:t>
      </w:r>
    </w:p>
    <w:p w:rsidR="005C4853" w:rsidRDefault="00E30EFA">
      <w:pPr>
        <w:numPr>
          <w:ilvl w:val="0"/>
          <w:numId w:val="5"/>
        </w:numPr>
        <w:pBdr>
          <w:top w:val="nil"/>
          <w:left w:val="nil"/>
          <w:bottom w:val="nil"/>
          <w:right w:val="nil"/>
          <w:between w:val="nil"/>
        </w:pBdr>
        <w:spacing w:line="360" w:lineRule="auto"/>
        <w:ind w:right="-929" w:hanging="425"/>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La forma. </w:t>
      </w:r>
    </w:p>
    <w:p w:rsidR="00294684" w:rsidRDefault="00294684" w:rsidP="00294684">
      <w:pPr>
        <w:pBdr>
          <w:top w:val="nil"/>
          <w:left w:val="nil"/>
          <w:bottom w:val="nil"/>
          <w:right w:val="nil"/>
          <w:between w:val="nil"/>
        </w:pBdr>
        <w:spacing w:line="360" w:lineRule="auto"/>
        <w:ind w:left="709" w:right="-929"/>
        <w:jc w:val="both"/>
        <w:rPr>
          <w:rFonts w:ascii="Palatino Linotype" w:eastAsia="Palatino Linotype" w:hAnsi="Palatino Linotype" w:cs="Palatino Linotype"/>
          <w:color w:val="000000"/>
        </w:rPr>
      </w:pPr>
    </w:p>
    <w:p w:rsidR="005C4853" w:rsidRDefault="00E30EFA">
      <w:pPr>
        <w:numPr>
          <w:ilvl w:val="0"/>
          <w:numId w:val="2"/>
        </w:numPr>
        <w:pBdr>
          <w:top w:val="nil"/>
          <w:left w:val="nil"/>
          <w:bottom w:val="nil"/>
          <w:right w:val="nil"/>
          <w:between w:val="nil"/>
        </w:pBdr>
        <w:spacing w:line="360" w:lineRule="auto"/>
        <w:ind w:left="0" w:right="-929" w:firstLine="0"/>
        <w:jc w:val="both"/>
        <w:rPr>
          <w:rFonts w:ascii="Palatino Linotype" w:eastAsia="Palatino Linotype" w:hAnsi="Palatino Linotype" w:cs="Palatino Linotype"/>
        </w:rPr>
      </w:pPr>
      <w:r>
        <w:rPr>
          <w:rFonts w:ascii="Palatino Linotype" w:eastAsia="Palatino Linotype" w:hAnsi="Palatino Linotype" w:cs="Palatino Linotype"/>
        </w:rPr>
        <w:t>Asimismo, se establece que la fuente de la información deberá ser:</w:t>
      </w:r>
    </w:p>
    <w:p w:rsidR="005C4853" w:rsidRDefault="00E30EFA">
      <w:pPr>
        <w:numPr>
          <w:ilvl w:val="0"/>
          <w:numId w:val="7"/>
        </w:numPr>
        <w:pBdr>
          <w:top w:val="nil"/>
          <w:left w:val="nil"/>
          <w:bottom w:val="nil"/>
          <w:right w:val="nil"/>
          <w:between w:val="nil"/>
        </w:pBdr>
        <w:spacing w:line="360" w:lineRule="auto"/>
        <w:ind w:right="-929" w:hanging="425"/>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Precisa,</w:t>
      </w:r>
    </w:p>
    <w:p w:rsidR="005C4853" w:rsidRDefault="00E30EFA">
      <w:pPr>
        <w:numPr>
          <w:ilvl w:val="0"/>
          <w:numId w:val="7"/>
        </w:numPr>
        <w:pBdr>
          <w:top w:val="nil"/>
          <w:left w:val="nil"/>
          <w:bottom w:val="nil"/>
          <w:right w:val="nil"/>
          <w:between w:val="nil"/>
        </w:pBdr>
        <w:spacing w:line="360" w:lineRule="auto"/>
        <w:ind w:right="-929" w:hanging="425"/>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Concreta,</w:t>
      </w:r>
    </w:p>
    <w:p w:rsidR="005C4853" w:rsidRDefault="00E30EFA">
      <w:pPr>
        <w:numPr>
          <w:ilvl w:val="0"/>
          <w:numId w:val="7"/>
        </w:numPr>
        <w:pBdr>
          <w:top w:val="nil"/>
          <w:left w:val="nil"/>
          <w:bottom w:val="nil"/>
          <w:right w:val="nil"/>
          <w:between w:val="nil"/>
        </w:pBdr>
        <w:spacing w:line="360" w:lineRule="auto"/>
        <w:ind w:right="-929" w:hanging="425"/>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Y no debe implicar que el solicitante realice una búsqueda en toda la información que se encuentre disponible.</w:t>
      </w:r>
    </w:p>
    <w:p w:rsidR="005C4853" w:rsidRDefault="005C4853">
      <w:pPr>
        <w:pBdr>
          <w:top w:val="nil"/>
          <w:left w:val="nil"/>
          <w:bottom w:val="nil"/>
          <w:right w:val="nil"/>
          <w:between w:val="nil"/>
        </w:pBdr>
        <w:spacing w:line="360" w:lineRule="auto"/>
        <w:ind w:right="-929"/>
        <w:jc w:val="both"/>
        <w:rPr>
          <w:rFonts w:ascii="Palatino Linotype" w:eastAsia="Palatino Linotype" w:hAnsi="Palatino Linotype" w:cs="Palatino Linotype"/>
        </w:rPr>
      </w:pPr>
    </w:p>
    <w:p w:rsidR="005C4853" w:rsidRDefault="00E30EFA">
      <w:pPr>
        <w:numPr>
          <w:ilvl w:val="0"/>
          <w:numId w:val="2"/>
        </w:numPr>
        <w:pBdr>
          <w:top w:val="nil"/>
          <w:left w:val="nil"/>
          <w:bottom w:val="nil"/>
          <w:right w:val="nil"/>
          <w:between w:val="nil"/>
        </w:pBdr>
        <w:spacing w:line="360" w:lineRule="auto"/>
        <w:ind w:left="0" w:right="-929"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Por tanto, al rubro de mérito resulta dable también ordenar la búsqueda exhaustiva y razonable de la información; misma que no pasa desapercibida, ya fue asumida por 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sí generó, posee y administra, lo que deriva en que sea ineludible realizar un estudio pormenorizado de la fuente obligacional que permita determinar si género, posee o administra información que ya ha sido asumida expresamente. Ahora bien, dicha búsqueda exhaustiva, se puede ejecutar de manera enunciativa más no limitativa en la Tesorería Municipal; en virtud que la Ley Orgánica Municipal del Estado México y el Manual de Organización  Tesorería Municipal otorga al caso concreto, las siguientes atribuciones: </w:t>
      </w:r>
    </w:p>
    <w:p w:rsidR="005C4853" w:rsidRDefault="00E30EFA">
      <w:pPr>
        <w:pBdr>
          <w:top w:val="nil"/>
          <w:left w:val="nil"/>
          <w:bottom w:val="nil"/>
          <w:right w:val="nil"/>
          <w:between w:val="nil"/>
        </w:pBdr>
        <w:spacing w:line="360" w:lineRule="auto"/>
        <w:ind w:left="851" w:right="-929"/>
        <w:jc w:val="center"/>
        <w:rPr>
          <w:rFonts w:ascii="Palatino Linotype" w:eastAsia="Palatino Linotype" w:hAnsi="Palatino Linotype" w:cs="Palatino Linotype"/>
          <w:b/>
          <w:bCs/>
          <w:i/>
          <w:iCs/>
        </w:rPr>
      </w:pPr>
      <w:r>
        <w:rPr>
          <w:rFonts w:ascii="Palatino Linotype" w:eastAsia="Palatino Linotype" w:hAnsi="Palatino Linotype" w:cs="Palatino Linotype"/>
          <w:b/>
          <w:bCs/>
          <w:i/>
          <w:iCs/>
        </w:rPr>
        <w:t>LEY ORGÁNICA MUNICIPAL DEL ESTADO DE MÉXICO</w:t>
      </w:r>
    </w:p>
    <w:p w:rsidR="005C4853" w:rsidRDefault="00E30EFA">
      <w:pPr>
        <w:pBdr>
          <w:top w:val="nil"/>
          <w:left w:val="nil"/>
          <w:bottom w:val="nil"/>
          <w:right w:val="nil"/>
          <w:between w:val="nil"/>
        </w:pBdr>
        <w:spacing w:line="360" w:lineRule="auto"/>
        <w:ind w:left="851" w:right="-929"/>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TITULO IV Régimen Administrativo </w:t>
      </w:r>
    </w:p>
    <w:p w:rsidR="005C4853" w:rsidRDefault="00E30EFA">
      <w:pPr>
        <w:pBdr>
          <w:top w:val="nil"/>
          <w:left w:val="nil"/>
          <w:bottom w:val="nil"/>
          <w:right w:val="nil"/>
          <w:between w:val="nil"/>
        </w:pBdr>
        <w:spacing w:line="360" w:lineRule="auto"/>
        <w:ind w:left="851" w:right="-929"/>
        <w:jc w:val="both"/>
        <w:rPr>
          <w:rFonts w:ascii="Palatino Linotype" w:eastAsia="Palatino Linotype" w:hAnsi="Palatino Linotype" w:cs="Palatino Linotype"/>
          <w:i/>
          <w:iCs/>
        </w:rPr>
      </w:pPr>
      <w:r>
        <w:rPr>
          <w:rFonts w:ascii="Palatino Linotype" w:eastAsia="Palatino Linotype" w:hAnsi="Palatino Linotype" w:cs="Palatino Linotype"/>
          <w:i/>
          <w:iCs/>
        </w:rPr>
        <w:t>CAPITULO PRIMERO De las Dependencias Administrativas</w:t>
      </w:r>
    </w:p>
    <w:p w:rsidR="005C4853" w:rsidRDefault="00E30EFA">
      <w:pPr>
        <w:pBdr>
          <w:top w:val="nil"/>
          <w:left w:val="nil"/>
          <w:bottom w:val="nil"/>
          <w:right w:val="nil"/>
          <w:between w:val="nil"/>
        </w:pBdr>
        <w:spacing w:line="360" w:lineRule="auto"/>
        <w:ind w:left="851" w:right="-929"/>
        <w:jc w:val="both"/>
        <w:rPr>
          <w:rFonts w:ascii="Palatino Linotype" w:eastAsia="Palatino Linotype" w:hAnsi="Palatino Linotype" w:cs="Palatino Linotype"/>
          <w:i/>
          <w:iCs/>
        </w:rPr>
      </w:pPr>
      <w:r>
        <w:rPr>
          <w:rFonts w:ascii="Palatino Linotype" w:eastAsia="Palatino Linotype" w:hAnsi="Palatino Linotype" w:cs="Palatino Linotype"/>
          <w:b/>
          <w:bCs/>
          <w:i/>
          <w:iCs/>
        </w:rPr>
        <w:t>Artículo 87.-</w:t>
      </w:r>
      <w:r>
        <w:rPr>
          <w:rFonts w:ascii="Palatino Linotype" w:eastAsia="Palatino Linotype" w:hAnsi="Palatino Linotype" w:cs="Palatino Linotype"/>
          <w:i/>
          <w:iCs/>
        </w:rPr>
        <w:t xml:space="preserve"> Para el despacho, estudio y planeación de los diversos asuntos de la administración municipal, el ayuntamiento contará por lo menos con las siguientes Dependencias: </w:t>
      </w:r>
    </w:p>
    <w:p w:rsidR="005C4853" w:rsidRDefault="00E30EFA">
      <w:pPr>
        <w:pBdr>
          <w:top w:val="nil"/>
          <w:left w:val="nil"/>
          <w:bottom w:val="nil"/>
          <w:right w:val="nil"/>
          <w:between w:val="nil"/>
        </w:pBdr>
        <w:spacing w:line="360" w:lineRule="auto"/>
        <w:ind w:left="851" w:right="-929"/>
        <w:jc w:val="both"/>
        <w:rPr>
          <w:rFonts w:ascii="Palatino Linotype" w:eastAsia="Palatino Linotype" w:hAnsi="Palatino Linotype" w:cs="Palatino Linotype"/>
          <w:i/>
          <w:iCs/>
        </w:rPr>
      </w:pPr>
      <w:r>
        <w:rPr>
          <w:rFonts w:ascii="Palatino Linotype" w:eastAsia="Palatino Linotype" w:hAnsi="Palatino Linotype" w:cs="Palatino Linotype"/>
          <w:i/>
          <w:iCs/>
        </w:rPr>
        <w:lastRenderedPageBreak/>
        <w:t>(…)</w:t>
      </w:r>
    </w:p>
    <w:p w:rsidR="005C4853" w:rsidRDefault="00E30EFA">
      <w:pPr>
        <w:pBdr>
          <w:top w:val="nil"/>
          <w:left w:val="nil"/>
          <w:bottom w:val="nil"/>
          <w:right w:val="nil"/>
          <w:between w:val="nil"/>
        </w:pBdr>
        <w:spacing w:line="360" w:lineRule="auto"/>
        <w:ind w:left="851" w:right="-929"/>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II. La tesorería municipal.</w:t>
      </w:r>
    </w:p>
    <w:p w:rsidR="005C4853" w:rsidRDefault="00E30EFA">
      <w:pPr>
        <w:pBdr>
          <w:top w:val="nil"/>
          <w:left w:val="nil"/>
          <w:bottom w:val="nil"/>
          <w:right w:val="nil"/>
          <w:between w:val="nil"/>
        </w:pBdr>
        <w:spacing w:line="360" w:lineRule="auto"/>
        <w:ind w:left="851" w:right="-929"/>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5C4853" w:rsidRDefault="00E30EFA">
      <w:pPr>
        <w:pBdr>
          <w:top w:val="nil"/>
          <w:left w:val="nil"/>
          <w:bottom w:val="nil"/>
          <w:right w:val="nil"/>
          <w:between w:val="nil"/>
        </w:pBdr>
        <w:spacing w:line="360" w:lineRule="auto"/>
        <w:ind w:left="851" w:right="-929"/>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CAPITULO SEGUNDO De la Tesorería Municipal </w:t>
      </w:r>
    </w:p>
    <w:p w:rsidR="005C4853" w:rsidRDefault="00E30EFA">
      <w:pPr>
        <w:pBdr>
          <w:top w:val="nil"/>
          <w:left w:val="nil"/>
          <w:bottom w:val="nil"/>
          <w:right w:val="nil"/>
          <w:between w:val="nil"/>
        </w:pBdr>
        <w:spacing w:line="360" w:lineRule="auto"/>
        <w:ind w:left="851" w:right="-929"/>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Artículo 93.- La tesorería municipal es el órgano encargado de la recaudación de los ingresos municipales y responsable de realizar las erogaciones que haga el ayuntamiento.</w:t>
      </w:r>
    </w:p>
    <w:p w:rsidR="005C4853" w:rsidRDefault="005C4853">
      <w:pPr>
        <w:pBdr>
          <w:top w:val="nil"/>
          <w:left w:val="nil"/>
          <w:bottom w:val="nil"/>
          <w:right w:val="nil"/>
          <w:between w:val="nil"/>
        </w:pBdr>
        <w:spacing w:line="360" w:lineRule="auto"/>
        <w:ind w:left="851" w:right="-929"/>
        <w:jc w:val="both"/>
        <w:rPr>
          <w:rFonts w:ascii="Palatino Linotype" w:eastAsia="Palatino Linotype" w:hAnsi="Palatino Linotype" w:cs="Palatino Linotype"/>
          <w:b/>
          <w:bCs/>
          <w:i/>
          <w:iCs/>
        </w:rPr>
      </w:pPr>
    </w:p>
    <w:p w:rsidR="005C4853" w:rsidRDefault="00E30EFA">
      <w:pPr>
        <w:pBdr>
          <w:top w:val="nil"/>
          <w:left w:val="nil"/>
          <w:bottom w:val="nil"/>
          <w:right w:val="nil"/>
          <w:between w:val="nil"/>
        </w:pBdr>
        <w:spacing w:line="360" w:lineRule="auto"/>
        <w:ind w:left="851" w:right="-929"/>
        <w:jc w:val="both"/>
        <w:rPr>
          <w:rFonts w:ascii="Palatino Linotype" w:eastAsia="Palatino Linotype" w:hAnsi="Palatino Linotype" w:cs="Palatino Linotype"/>
          <w:i/>
          <w:iCs/>
        </w:rPr>
      </w:pPr>
      <w:r>
        <w:rPr>
          <w:rFonts w:ascii="Palatino Linotype" w:eastAsia="Palatino Linotype" w:hAnsi="Palatino Linotype" w:cs="Palatino Linotype"/>
          <w:b/>
          <w:bCs/>
          <w:i/>
          <w:iCs/>
        </w:rPr>
        <w:t>Artículo 95.-</w:t>
      </w:r>
      <w:r>
        <w:rPr>
          <w:rFonts w:ascii="Palatino Linotype" w:eastAsia="Palatino Linotype" w:hAnsi="Palatino Linotype" w:cs="Palatino Linotype"/>
          <w:i/>
          <w:iCs/>
        </w:rPr>
        <w:t xml:space="preserve"> Son atribuciones del </w:t>
      </w:r>
      <w:r>
        <w:rPr>
          <w:rFonts w:ascii="Palatino Linotype" w:eastAsia="Palatino Linotype" w:hAnsi="Palatino Linotype" w:cs="Palatino Linotype"/>
          <w:b/>
          <w:bCs/>
          <w:i/>
          <w:iCs/>
        </w:rPr>
        <w:t>tesorero municipal</w:t>
      </w:r>
      <w:r>
        <w:rPr>
          <w:rFonts w:ascii="Palatino Linotype" w:eastAsia="Palatino Linotype" w:hAnsi="Palatino Linotype" w:cs="Palatino Linotype"/>
          <w:i/>
          <w:iCs/>
        </w:rPr>
        <w:t xml:space="preserve">: </w:t>
      </w:r>
    </w:p>
    <w:p w:rsidR="005C4853" w:rsidRDefault="00E30EFA">
      <w:pPr>
        <w:pBdr>
          <w:top w:val="nil"/>
          <w:left w:val="nil"/>
          <w:bottom w:val="nil"/>
          <w:right w:val="nil"/>
          <w:between w:val="nil"/>
        </w:pBdr>
        <w:spacing w:line="360" w:lineRule="auto"/>
        <w:ind w:left="851" w:right="-929"/>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 xml:space="preserve">I. Administrar la hacienda pública municipal, de conformidad con las disposiciones legales aplicables; </w:t>
      </w:r>
    </w:p>
    <w:p w:rsidR="005C4853" w:rsidRDefault="00E30EFA">
      <w:pPr>
        <w:pBdr>
          <w:top w:val="nil"/>
          <w:left w:val="nil"/>
          <w:bottom w:val="nil"/>
          <w:right w:val="nil"/>
          <w:between w:val="nil"/>
        </w:pBdr>
        <w:spacing w:line="360" w:lineRule="auto"/>
        <w:ind w:left="851" w:right="-929"/>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w:t>
      </w:r>
    </w:p>
    <w:p w:rsidR="005C4853" w:rsidRDefault="00E30EFA">
      <w:pPr>
        <w:pBdr>
          <w:top w:val="nil"/>
          <w:left w:val="nil"/>
          <w:bottom w:val="nil"/>
          <w:right w:val="nil"/>
          <w:between w:val="nil"/>
        </w:pBdr>
        <w:spacing w:line="360" w:lineRule="auto"/>
        <w:ind w:left="851" w:right="-929"/>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IV. Llevar los registros contables, financieros y administrativos de los ingresos, egresos, e inventarios;</w:t>
      </w:r>
    </w:p>
    <w:p w:rsidR="005C4853" w:rsidRDefault="00E30EFA">
      <w:pPr>
        <w:pBdr>
          <w:top w:val="nil"/>
          <w:left w:val="nil"/>
          <w:bottom w:val="nil"/>
          <w:right w:val="nil"/>
          <w:between w:val="nil"/>
        </w:pBdr>
        <w:spacing w:line="360" w:lineRule="auto"/>
        <w:ind w:left="851" w:right="-929"/>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5C4853" w:rsidRDefault="005C4853">
      <w:pPr>
        <w:pBdr>
          <w:top w:val="nil"/>
          <w:left w:val="nil"/>
          <w:bottom w:val="nil"/>
          <w:right w:val="nil"/>
          <w:between w:val="nil"/>
        </w:pBdr>
        <w:spacing w:line="360" w:lineRule="auto"/>
        <w:ind w:left="851" w:right="-929"/>
        <w:jc w:val="both"/>
        <w:rPr>
          <w:rFonts w:ascii="Palatino Linotype" w:eastAsia="Palatino Linotype" w:hAnsi="Palatino Linotype" w:cs="Palatino Linotype"/>
          <w:i/>
          <w:iCs/>
        </w:rPr>
      </w:pPr>
    </w:p>
    <w:p w:rsidR="005C4853" w:rsidRDefault="00E30EFA">
      <w:pPr>
        <w:pBdr>
          <w:top w:val="nil"/>
          <w:left w:val="nil"/>
          <w:bottom w:val="nil"/>
          <w:right w:val="nil"/>
          <w:between w:val="nil"/>
        </w:pBdr>
        <w:spacing w:line="360" w:lineRule="auto"/>
        <w:ind w:left="851" w:right="-929"/>
        <w:jc w:val="center"/>
        <w:rPr>
          <w:rFonts w:ascii="Palatino Linotype" w:eastAsia="Palatino Linotype" w:hAnsi="Palatino Linotype" w:cs="Palatino Linotype"/>
          <w:b/>
          <w:bCs/>
          <w:i/>
          <w:iCs/>
        </w:rPr>
      </w:pPr>
      <w:r>
        <w:rPr>
          <w:rFonts w:ascii="Palatino Linotype" w:eastAsia="Palatino Linotype" w:hAnsi="Palatino Linotype" w:cs="Palatino Linotype"/>
          <w:b/>
          <w:bCs/>
          <w:i/>
          <w:iCs/>
        </w:rPr>
        <w:t>Manual de Organización Tesorería Municipal 2025</w:t>
      </w:r>
    </w:p>
    <w:p w:rsidR="005C4853" w:rsidRDefault="00E30EFA">
      <w:pPr>
        <w:pBdr>
          <w:top w:val="nil"/>
          <w:left w:val="nil"/>
          <w:bottom w:val="nil"/>
          <w:right w:val="nil"/>
          <w:between w:val="nil"/>
        </w:pBdr>
        <w:spacing w:line="360" w:lineRule="auto"/>
        <w:ind w:left="851" w:right="-929"/>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“Artículo 3.21. La o el titular de la Tesorería Municipal tendrá las siguientes atribuciones: </w:t>
      </w:r>
    </w:p>
    <w:p w:rsidR="005C4853" w:rsidRDefault="00E30EFA">
      <w:pPr>
        <w:pBdr>
          <w:top w:val="nil"/>
          <w:left w:val="nil"/>
          <w:bottom w:val="nil"/>
          <w:right w:val="nil"/>
          <w:between w:val="nil"/>
        </w:pBdr>
        <w:spacing w:line="360" w:lineRule="auto"/>
        <w:ind w:left="851" w:right="-929"/>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5C4853" w:rsidRDefault="00E30EFA">
      <w:pPr>
        <w:pBdr>
          <w:top w:val="nil"/>
          <w:left w:val="nil"/>
          <w:bottom w:val="nil"/>
          <w:right w:val="nil"/>
          <w:between w:val="nil"/>
        </w:pBdr>
        <w:spacing w:line="360" w:lineRule="auto"/>
        <w:ind w:left="851" w:right="-929"/>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VII. Supervisar el registro y control de las operaciones financieras presupuestales y contables, revisar y autorizar la integración de los informes mensuales y la cuenta pública anual del Municipio para que se entregue de manera oportuna y con apego a los lineamientos establecidos en los ordenamientos jurídicos aplicables;  </w:t>
      </w:r>
    </w:p>
    <w:p w:rsidR="005C4853" w:rsidRDefault="00E30EFA">
      <w:pPr>
        <w:pBdr>
          <w:top w:val="nil"/>
          <w:left w:val="nil"/>
          <w:bottom w:val="nil"/>
          <w:right w:val="nil"/>
          <w:between w:val="nil"/>
        </w:pBdr>
        <w:spacing w:line="360" w:lineRule="auto"/>
        <w:ind w:left="851" w:right="-929"/>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5C4853" w:rsidRDefault="00E30EFA">
      <w:pPr>
        <w:pBdr>
          <w:top w:val="nil"/>
          <w:left w:val="nil"/>
          <w:bottom w:val="nil"/>
          <w:right w:val="nil"/>
          <w:between w:val="nil"/>
        </w:pBdr>
        <w:spacing w:line="360" w:lineRule="auto"/>
        <w:ind w:left="851" w:right="-929"/>
        <w:jc w:val="both"/>
        <w:rPr>
          <w:rFonts w:ascii="Palatino Linotype" w:eastAsia="Palatino Linotype" w:hAnsi="Palatino Linotype" w:cs="Palatino Linotype"/>
          <w:i/>
          <w:iCs/>
        </w:rPr>
      </w:pPr>
      <w:r>
        <w:rPr>
          <w:rFonts w:ascii="Palatino Linotype" w:eastAsia="Palatino Linotype" w:hAnsi="Palatino Linotype" w:cs="Palatino Linotype"/>
          <w:i/>
          <w:iCs/>
        </w:rPr>
        <w:lastRenderedPageBreak/>
        <w:t xml:space="preserve">XII. </w:t>
      </w:r>
      <w:r>
        <w:rPr>
          <w:rFonts w:ascii="Palatino Linotype" w:eastAsia="Palatino Linotype" w:hAnsi="Palatino Linotype" w:cs="Palatino Linotype"/>
          <w:b/>
          <w:bCs/>
          <w:i/>
          <w:iCs/>
        </w:rPr>
        <w:t>Determinar, liquidar, recaudar, fiscalizar y administrar las contribuciones, aprovechamientos, los productos y en general, todos los ingresos municipales cualquiera que sea su naturaleza</w:t>
      </w:r>
      <w:r>
        <w:rPr>
          <w:rFonts w:ascii="Palatino Linotype" w:eastAsia="Palatino Linotype" w:hAnsi="Palatino Linotype" w:cs="Palatino Linotype"/>
          <w:i/>
          <w:iCs/>
        </w:rPr>
        <w:t xml:space="preserve">, en los términos de los ordenamientos jurídicos aplicables;  </w:t>
      </w:r>
    </w:p>
    <w:p w:rsidR="005C4853" w:rsidRDefault="00E30EFA">
      <w:pPr>
        <w:pBdr>
          <w:top w:val="nil"/>
          <w:left w:val="nil"/>
          <w:bottom w:val="nil"/>
          <w:right w:val="nil"/>
          <w:between w:val="nil"/>
        </w:pBdr>
        <w:spacing w:line="360" w:lineRule="auto"/>
        <w:ind w:left="851" w:right="-929"/>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XIII. Vigilar que se recauden los ingresos por los distintos conceptos impositivos que señala el Presupuesto y la Ley de Ingresos para el ejercicio fiscal del año en curso;  </w:t>
      </w:r>
    </w:p>
    <w:p w:rsidR="005C4853" w:rsidRDefault="00E30EFA">
      <w:pPr>
        <w:pBdr>
          <w:top w:val="nil"/>
          <w:left w:val="nil"/>
          <w:bottom w:val="nil"/>
          <w:right w:val="nil"/>
          <w:between w:val="nil"/>
        </w:pBdr>
        <w:spacing w:line="360" w:lineRule="auto"/>
        <w:ind w:left="851" w:right="-929"/>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5C4853" w:rsidRDefault="005C4853">
      <w:pPr>
        <w:pBdr>
          <w:top w:val="nil"/>
          <w:left w:val="nil"/>
          <w:bottom w:val="nil"/>
          <w:right w:val="nil"/>
          <w:between w:val="nil"/>
        </w:pBdr>
        <w:spacing w:line="360" w:lineRule="auto"/>
        <w:ind w:left="851" w:right="-929"/>
        <w:jc w:val="both"/>
        <w:rPr>
          <w:rFonts w:ascii="Palatino Linotype" w:eastAsia="Palatino Linotype" w:hAnsi="Palatino Linotype" w:cs="Palatino Linotype"/>
        </w:rPr>
      </w:pPr>
    </w:p>
    <w:p w:rsidR="005C4853" w:rsidRDefault="00E30EFA">
      <w:pPr>
        <w:numPr>
          <w:ilvl w:val="0"/>
          <w:numId w:val="2"/>
        </w:numPr>
        <w:pBdr>
          <w:top w:val="nil"/>
          <w:left w:val="nil"/>
          <w:bottom w:val="nil"/>
          <w:right w:val="nil"/>
          <w:between w:val="nil"/>
        </w:pBdr>
        <w:spacing w:line="360" w:lineRule="auto"/>
        <w:ind w:left="0" w:right="-929" w:firstLine="0"/>
        <w:jc w:val="both"/>
        <w:rPr>
          <w:rFonts w:ascii="Palatino Linotype" w:eastAsia="Palatino Linotype" w:hAnsi="Palatino Linotype" w:cs="Palatino Linotype"/>
        </w:rPr>
      </w:pPr>
      <w:r>
        <w:rPr>
          <w:rFonts w:ascii="Palatino Linotype" w:eastAsia="Palatino Linotype" w:hAnsi="Palatino Linotype" w:cs="Palatino Linotype"/>
        </w:rPr>
        <w:t>Resaltando nuevamente que es importante señalar que para la atención de las solicitudes de acceso a la información, debe privilegiarse el principio</w:t>
      </w:r>
      <w:r>
        <w:rPr>
          <w:rFonts w:ascii="Palatino Linotype" w:eastAsia="Palatino Linotype" w:hAnsi="Palatino Linotype" w:cs="Palatino Linotype"/>
          <w:b/>
          <w:bCs/>
        </w:rPr>
        <w:t xml:space="preserve"> </w:t>
      </w:r>
      <w:r>
        <w:rPr>
          <w:rFonts w:ascii="Palatino Linotype" w:eastAsia="Palatino Linotype" w:hAnsi="Palatino Linotype" w:cs="Palatino Linotype"/>
        </w:rPr>
        <w:t>de máxima publicidad el cual dispone que toda la información en posesión de los sujetos obligados será pública, completa, oportuna y accesible, sujeta a un claro régimen de excepciones que deberán estar definidas y ser legítimas y estrictamente necesarias en una sociedad democrática.</w:t>
      </w:r>
    </w:p>
    <w:p w:rsidR="005C4853" w:rsidRDefault="005C4853">
      <w:pPr>
        <w:pBdr>
          <w:top w:val="nil"/>
          <w:left w:val="nil"/>
          <w:bottom w:val="nil"/>
          <w:right w:val="nil"/>
          <w:between w:val="nil"/>
        </w:pBdr>
        <w:spacing w:line="360" w:lineRule="auto"/>
        <w:ind w:left="644" w:right="-929"/>
        <w:jc w:val="both"/>
        <w:rPr>
          <w:rFonts w:ascii="Palatino Linotype" w:eastAsia="Palatino Linotype" w:hAnsi="Palatino Linotype" w:cs="Palatino Linotype"/>
        </w:rPr>
      </w:pPr>
    </w:p>
    <w:p w:rsidR="005C4853" w:rsidRDefault="00E30EFA">
      <w:pPr>
        <w:numPr>
          <w:ilvl w:val="0"/>
          <w:numId w:val="2"/>
        </w:numPr>
        <w:pBdr>
          <w:top w:val="nil"/>
          <w:left w:val="nil"/>
          <w:bottom w:val="nil"/>
          <w:right w:val="nil"/>
          <w:between w:val="nil"/>
        </w:pBdr>
        <w:spacing w:line="360" w:lineRule="auto"/>
        <w:ind w:left="0" w:right="-929" w:firstLine="0"/>
        <w:jc w:val="both"/>
        <w:rPr>
          <w:rFonts w:ascii="Palatino Linotype" w:eastAsia="Palatino Linotype" w:hAnsi="Palatino Linotype" w:cs="Palatino Linotype"/>
        </w:rPr>
      </w:pPr>
      <w:r>
        <w:rPr>
          <w:rFonts w:ascii="Palatino Linotype" w:eastAsia="Palatino Linotype" w:hAnsi="Palatino Linotype" w:cs="Palatino Linotype"/>
        </w:rPr>
        <w:t>Para lograr esto, los sujetos obligados deben seguir el procedimiento para la atención a las solicitudes de acceso a la información, establecido en los artículos 151, 159, 160, 162, 163, 164, 165 y 166, de la Ley de Transparencia y Acceso a la Información Pública del Estado de México y Municipios; en ese sentido se reitera deberá seguirse el procedimiento para atender la solicitud que ahora nos ocupa conforme a los términos anteriormente expuestos.</w:t>
      </w:r>
    </w:p>
    <w:p w:rsidR="005C4853" w:rsidRDefault="005C4853">
      <w:pPr>
        <w:pBdr>
          <w:top w:val="nil"/>
          <w:left w:val="nil"/>
          <w:bottom w:val="nil"/>
          <w:right w:val="nil"/>
          <w:between w:val="nil"/>
        </w:pBdr>
        <w:spacing w:line="360" w:lineRule="auto"/>
        <w:ind w:right="-929"/>
        <w:jc w:val="both"/>
        <w:rPr>
          <w:rFonts w:ascii="Palatino Linotype" w:eastAsia="Palatino Linotype" w:hAnsi="Palatino Linotype" w:cs="Palatino Linotype"/>
        </w:rPr>
      </w:pPr>
    </w:p>
    <w:p w:rsidR="005C4853" w:rsidRDefault="00E30EFA">
      <w:pPr>
        <w:numPr>
          <w:ilvl w:val="0"/>
          <w:numId w:val="2"/>
        </w:numPr>
        <w:pBdr>
          <w:top w:val="nil"/>
          <w:left w:val="nil"/>
          <w:bottom w:val="nil"/>
          <w:right w:val="nil"/>
          <w:between w:val="nil"/>
        </w:pBdr>
        <w:spacing w:line="360" w:lineRule="auto"/>
        <w:ind w:left="0" w:right="-929"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Asimismo, reiterar que si bien el </w:t>
      </w:r>
      <w:r>
        <w:rPr>
          <w:rFonts w:ascii="Palatino Linotype" w:eastAsia="Palatino Linotype" w:hAnsi="Palatino Linotype" w:cs="Palatino Linotype"/>
          <w:b/>
          <w:bCs/>
        </w:rPr>
        <w:t xml:space="preserve">SUJETO OBLIGADO </w:t>
      </w:r>
      <w:r>
        <w:rPr>
          <w:rFonts w:ascii="Palatino Linotype" w:eastAsia="Palatino Linotype" w:hAnsi="Palatino Linotype" w:cs="Palatino Linotype"/>
        </w:rPr>
        <w:t xml:space="preserve"> no se encuentra constreñido a generar documentos </w:t>
      </w:r>
      <w:r>
        <w:rPr>
          <w:rFonts w:ascii="Palatino Linotype" w:eastAsia="Palatino Linotype" w:hAnsi="Palatino Linotype" w:cs="Palatino Linotype"/>
          <w:i/>
          <w:iCs/>
        </w:rPr>
        <w:t xml:space="preserve">ad hoc </w:t>
      </w:r>
      <w:r>
        <w:rPr>
          <w:rFonts w:ascii="Palatino Linotype" w:eastAsia="Palatino Linotype" w:hAnsi="Palatino Linotype" w:cs="Palatino Linotype"/>
        </w:rPr>
        <w:t xml:space="preserve">de conformidad al Manual para la Planeación, Programación y Presupuesto de Egresos Municipal, si cuenta con un sistema general de cuentas donde cada componente destaca aspectos concretos del presupuesto y suministra información que </w:t>
      </w:r>
      <w:r>
        <w:rPr>
          <w:rFonts w:ascii="Palatino Linotype" w:eastAsia="Palatino Linotype" w:hAnsi="Palatino Linotype" w:cs="Palatino Linotype"/>
        </w:rPr>
        <w:lastRenderedPageBreak/>
        <w:t>atiende a necesidades diferentes pero enlazadas, permitiendo el vínculo con la contabilidad, es decir, que cuenta con instrumentos que permiten la obtención de información para el análisis y seguimiento de la gestión financiera gubernamental, por lo cual permite conocer en qué se gasta y cuantificar la demanda de bienes o servicios con un nivel de desagregación que permite que sus cuentas faciliten el registro único de todas las transacciones con incidencia económica–financiera y de recaudación.</w:t>
      </w:r>
    </w:p>
    <w:p w:rsidR="005C4853" w:rsidRDefault="005C4853">
      <w:pPr>
        <w:spacing w:line="360" w:lineRule="auto"/>
        <w:ind w:right="-929"/>
        <w:jc w:val="both"/>
        <w:rPr>
          <w:rFonts w:ascii="Palatino Linotype" w:eastAsia="Palatino Linotype" w:hAnsi="Palatino Linotype" w:cs="Palatino Linotype"/>
          <w:b/>
          <w:bCs/>
        </w:rPr>
      </w:pPr>
    </w:p>
    <w:p w:rsidR="005C4853" w:rsidRDefault="00E30EFA">
      <w:pPr>
        <w:numPr>
          <w:ilvl w:val="0"/>
          <w:numId w:val="2"/>
        </w:numPr>
        <w:spacing w:line="360" w:lineRule="auto"/>
        <w:ind w:left="0" w:right="-929" w:firstLine="0"/>
        <w:jc w:val="both"/>
        <w:rPr>
          <w:rFonts w:ascii="Palatino Linotype" w:eastAsia="Palatino Linotype" w:hAnsi="Palatino Linotype" w:cs="Palatino Linotype"/>
        </w:rPr>
      </w:pPr>
      <w:bookmarkStart w:id="8" w:name="_heading=h.svencyr3ww2i" w:colFirst="0" w:colLast="0"/>
      <w:bookmarkEnd w:id="8"/>
      <w:r>
        <w:rPr>
          <w:rFonts w:ascii="Palatino Linotype" w:eastAsia="Palatino Linotype" w:hAnsi="Palatino Linotype" w:cs="Palatino Linotype"/>
        </w:rPr>
        <w:t xml:space="preserve">Con la determinación anterior, se tendrá por colmado el derecho de acceso a la información del ahora </w:t>
      </w:r>
      <w:r>
        <w:rPr>
          <w:rFonts w:ascii="Palatino Linotype" w:eastAsia="Palatino Linotype" w:hAnsi="Palatino Linotype" w:cs="Palatino Linotype"/>
          <w:b/>
          <w:bCs/>
        </w:rPr>
        <w:t>RECURRENTE</w:t>
      </w:r>
      <w:r>
        <w:rPr>
          <w:rFonts w:ascii="Palatino Linotype" w:eastAsia="Palatino Linotype" w:hAnsi="Palatino Linotype" w:cs="Palatino Linotype"/>
        </w:rPr>
        <w:t xml:space="preserve">; toda vez </w:t>
      </w:r>
      <w:r>
        <w:rPr>
          <w:rFonts w:ascii="Palatino Linotype" w:eastAsia="Palatino Linotype" w:hAnsi="Palatino Linotype" w:cs="Palatino Linotype"/>
          <w:color w:val="000000"/>
        </w:rPr>
        <w:t xml:space="preserve">que el Derecho que tutela este Órgano Garante corresponde a la  </w:t>
      </w:r>
      <w:r>
        <w:rPr>
          <w:rFonts w:ascii="Palatino Linotype" w:eastAsia="Palatino Linotype" w:hAnsi="Palatino Linotype" w:cs="Palatino Linotype"/>
          <w:i/>
          <w:iCs/>
        </w:rPr>
        <w:t>igualdad de oportunidades para recibir, buscar e impartir información</w:t>
      </w:r>
      <w:r>
        <w:rPr>
          <w:rFonts w:ascii="Palatino Linotype" w:eastAsia="Palatino Linotype" w:hAnsi="Palatino Linotype" w:cs="Palatino Linotype"/>
          <w:i/>
          <w:iCs/>
          <w:vertAlign w:val="superscript"/>
        </w:rPr>
        <w:footnoteReference w:id="1"/>
      </w:r>
      <w:r>
        <w:rPr>
          <w:rFonts w:ascii="Palatino Linotype" w:eastAsia="Palatino Linotype" w:hAnsi="Palatino Linotype" w:cs="Palatino Linotype"/>
          <w:i/>
          <w:iCs/>
        </w:rPr>
        <w:t xml:space="preserve"> en posesión de cualquier autoridad,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municipal</w:t>
      </w:r>
      <w:r>
        <w:rPr>
          <w:rFonts w:ascii="Palatino Linotype" w:eastAsia="Palatino Linotype" w:hAnsi="Palatino Linotype" w:cs="Palatino Linotype"/>
          <w:vertAlign w:val="superscript"/>
        </w:rPr>
        <w:footnoteReference w:id="2"/>
      </w:r>
      <w:r>
        <w:rPr>
          <w:rFonts w:ascii="Palatino Linotype" w:eastAsia="Palatino Linotype" w:hAnsi="Palatino Linotype" w:cs="Palatino Linotype"/>
          <w:i/>
          <w:iCs/>
        </w:rPr>
        <w:t xml:space="preserve"> </w:t>
      </w:r>
      <w:r>
        <w:rPr>
          <w:rFonts w:ascii="Palatino Linotype" w:eastAsia="Palatino Linotype" w:hAnsi="Palatino Linotype" w:cs="Palatino Linotype"/>
        </w:rPr>
        <w:t xml:space="preserve">que se constituye como una herramienta fundamental para </w:t>
      </w:r>
      <w:r>
        <w:rPr>
          <w:rFonts w:ascii="Palatino Linotype" w:eastAsia="Palatino Linotype" w:hAnsi="Palatino Linotype" w:cs="Palatino Linotype"/>
          <w:i/>
          <w:iCs/>
        </w:rPr>
        <w:t>ejercer control democrático de las gestiones estatales, de forma tal que puedan cuestionar, indagar y considerar si se está dando un adecuado cumplimiento de las funciones públicas,</w:t>
      </w:r>
      <w:r>
        <w:rPr>
          <w:rFonts w:ascii="Palatino Linotype" w:eastAsia="Palatino Linotype" w:hAnsi="Palatino Linotype" w:cs="Palatino Linotype"/>
          <w:i/>
          <w:iCs/>
          <w:vertAlign w:val="superscript"/>
        </w:rPr>
        <w:footnoteReference w:id="3"/>
      </w:r>
      <w:r>
        <w:rPr>
          <w:rFonts w:ascii="Palatino Linotype" w:eastAsia="Palatino Linotype" w:hAnsi="Palatino Linotype" w:cs="Palatino Linotype"/>
        </w:rPr>
        <w:t>fomentando</w:t>
      </w:r>
      <w:r>
        <w:rPr>
          <w:rFonts w:ascii="Palatino Linotype" w:eastAsia="Palatino Linotype" w:hAnsi="Palatino Linotype" w:cs="Palatino Linotype"/>
          <w:i/>
          <w:iCs/>
        </w:rPr>
        <w:t xml:space="preserve"> la transparencia de las actividades estatales y</w:t>
      </w:r>
      <w:r>
        <w:rPr>
          <w:rFonts w:ascii="Palatino Linotype" w:eastAsia="Palatino Linotype" w:hAnsi="Palatino Linotype" w:cs="Palatino Linotype"/>
        </w:rPr>
        <w:t xml:space="preserve"> promoviendo</w:t>
      </w:r>
      <w:r>
        <w:rPr>
          <w:rFonts w:ascii="Palatino Linotype" w:eastAsia="Palatino Linotype" w:hAnsi="Palatino Linotype" w:cs="Palatino Linotype"/>
          <w:i/>
          <w:iCs/>
        </w:rPr>
        <w:t xml:space="preserve"> la responsabilidad de los funcionarios sobre su gestión pública</w:t>
      </w:r>
      <w:r>
        <w:rPr>
          <w:rFonts w:ascii="Palatino Linotype" w:eastAsia="Palatino Linotype" w:hAnsi="Palatino Linotype" w:cs="Palatino Linotype"/>
          <w:i/>
          <w:iCs/>
          <w:vertAlign w:val="superscript"/>
        </w:rPr>
        <w:footnoteReference w:id="4"/>
      </w:r>
      <w:r>
        <w:rPr>
          <w:rFonts w:ascii="Palatino Linotype" w:eastAsia="Palatino Linotype" w:hAnsi="Palatino Linotype" w:cs="Palatino Linotype"/>
          <w:i/>
          <w:iCs/>
        </w:rPr>
        <w:t xml:space="preserve"> </w:t>
      </w:r>
      <w:r>
        <w:rPr>
          <w:rFonts w:ascii="Palatino Linotype" w:eastAsia="Palatino Linotype" w:hAnsi="Palatino Linotype" w:cs="Palatino Linotype"/>
        </w:rPr>
        <w:t>que permite</w:t>
      </w:r>
      <w:r>
        <w:rPr>
          <w:rFonts w:ascii="Palatino Linotype" w:eastAsia="Palatino Linotype" w:hAnsi="Palatino Linotype" w:cs="Palatino Linotype"/>
          <w:i/>
          <w:iCs/>
        </w:rPr>
        <w:t xml:space="preserve"> saber qué están haciendo los gobiernos por sus pueblos, sin lo cual la verdad languidecería y la participación en el gobierno permanecería fragmentada.</w:t>
      </w:r>
      <w:r>
        <w:rPr>
          <w:rFonts w:ascii="Palatino Linotype" w:eastAsia="Palatino Linotype" w:hAnsi="Palatino Linotype" w:cs="Palatino Linotype"/>
          <w:i/>
          <w:iCs/>
          <w:vertAlign w:val="superscript"/>
        </w:rPr>
        <w:footnoteReference w:id="5"/>
      </w:r>
      <w:r>
        <w:rPr>
          <w:rFonts w:ascii="Palatino Linotype" w:eastAsia="Palatino Linotype" w:hAnsi="Palatino Linotype" w:cs="Palatino Linotype"/>
        </w:rPr>
        <w:t xml:space="preserve"> ” </w:t>
      </w:r>
    </w:p>
    <w:p w:rsidR="005C4853" w:rsidRDefault="00E30EFA">
      <w:pPr>
        <w:numPr>
          <w:ilvl w:val="0"/>
          <w:numId w:val="2"/>
        </w:numPr>
        <w:spacing w:line="360" w:lineRule="auto"/>
        <w:ind w:left="0" w:right="-929" w:firstLine="0"/>
        <w:jc w:val="both"/>
        <w:rPr>
          <w:rFonts w:ascii="Palatino Linotype" w:eastAsia="Palatino Linotype" w:hAnsi="Palatino Linotype" w:cs="Palatino Linotype"/>
        </w:rPr>
      </w:pPr>
      <w:r>
        <w:rPr>
          <w:rFonts w:ascii="Palatino Linotype" w:eastAsia="Palatino Linotype" w:hAnsi="Palatino Linotype" w:cs="Palatino Linotype"/>
        </w:rPr>
        <w:lastRenderedPageBreak/>
        <w:t xml:space="preserve">Es así que, todos los actos de autoridad que realicen los Sujetos Obligados </w:t>
      </w:r>
      <w:r>
        <w:rPr>
          <w:rFonts w:ascii="Palatino Linotype" w:eastAsia="Palatino Linotype" w:hAnsi="Palatino Linotype" w:cs="Palatino Linotype"/>
          <w:b/>
          <w:bCs/>
        </w:rPr>
        <w:t>deben estar documentados</w:t>
      </w:r>
      <w:r>
        <w:rPr>
          <w:rFonts w:ascii="Palatino Linotype" w:eastAsia="Palatino Linotype" w:hAnsi="Palatino Linotype" w:cs="Palatino Linotype"/>
        </w:rPr>
        <w:t xml:space="preserve"> y, bajo el más alto estándar de transparencia deberán poner toda la información que se encuentre en su posesión, a disposición de los particulares que la soliciten.</w:t>
      </w:r>
    </w:p>
    <w:p w:rsidR="005C4853" w:rsidRDefault="005C4853">
      <w:pPr>
        <w:pBdr>
          <w:top w:val="nil"/>
          <w:left w:val="nil"/>
          <w:bottom w:val="nil"/>
          <w:right w:val="nil"/>
          <w:between w:val="nil"/>
        </w:pBdr>
        <w:spacing w:line="360" w:lineRule="auto"/>
        <w:ind w:right="-929"/>
        <w:jc w:val="both"/>
        <w:rPr>
          <w:rFonts w:ascii="Palatino Linotype" w:eastAsia="Palatino Linotype" w:hAnsi="Palatino Linotype" w:cs="Palatino Linotype"/>
          <w:color w:val="000000"/>
        </w:rPr>
      </w:pPr>
    </w:p>
    <w:p w:rsidR="005C4853" w:rsidRDefault="00E30EFA">
      <w:pPr>
        <w:numPr>
          <w:ilvl w:val="0"/>
          <w:numId w:val="2"/>
        </w:numPr>
        <w:spacing w:line="360" w:lineRule="auto"/>
        <w:ind w:left="0" w:right="-929" w:firstLine="0"/>
        <w:jc w:val="both"/>
        <w:rPr>
          <w:rFonts w:ascii="Palatino Linotype" w:eastAsia="Palatino Linotype" w:hAnsi="Palatino Linotype" w:cs="Palatino Linotype"/>
        </w:rPr>
      </w:pPr>
      <w:r>
        <w:rPr>
          <w:rFonts w:ascii="Palatino Linotype" w:eastAsia="Palatino Linotype" w:hAnsi="Palatino Linotype" w:cs="Palatino Linotype"/>
          <w:color w:val="000000"/>
        </w:rPr>
        <w:t xml:space="preserve">Además, </w:t>
      </w:r>
      <w:r>
        <w:rPr>
          <w:rFonts w:ascii="Palatino Linotype" w:eastAsia="Palatino Linotype" w:hAnsi="Palatino Linotype" w:cs="Palatino Linotype"/>
        </w:rPr>
        <w:t>debemos</w:t>
      </w:r>
      <w:r>
        <w:rPr>
          <w:rFonts w:ascii="Palatino Linotype" w:eastAsia="Palatino Linotype" w:hAnsi="Palatino Linotype" w:cs="Palatino Linotype"/>
          <w:color w:val="000000"/>
        </w:rPr>
        <w:t xml:space="preserve"> tomar en cuenta los artículos 4 y 12 (antes transcritos), de la Ley de Transparencia y Acceso a la Información Pública del Estado de México y </w:t>
      </w:r>
      <w:r>
        <w:rPr>
          <w:rFonts w:ascii="Palatino Linotype" w:eastAsia="Palatino Linotype" w:hAnsi="Palatino Linotype" w:cs="Palatino Linotype"/>
        </w:rPr>
        <w:t>Municipios</w:t>
      </w:r>
      <w:r>
        <w:rPr>
          <w:rFonts w:ascii="Palatino Linotype" w:eastAsia="Palatino Linotype" w:hAnsi="Palatino Linotype" w:cs="Palatino Linotype"/>
          <w:color w:val="000000"/>
        </w:rPr>
        <w:t xml:space="preserve">. </w:t>
      </w:r>
      <w:r>
        <w:rPr>
          <w:rFonts w:ascii="Palatino Linotype" w:eastAsia="Palatino Linotype" w:hAnsi="Palatino Linotype" w:cs="Palatino Linotype"/>
        </w:rPr>
        <w:t xml:space="preserve">Es así que, por un lado se tiene la obligación de documentar todos los actos que se lleven a cabo en el ejercicio de sus funciones, atribuciones y competencias, mientras que por otro, se ven impuestos por la obligación de hacer pública toda aquella </w:t>
      </w:r>
      <w:r>
        <w:rPr>
          <w:rFonts w:ascii="Palatino Linotype" w:eastAsia="Palatino Linotype" w:hAnsi="Palatino Linotype" w:cs="Palatino Linotype"/>
          <w:color w:val="000000"/>
        </w:rPr>
        <w:t>información</w:t>
      </w:r>
      <w:r>
        <w:rPr>
          <w:rFonts w:ascii="Palatino Linotype" w:eastAsia="Palatino Linotype" w:hAnsi="Palatino Linotype" w:cs="Palatino Linotype"/>
        </w:rPr>
        <w:t xml:space="preserve"> que se encuentre en su posesión en estricto apego a los principios de eficacia</w:t>
      </w:r>
      <w:r>
        <w:rPr>
          <w:rFonts w:ascii="Palatino Linotype" w:eastAsia="Palatino Linotype" w:hAnsi="Palatino Linotype" w:cs="Palatino Linotype"/>
          <w:vertAlign w:val="superscript"/>
        </w:rPr>
        <w:footnoteReference w:id="6"/>
      </w:r>
      <w:r>
        <w:rPr>
          <w:rFonts w:ascii="Palatino Linotype" w:eastAsia="Palatino Linotype" w:hAnsi="Palatino Linotype" w:cs="Palatino Linotype"/>
        </w:rPr>
        <w:t xml:space="preserve"> y máxima publicidad, sobre éste último se debe poner mayor énfasis, puesto que establece que toda la información en posesión de los Sujetos Obligados será pública, completa, oportuna y accesible, lo que permite que la ciudadanía tenga un amplio acceso sobre lo que es el actuar de las autoridades.</w:t>
      </w:r>
    </w:p>
    <w:p w:rsidR="005C4853" w:rsidRDefault="005C4853">
      <w:pPr>
        <w:spacing w:line="360" w:lineRule="auto"/>
        <w:ind w:right="-929"/>
        <w:jc w:val="both"/>
        <w:rPr>
          <w:rFonts w:ascii="Palatino Linotype" w:eastAsia="Palatino Linotype" w:hAnsi="Palatino Linotype" w:cs="Palatino Linotype"/>
        </w:rPr>
      </w:pPr>
    </w:p>
    <w:p w:rsidR="005C4853" w:rsidRDefault="00E30EFA">
      <w:pPr>
        <w:spacing w:line="360" w:lineRule="auto"/>
        <w:ind w:right="-929"/>
        <w:jc w:val="both"/>
        <w:rPr>
          <w:rFonts w:ascii="Palatino Linotype" w:eastAsia="Palatino Linotype" w:hAnsi="Palatino Linotype" w:cs="Palatino Linotype"/>
          <w:b/>
          <w:bCs/>
        </w:rPr>
      </w:pPr>
      <w:r>
        <w:rPr>
          <w:rFonts w:ascii="Palatino Linotype" w:eastAsia="Palatino Linotype" w:hAnsi="Palatino Linotype" w:cs="Palatino Linotype"/>
          <w:b/>
          <w:bCs/>
        </w:rPr>
        <w:t>QUINTO. De la versión pública.</w:t>
      </w:r>
    </w:p>
    <w:p w:rsidR="005C4853" w:rsidRDefault="00E30EFA">
      <w:pPr>
        <w:numPr>
          <w:ilvl w:val="0"/>
          <w:numId w:val="2"/>
        </w:numPr>
        <w:spacing w:line="360" w:lineRule="auto"/>
        <w:ind w:left="0" w:right="-929" w:firstLine="0"/>
        <w:jc w:val="both"/>
        <w:rPr>
          <w:rFonts w:ascii="Palatino Linotype" w:eastAsia="Palatino Linotype" w:hAnsi="Palatino Linotype" w:cs="Palatino Linotype"/>
        </w:rPr>
      </w:pPr>
      <w:r>
        <w:rPr>
          <w:rFonts w:ascii="Palatino Linotype" w:eastAsia="Palatino Linotype" w:hAnsi="Palatino Linotype" w:cs="Palatino Linotype"/>
          <w:color w:val="000000"/>
        </w:rPr>
        <w:t>Finalmente</w:t>
      </w:r>
      <w:r>
        <w:rPr>
          <w:rFonts w:ascii="Palatino Linotype" w:eastAsia="Palatino Linotype" w:hAnsi="Palatino Linotype" w:cs="Palatino Linotype"/>
        </w:rPr>
        <w:t xml:space="preserve">, debe señalarse que lo ordenado contiene datos personales conforme al análisis realizado, por tanto el </w:t>
      </w:r>
      <w:r>
        <w:rPr>
          <w:rFonts w:ascii="Palatino Linotype" w:eastAsia="Palatino Linotype" w:hAnsi="Palatino Linotype" w:cs="Palatino Linotype"/>
          <w:b/>
          <w:bCs/>
        </w:rPr>
        <w:t>SUJETO OBLIGADO</w:t>
      </w:r>
      <w:r>
        <w:rPr>
          <w:rFonts w:ascii="Palatino Linotype" w:eastAsia="Palatino Linotype" w:hAnsi="Palatino Linotype" w:cs="Palatino Linotype"/>
        </w:rPr>
        <w:t>, para dar cumplimiento a la presente Resolución, deberá proceder a la elaboración de la versión pública de tales documentos a fin de satisfacer el derecho de acceso a la información pública del recurrente sin menoscabo al derecho a la protección de los datos personales de terceros.</w:t>
      </w:r>
    </w:p>
    <w:p w:rsidR="005C4853" w:rsidRDefault="00E30EFA">
      <w:pPr>
        <w:numPr>
          <w:ilvl w:val="0"/>
          <w:numId w:val="2"/>
        </w:numPr>
        <w:spacing w:line="360" w:lineRule="auto"/>
        <w:ind w:left="0" w:right="-929" w:firstLine="0"/>
        <w:jc w:val="both"/>
        <w:rPr>
          <w:rFonts w:ascii="Palatino Linotype" w:eastAsia="Palatino Linotype" w:hAnsi="Palatino Linotype" w:cs="Palatino Linotype"/>
        </w:rPr>
      </w:pPr>
      <w:r>
        <w:rPr>
          <w:rFonts w:ascii="Palatino Linotype" w:eastAsia="Palatino Linotype" w:hAnsi="Palatino Linotype" w:cs="Palatino Linotype"/>
        </w:rPr>
        <w:lastRenderedPageBreak/>
        <w:t>Para efectos de la elaboración de la versión pública se deberá observar lo dispuesto por los artículos 3 fracciones IX, XX, XXI y XLV, 91, 132 fracciones II y III, y 143 fracción I de la Ley de Transparencia y Acceso a la Información Pública del Estado de México y Municipios que establecen:</w:t>
      </w:r>
    </w:p>
    <w:p w:rsidR="005C4853" w:rsidRDefault="00E30EFA">
      <w:pPr>
        <w:spacing w:line="360" w:lineRule="auto"/>
        <w:ind w:left="851" w:right="-929"/>
        <w:jc w:val="both"/>
        <w:rPr>
          <w:rFonts w:ascii="Palatino Linotype" w:eastAsia="Palatino Linotype" w:hAnsi="Palatino Linotype" w:cs="Palatino Linotype"/>
          <w:i/>
          <w:iCs/>
        </w:rPr>
      </w:pPr>
      <w:r>
        <w:rPr>
          <w:rFonts w:ascii="Palatino Linotype" w:eastAsia="Palatino Linotype" w:hAnsi="Palatino Linotype" w:cs="Palatino Linotype"/>
          <w:i/>
          <w:iCs/>
        </w:rPr>
        <w:t>“</w:t>
      </w:r>
      <w:r>
        <w:rPr>
          <w:rFonts w:ascii="Palatino Linotype" w:eastAsia="Palatino Linotype" w:hAnsi="Palatino Linotype" w:cs="Palatino Linotype"/>
          <w:b/>
          <w:bCs/>
          <w:i/>
          <w:iCs/>
        </w:rPr>
        <w:t>Artículo 3</w:t>
      </w:r>
      <w:r>
        <w:rPr>
          <w:rFonts w:ascii="Palatino Linotype" w:eastAsia="Palatino Linotype" w:hAnsi="Palatino Linotype" w:cs="Palatino Linotype"/>
          <w:i/>
          <w:iCs/>
        </w:rPr>
        <w:t>. Para los efectos de la presente Ley se entenderá por:</w:t>
      </w:r>
    </w:p>
    <w:p w:rsidR="005C4853" w:rsidRDefault="00E30EFA">
      <w:pPr>
        <w:spacing w:line="360" w:lineRule="auto"/>
        <w:ind w:left="1134" w:right="-929"/>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5C4853" w:rsidRDefault="00E30EFA">
      <w:pPr>
        <w:spacing w:line="360" w:lineRule="auto"/>
        <w:ind w:left="1134" w:right="-929"/>
        <w:jc w:val="both"/>
        <w:rPr>
          <w:rFonts w:ascii="Palatino Linotype" w:eastAsia="Palatino Linotype" w:hAnsi="Palatino Linotype" w:cs="Palatino Linotype"/>
          <w:i/>
          <w:iCs/>
        </w:rPr>
      </w:pPr>
      <w:r>
        <w:rPr>
          <w:rFonts w:ascii="Palatino Linotype" w:eastAsia="Palatino Linotype" w:hAnsi="Palatino Linotype" w:cs="Palatino Linotype"/>
          <w:b/>
          <w:bCs/>
          <w:i/>
          <w:iCs/>
        </w:rPr>
        <w:t>IX. Datos personales</w:t>
      </w:r>
      <w:r>
        <w:rPr>
          <w:rFonts w:ascii="Palatino Linotype" w:eastAsia="Palatino Linotype" w:hAnsi="Palatino Linotype" w:cs="Palatino Linotype"/>
          <w:i/>
          <w:iCs/>
        </w:rPr>
        <w:t xml:space="preserve">: La información concerniente a una persona, identificada o identificable según lo dispuesto por la Ley de Protección de Datos Personales del Estado de México; </w:t>
      </w:r>
    </w:p>
    <w:p w:rsidR="005C4853" w:rsidRDefault="00E30EFA">
      <w:pPr>
        <w:spacing w:line="360" w:lineRule="auto"/>
        <w:ind w:left="1134" w:right="-929"/>
        <w:jc w:val="both"/>
        <w:rPr>
          <w:rFonts w:ascii="Palatino Linotype" w:eastAsia="Palatino Linotype" w:hAnsi="Palatino Linotype" w:cs="Palatino Linotype"/>
          <w:i/>
          <w:iCs/>
        </w:rPr>
      </w:pPr>
      <w:r>
        <w:rPr>
          <w:rFonts w:ascii="Palatino Linotype" w:eastAsia="Palatino Linotype" w:hAnsi="Palatino Linotype" w:cs="Palatino Linotype"/>
          <w:b/>
          <w:bCs/>
          <w:i/>
          <w:iCs/>
        </w:rPr>
        <w:t>XX. Información clasificada</w:t>
      </w:r>
      <w:r>
        <w:rPr>
          <w:rFonts w:ascii="Palatino Linotype" w:eastAsia="Palatino Linotype" w:hAnsi="Palatino Linotype" w:cs="Palatino Linotype"/>
          <w:i/>
          <w:iCs/>
        </w:rPr>
        <w:t>: Aquella considerada por la presente Ley como reservada o confidencial;</w:t>
      </w:r>
    </w:p>
    <w:p w:rsidR="005C4853" w:rsidRDefault="00E30EFA">
      <w:pPr>
        <w:spacing w:line="360" w:lineRule="auto"/>
        <w:ind w:left="1134" w:right="-929"/>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XXI. Información confidencial: </w:t>
      </w:r>
      <w:r>
        <w:rPr>
          <w:rFonts w:ascii="Palatino Linotype" w:eastAsia="Palatino Linotype" w:hAnsi="Palatino Linotype" w:cs="Palatino Linotype"/>
          <w:i/>
          <w:iCs/>
        </w:rPr>
        <w:t>Se considera como información confidencial los secretos bancario, fiduciario, industrial, comercial, fiscal, bursátil y postal, cuya titularidad corresponda a particulares, sujetos de derecho internacional o a sujetos obligados cuando no involucren el ejercicio de recursos públicos;</w:t>
      </w:r>
    </w:p>
    <w:p w:rsidR="005C4853" w:rsidRDefault="00E30EFA">
      <w:pPr>
        <w:spacing w:line="360" w:lineRule="auto"/>
        <w:ind w:left="1134" w:right="-929"/>
        <w:jc w:val="both"/>
        <w:rPr>
          <w:rFonts w:ascii="Palatino Linotype" w:eastAsia="Palatino Linotype" w:hAnsi="Palatino Linotype" w:cs="Palatino Linotype"/>
          <w:i/>
          <w:iCs/>
        </w:rPr>
      </w:pPr>
      <w:r>
        <w:rPr>
          <w:rFonts w:ascii="Palatino Linotype" w:eastAsia="Palatino Linotype" w:hAnsi="Palatino Linotype" w:cs="Palatino Linotype"/>
          <w:b/>
          <w:bCs/>
          <w:i/>
          <w:iCs/>
        </w:rPr>
        <w:t>XLV. Versión pública:</w:t>
      </w:r>
      <w:r>
        <w:rPr>
          <w:rFonts w:ascii="Palatino Linotype" w:eastAsia="Palatino Linotype" w:hAnsi="Palatino Linotype" w:cs="Palatino Linotype"/>
          <w:i/>
          <w:iCs/>
        </w:rPr>
        <w:t xml:space="preserve"> Documento en el que se elimine, suprime o borra la información clasificada como reservada o confidencial para permitir su acceso.</w:t>
      </w:r>
    </w:p>
    <w:p w:rsidR="005C4853" w:rsidRDefault="00E30EFA">
      <w:pPr>
        <w:spacing w:line="360" w:lineRule="auto"/>
        <w:ind w:left="1134" w:right="-929"/>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5C4853" w:rsidRDefault="005C4853">
      <w:pPr>
        <w:spacing w:line="360" w:lineRule="auto"/>
        <w:ind w:left="1134" w:right="-929"/>
        <w:jc w:val="both"/>
        <w:rPr>
          <w:rFonts w:ascii="Palatino Linotype" w:eastAsia="Palatino Linotype" w:hAnsi="Palatino Linotype" w:cs="Palatino Linotype"/>
          <w:i/>
          <w:iCs/>
        </w:rPr>
      </w:pPr>
    </w:p>
    <w:p w:rsidR="005C4853" w:rsidRDefault="00E30EFA">
      <w:pPr>
        <w:spacing w:line="360" w:lineRule="auto"/>
        <w:ind w:left="851" w:right="-929"/>
        <w:jc w:val="both"/>
        <w:rPr>
          <w:rFonts w:ascii="Palatino Linotype" w:eastAsia="Palatino Linotype" w:hAnsi="Palatino Linotype" w:cs="Palatino Linotype"/>
          <w:i/>
          <w:iCs/>
        </w:rPr>
      </w:pPr>
      <w:r>
        <w:rPr>
          <w:rFonts w:ascii="Palatino Linotype" w:eastAsia="Palatino Linotype" w:hAnsi="Palatino Linotype" w:cs="Palatino Linotype"/>
          <w:b/>
          <w:bCs/>
          <w:i/>
          <w:iCs/>
        </w:rPr>
        <w:t>Artículo 91.</w:t>
      </w:r>
      <w:r>
        <w:rPr>
          <w:rFonts w:ascii="Palatino Linotype" w:eastAsia="Palatino Linotype" w:hAnsi="Palatino Linotype" w:cs="Palatino Linotype"/>
          <w:i/>
          <w:iCs/>
        </w:rPr>
        <w:t xml:space="preserve"> El acceso a la información pública será restringido excepcionalmente, cuando ésta sea clasificada como reservada o confidencial.</w:t>
      </w:r>
    </w:p>
    <w:p w:rsidR="005C4853" w:rsidRDefault="005C4853">
      <w:pPr>
        <w:spacing w:line="360" w:lineRule="auto"/>
        <w:ind w:left="851" w:right="-929"/>
        <w:jc w:val="both"/>
        <w:rPr>
          <w:rFonts w:ascii="Palatino Linotype" w:eastAsia="Palatino Linotype" w:hAnsi="Palatino Linotype" w:cs="Palatino Linotype"/>
          <w:i/>
          <w:iCs/>
        </w:rPr>
      </w:pPr>
    </w:p>
    <w:p w:rsidR="005C4853" w:rsidRDefault="00E30EFA">
      <w:pPr>
        <w:spacing w:line="360" w:lineRule="auto"/>
        <w:ind w:left="851" w:right="-929"/>
        <w:jc w:val="both"/>
        <w:rPr>
          <w:rFonts w:ascii="Palatino Linotype" w:eastAsia="Palatino Linotype" w:hAnsi="Palatino Linotype" w:cs="Palatino Linotype"/>
          <w:i/>
          <w:iCs/>
        </w:rPr>
      </w:pPr>
      <w:r>
        <w:rPr>
          <w:rFonts w:ascii="Palatino Linotype" w:eastAsia="Palatino Linotype" w:hAnsi="Palatino Linotype" w:cs="Palatino Linotype"/>
          <w:b/>
          <w:bCs/>
          <w:i/>
          <w:iCs/>
        </w:rPr>
        <w:t>Artículo 132.</w:t>
      </w:r>
      <w:r>
        <w:rPr>
          <w:rFonts w:ascii="Palatino Linotype" w:eastAsia="Palatino Linotype" w:hAnsi="Palatino Linotype" w:cs="Palatino Linotype"/>
          <w:i/>
          <w:iCs/>
        </w:rPr>
        <w:t xml:space="preserve"> La clasificación de la información se llevará a cabo en el momento en que:</w:t>
      </w:r>
    </w:p>
    <w:p w:rsidR="005C4853" w:rsidRDefault="00E30EFA">
      <w:pPr>
        <w:spacing w:line="360" w:lineRule="auto"/>
        <w:ind w:left="1134" w:right="-929"/>
        <w:jc w:val="both"/>
        <w:rPr>
          <w:rFonts w:ascii="Palatino Linotype" w:eastAsia="Palatino Linotype" w:hAnsi="Palatino Linotype" w:cs="Palatino Linotype"/>
          <w:i/>
          <w:iCs/>
        </w:rPr>
      </w:pPr>
      <w:r>
        <w:rPr>
          <w:rFonts w:ascii="Palatino Linotype" w:eastAsia="Palatino Linotype" w:hAnsi="Palatino Linotype" w:cs="Palatino Linotype"/>
          <w:b/>
          <w:bCs/>
          <w:i/>
          <w:iCs/>
        </w:rPr>
        <w:t>I</w:t>
      </w:r>
      <w:r>
        <w:rPr>
          <w:rFonts w:ascii="Palatino Linotype" w:eastAsia="Palatino Linotype" w:hAnsi="Palatino Linotype" w:cs="Palatino Linotype"/>
          <w:i/>
          <w:iCs/>
        </w:rPr>
        <w:t>. Se reciba una solicitud de acceso a la información;</w:t>
      </w:r>
    </w:p>
    <w:p w:rsidR="005C4853" w:rsidRDefault="00E30EFA">
      <w:pPr>
        <w:spacing w:line="360" w:lineRule="auto"/>
        <w:ind w:left="1134" w:right="-929"/>
        <w:jc w:val="both"/>
        <w:rPr>
          <w:rFonts w:ascii="Palatino Linotype" w:eastAsia="Palatino Linotype" w:hAnsi="Palatino Linotype" w:cs="Palatino Linotype"/>
          <w:i/>
          <w:iCs/>
        </w:rPr>
      </w:pPr>
      <w:r>
        <w:rPr>
          <w:rFonts w:ascii="Palatino Linotype" w:eastAsia="Palatino Linotype" w:hAnsi="Palatino Linotype" w:cs="Palatino Linotype"/>
          <w:b/>
          <w:bCs/>
          <w:i/>
          <w:iCs/>
        </w:rPr>
        <w:lastRenderedPageBreak/>
        <w:t>II.</w:t>
      </w:r>
      <w:r>
        <w:rPr>
          <w:rFonts w:ascii="Palatino Linotype" w:eastAsia="Palatino Linotype" w:hAnsi="Palatino Linotype" w:cs="Palatino Linotype"/>
          <w:i/>
          <w:iCs/>
        </w:rPr>
        <w:t xml:space="preserve"> Se determine mediante resolución de autoridad competente; o</w:t>
      </w:r>
    </w:p>
    <w:p w:rsidR="005C4853" w:rsidRDefault="00E30EFA">
      <w:pPr>
        <w:spacing w:line="360" w:lineRule="auto"/>
        <w:ind w:left="1134" w:right="-929"/>
        <w:jc w:val="both"/>
        <w:rPr>
          <w:rFonts w:ascii="Palatino Linotype" w:eastAsia="Palatino Linotype" w:hAnsi="Palatino Linotype" w:cs="Palatino Linotype"/>
          <w:i/>
          <w:iCs/>
        </w:rPr>
      </w:pPr>
      <w:r>
        <w:rPr>
          <w:rFonts w:ascii="Palatino Linotype" w:eastAsia="Palatino Linotype" w:hAnsi="Palatino Linotype" w:cs="Palatino Linotype"/>
          <w:b/>
          <w:bCs/>
          <w:i/>
          <w:iCs/>
        </w:rPr>
        <w:t>III.</w:t>
      </w:r>
      <w:r>
        <w:rPr>
          <w:rFonts w:ascii="Palatino Linotype" w:eastAsia="Palatino Linotype" w:hAnsi="Palatino Linotype" w:cs="Palatino Linotype"/>
          <w:i/>
          <w:iCs/>
        </w:rPr>
        <w:t xml:space="preserve"> Se generen versiones públicas para dar cumplimiento a las obligaciones de transparencia previstas en esta Ley.</w:t>
      </w:r>
    </w:p>
    <w:p w:rsidR="005C4853" w:rsidRDefault="00E30EFA">
      <w:pPr>
        <w:spacing w:line="360" w:lineRule="auto"/>
        <w:ind w:left="851" w:right="-929"/>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5C4853" w:rsidRDefault="005C4853">
      <w:pPr>
        <w:spacing w:line="360" w:lineRule="auto"/>
        <w:ind w:left="851" w:right="-929"/>
        <w:jc w:val="both"/>
        <w:rPr>
          <w:rFonts w:ascii="Palatino Linotype" w:eastAsia="Palatino Linotype" w:hAnsi="Palatino Linotype" w:cs="Palatino Linotype"/>
          <w:i/>
          <w:iCs/>
        </w:rPr>
      </w:pPr>
    </w:p>
    <w:p w:rsidR="005C4853" w:rsidRDefault="00E30EFA">
      <w:pPr>
        <w:spacing w:line="360" w:lineRule="auto"/>
        <w:ind w:left="851" w:right="-929"/>
        <w:jc w:val="both"/>
        <w:rPr>
          <w:rFonts w:ascii="Palatino Linotype" w:eastAsia="Palatino Linotype" w:hAnsi="Palatino Linotype" w:cs="Palatino Linotype"/>
          <w:i/>
          <w:iCs/>
        </w:rPr>
      </w:pPr>
      <w:r>
        <w:rPr>
          <w:rFonts w:ascii="Palatino Linotype" w:eastAsia="Palatino Linotype" w:hAnsi="Palatino Linotype" w:cs="Palatino Linotype"/>
          <w:b/>
          <w:bCs/>
          <w:i/>
          <w:iCs/>
        </w:rPr>
        <w:t>Artículo 143</w:t>
      </w:r>
      <w:r>
        <w:rPr>
          <w:rFonts w:ascii="Palatino Linotype" w:eastAsia="Palatino Linotype" w:hAnsi="Palatino Linotype" w:cs="Palatino Linotype"/>
          <w:i/>
          <w:iCs/>
        </w:rPr>
        <w:t>. Para los efectos de esta Ley se considera información confidencial, la clasificada como tal, de manera permanente, por su naturaleza, cuando:</w:t>
      </w:r>
    </w:p>
    <w:p w:rsidR="005C4853" w:rsidRDefault="00E30EFA">
      <w:pPr>
        <w:spacing w:line="360" w:lineRule="auto"/>
        <w:ind w:left="1134" w:right="-929"/>
        <w:jc w:val="both"/>
        <w:rPr>
          <w:rFonts w:ascii="Palatino Linotype" w:eastAsia="Palatino Linotype" w:hAnsi="Palatino Linotype" w:cs="Palatino Linotype"/>
          <w:i/>
          <w:iCs/>
        </w:rPr>
      </w:pPr>
      <w:r>
        <w:rPr>
          <w:rFonts w:ascii="Palatino Linotype" w:eastAsia="Palatino Linotype" w:hAnsi="Palatino Linotype" w:cs="Palatino Linotype"/>
          <w:b/>
          <w:bCs/>
          <w:i/>
          <w:iCs/>
        </w:rPr>
        <w:t>I.</w:t>
      </w:r>
      <w:r>
        <w:rPr>
          <w:rFonts w:ascii="Palatino Linotype" w:eastAsia="Palatino Linotype" w:hAnsi="Palatino Linotype" w:cs="Palatino Linotype"/>
          <w:i/>
          <w:iCs/>
        </w:rPr>
        <w:t xml:space="preserve"> Se refiera a la información privada y los datos personales concernientes a una persona física o jurídico colectiva identificada o identificable;</w:t>
      </w:r>
    </w:p>
    <w:p w:rsidR="005C4853" w:rsidRDefault="00E30EFA">
      <w:pPr>
        <w:spacing w:line="360" w:lineRule="auto"/>
        <w:ind w:left="1134" w:right="-929"/>
        <w:jc w:val="both"/>
        <w:rPr>
          <w:rFonts w:ascii="Palatino Linotype" w:eastAsia="Palatino Linotype" w:hAnsi="Palatino Linotype" w:cs="Palatino Linotype"/>
          <w:i/>
          <w:iCs/>
        </w:rPr>
      </w:pPr>
      <w:r>
        <w:rPr>
          <w:rFonts w:ascii="Palatino Linotype" w:eastAsia="Palatino Linotype" w:hAnsi="Palatino Linotype" w:cs="Palatino Linotype"/>
          <w:b/>
          <w:bCs/>
          <w:i/>
          <w:iCs/>
        </w:rPr>
        <w:t>II.</w:t>
      </w:r>
      <w:r>
        <w:rPr>
          <w:rFonts w:ascii="Palatino Linotype" w:eastAsia="Palatino Linotype" w:hAnsi="Palatino Linotype" w:cs="Palatino Linotype"/>
          <w:i/>
          <w:iCs/>
        </w:rPr>
        <w:t xml:space="preserve"> Los secretos bancario, fiduciario, industrial, comercial, fiscal, bursátil y postal, cuya titularidad corresponda a particulares, sujetos de derecho internacional o a sujetos obligados cuando no involucren el ejercicio de recursos públicos; y</w:t>
      </w:r>
    </w:p>
    <w:p w:rsidR="005C4853" w:rsidRDefault="00E30EFA">
      <w:pPr>
        <w:spacing w:line="360" w:lineRule="auto"/>
        <w:ind w:left="1134" w:right="-929"/>
        <w:jc w:val="both"/>
        <w:rPr>
          <w:rFonts w:ascii="Palatino Linotype" w:eastAsia="Palatino Linotype" w:hAnsi="Palatino Linotype" w:cs="Palatino Linotype"/>
          <w:i/>
          <w:iCs/>
        </w:rPr>
      </w:pPr>
      <w:r>
        <w:rPr>
          <w:rFonts w:ascii="Palatino Linotype" w:eastAsia="Palatino Linotype" w:hAnsi="Palatino Linotype" w:cs="Palatino Linotype"/>
          <w:b/>
          <w:bCs/>
          <w:i/>
          <w:iCs/>
        </w:rPr>
        <w:t>III.</w:t>
      </w:r>
      <w:r>
        <w:rPr>
          <w:rFonts w:ascii="Palatino Linotype" w:eastAsia="Palatino Linotype" w:hAnsi="Palatino Linotype" w:cs="Palatino Linotype"/>
          <w:i/>
          <w:iCs/>
        </w:rPr>
        <w:t xml:space="preserve"> La que presenten los particulares a los sujetos obligados, de conformidad con lo dispuesto por las leyes o los tratados internacionales.</w:t>
      </w:r>
    </w:p>
    <w:p w:rsidR="005C4853" w:rsidRDefault="00E30EFA">
      <w:pPr>
        <w:spacing w:line="360" w:lineRule="auto"/>
        <w:ind w:left="851" w:right="-929"/>
        <w:jc w:val="both"/>
        <w:rPr>
          <w:rFonts w:ascii="Palatino Linotype" w:eastAsia="Palatino Linotype" w:hAnsi="Palatino Linotype" w:cs="Palatino Linotype"/>
          <w:i/>
          <w:iCs/>
        </w:rPr>
      </w:pPr>
      <w:r>
        <w:rPr>
          <w:rFonts w:ascii="Palatino Linotype" w:eastAsia="Palatino Linotype" w:hAnsi="Palatino Linotype" w:cs="Palatino Linotype"/>
          <w:i/>
          <w:iCs/>
        </w:rPr>
        <w:t>La información confidencial no estará sujeta a temporalidad alguna y sólo podrán tener acceso a ella los titulares de la misma, sus representantes y los servidores públicos facultados para ello.</w:t>
      </w:r>
    </w:p>
    <w:p w:rsidR="005C4853" w:rsidRDefault="00E30EFA">
      <w:pPr>
        <w:spacing w:line="360" w:lineRule="auto"/>
        <w:ind w:left="851" w:right="-929"/>
        <w:jc w:val="both"/>
        <w:rPr>
          <w:rFonts w:ascii="Palatino Linotype" w:eastAsia="Palatino Linotype" w:hAnsi="Palatino Linotype" w:cs="Palatino Linotype"/>
          <w:i/>
          <w:iCs/>
        </w:rPr>
      </w:pPr>
      <w:r>
        <w:rPr>
          <w:rFonts w:ascii="Palatino Linotype" w:eastAsia="Palatino Linotype" w:hAnsi="Palatino Linotype" w:cs="Palatino Linotype"/>
          <w:i/>
          <w:iCs/>
        </w:rPr>
        <w:t>No se considerará confidencial la información que se encuentre en los registros públicos o en fuentes de acceso público, ni tampoco la que sea considerada por la presente ley como información pública.”</w:t>
      </w:r>
    </w:p>
    <w:p w:rsidR="005C4853" w:rsidRDefault="005C4853">
      <w:pPr>
        <w:spacing w:line="360" w:lineRule="auto"/>
        <w:ind w:left="851" w:right="-929"/>
        <w:jc w:val="both"/>
        <w:rPr>
          <w:rFonts w:ascii="Palatino Linotype" w:eastAsia="Palatino Linotype" w:hAnsi="Palatino Linotype" w:cs="Palatino Linotype"/>
          <w:i/>
          <w:iCs/>
        </w:rPr>
      </w:pPr>
    </w:p>
    <w:p w:rsidR="005C4853" w:rsidRDefault="00E30EFA">
      <w:pPr>
        <w:numPr>
          <w:ilvl w:val="0"/>
          <w:numId w:val="2"/>
        </w:numPr>
        <w:spacing w:line="360" w:lineRule="auto"/>
        <w:ind w:left="0" w:right="-929"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Igualmente, los Lineamientos Generales en Materia de Clasificación y Desclasificación de la Información, así como para la elaboración de Versiones Públicas, emitidos por el Consejo Nacional del Sistema Nacional de Transparencia, Acceso a la Información Pública y </w:t>
      </w:r>
      <w:r>
        <w:rPr>
          <w:rFonts w:ascii="Palatino Linotype" w:eastAsia="Palatino Linotype" w:hAnsi="Palatino Linotype" w:cs="Palatino Linotype"/>
        </w:rPr>
        <w:lastRenderedPageBreak/>
        <w:t>Protección de Datos Personales, publicados en el Diario Oficial de la Federación el día quince de abril de dos mil dieciséis, tienen por objeto establecer los criterios con base en los cuales los sujetos obligados clasificará como reservada o confidencial la información que posean, desclasificarán y generarán, en su caso, versiones públicas de expedientes o documentos que contengan partes o secciones clasificadas.</w:t>
      </w:r>
    </w:p>
    <w:p w:rsidR="005C4853" w:rsidRDefault="005C4853">
      <w:pPr>
        <w:pBdr>
          <w:top w:val="nil"/>
          <w:left w:val="nil"/>
          <w:bottom w:val="nil"/>
          <w:right w:val="nil"/>
          <w:between w:val="nil"/>
        </w:pBdr>
        <w:spacing w:line="360" w:lineRule="auto"/>
        <w:ind w:right="-929"/>
        <w:jc w:val="both"/>
        <w:rPr>
          <w:rFonts w:ascii="Palatino Linotype" w:eastAsia="Palatino Linotype" w:hAnsi="Palatino Linotype" w:cs="Palatino Linotype"/>
          <w:color w:val="000000"/>
        </w:rPr>
      </w:pPr>
    </w:p>
    <w:p w:rsidR="005C4853" w:rsidRDefault="00E30EFA">
      <w:pPr>
        <w:numPr>
          <w:ilvl w:val="0"/>
          <w:numId w:val="2"/>
        </w:numPr>
        <w:spacing w:line="360" w:lineRule="auto"/>
        <w:ind w:left="0" w:right="-929" w:firstLine="0"/>
        <w:jc w:val="both"/>
        <w:rPr>
          <w:rFonts w:ascii="Palatino Linotype" w:eastAsia="Palatino Linotype" w:hAnsi="Palatino Linotype" w:cs="Palatino Linotype"/>
        </w:rPr>
      </w:pPr>
      <w:r>
        <w:rPr>
          <w:rFonts w:ascii="Palatino Linotype" w:eastAsia="Palatino Linotype" w:hAnsi="Palatino Linotype" w:cs="Palatino Linotype"/>
        </w:rPr>
        <w:t>Entorno a lo que aquí nos interesa, los Lineamientos Quincuagésimo sexto, Quincuagésimo séptimo y Quincuagésimo octavo, establecen lo siguiente:</w:t>
      </w:r>
    </w:p>
    <w:p w:rsidR="005C4853" w:rsidRDefault="00E30EFA">
      <w:pPr>
        <w:spacing w:line="360" w:lineRule="auto"/>
        <w:ind w:left="851" w:right="-929"/>
        <w:jc w:val="both"/>
        <w:rPr>
          <w:rFonts w:ascii="Palatino Linotype" w:eastAsia="Palatino Linotype" w:hAnsi="Palatino Linotype" w:cs="Palatino Linotype"/>
          <w:i/>
          <w:iCs/>
        </w:rPr>
      </w:pPr>
      <w:r>
        <w:rPr>
          <w:rFonts w:ascii="Palatino Linotype" w:eastAsia="Palatino Linotype" w:hAnsi="Palatino Linotype" w:cs="Palatino Linotype"/>
          <w:b/>
          <w:bCs/>
          <w:i/>
          <w:iCs/>
        </w:rPr>
        <w:t>“Quincuagésimo sexto</w:t>
      </w:r>
      <w:r>
        <w:rPr>
          <w:rFonts w:ascii="Palatino Linotype" w:eastAsia="Palatino Linotype" w:hAnsi="Palatino Linotype" w:cs="Palatino Linotype"/>
          <w:i/>
          <w:iCs/>
        </w:rPr>
        <w:t>. La versión pública del documento o expediente que contenga partes o secciones reservadas o confidenciales, será elaborada por los sujetos obligados, previo pago de los costos de reproducción, a través de sus áreas y deberá ser aprobada por su Comité de Transparencia</w:t>
      </w:r>
    </w:p>
    <w:p w:rsidR="005C4853" w:rsidRDefault="005C4853">
      <w:pPr>
        <w:spacing w:line="360" w:lineRule="auto"/>
        <w:ind w:left="851" w:right="-929"/>
        <w:jc w:val="both"/>
        <w:rPr>
          <w:rFonts w:ascii="Palatino Linotype" w:eastAsia="Palatino Linotype" w:hAnsi="Palatino Linotype" w:cs="Palatino Linotype"/>
          <w:i/>
          <w:iCs/>
        </w:rPr>
      </w:pPr>
    </w:p>
    <w:p w:rsidR="005C4853" w:rsidRDefault="00E30EFA">
      <w:pPr>
        <w:spacing w:line="360" w:lineRule="auto"/>
        <w:ind w:left="851" w:right="-929"/>
        <w:jc w:val="both"/>
        <w:rPr>
          <w:rFonts w:ascii="Palatino Linotype" w:eastAsia="Palatino Linotype" w:hAnsi="Palatino Linotype" w:cs="Palatino Linotype"/>
          <w:i/>
          <w:iCs/>
        </w:rPr>
      </w:pPr>
      <w:r>
        <w:rPr>
          <w:rFonts w:ascii="Palatino Linotype" w:eastAsia="Palatino Linotype" w:hAnsi="Palatino Linotype" w:cs="Palatino Linotype"/>
          <w:b/>
          <w:bCs/>
          <w:i/>
          <w:iCs/>
        </w:rPr>
        <w:t>Quincuagésimo séptimo</w:t>
      </w:r>
      <w:r>
        <w:rPr>
          <w:rFonts w:ascii="Palatino Linotype" w:eastAsia="Palatino Linotype" w:hAnsi="Palatino Linotype" w:cs="Palatino Linotype"/>
          <w:i/>
          <w:iCs/>
        </w:rPr>
        <w:t xml:space="preserve">. Se considera, en principio, como información pública y no podrá omitirse de las versiones públicas la siguiente: </w:t>
      </w:r>
    </w:p>
    <w:p w:rsidR="005C4853" w:rsidRDefault="00E30EFA">
      <w:pPr>
        <w:spacing w:line="360" w:lineRule="auto"/>
        <w:ind w:left="1134" w:right="-929"/>
        <w:jc w:val="both"/>
        <w:rPr>
          <w:rFonts w:ascii="Palatino Linotype" w:eastAsia="Palatino Linotype" w:hAnsi="Palatino Linotype" w:cs="Palatino Linotype"/>
          <w:i/>
          <w:iCs/>
        </w:rPr>
      </w:pPr>
      <w:r>
        <w:rPr>
          <w:rFonts w:ascii="Palatino Linotype" w:eastAsia="Palatino Linotype" w:hAnsi="Palatino Linotype" w:cs="Palatino Linotype"/>
          <w:b/>
          <w:bCs/>
          <w:i/>
          <w:iCs/>
        </w:rPr>
        <w:t>I.</w:t>
      </w:r>
      <w:r>
        <w:rPr>
          <w:rFonts w:ascii="Palatino Linotype" w:eastAsia="Palatino Linotype" w:hAnsi="Palatino Linotype" w:cs="Palatino Linotype"/>
          <w:i/>
          <w:iCs/>
        </w:rPr>
        <w:t xml:space="preserve"> La relativa a las Obligaciones de Transparencia que contempla el Título V de la Ley General y las demás disposiciones legales aplicables; </w:t>
      </w:r>
    </w:p>
    <w:p w:rsidR="005C4853" w:rsidRDefault="00E30EFA">
      <w:pPr>
        <w:spacing w:line="360" w:lineRule="auto"/>
        <w:ind w:left="1134" w:right="-929"/>
        <w:jc w:val="both"/>
        <w:rPr>
          <w:rFonts w:ascii="Palatino Linotype" w:eastAsia="Palatino Linotype" w:hAnsi="Palatino Linotype" w:cs="Palatino Linotype"/>
          <w:i/>
          <w:iCs/>
        </w:rPr>
      </w:pPr>
      <w:r>
        <w:rPr>
          <w:rFonts w:ascii="Palatino Linotype" w:eastAsia="Palatino Linotype" w:hAnsi="Palatino Linotype" w:cs="Palatino Linotype"/>
          <w:b/>
          <w:bCs/>
          <w:i/>
          <w:iCs/>
        </w:rPr>
        <w:t>II.</w:t>
      </w:r>
      <w:r>
        <w:rPr>
          <w:rFonts w:ascii="Palatino Linotype" w:eastAsia="Palatino Linotype" w:hAnsi="Palatino Linotype" w:cs="Palatino Linotype"/>
          <w:i/>
          <w:iCs/>
        </w:rPr>
        <w:t xml:space="preserve"> El nombre de los servidores públicos en los documentos, y sus firmas autógrafas, cuando sean utilizados en el ejercicio de las facultades conferidas para el desempeño del servicio público, y </w:t>
      </w:r>
    </w:p>
    <w:p w:rsidR="005C4853" w:rsidRDefault="00E30EFA">
      <w:pPr>
        <w:spacing w:line="360" w:lineRule="auto"/>
        <w:ind w:left="1134" w:right="-929"/>
        <w:jc w:val="both"/>
        <w:rPr>
          <w:rFonts w:ascii="Palatino Linotype" w:eastAsia="Palatino Linotype" w:hAnsi="Palatino Linotype" w:cs="Palatino Linotype"/>
          <w:i/>
          <w:iCs/>
        </w:rPr>
      </w:pPr>
      <w:r>
        <w:rPr>
          <w:rFonts w:ascii="Palatino Linotype" w:eastAsia="Palatino Linotype" w:hAnsi="Palatino Linotype" w:cs="Palatino Linotype"/>
          <w:b/>
          <w:bCs/>
          <w:i/>
          <w:iCs/>
        </w:rPr>
        <w:t>III.</w:t>
      </w:r>
      <w:r>
        <w:rPr>
          <w:rFonts w:ascii="Palatino Linotype" w:eastAsia="Palatino Linotype" w:hAnsi="Palatino Linotype" w:cs="Palatino Linotype"/>
          <w:i/>
          <w:iCs/>
        </w:rPr>
        <w:t xml:space="preserve"> La información que documente decisiones y los actos de autoridad concluidos de los sujetos obligados, así como el ejercicio de las facultades o actividades de los servidores públicos, de manera que se pueda valorar el desempeño de los mismos.</w:t>
      </w:r>
    </w:p>
    <w:p w:rsidR="005C4853" w:rsidRDefault="00E30EFA">
      <w:pPr>
        <w:spacing w:line="360" w:lineRule="auto"/>
        <w:ind w:left="851" w:right="-929"/>
        <w:jc w:val="both"/>
        <w:rPr>
          <w:rFonts w:ascii="Palatino Linotype" w:eastAsia="Palatino Linotype" w:hAnsi="Palatino Linotype" w:cs="Palatino Linotype"/>
          <w:i/>
          <w:iCs/>
        </w:rPr>
      </w:pPr>
      <w:r>
        <w:rPr>
          <w:rFonts w:ascii="Palatino Linotype" w:eastAsia="Palatino Linotype" w:hAnsi="Palatino Linotype" w:cs="Palatino Linotype"/>
          <w:i/>
          <w:iCs/>
        </w:rPr>
        <w:lastRenderedPageBreak/>
        <w:t xml:space="preserve">Lo anterior, siempre y cuando no se acredite alguna causal de clasificación, prevista en las leyes o en los tratados internaciones suscritos por el Estado mexicano. </w:t>
      </w:r>
    </w:p>
    <w:p w:rsidR="005C4853" w:rsidRDefault="005C4853">
      <w:pPr>
        <w:spacing w:line="360" w:lineRule="auto"/>
        <w:ind w:left="851" w:right="-929"/>
        <w:jc w:val="both"/>
        <w:rPr>
          <w:rFonts w:ascii="Palatino Linotype" w:eastAsia="Palatino Linotype" w:hAnsi="Palatino Linotype" w:cs="Palatino Linotype"/>
          <w:i/>
          <w:iCs/>
        </w:rPr>
      </w:pPr>
    </w:p>
    <w:p w:rsidR="005C4853" w:rsidRDefault="00E30EFA">
      <w:pPr>
        <w:spacing w:line="360" w:lineRule="auto"/>
        <w:ind w:left="851" w:right="-929"/>
        <w:jc w:val="both"/>
        <w:rPr>
          <w:rFonts w:ascii="Palatino Linotype" w:eastAsia="Palatino Linotype" w:hAnsi="Palatino Linotype" w:cs="Palatino Linotype"/>
          <w:i/>
          <w:iCs/>
        </w:rPr>
      </w:pPr>
      <w:r>
        <w:rPr>
          <w:rFonts w:ascii="Palatino Linotype" w:eastAsia="Palatino Linotype" w:hAnsi="Palatino Linotype" w:cs="Palatino Linotype"/>
          <w:b/>
          <w:bCs/>
          <w:i/>
          <w:iCs/>
        </w:rPr>
        <w:t>Quincuagésimo octavo</w:t>
      </w:r>
      <w:r>
        <w:rPr>
          <w:rFonts w:ascii="Palatino Linotype" w:eastAsia="Palatino Linotype" w:hAnsi="Palatino Linotype" w:cs="Palatino Linotype"/>
          <w:i/>
          <w:iCs/>
        </w:rPr>
        <w:t>. Los sujetos obligados garantizarán que los sistemas o medios empleados para eliminar la información en las versiones públicas no permitan la recuperación o visualización de la misma.”</w:t>
      </w:r>
    </w:p>
    <w:p w:rsidR="005C4853" w:rsidRDefault="005C4853">
      <w:pPr>
        <w:spacing w:line="360" w:lineRule="auto"/>
        <w:ind w:left="851" w:right="-929"/>
        <w:jc w:val="both"/>
        <w:rPr>
          <w:rFonts w:ascii="Palatino Linotype" w:eastAsia="Palatino Linotype" w:hAnsi="Palatino Linotype" w:cs="Palatino Linotype"/>
          <w:i/>
          <w:iCs/>
        </w:rPr>
      </w:pPr>
    </w:p>
    <w:p w:rsidR="005C4853" w:rsidRDefault="00E30EFA">
      <w:pPr>
        <w:numPr>
          <w:ilvl w:val="0"/>
          <w:numId w:val="2"/>
        </w:numPr>
        <w:spacing w:line="360" w:lineRule="auto"/>
        <w:ind w:left="0" w:right="-929"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Luego entonces, el </w:t>
      </w:r>
      <w:r>
        <w:rPr>
          <w:rFonts w:ascii="Palatino Linotype" w:eastAsia="Palatino Linotype" w:hAnsi="Palatino Linotype" w:cs="Palatino Linotype"/>
          <w:b/>
          <w:bCs/>
          <w:color w:val="000000"/>
        </w:rPr>
        <w:t xml:space="preserve">SUJETOS OBLIGADOS </w:t>
      </w:r>
      <w:r>
        <w:rPr>
          <w:rFonts w:ascii="Palatino Linotype" w:eastAsia="Palatino Linotype" w:hAnsi="Palatino Linotype" w:cs="Palatino Linotype"/>
          <w:color w:val="000000"/>
        </w:rPr>
        <w:t xml:space="preserve">será responsable de los datos personales en </w:t>
      </w:r>
      <w:r>
        <w:rPr>
          <w:rFonts w:ascii="Palatino Linotype" w:eastAsia="Palatino Linotype" w:hAnsi="Palatino Linotype" w:cs="Palatino Linotype"/>
        </w:rPr>
        <w:t>su</w:t>
      </w:r>
      <w:r>
        <w:rPr>
          <w:rFonts w:ascii="Palatino Linotype" w:eastAsia="Palatino Linotype" w:hAnsi="Palatino Linotype" w:cs="Palatino Linotype"/>
          <w:color w:val="000000"/>
        </w:rPr>
        <w:t xml:space="preserve"> posesión y que, en caso de localizarse datos concernientes a terceros, éstos no podrán difundir, distribuir o comercializar los datos personales.  Cabe destacar que, para la realización de la clasificación de la información, se deben seguir una serie de </w:t>
      </w:r>
      <w:r>
        <w:rPr>
          <w:rFonts w:ascii="Palatino Linotype" w:eastAsia="Palatino Linotype" w:hAnsi="Palatino Linotype" w:cs="Palatino Linotype"/>
        </w:rPr>
        <w:t>pasos</w:t>
      </w:r>
      <w:r>
        <w:rPr>
          <w:rFonts w:ascii="Palatino Linotype" w:eastAsia="Palatino Linotype" w:hAnsi="Palatino Linotype" w:cs="Palatino Linotype"/>
          <w:color w:val="000000"/>
        </w:rPr>
        <w:t xml:space="preserve"> y procedimientos, por lo que es menester reiterar los mismos:</w:t>
      </w:r>
    </w:p>
    <w:tbl>
      <w:tblPr>
        <w:tblStyle w:val="a"/>
        <w:tblW w:w="9765"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3030"/>
        <w:gridCol w:w="6735"/>
      </w:tblGrid>
      <w:tr w:rsidR="005C4853">
        <w:tc>
          <w:tcPr>
            <w:tcW w:w="3030" w:type="dxa"/>
          </w:tcPr>
          <w:p w:rsidR="005C4853" w:rsidRDefault="00E30EFA">
            <w:pPr>
              <w:tabs>
                <w:tab w:val="left" w:pos="284"/>
              </w:tabs>
              <w:spacing w:line="360" w:lineRule="auto"/>
              <w:ind w:right="97"/>
              <w:rPr>
                <w:rFonts w:ascii="Palatino Linotype" w:eastAsia="Palatino Linotype" w:hAnsi="Palatino Linotype" w:cs="Palatino Linotype"/>
              </w:rPr>
            </w:pPr>
            <w:r>
              <w:rPr>
                <w:rFonts w:ascii="Palatino Linotype" w:eastAsia="Palatino Linotype" w:hAnsi="Palatino Linotype" w:cs="Palatino Linotype"/>
              </w:rPr>
              <w:t>a) Requisitos previos.</w:t>
            </w:r>
          </w:p>
        </w:tc>
        <w:tc>
          <w:tcPr>
            <w:tcW w:w="6735" w:type="dxa"/>
          </w:tcPr>
          <w:p w:rsidR="005C4853" w:rsidRDefault="00E30EFA">
            <w:pPr>
              <w:tabs>
                <w:tab w:val="left" w:pos="284"/>
              </w:tabs>
              <w:spacing w:line="360" w:lineRule="auto"/>
              <w:ind w:right="97"/>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Los artículos 100 y 122 de la Ley Estatal y de la Ley General, respectivamente, señalan que si los Sujetos Obligados determinan que la información actualiza alguno de los supuestos de clasificación, es deber de los titulares de las áreas proponer su clasificación y no del Comité de Transparencia. </w:t>
            </w:r>
          </w:p>
          <w:p w:rsidR="005C4853" w:rsidRDefault="00E30EFA">
            <w:pPr>
              <w:tabs>
                <w:tab w:val="left" w:pos="284"/>
              </w:tabs>
              <w:spacing w:line="360" w:lineRule="auto"/>
              <w:ind w:right="97"/>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Al hacerlo tienen que precisar de qué información se trata, señalando el supuesto de clasificación (confidencialidad o reserva).</w:t>
            </w:r>
          </w:p>
          <w:p w:rsidR="005C4853" w:rsidRDefault="00E30EFA">
            <w:pPr>
              <w:tabs>
                <w:tab w:val="left" w:pos="284"/>
              </w:tabs>
              <w:spacing w:line="360" w:lineRule="auto"/>
              <w:ind w:right="97"/>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lastRenderedPageBreak/>
              <w:t>Además, se debe señalar el procedimiento, de los tres que establecen los artículos 132 y 106 de la Ley Estatal y General, respectivamente.</w:t>
            </w:r>
          </w:p>
          <w:p w:rsidR="005C4853" w:rsidRDefault="00E30EFA">
            <w:pPr>
              <w:tabs>
                <w:tab w:val="left" w:pos="284"/>
              </w:tabs>
              <w:spacing w:line="360" w:lineRule="auto"/>
              <w:ind w:right="97"/>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El último de estos requisitos previos consiste en que no se pueden emitir acuerdos de carácter general ni particular, esto es, </w:t>
            </w:r>
            <w:r>
              <w:rPr>
                <w:rFonts w:ascii="Palatino Linotype" w:eastAsia="Palatino Linotype" w:hAnsi="Palatino Linotype" w:cs="Palatino Linotype"/>
                <w:color w:val="000000"/>
                <w:u w:val="single"/>
              </w:rPr>
              <w:t>no se puede hacer un acuerdo para clasificar de manera general todos los documentos de un expediente o área, sin</w:t>
            </w:r>
            <w:r>
              <w:rPr>
                <w:rFonts w:ascii="Palatino Linotype" w:eastAsia="Palatino Linotype" w:hAnsi="Palatino Linotype" w:cs="Palatino Linotype"/>
                <w:color w:val="000000"/>
              </w:rPr>
              <w:t xml:space="preserve"> individualizar su análisis y tampoco se puede hacer un acuerdo por cada dato que se vaya a clasificar dentro de un documento con diez datos, por ejemplo, susceptibles de ser clasificados.</w:t>
            </w:r>
          </w:p>
          <w:p w:rsidR="005C4853" w:rsidRDefault="005C4853">
            <w:pPr>
              <w:tabs>
                <w:tab w:val="left" w:pos="284"/>
              </w:tabs>
              <w:spacing w:line="360" w:lineRule="auto"/>
              <w:ind w:right="97"/>
              <w:jc w:val="both"/>
              <w:rPr>
                <w:rFonts w:ascii="Palatino Linotype" w:eastAsia="Palatino Linotype" w:hAnsi="Palatino Linotype" w:cs="Palatino Linotype"/>
              </w:rPr>
            </w:pPr>
          </w:p>
        </w:tc>
      </w:tr>
      <w:tr w:rsidR="005C4853">
        <w:tc>
          <w:tcPr>
            <w:tcW w:w="3030" w:type="dxa"/>
          </w:tcPr>
          <w:p w:rsidR="005C4853" w:rsidRDefault="00E30EFA">
            <w:pPr>
              <w:tabs>
                <w:tab w:val="left" w:pos="284"/>
              </w:tabs>
              <w:spacing w:line="360" w:lineRule="auto"/>
              <w:ind w:right="97"/>
              <w:rPr>
                <w:rFonts w:ascii="Palatino Linotype" w:eastAsia="Palatino Linotype" w:hAnsi="Palatino Linotype" w:cs="Palatino Linotype"/>
              </w:rPr>
            </w:pPr>
            <w:r>
              <w:rPr>
                <w:rFonts w:ascii="Palatino Linotype" w:eastAsia="Palatino Linotype" w:hAnsi="Palatino Linotype" w:cs="Palatino Linotype"/>
              </w:rPr>
              <w:lastRenderedPageBreak/>
              <w:t>b) Supuestos de clasificación.</w:t>
            </w:r>
          </w:p>
        </w:tc>
        <w:tc>
          <w:tcPr>
            <w:tcW w:w="6735" w:type="dxa"/>
          </w:tcPr>
          <w:p w:rsidR="005C4853" w:rsidRDefault="00E30EFA">
            <w:pPr>
              <w:tabs>
                <w:tab w:val="left" w:pos="284"/>
              </w:tabs>
              <w:spacing w:line="360" w:lineRule="auto"/>
              <w:ind w:right="97"/>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Las disposiciones constitucionales y legales en la materia establecen los dos supuestos generales para clasificar la información: por reserva y por confidencialidad.</w:t>
            </w:r>
          </w:p>
          <w:p w:rsidR="005C4853" w:rsidRDefault="00E30EFA">
            <w:pPr>
              <w:tabs>
                <w:tab w:val="left" w:pos="284"/>
              </w:tabs>
              <w:spacing w:line="360" w:lineRule="auto"/>
              <w:ind w:right="97"/>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Los artículos 116 y 143 de la Ley Estatal y de la Ley General, respectivamente, señalan los supuestos para que la información pueda ser clasificada como confidencial. Mientras que los artículos 105 y 130 de la Ley Estatal y de la Ley General, respectivamente, señalan que la aplicación de estos supuestos debe realizarse de manera restrictiva y limitada, por lo que debe acreditarse que se cumple con esta condición y no se pueden ampliar las excepciones o </w:t>
            </w:r>
            <w:r>
              <w:rPr>
                <w:rFonts w:ascii="Palatino Linotype" w:eastAsia="Palatino Linotype" w:hAnsi="Palatino Linotype" w:cs="Palatino Linotype"/>
                <w:color w:val="000000"/>
              </w:rPr>
              <w:lastRenderedPageBreak/>
              <w:t>supuestos de clasificación aduciendo analogía o mayoría de razón.</w:t>
            </w:r>
          </w:p>
          <w:p w:rsidR="005C4853" w:rsidRDefault="00E30EFA">
            <w:pPr>
              <w:tabs>
                <w:tab w:val="left" w:pos="284"/>
              </w:tabs>
              <w:spacing w:line="360" w:lineRule="auto"/>
              <w:ind w:right="97"/>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debe identificar claramente el tipo de información y hacer un juicio de subsunción o encaje para acreditar que el supuesto de hecho corresponde estrictamente con la hipótesis jurídica. Esto también lo debe de realizar el servidor público habilitado y el titular del área que administra la información.</w:t>
            </w:r>
          </w:p>
          <w:p w:rsidR="005C4853" w:rsidRDefault="005C4853">
            <w:pPr>
              <w:tabs>
                <w:tab w:val="left" w:pos="284"/>
              </w:tabs>
              <w:spacing w:line="360" w:lineRule="auto"/>
              <w:ind w:right="97"/>
              <w:jc w:val="both"/>
              <w:rPr>
                <w:rFonts w:ascii="Palatino Linotype" w:eastAsia="Palatino Linotype" w:hAnsi="Palatino Linotype" w:cs="Palatino Linotype"/>
              </w:rPr>
            </w:pPr>
          </w:p>
        </w:tc>
      </w:tr>
      <w:tr w:rsidR="005C4853">
        <w:tc>
          <w:tcPr>
            <w:tcW w:w="3030" w:type="dxa"/>
          </w:tcPr>
          <w:p w:rsidR="005C4853" w:rsidRDefault="00E30EFA">
            <w:pPr>
              <w:tabs>
                <w:tab w:val="left" w:pos="284"/>
              </w:tabs>
              <w:spacing w:line="360" w:lineRule="auto"/>
              <w:ind w:right="97"/>
              <w:rPr>
                <w:rFonts w:ascii="Palatino Linotype" w:eastAsia="Palatino Linotype" w:hAnsi="Palatino Linotype" w:cs="Palatino Linotype"/>
              </w:rPr>
            </w:pPr>
            <w:r>
              <w:rPr>
                <w:rFonts w:ascii="Palatino Linotype" w:eastAsia="Palatino Linotype" w:hAnsi="Palatino Linotype" w:cs="Palatino Linotype"/>
              </w:rPr>
              <w:lastRenderedPageBreak/>
              <w:t>c) Formalidades para emitir el acuerdo de clasificación.</w:t>
            </w:r>
          </w:p>
        </w:tc>
        <w:tc>
          <w:tcPr>
            <w:tcW w:w="6735" w:type="dxa"/>
          </w:tcPr>
          <w:p w:rsidR="005C4853" w:rsidRDefault="00E30EFA">
            <w:pPr>
              <w:tabs>
                <w:tab w:val="left" w:pos="284"/>
              </w:tabs>
              <w:spacing w:line="360" w:lineRule="auto"/>
              <w:ind w:right="97"/>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El Comité de Transparencia, según lo dispuesto en los artículos cuenta con las facultades para aprobar, modificar o revocar la clasificación de la información que haya propuesto. </w:t>
            </w:r>
          </w:p>
          <w:p w:rsidR="005C4853" w:rsidRDefault="00E30EFA">
            <w:pPr>
              <w:tabs>
                <w:tab w:val="left" w:pos="284"/>
              </w:tabs>
              <w:spacing w:line="360" w:lineRule="auto"/>
              <w:ind w:right="97"/>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Es necesario que </w:t>
            </w:r>
            <w:r>
              <w:rPr>
                <w:rFonts w:ascii="Palatino Linotype" w:eastAsia="Palatino Linotype" w:hAnsi="Palatino Linotype" w:cs="Palatino Linotype"/>
                <w:b/>
                <w:bCs/>
                <w:color w:val="000000"/>
                <w:u w:val="single"/>
              </w:rPr>
              <w:t>el acto reúna con los requisitos elementales</w:t>
            </w:r>
            <w:r>
              <w:rPr>
                <w:rFonts w:ascii="Palatino Linotype" w:eastAsia="Palatino Linotype" w:hAnsi="Palatino Linotype" w:cs="Palatino Linotype"/>
                <w:color w:val="000000"/>
              </w:rPr>
              <w:t>, entre ellos, que la autoridad que va a emitir el acto de autoridad sea la legalmente facultada para ello.</w:t>
            </w:r>
          </w:p>
          <w:p w:rsidR="005C4853" w:rsidRDefault="00E30EFA">
            <w:pPr>
              <w:tabs>
                <w:tab w:val="left" w:pos="284"/>
              </w:tabs>
              <w:spacing w:line="360" w:lineRule="auto"/>
              <w:ind w:right="97"/>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La decisión de aprobar, modificar o revocar la clasificación deberá de asentarse en un documento que registre la determinación a la que se llegue después de un análisis minucioso a partir de lo propuesto por el Titular del I. </w:t>
            </w:r>
            <w:r>
              <w:rPr>
                <w:rFonts w:ascii="Palatino Linotype" w:eastAsia="Palatino Linotype" w:hAnsi="Palatino Linotype" w:cs="Palatino Linotype"/>
              </w:rPr>
              <w:t>El área</w:t>
            </w:r>
            <w:r>
              <w:rPr>
                <w:rFonts w:ascii="Palatino Linotype" w:eastAsia="Palatino Linotype" w:hAnsi="Palatino Linotype" w:cs="Palatino Linotype"/>
                <w:color w:val="000000"/>
              </w:rPr>
              <w:t xml:space="preserve"> que administra la información, cuyo análisis debe integrarse en la agenda de los asuntos a tratar en las sesiones, se insiste, a partir de las decisiones adoptadas previamente por los </w:t>
            </w:r>
            <w:r>
              <w:rPr>
                <w:rFonts w:ascii="Palatino Linotype" w:eastAsia="Palatino Linotype" w:hAnsi="Palatino Linotype" w:cs="Palatino Linotype"/>
                <w:color w:val="000000"/>
              </w:rPr>
              <w:lastRenderedPageBreak/>
              <w:t>titulares de áreas y que son sujetas a control, en primera instancia, por el Comité de Transparencia.</w:t>
            </w:r>
          </w:p>
          <w:p w:rsidR="005C4853" w:rsidRDefault="005C4853">
            <w:pPr>
              <w:tabs>
                <w:tab w:val="left" w:pos="284"/>
              </w:tabs>
              <w:spacing w:line="360" w:lineRule="auto"/>
              <w:ind w:right="97"/>
              <w:jc w:val="both"/>
              <w:rPr>
                <w:rFonts w:ascii="Palatino Linotype" w:eastAsia="Palatino Linotype" w:hAnsi="Palatino Linotype" w:cs="Palatino Linotype"/>
              </w:rPr>
            </w:pPr>
          </w:p>
        </w:tc>
      </w:tr>
      <w:tr w:rsidR="005C4853">
        <w:tc>
          <w:tcPr>
            <w:tcW w:w="3030" w:type="dxa"/>
          </w:tcPr>
          <w:p w:rsidR="005C4853" w:rsidRDefault="005C4853">
            <w:pPr>
              <w:tabs>
                <w:tab w:val="left" w:pos="284"/>
              </w:tabs>
              <w:spacing w:line="360" w:lineRule="auto"/>
              <w:ind w:right="97"/>
              <w:rPr>
                <w:rFonts w:ascii="Palatino Linotype" w:eastAsia="Palatino Linotype" w:hAnsi="Palatino Linotype" w:cs="Palatino Linotype"/>
              </w:rPr>
            </w:pPr>
          </w:p>
          <w:p w:rsidR="005C4853" w:rsidRDefault="00E30EFA">
            <w:pPr>
              <w:tabs>
                <w:tab w:val="left" w:pos="284"/>
              </w:tabs>
              <w:spacing w:line="360" w:lineRule="auto"/>
              <w:ind w:right="97"/>
              <w:jc w:val="both"/>
              <w:rPr>
                <w:rFonts w:ascii="Palatino Linotype" w:eastAsia="Palatino Linotype" w:hAnsi="Palatino Linotype" w:cs="Palatino Linotype"/>
              </w:rPr>
            </w:pPr>
            <w:r>
              <w:rPr>
                <w:rFonts w:ascii="Palatino Linotype" w:eastAsia="Palatino Linotype" w:hAnsi="Palatino Linotype" w:cs="Palatino Linotype"/>
                <w:color w:val="000000"/>
              </w:rPr>
              <w:t xml:space="preserve">d) Requisitos de fondo del acuerdo de clasificación. </w:t>
            </w:r>
          </w:p>
        </w:tc>
        <w:tc>
          <w:tcPr>
            <w:tcW w:w="6735" w:type="dxa"/>
          </w:tcPr>
          <w:p w:rsidR="005C4853" w:rsidRDefault="00E30EFA">
            <w:pPr>
              <w:tabs>
                <w:tab w:val="left" w:pos="284"/>
              </w:tabs>
              <w:spacing w:line="360" w:lineRule="auto"/>
              <w:ind w:right="97"/>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Como se ha señalado antes, al hacer el juicio de subsunción o encaje entre el supuesto de hecho y la hipótesis jurídica, se debe acreditar la estricta correspondencia entre un elemento y otro. Ahora, en esta parte del procedimiento, que se desahoga en sede del Comité de Transparencia, la ley señala que la carga de la prueba, para justificar las restricciones, corresponde a los </w:t>
            </w:r>
            <w:r>
              <w:rPr>
                <w:rFonts w:ascii="Palatino Linotype" w:eastAsia="Palatino Linotype" w:hAnsi="Palatino Linotype" w:cs="Palatino Linotype"/>
                <w:b/>
                <w:bCs/>
                <w:color w:val="000000"/>
              </w:rPr>
              <w:t>Sujetos Obligados</w:t>
            </w:r>
            <w:r>
              <w:rPr>
                <w:rFonts w:ascii="Palatino Linotype" w:eastAsia="Palatino Linotype" w:hAnsi="Palatino Linotype" w:cs="Palatino Linotype"/>
                <w:color w:val="000000"/>
              </w:rPr>
              <w:t xml:space="preserve">, por lo que deberán fundar y motivar debidamente la clasificación. </w:t>
            </w:r>
          </w:p>
          <w:p w:rsidR="005C4853" w:rsidRDefault="00E30EFA">
            <w:pPr>
              <w:tabs>
                <w:tab w:val="left" w:pos="284"/>
              </w:tabs>
              <w:spacing w:line="360" w:lineRule="auto"/>
              <w:ind w:right="97"/>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De lo anterior, se desprende que para una correcta </w:t>
            </w:r>
            <w:r>
              <w:rPr>
                <w:rFonts w:ascii="Palatino Linotype" w:eastAsia="Palatino Linotype" w:hAnsi="Palatino Linotype" w:cs="Palatino Linotype"/>
                <w:b/>
                <w:bCs/>
                <w:color w:val="000000"/>
              </w:rPr>
              <w:t>clasificación total o parcial</w:t>
            </w:r>
            <w:r>
              <w:rPr>
                <w:rFonts w:ascii="Palatino Linotype" w:eastAsia="Palatino Linotype" w:hAnsi="Palatino Linotype" w:cs="Palatino Linotype"/>
                <w:color w:val="000000"/>
              </w:rPr>
              <w:t>, esto es determinar los datos que se suprimen en las versiones públicas, es necesario fundar y motivar, de manera correcta, la clasificación; considerando que todo acto que la autoridad pronuncie en el ejercicio de sus atribuciones, debe expresar los fundamentos legales que le dieron origen y las razones por las que se deben aplicar al caso concreto.</w:t>
            </w:r>
          </w:p>
          <w:p w:rsidR="005C4853" w:rsidRDefault="00E30EFA">
            <w:pPr>
              <w:tabs>
                <w:tab w:val="left" w:pos="284"/>
              </w:tabs>
              <w:spacing w:line="360" w:lineRule="auto"/>
              <w:ind w:right="97"/>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Así, en un acto de autoridad se cumple con la debida fundamentación cuando se cita el precepto legal aplicable al caso concreto y la debida motivación cuando se expresan las razones, motivos o circunstancias que tomó en cuenta la </w:t>
            </w:r>
            <w:r>
              <w:rPr>
                <w:rFonts w:ascii="Palatino Linotype" w:eastAsia="Palatino Linotype" w:hAnsi="Palatino Linotype" w:cs="Palatino Linotype"/>
                <w:color w:val="000000"/>
              </w:rPr>
              <w:lastRenderedPageBreak/>
              <w:t>autoridad para adecuar el hecho a los fundamentos de derecho. De este modo, la persona que se sienta afectada pueda impugnar la decisión, permitiéndole una real y auténtica defensa.</w:t>
            </w:r>
          </w:p>
          <w:p w:rsidR="005C4853" w:rsidRDefault="00E30EFA">
            <w:pPr>
              <w:tabs>
                <w:tab w:val="left" w:pos="284"/>
              </w:tabs>
              <w:spacing w:line="360" w:lineRule="auto"/>
              <w:ind w:right="97"/>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En ese mismo sentido, el numeral trigésimo tercero fracción V de los Lineamientos Generales, precisa que para motivar la clasificación se deben acreditar las circunstancias de tiempo, modo y lugar.</w:t>
            </w:r>
          </w:p>
          <w:p w:rsidR="005C4853" w:rsidRDefault="00E30EFA">
            <w:pPr>
              <w:tabs>
                <w:tab w:val="left" w:pos="284"/>
              </w:tabs>
              <w:spacing w:line="360" w:lineRule="auto"/>
              <w:ind w:right="97"/>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Ahora bien, </w:t>
            </w:r>
            <w:r>
              <w:rPr>
                <w:rFonts w:ascii="Palatino Linotype" w:eastAsia="Palatino Linotype" w:hAnsi="Palatino Linotype" w:cs="Palatino Linotype"/>
                <w:b/>
                <w:bCs/>
                <w:color w:val="000000"/>
                <w:u w:val="single"/>
              </w:rPr>
              <w:t>para cada caso además de fundar y motivar</w:t>
            </w:r>
            <w:r>
              <w:rPr>
                <w:rFonts w:ascii="Palatino Linotype" w:eastAsia="Palatino Linotype" w:hAnsi="Palatino Linotype" w:cs="Palatino Linotype"/>
                <w:color w:val="000000"/>
              </w:rPr>
              <w:t xml:space="preserve">, se debe identificar con claridad </w:t>
            </w:r>
            <w:r>
              <w:rPr>
                <w:rFonts w:ascii="Palatino Linotype" w:eastAsia="Palatino Linotype" w:hAnsi="Palatino Linotype" w:cs="Palatino Linotype"/>
              </w:rPr>
              <w:t>qué</w:t>
            </w:r>
            <w:r>
              <w:rPr>
                <w:rFonts w:ascii="Palatino Linotype" w:eastAsia="Palatino Linotype" w:hAnsi="Palatino Linotype" w:cs="Palatino Linotype"/>
                <w:color w:val="000000"/>
              </w:rPr>
              <w:t xml:space="preserve"> datos contenidos en las documentales que son susceptibles de suprimirse, por ejemplo; Clave Única de Registro de Población (CURP), Registro Federal de Contribuyentes (R.F.C.), claves de seguros, préstamos o descuentos personales, secretos bancario, fiduciario, industrial, comercial, fiscal, bursátil y postal, cuya titularidad corresponda a particulares, entre otros.</w:t>
            </w:r>
          </w:p>
          <w:p w:rsidR="005C4853" w:rsidRDefault="005C4853">
            <w:pPr>
              <w:tabs>
                <w:tab w:val="left" w:pos="284"/>
              </w:tabs>
              <w:spacing w:line="360" w:lineRule="auto"/>
              <w:ind w:right="97"/>
              <w:jc w:val="both"/>
              <w:rPr>
                <w:rFonts w:ascii="Palatino Linotype" w:eastAsia="Palatino Linotype" w:hAnsi="Palatino Linotype" w:cs="Palatino Linotype"/>
                <w:color w:val="000000"/>
              </w:rPr>
            </w:pPr>
          </w:p>
        </w:tc>
      </w:tr>
      <w:tr w:rsidR="005C4853">
        <w:tc>
          <w:tcPr>
            <w:tcW w:w="3030" w:type="dxa"/>
          </w:tcPr>
          <w:p w:rsidR="005C4853" w:rsidRDefault="00E30EFA">
            <w:pPr>
              <w:tabs>
                <w:tab w:val="left" w:pos="284"/>
              </w:tabs>
              <w:spacing w:line="360" w:lineRule="auto"/>
              <w:ind w:right="97"/>
              <w:jc w:val="both"/>
              <w:rPr>
                <w:rFonts w:ascii="Palatino Linotype" w:eastAsia="Palatino Linotype" w:hAnsi="Palatino Linotype" w:cs="Palatino Linotype"/>
              </w:rPr>
            </w:pPr>
            <w:r>
              <w:rPr>
                <w:rFonts w:ascii="Palatino Linotype" w:eastAsia="Palatino Linotype" w:hAnsi="Palatino Linotype" w:cs="Palatino Linotype"/>
              </w:rPr>
              <w:lastRenderedPageBreak/>
              <w:t xml:space="preserve">e) Condiciones especiales de la clasificación de la información como confidencial. </w:t>
            </w:r>
          </w:p>
        </w:tc>
        <w:tc>
          <w:tcPr>
            <w:tcW w:w="6735" w:type="dxa"/>
          </w:tcPr>
          <w:p w:rsidR="005C4853" w:rsidRDefault="00E30EFA">
            <w:pPr>
              <w:tabs>
                <w:tab w:val="left" w:pos="284"/>
              </w:tabs>
              <w:spacing w:line="360" w:lineRule="auto"/>
              <w:ind w:right="97"/>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Los artículos 148 y 120 de la Ley Estatal y de la Ley General, respectivamente, establecen que aun tratándose de datos personales, se podrán proporcionar, incluso sin solicitar el consentimiento de su titular. </w:t>
            </w:r>
          </w:p>
          <w:p w:rsidR="005C4853" w:rsidRDefault="00E30EFA">
            <w:pPr>
              <w:tabs>
                <w:tab w:val="left" w:pos="284"/>
              </w:tabs>
              <w:spacing w:line="360" w:lineRule="auto"/>
              <w:ind w:right="97"/>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lastRenderedPageBreak/>
              <w:t xml:space="preserve">En el caso de lo señalado en la fracción IV, será el Instituto quien deba aplicar la prueba de interés público, considerando también que como recientemente ha discutido la Suprema Corte de Justicia de la Nación, los servidores públicos nos encontramos sujetos a un régimen menor de protección. </w:t>
            </w:r>
          </w:p>
          <w:p w:rsidR="005C4853" w:rsidRDefault="00E30EFA">
            <w:pPr>
              <w:tabs>
                <w:tab w:val="left" w:pos="284"/>
              </w:tabs>
              <w:spacing w:line="360" w:lineRule="auto"/>
              <w:ind w:right="97"/>
              <w:rPr>
                <w:rFonts w:ascii="Palatino Linotype" w:eastAsia="Palatino Linotype" w:hAnsi="Palatino Linotype" w:cs="Palatino Linotype"/>
                <w:color w:val="000000"/>
              </w:rPr>
            </w:pPr>
            <w:r>
              <w:rPr>
                <w:rFonts w:ascii="Palatino Linotype" w:eastAsia="Palatino Linotype" w:hAnsi="Palatino Linotype" w:cs="Palatino Linotype"/>
                <w:color w:val="000000"/>
              </w:rPr>
              <w:t>Pero si la información que se pretende clasificar como confidencial no se encuentra en los supuestos de los artículos señalados y es posible, se deberá consultar al titular de los datos si permite o no el acceso. De no ser posible, la realización de la consulta, procede, fundando y motivando, la clasificación.</w:t>
            </w:r>
          </w:p>
          <w:p w:rsidR="005C4853" w:rsidRDefault="005C4853">
            <w:pPr>
              <w:tabs>
                <w:tab w:val="left" w:pos="284"/>
              </w:tabs>
              <w:spacing w:line="360" w:lineRule="auto"/>
              <w:ind w:right="97"/>
              <w:rPr>
                <w:rFonts w:ascii="Palatino Linotype" w:eastAsia="Palatino Linotype" w:hAnsi="Palatino Linotype" w:cs="Palatino Linotype"/>
              </w:rPr>
            </w:pPr>
          </w:p>
        </w:tc>
      </w:tr>
    </w:tbl>
    <w:p w:rsidR="005C4853" w:rsidRDefault="005C4853">
      <w:pPr>
        <w:pBdr>
          <w:top w:val="nil"/>
          <w:left w:val="nil"/>
          <w:bottom w:val="nil"/>
          <w:right w:val="nil"/>
          <w:between w:val="nil"/>
        </w:pBdr>
        <w:spacing w:line="360" w:lineRule="auto"/>
        <w:ind w:right="-929"/>
        <w:jc w:val="both"/>
        <w:rPr>
          <w:rFonts w:ascii="Palatino Linotype" w:eastAsia="Palatino Linotype" w:hAnsi="Palatino Linotype" w:cs="Palatino Linotype"/>
          <w:color w:val="000000"/>
        </w:rPr>
      </w:pPr>
    </w:p>
    <w:p w:rsidR="005C4853" w:rsidRDefault="00E30EFA">
      <w:pPr>
        <w:numPr>
          <w:ilvl w:val="0"/>
          <w:numId w:val="2"/>
        </w:numPr>
        <w:spacing w:line="360" w:lineRule="auto"/>
        <w:ind w:left="0" w:right="-929" w:firstLine="0"/>
        <w:jc w:val="both"/>
        <w:rPr>
          <w:rFonts w:ascii="Palatino Linotype" w:eastAsia="Palatino Linotype" w:hAnsi="Palatino Linotype" w:cs="Palatino Linotype"/>
          <w:color w:val="000000"/>
        </w:rPr>
      </w:pPr>
      <w:r>
        <w:rPr>
          <w:rFonts w:ascii="Palatino Linotype" w:eastAsia="Palatino Linotype" w:hAnsi="Palatino Linotype" w:cs="Palatino Linotype"/>
        </w:rPr>
        <w:t xml:space="preserve">Si el </w:t>
      </w:r>
      <w:r>
        <w:rPr>
          <w:rFonts w:ascii="Palatino Linotype" w:eastAsia="Palatino Linotype" w:hAnsi="Palatino Linotype" w:cs="Palatino Linotype"/>
          <w:color w:val="000000"/>
        </w:rPr>
        <w:t>servidor</w:t>
      </w:r>
      <w:r>
        <w:rPr>
          <w:rFonts w:ascii="Palatino Linotype" w:eastAsia="Palatino Linotype" w:hAnsi="Palatino Linotype" w:cs="Palatino Linotype"/>
        </w:rPr>
        <w:t xml:space="preserve"> público incumple con estas formalidades y entrega la información </w:t>
      </w:r>
      <w:r>
        <w:rPr>
          <w:rFonts w:ascii="Palatino Linotype" w:eastAsia="Palatino Linotype" w:hAnsi="Palatino Linotype" w:cs="Palatino Linotype"/>
          <w:color w:val="000000"/>
        </w:rPr>
        <w:t>sin</w:t>
      </w:r>
      <w:r>
        <w:rPr>
          <w:rFonts w:ascii="Palatino Linotype" w:eastAsia="Palatino Linotype" w:hAnsi="Palatino Linotype" w:cs="Palatino Linotype"/>
        </w:rPr>
        <w:t xml:space="preserve"> proteger los datos personales incumple con lo que estipula las disposiciones legales </w:t>
      </w:r>
      <w:r>
        <w:rPr>
          <w:rFonts w:ascii="Palatino Linotype" w:eastAsia="Palatino Linotype" w:hAnsi="Palatino Linotype" w:cs="Palatino Linotype"/>
          <w:color w:val="000000"/>
        </w:rPr>
        <w:t>establecidas;</w:t>
      </w:r>
      <w:r>
        <w:rPr>
          <w:rFonts w:ascii="Palatino Linotype" w:eastAsia="Palatino Linotype" w:hAnsi="Palatino Linotype" w:cs="Palatino Linotype"/>
        </w:rPr>
        <w:t xml:space="preserve"> asimismo que si entrega un documento testado sin el debido acuerdo de clasificación.</w:t>
      </w:r>
    </w:p>
    <w:p w:rsidR="005C4853" w:rsidRDefault="005C4853">
      <w:pPr>
        <w:widowControl w:val="0"/>
        <w:pBdr>
          <w:top w:val="nil"/>
          <w:left w:val="nil"/>
          <w:bottom w:val="nil"/>
          <w:right w:val="nil"/>
          <w:between w:val="nil"/>
        </w:pBdr>
        <w:spacing w:line="360" w:lineRule="auto"/>
        <w:ind w:right="-929"/>
        <w:jc w:val="both"/>
        <w:rPr>
          <w:rFonts w:ascii="Palatino Linotype" w:eastAsia="Palatino Linotype" w:hAnsi="Palatino Linotype" w:cs="Palatino Linotype"/>
          <w:color w:val="000000"/>
        </w:rPr>
      </w:pPr>
    </w:p>
    <w:p w:rsidR="005C4853" w:rsidRDefault="00E30EFA">
      <w:pPr>
        <w:numPr>
          <w:ilvl w:val="0"/>
          <w:numId w:val="2"/>
        </w:numPr>
        <w:spacing w:line="360" w:lineRule="auto"/>
        <w:ind w:left="0" w:right="-929" w:firstLine="0"/>
        <w:jc w:val="both"/>
        <w:rPr>
          <w:rFonts w:ascii="Palatino Linotype" w:eastAsia="Palatino Linotype" w:hAnsi="Palatino Linotype" w:cs="Palatino Linotype"/>
        </w:rPr>
      </w:pPr>
      <w:r>
        <w:rPr>
          <w:rFonts w:ascii="Palatino Linotype" w:eastAsia="Palatino Linotype" w:hAnsi="Palatino Linotype" w:cs="Palatino Linotype"/>
        </w:rPr>
        <w:t>Por</w:t>
      </w:r>
      <w:r>
        <w:rPr>
          <w:rFonts w:ascii="Palatino Linotype" w:eastAsia="Palatino Linotype" w:hAnsi="Palatino Linotype" w:cs="Palatino Linotype"/>
          <w:color w:val="000000"/>
        </w:rPr>
        <w:t xml:space="preserve"> lo </w:t>
      </w:r>
      <w:r>
        <w:rPr>
          <w:rFonts w:ascii="Palatino Linotype" w:eastAsia="Palatino Linotype" w:hAnsi="Palatino Linotype" w:cs="Palatino Linotype"/>
        </w:rPr>
        <w:t>anteriormente</w:t>
      </w:r>
      <w:r>
        <w:rPr>
          <w:rFonts w:ascii="Palatino Linotype" w:eastAsia="Palatino Linotype" w:hAnsi="Palatino Linotype" w:cs="Palatino Linotype"/>
          <w:color w:val="000000"/>
        </w:rPr>
        <w:t xml:space="preserve"> expuesto y fundado, este Órgano Garante emite los siguientes: </w:t>
      </w:r>
    </w:p>
    <w:p w:rsidR="005C4853" w:rsidRDefault="005C4853">
      <w:pPr>
        <w:spacing w:line="360" w:lineRule="auto"/>
        <w:ind w:right="-929"/>
        <w:jc w:val="both"/>
        <w:rPr>
          <w:rFonts w:ascii="Palatino Linotype" w:eastAsia="Palatino Linotype" w:hAnsi="Palatino Linotype" w:cs="Palatino Linotype"/>
        </w:rPr>
      </w:pPr>
    </w:p>
    <w:p w:rsidR="005C4853" w:rsidRDefault="005C4853">
      <w:pPr>
        <w:spacing w:line="360" w:lineRule="auto"/>
        <w:ind w:right="-929"/>
        <w:jc w:val="both"/>
        <w:rPr>
          <w:rFonts w:ascii="Palatino Linotype" w:eastAsia="Palatino Linotype" w:hAnsi="Palatino Linotype" w:cs="Palatino Linotype"/>
        </w:rPr>
      </w:pPr>
    </w:p>
    <w:p w:rsidR="005C4853" w:rsidRDefault="005C4853">
      <w:pPr>
        <w:spacing w:line="360" w:lineRule="auto"/>
        <w:ind w:right="-929"/>
        <w:jc w:val="both"/>
        <w:rPr>
          <w:rFonts w:ascii="Palatino Linotype" w:eastAsia="Palatino Linotype" w:hAnsi="Palatino Linotype" w:cs="Palatino Linotype"/>
        </w:rPr>
      </w:pPr>
    </w:p>
    <w:p w:rsidR="005C4853" w:rsidRDefault="005C4853">
      <w:pPr>
        <w:spacing w:line="360" w:lineRule="auto"/>
        <w:ind w:right="-929"/>
        <w:jc w:val="both"/>
        <w:rPr>
          <w:rFonts w:ascii="Palatino Linotype" w:eastAsia="Palatino Linotype" w:hAnsi="Palatino Linotype" w:cs="Palatino Linotype"/>
        </w:rPr>
      </w:pPr>
    </w:p>
    <w:p w:rsidR="005C4853" w:rsidRDefault="00E30EFA">
      <w:pPr>
        <w:pStyle w:val="Ttulo1"/>
        <w:spacing w:before="0" w:line="360" w:lineRule="auto"/>
        <w:ind w:right="-929"/>
        <w:jc w:val="center"/>
        <w:rPr>
          <w:rFonts w:ascii="Palatino Linotype" w:eastAsia="Palatino Linotype" w:hAnsi="Palatino Linotype" w:cs="Palatino Linotype"/>
          <w:b/>
          <w:bCs/>
          <w:color w:val="000000"/>
          <w:sz w:val="24"/>
          <w:szCs w:val="24"/>
        </w:rPr>
      </w:pPr>
      <w:bookmarkStart w:id="9" w:name="_heading=h.bykmzfmt0ra4" w:colFirst="0" w:colLast="0"/>
      <w:bookmarkEnd w:id="9"/>
      <w:r>
        <w:rPr>
          <w:rFonts w:ascii="Palatino Linotype" w:eastAsia="Palatino Linotype" w:hAnsi="Palatino Linotype" w:cs="Palatino Linotype"/>
          <w:b/>
          <w:bCs/>
          <w:color w:val="000000"/>
          <w:sz w:val="24"/>
          <w:szCs w:val="24"/>
        </w:rPr>
        <w:lastRenderedPageBreak/>
        <w:t>R E S O L U T I V O S</w:t>
      </w:r>
    </w:p>
    <w:p w:rsidR="005C4853" w:rsidRDefault="005C4853">
      <w:pPr>
        <w:spacing w:line="360" w:lineRule="auto"/>
        <w:ind w:right="-929"/>
        <w:rPr>
          <w:rFonts w:ascii="Palatino Linotype" w:eastAsia="Palatino Linotype" w:hAnsi="Palatino Linotype" w:cs="Palatino Linotype"/>
        </w:rPr>
      </w:pPr>
    </w:p>
    <w:p w:rsidR="005C4853" w:rsidRDefault="00E30EFA">
      <w:pPr>
        <w:spacing w:line="360" w:lineRule="auto"/>
        <w:ind w:right="-929"/>
        <w:jc w:val="both"/>
        <w:rPr>
          <w:rFonts w:ascii="Palatino Linotype" w:eastAsia="Palatino Linotype" w:hAnsi="Palatino Linotype" w:cs="Palatino Linotype"/>
        </w:rPr>
      </w:pPr>
      <w:r>
        <w:rPr>
          <w:rFonts w:ascii="Palatino Linotype" w:eastAsia="Palatino Linotype" w:hAnsi="Palatino Linotype" w:cs="Palatino Linotype"/>
          <w:b/>
          <w:bCs/>
        </w:rPr>
        <w:t>PRIMERO</w:t>
      </w:r>
      <w:r>
        <w:rPr>
          <w:rFonts w:ascii="Palatino Linotype" w:eastAsia="Palatino Linotype" w:hAnsi="Palatino Linotype" w:cs="Palatino Linotype"/>
        </w:rPr>
        <w:t>. Resultan fundadas las</w:t>
      </w:r>
      <w:r>
        <w:rPr>
          <w:rFonts w:ascii="Palatino Linotype" w:eastAsia="Palatino Linotype" w:hAnsi="Palatino Linotype" w:cs="Palatino Linotype"/>
          <w:b/>
          <w:bCs/>
        </w:rPr>
        <w:t xml:space="preserve"> </w:t>
      </w:r>
      <w:r>
        <w:rPr>
          <w:rFonts w:ascii="Palatino Linotype" w:eastAsia="Palatino Linotype" w:hAnsi="Palatino Linotype" w:cs="Palatino Linotype"/>
        </w:rPr>
        <w:t xml:space="preserve">razones o motivos de inconformidad hechos valer en el Recurso de Revisión </w:t>
      </w:r>
      <w:r>
        <w:rPr>
          <w:rFonts w:ascii="Palatino Linotype" w:eastAsia="Palatino Linotype" w:hAnsi="Palatino Linotype" w:cs="Palatino Linotype"/>
          <w:b/>
          <w:bCs/>
          <w:color w:val="000000"/>
        </w:rPr>
        <w:t>13858/INFOEM/IP/RR/2025</w:t>
      </w:r>
      <w:r>
        <w:rPr>
          <w:rFonts w:ascii="Palatino Linotype" w:eastAsia="Palatino Linotype" w:hAnsi="Palatino Linotype" w:cs="Palatino Linotype"/>
          <w:b/>
          <w:bCs/>
        </w:rPr>
        <w:t xml:space="preserve">, </w:t>
      </w:r>
      <w:r>
        <w:rPr>
          <w:rFonts w:ascii="Palatino Linotype" w:eastAsia="Palatino Linotype" w:hAnsi="Palatino Linotype" w:cs="Palatino Linotype"/>
        </w:rPr>
        <w:t xml:space="preserve">en términos de los </w:t>
      </w:r>
      <w:r>
        <w:rPr>
          <w:rFonts w:ascii="Palatino Linotype" w:eastAsia="Palatino Linotype" w:hAnsi="Palatino Linotype" w:cs="Palatino Linotype"/>
          <w:b/>
          <w:bCs/>
        </w:rPr>
        <w:t>Considerandos</w:t>
      </w:r>
      <w:r>
        <w:rPr>
          <w:rFonts w:ascii="Palatino Linotype" w:eastAsia="Palatino Linotype" w:hAnsi="Palatino Linotype" w:cs="Palatino Linotype"/>
        </w:rPr>
        <w:t xml:space="preserve"> </w:t>
      </w:r>
      <w:r>
        <w:rPr>
          <w:rFonts w:ascii="Palatino Linotype" w:eastAsia="Palatino Linotype" w:hAnsi="Palatino Linotype" w:cs="Palatino Linotype"/>
          <w:b/>
          <w:bCs/>
        </w:rPr>
        <w:t>CUARTO</w:t>
      </w:r>
      <w:r>
        <w:rPr>
          <w:rFonts w:ascii="Palatino Linotype" w:eastAsia="Palatino Linotype" w:hAnsi="Palatino Linotype" w:cs="Palatino Linotype"/>
        </w:rPr>
        <w:t xml:space="preserve"> y </w:t>
      </w:r>
      <w:r>
        <w:rPr>
          <w:rFonts w:ascii="Palatino Linotype" w:eastAsia="Palatino Linotype" w:hAnsi="Palatino Linotype" w:cs="Palatino Linotype"/>
          <w:b/>
          <w:bCs/>
        </w:rPr>
        <w:t xml:space="preserve">QUINTO </w:t>
      </w:r>
      <w:r>
        <w:rPr>
          <w:rFonts w:ascii="Palatino Linotype" w:eastAsia="Palatino Linotype" w:hAnsi="Palatino Linotype" w:cs="Palatino Linotype"/>
        </w:rPr>
        <w:t>de la presente Resolución.</w:t>
      </w:r>
    </w:p>
    <w:p w:rsidR="005C4853" w:rsidRDefault="005C4853">
      <w:pPr>
        <w:spacing w:line="360" w:lineRule="auto"/>
        <w:ind w:right="-929"/>
        <w:jc w:val="both"/>
        <w:rPr>
          <w:rFonts w:ascii="Palatino Linotype" w:eastAsia="Palatino Linotype" w:hAnsi="Palatino Linotype" w:cs="Palatino Linotype"/>
        </w:rPr>
      </w:pPr>
    </w:p>
    <w:p w:rsidR="005C4853" w:rsidRDefault="00E30EFA">
      <w:pPr>
        <w:spacing w:line="360" w:lineRule="auto"/>
        <w:ind w:right="-929"/>
        <w:jc w:val="both"/>
        <w:rPr>
          <w:rFonts w:ascii="Palatino Linotype" w:eastAsia="Palatino Linotype" w:hAnsi="Palatino Linotype" w:cs="Palatino Linotype"/>
        </w:rPr>
      </w:pPr>
      <w:bookmarkStart w:id="10" w:name="_heading=h.5rzap33c1u9u" w:colFirst="0" w:colLast="0"/>
      <w:bookmarkEnd w:id="10"/>
      <w:r>
        <w:rPr>
          <w:rFonts w:ascii="Palatino Linotype" w:eastAsia="Palatino Linotype" w:hAnsi="Palatino Linotype" w:cs="Palatino Linotype"/>
          <w:b/>
          <w:bCs/>
        </w:rPr>
        <w:t>SEGUNDO</w:t>
      </w:r>
      <w:r w:rsidRPr="008266A0">
        <w:rPr>
          <w:rFonts w:ascii="Palatino Linotype" w:eastAsia="Palatino Linotype" w:hAnsi="Palatino Linotype" w:cs="Palatino Linotype"/>
          <w:b/>
          <w:bCs/>
        </w:rPr>
        <w:t xml:space="preserve">. </w:t>
      </w:r>
      <w:r w:rsidRPr="008266A0">
        <w:rPr>
          <w:rFonts w:ascii="Palatino Linotype" w:eastAsia="Palatino Linotype" w:hAnsi="Palatino Linotype" w:cs="Palatino Linotype"/>
          <w:color w:val="000000"/>
        </w:rPr>
        <w:t xml:space="preserve">Se </w:t>
      </w:r>
      <w:r w:rsidR="003C6A99" w:rsidRPr="008266A0">
        <w:rPr>
          <w:rFonts w:ascii="Palatino Linotype" w:eastAsia="Palatino Linotype" w:hAnsi="Palatino Linotype" w:cs="Palatino Linotype"/>
          <w:b/>
          <w:bCs/>
          <w:color w:val="000000"/>
        </w:rPr>
        <w:t>REVO</w:t>
      </w:r>
      <w:r w:rsidRPr="008266A0">
        <w:rPr>
          <w:rFonts w:ascii="Palatino Linotype" w:eastAsia="Palatino Linotype" w:hAnsi="Palatino Linotype" w:cs="Palatino Linotype"/>
          <w:b/>
          <w:bCs/>
          <w:color w:val="000000"/>
        </w:rPr>
        <w:t xml:space="preserve">CA </w:t>
      </w:r>
      <w:r w:rsidR="00F6504C" w:rsidRPr="008266A0">
        <w:rPr>
          <w:rFonts w:ascii="Palatino Linotype" w:eastAsia="Palatino Linotype" w:hAnsi="Palatino Linotype" w:cs="Palatino Linotype"/>
          <w:color w:val="000000"/>
        </w:rPr>
        <w:t>la</w:t>
      </w:r>
      <w:r w:rsidR="00F6504C">
        <w:rPr>
          <w:rFonts w:ascii="Palatino Linotype" w:eastAsia="Palatino Linotype" w:hAnsi="Palatino Linotype" w:cs="Palatino Linotype"/>
          <w:color w:val="000000"/>
        </w:rPr>
        <w:t xml:space="preserve"> respuesta emitida por el</w:t>
      </w:r>
      <w:r>
        <w:rPr>
          <w:rFonts w:ascii="Palatino Linotype" w:eastAsia="Palatino Linotype" w:hAnsi="Palatino Linotype" w:cs="Palatino Linotype"/>
          <w:color w:val="000000"/>
        </w:rPr>
        <w:t xml:space="preserve"> </w:t>
      </w:r>
      <w:r>
        <w:rPr>
          <w:rFonts w:ascii="Palatino Linotype" w:eastAsia="Palatino Linotype" w:hAnsi="Palatino Linotype" w:cs="Palatino Linotype"/>
          <w:b/>
          <w:bCs/>
        </w:rPr>
        <w:t>Ayuntamiento de Toluca</w:t>
      </w:r>
      <w:r>
        <w:rPr>
          <w:rFonts w:ascii="Palatino Linotype" w:eastAsia="Palatino Linotype" w:hAnsi="Palatino Linotype" w:cs="Palatino Linotype"/>
          <w:color w:val="000000"/>
        </w:rPr>
        <w:t xml:space="preserve"> y se </w:t>
      </w:r>
      <w:r>
        <w:rPr>
          <w:rFonts w:ascii="Palatino Linotype" w:eastAsia="Palatino Linotype" w:hAnsi="Palatino Linotype" w:cs="Palatino Linotype"/>
          <w:b/>
          <w:bCs/>
          <w:color w:val="000000"/>
        </w:rPr>
        <w:t>ORDENA</w:t>
      </w:r>
      <w:r>
        <w:rPr>
          <w:rFonts w:ascii="Palatino Linotype" w:eastAsia="Palatino Linotype" w:hAnsi="Palatino Linotype" w:cs="Palatino Linotype"/>
          <w:color w:val="000000"/>
        </w:rPr>
        <w:t xml:space="preserve"> entregar vía Sistema de Acceso a la Información Mexiquense (SAIMEX), de ser el caso en versión pública, la siguiente información</w:t>
      </w:r>
      <w:r>
        <w:rPr>
          <w:rFonts w:ascii="Palatino Linotype" w:eastAsia="Palatino Linotype" w:hAnsi="Palatino Linotype" w:cs="Palatino Linotype"/>
        </w:rPr>
        <w:t>:</w:t>
      </w:r>
    </w:p>
    <w:p w:rsidR="005C4853" w:rsidRDefault="005C4853">
      <w:pPr>
        <w:pBdr>
          <w:top w:val="nil"/>
          <w:left w:val="nil"/>
          <w:bottom w:val="nil"/>
          <w:right w:val="nil"/>
          <w:between w:val="nil"/>
        </w:pBdr>
        <w:tabs>
          <w:tab w:val="left" w:pos="8080"/>
        </w:tabs>
        <w:spacing w:line="360" w:lineRule="auto"/>
        <w:ind w:left="709" w:right="-929"/>
        <w:jc w:val="both"/>
        <w:rPr>
          <w:rFonts w:ascii="Palatino Linotype" w:eastAsia="Palatino Linotype" w:hAnsi="Palatino Linotype" w:cs="Palatino Linotype"/>
          <w:i/>
          <w:iCs/>
          <w:color w:val="000000"/>
        </w:rPr>
      </w:pPr>
    </w:p>
    <w:p w:rsidR="005C4853" w:rsidRDefault="00E30EFA">
      <w:pPr>
        <w:numPr>
          <w:ilvl w:val="0"/>
          <w:numId w:val="8"/>
        </w:numPr>
        <w:pBdr>
          <w:top w:val="nil"/>
          <w:left w:val="nil"/>
          <w:bottom w:val="nil"/>
          <w:right w:val="nil"/>
          <w:between w:val="nil"/>
        </w:pBdr>
        <w:spacing w:line="360" w:lineRule="auto"/>
        <w:ind w:right="-929"/>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Soporte documental en que conste o se advierta el tipo de ingresos con que cuenta el Ayuntamiento de Toluca por actividades económicas que ejerza, del 30 de septiembre al 06 de noviembre de 2025; y</w:t>
      </w:r>
    </w:p>
    <w:p w:rsidR="005C4853" w:rsidRDefault="005C4853">
      <w:pPr>
        <w:pBdr>
          <w:top w:val="nil"/>
          <w:left w:val="nil"/>
          <w:bottom w:val="nil"/>
          <w:right w:val="nil"/>
          <w:between w:val="nil"/>
        </w:pBdr>
        <w:spacing w:line="360" w:lineRule="auto"/>
        <w:ind w:left="720" w:right="-929"/>
        <w:jc w:val="both"/>
        <w:rPr>
          <w:rFonts w:ascii="Palatino Linotype" w:eastAsia="Palatino Linotype" w:hAnsi="Palatino Linotype" w:cs="Palatino Linotype"/>
          <w:b/>
          <w:bCs/>
          <w:color w:val="000000"/>
        </w:rPr>
      </w:pPr>
    </w:p>
    <w:p w:rsidR="005C4853" w:rsidRDefault="00E30EFA">
      <w:pPr>
        <w:numPr>
          <w:ilvl w:val="0"/>
          <w:numId w:val="8"/>
        </w:numPr>
        <w:pBdr>
          <w:top w:val="nil"/>
          <w:left w:val="nil"/>
          <w:bottom w:val="nil"/>
          <w:right w:val="nil"/>
          <w:between w:val="nil"/>
        </w:pBdr>
        <w:spacing w:line="360" w:lineRule="auto"/>
        <w:ind w:right="-929"/>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El soporte documental en que conste o se advierte la implementación de los ingresos recaudados por actividades económicas del Ayuntamiento, y sus conceptos, del 01 de enero al 06 de noviembre de 2025.</w:t>
      </w:r>
    </w:p>
    <w:p w:rsidR="005C4853" w:rsidRDefault="005C4853">
      <w:pPr>
        <w:tabs>
          <w:tab w:val="left" w:pos="8080"/>
        </w:tabs>
        <w:spacing w:line="360" w:lineRule="auto"/>
        <w:ind w:right="-929"/>
        <w:jc w:val="both"/>
        <w:rPr>
          <w:rFonts w:ascii="Palatino Linotype" w:eastAsia="Palatino Linotype" w:hAnsi="Palatino Linotype" w:cs="Palatino Linotype"/>
        </w:rPr>
      </w:pPr>
    </w:p>
    <w:p w:rsidR="005C4853" w:rsidRDefault="00E30EFA">
      <w:pPr>
        <w:tabs>
          <w:tab w:val="left" w:pos="8080"/>
        </w:tabs>
        <w:spacing w:line="360" w:lineRule="auto"/>
        <w:ind w:right="-929"/>
        <w:jc w:val="both"/>
        <w:rPr>
          <w:rFonts w:ascii="Palatino Linotype" w:eastAsia="Palatino Linotype" w:hAnsi="Palatino Linotype" w:cs="Palatino Linotype"/>
        </w:rPr>
      </w:pPr>
      <w:r>
        <w:rPr>
          <w:rFonts w:ascii="Palatino Linotype" w:eastAsia="Palatino Linotype" w:hAnsi="Palatino Linotype" w:cs="Palatino Linotype"/>
        </w:rPr>
        <w:t xml:space="preserve">Para efectos de lo anterior, se deberá emitir el Acuerdo del Comité de Transparencia en términos de los artículos 49, fracciones II y VIII, 132, fracción II y 143 de la Ley de Transparencia y Acceso a la Información Pública del Estado de México y Municipios, en el que funde y motive las razones sobre la eliminación de los datos y documentos confidenciales del soporte documental respectivo objeto de las versiones públicas que se formulen y se pongan a disposición del </w:t>
      </w:r>
      <w:r>
        <w:rPr>
          <w:rFonts w:ascii="Palatino Linotype" w:eastAsia="Palatino Linotype" w:hAnsi="Palatino Linotype" w:cs="Palatino Linotype"/>
          <w:b/>
          <w:bCs/>
          <w:color w:val="000000"/>
        </w:rPr>
        <w:t>RECURRENTE</w:t>
      </w:r>
      <w:r>
        <w:rPr>
          <w:rFonts w:ascii="Palatino Linotype" w:eastAsia="Palatino Linotype" w:hAnsi="Palatino Linotype" w:cs="Palatino Linotype"/>
        </w:rPr>
        <w:t>.</w:t>
      </w:r>
    </w:p>
    <w:p w:rsidR="005C4853" w:rsidRDefault="00E30EFA">
      <w:pPr>
        <w:spacing w:line="360" w:lineRule="auto"/>
        <w:ind w:right="-929"/>
        <w:jc w:val="both"/>
        <w:rPr>
          <w:rFonts w:ascii="Palatino Linotype" w:eastAsia="Palatino Linotype" w:hAnsi="Palatino Linotype" w:cs="Palatino Linotype"/>
        </w:rPr>
      </w:pPr>
      <w:r>
        <w:rPr>
          <w:rFonts w:ascii="Palatino Linotype" w:eastAsia="Palatino Linotype" w:hAnsi="Palatino Linotype" w:cs="Palatino Linotype"/>
          <w:b/>
          <w:bCs/>
        </w:rPr>
        <w:lastRenderedPageBreak/>
        <w:t xml:space="preserve">TERCERO. Notifíquese </w:t>
      </w:r>
      <w:r>
        <w:rPr>
          <w:rFonts w:ascii="Palatino Linotype" w:eastAsia="Palatino Linotype" w:hAnsi="Palatino Linotype" w:cs="Palatino Linotype"/>
        </w:rPr>
        <w:t xml:space="preserve">la presente Resolución al Titular de la Unidad de Transparencia del Sujeto Obligado vía </w:t>
      </w:r>
      <w:r>
        <w:rPr>
          <w:rFonts w:ascii="Palatino Linotype" w:eastAsia="Palatino Linotype" w:hAnsi="Palatino Linotype" w:cs="Palatino Linotype"/>
          <w:b/>
          <w:bCs/>
        </w:rPr>
        <w:t>SAIMEX</w:t>
      </w:r>
      <w:r>
        <w:rPr>
          <w:rFonts w:ascii="Palatino Linotype" w:eastAsia="Palatino Linotype" w:hAnsi="Palatino Linotype" w:cs="Palatino Linotype"/>
        </w:rPr>
        <w:t xml:space="preserve">, para que conforme al artículo 186 último párrafo, 189 segundo párrafo y 194 de la Ley de Transparencia y Acceso a la Información Pública del Estado de México y Municipios; </w:t>
      </w:r>
      <w:r>
        <w:rPr>
          <w:rFonts w:ascii="Palatino Linotype" w:eastAsia="Palatino Linotype" w:hAnsi="Palatino Linotype" w:cs="Palatino Linotype"/>
          <w:b/>
          <w:bCs/>
        </w:rPr>
        <w:t>dé cumplimiento a lo ordenado dentro del plazo de diez días hábiles</w:t>
      </w:r>
      <w:r>
        <w:rPr>
          <w:rFonts w:ascii="Palatino Linotype" w:eastAsia="Palatino Linotype" w:hAnsi="Palatino Linotype" w:cs="Palatino Linotype"/>
        </w:rPr>
        <w:t>,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5C4853" w:rsidRDefault="005C4853">
      <w:pPr>
        <w:spacing w:line="360" w:lineRule="auto"/>
        <w:ind w:right="-929"/>
        <w:jc w:val="both"/>
        <w:rPr>
          <w:rFonts w:ascii="Palatino Linotype" w:eastAsia="Palatino Linotype" w:hAnsi="Palatino Linotype" w:cs="Palatino Linotype"/>
        </w:rPr>
      </w:pPr>
    </w:p>
    <w:p w:rsidR="005C4853" w:rsidRDefault="00E30EFA">
      <w:pPr>
        <w:spacing w:line="360" w:lineRule="auto"/>
        <w:ind w:right="-929"/>
        <w:jc w:val="both"/>
        <w:rPr>
          <w:rFonts w:ascii="Palatino Linotype" w:eastAsia="Palatino Linotype" w:hAnsi="Palatino Linotype" w:cs="Palatino Linotype"/>
        </w:rPr>
      </w:pPr>
      <w:r>
        <w:rPr>
          <w:rFonts w:ascii="Palatino Linotype" w:eastAsia="Palatino Linotype" w:hAnsi="Palatino Linotype" w:cs="Palatino Linotype"/>
          <w:b/>
          <w:bCs/>
        </w:rPr>
        <w:t xml:space="preserve">CUARTO. </w:t>
      </w:r>
      <w:r>
        <w:rPr>
          <w:rFonts w:ascii="Palatino Linotype" w:eastAsia="Palatino Linotype" w:hAnsi="Palatino Linotype" w:cs="Palatino Linotype"/>
        </w:rPr>
        <w:t xml:space="preserve">De conformidad con el artículo 198 de la Ley de Transparencia y Acceso a la Información Pública del Estado de México y Municipios, de considerarlo procedente, 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de manera fundada y motivada, podrá solicitar una ampliación de plazo para el cumplimiento de la presente Resolución.</w:t>
      </w:r>
    </w:p>
    <w:p w:rsidR="005C4853" w:rsidRDefault="005C4853">
      <w:pPr>
        <w:spacing w:line="360" w:lineRule="auto"/>
        <w:ind w:right="-929"/>
        <w:jc w:val="both"/>
        <w:rPr>
          <w:rFonts w:ascii="Palatino Linotype" w:eastAsia="Palatino Linotype" w:hAnsi="Palatino Linotype" w:cs="Palatino Linotype"/>
        </w:rPr>
      </w:pPr>
    </w:p>
    <w:p w:rsidR="005C4853" w:rsidRDefault="00E30EFA">
      <w:pPr>
        <w:tabs>
          <w:tab w:val="left" w:pos="8080"/>
        </w:tabs>
        <w:spacing w:line="360" w:lineRule="auto"/>
        <w:ind w:right="-929"/>
        <w:jc w:val="both"/>
        <w:rPr>
          <w:rFonts w:ascii="Palatino Linotype" w:eastAsia="Palatino Linotype" w:hAnsi="Palatino Linotype" w:cs="Palatino Linotype"/>
        </w:rPr>
      </w:pPr>
      <w:bookmarkStart w:id="11" w:name="_heading=h.ybsfk7u6fgmi" w:colFirst="0" w:colLast="0"/>
      <w:bookmarkEnd w:id="11"/>
      <w:r>
        <w:rPr>
          <w:rFonts w:ascii="Palatino Linotype" w:eastAsia="Palatino Linotype" w:hAnsi="Palatino Linotype" w:cs="Palatino Linotype"/>
          <w:b/>
          <w:bCs/>
        </w:rPr>
        <w:t xml:space="preserve">QUINTO. </w:t>
      </w:r>
      <w:r>
        <w:rPr>
          <w:rFonts w:ascii="Palatino Linotype" w:eastAsia="Palatino Linotype" w:hAnsi="Palatino Linotype" w:cs="Palatino Linotype"/>
        </w:rPr>
        <w:t xml:space="preserve">Notifíquese al </w:t>
      </w:r>
      <w:r>
        <w:rPr>
          <w:rFonts w:ascii="Palatino Linotype" w:eastAsia="Palatino Linotype" w:hAnsi="Palatino Linotype" w:cs="Palatino Linotype"/>
          <w:b/>
          <w:bCs/>
        </w:rPr>
        <w:t>RECURRENTE</w:t>
      </w:r>
      <w:r>
        <w:rPr>
          <w:rFonts w:ascii="Palatino Linotype" w:eastAsia="Palatino Linotype" w:hAnsi="Palatino Linotype" w:cs="Palatino Linotype"/>
        </w:rPr>
        <w:t xml:space="preserve"> la presente Resolución, vía </w:t>
      </w:r>
      <w:r>
        <w:rPr>
          <w:rFonts w:ascii="Palatino Linotype" w:eastAsia="Palatino Linotype" w:hAnsi="Palatino Linotype" w:cs="Palatino Linotype"/>
          <w:b/>
          <w:bCs/>
        </w:rPr>
        <w:t>SAIMEX</w:t>
      </w:r>
      <w:r>
        <w:rPr>
          <w:rFonts w:ascii="Palatino Linotype" w:eastAsia="Palatino Linotype" w:hAnsi="Palatino Linotype" w:cs="Palatino Linotype"/>
        </w:rPr>
        <w:t>.</w:t>
      </w:r>
    </w:p>
    <w:p w:rsidR="005C4853" w:rsidRDefault="005C4853">
      <w:pPr>
        <w:tabs>
          <w:tab w:val="left" w:pos="8080"/>
        </w:tabs>
        <w:spacing w:line="360" w:lineRule="auto"/>
        <w:ind w:right="-929"/>
        <w:jc w:val="both"/>
        <w:rPr>
          <w:rFonts w:ascii="Palatino Linotype" w:eastAsia="Palatino Linotype" w:hAnsi="Palatino Linotype" w:cs="Palatino Linotype"/>
        </w:rPr>
      </w:pPr>
    </w:p>
    <w:p w:rsidR="005C4853" w:rsidRDefault="00E30EFA">
      <w:pPr>
        <w:shd w:val="clear" w:color="auto" w:fill="FFFFFF"/>
        <w:spacing w:line="360" w:lineRule="auto"/>
        <w:ind w:right="-929"/>
        <w:jc w:val="both"/>
        <w:rPr>
          <w:rFonts w:ascii="Palatino Linotype" w:eastAsia="Palatino Linotype" w:hAnsi="Palatino Linotype" w:cs="Palatino Linotype"/>
        </w:rPr>
      </w:pPr>
      <w:r>
        <w:rPr>
          <w:rFonts w:ascii="Palatino Linotype" w:eastAsia="Palatino Linotype" w:hAnsi="Palatino Linotype" w:cs="Palatino Linotype"/>
          <w:b/>
          <w:bCs/>
        </w:rPr>
        <w:t xml:space="preserve">SEXTO. </w:t>
      </w:r>
      <w:r>
        <w:rPr>
          <w:rFonts w:ascii="Palatino Linotype" w:eastAsia="Palatino Linotype" w:hAnsi="Palatino Linotype" w:cs="Palatino Linotype"/>
        </w:rPr>
        <w:t>Se hace del conocimiento del</w:t>
      </w:r>
      <w:r>
        <w:rPr>
          <w:rFonts w:ascii="Palatino Linotype" w:eastAsia="Palatino Linotype" w:hAnsi="Palatino Linotype" w:cs="Palatino Linotype"/>
          <w:b/>
          <w:bCs/>
        </w:rPr>
        <w:t xml:space="preserve"> RECURRENTE </w:t>
      </w:r>
      <w:r>
        <w:rPr>
          <w:rFonts w:ascii="Palatino Linotype" w:eastAsia="Palatino Linotype" w:hAnsi="Palatino Linotype" w:cs="Palatino Linotype"/>
        </w:rPr>
        <w:t>que, de conformidad con lo establecido en el artículo 196 de la Ley de Transparencia y Acceso a la Información Pública del Estado de México y Municipios, en caso de que considere que la Resolución le cause algún perjuicio podrá impugnar vía juicio de amparo en los términos de las leyes aplicables.</w:t>
      </w:r>
    </w:p>
    <w:p w:rsidR="005C4853" w:rsidRDefault="005C4853">
      <w:pPr>
        <w:shd w:val="clear" w:color="auto" w:fill="FFFFFF"/>
        <w:spacing w:line="360" w:lineRule="auto"/>
        <w:ind w:right="-929"/>
        <w:jc w:val="both"/>
        <w:rPr>
          <w:rFonts w:ascii="Palatino Linotype" w:eastAsia="Palatino Linotype" w:hAnsi="Palatino Linotype" w:cs="Palatino Linotype"/>
        </w:rPr>
      </w:pPr>
    </w:p>
    <w:p w:rsidR="00F6504C" w:rsidRPr="003E2295" w:rsidRDefault="00F6504C" w:rsidP="00F6504C">
      <w:pPr>
        <w:spacing w:before="240" w:after="240" w:line="360" w:lineRule="auto"/>
        <w:ind w:right="-801" w:firstLine="1"/>
        <w:jc w:val="both"/>
        <w:rPr>
          <w:rFonts w:ascii="Palatino Linotype" w:hAnsi="Palatino Linotype"/>
        </w:rPr>
      </w:pPr>
      <w:bookmarkStart w:id="12" w:name="_Hlk99014733"/>
      <w:r w:rsidRPr="003E2295">
        <w:rPr>
          <w:rFonts w:ascii="Palatino Linotype" w:hAnsi="Palatino Linotype" w:cs="Palatino Linotype"/>
        </w:rPr>
        <w:lastRenderedPageBreak/>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w:t>
      </w:r>
      <w:r>
        <w:rPr>
          <w:rFonts w:ascii="Palatino Linotype" w:hAnsi="Palatino Linotype" w:cs="Palatino Linotype"/>
        </w:rPr>
        <w:t>DÉCIMA</w:t>
      </w:r>
      <w:r w:rsidRPr="003E2295">
        <w:rPr>
          <w:rFonts w:ascii="Palatino Linotype" w:hAnsi="Palatino Linotype" w:cs="Palatino Linotype"/>
        </w:rPr>
        <w:t xml:space="preserve"> </w:t>
      </w:r>
      <w:r>
        <w:rPr>
          <w:rFonts w:ascii="Palatino Linotype" w:hAnsi="Palatino Linotype" w:cs="Palatino Linotype"/>
        </w:rPr>
        <w:t xml:space="preserve">OCTAVA </w:t>
      </w:r>
      <w:r w:rsidRPr="003E2295">
        <w:rPr>
          <w:rFonts w:ascii="Palatino Linotype" w:hAnsi="Palatino Linotype" w:cs="Palatino Linotype"/>
        </w:rPr>
        <w:t>SESIÓN O</w:t>
      </w:r>
      <w:r>
        <w:rPr>
          <w:rFonts w:ascii="Palatino Linotype" w:hAnsi="Palatino Linotype" w:cs="Palatino Linotype"/>
        </w:rPr>
        <w:t>RDINARIA, CELEBRADA EL VEINTE (20</w:t>
      </w:r>
      <w:r w:rsidRPr="003E2295">
        <w:rPr>
          <w:rFonts w:ascii="Palatino Linotype" w:hAnsi="Palatino Linotype" w:cs="Palatino Linotype"/>
        </w:rPr>
        <w:t xml:space="preserve">) DE </w:t>
      </w:r>
      <w:r>
        <w:rPr>
          <w:rFonts w:ascii="Palatino Linotype" w:hAnsi="Palatino Linotype" w:cs="Palatino Linotype"/>
        </w:rPr>
        <w:t>MAYO</w:t>
      </w:r>
      <w:r w:rsidRPr="003E2295">
        <w:rPr>
          <w:rFonts w:ascii="Palatino Linotype" w:hAnsi="Palatino Linotype" w:cs="Palatino Linotype"/>
        </w:rPr>
        <w:t xml:space="preserve"> DE DOS MIL VEINTISÉIS, ANTE EL SECRETARIO TÉCNICO DEL PLENO </w:t>
      </w:r>
      <w:r w:rsidRPr="003E2295">
        <w:rPr>
          <w:rFonts w:ascii="Palatino Linotype" w:hAnsi="Palatino Linotype" w:cs="Palatino Linotype"/>
          <w:color w:val="000000" w:themeColor="text1"/>
        </w:rPr>
        <w:t>ALEXIS TAPIA RAMÍREZ.</w:t>
      </w:r>
    </w:p>
    <w:bookmarkEnd w:id="12"/>
    <w:p w:rsidR="005C4853" w:rsidRDefault="005C4853" w:rsidP="00F6504C">
      <w:pPr>
        <w:tabs>
          <w:tab w:val="left" w:pos="3374"/>
        </w:tabs>
        <w:spacing w:line="360" w:lineRule="auto"/>
        <w:ind w:right="-801"/>
        <w:rPr>
          <w:rFonts w:ascii="Palatino Linotype" w:eastAsia="Palatino Linotype" w:hAnsi="Palatino Linotype" w:cs="Palatino Linotype"/>
        </w:rPr>
      </w:pPr>
    </w:p>
    <w:p w:rsidR="005C4853" w:rsidRDefault="005C4853">
      <w:pPr>
        <w:spacing w:line="360" w:lineRule="auto"/>
        <w:ind w:right="-929"/>
        <w:rPr>
          <w:rFonts w:ascii="Palatino Linotype" w:eastAsia="Palatino Linotype" w:hAnsi="Palatino Linotype" w:cs="Palatino Linotype"/>
        </w:rPr>
      </w:pPr>
    </w:p>
    <w:p w:rsidR="005C4853" w:rsidRDefault="005C4853">
      <w:pPr>
        <w:spacing w:line="360" w:lineRule="auto"/>
        <w:ind w:right="-929"/>
        <w:rPr>
          <w:rFonts w:ascii="Palatino Linotype" w:eastAsia="Palatino Linotype" w:hAnsi="Palatino Linotype" w:cs="Palatino Linotype"/>
        </w:rPr>
      </w:pPr>
    </w:p>
    <w:p w:rsidR="005C4853" w:rsidRDefault="005C4853">
      <w:pPr>
        <w:spacing w:line="360" w:lineRule="auto"/>
        <w:ind w:right="-929"/>
        <w:rPr>
          <w:rFonts w:ascii="Palatino Linotype" w:eastAsia="Palatino Linotype" w:hAnsi="Palatino Linotype" w:cs="Palatino Linotype"/>
        </w:rPr>
      </w:pPr>
    </w:p>
    <w:p w:rsidR="005C4853" w:rsidRDefault="005C4853">
      <w:pPr>
        <w:spacing w:line="360" w:lineRule="auto"/>
        <w:ind w:right="-929"/>
        <w:rPr>
          <w:rFonts w:ascii="Palatino Linotype" w:eastAsia="Palatino Linotype" w:hAnsi="Palatino Linotype" w:cs="Palatino Linotype"/>
        </w:rPr>
      </w:pPr>
    </w:p>
    <w:p w:rsidR="005C4853" w:rsidRDefault="005C4853">
      <w:pPr>
        <w:spacing w:line="360" w:lineRule="auto"/>
        <w:ind w:right="-929"/>
        <w:rPr>
          <w:rFonts w:ascii="Palatino Linotype" w:eastAsia="Palatino Linotype" w:hAnsi="Palatino Linotype" w:cs="Palatino Linotype"/>
        </w:rPr>
      </w:pPr>
    </w:p>
    <w:p w:rsidR="005C4853" w:rsidRDefault="005C4853">
      <w:pPr>
        <w:spacing w:line="360" w:lineRule="auto"/>
        <w:ind w:right="-929"/>
        <w:rPr>
          <w:rFonts w:ascii="Palatino Linotype" w:eastAsia="Palatino Linotype" w:hAnsi="Palatino Linotype" w:cs="Palatino Linotype"/>
        </w:rPr>
      </w:pPr>
    </w:p>
    <w:p w:rsidR="005C4853" w:rsidRDefault="005C4853">
      <w:pPr>
        <w:spacing w:line="360" w:lineRule="auto"/>
        <w:ind w:right="-929"/>
        <w:rPr>
          <w:rFonts w:ascii="Palatino Linotype" w:eastAsia="Palatino Linotype" w:hAnsi="Palatino Linotype" w:cs="Palatino Linotype"/>
        </w:rPr>
      </w:pPr>
    </w:p>
    <w:p w:rsidR="005C4853" w:rsidRDefault="005C4853">
      <w:pPr>
        <w:spacing w:line="360" w:lineRule="auto"/>
        <w:ind w:right="-929"/>
        <w:rPr>
          <w:rFonts w:ascii="Palatino Linotype" w:eastAsia="Palatino Linotype" w:hAnsi="Palatino Linotype" w:cs="Palatino Linotype"/>
        </w:rPr>
      </w:pPr>
    </w:p>
    <w:p w:rsidR="005C4853" w:rsidRDefault="005C4853">
      <w:pPr>
        <w:spacing w:line="360" w:lineRule="auto"/>
        <w:ind w:right="-929"/>
        <w:rPr>
          <w:rFonts w:ascii="Palatino Linotype" w:eastAsia="Palatino Linotype" w:hAnsi="Palatino Linotype" w:cs="Palatino Linotype"/>
        </w:rPr>
      </w:pPr>
    </w:p>
    <w:p w:rsidR="008266A0" w:rsidRDefault="008266A0">
      <w:pPr>
        <w:spacing w:line="360" w:lineRule="auto"/>
        <w:ind w:right="-929"/>
        <w:rPr>
          <w:rFonts w:ascii="Palatino Linotype" w:eastAsia="Palatino Linotype" w:hAnsi="Palatino Linotype" w:cs="Palatino Linotype"/>
        </w:rPr>
      </w:pPr>
    </w:p>
    <w:p w:rsidR="008266A0" w:rsidRDefault="008266A0">
      <w:pPr>
        <w:spacing w:line="360" w:lineRule="auto"/>
        <w:ind w:right="-929"/>
        <w:rPr>
          <w:rFonts w:ascii="Palatino Linotype" w:eastAsia="Palatino Linotype" w:hAnsi="Palatino Linotype" w:cs="Palatino Linotype"/>
        </w:rPr>
      </w:pPr>
    </w:p>
    <w:p w:rsidR="008266A0" w:rsidRDefault="008266A0">
      <w:pPr>
        <w:spacing w:line="360" w:lineRule="auto"/>
        <w:ind w:right="-929"/>
        <w:rPr>
          <w:rFonts w:ascii="Palatino Linotype" w:eastAsia="Palatino Linotype" w:hAnsi="Palatino Linotype" w:cs="Palatino Linotype"/>
        </w:rPr>
      </w:pPr>
    </w:p>
    <w:p w:rsidR="008266A0" w:rsidRDefault="008266A0">
      <w:pPr>
        <w:spacing w:line="360" w:lineRule="auto"/>
        <w:ind w:right="-929"/>
        <w:rPr>
          <w:rFonts w:ascii="Palatino Linotype" w:eastAsia="Palatino Linotype" w:hAnsi="Palatino Linotype" w:cs="Palatino Linotype"/>
        </w:rPr>
      </w:pPr>
    </w:p>
    <w:p w:rsidR="008266A0" w:rsidRDefault="008266A0">
      <w:pPr>
        <w:spacing w:line="360" w:lineRule="auto"/>
        <w:ind w:right="-929"/>
        <w:rPr>
          <w:rFonts w:ascii="Palatino Linotype" w:eastAsia="Palatino Linotype" w:hAnsi="Palatino Linotype" w:cs="Palatino Linotype"/>
        </w:rPr>
      </w:pPr>
    </w:p>
    <w:p w:rsidR="008266A0" w:rsidRDefault="008266A0">
      <w:pPr>
        <w:spacing w:line="360" w:lineRule="auto"/>
        <w:ind w:right="-929"/>
        <w:rPr>
          <w:rFonts w:ascii="Palatino Linotype" w:eastAsia="Palatino Linotype" w:hAnsi="Palatino Linotype" w:cs="Palatino Linotype"/>
        </w:rPr>
      </w:pPr>
    </w:p>
    <w:p w:rsidR="008266A0" w:rsidRDefault="008266A0">
      <w:pPr>
        <w:spacing w:line="360" w:lineRule="auto"/>
        <w:ind w:right="-929"/>
        <w:rPr>
          <w:rFonts w:ascii="Palatino Linotype" w:eastAsia="Palatino Linotype" w:hAnsi="Palatino Linotype" w:cs="Palatino Linotype"/>
        </w:rPr>
      </w:pPr>
    </w:p>
    <w:p w:rsidR="008266A0" w:rsidRDefault="008266A0">
      <w:pPr>
        <w:spacing w:line="360" w:lineRule="auto"/>
        <w:ind w:right="-929"/>
        <w:rPr>
          <w:rFonts w:ascii="Palatino Linotype" w:eastAsia="Palatino Linotype" w:hAnsi="Palatino Linotype" w:cs="Palatino Linotype"/>
        </w:rPr>
      </w:pPr>
    </w:p>
    <w:p w:rsidR="008266A0" w:rsidRDefault="008266A0">
      <w:pPr>
        <w:spacing w:line="360" w:lineRule="auto"/>
        <w:ind w:right="-929"/>
        <w:rPr>
          <w:rFonts w:ascii="Palatino Linotype" w:eastAsia="Palatino Linotype" w:hAnsi="Palatino Linotype" w:cs="Palatino Linotype"/>
        </w:rPr>
      </w:pPr>
    </w:p>
    <w:p w:rsidR="008266A0" w:rsidRDefault="008266A0">
      <w:pPr>
        <w:spacing w:line="360" w:lineRule="auto"/>
        <w:ind w:right="-929"/>
        <w:rPr>
          <w:rFonts w:ascii="Palatino Linotype" w:eastAsia="Palatino Linotype" w:hAnsi="Palatino Linotype" w:cs="Palatino Linotype"/>
        </w:rPr>
      </w:pPr>
    </w:p>
    <w:p w:rsidR="008266A0" w:rsidRDefault="008266A0">
      <w:pPr>
        <w:spacing w:line="360" w:lineRule="auto"/>
        <w:ind w:right="-929"/>
        <w:rPr>
          <w:rFonts w:ascii="Palatino Linotype" w:eastAsia="Palatino Linotype" w:hAnsi="Palatino Linotype" w:cs="Palatino Linotype"/>
        </w:rPr>
      </w:pPr>
    </w:p>
    <w:p w:rsidR="008266A0" w:rsidRDefault="008266A0">
      <w:pPr>
        <w:spacing w:line="360" w:lineRule="auto"/>
        <w:ind w:right="-929"/>
        <w:rPr>
          <w:rFonts w:ascii="Palatino Linotype" w:eastAsia="Palatino Linotype" w:hAnsi="Palatino Linotype" w:cs="Palatino Linotype"/>
        </w:rPr>
      </w:pPr>
    </w:p>
    <w:p w:rsidR="008266A0" w:rsidRDefault="008266A0">
      <w:pPr>
        <w:spacing w:line="360" w:lineRule="auto"/>
        <w:ind w:right="-929"/>
        <w:rPr>
          <w:rFonts w:ascii="Palatino Linotype" w:eastAsia="Palatino Linotype" w:hAnsi="Palatino Linotype" w:cs="Palatino Linotype"/>
        </w:rPr>
      </w:pPr>
    </w:p>
    <w:p w:rsidR="005C4853" w:rsidRDefault="005C4853">
      <w:pPr>
        <w:spacing w:line="360" w:lineRule="auto"/>
        <w:ind w:right="-929"/>
        <w:rPr>
          <w:rFonts w:ascii="Palatino Linotype" w:eastAsia="Palatino Linotype" w:hAnsi="Palatino Linotype" w:cs="Palatino Linotype"/>
        </w:rPr>
      </w:pPr>
    </w:p>
    <w:p w:rsidR="005C4853" w:rsidRDefault="005C4853">
      <w:pPr>
        <w:spacing w:line="360" w:lineRule="auto"/>
        <w:ind w:right="-929"/>
        <w:rPr>
          <w:rFonts w:ascii="Palatino Linotype" w:eastAsia="Palatino Linotype" w:hAnsi="Palatino Linotype" w:cs="Palatino Linotype"/>
        </w:rPr>
      </w:pPr>
    </w:p>
    <w:p w:rsidR="005C4853" w:rsidRDefault="005C4853">
      <w:pPr>
        <w:spacing w:line="360" w:lineRule="auto"/>
        <w:ind w:right="-929"/>
        <w:rPr>
          <w:rFonts w:ascii="Palatino Linotype" w:eastAsia="Palatino Linotype" w:hAnsi="Palatino Linotype" w:cs="Palatino Linotype"/>
        </w:rPr>
      </w:pPr>
    </w:p>
    <w:p w:rsidR="005C4853" w:rsidRDefault="005C4853">
      <w:pPr>
        <w:spacing w:line="360" w:lineRule="auto"/>
        <w:ind w:right="-929"/>
        <w:rPr>
          <w:rFonts w:ascii="Palatino Linotype" w:eastAsia="Palatino Linotype" w:hAnsi="Palatino Linotype" w:cs="Palatino Linotype"/>
        </w:rPr>
      </w:pPr>
    </w:p>
    <w:sectPr w:rsidR="005C4853">
      <w:headerReference w:type="even" r:id="rId9"/>
      <w:headerReference w:type="default" r:id="rId10"/>
      <w:footerReference w:type="default" r:id="rId11"/>
      <w:headerReference w:type="first" r:id="rId12"/>
      <w:footerReference w:type="first" r:id="rId13"/>
      <w:pgSz w:w="12240" w:h="15840"/>
      <w:pgMar w:top="2268" w:right="1701" w:bottom="1985"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617AF" w:rsidRDefault="002617AF">
      <w:r>
        <w:separator/>
      </w:r>
    </w:p>
  </w:endnote>
  <w:endnote w:type="continuationSeparator" w:id="0">
    <w:p w:rsidR="002617AF" w:rsidRDefault="002617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embedRegular r:id="rId1" w:fontKey="{E2924260-E542-4AEE-A2AD-E4332CFE456A}"/>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embedRegular r:id="rId2" w:fontKey="{D07FB13F-3761-4746-A255-DFC678789428}"/>
    <w:embedBold r:id="rId3" w:fontKey="{BA2D6462-943C-4DC4-971B-DDA75B4DBD2E}"/>
    <w:embedItalic r:id="rId4" w:fontKey="{91C92F82-12DD-473D-8F4B-633F1614566E}"/>
    <w:embedBoldItalic r:id="rId5" w:fontKey="{CB689E99-23C9-4D1B-B645-EA97C70DA30E}"/>
  </w:font>
  <w:font w:name="Calibri">
    <w:panose1 w:val="020F0502020204030204"/>
    <w:charset w:val="00"/>
    <w:family w:val="swiss"/>
    <w:pitch w:val="variable"/>
    <w:sig w:usb0="E4002EFF" w:usb1="C200247B" w:usb2="00000009" w:usb3="00000000" w:csb0="000001FF" w:csb1="00000000"/>
    <w:embedRegular r:id="rId6" w:fontKey="{6A08B687-8FD0-44F0-BED6-D1579E71CF4B}"/>
    <w:embedBold r:id="rId7" w:fontKey="{3C490D44-73A9-403F-A3B2-CC8936763325}"/>
  </w:font>
  <w:font w:name="Georgia">
    <w:panose1 w:val="02040502050405020303"/>
    <w:charset w:val="00"/>
    <w:family w:val="roman"/>
    <w:pitch w:val="variable"/>
    <w:sig w:usb0="00000287" w:usb1="00000000" w:usb2="00000000" w:usb3="00000000" w:csb0="0000009F" w:csb1="00000000"/>
    <w:embedItalic r:id="rId8" w:fontKey="{66F56B94-5DBE-4BED-8B29-717A86BEF20E}"/>
  </w:font>
  <w:font w:name="Cambria">
    <w:panose1 w:val="02040503050406030204"/>
    <w:charset w:val="00"/>
    <w:family w:val="roman"/>
    <w:pitch w:val="variable"/>
    <w:sig w:usb0="E00006FF" w:usb1="420024FF" w:usb2="02000000" w:usb3="00000000" w:csb0="0000019F" w:csb1="00000000"/>
    <w:embedRegular r:id="rId9" w:fontKey="{2D51B891-FC6F-4AF4-AE06-1584C87FEA1C}"/>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4853" w:rsidRDefault="00E30EFA">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Página </w:t>
    </w:r>
    <w:r>
      <w:rPr>
        <w:rFonts w:ascii="Palatino Linotype" w:eastAsia="Palatino Linotype" w:hAnsi="Palatino Linotype" w:cs="Palatino Linotype"/>
        <w:color w:val="000000"/>
        <w:sz w:val="22"/>
        <w:szCs w:val="22"/>
      </w:rPr>
      <w:fldChar w:fldCharType="begin"/>
    </w:r>
    <w:r>
      <w:rPr>
        <w:rFonts w:ascii="Palatino Linotype" w:eastAsia="Palatino Linotype" w:hAnsi="Palatino Linotype" w:cs="Palatino Linotype"/>
        <w:color w:val="000000"/>
        <w:sz w:val="22"/>
        <w:szCs w:val="22"/>
      </w:rPr>
      <w:instrText>PAGE</w:instrText>
    </w:r>
    <w:r>
      <w:rPr>
        <w:rFonts w:ascii="Palatino Linotype" w:eastAsia="Palatino Linotype" w:hAnsi="Palatino Linotype" w:cs="Palatino Linotype"/>
        <w:color w:val="000000"/>
        <w:sz w:val="22"/>
        <w:szCs w:val="22"/>
      </w:rPr>
      <w:fldChar w:fldCharType="separate"/>
    </w:r>
    <w:r w:rsidR="00294684">
      <w:rPr>
        <w:rFonts w:ascii="Palatino Linotype" w:eastAsia="Palatino Linotype" w:hAnsi="Palatino Linotype" w:cs="Palatino Linotype"/>
        <w:noProof/>
        <w:color w:val="000000"/>
        <w:sz w:val="22"/>
        <w:szCs w:val="22"/>
      </w:rPr>
      <w:t>21</w:t>
    </w:r>
    <w:r>
      <w:rPr>
        <w:rFonts w:ascii="Palatino Linotype" w:eastAsia="Palatino Linotype" w:hAnsi="Palatino Linotype" w:cs="Palatino Linotype"/>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color w:val="000000"/>
        <w:sz w:val="22"/>
        <w:szCs w:val="22"/>
      </w:rPr>
      <w:fldChar w:fldCharType="begin"/>
    </w:r>
    <w:r>
      <w:rPr>
        <w:rFonts w:ascii="Palatino Linotype" w:eastAsia="Palatino Linotype" w:hAnsi="Palatino Linotype" w:cs="Palatino Linotype"/>
        <w:color w:val="000000"/>
        <w:sz w:val="22"/>
        <w:szCs w:val="22"/>
      </w:rPr>
      <w:instrText>NUMPAGES</w:instrText>
    </w:r>
    <w:r>
      <w:rPr>
        <w:rFonts w:ascii="Palatino Linotype" w:eastAsia="Palatino Linotype" w:hAnsi="Palatino Linotype" w:cs="Palatino Linotype"/>
        <w:color w:val="000000"/>
        <w:sz w:val="22"/>
        <w:szCs w:val="22"/>
      </w:rPr>
      <w:fldChar w:fldCharType="separate"/>
    </w:r>
    <w:r w:rsidR="00294684">
      <w:rPr>
        <w:rFonts w:ascii="Palatino Linotype" w:eastAsia="Palatino Linotype" w:hAnsi="Palatino Linotype" w:cs="Palatino Linotype"/>
        <w:noProof/>
        <w:color w:val="000000"/>
        <w:sz w:val="22"/>
        <w:szCs w:val="22"/>
      </w:rPr>
      <w:t>33</w:t>
    </w:r>
    <w:r>
      <w:rPr>
        <w:rFonts w:ascii="Palatino Linotype" w:eastAsia="Palatino Linotype" w:hAnsi="Palatino Linotype" w:cs="Palatino Linotype"/>
        <w:color w:val="000000"/>
        <w:sz w:val="22"/>
        <w:szCs w:val="22"/>
      </w:rPr>
      <w:fldChar w:fldCharType="end"/>
    </w:r>
  </w:p>
  <w:p w:rsidR="005C4853" w:rsidRDefault="005C4853">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4853" w:rsidRDefault="00E30EFA">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Página </w:t>
    </w:r>
    <w:r>
      <w:rPr>
        <w:rFonts w:ascii="Palatino Linotype" w:eastAsia="Palatino Linotype" w:hAnsi="Palatino Linotype" w:cs="Palatino Linotype"/>
        <w:color w:val="000000"/>
        <w:sz w:val="22"/>
        <w:szCs w:val="22"/>
      </w:rPr>
      <w:fldChar w:fldCharType="begin"/>
    </w:r>
    <w:r>
      <w:rPr>
        <w:rFonts w:ascii="Palatino Linotype" w:eastAsia="Palatino Linotype" w:hAnsi="Palatino Linotype" w:cs="Palatino Linotype"/>
        <w:color w:val="000000"/>
        <w:sz w:val="22"/>
        <w:szCs w:val="22"/>
      </w:rPr>
      <w:instrText>PAGE</w:instrText>
    </w:r>
    <w:r>
      <w:rPr>
        <w:rFonts w:ascii="Palatino Linotype" w:eastAsia="Palatino Linotype" w:hAnsi="Palatino Linotype" w:cs="Palatino Linotype"/>
        <w:color w:val="000000"/>
        <w:sz w:val="22"/>
        <w:szCs w:val="22"/>
      </w:rPr>
      <w:fldChar w:fldCharType="separate"/>
    </w:r>
    <w:r w:rsidR="00294684">
      <w:rPr>
        <w:rFonts w:ascii="Palatino Linotype" w:eastAsia="Palatino Linotype" w:hAnsi="Palatino Linotype" w:cs="Palatino Linotype"/>
        <w:noProof/>
        <w:color w:val="000000"/>
        <w:sz w:val="22"/>
        <w:szCs w:val="22"/>
      </w:rPr>
      <w:t>1</w:t>
    </w:r>
    <w:r>
      <w:rPr>
        <w:rFonts w:ascii="Palatino Linotype" w:eastAsia="Palatino Linotype" w:hAnsi="Palatino Linotype" w:cs="Palatino Linotype"/>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color w:val="000000"/>
        <w:sz w:val="22"/>
        <w:szCs w:val="22"/>
      </w:rPr>
      <w:fldChar w:fldCharType="begin"/>
    </w:r>
    <w:r>
      <w:rPr>
        <w:rFonts w:ascii="Palatino Linotype" w:eastAsia="Palatino Linotype" w:hAnsi="Palatino Linotype" w:cs="Palatino Linotype"/>
        <w:color w:val="000000"/>
        <w:sz w:val="22"/>
        <w:szCs w:val="22"/>
      </w:rPr>
      <w:instrText>NUMPAGES</w:instrText>
    </w:r>
    <w:r>
      <w:rPr>
        <w:rFonts w:ascii="Palatino Linotype" w:eastAsia="Palatino Linotype" w:hAnsi="Palatino Linotype" w:cs="Palatino Linotype"/>
        <w:color w:val="000000"/>
        <w:sz w:val="22"/>
        <w:szCs w:val="22"/>
      </w:rPr>
      <w:fldChar w:fldCharType="separate"/>
    </w:r>
    <w:r w:rsidR="00294684">
      <w:rPr>
        <w:rFonts w:ascii="Palatino Linotype" w:eastAsia="Palatino Linotype" w:hAnsi="Palatino Linotype" w:cs="Palatino Linotype"/>
        <w:noProof/>
        <w:color w:val="000000"/>
        <w:sz w:val="22"/>
        <w:szCs w:val="22"/>
      </w:rPr>
      <w:t>33</w:t>
    </w:r>
    <w:r>
      <w:rPr>
        <w:rFonts w:ascii="Palatino Linotype" w:eastAsia="Palatino Linotype" w:hAnsi="Palatino Linotype" w:cs="Palatino Linotype"/>
        <w:color w:val="000000"/>
        <w:sz w:val="22"/>
        <w:szCs w:val="22"/>
      </w:rPr>
      <w:fldChar w:fldCharType="end"/>
    </w:r>
  </w:p>
  <w:p w:rsidR="005C4853" w:rsidRDefault="005C4853">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617AF" w:rsidRDefault="002617AF">
      <w:r>
        <w:separator/>
      </w:r>
    </w:p>
  </w:footnote>
  <w:footnote w:type="continuationSeparator" w:id="0">
    <w:p w:rsidR="002617AF" w:rsidRDefault="002617AF">
      <w:r>
        <w:continuationSeparator/>
      </w:r>
    </w:p>
  </w:footnote>
  <w:footnote w:id="1">
    <w:p w:rsidR="005C4853" w:rsidRDefault="00E30EFA">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Convención Americana sobre Derechos Humanos. Artículo 13.</w:t>
      </w:r>
    </w:p>
  </w:footnote>
  <w:footnote w:id="2">
    <w:p w:rsidR="005C4853" w:rsidRDefault="00E30EFA">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Constitución Política de los Estados Unidos Mexicanos. Artículo sexto, sección A, Fracción I.</w:t>
      </w:r>
    </w:p>
  </w:footnote>
  <w:footnote w:id="3">
    <w:p w:rsidR="005C4853" w:rsidRDefault="00E30EFA">
      <w:pPr>
        <w:pBdr>
          <w:top w:val="nil"/>
          <w:left w:val="nil"/>
          <w:bottom w:val="nil"/>
          <w:right w:val="nil"/>
          <w:between w:val="nil"/>
        </w:pBdr>
        <w:rPr>
          <w:rFonts w:ascii="Palatino Linotype" w:eastAsia="Palatino Linotype" w:hAnsi="Palatino Linotype" w:cs="Palatino Linotype"/>
          <w:color w:val="000000"/>
          <w:sz w:val="18"/>
          <w:szCs w:val="18"/>
        </w:rPr>
      </w:pPr>
      <w:r>
        <w:rPr>
          <w:vertAlign w:val="superscript"/>
        </w:rPr>
        <w:footnoteRef/>
      </w:r>
      <w:r>
        <w:rPr>
          <w:rFonts w:ascii="Palatino Linotype" w:eastAsia="Palatino Linotype" w:hAnsi="Palatino Linotype" w:cs="Palatino Linotype"/>
          <w:color w:val="000000"/>
          <w:sz w:val="18"/>
          <w:szCs w:val="18"/>
        </w:rPr>
        <w:t xml:space="preserve"> Corte Interamericana de Derechos Humanos. Caso Claude Reyes y otros vs Chile. Sentencia de 19 de septiembre de 2006. Serie C. No. 151. Párr. 86.</w:t>
      </w:r>
    </w:p>
  </w:footnote>
  <w:footnote w:id="4">
    <w:p w:rsidR="005C4853" w:rsidRDefault="00E30EFA">
      <w:pPr>
        <w:pBdr>
          <w:top w:val="nil"/>
          <w:left w:val="nil"/>
          <w:bottom w:val="nil"/>
          <w:right w:val="nil"/>
          <w:between w:val="nil"/>
        </w:pBdr>
        <w:rPr>
          <w:rFonts w:ascii="Palatino Linotype" w:eastAsia="Palatino Linotype" w:hAnsi="Palatino Linotype" w:cs="Palatino Linotype"/>
          <w:color w:val="000000"/>
          <w:sz w:val="18"/>
          <w:szCs w:val="18"/>
        </w:rPr>
      </w:pPr>
      <w:r>
        <w:rPr>
          <w:vertAlign w:val="superscript"/>
        </w:rPr>
        <w:footnoteRef/>
      </w:r>
      <w:r>
        <w:rPr>
          <w:rFonts w:ascii="Palatino Linotype" w:eastAsia="Palatino Linotype" w:hAnsi="Palatino Linotype" w:cs="Palatino Linotype"/>
          <w:color w:val="000000"/>
          <w:sz w:val="18"/>
          <w:szCs w:val="18"/>
        </w:rPr>
        <w:t xml:space="preserve"> Ibídem. Párr. 87.</w:t>
      </w:r>
    </w:p>
  </w:footnote>
  <w:footnote w:id="5">
    <w:p w:rsidR="005C4853" w:rsidRDefault="00E30EFA">
      <w:pPr>
        <w:pBdr>
          <w:top w:val="nil"/>
          <w:left w:val="nil"/>
          <w:bottom w:val="nil"/>
          <w:right w:val="nil"/>
          <w:between w:val="nil"/>
        </w:pBdr>
        <w:rPr>
          <w:color w:val="000000"/>
          <w:sz w:val="20"/>
          <w:szCs w:val="20"/>
        </w:rPr>
      </w:pPr>
      <w:r>
        <w:rPr>
          <w:vertAlign w:val="superscript"/>
        </w:rPr>
        <w:footnoteRef/>
      </w:r>
      <w:r>
        <w:rPr>
          <w:rFonts w:ascii="Palatino Linotype" w:eastAsia="Palatino Linotype" w:hAnsi="Palatino Linotype" w:cs="Palatino Linotype"/>
          <w:color w:val="000000"/>
          <w:sz w:val="18"/>
          <w:szCs w:val="18"/>
        </w:rPr>
        <w:t xml:space="preserve"> Declaración conjunta del Relator Especial de las Naciones Unidas (ONU) para la Libertad de Opinión y de Expresión, el Representante para la Libertad de los Medios de Comunicación de la Organización para la Seguridad y la Cooperación en Europa (OSCE) y el Relator Especial de la Organización de los Estados Americanos (OEA) para la Libertad de Expresión (2004), disponible en </w:t>
      </w:r>
      <w:hyperlink r:id="rId1">
        <w:r>
          <w:rPr>
            <w:rFonts w:ascii="Palatino Linotype" w:eastAsia="Palatino Linotype" w:hAnsi="Palatino Linotype" w:cs="Palatino Linotype"/>
            <w:color w:val="0563C1"/>
            <w:sz w:val="18"/>
            <w:szCs w:val="18"/>
            <w:u w:val="single"/>
          </w:rPr>
          <w:t>http://www.oas.org/es/cidh/expresion/documentos_basicos/declaraciones.asp</w:t>
        </w:r>
      </w:hyperlink>
      <w:r>
        <w:rPr>
          <w:rFonts w:ascii="Palatino Linotype" w:eastAsia="Palatino Linotype" w:hAnsi="Palatino Linotype" w:cs="Palatino Linotype"/>
          <w:color w:val="000000"/>
          <w:sz w:val="18"/>
          <w:szCs w:val="18"/>
        </w:rPr>
        <w:t>.</w:t>
      </w:r>
    </w:p>
  </w:footnote>
  <w:footnote w:id="6">
    <w:p w:rsidR="005C4853" w:rsidRDefault="00E30EFA">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Ley de Transparencia y Acceso a la Información Pública del Estado de México y Municipios. Artículo 9. …</w:t>
      </w:r>
    </w:p>
    <w:p w:rsidR="005C4853" w:rsidRDefault="00E30EFA">
      <w:pPr>
        <w:pBdr>
          <w:top w:val="nil"/>
          <w:left w:val="nil"/>
          <w:bottom w:val="nil"/>
          <w:right w:val="nil"/>
          <w:between w:val="nil"/>
        </w:pBdr>
        <w:rPr>
          <w:color w:val="000000"/>
          <w:sz w:val="20"/>
          <w:szCs w:val="20"/>
        </w:rPr>
      </w:pPr>
      <w:r>
        <w:rPr>
          <w:color w:val="000000"/>
          <w:sz w:val="20"/>
          <w:szCs w:val="20"/>
        </w:rPr>
        <w:t>II. Eficacia: Obligación del Instituto para tutelar, de manera efectiva, el derecho de acceso a la información;</w:t>
      </w:r>
    </w:p>
    <w:p w:rsidR="005C4853" w:rsidRDefault="00E30EFA">
      <w:pPr>
        <w:pBdr>
          <w:top w:val="nil"/>
          <w:left w:val="nil"/>
          <w:bottom w:val="nil"/>
          <w:right w:val="nil"/>
          <w:between w:val="nil"/>
        </w:pBdr>
        <w:rPr>
          <w:color w:val="000000"/>
          <w:sz w:val="20"/>
          <w:szCs w:val="20"/>
        </w:rPr>
      </w:pPr>
      <w:r>
        <w:rPr>
          <w:color w:val="000000"/>
          <w:sz w:val="20"/>
          <w:szCs w:val="20"/>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4853" w:rsidRDefault="002617AF">
    <w:pPr>
      <w:pBdr>
        <w:top w:val="nil"/>
        <w:left w:val="nil"/>
        <w:bottom w:val="nil"/>
        <w:right w:val="nil"/>
        <w:between w:val="nil"/>
      </w:pBdr>
      <w:tabs>
        <w:tab w:val="center" w:pos="4419"/>
        <w:tab w:val="right" w:pos="8838"/>
      </w:tabs>
      <w:rPr>
        <w:color w:val="000000"/>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margin-left:0;margin-top:0;width:609.4pt;height:793.75pt;z-index:-251657728;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0"/>
      <w:tblW w:w="6519" w:type="dxa"/>
      <w:tblInd w:w="3402" w:type="dxa"/>
      <w:tblLayout w:type="fixed"/>
      <w:tblLook w:val="0400" w:firstRow="0" w:lastRow="0" w:firstColumn="0" w:lastColumn="0" w:noHBand="0" w:noVBand="1"/>
    </w:tblPr>
    <w:tblGrid>
      <w:gridCol w:w="2976"/>
      <w:gridCol w:w="3543"/>
    </w:tblGrid>
    <w:tr w:rsidR="005C4853" w:rsidTr="00294684">
      <w:trPr>
        <w:trHeight w:val="227"/>
      </w:trPr>
      <w:tc>
        <w:tcPr>
          <w:tcW w:w="2976" w:type="dxa"/>
          <w:vAlign w:val="center"/>
        </w:tcPr>
        <w:p w:rsidR="005C4853" w:rsidRDefault="00E30EFA">
          <w:pPr>
            <w:ind w:right="34"/>
            <w:jc w:val="right"/>
            <w:rPr>
              <w:rFonts w:ascii="Palatino Linotype" w:eastAsia="Palatino Linotype" w:hAnsi="Palatino Linotype" w:cs="Palatino Linotype"/>
              <w:b/>
              <w:bCs/>
            </w:rPr>
          </w:pPr>
          <w:r>
            <w:rPr>
              <w:rFonts w:ascii="Palatino Linotype" w:eastAsia="Palatino Linotype" w:hAnsi="Palatino Linotype" w:cs="Palatino Linotype"/>
              <w:b/>
              <w:bCs/>
            </w:rPr>
            <w:t>Recurso de Revisión:</w:t>
          </w:r>
        </w:p>
      </w:tc>
      <w:tc>
        <w:tcPr>
          <w:tcW w:w="3543" w:type="dxa"/>
          <w:vAlign w:val="center"/>
        </w:tcPr>
        <w:p w:rsidR="005C4853" w:rsidRDefault="00E30EFA">
          <w:pPr>
            <w:pBdr>
              <w:top w:val="nil"/>
              <w:left w:val="nil"/>
              <w:bottom w:val="nil"/>
              <w:right w:val="nil"/>
              <w:between w:val="nil"/>
            </w:pBdr>
            <w:tabs>
              <w:tab w:val="center" w:pos="4419"/>
              <w:tab w:val="right" w:pos="8838"/>
            </w:tabs>
            <w:rPr>
              <w:rFonts w:ascii="Palatino Linotype" w:eastAsia="Palatino Linotype" w:hAnsi="Palatino Linotype" w:cs="Palatino Linotype"/>
              <w:color w:val="000000"/>
              <w:highlight w:val="green"/>
            </w:rPr>
          </w:pPr>
          <w:r>
            <w:rPr>
              <w:rFonts w:ascii="Palatino Linotype" w:eastAsia="Palatino Linotype" w:hAnsi="Palatino Linotype" w:cs="Palatino Linotype"/>
              <w:color w:val="000000"/>
            </w:rPr>
            <w:t>13858/INFOEM/IP/RR/2025</w:t>
          </w:r>
        </w:p>
      </w:tc>
    </w:tr>
    <w:tr w:rsidR="005C4853" w:rsidTr="00294684">
      <w:trPr>
        <w:trHeight w:val="242"/>
      </w:trPr>
      <w:tc>
        <w:tcPr>
          <w:tcW w:w="2976" w:type="dxa"/>
          <w:vAlign w:val="center"/>
        </w:tcPr>
        <w:p w:rsidR="005C4853" w:rsidRDefault="00E30EFA">
          <w:pPr>
            <w:ind w:right="34"/>
            <w:jc w:val="right"/>
            <w:rPr>
              <w:rFonts w:ascii="Palatino Linotype" w:eastAsia="Palatino Linotype" w:hAnsi="Palatino Linotype" w:cs="Palatino Linotype"/>
              <w:b/>
              <w:bCs/>
            </w:rPr>
          </w:pPr>
          <w:r>
            <w:rPr>
              <w:rFonts w:ascii="Palatino Linotype" w:eastAsia="Palatino Linotype" w:hAnsi="Palatino Linotype" w:cs="Palatino Linotype"/>
              <w:b/>
              <w:bCs/>
            </w:rPr>
            <w:t>Sujeto Obligado:</w:t>
          </w:r>
        </w:p>
      </w:tc>
      <w:tc>
        <w:tcPr>
          <w:tcW w:w="3543" w:type="dxa"/>
          <w:vAlign w:val="center"/>
        </w:tcPr>
        <w:p w:rsidR="005C4853" w:rsidRDefault="00E30EFA">
          <w:pPr>
            <w:pBdr>
              <w:top w:val="nil"/>
              <w:left w:val="nil"/>
              <w:bottom w:val="nil"/>
              <w:right w:val="nil"/>
              <w:between w:val="nil"/>
            </w:pBdr>
            <w:tabs>
              <w:tab w:val="center" w:pos="4419"/>
              <w:tab w:val="right" w:pos="8838"/>
            </w:tabs>
            <w:jc w:val="both"/>
            <w:rPr>
              <w:rFonts w:ascii="Palatino Linotype" w:eastAsia="Palatino Linotype" w:hAnsi="Palatino Linotype" w:cs="Palatino Linotype"/>
              <w:color w:val="000000"/>
              <w:highlight w:val="green"/>
            </w:rPr>
          </w:pPr>
          <w:r>
            <w:rPr>
              <w:rFonts w:ascii="Palatino Linotype" w:eastAsia="Palatino Linotype" w:hAnsi="Palatino Linotype" w:cs="Palatino Linotype"/>
              <w:color w:val="000000"/>
            </w:rPr>
            <w:t>Ayuntamiento de Toluca</w:t>
          </w:r>
        </w:p>
      </w:tc>
    </w:tr>
    <w:tr w:rsidR="005C4853" w:rsidTr="00294684">
      <w:trPr>
        <w:trHeight w:val="342"/>
      </w:trPr>
      <w:tc>
        <w:tcPr>
          <w:tcW w:w="2976" w:type="dxa"/>
          <w:vAlign w:val="center"/>
        </w:tcPr>
        <w:p w:rsidR="005C4853" w:rsidRDefault="00E30EFA">
          <w:pPr>
            <w:ind w:right="34"/>
            <w:jc w:val="right"/>
            <w:rPr>
              <w:rFonts w:ascii="Palatino Linotype" w:eastAsia="Palatino Linotype" w:hAnsi="Palatino Linotype" w:cs="Palatino Linotype"/>
              <w:b/>
              <w:bCs/>
            </w:rPr>
          </w:pPr>
          <w:r>
            <w:rPr>
              <w:rFonts w:ascii="Palatino Linotype" w:eastAsia="Palatino Linotype" w:hAnsi="Palatino Linotype" w:cs="Palatino Linotype"/>
              <w:b/>
              <w:bCs/>
            </w:rPr>
            <w:t>Comisionada Ponente:</w:t>
          </w:r>
        </w:p>
      </w:tc>
      <w:tc>
        <w:tcPr>
          <w:tcW w:w="3543" w:type="dxa"/>
          <w:vAlign w:val="center"/>
        </w:tcPr>
        <w:p w:rsidR="005C4853" w:rsidRDefault="00E30EFA">
          <w:pPr>
            <w:pBdr>
              <w:top w:val="nil"/>
              <w:left w:val="nil"/>
              <w:bottom w:val="nil"/>
              <w:right w:val="nil"/>
              <w:between w:val="nil"/>
            </w:pBdr>
            <w:tabs>
              <w:tab w:val="center" w:pos="4419"/>
              <w:tab w:val="right" w:pos="8838"/>
            </w:tabs>
            <w:rPr>
              <w:rFonts w:ascii="Palatino Linotype" w:eastAsia="Palatino Linotype" w:hAnsi="Palatino Linotype" w:cs="Palatino Linotype"/>
              <w:color w:val="000000"/>
            </w:rPr>
          </w:pPr>
          <w:r>
            <w:rPr>
              <w:rFonts w:ascii="Palatino Linotype" w:eastAsia="Palatino Linotype" w:hAnsi="Palatino Linotype" w:cs="Palatino Linotype"/>
              <w:color w:val="000000"/>
            </w:rPr>
            <w:t>María del Rosario Mejía Ayala</w:t>
          </w:r>
        </w:p>
      </w:tc>
    </w:tr>
  </w:tbl>
  <w:p w:rsidR="005C4853" w:rsidRDefault="002617AF">
    <w:pPr>
      <w:pBdr>
        <w:top w:val="nil"/>
        <w:left w:val="nil"/>
        <w:bottom w:val="nil"/>
        <w:right w:val="nil"/>
        <w:between w:val="nil"/>
      </w:pBdr>
      <w:tabs>
        <w:tab w:val="center" w:pos="4419"/>
        <w:tab w:val="right" w:pos="8838"/>
        <w:tab w:val="left" w:pos="6005"/>
      </w:tabs>
      <w:rPr>
        <w:color w:val="000000"/>
        <w:sz w:val="14"/>
        <w:szCs w:val="14"/>
      </w:rPr>
    </w:pPr>
    <w:r>
      <w:rPr>
        <w:color w:val="000000"/>
        <w:sz w:val="14"/>
        <w:szCs w:val="1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 style="position:absolute;margin-left:-82.3pt;margin-top:-110.1pt;width:609.4pt;height:793.75pt;z-index:-251659776;mso-position-horizontal:absolute;mso-position-horizontal-relative:margin;mso-position-vertical:absolute;mso-position-vertical-relative:margin">
          <v:imagedata r:id="rId1" o:title="image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1"/>
      <w:tblW w:w="6660" w:type="dxa"/>
      <w:tblInd w:w="3261" w:type="dxa"/>
      <w:tblLayout w:type="fixed"/>
      <w:tblLook w:val="0400" w:firstRow="0" w:lastRow="0" w:firstColumn="0" w:lastColumn="0" w:noHBand="0" w:noVBand="1"/>
    </w:tblPr>
    <w:tblGrid>
      <w:gridCol w:w="2977"/>
      <w:gridCol w:w="3683"/>
    </w:tblGrid>
    <w:tr w:rsidR="005C4853" w:rsidTr="00294684">
      <w:trPr>
        <w:trHeight w:val="227"/>
      </w:trPr>
      <w:tc>
        <w:tcPr>
          <w:tcW w:w="2977" w:type="dxa"/>
          <w:vAlign w:val="center"/>
        </w:tcPr>
        <w:p w:rsidR="005C4853" w:rsidRDefault="00E30EFA">
          <w:pPr>
            <w:jc w:val="right"/>
            <w:rPr>
              <w:rFonts w:ascii="Palatino Linotype" w:eastAsia="Palatino Linotype" w:hAnsi="Palatino Linotype" w:cs="Palatino Linotype"/>
              <w:b/>
              <w:bCs/>
            </w:rPr>
          </w:pPr>
          <w:r>
            <w:rPr>
              <w:rFonts w:ascii="Palatino Linotype" w:eastAsia="Palatino Linotype" w:hAnsi="Palatino Linotype" w:cs="Palatino Linotype"/>
              <w:b/>
              <w:bCs/>
            </w:rPr>
            <w:t>Recurso de Revisión:</w:t>
          </w:r>
        </w:p>
      </w:tc>
      <w:tc>
        <w:tcPr>
          <w:tcW w:w="3683" w:type="dxa"/>
          <w:vAlign w:val="center"/>
        </w:tcPr>
        <w:p w:rsidR="005C4853" w:rsidRDefault="00E30EFA">
          <w:pPr>
            <w:pBdr>
              <w:top w:val="nil"/>
              <w:left w:val="nil"/>
              <w:bottom w:val="nil"/>
              <w:right w:val="nil"/>
              <w:between w:val="nil"/>
            </w:pBdr>
            <w:tabs>
              <w:tab w:val="center" w:pos="4419"/>
              <w:tab w:val="right" w:pos="8838"/>
            </w:tabs>
            <w:rPr>
              <w:rFonts w:ascii="Palatino Linotype" w:eastAsia="Palatino Linotype" w:hAnsi="Palatino Linotype" w:cs="Palatino Linotype"/>
              <w:color w:val="000000"/>
              <w:highlight w:val="green"/>
            </w:rPr>
          </w:pPr>
          <w:r>
            <w:rPr>
              <w:rFonts w:ascii="Palatino Linotype" w:eastAsia="Palatino Linotype" w:hAnsi="Palatino Linotype" w:cs="Palatino Linotype"/>
              <w:color w:val="000000"/>
            </w:rPr>
            <w:t>13858/INFOEM/IP/RR/2025</w:t>
          </w:r>
        </w:p>
      </w:tc>
    </w:tr>
    <w:tr w:rsidR="005C4853" w:rsidTr="00294684">
      <w:trPr>
        <w:trHeight w:val="242"/>
      </w:trPr>
      <w:tc>
        <w:tcPr>
          <w:tcW w:w="2977" w:type="dxa"/>
          <w:vAlign w:val="center"/>
        </w:tcPr>
        <w:p w:rsidR="005C4853" w:rsidRDefault="00E30EFA">
          <w:pPr>
            <w:jc w:val="right"/>
            <w:rPr>
              <w:rFonts w:ascii="Palatino Linotype" w:eastAsia="Palatino Linotype" w:hAnsi="Palatino Linotype" w:cs="Palatino Linotype"/>
              <w:b/>
              <w:bCs/>
            </w:rPr>
          </w:pPr>
          <w:r>
            <w:rPr>
              <w:rFonts w:ascii="Palatino Linotype" w:eastAsia="Palatino Linotype" w:hAnsi="Palatino Linotype" w:cs="Palatino Linotype"/>
              <w:b/>
              <w:bCs/>
            </w:rPr>
            <w:t>Recurrente:</w:t>
          </w:r>
        </w:p>
      </w:tc>
      <w:tc>
        <w:tcPr>
          <w:tcW w:w="3683" w:type="dxa"/>
        </w:tcPr>
        <w:p w:rsidR="005C4853" w:rsidRDefault="005C4853">
          <w:pPr>
            <w:pBdr>
              <w:top w:val="nil"/>
              <w:left w:val="nil"/>
              <w:bottom w:val="nil"/>
              <w:right w:val="nil"/>
              <w:between w:val="nil"/>
            </w:pBdr>
            <w:tabs>
              <w:tab w:val="center" w:pos="4419"/>
              <w:tab w:val="right" w:pos="8838"/>
              <w:tab w:val="left" w:pos="521"/>
            </w:tabs>
            <w:ind w:firstLine="720"/>
            <w:rPr>
              <w:rFonts w:ascii="Palatino Linotype" w:eastAsia="Palatino Linotype" w:hAnsi="Palatino Linotype" w:cs="Palatino Linotype"/>
              <w:color w:val="000000"/>
              <w:highlight w:val="green"/>
            </w:rPr>
          </w:pPr>
        </w:p>
      </w:tc>
    </w:tr>
    <w:tr w:rsidR="005C4853" w:rsidTr="00294684">
      <w:trPr>
        <w:trHeight w:val="342"/>
      </w:trPr>
      <w:tc>
        <w:tcPr>
          <w:tcW w:w="2977" w:type="dxa"/>
          <w:vAlign w:val="center"/>
        </w:tcPr>
        <w:p w:rsidR="005C4853" w:rsidRDefault="00E30EFA">
          <w:pPr>
            <w:jc w:val="right"/>
            <w:rPr>
              <w:rFonts w:ascii="Palatino Linotype" w:eastAsia="Palatino Linotype" w:hAnsi="Palatino Linotype" w:cs="Palatino Linotype"/>
              <w:b/>
              <w:bCs/>
            </w:rPr>
          </w:pPr>
          <w:r>
            <w:rPr>
              <w:rFonts w:ascii="Palatino Linotype" w:eastAsia="Palatino Linotype" w:hAnsi="Palatino Linotype" w:cs="Palatino Linotype"/>
              <w:b/>
              <w:bCs/>
            </w:rPr>
            <w:t>Sujeto Obligado:</w:t>
          </w:r>
        </w:p>
      </w:tc>
      <w:tc>
        <w:tcPr>
          <w:tcW w:w="3683" w:type="dxa"/>
          <w:vAlign w:val="center"/>
        </w:tcPr>
        <w:p w:rsidR="005C4853" w:rsidRDefault="00E30EFA">
          <w:pPr>
            <w:pBdr>
              <w:top w:val="nil"/>
              <w:left w:val="nil"/>
              <w:bottom w:val="nil"/>
              <w:right w:val="nil"/>
              <w:between w:val="nil"/>
            </w:pBdr>
            <w:tabs>
              <w:tab w:val="center" w:pos="4419"/>
              <w:tab w:val="right" w:pos="8838"/>
            </w:tabs>
            <w:rPr>
              <w:rFonts w:ascii="Palatino Linotype" w:eastAsia="Palatino Linotype" w:hAnsi="Palatino Linotype" w:cs="Palatino Linotype"/>
              <w:color w:val="000000"/>
              <w:highlight w:val="green"/>
            </w:rPr>
          </w:pPr>
          <w:r>
            <w:rPr>
              <w:rFonts w:ascii="Palatino Linotype" w:eastAsia="Palatino Linotype" w:hAnsi="Palatino Linotype" w:cs="Palatino Linotype"/>
              <w:color w:val="000000"/>
            </w:rPr>
            <w:t>Ayuntamiento de Toluca</w:t>
          </w:r>
        </w:p>
      </w:tc>
    </w:tr>
    <w:tr w:rsidR="005C4853" w:rsidTr="00294684">
      <w:trPr>
        <w:trHeight w:val="342"/>
      </w:trPr>
      <w:tc>
        <w:tcPr>
          <w:tcW w:w="2977" w:type="dxa"/>
          <w:vAlign w:val="center"/>
        </w:tcPr>
        <w:p w:rsidR="005C4853" w:rsidRDefault="00E30EFA">
          <w:pPr>
            <w:jc w:val="right"/>
            <w:rPr>
              <w:rFonts w:ascii="Palatino Linotype" w:eastAsia="Palatino Linotype" w:hAnsi="Palatino Linotype" w:cs="Palatino Linotype"/>
              <w:b/>
              <w:bCs/>
            </w:rPr>
          </w:pPr>
          <w:r>
            <w:rPr>
              <w:rFonts w:ascii="Palatino Linotype" w:eastAsia="Palatino Linotype" w:hAnsi="Palatino Linotype" w:cs="Palatino Linotype"/>
              <w:b/>
              <w:bCs/>
            </w:rPr>
            <w:t>Comisionada Ponente:</w:t>
          </w:r>
        </w:p>
      </w:tc>
      <w:tc>
        <w:tcPr>
          <w:tcW w:w="3683" w:type="dxa"/>
          <w:vAlign w:val="center"/>
        </w:tcPr>
        <w:p w:rsidR="005C4853" w:rsidRDefault="00E30EFA">
          <w:pPr>
            <w:pBdr>
              <w:top w:val="nil"/>
              <w:left w:val="nil"/>
              <w:bottom w:val="nil"/>
              <w:right w:val="nil"/>
              <w:between w:val="nil"/>
            </w:pBdr>
            <w:tabs>
              <w:tab w:val="center" w:pos="4419"/>
              <w:tab w:val="right" w:pos="8838"/>
            </w:tabs>
            <w:rPr>
              <w:rFonts w:ascii="Palatino Linotype" w:eastAsia="Palatino Linotype" w:hAnsi="Palatino Linotype" w:cs="Palatino Linotype"/>
              <w:color w:val="000000"/>
            </w:rPr>
          </w:pPr>
          <w:r>
            <w:rPr>
              <w:rFonts w:ascii="Palatino Linotype" w:eastAsia="Palatino Linotype" w:hAnsi="Palatino Linotype" w:cs="Palatino Linotype"/>
              <w:color w:val="000000"/>
            </w:rPr>
            <w:t>María del Rosario Mejía Ayala</w:t>
          </w:r>
        </w:p>
      </w:tc>
    </w:tr>
  </w:tbl>
  <w:p w:rsidR="005C4853" w:rsidRDefault="002617AF">
    <w:pPr>
      <w:pBdr>
        <w:top w:val="nil"/>
        <w:left w:val="nil"/>
        <w:bottom w:val="nil"/>
        <w:right w:val="nil"/>
        <w:between w:val="nil"/>
      </w:pBdr>
      <w:tabs>
        <w:tab w:val="center" w:pos="4419"/>
        <w:tab w:val="right" w:pos="8838"/>
      </w:tabs>
      <w:rPr>
        <w:color w:val="000000"/>
        <w:sz w:val="16"/>
        <w:szCs w:val="16"/>
      </w:rPr>
    </w:pPr>
    <w:r>
      <w:rPr>
        <w:color w:val="000000"/>
        <w:sz w:val="16"/>
        <w:szCs w:val="1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0" type="#_x0000_t75" alt="" style="position:absolute;margin-left:-84.55pt;margin-top:-132.2pt;width:609.4pt;height:793.75pt;z-index:-251658752;mso-position-horizontal:absolute;mso-position-horizontal-relative:margin;mso-position-vertical:absolute;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C47140"/>
    <w:multiLevelType w:val="multilevel"/>
    <w:tmpl w:val="CB2C0424"/>
    <w:lvl w:ilvl="0">
      <w:start w:val="1"/>
      <w:numFmt w:val="bullet"/>
      <w:lvlText w:val="●"/>
      <w:lvlJc w:val="left"/>
      <w:pPr>
        <w:ind w:left="1069" w:hanging="360"/>
      </w:pPr>
      <w:rPr>
        <w:rFonts w:ascii="Noto Sans Symbols" w:eastAsia="Noto Sans Symbols" w:hAnsi="Noto Sans Symbols" w:cs="Noto Sans Symbols"/>
      </w:rPr>
    </w:lvl>
    <w:lvl w:ilvl="1">
      <w:start w:val="1"/>
      <w:numFmt w:val="bullet"/>
      <w:lvlText w:val="o"/>
      <w:lvlJc w:val="left"/>
      <w:pPr>
        <w:ind w:left="1789" w:hanging="360"/>
      </w:pPr>
      <w:rPr>
        <w:rFonts w:ascii="Courier New" w:eastAsia="Courier New" w:hAnsi="Courier New" w:cs="Courier New"/>
      </w:rPr>
    </w:lvl>
    <w:lvl w:ilvl="2">
      <w:start w:val="1"/>
      <w:numFmt w:val="bullet"/>
      <w:lvlText w:val="▪"/>
      <w:lvlJc w:val="left"/>
      <w:pPr>
        <w:ind w:left="2509" w:hanging="360"/>
      </w:pPr>
      <w:rPr>
        <w:rFonts w:ascii="Noto Sans Symbols" w:eastAsia="Noto Sans Symbols" w:hAnsi="Noto Sans Symbols" w:cs="Noto Sans Symbols"/>
      </w:rPr>
    </w:lvl>
    <w:lvl w:ilvl="3">
      <w:start w:val="1"/>
      <w:numFmt w:val="bullet"/>
      <w:lvlText w:val="●"/>
      <w:lvlJc w:val="left"/>
      <w:pPr>
        <w:ind w:left="3229" w:hanging="360"/>
      </w:pPr>
      <w:rPr>
        <w:rFonts w:ascii="Noto Sans Symbols" w:eastAsia="Noto Sans Symbols" w:hAnsi="Noto Sans Symbols" w:cs="Noto Sans Symbols"/>
      </w:rPr>
    </w:lvl>
    <w:lvl w:ilvl="4">
      <w:start w:val="1"/>
      <w:numFmt w:val="bullet"/>
      <w:lvlText w:val="o"/>
      <w:lvlJc w:val="left"/>
      <w:pPr>
        <w:ind w:left="3949" w:hanging="360"/>
      </w:pPr>
      <w:rPr>
        <w:rFonts w:ascii="Courier New" w:eastAsia="Courier New" w:hAnsi="Courier New" w:cs="Courier New"/>
      </w:rPr>
    </w:lvl>
    <w:lvl w:ilvl="5">
      <w:start w:val="1"/>
      <w:numFmt w:val="bullet"/>
      <w:lvlText w:val="▪"/>
      <w:lvlJc w:val="left"/>
      <w:pPr>
        <w:ind w:left="4669" w:hanging="360"/>
      </w:pPr>
      <w:rPr>
        <w:rFonts w:ascii="Noto Sans Symbols" w:eastAsia="Noto Sans Symbols" w:hAnsi="Noto Sans Symbols" w:cs="Noto Sans Symbols"/>
      </w:rPr>
    </w:lvl>
    <w:lvl w:ilvl="6">
      <w:start w:val="1"/>
      <w:numFmt w:val="bullet"/>
      <w:lvlText w:val="●"/>
      <w:lvlJc w:val="left"/>
      <w:pPr>
        <w:ind w:left="5389" w:hanging="360"/>
      </w:pPr>
      <w:rPr>
        <w:rFonts w:ascii="Noto Sans Symbols" w:eastAsia="Noto Sans Symbols" w:hAnsi="Noto Sans Symbols" w:cs="Noto Sans Symbols"/>
      </w:rPr>
    </w:lvl>
    <w:lvl w:ilvl="7">
      <w:start w:val="1"/>
      <w:numFmt w:val="bullet"/>
      <w:lvlText w:val="o"/>
      <w:lvlJc w:val="left"/>
      <w:pPr>
        <w:ind w:left="6109" w:hanging="360"/>
      </w:pPr>
      <w:rPr>
        <w:rFonts w:ascii="Courier New" w:eastAsia="Courier New" w:hAnsi="Courier New" w:cs="Courier New"/>
      </w:rPr>
    </w:lvl>
    <w:lvl w:ilvl="8">
      <w:start w:val="1"/>
      <w:numFmt w:val="bullet"/>
      <w:lvlText w:val="▪"/>
      <w:lvlJc w:val="left"/>
      <w:pPr>
        <w:ind w:left="6829" w:hanging="360"/>
      </w:pPr>
      <w:rPr>
        <w:rFonts w:ascii="Noto Sans Symbols" w:eastAsia="Noto Sans Symbols" w:hAnsi="Noto Sans Symbols" w:cs="Noto Sans Symbols"/>
      </w:rPr>
    </w:lvl>
  </w:abstractNum>
  <w:abstractNum w:abstractNumId="1" w15:restartNumberingAfterBreak="0">
    <w:nsid w:val="0812466E"/>
    <w:multiLevelType w:val="multilevel"/>
    <w:tmpl w:val="609A657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4890B8E"/>
    <w:multiLevelType w:val="multilevel"/>
    <w:tmpl w:val="C7967362"/>
    <w:lvl w:ilvl="0">
      <w:start w:val="1"/>
      <w:numFmt w:val="bullet"/>
      <w:lvlText w:val=""/>
      <w:lvlJc w:val="left"/>
      <w:pPr>
        <w:ind w:left="720" w:hanging="360"/>
      </w:pPr>
      <w:rPr>
        <w:rFonts w:ascii="Symbol" w:hAnsi="Symbol" w:hint="default"/>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1DD70900"/>
    <w:multiLevelType w:val="multilevel"/>
    <w:tmpl w:val="090EB1BE"/>
    <w:lvl w:ilvl="0">
      <w:start w:val="1"/>
      <w:numFmt w:val="lowerLetter"/>
      <w:lvlText w:val="%1)"/>
      <w:lvlJc w:val="left"/>
      <w:pPr>
        <w:ind w:left="709" w:hanging="422"/>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1C17764"/>
    <w:multiLevelType w:val="multilevel"/>
    <w:tmpl w:val="1570C090"/>
    <w:lvl w:ilvl="0">
      <w:start w:val="1"/>
      <w:numFmt w:val="decimal"/>
      <w:lvlText w:val="%1."/>
      <w:lvlJc w:val="left"/>
      <w:pPr>
        <w:ind w:left="644" w:hanging="359"/>
      </w:pPr>
      <w:rPr>
        <w:rFonts w:ascii="Palatino Linotype" w:eastAsia="Palatino Linotype" w:hAnsi="Palatino Linotype" w:cs="Palatino Linotype"/>
        <w:b/>
        <w:bCs/>
        <w:i w:val="0"/>
        <w:iCs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48B06FA"/>
    <w:multiLevelType w:val="multilevel"/>
    <w:tmpl w:val="A134E9D4"/>
    <w:lvl w:ilvl="0">
      <w:start w:val="1"/>
      <w:numFmt w:val="lowerLetter"/>
      <w:lvlText w:val="%1)"/>
      <w:lvlJc w:val="left"/>
      <w:pPr>
        <w:ind w:left="709" w:hanging="422"/>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B9338F6"/>
    <w:multiLevelType w:val="multilevel"/>
    <w:tmpl w:val="0768A0D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432A72D3"/>
    <w:multiLevelType w:val="multilevel"/>
    <w:tmpl w:val="B2A048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5E0E0B97"/>
    <w:multiLevelType w:val="multilevel"/>
    <w:tmpl w:val="92265B5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78CF7B05"/>
    <w:multiLevelType w:val="multilevel"/>
    <w:tmpl w:val="A08ED7C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7E67093E"/>
    <w:multiLevelType w:val="multilevel"/>
    <w:tmpl w:val="776AA8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0"/>
  </w:num>
  <w:num w:numId="2">
    <w:abstractNumId w:val="4"/>
  </w:num>
  <w:num w:numId="3">
    <w:abstractNumId w:val="9"/>
  </w:num>
  <w:num w:numId="4">
    <w:abstractNumId w:val="8"/>
  </w:num>
  <w:num w:numId="5">
    <w:abstractNumId w:val="5"/>
  </w:num>
  <w:num w:numId="6">
    <w:abstractNumId w:val="0"/>
  </w:num>
  <w:num w:numId="7">
    <w:abstractNumId w:val="3"/>
  </w:num>
  <w:num w:numId="8">
    <w:abstractNumId w:val="6"/>
  </w:num>
  <w:num w:numId="9">
    <w:abstractNumId w:val="1"/>
  </w:num>
  <w:num w:numId="10">
    <w:abstractNumId w:val="7"/>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TrueTypeFonts/>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4853"/>
    <w:rsid w:val="00063F3B"/>
    <w:rsid w:val="000E6308"/>
    <w:rsid w:val="00222130"/>
    <w:rsid w:val="002617AF"/>
    <w:rsid w:val="00294684"/>
    <w:rsid w:val="00352104"/>
    <w:rsid w:val="003C6A99"/>
    <w:rsid w:val="005757D6"/>
    <w:rsid w:val="005C4853"/>
    <w:rsid w:val="008266A0"/>
    <w:rsid w:val="00B30F25"/>
    <w:rsid w:val="00D92F23"/>
    <w:rsid w:val="00E30EFA"/>
    <w:rsid w:val="00F6504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0EAC74AB-5FEA-4E77-9D00-90F3F70096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4"/>
        <w:szCs w:val="24"/>
        <w:lang w:val="es-ES_tradnl"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240"/>
      <w:outlineLvl w:val="0"/>
    </w:pPr>
    <w:rPr>
      <w:color w:val="2F5496"/>
      <w:sz w:val="32"/>
      <w:szCs w:val="32"/>
    </w:rPr>
  </w:style>
  <w:style w:type="paragraph" w:styleId="Ttulo2">
    <w:name w:val="heading 2"/>
    <w:basedOn w:val="Normal"/>
    <w:next w:val="Normal"/>
    <w:pPr>
      <w:keepNext/>
      <w:keepLines/>
      <w:spacing w:before="40"/>
      <w:outlineLvl w:val="1"/>
    </w:pPr>
    <w:rPr>
      <w:color w:val="2F5496"/>
      <w:sz w:val="26"/>
      <w:szCs w:val="26"/>
    </w:rPr>
  </w:style>
  <w:style w:type="paragraph" w:styleId="Ttulo3">
    <w:name w:val="heading 3"/>
    <w:basedOn w:val="Normal"/>
    <w:next w:val="Normal"/>
    <w:pPr>
      <w:keepNext/>
      <w:keepLines/>
      <w:spacing w:before="280" w:after="80"/>
      <w:outlineLvl w:val="2"/>
    </w:pPr>
    <w:rPr>
      <w:b/>
      <w:bCs/>
      <w:sz w:val="28"/>
      <w:szCs w:val="28"/>
    </w:rPr>
  </w:style>
  <w:style w:type="paragraph" w:styleId="Ttulo4">
    <w:name w:val="heading 4"/>
    <w:basedOn w:val="Normal"/>
    <w:next w:val="Normal"/>
    <w:pPr>
      <w:keepNext/>
      <w:keepLines/>
      <w:spacing w:before="240" w:after="40"/>
      <w:outlineLvl w:val="3"/>
    </w:pPr>
    <w:rPr>
      <w:b/>
      <w:bCs/>
    </w:rPr>
  </w:style>
  <w:style w:type="paragraph" w:styleId="Ttulo5">
    <w:name w:val="heading 5"/>
    <w:basedOn w:val="Normal"/>
    <w:next w:val="Normal"/>
    <w:pPr>
      <w:keepNext/>
      <w:keepLines/>
      <w:spacing w:before="220" w:after="40"/>
      <w:outlineLvl w:val="4"/>
    </w:pPr>
    <w:rPr>
      <w:b/>
      <w:bCs/>
      <w:sz w:val="22"/>
      <w:szCs w:val="22"/>
    </w:rPr>
  </w:style>
  <w:style w:type="paragraph" w:styleId="Ttulo6">
    <w:name w:val="heading 6"/>
    <w:basedOn w:val="Normal"/>
    <w:next w:val="Normal"/>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keepNext/>
      <w:keepLines/>
      <w:spacing w:before="480" w:after="120"/>
    </w:pPr>
    <w:rPr>
      <w:b/>
      <w:bCs/>
      <w:sz w:val="72"/>
      <w:szCs w:val="72"/>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tblPr>
      <w:tblStyleRowBandSize w:val="1"/>
      <w:tblStyleColBandSize w:val="1"/>
      <w:tblCellMar>
        <w:top w:w="0" w:type="dxa"/>
        <w:left w:w="70" w:type="dxa"/>
        <w:bottom w:w="0" w:type="dxa"/>
        <w:right w:w="70" w:type="dxa"/>
      </w:tblCellMar>
    </w:tblPr>
  </w:style>
  <w:style w:type="table" w:customStyle="1" w:styleId="a1">
    <w:basedOn w:val="TableNormal"/>
    <w:tblPr>
      <w:tblStyleRowBandSize w:val="1"/>
      <w:tblStyleColBandSize w:val="1"/>
      <w:tblCellMar>
        <w:top w:w="0" w:type="dxa"/>
        <w:left w:w="70" w:type="dxa"/>
        <w:bottom w:w="0" w:type="dxa"/>
        <w:right w:w="70" w:type="dxa"/>
      </w:tblCellMar>
    </w:tblPr>
  </w:style>
  <w:style w:type="paragraph" w:styleId="Prrafodelista">
    <w:name w:val="List Paragraph"/>
    <w:basedOn w:val="Normal"/>
    <w:uiPriority w:val="34"/>
    <w:qFormat/>
    <w:rsid w:val="003C6A99"/>
    <w:pPr>
      <w:ind w:left="720"/>
      <w:contextualSpacing/>
    </w:pPr>
  </w:style>
  <w:style w:type="paragraph" w:styleId="Piedepgina">
    <w:name w:val="footer"/>
    <w:basedOn w:val="Normal"/>
    <w:link w:val="PiedepginaCar"/>
    <w:uiPriority w:val="99"/>
    <w:unhideWhenUsed/>
    <w:rsid w:val="00294684"/>
    <w:pPr>
      <w:tabs>
        <w:tab w:val="center" w:pos="4419"/>
        <w:tab w:val="right" w:pos="8838"/>
      </w:tabs>
    </w:pPr>
  </w:style>
  <w:style w:type="character" w:customStyle="1" w:styleId="PiedepginaCar">
    <w:name w:val="Pie de página Car"/>
    <w:basedOn w:val="Fuentedeprrafopredeter"/>
    <w:link w:val="Piedepgina"/>
    <w:uiPriority w:val="99"/>
    <w:rsid w:val="002946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notes.xml.rels><?xml version="1.0" encoding="UTF-8" standalone="yes"?>
<Relationships xmlns="http://schemas.openxmlformats.org/package/2006/relationships"><Relationship Id="rId1" Type="http://schemas.openxmlformats.org/officeDocument/2006/relationships/hyperlink" Target="http://www.oas.org/es/cidh/expresion/documentos_basicos/declaraciones.asp"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nKXk2pMCWHLPnJr94glySSyYvPg==">CgMxLjAyDmguNHhyOTRkN2FuYTZyMghoLmdqZGd4czIJaC4zMGowemxsMgloLjN6bnlzaDcyCWguMmV0OTJwMDIIaC50eWpjd3QyDmguN25nNXNxeGNxOWdkMg5oLnN2ZW5jeXIzd3cyaTIOaC5ieWttemZtdDByYTQyDmguNXJ6YXAzM2MxdTl1Mg5oLnlic2ZrN3U2ZmdtaTgAciExMll6bGtaS1FtdkU3YnRjeUdaNE1HaktHN05pb1EyRG4=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33</Pages>
  <Words>6804</Words>
  <Characters>37422</Characters>
  <Application>Microsoft Office Word</Application>
  <DocSecurity>0</DocSecurity>
  <Lines>311</Lines>
  <Paragraphs>88</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44138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Cuenta Microsoft</cp:lastModifiedBy>
  <cp:revision>7</cp:revision>
  <cp:lastPrinted>2026-05-21T23:25:00Z</cp:lastPrinted>
  <dcterms:created xsi:type="dcterms:W3CDTF">2026-05-18T20:48:00Z</dcterms:created>
  <dcterms:modified xsi:type="dcterms:W3CDTF">2026-05-27T17:26:00Z</dcterms:modified>
</cp:coreProperties>
</file>