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658F" w14:textId="2FE9AA1E"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A800CD" w:rsidRPr="001070AF">
        <w:rPr>
          <w:rFonts w:ascii="Palatino Linotype" w:eastAsia="Palatino Linotype" w:hAnsi="Palatino Linotype" w:cs="Palatino Linotype"/>
          <w:b/>
          <w:sz w:val="22"/>
          <w:szCs w:val="22"/>
        </w:rPr>
        <w:t>cinco de marzo</w:t>
      </w:r>
      <w:r w:rsidR="00C268D5" w:rsidRPr="001070AF">
        <w:rPr>
          <w:rFonts w:ascii="Palatino Linotype" w:eastAsia="Palatino Linotype" w:hAnsi="Palatino Linotype" w:cs="Palatino Linotype"/>
          <w:b/>
          <w:sz w:val="22"/>
          <w:szCs w:val="22"/>
        </w:rPr>
        <w:t xml:space="preserve"> de dos mil veintiséis</w:t>
      </w:r>
      <w:r w:rsidRPr="001070AF">
        <w:rPr>
          <w:rFonts w:ascii="Palatino Linotype" w:eastAsia="Palatino Linotype" w:hAnsi="Palatino Linotype" w:cs="Palatino Linotype"/>
          <w:sz w:val="22"/>
          <w:szCs w:val="22"/>
        </w:rPr>
        <w:t xml:space="preserve">. </w:t>
      </w:r>
    </w:p>
    <w:p w14:paraId="6C7145F3"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p w14:paraId="0BA2F2E2" w14:textId="268FACED"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Vistos</w:t>
      </w:r>
      <w:r w:rsidRPr="001070AF">
        <w:rPr>
          <w:rFonts w:ascii="Palatino Linotype" w:eastAsia="Palatino Linotype" w:hAnsi="Palatino Linotype" w:cs="Palatino Linotype"/>
          <w:sz w:val="22"/>
          <w:szCs w:val="22"/>
        </w:rPr>
        <w:t xml:space="preserve"> los expedientes formados con motivo de los recursos de revisión </w:t>
      </w:r>
      <w:r w:rsidR="00A800CD" w:rsidRPr="001070AF">
        <w:rPr>
          <w:rFonts w:ascii="Palatino Linotype" w:eastAsia="Palatino Linotype" w:hAnsi="Palatino Linotype" w:cs="Palatino Linotype"/>
          <w:b/>
          <w:sz w:val="22"/>
          <w:szCs w:val="22"/>
        </w:rPr>
        <w:t>10799</w:t>
      </w:r>
      <w:r w:rsidR="00222407" w:rsidRPr="001070AF">
        <w:rPr>
          <w:rFonts w:ascii="Palatino Linotype" w:eastAsia="Palatino Linotype" w:hAnsi="Palatino Linotype" w:cs="Palatino Linotype"/>
          <w:b/>
          <w:sz w:val="22"/>
          <w:szCs w:val="22"/>
        </w:rPr>
        <w:t>/INFOEM/IP/RR/202</w:t>
      </w:r>
      <w:r w:rsidR="001D5210" w:rsidRPr="001070AF">
        <w:rPr>
          <w:rFonts w:ascii="Palatino Linotype" w:eastAsia="Palatino Linotype" w:hAnsi="Palatino Linotype" w:cs="Palatino Linotype"/>
          <w:b/>
          <w:sz w:val="22"/>
          <w:szCs w:val="22"/>
        </w:rPr>
        <w:t>5</w:t>
      </w:r>
      <w:r w:rsidR="00222407"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b/>
          <w:sz w:val="22"/>
          <w:szCs w:val="22"/>
        </w:rPr>
        <w:t xml:space="preserve">y </w:t>
      </w:r>
      <w:r w:rsidR="00A800CD" w:rsidRPr="001070AF">
        <w:rPr>
          <w:rFonts w:ascii="Palatino Linotype" w:eastAsia="Palatino Linotype" w:hAnsi="Palatino Linotype" w:cs="Palatino Linotype"/>
          <w:b/>
          <w:sz w:val="22"/>
          <w:szCs w:val="22"/>
        </w:rPr>
        <w:t>10800</w:t>
      </w:r>
      <w:r w:rsidRPr="001070AF">
        <w:rPr>
          <w:rFonts w:ascii="Palatino Linotype" w:eastAsia="Palatino Linotype" w:hAnsi="Palatino Linotype" w:cs="Palatino Linotype"/>
          <w:b/>
          <w:sz w:val="22"/>
          <w:szCs w:val="22"/>
        </w:rPr>
        <w:t>/INFOEM/IP/RR/202</w:t>
      </w:r>
      <w:r w:rsidR="001D5210" w:rsidRPr="001070AF">
        <w:rPr>
          <w:rFonts w:ascii="Palatino Linotype" w:eastAsia="Palatino Linotype" w:hAnsi="Palatino Linotype" w:cs="Palatino Linotype"/>
          <w:b/>
          <w:sz w:val="22"/>
          <w:szCs w:val="22"/>
        </w:rPr>
        <w:t>5</w:t>
      </w:r>
      <w:r w:rsidRPr="001070AF">
        <w:rPr>
          <w:rFonts w:ascii="Palatino Linotype" w:eastAsia="Palatino Linotype" w:hAnsi="Palatino Linotype" w:cs="Palatino Linotype"/>
          <w:b/>
          <w:sz w:val="22"/>
          <w:szCs w:val="22"/>
        </w:rPr>
        <w:t xml:space="preserve"> acumulados, </w:t>
      </w:r>
      <w:r w:rsidRPr="001070AF">
        <w:rPr>
          <w:rFonts w:ascii="Palatino Linotype" w:eastAsia="Palatino Linotype" w:hAnsi="Palatino Linotype" w:cs="Palatino Linotype"/>
          <w:sz w:val="22"/>
          <w:szCs w:val="22"/>
        </w:rPr>
        <w:t>interpuestos por</w:t>
      </w:r>
      <w:r w:rsidRPr="001070AF">
        <w:rPr>
          <w:rFonts w:ascii="Palatino Linotype" w:eastAsia="Palatino Linotype" w:hAnsi="Palatino Linotype" w:cs="Palatino Linotype"/>
          <w:b/>
          <w:sz w:val="22"/>
          <w:szCs w:val="22"/>
        </w:rPr>
        <w:t xml:space="preserve"> </w:t>
      </w:r>
      <w:r w:rsidR="00014FC7" w:rsidRPr="00014FC7">
        <w:rPr>
          <w:rFonts w:ascii="Palatino Linotype" w:eastAsia="Palatino Linotype" w:hAnsi="Palatino Linotype" w:cs="Palatino Linotype"/>
          <w:b/>
          <w:sz w:val="22"/>
          <w:szCs w:val="22"/>
        </w:rPr>
        <w:t>XXXXX XXXXXX XXXXXXXX</w:t>
      </w:r>
      <w:r w:rsidRPr="00014FC7">
        <w:rPr>
          <w:rFonts w:ascii="Palatino Linotype" w:eastAsia="Palatino Linotype" w:hAnsi="Palatino Linotype" w:cs="Palatino Linotype"/>
          <w:b/>
          <w:sz w:val="22"/>
          <w:szCs w:val="22"/>
        </w:rPr>
        <w:t>,</w:t>
      </w:r>
      <w:bookmarkStart w:id="0" w:name="_GoBack"/>
      <w:bookmarkEnd w:id="0"/>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quien en lo sucesivo</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será identificado como la parte</w:t>
      </w:r>
      <w:r w:rsidRPr="001070AF">
        <w:rPr>
          <w:rFonts w:ascii="Palatino Linotype" w:eastAsia="Palatino Linotype" w:hAnsi="Palatino Linotype" w:cs="Palatino Linotype"/>
          <w:b/>
          <w:sz w:val="22"/>
          <w:szCs w:val="22"/>
        </w:rPr>
        <w:t xml:space="preserve"> Recurrente,</w:t>
      </w:r>
      <w:r w:rsidRPr="001070AF">
        <w:rPr>
          <w:rFonts w:ascii="Palatino Linotype" w:eastAsia="Palatino Linotype" w:hAnsi="Palatino Linotype" w:cs="Palatino Linotype"/>
          <w:sz w:val="22"/>
          <w:szCs w:val="22"/>
        </w:rPr>
        <w:t xml:space="preserve"> en contra de las respuestas en las solicitudes de </w:t>
      </w:r>
      <w:r w:rsidR="00C268D5" w:rsidRPr="001070AF">
        <w:rPr>
          <w:rFonts w:ascii="Palatino Linotype" w:eastAsia="Palatino Linotype" w:hAnsi="Palatino Linotype" w:cs="Palatino Linotype"/>
          <w:sz w:val="22"/>
          <w:szCs w:val="22"/>
        </w:rPr>
        <w:t>información con número de folio</w:t>
      </w:r>
      <w:r w:rsidR="001D5210" w:rsidRPr="001070AF">
        <w:rPr>
          <w:rFonts w:ascii="Palatino Linotype" w:eastAsia="Palatino Linotype" w:hAnsi="Palatino Linotype" w:cs="Palatino Linotype"/>
          <w:b/>
          <w:sz w:val="22"/>
          <w:szCs w:val="22"/>
        </w:rPr>
        <w:t xml:space="preserve"> </w:t>
      </w:r>
      <w:r w:rsidR="00A800CD" w:rsidRPr="001070AF">
        <w:rPr>
          <w:rFonts w:ascii="Palatino Linotype" w:eastAsia="Palatino Linotype" w:hAnsi="Palatino Linotype" w:cs="Palatino Linotype"/>
          <w:b/>
          <w:sz w:val="22"/>
          <w:szCs w:val="22"/>
        </w:rPr>
        <w:t xml:space="preserve"> 00692/ECATEPEC/IP/2025</w:t>
      </w:r>
      <w:r w:rsidR="001D5210"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b/>
          <w:sz w:val="22"/>
          <w:szCs w:val="22"/>
        </w:rPr>
        <w:t>y</w:t>
      </w:r>
      <w:r w:rsidR="001D5210" w:rsidRPr="001070AF">
        <w:rPr>
          <w:rFonts w:ascii="Palatino Linotype" w:eastAsia="Palatino Linotype" w:hAnsi="Palatino Linotype" w:cs="Palatino Linotype"/>
          <w:b/>
          <w:sz w:val="22"/>
          <w:szCs w:val="22"/>
        </w:rPr>
        <w:t xml:space="preserve"> </w:t>
      </w:r>
      <w:r w:rsidR="00A800CD" w:rsidRPr="001070AF">
        <w:rPr>
          <w:rFonts w:ascii="Palatino Linotype" w:eastAsia="Palatino Linotype" w:hAnsi="Palatino Linotype" w:cs="Palatino Linotype"/>
          <w:b/>
          <w:sz w:val="22"/>
          <w:szCs w:val="22"/>
        </w:rPr>
        <w:t>00693/ECATEPEC/IP/2025</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por parte</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 xml:space="preserve">del </w:t>
      </w:r>
      <w:r w:rsidR="00A800CD" w:rsidRPr="001070AF">
        <w:rPr>
          <w:rFonts w:ascii="Palatino Linotype" w:eastAsia="Palatino Linotype" w:hAnsi="Palatino Linotype" w:cs="Palatino Linotype"/>
          <w:b/>
          <w:sz w:val="22"/>
          <w:szCs w:val="22"/>
        </w:rPr>
        <w:t>Ayuntamiento de Ecatepec de Morelos</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 xml:space="preserve">en lo sucesivo el </w:t>
      </w:r>
      <w:r w:rsidRPr="001070AF">
        <w:rPr>
          <w:rFonts w:ascii="Palatino Linotype" w:eastAsia="Palatino Linotype" w:hAnsi="Palatino Linotype" w:cs="Palatino Linotype"/>
          <w:b/>
          <w:sz w:val="22"/>
          <w:szCs w:val="22"/>
        </w:rPr>
        <w:t xml:space="preserve">Sujeto Obligado, </w:t>
      </w:r>
      <w:r w:rsidRPr="001070AF">
        <w:rPr>
          <w:rFonts w:ascii="Palatino Linotype" w:eastAsia="Palatino Linotype" w:hAnsi="Palatino Linotype" w:cs="Palatino Linotype"/>
          <w:sz w:val="22"/>
          <w:szCs w:val="22"/>
        </w:rPr>
        <w:t xml:space="preserve">se procede a dictar la presente resolución con base en los siguientes: </w:t>
      </w:r>
    </w:p>
    <w:p w14:paraId="5095624E" w14:textId="77777777" w:rsidR="005654BC" w:rsidRPr="001070AF" w:rsidRDefault="005654BC" w:rsidP="00450366">
      <w:pPr>
        <w:spacing w:line="360" w:lineRule="auto"/>
        <w:jc w:val="both"/>
        <w:rPr>
          <w:rFonts w:ascii="Palatino Linotype" w:eastAsia="Palatino Linotype" w:hAnsi="Palatino Linotype" w:cs="Palatino Linotype"/>
          <w:b/>
          <w:sz w:val="22"/>
          <w:szCs w:val="22"/>
        </w:rPr>
      </w:pPr>
    </w:p>
    <w:p w14:paraId="054C71C4"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I. A N T E C E D E N T E S</w:t>
      </w:r>
    </w:p>
    <w:p w14:paraId="0DE91AE3" w14:textId="77777777" w:rsidR="005654BC" w:rsidRPr="001070AF" w:rsidRDefault="005654BC" w:rsidP="00450366">
      <w:pPr>
        <w:spacing w:line="360" w:lineRule="auto"/>
        <w:jc w:val="both"/>
        <w:rPr>
          <w:rFonts w:ascii="Palatino Linotype" w:eastAsia="Palatino Linotype" w:hAnsi="Palatino Linotype" w:cs="Palatino Linotype"/>
          <w:b/>
          <w:sz w:val="22"/>
          <w:szCs w:val="22"/>
        </w:rPr>
      </w:pPr>
    </w:p>
    <w:p w14:paraId="60B51F61" w14:textId="15110BAA"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1. Solicitudes de acceso a la información.</w:t>
      </w:r>
      <w:r w:rsidRPr="001070AF">
        <w:rPr>
          <w:rFonts w:ascii="Palatino Linotype" w:eastAsia="Palatino Linotype" w:hAnsi="Palatino Linotype" w:cs="Palatino Linotype"/>
          <w:sz w:val="22"/>
          <w:szCs w:val="22"/>
        </w:rPr>
        <w:t xml:space="preserve"> </w:t>
      </w:r>
      <w:r w:rsidR="000A500F" w:rsidRPr="001070AF">
        <w:rPr>
          <w:rFonts w:ascii="Palatino Linotype" w:eastAsia="Palatino Linotype" w:hAnsi="Palatino Linotype" w:cs="Palatino Linotype"/>
          <w:sz w:val="22"/>
          <w:szCs w:val="22"/>
        </w:rPr>
        <w:t>El d</w:t>
      </w:r>
      <w:r w:rsidRPr="001070AF">
        <w:rPr>
          <w:rFonts w:ascii="Palatino Linotype" w:eastAsia="Palatino Linotype" w:hAnsi="Palatino Linotype" w:cs="Palatino Linotype"/>
          <w:sz w:val="22"/>
          <w:szCs w:val="22"/>
        </w:rPr>
        <w:t xml:space="preserve">ía </w:t>
      </w:r>
      <w:r w:rsidR="00A800CD" w:rsidRPr="001070AF">
        <w:rPr>
          <w:rFonts w:ascii="Palatino Linotype" w:eastAsia="Palatino Linotype" w:hAnsi="Palatino Linotype" w:cs="Palatino Linotype"/>
          <w:b/>
          <w:sz w:val="22"/>
          <w:szCs w:val="22"/>
        </w:rPr>
        <w:t>veintidós de agosto</w:t>
      </w:r>
      <w:r w:rsidR="001D5210" w:rsidRPr="001070AF">
        <w:rPr>
          <w:rFonts w:ascii="Palatino Linotype" w:eastAsia="Palatino Linotype" w:hAnsi="Palatino Linotype" w:cs="Palatino Linotype"/>
          <w:b/>
          <w:sz w:val="22"/>
          <w:szCs w:val="22"/>
        </w:rPr>
        <w:t xml:space="preserve"> de dos mil veinticinco</w:t>
      </w:r>
      <w:r w:rsidRPr="001070AF">
        <w:rPr>
          <w:rFonts w:ascii="Palatino Linotype" w:eastAsia="Palatino Linotype" w:hAnsi="Palatino Linotype" w:cs="Palatino Linotype"/>
          <w:b/>
          <w:sz w:val="22"/>
          <w:szCs w:val="22"/>
        </w:rPr>
        <w:t>,</w:t>
      </w: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Cs/>
          <w:sz w:val="22"/>
          <w:szCs w:val="22"/>
        </w:rPr>
        <w:t>la parte</w:t>
      </w: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
          <w:sz w:val="22"/>
          <w:szCs w:val="22"/>
        </w:rPr>
        <w:t xml:space="preserve">Recurrente </w:t>
      </w:r>
      <w:r w:rsidRPr="001070AF">
        <w:rPr>
          <w:rFonts w:ascii="Palatino Linotype" w:eastAsia="Palatino Linotype" w:hAnsi="Palatino Linotype" w:cs="Palatino Linotype"/>
          <w:sz w:val="22"/>
          <w:szCs w:val="22"/>
        </w:rPr>
        <w:t xml:space="preserve">formuló </w:t>
      </w:r>
      <w:r w:rsidR="000A500F" w:rsidRPr="001070AF">
        <w:rPr>
          <w:rFonts w:ascii="Palatino Linotype" w:eastAsia="Palatino Linotype" w:hAnsi="Palatino Linotype" w:cs="Palatino Linotype"/>
          <w:sz w:val="22"/>
          <w:szCs w:val="22"/>
        </w:rPr>
        <w:t xml:space="preserve">las </w:t>
      </w:r>
      <w:r w:rsidRPr="001070AF">
        <w:rPr>
          <w:rFonts w:ascii="Palatino Linotype" w:eastAsia="Palatino Linotype" w:hAnsi="Palatino Linotype" w:cs="Palatino Linotype"/>
          <w:sz w:val="22"/>
          <w:szCs w:val="22"/>
        </w:rPr>
        <w:t xml:space="preserve">solicitudes de acceso a </w:t>
      </w:r>
      <w:r w:rsidR="00222407" w:rsidRPr="001070AF">
        <w:rPr>
          <w:rFonts w:ascii="Palatino Linotype" w:eastAsia="Palatino Linotype" w:hAnsi="Palatino Linotype" w:cs="Palatino Linotype"/>
          <w:sz w:val="22"/>
          <w:szCs w:val="22"/>
        </w:rPr>
        <w:t>información pública a través del</w:t>
      </w:r>
      <w:r w:rsidRPr="001070AF">
        <w:rPr>
          <w:rFonts w:ascii="Palatino Linotype" w:eastAsia="Palatino Linotype" w:hAnsi="Palatino Linotype" w:cs="Palatino Linotype"/>
          <w:sz w:val="22"/>
          <w:szCs w:val="22"/>
        </w:rPr>
        <w:t xml:space="preserve"> Sistema de Acceso a la Información Mexiquense (</w:t>
      </w:r>
      <w:r w:rsidRPr="001070AF">
        <w:rPr>
          <w:rFonts w:ascii="Palatino Linotype" w:eastAsia="Palatino Linotype" w:hAnsi="Palatino Linotype" w:cs="Palatino Linotype"/>
          <w:b/>
          <w:sz w:val="22"/>
          <w:szCs w:val="22"/>
        </w:rPr>
        <w:t>SAIMEX),</w:t>
      </w:r>
      <w:r w:rsidRPr="001070AF">
        <w:rPr>
          <w:rFonts w:ascii="Palatino Linotype" w:eastAsia="Palatino Linotype" w:hAnsi="Palatino Linotype" w:cs="Palatino Linotype"/>
          <w:sz w:val="22"/>
          <w:szCs w:val="22"/>
        </w:rPr>
        <w:t xml:space="preserve"> en las que requirió lo siguiente:</w:t>
      </w:r>
    </w:p>
    <w:p w14:paraId="42B9340E"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tbl>
      <w:tblPr>
        <w:tblStyle w:val="a2"/>
        <w:tblW w:w="87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1"/>
        <w:gridCol w:w="4976"/>
      </w:tblGrid>
      <w:tr w:rsidR="001070AF" w:rsidRPr="001070AF" w14:paraId="71AF892F" w14:textId="77777777" w:rsidTr="00A800CD">
        <w:trPr>
          <w:trHeight w:val="67"/>
        </w:trPr>
        <w:tc>
          <w:tcPr>
            <w:tcW w:w="3731" w:type="dxa"/>
            <w:shd w:val="clear" w:color="auto" w:fill="DAEEF3" w:themeFill="accent5" w:themeFillTint="33"/>
          </w:tcPr>
          <w:p w14:paraId="1F81A867" w14:textId="77777777" w:rsidR="00781AC8" w:rsidRPr="001070AF" w:rsidRDefault="001B2F05" w:rsidP="00450366">
            <w:pPr>
              <w:spacing w:line="276"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Número de solicitud</w:t>
            </w:r>
          </w:p>
        </w:tc>
        <w:tc>
          <w:tcPr>
            <w:tcW w:w="4976" w:type="dxa"/>
            <w:shd w:val="clear" w:color="auto" w:fill="DAEEF3" w:themeFill="accent5" w:themeFillTint="33"/>
          </w:tcPr>
          <w:p w14:paraId="4C263AEE" w14:textId="77777777" w:rsidR="00781AC8" w:rsidRPr="001070AF" w:rsidRDefault="001B2F05" w:rsidP="00450366">
            <w:pPr>
              <w:spacing w:line="276"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Información requerida</w:t>
            </w:r>
          </w:p>
        </w:tc>
      </w:tr>
      <w:tr w:rsidR="001070AF" w:rsidRPr="001070AF" w14:paraId="384E83B4" w14:textId="77777777" w:rsidTr="00A800CD">
        <w:trPr>
          <w:trHeight w:val="311"/>
        </w:trPr>
        <w:tc>
          <w:tcPr>
            <w:tcW w:w="3731" w:type="dxa"/>
          </w:tcPr>
          <w:p w14:paraId="762ED046" w14:textId="74BCBBB5" w:rsidR="00781AC8" w:rsidRPr="001070AF" w:rsidRDefault="00A800CD" w:rsidP="00450366">
            <w:pPr>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00692/ECATEPEC/IP/2025</w:t>
            </w:r>
            <w:r w:rsidR="001B2F05" w:rsidRPr="001070AF">
              <w:rPr>
                <w:rFonts w:ascii="Palatino Linotype" w:eastAsia="Palatino Linotype" w:hAnsi="Palatino Linotype" w:cs="Palatino Linotype"/>
                <w:b/>
                <w:sz w:val="22"/>
                <w:szCs w:val="22"/>
              </w:rPr>
              <w:t xml:space="preserve">, </w:t>
            </w:r>
            <w:r w:rsidR="001B2F05" w:rsidRPr="001070AF">
              <w:rPr>
                <w:rFonts w:ascii="Palatino Linotype" w:eastAsia="Palatino Linotype" w:hAnsi="Palatino Linotype" w:cs="Palatino Linotype"/>
                <w:sz w:val="22"/>
                <w:szCs w:val="22"/>
              </w:rPr>
              <w:t>correspondiente al Recurso de Revisión</w:t>
            </w:r>
            <w:r w:rsidRPr="001070AF">
              <w:rPr>
                <w:rFonts w:ascii="Palatino Linotype" w:eastAsia="Palatino Linotype" w:hAnsi="Palatino Linotype" w:cs="Palatino Linotype"/>
                <w:b/>
                <w:sz w:val="22"/>
                <w:szCs w:val="22"/>
              </w:rPr>
              <w:t xml:space="preserve"> 10799</w:t>
            </w:r>
            <w:r w:rsidR="00222407" w:rsidRPr="001070AF">
              <w:rPr>
                <w:rFonts w:ascii="Palatino Linotype" w:eastAsia="Palatino Linotype" w:hAnsi="Palatino Linotype" w:cs="Palatino Linotype"/>
                <w:b/>
                <w:sz w:val="22"/>
                <w:szCs w:val="22"/>
              </w:rPr>
              <w:t>/INFOEM/IP/RR/202</w:t>
            </w:r>
            <w:r w:rsidR="000A500F" w:rsidRPr="001070AF">
              <w:rPr>
                <w:rFonts w:ascii="Palatino Linotype" w:eastAsia="Palatino Linotype" w:hAnsi="Palatino Linotype" w:cs="Palatino Linotype"/>
                <w:b/>
                <w:sz w:val="22"/>
                <w:szCs w:val="22"/>
              </w:rPr>
              <w:t>5</w:t>
            </w:r>
          </w:p>
        </w:tc>
        <w:tc>
          <w:tcPr>
            <w:tcW w:w="4976" w:type="dxa"/>
          </w:tcPr>
          <w:p w14:paraId="249D0ED3" w14:textId="477CB02C" w:rsidR="00FB3A1A" w:rsidRPr="001070AF" w:rsidRDefault="001B2F05" w:rsidP="00450366">
            <w:pPr>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w:t>
            </w:r>
            <w:r w:rsidR="00A800CD" w:rsidRPr="001070AF">
              <w:rPr>
                <w:rFonts w:ascii="Palatino Linotype" w:eastAsia="Palatino Linotype" w:hAnsi="Palatino Linotype" w:cs="Palatino Linotype"/>
                <w:i/>
                <w:sz w:val="22"/>
                <w:szCs w:val="22"/>
              </w:rPr>
              <w:t xml:space="preserve">solicito copia simple digitalizada a traves del sistema electrónico saimex de TODAS las facturas pagadas por la tesoreria municipal mediante cheque o transferencia electrónica interbancaria </w:t>
            </w:r>
            <w:r w:rsidR="00A800CD" w:rsidRPr="001070AF">
              <w:rPr>
                <w:rFonts w:ascii="Palatino Linotype" w:eastAsia="Palatino Linotype" w:hAnsi="Palatino Linotype" w:cs="Palatino Linotype"/>
                <w:b/>
                <w:i/>
                <w:sz w:val="22"/>
                <w:szCs w:val="22"/>
              </w:rPr>
              <w:t xml:space="preserve">del 1 al 30 de junio </w:t>
            </w:r>
            <w:r w:rsidR="00A800CD" w:rsidRPr="001070AF">
              <w:rPr>
                <w:rFonts w:ascii="Palatino Linotype" w:eastAsia="Palatino Linotype" w:hAnsi="Palatino Linotype" w:cs="Palatino Linotype"/>
                <w:i/>
                <w:sz w:val="22"/>
                <w:szCs w:val="22"/>
              </w:rPr>
              <w:t>de 2025.</w:t>
            </w:r>
            <w:r w:rsidRPr="001070AF">
              <w:rPr>
                <w:rFonts w:ascii="Palatino Linotype" w:eastAsia="Palatino Linotype" w:hAnsi="Palatino Linotype" w:cs="Palatino Linotype"/>
                <w:i/>
                <w:sz w:val="22"/>
                <w:szCs w:val="22"/>
              </w:rPr>
              <w:t>” (Sic)</w:t>
            </w:r>
            <w:r w:rsidR="0001151A" w:rsidRPr="001070AF">
              <w:rPr>
                <w:rFonts w:ascii="Palatino Linotype" w:eastAsia="Palatino Linotype" w:hAnsi="Palatino Linotype" w:cs="Palatino Linotype"/>
                <w:sz w:val="22"/>
                <w:szCs w:val="22"/>
              </w:rPr>
              <w:t xml:space="preserve"> </w:t>
            </w:r>
          </w:p>
        </w:tc>
      </w:tr>
      <w:tr w:rsidR="000A500F" w:rsidRPr="001070AF" w14:paraId="4CD8C520" w14:textId="77777777" w:rsidTr="00A800CD">
        <w:trPr>
          <w:trHeight w:val="1460"/>
        </w:trPr>
        <w:tc>
          <w:tcPr>
            <w:tcW w:w="3731" w:type="dxa"/>
          </w:tcPr>
          <w:p w14:paraId="371F5C12" w14:textId="2F3E5E91" w:rsidR="000A500F" w:rsidRPr="001070AF" w:rsidRDefault="00A800CD" w:rsidP="00450366">
            <w:pPr>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lastRenderedPageBreak/>
              <w:t xml:space="preserve">00693/ECATEPEC/IP/2025, </w:t>
            </w:r>
            <w:r w:rsidRPr="001070AF">
              <w:rPr>
                <w:rFonts w:ascii="Palatino Linotype" w:eastAsia="Palatino Linotype" w:hAnsi="Palatino Linotype" w:cs="Palatino Linotype"/>
                <w:sz w:val="22"/>
                <w:szCs w:val="22"/>
              </w:rPr>
              <w:t>correspondiente al Recurso de Revisión</w:t>
            </w:r>
            <w:r w:rsidRPr="001070AF">
              <w:rPr>
                <w:rFonts w:ascii="Palatino Linotype" w:eastAsia="Palatino Linotype" w:hAnsi="Palatino Linotype" w:cs="Palatino Linotype"/>
                <w:b/>
                <w:sz w:val="22"/>
                <w:szCs w:val="22"/>
              </w:rPr>
              <w:t xml:space="preserve"> 10800/INFOEM/IP/RR/2025</w:t>
            </w:r>
          </w:p>
        </w:tc>
        <w:tc>
          <w:tcPr>
            <w:tcW w:w="4976" w:type="dxa"/>
          </w:tcPr>
          <w:p w14:paraId="5812306E" w14:textId="25550AF6" w:rsidR="00FB3A1A" w:rsidRPr="001070AF" w:rsidRDefault="000A500F" w:rsidP="00450366">
            <w:pPr>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w:t>
            </w:r>
            <w:r w:rsidR="00A800CD" w:rsidRPr="001070AF">
              <w:rPr>
                <w:rFonts w:ascii="Palatino Linotype" w:eastAsia="Palatino Linotype" w:hAnsi="Palatino Linotype" w:cs="Palatino Linotype"/>
                <w:i/>
                <w:sz w:val="22"/>
                <w:szCs w:val="22"/>
              </w:rPr>
              <w:t xml:space="preserve">solicito copia simple digitalizada a traves del sistema electrónico saimex de TODAS las facturas pagadas por la tesoreria municipal mediante cheque o transferencia electrónica interbancaria </w:t>
            </w:r>
            <w:r w:rsidR="00A800CD" w:rsidRPr="001070AF">
              <w:rPr>
                <w:rFonts w:ascii="Palatino Linotype" w:eastAsia="Palatino Linotype" w:hAnsi="Palatino Linotype" w:cs="Palatino Linotype"/>
                <w:b/>
                <w:i/>
                <w:sz w:val="22"/>
                <w:szCs w:val="22"/>
              </w:rPr>
              <w:t xml:space="preserve">del 1 al 31 de julio </w:t>
            </w:r>
            <w:r w:rsidR="00A800CD" w:rsidRPr="001070AF">
              <w:rPr>
                <w:rFonts w:ascii="Palatino Linotype" w:eastAsia="Palatino Linotype" w:hAnsi="Palatino Linotype" w:cs="Palatino Linotype"/>
                <w:i/>
                <w:sz w:val="22"/>
                <w:szCs w:val="22"/>
              </w:rPr>
              <w:t>de 2025.</w:t>
            </w:r>
            <w:r w:rsidRPr="001070AF">
              <w:rPr>
                <w:rFonts w:ascii="Palatino Linotype" w:eastAsia="Palatino Linotype" w:hAnsi="Palatino Linotype" w:cs="Palatino Linotype"/>
                <w:i/>
                <w:sz w:val="22"/>
                <w:szCs w:val="22"/>
              </w:rPr>
              <w:t>” (Sic)</w:t>
            </w:r>
            <w:r w:rsidR="00FB3A1A" w:rsidRPr="001070AF">
              <w:rPr>
                <w:rFonts w:ascii="Palatino Linotype" w:eastAsia="Palatino Linotype" w:hAnsi="Palatino Linotype" w:cs="Palatino Linotype"/>
                <w:sz w:val="22"/>
                <w:szCs w:val="22"/>
              </w:rPr>
              <w:t xml:space="preserve"> </w:t>
            </w:r>
          </w:p>
        </w:tc>
      </w:tr>
    </w:tbl>
    <w:p w14:paraId="2D8EB85F" w14:textId="77777777" w:rsidR="00781AC8" w:rsidRPr="001070AF" w:rsidRDefault="00781AC8" w:rsidP="00450366">
      <w:pPr>
        <w:tabs>
          <w:tab w:val="left" w:pos="1080"/>
        </w:tabs>
        <w:spacing w:line="360" w:lineRule="auto"/>
        <w:jc w:val="both"/>
        <w:rPr>
          <w:rFonts w:ascii="Palatino Linotype" w:eastAsia="Palatino Linotype" w:hAnsi="Palatino Linotype" w:cs="Palatino Linotype"/>
          <w:sz w:val="22"/>
          <w:szCs w:val="22"/>
        </w:rPr>
      </w:pPr>
    </w:p>
    <w:p w14:paraId="455460FA" w14:textId="0E0329C0" w:rsidR="0076341F" w:rsidRPr="001070AF" w:rsidRDefault="001B2F05" w:rsidP="00450366">
      <w:pPr>
        <w:tabs>
          <w:tab w:val="left" w:pos="1080"/>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Modalidad de Entrega:</w:t>
      </w:r>
      <w:r w:rsidRPr="001070AF">
        <w:rPr>
          <w:rFonts w:ascii="Palatino Linotype" w:eastAsia="Palatino Linotype" w:hAnsi="Palatino Linotype" w:cs="Palatino Linotype"/>
          <w:sz w:val="22"/>
          <w:szCs w:val="22"/>
        </w:rPr>
        <w:t xml:space="preserve"> A través de </w:t>
      </w:r>
      <w:r w:rsidRPr="001070AF">
        <w:rPr>
          <w:rFonts w:ascii="Palatino Linotype" w:eastAsia="Palatino Linotype" w:hAnsi="Palatino Linotype" w:cs="Palatino Linotype"/>
          <w:b/>
          <w:sz w:val="22"/>
          <w:szCs w:val="22"/>
        </w:rPr>
        <w:t>SAIMEX</w:t>
      </w:r>
      <w:r w:rsidRPr="001070AF">
        <w:rPr>
          <w:rFonts w:ascii="Palatino Linotype" w:eastAsia="Palatino Linotype" w:hAnsi="Palatino Linotype" w:cs="Palatino Linotype"/>
          <w:sz w:val="22"/>
          <w:szCs w:val="22"/>
        </w:rPr>
        <w:t>.</w:t>
      </w:r>
    </w:p>
    <w:p w14:paraId="22074660" w14:textId="77777777" w:rsidR="005654BC" w:rsidRPr="001070AF" w:rsidRDefault="005654BC" w:rsidP="00450366">
      <w:pPr>
        <w:tabs>
          <w:tab w:val="left" w:pos="1080"/>
        </w:tabs>
        <w:spacing w:line="360" w:lineRule="auto"/>
        <w:jc w:val="both"/>
        <w:rPr>
          <w:rFonts w:ascii="Palatino Linotype" w:eastAsia="Palatino Linotype" w:hAnsi="Palatino Linotype" w:cs="Palatino Linotype"/>
          <w:sz w:val="22"/>
          <w:szCs w:val="22"/>
        </w:rPr>
      </w:pPr>
    </w:p>
    <w:p w14:paraId="51193EF8" w14:textId="560D597B" w:rsidR="00781AC8" w:rsidRPr="001070AF" w:rsidRDefault="00DB4A6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2</w:t>
      </w:r>
      <w:r w:rsidR="001B2F05" w:rsidRPr="001070AF">
        <w:rPr>
          <w:rFonts w:ascii="Palatino Linotype" w:eastAsia="Palatino Linotype" w:hAnsi="Palatino Linotype" w:cs="Palatino Linotype"/>
          <w:b/>
          <w:sz w:val="22"/>
          <w:szCs w:val="22"/>
        </w:rPr>
        <w:t>. Resp</w:t>
      </w:r>
      <w:r w:rsidR="00713BDC" w:rsidRPr="001070AF">
        <w:rPr>
          <w:rFonts w:ascii="Palatino Linotype" w:eastAsia="Palatino Linotype" w:hAnsi="Palatino Linotype" w:cs="Palatino Linotype"/>
          <w:b/>
          <w:sz w:val="22"/>
          <w:szCs w:val="22"/>
        </w:rPr>
        <w:t>uestas.</w:t>
      </w:r>
      <w:r w:rsidR="001B2F05" w:rsidRPr="001070AF">
        <w:rPr>
          <w:rFonts w:ascii="Palatino Linotype" w:eastAsia="Palatino Linotype" w:hAnsi="Palatino Linotype" w:cs="Palatino Linotype"/>
          <w:sz w:val="22"/>
          <w:szCs w:val="22"/>
        </w:rPr>
        <w:t xml:space="preserve"> </w:t>
      </w:r>
      <w:r w:rsidR="00713BDC" w:rsidRPr="001070AF">
        <w:rPr>
          <w:rFonts w:ascii="Palatino Linotype" w:eastAsia="Palatino Linotype" w:hAnsi="Palatino Linotype" w:cs="Palatino Linotype"/>
          <w:sz w:val="22"/>
          <w:szCs w:val="22"/>
        </w:rPr>
        <w:t>El</w:t>
      </w:r>
      <w:r w:rsidR="001B2F05" w:rsidRPr="001070AF">
        <w:rPr>
          <w:rFonts w:ascii="Palatino Linotype" w:eastAsia="Palatino Linotype" w:hAnsi="Palatino Linotype" w:cs="Palatino Linotype"/>
          <w:sz w:val="22"/>
          <w:szCs w:val="22"/>
        </w:rPr>
        <w:t xml:space="preserve"> </w:t>
      </w:r>
      <w:r w:rsidR="00A800CD" w:rsidRPr="001070AF">
        <w:rPr>
          <w:rFonts w:ascii="Palatino Linotype" w:eastAsia="Palatino Linotype" w:hAnsi="Palatino Linotype" w:cs="Palatino Linotype"/>
          <w:b/>
          <w:sz w:val="22"/>
          <w:szCs w:val="22"/>
        </w:rPr>
        <w:t>doce de septiembre</w:t>
      </w:r>
      <w:r w:rsidR="00713BDC" w:rsidRPr="001070AF">
        <w:rPr>
          <w:rFonts w:ascii="Palatino Linotype" w:eastAsia="Palatino Linotype" w:hAnsi="Palatino Linotype" w:cs="Palatino Linotype"/>
          <w:b/>
          <w:sz w:val="22"/>
          <w:szCs w:val="22"/>
        </w:rPr>
        <w:t xml:space="preserve"> </w:t>
      </w:r>
      <w:r w:rsidR="0001151A" w:rsidRPr="001070AF">
        <w:rPr>
          <w:rFonts w:ascii="Palatino Linotype" w:eastAsia="Palatino Linotype" w:hAnsi="Palatino Linotype" w:cs="Palatino Linotype"/>
          <w:b/>
          <w:sz w:val="22"/>
          <w:szCs w:val="22"/>
        </w:rPr>
        <w:t>de dos mil veinticinco</w:t>
      </w:r>
      <w:r w:rsidR="001B2F05" w:rsidRPr="001070AF">
        <w:rPr>
          <w:rFonts w:ascii="Palatino Linotype" w:eastAsia="Palatino Linotype" w:hAnsi="Palatino Linotype" w:cs="Palatino Linotype"/>
          <w:sz w:val="22"/>
          <w:szCs w:val="22"/>
        </w:rPr>
        <w:t xml:space="preserve">, el </w:t>
      </w:r>
      <w:r w:rsidR="001B2F05" w:rsidRPr="001070AF">
        <w:rPr>
          <w:rFonts w:ascii="Palatino Linotype" w:eastAsia="Palatino Linotype" w:hAnsi="Palatino Linotype" w:cs="Palatino Linotype"/>
          <w:b/>
          <w:sz w:val="22"/>
          <w:szCs w:val="22"/>
        </w:rPr>
        <w:t>Sujeto Obligado</w:t>
      </w:r>
      <w:r w:rsidR="001B2F05" w:rsidRPr="001070AF">
        <w:rPr>
          <w:rFonts w:ascii="Palatino Linotype" w:eastAsia="Palatino Linotype" w:hAnsi="Palatino Linotype" w:cs="Palatino Linotype"/>
          <w:sz w:val="22"/>
          <w:szCs w:val="22"/>
        </w:rPr>
        <w:t xml:space="preserve"> notificó a la parte </w:t>
      </w:r>
      <w:r w:rsidR="001B2F05" w:rsidRPr="001070AF">
        <w:rPr>
          <w:rFonts w:ascii="Palatino Linotype" w:eastAsia="Palatino Linotype" w:hAnsi="Palatino Linotype" w:cs="Palatino Linotype"/>
          <w:b/>
          <w:sz w:val="22"/>
          <w:szCs w:val="22"/>
        </w:rPr>
        <w:t>Recurrente</w:t>
      </w:r>
      <w:r w:rsidR="001B2F05" w:rsidRPr="001070AF">
        <w:rPr>
          <w:rFonts w:ascii="Palatino Linotype" w:eastAsia="Palatino Linotype" w:hAnsi="Palatino Linotype" w:cs="Palatino Linotype"/>
          <w:sz w:val="22"/>
          <w:szCs w:val="22"/>
        </w:rPr>
        <w:t>, las respuestas a sus solicitudes en los términos siguientes:</w:t>
      </w:r>
    </w:p>
    <w:p w14:paraId="0C239C08"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5678"/>
      </w:tblGrid>
      <w:tr w:rsidR="001070AF" w:rsidRPr="001070AF" w14:paraId="16EA0DA2" w14:textId="77777777" w:rsidTr="00DB4A65">
        <w:trPr>
          <w:trHeight w:val="507"/>
        </w:trPr>
        <w:tc>
          <w:tcPr>
            <w:tcW w:w="3150" w:type="dxa"/>
            <w:shd w:val="clear" w:color="auto" w:fill="DAEEF3" w:themeFill="accent5" w:themeFillTint="33"/>
          </w:tcPr>
          <w:p w14:paraId="50919C5D" w14:textId="77777777" w:rsidR="00713BDC" w:rsidRPr="001070AF" w:rsidRDefault="00713BDC"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Número de solicitud</w:t>
            </w:r>
          </w:p>
        </w:tc>
        <w:tc>
          <w:tcPr>
            <w:tcW w:w="5678" w:type="dxa"/>
            <w:shd w:val="clear" w:color="auto" w:fill="DAEEF3" w:themeFill="accent5" w:themeFillTint="33"/>
          </w:tcPr>
          <w:p w14:paraId="7D2887AE" w14:textId="77777777" w:rsidR="00713BDC" w:rsidRPr="001070AF" w:rsidRDefault="00713BDC" w:rsidP="00450366">
            <w:pPr>
              <w:spacing w:line="276" w:lineRule="auto"/>
              <w:ind w:right="49"/>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Respuesta</w:t>
            </w:r>
          </w:p>
        </w:tc>
      </w:tr>
      <w:tr w:rsidR="001070AF" w:rsidRPr="001070AF" w14:paraId="7A3123AE" w14:textId="77777777" w:rsidTr="00713BDC">
        <w:tc>
          <w:tcPr>
            <w:tcW w:w="3150" w:type="dxa"/>
          </w:tcPr>
          <w:p w14:paraId="2C19B73A" w14:textId="776EC69C" w:rsidR="00A800CD" w:rsidRPr="001070AF" w:rsidRDefault="00A800CD" w:rsidP="00450366">
            <w:pPr>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 xml:space="preserve">00692/ECATEPEC/IP/2025, </w:t>
            </w:r>
            <w:r w:rsidRPr="001070AF">
              <w:rPr>
                <w:rFonts w:ascii="Palatino Linotype" w:eastAsia="Palatino Linotype" w:hAnsi="Palatino Linotype" w:cs="Palatino Linotype"/>
                <w:sz w:val="22"/>
                <w:szCs w:val="22"/>
              </w:rPr>
              <w:t>correspondiente al Recurso de Revisión</w:t>
            </w:r>
            <w:r w:rsidRPr="001070AF">
              <w:rPr>
                <w:rFonts w:ascii="Palatino Linotype" w:eastAsia="Palatino Linotype" w:hAnsi="Palatino Linotype" w:cs="Palatino Linotype"/>
                <w:b/>
                <w:sz w:val="22"/>
                <w:szCs w:val="22"/>
              </w:rPr>
              <w:t xml:space="preserve"> 10799/INFOEM/IP/RR/2025</w:t>
            </w:r>
          </w:p>
        </w:tc>
        <w:tc>
          <w:tcPr>
            <w:tcW w:w="5678" w:type="dxa"/>
          </w:tcPr>
          <w:p w14:paraId="30758E62" w14:textId="77777777" w:rsidR="00A800CD" w:rsidRPr="001070AF" w:rsidRDefault="00A800CD"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8E40405" w14:textId="77777777" w:rsidR="00A800CD" w:rsidRPr="001070AF" w:rsidRDefault="00A800CD"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Se adjunta respuesta.</w:t>
            </w:r>
          </w:p>
          <w:p w14:paraId="4E7AF30E" w14:textId="77777777" w:rsidR="00A800CD" w:rsidRPr="001070AF" w:rsidRDefault="00A800CD"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ATENTAMENTE</w:t>
            </w:r>
          </w:p>
          <w:p w14:paraId="4560E024" w14:textId="5DCB459D" w:rsidR="00A800CD" w:rsidRPr="001070AF" w:rsidRDefault="00A800CD" w:rsidP="00450366">
            <w:pPr>
              <w:ind w:left="97"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 xml:space="preserve">Cristina Muñoz Gallardo” (Sic) </w:t>
            </w:r>
          </w:p>
          <w:p w14:paraId="17CEC56E" w14:textId="77777777" w:rsidR="00A800CD" w:rsidRPr="001070AF" w:rsidRDefault="00A800CD" w:rsidP="00450366">
            <w:pPr>
              <w:ind w:right="49"/>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 xml:space="preserve">Archivos adjuntos: </w:t>
            </w:r>
          </w:p>
          <w:p w14:paraId="5E9EA3E5" w14:textId="4399D397" w:rsidR="006C48D4" w:rsidRPr="001070AF" w:rsidRDefault="00A800CD"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i/>
                <w:sz w:val="22"/>
                <w:szCs w:val="22"/>
              </w:rPr>
              <w:t xml:space="preserve">TM 5567.pdf: </w:t>
            </w:r>
            <w:r w:rsidR="0089415D" w:rsidRPr="001070AF">
              <w:rPr>
                <w:rFonts w:ascii="Palatino Linotype" w:eastAsia="Palatino Linotype" w:hAnsi="Palatino Linotype" w:cs="Palatino Linotype"/>
                <w:sz w:val="22"/>
                <w:szCs w:val="22"/>
              </w:rPr>
              <w:t xml:space="preserve"> Oficio número TM/ECA/CA/5567/2025 de fecha veintiocho de agosto de dos mil veinticinco, suscrito por el Tesorero M</w:t>
            </w:r>
            <w:r w:rsidR="006C48D4" w:rsidRPr="001070AF">
              <w:rPr>
                <w:rFonts w:ascii="Palatino Linotype" w:eastAsia="Palatino Linotype" w:hAnsi="Palatino Linotype" w:cs="Palatino Linotype"/>
                <w:sz w:val="22"/>
                <w:szCs w:val="22"/>
              </w:rPr>
              <w:t>unicipal, en el que informó que la información relativa a los comprobantes de pago expedidos por la Tesorería Municipal con las que se auxilia para el desempeño de sus funciones, es susceptible a ser clasificada como reservada con fundamento en el artículo 140 fracciones VI y X de la Ley de Transparencia y Acceso a la Información Pública del Estado de México y Municipios.</w:t>
            </w:r>
          </w:p>
          <w:p w14:paraId="21605FF2" w14:textId="77777777" w:rsidR="006C48D4" w:rsidRPr="001070AF" w:rsidRDefault="006C48D4"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en virtud de que:</w:t>
            </w:r>
          </w:p>
          <w:p w14:paraId="66367CD8" w14:textId="5E904F62"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lastRenderedPageBreak/>
              <w:t>El número de cuenta bancario se trata de una clave que otorgan los bancos a sus usuarios, con el único fin de identificar las transferencias que se realizan por parte del titular de una cuenta.</w:t>
            </w:r>
          </w:p>
          <w:p w14:paraId="4629B0F6" w14:textId="18A1056B"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 número de cuenta, es un dato imprescindible para realizar transferencias o acceso en línea a las cuentas bancarias; por lo que, únicamente es útil para su titular y las personas que realizan movimientos de depósito o retiro de esa cuenta.</w:t>
            </w:r>
          </w:p>
          <w:p w14:paraId="05F56ADA" w14:textId="5F135054"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 comprobante de pago tiene información confidencial de terceros como cuenta clabe, además de la Clave de rastreo con la que se pudiera hacer uso indebido de la información.</w:t>
            </w:r>
            <w:r w:rsidRPr="001070AF">
              <w:rPr>
                <w:rFonts w:ascii="Palatino Linotype" w:eastAsia="Palatino Linotype" w:hAnsi="Palatino Linotype" w:cs="Palatino Linotype"/>
                <w:sz w:val="22"/>
                <w:szCs w:val="22"/>
              </w:rPr>
              <w:cr/>
            </w:r>
          </w:p>
          <w:p w14:paraId="4CA2F507" w14:textId="68D52D55" w:rsidR="006C48D4" w:rsidRPr="001070AF" w:rsidRDefault="006C48D4" w:rsidP="00450366">
            <w:pPr>
              <w:pStyle w:val="Prrafodelista"/>
              <w:ind w:left="-2"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este sentido, proporcionar los comprobantes de pago que identifican las cuentas bancarias, generaría el riesgo latente de que personas con experiencia en el manejo de equipos de cómputo pueda acceder a las cuentas bancarias del Municipio, con el simple hecho de poseer datos mínimos como nombre del titular de la cuenta, el nombre de la institución bancaria, más el número de cuenta en donde se tengan depósitos.</w:t>
            </w:r>
          </w:p>
          <w:p w14:paraId="4827895B" w14:textId="311DDFF0" w:rsidR="006C48D4" w:rsidRPr="001070AF" w:rsidRDefault="006C48D4" w:rsidP="00450366">
            <w:pPr>
              <w:pStyle w:val="Prrafodelista"/>
              <w:ind w:left="-2"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omite mencionar que la exhibición de dicha información no contribuyen en nada a la rendición de cuentas o a transparentar la gestión gubernamental, debido a que por sí solos no reflejan el desempeño de las funciones públicas, y en suma, su difusión actualiza un daño presente, probable y específico a un bien jurídico de acuerdo al ya citado artículo 140 fracciones I y V de la Ley de Transparencia y Acceso a la Información del Estado de México y Municipios.</w:t>
            </w:r>
          </w:p>
          <w:p w14:paraId="014950BD" w14:textId="77777777" w:rsidR="0089415D" w:rsidRPr="001070AF" w:rsidRDefault="0089415D" w:rsidP="00450366">
            <w:pPr>
              <w:ind w:right="49"/>
              <w:jc w:val="both"/>
              <w:rPr>
                <w:rFonts w:ascii="Palatino Linotype" w:eastAsia="Palatino Linotype" w:hAnsi="Palatino Linotype" w:cs="Palatino Linotype"/>
                <w:sz w:val="22"/>
                <w:szCs w:val="22"/>
              </w:rPr>
            </w:pPr>
          </w:p>
          <w:p w14:paraId="6AFCAACB" w14:textId="58FBF7AD" w:rsidR="00A800CD" w:rsidRPr="001070AF" w:rsidRDefault="00A800CD"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i/>
                <w:sz w:val="22"/>
                <w:szCs w:val="22"/>
              </w:rPr>
              <w:t xml:space="preserve">VIGÉSIMA SÉPTIMA SESION EXTRAORDINARIA.pdf: </w:t>
            </w:r>
            <w:r w:rsidR="0089415D" w:rsidRPr="001070AF">
              <w:rPr>
                <w:rFonts w:ascii="Palatino Linotype" w:eastAsia="Palatino Linotype" w:hAnsi="Palatino Linotype" w:cs="Palatino Linotype"/>
                <w:sz w:val="22"/>
                <w:szCs w:val="22"/>
              </w:rPr>
              <w:t>Acta número ACT/ECA/CT/EXT/27ª/2025, de la Vigésima Séptima Sesión Extraordinaria del Comité de Transparencia, por medio de la cual se aprueba la clasificación de la información como reservada, de las facturas pagadas requeridas, relacionadas a la solicitudes de información pública 00692/ECATEPEC/IP/2025 y 00693/ECATEPEC/IP/2025.</w:t>
            </w:r>
          </w:p>
        </w:tc>
      </w:tr>
      <w:tr w:rsidR="00A800CD" w:rsidRPr="001070AF" w14:paraId="068C6448" w14:textId="77777777" w:rsidTr="00713BDC">
        <w:tc>
          <w:tcPr>
            <w:tcW w:w="3150" w:type="dxa"/>
          </w:tcPr>
          <w:p w14:paraId="4A32C6D1" w14:textId="25BE59D8" w:rsidR="00A800CD" w:rsidRPr="001070AF" w:rsidRDefault="00A800CD" w:rsidP="00450366">
            <w:pPr>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lastRenderedPageBreak/>
              <w:t xml:space="preserve">00693/ECATEPEC/IP/2025, </w:t>
            </w:r>
            <w:r w:rsidRPr="001070AF">
              <w:rPr>
                <w:rFonts w:ascii="Palatino Linotype" w:eastAsia="Palatino Linotype" w:hAnsi="Palatino Linotype" w:cs="Palatino Linotype"/>
                <w:sz w:val="22"/>
                <w:szCs w:val="22"/>
              </w:rPr>
              <w:t>correspondiente al Recurso de Revisión</w:t>
            </w:r>
            <w:r w:rsidRPr="001070AF">
              <w:rPr>
                <w:rFonts w:ascii="Palatino Linotype" w:eastAsia="Palatino Linotype" w:hAnsi="Palatino Linotype" w:cs="Palatino Linotype"/>
                <w:b/>
                <w:sz w:val="22"/>
                <w:szCs w:val="22"/>
              </w:rPr>
              <w:t xml:space="preserve"> 10800/INFOEM/IP/RR/2025</w:t>
            </w:r>
          </w:p>
        </w:tc>
        <w:tc>
          <w:tcPr>
            <w:tcW w:w="5678" w:type="dxa"/>
          </w:tcPr>
          <w:p w14:paraId="246A6893" w14:textId="77777777" w:rsidR="006C48D4" w:rsidRPr="001070AF" w:rsidRDefault="006C48D4"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13AA5F2" w14:textId="77777777" w:rsidR="006C48D4" w:rsidRPr="001070AF" w:rsidRDefault="006C48D4"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Se adjunta respuesta.</w:t>
            </w:r>
          </w:p>
          <w:p w14:paraId="61FD06E2" w14:textId="77777777" w:rsidR="006C48D4" w:rsidRPr="001070AF" w:rsidRDefault="006C48D4" w:rsidP="00450366">
            <w:pPr>
              <w:ind w:left="-2"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ATENTAMENTE</w:t>
            </w:r>
          </w:p>
          <w:p w14:paraId="42FE015D" w14:textId="77777777" w:rsidR="006C48D4" w:rsidRPr="001070AF" w:rsidRDefault="006C48D4" w:rsidP="00450366">
            <w:pPr>
              <w:ind w:left="97" w:right="78"/>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 xml:space="preserve">Cristina Muñoz Gallardo” (Sic) </w:t>
            </w:r>
          </w:p>
          <w:p w14:paraId="258730E4" w14:textId="77777777" w:rsidR="006C48D4" w:rsidRPr="001070AF" w:rsidRDefault="006C48D4" w:rsidP="00450366">
            <w:pPr>
              <w:ind w:right="49"/>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 xml:space="preserve">Archivos adjuntos: </w:t>
            </w:r>
          </w:p>
          <w:p w14:paraId="4E6B6814" w14:textId="23A115FB" w:rsidR="006C48D4" w:rsidRPr="001070AF" w:rsidRDefault="006C48D4"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i/>
                <w:sz w:val="22"/>
                <w:szCs w:val="22"/>
              </w:rPr>
              <w:t xml:space="preserve">TM 5568.pdf: </w:t>
            </w:r>
            <w:r w:rsidRPr="001070AF">
              <w:rPr>
                <w:rFonts w:ascii="Palatino Linotype" w:eastAsia="Palatino Linotype" w:hAnsi="Palatino Linotype" w:cs="Palatino Linotype"/>
                <w:sz w:val="22"/>
                <w:szCs w:val="22"/>
              </w:rPr>
              <w:t xml:space="preserve"> Oficio número TM/ECA/CA/556</w:t>
            </w:r>
            <w:r w:rsidR="00DA1C98" w:rsidRPr="001070AF">
              <w:rPr>
                <w:rFonts w:ascii="Palatino Linotype" w:eastAsia="Palatino Linotype" w:hAnsi="Palatino Linotype" w:cs="Palatino Linotype"/>
                <w:sz w:val="22"/>
                <w:szCs w:val="22"/>
              </w:rPr>
              <w:t>8</w:t>
            </w:r>
            <w:r w:rsidRPr="001070AF">
              <w:rPr>
                <w:rFonts w:ascii="Palatino Linotype" w:eastAsia="Palatino Linotype" w:hAnsi="Palatino Linotype" w:cs="Palatino Linotype"/>
                <w:sz w:val="22"/>
                <w:szCs w:val="22"/>
              </w:rPr>
              <w:t>/2025 de fecha veintiocho de agosto de dos mil veinticinco, suscrito por el Tesorero Municipal, en el que informó que la información relativa a los comprobantes de pago expedidos por la Tesorería Municipal con las que se auxilia para el desempeño de sus funciones, es susceptible a ser clasificada como reservada con fundamento en el artículo 140 fracciones VI y X de la Ley de Transparencia y Acceso a la Información Pública del Estado de México y Municipios.</w:t>
            </w:r>
          </w:p>
          <w:p w14:paraId="0984AB86" w14:textId="77777777" w:rsidR="006C48D4" w:rsidRPr="001070AF" w:rsidRDefault="006C48D4"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en virtud de que:</w:t>
            </w:r>
          </w:p>
          <w:p w14:paraId="41B4E881" w14:textId="77777777"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 número de cuenta bancario se trata de una clave que otorgan los bancos a sus usuarios, con el único fin de identificar las transferencias que se realizan por parte del titular de una cuenta.</w:t>
            </w:r>
          </w:p>
          <w:p w14:paraId="544878E0" w14:textId="77777777"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 número de cuenta, es un dato imprescindible para realizar transferencias o acceso en línea a las cuentas bancarias; por lo que, únicamente es útil para su titular y las personas que realizan movimientos de depósito o retiro de esa cuenta.</w:t>
            </w:r>
          </w:p>
          <w:p w14:paraId="7B52054F" w14:textId="77777777" w:rsidR="006C48D4" w:rsidRPr="001070AF" w:rsidRDefault="006C48D4" w:rsidP="00450366">
            <w:pPr>
              <w:pStyle w:val="Prrafodelista"/>
              <w:numPr>
                <w:ilvl w:val="0"/>
                <w:numId w:val="17"/>
              </w:numPr>
              <w:ind w:left="-2" w:right="49" w:firstLine="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 comprobante de pago tiene información confidencial de terceros como cuenta clabe, además de la Clave de rastreo con la que se pudiera hacer uso indebido de la información.</w:t>
            </w:r>
            <w:r w:rsidRPr="001070AF">
              <w:rPr>
                <w:rFonts w:ascii="Palatino Linotype" w:eastAsia="Palatino Linotype" w:hAnsi="Palatino Linotype" w:cs="Palatino Linotype"/>
                <w:sz w:val="22"/>
                <w:szCs w:val="22"/>
              </w:rPr>
              <w:cr/>
            </w:r>
          </w:p>
          <w:p w14:paraId="14A2A309" w14:textId="77777777" w:rsidR="006C48D4" w:rsidRPr="001070AF" w:rsidRDefault="006C48D4" w:rsidP="00450366">
            <w:pPr>
              <w:pStyle w:val="Prrafodelista"/>
              <w:ind w:left="-2"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este sentido, proporcionar los comprobantes de pago que identifican las cuentas bancarias, generaría el riesgo latente de que personas con experiencia en el manejo de equipos de cómputo pueda acceder a las cuentas bancarias del Municipio, con el simple hecho de poseer datos mínimos como nombre del titular de la cuenta, el nombre de la institución bancaria, más el número de cuenta en donde se tengan depósitos.</w:t>
            </w:r>
          </w:p>
          <w:p w14:paraId="3E554325" w14:textId="77777777" w:rsidR="006C48D4" w:rsidRPr="001070AF" w:rsidRDefault="006C48D4" w:rsidP="00450366">
            <w:pPr>
              <w:pStyle w:val="Prrafodelista"/>
              <w:ind w:left="-2"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omite mencionar que la exhibición de dicha información no contribuyen en nada a la rendición de cuentas o a transparentar la gestión gubernamental, debido a que por sí solos no reflejan el desempeño de las funciones públicas, y en suma, su difusión actualiza un daño presente, probable y específico a un bien jurídico de acuerdo al ya citado artículo 140 fracciones I y V de la Ley de Transparencia y Acceso a la Información del Estado de México y Municipios.</w:t>
            </w:r>
          </w:p>
          <w:p w14:paraId="67FDC917" w14:textId="77777777" w:rsidR="006C48D4" w:rsidRPr="001070AF" w:rsidRDefault="006C48D4" w:rsidP="00450366">
            <w:pPr>
              <w:ind w:right="49"/>
              <w:jc w:val="both"/>
              <w:rPr>
                <w:rFonts w:ascii="Palatino Linotype" w:eastAsia="Palatino Linotype" w:hAnsi="Palatino Linotype" w:cs="Palatino Linotype"/>
                <w:sz w:val="22"/>
                <w:szCs w:val="22"/>
              </w:rPr>
            </w:pPr>
          </w:p>
          <w:p w14:paraId="4C878880" w14:textId="0E1871B7" w:rsidR="00A800CD" w:rsidRPr="001070AF" w:rsidRDefault="006C48D4" w:rsidP="00450366">
            <w:pPr>
              <w:ind w:left="97" w:right="78"/>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i/>
                <w:sz w:val="22"/>
                <w:szCs w:val="22"/>
              </w:rPr>
              <w:t xml:space="preserve">VIGÉSIMA SÉPTIMA SESION EXTRAORDINARIA.pdf: </w:t>
            </w:r>
            <w:r w:rsidRPr="001070AF">
              <w:rPr>
                <w:rFonts w:ascii="Palatino Linotype" w:eastAsia="Palatino Linotype" w:hAnsi="Palatino Linotype" w:cs="Palatino Linotype"/>
                <w:sz w:val="22"/>
                <w:szCs w:val="22"/>
              </w:rPr>
              <w:t>Acta número ACT/ECA/CT/EXT/27ª/2025, de la Vigésima Séptima Sesión Extraordinaria del Comité de Transparencia, por medio de la cual se aprueba la clasificación de la información como reservada, de las facturas pagadas requeridas, relacionadas a la solicitudes de información pública 00692/ECATEPEC/IP/2025 y 00693/ECATEPEC/IP/2025.</w:t>
            </w:r>
          </w:p>
        </w:tc>
      </w:tr>
    </w:tbl>
    <w:p w14:paraId="4D259980" w14:textId="77777777" w:rsidR="005654BC" w:rsidRPr="001070AF" w:rsidRDefault="005654BC" w:rsidP="00450366">
      <w:pPr>
        <w:spacing w:line="360" w:lineRule="auto"/>
        <w:ind w:right="49"/>
        <w:jc w:val="both"/>
        <w:rPr>
          <w:rFonts w:ascii="Palatino Linotype" w:eastAsia="Palatino Linotype" w:hAnsi="Palatino Linotype" w:cs="Palatino Linotype"/>
          <w:b/>
          <w:sz w:val="22"/>
          <w:szCs w:val="22"/>
        </w:rPr>
      </w:pPr>
    </w:p>
    <w:p w14:paraId="36F6F3E4" w14:textId="6F317EC5" w:rsidR="00781AC8" w:rsidRPr="001070AF" w:rsidRDefault="001B2F05" w:rsidP="00450366">
      <w:pP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3. Interposición de los recursos de revisión. </w:t>
      </w:r>
      <w:r w:rsidRPr="001070AF">
        <w:rPr>
          <w:rFonts w:ascii="Palatino Linotype" w:eastAsia="Palatino Linotype" w:hAnsi="Palatino Linotype" w:cs="Palatino Linotype"/>
          <w:sz w:val="22"/>
          <w:szCs w:val="22"/>
        </w:rPr>
        <w:t xml:space="preserve">El </w:t>
      </w:r>
      <w:r w:rsidR="00C13F26" w:rsidRPr="001070AF">
        <w:rPr>
          <w:rFonts w:ascii="Palatino Linotype" w:eastAsia="Palatino Linotype" w:hAnsi="Palatino Linotype" w:cs="Palatino Linotype"/>
          <w:b/>
          <w:sz w:val="22"/>
          <w:szCs w:val="22"/>
        </w:rPr>
        <w:t>trece</w:t>
      </w:r>
      <w:r w:rsidR="00DA1C98" w:rsidRPr="001070AF">
        <w:rPr>
          <w:rFonts w:ascii="Palatino Linotype" w:eastAsia="Palatino Linotype" w:hAnsi="Palatino Linotype" w:cs="Palatino Linotype"/>
          <w:b/>
          <w:sz w:val="22"/>
          <w:szCs w:val="22"/>
        </w:rPr>
        <w:t xml:space="preserve"> de septiembre</w:t>
      </w:r>
      <w:r w:rsidR="00F75F04" w:rsidRPr="001070AF">
        <w:rPr>
          <w:rFonts w:ascii="Palatino Linotype" w:eastAsia="Palatino Linotype" w:hAnsi="Palatino Linotype" w:cs="Palatino Linotype"/>
          <w:b/>
          <w:sz w:val="22"/>
          <w:szCs w:val="22"/>
        </w:rPr>
        <w:t xml:space="preserve"> de dos mil veinti</w:t>
      </w:r>
      <w:r w:rsidR="00895915" w:rsidRPr="001070AF">
        <w:rPr>
          <w:rFonts w:ascii="Palatino Linotype" w:eastAsia="Palatino Linotype" w:hAnsi="Palatino Linotype" w:cs="Palatino Linotype"/>
          <w:b/>
          <w:sz w:val="22"/>
          <w:szCs w:val="22"/>
        </w:rPr>
        <w:t>cinco</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la parte</w:t>
      </w:r>
      <w:r w:rsidRPr="001070AF">
        <w:rPr>
          <w:rFonts w:ascii="Palatino Linotype" w:eastAsia="Palatino Linotype" w:hAnsi="Palatino Linotype" w:cs="Palatino Linotype"/>
          <w:b/>
          <w:sz w:val="22"/>
          <w:szCs w:val="22"/>
        </w:rPr>
        <w:t xml:space="preserve"> Recurrente, </w:t>
      </w:r>
      <w:r w:rsidRPr="001070AF">
        <w:rPr>
          <w:rFonts w:ascii="Palatino Linotype" w:eastAsia="Palatino Linotype" w:hAnsi="Palatino Linotype" w:cs="Palatino Linotype"/>
          <w:sz w:val="22"/>
          <w:szCs w:val="22"/>
        </w:rPr>
        <w:t xml:space="preserve">inconforme con las respuestas, interpuso los recursos de revisión que nos ocupan, </w:t>
      </w:r>
      <w:r w:rsidR="00C13F26" w:rsidRPr="001070AF">
        <w:rPr>
          <w:rFonts w:ascii="Palatino Linotype" w:eastAsia="Palatino Linotype" w:hAnsi="Palatino Linotype" w:cs="Palatino Linotype"/>
          <w:sz w:val="22"/>
          <w:szCs w:val="22"/>
        </w:rPr>
        <w:t xml:space="preserve">sin embargo, al corresponder a un día inhábil se tuvo por presentada el día </w:t>
      </w:r>
      <w:r w:rsidR="00C13F26" w:rsidRPr="001070AF">
        <w:rPr>
          <w:rFonts w:ascii="Palatino Linotype" w:eastAsia="Palatino Linotype" w:hAnsi="Palatino Linotype" w:cs="Palatino Linotype"/>
          <w:b/>
          <w:sz w:val="22"/>
          <w:szCs w:val="22"/>
        </w:rPr>
        <w:t>quince de septiembre de dos mil veinticinco</w:t>
      </w:r>
      <w:r w:rsidR="00C13F26"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sz w:val="22"/>
          <w:szCs w:val="22"/>
        </w:rPr>
        <w:t>expresando lo siguiente:</w:t>
      </w:r>
    </w:p>
    <w:p w14:paraId="367E9EFD" w14:textId="77777777" w:rsidR="005654BC" w:rsidRPr="001070AF" w:rsidRDefault="005654BC" w:rsidP="00450366">
      <w:pPr>
        <w:spacing w:line="360" w:lineRule="auto"/>
        <w:ind w:right="49"/>
        <w:jc w:val="both"/>
        <w:rPr>
          <w:rFonts w:ascii="Palatino Linotype" w:eastAsia="Palatino Linotype" w:hAnsi="Palatino Linotype" w:cs="Palatino Linotype"/>
          <w:sz w:val="22"/>
          <w:szCs w:val="22"/>
        </w:rPr>
      </w:pP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985"/>
        <w:gridCol w:w="4580"/>
      </w:tblGrid>
      <w:tr w:rsidR="001070AF" w:rsidRPr="001070AF" w14:paraId="16280EB8" w14:textId="77777777" w:rsidTr="00DA1C98">
        <w:tc>
          <w:tcPr>
            <w:tcW w:w="2263" w:type="dxa"/>
            <w:shd w:val="clear" w:color="auto" w:fill="DAEEF3" w:themeFill="accent5" w:themeFillTint="33"/>
          </w:tcPr>
          <w:p w14:paraId="3AF74021"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Recurso de Revisión</w:t>
            </w:r>
          </w:p>
        </w:tc>
        <w:tc>
          <w:tcPr>
            <w:tcW w:w="1985" w:type="dxa"/>
            <w:shd w:val="clear" w:color="auto" w:fill="DAEEF3" w:themeFill="accent5" w:themeFillTint="33"/>
          </w:tcPr>
          <w:p w14:paraId="3A6404B6"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Acto impugnado</w:t>
            </w:r>
          </w:p>
        </w:tc>
        <w:tc>
          <w:tcPr>
            <w:tcW w:w="4580" w:type="dxa"/>
            <w:shd w:val="clear" w:color="auto" w:fill="DAEEF3" w:themeFill="accent5" w:themeFillTint="33"/>
          </w:tcPr>
          <w:p w14:paraId="2A1581FA"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Motivos de inconformidad</w:t>
            </w:r>
          </w:p>
        </w:tc>
      </w:tr>
      <w:tr w:rsidR="001070AF" w:rsidRPr="001070AF" w14:paraId="06FA661B" w14:textId="77777777" w:rsidTr="00DA1C98">
        <w:tc>
          <w:tcPr>
            <w:tcW w:w="2263" w:type="dxa"/>
          </w:tcPr>
          <w:p w14:paraId="19C9537B" w14:textId="1824C6C5" w:rsidR="00781AC8" w:rsidRPr="001070AF" w:rsidRDefault="00DA1C98"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10799</w:t>
            </w:r>
            <w:r w:rsidR="001B2F05" w:rsidRPr="001070AF">
              <w:rPr>
                <w:rFonts w:ascii="Palatino Linotype" w:eastAsia="Palatino Linotype" w:hAnsi="Palatino Linotype" w:cs="Palatino Linotype"/>
                <w:b/>
                <w:sz w:val="22"/>
                <w:szCs w:val="22"/>
              </w:rPr>
              <w:t>/INFOEM/IP/RR/202</w:t>
            </w:r>
            <w:r w:rsidR="00DB4A65" w:rsidRPr="001070AF">
              <w:rPr>
                <w:rFonts w:ascii="Palatino Linotype" w:eastAsia="Palatino Linotype" w:hAnsi="Palatino Linotype" w:cs="Palatino Linotype"/>
                <w:b/>
                <w:sz w:val="22"/>
                <w:szCs w:val="22"/>
              </w:rPr>
              <w:t>5</w:t>
            </w:r>
          </w:p>
        </w:tc>
        <w:tc>
          <w:tcPr>
            <w:tcW w:w="1985" w:type="dxa"/>
          </w:tcPr>
          <w:p w14:paraId="64CFC428" w14:textId="31123D97" w:rsidR="00F75F04" w:rsidRPr="001070AF" w:rsidRDefault="00DA1C98" w:rsidP="00450366">
            <w:pPr>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RESPUESTA A LA SOLICITUD 00692/ECATEPEC/IP/2025</w:t>
            </w:r>
          </w:p>
        </w:tc>
        <w:tc>
          <w:tcPr>
            <w:tcW w:w="4580" w:type="dxa"/>
          </w:tcPr>
          <w:p w14:paraId="11A52147" w14:textId="1F280A23" w:rsidR="00781AC8" w:rsidRPr="001070AF" w:rsidRDefault="00DA1C98" w:rsidP="00450366">
            <w:pPr>
              <w:ind w:right="49"/>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MEDIANTE EL ACUERDO ACT/ECA/CT/EXT/27°/2025/PRIMERO DE LA SESIÓN EXTRAORDINARIA DEL COMITÉ DE TRANSPARENCIA DEL H. AYUNTAMIENTO DE ECATEPEC DE MORELOS, ESTADO DE MÉXICO DEL 04 DE SEPTIEMBRE DE 2025, EL SUJETO OBLIGADO REALIZA UNA CLASIFICACIÓN INDEBIDA DE LA INFORMACIÓN SOLICITADA, LA CUAL ES DE CARACTER PÚBLICO. LAS COPIAS SIMPLES DE LOS COMPROBANTES DE PAGO SOLICITADOS SUSTENTAN EL USO, DESTINO Y APLICACIÓN DE RECURSOS PÚBLICOS, POR LO CUAL SE CONFIGURAN COMO DOCUMENTOS PÚBLICOS A LOS CUALES LOS CIUDADANOS PODEMOS TENER ACCESO EN VERSIÓN PÚBLICA. EL COMITÉ INTERNO DE TRANSPARENCIA DEL SUJETO OBLIGADO VIOLA LA LEY AL IMPONER UNA CLASIFICACIÓN BASADA EN CRITERIOS INFUNDADOS, POR LO ANTERIOR, SOLICITO SE REVOQUE EL ACUERDO ACT/ECA/CT/EXT/27°/2025/PRIMERO DE LA SESIÓN YA MENCIONADA Y SE ORDENE AL SUJETO OBLIGADO LA ENTREGA DE LA INFORMACIÓN SOLICITADA A TRAVÉS DEL SISTEMA ELECTRÓNICO SAIMEX.</w:t>
            </w:r>
          </w:p>
        </w:tc>
      </w:tr>
      <w:tr w:rsidR="00781AC8" w:rsidRPr="001070AF" w14:paraId="574317DA" w14:textId="77777777" w:rsidTr="00DA1C98">
        <w:tc>
          <w:tcPr>
            <w:tcW w:w="2263" w:type="dxa"/>
          </w:tcPr>
          <w:p w14:paraId="4F2BCDF5" w14:textId="330FC5F5" w:rsidR="00781AC8" w:rsidRPr="001070AF" w:rsidRDefault="00DA1C98" w:rsidP="00450366">
            <w:pPr>
              <w:spacing w:line="360" w:lineRule="auto"/>
              <w:ind w:right="49"/>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10800</w:t>
            </w:r>
            <w:r w:rsidR="00F75F04" w:rsidRPr="001070AF">
              <w:rPr>
                <w:rFonts w:ascii="Palatino Linotype" w:eastAsia="Palatino Linotype" w:hAnsi="Palatino Linotype" w:cs="Palatino Linotype"/>
                <w:b/>
                <w:sz w:val="22"/>
                <w:szCs w:val="22"/>
              </w:rPr>
              <w:t>/INFOEM/IP/RR/202</w:t>
            </w:r>
            <w:r w:rsidR="00DB4A65" w:rsidRPr="001070AF">
              <w:rPr>
                <w:rFonts w:ascii="Palatino Linotype" w:eastAsia="Palatino Linotype" w:hAnsi="Palatino Linotype" w:cs="Palatino Linotype"/>
                <w:b/>
                <w:sz w:val="22"/>
                <w:szCs w:val="22"/>
              </w:rPr>
              <w:t>5</w:t>
            </w:r>
          </w:p>
        </w:tc>
        <w:tc>
          <w:tcPr>
            <w:tcW w:w="1985" w:type="dxa"/>
          </w:tcPr>
          <w:p w14:paraId="5E891A07" w14:textId="0251BC2C" w:rsidR="00781AC8" w:rsidRPr="001070AF" w:rsidRDefault="00DA1C98" w:rsidP="00450366">
            <w:pPr>
              <w:ind w:right="49"/>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RESPUESTA A LA SOLICITUD 00693/ECATEPEC/IP/2025</w:t>
            </w:r>
          </w:p>
        </w:tc>
        <w:tc>
          <w:tcPr>
            <w:tcW w:w="4580" w:type="dxa"/>
          </w:tcPr>
          <w:p w14:paraId="4CB85935" w14:textId="7283A9AE" w:rsidR="00781AC8" w:rsidRPr="001070AF" w:rsidRDefault="00DA1C98" w:rsidP="00450366">
            <w:pPr>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MEDIANTE EL ACUERDO ACT/ECA/CT/EXT/27°/2025/SEGUNDO DE LA SESIÓN EXTRAORDINARIA DEL COMITÉ DE TRANSPARENCIA DEL H. AYUNTAMIENTO DE ECATEPEC DE MORELOS, ESTADO DE MÉXICO DEL 04 DE SEPTIEMBRE DE 2025, EL SUJETO OBLIGADO REALIZA UNA CLASIFICACIÓN INDEBIDA DE LA INFORMACIÓN SOLICITADA, LA CUAL ES DE CARACTER PÚBLICO. LAS COPIAS SIMPLES DE LAS FACTURAS SOLICITADAS SUSTENTAN EL USO, DESTINO Y APLICACIÓN DE RECURSOS PÚBLICOS, POR LO CUAL SE CONFIGURAN COMO DOCUMENTOS PÚBLICOS A LOS CUALES LOS CIUDADANOS PODEMOS TENER ACCESO EN VERSIÓN PÚBLICA. EL COMITÉ INTERNO DE TRANSPARENCIA DEL SUJETO OBLIGADO VIOLA LA LEY AL IMPONER UNA CLASIFICACIÓN BASADA EN CRITERIOS INFUNDADOS, POR LO ANTERIOR, SOLICITO SE REVOQUE EL ACUERDO ACT/ECA/CT/EXT/27°/2025/SEGUNDO DE LA SESIÓN YA MENCIONADA Y SE ORDENE AL SUJETO OBLIGADO LA ENTREGA DE LA INFORMACIÓN SOLICITADA A TRAVÉS DEL SISTEMA ELECTRÓNICO SAIMEX.</w:t>
            </w:r>
          </w:p>
        </w:tc>
      </w:tr>
    </w:tbl>
    <w:p w14:paraId="32A6216F" w14:textId="77777777" w:rsidR="005654BC" w:rsidRPr="001070AF" w:rsidRDefault="005654BC" w:rsidP="00450366">
      <w:pPr>
        <w:spacing w:line="360" w:lineRule="auto"/>
        <w:jc w:val="both"/>
        <w:rPr>
          <w:rFonts w:ascii="Palatino Linotype" w:eastAsia="Palatino Linotype" w:hAnsi="Palatino Linotype" w:cs="Palatino Linotype"/>
          <w:b/>
          <w:sz w:val="22"/>
          <w:szCs w:val="22"/>
        </w:rPr>
      </w:pPr>
    </w:p>
    <w:p w14:paraId="0BB2FADA" w14:textId="77777777"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4. Turno. </w:t>
      </w:r>
      <w:r w:rsidRPr="001070AF">
        <w:rPr>
          <w:rFonts w:ascii="Palatino Linotype" w:eastAsia="Palatino Linotype" w:hAnsi="Palatino Linotype" w:cs="Palatino Linotype"/>
          <w:sz w:val="22"/>
          <w:szCs w:val="22"/>
        </w:rPr>
        <w:t>De conformidad con el artículo 185 fracción I de la Ley Transparencia y Acceso a la Información Pública, los recursos de revisión fueron</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 xml:space="preserve">turnados de la siguiente manera a efecto de presentar al Pleno los proyectos de resolución correspondientes: </w:t>
      </w:r>
    </w:p>
    <w:p w14:paraId="2A5D6AC7"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tbl>
      <w:tblPr>
        <w:tblStyle w:val="a5"/>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4461"/>
      </w:tblGrid>
      <w:tr w:rsidR="001070AF" w:rsidRPr="001070AF" w14:paraId="0E68199B" w14:textId="77777777" w:rsidTr="00DB4A65">
        <w:trPr>
          <w:trHeight w:val="484"/>
        </w:trPr>
        <w:tc>
          <w:tcPr>
            <w:tcW w:w="4460" w:type="dxa"/>
            <w:shd w:val="clear" w:color="auto" w:fill="DAEEF3" w:themeFill="accent5" w:themeFillTint="33"/>
          </w:tcPr>
          <w:p w14:paraId="6C4E2E32"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Recurso de Revisión</w:t>
            </w:r>
          </w:p>
        </w:tc>
        <w:tc>
          <w:tcPr>
            <w:tcW w:w="4461" w:type="dxa"/>
            <w:shd w:val="clear" w:color="auto" w:fill="DAEEF3" w:themeFill="accent5" w:themeFillTint="33"/>
          </w:tcPr>
          <w:p w14:paraId="0E4F2C6D" w14:textId="77777777" w:rsidR="00781AC8" w:rsidRPr="001070AF" w:rsidRDefault="001B2F05" w:rsidP="00450366">
            <w:pPr>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Comisionada/o</w:t>
            </w:r>
          </w:p>
        </w:tc>
      </w:tr>
      <w:tr w:rsidR="001070AF" w:rsidRPr="001070AF" w14:paraId="7C830487" w14:textId="77777777">
        <w:tc>
          <w:tcPr>
            <w:tcW w:w="4460" w:type="dxa"/>
          </w:tcPr>
          <w:p w14:paraId="4AAB1823" w14:textId="1DF1CCE4" w:rsidR="00781AC8" w:rsidRPr="001070AF" w:rsidRDefault="00DA1C98" w:rsidP="00450366">
            <w:pPr>
              <w:spacing w:line="276"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010799</w:t>
            </w:r>
            <w:r w:rsidR="001B2F05" w:rsidRPr="001070AF">
              <w:rPr>
                <w:rFonts w:ascii="Palatino Linotype" w:eastAsia="Palatino Linotype" w:hAnsi="Palatino Linotype" w:cs="Palatino Linotype"/>
                <w:b/>
                <w:sz w:val="22"/>
                <w:szCs w:val="22"/>
              </w:rPr>
              <w:t>/INFOEM/IP/RR/202</w:t>
            </w:r>
            <w:r w:rsidR="00DB4A65" w:rsidRPr="001070AF">
              <w:rPr>
                <w:rFonts w:ascii="Palatino Linotype" w:eastAsia="Palatino Linotype" w:hAnsi="Palatino Linotype" w:cs="Palatino Linotype"/>
                <w:b/>
                <w:sz w:val="22"/>
                <w:szCs w:val="22"/>
              </w:rPr>
              <w:t>5</w:t>
            </w:r>
          </w:p>
        </w:tc>
        <w:tc>
          <w:tcPr>
            <w:tcW w:w="4461" w:type="dxa"/>
          </w:tcPr>
          <w:p w14:paraId="20C9E5D6" w14:textId="77777777" w:rsidR="00781AC8" w:rsidRPr="001070AF" w:rsidRDefault="001B2F05" w:rsidP="00450366">
            <w:pPr>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Comisionada Guadalupe Ramírez Peña</w:t>
            </w:r>
          </w:p>
        </w:tc>
      </w:tr>
      <w:tr w:rsidR="00781AC8" w:rsidRPr="001070AF" w14:paraId="1B32814C" w14:textId="77777777">
        <w:tc>
          <w:tcPr>
            <w:tcW w:w="4460" w:type="dxa"/>
          </w:tcPr>
          <w:p w14:paraId="49519B50" w14:textId="6E7ED43F" w:rsidR="00781AC8" w:rsidRPr="001070AF" w:rsidRDefault="00DA1C98" w:rsidP="00450366">
            <w:pPr>
              <w:spacing w:line="276"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10800</w:t>
            </w:r>
            <w:r w:rsidR="004D79B8" w:rsidRPr="001070AF">
              <w:rPr>
                <w:rFonts w:ascii="Palatino Linotype" w:eastAsia="Palatino Linotype" w:hAnsi="Palatino Linotype" w:cs="Palatino Linotype"/>
                <w:b/>
                <w:sz w:val="22"/>
                <w:szCs w:val="22"/>
              </w:rPr>
              <w:t>/INFOEM/IP/RR/202</w:t>
            </w:r>
            <w:r w:rsidR="00DB4A65" w:rsidRPr="001070AF">
              <w:rPr>
                <w:rFonts w:ascii="Palatino Linotype" w:eastAsia="Palatino Linotype" w:hAnsi="Palatino Linotype" w:cs="Palatino Linotype"/>
                <w:b/>
                <w:sz w:val="22"/>
                <w:szCs w:val="22"/>
              </w:rPr>
              <w:t>5</w:t>
            </w:r>
          </w:p>
        </w:tc>
        <w:tc>
          <w:tcPr>
            <w:tcW w:w="4461" w:type="dxa"/>
          </w:tcPr>
          <w:p w14:paraId="5AC03808" w14:textId="77777777" w:rsidR="00781AC8" w:rsidRPr="001070AF" w:rsidRDefault="001B2F05" w:rsidP="00450366">
            <w:pPr>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Comisionad</w:t>
            </w:r>
            <w:r w:rsidR="007A76CD" w:rsidRPr="001070AF">
              <w:rPr>
                <w:rFonts w:ascii="Palatino Linotype" w:eastAsia="Palatino Linotype" w:hAnsi="Palatino Linotype" w:cs="Palatino Linotype"/>
                <w:b/>
                <w:sz w:val="22"/>
                <w:szCs w:val="22"/>
              </w:rPr>
              <w:t>o Presidente José Martínez Vilchis.</w:t>
            </w:r>
          </w:p>
        </w:tc>
      </w:tr>
    </w:tbl>
    <w:p w14:paraId="5CD62AC2" w14:textId="77777777" w:rsidR="005654BC" w:rsidRPr="001070AF" w:rsidRDefault="005654BC" w:rsidP="00450366">
      <w:pPr>
        <w:spacing w:line="360" w:lineRule="auto"/>
        <w:jc w:val="both"/>
        <w:rPr>
          <w:rFonts w:ascii="Palatino Linotype" w:eastAsia="Palatino Linotype" w:hAnsi="Palatino Linotype" w:cs="Palatino Linotype"/>
          <w:b/>
          <w:sz w:val="22"/>
          <w:szCs w:val="22"/>
        </w:rPr>
      </w:pPr>
    </w:p>
    <w:p w14:paraId="21E2BB5D" w14:textId="3A590D83"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5. Admisiones. </w:t>
      </w:r>
      <w:r w:rsidRPr="001070AF">
        <w:rPr>
          <w:rFonts w:ascii="Palatino Linotype" w:eastAsia="Palatino Linotype" w:hAnsi="Palatino Linotype" w:cs="Palatino Linotype"/>
          <w:sz w:val="22"/>
          <w:szCs w:val="22"/>
        </w:rPr>
        <w:t>E</w:t>
      </w:r>
      <w:r w:rsidR="007A76CD" w:rsidRPr="001070AF">
        <w:rPr>
          <w:rFonts w:ascii="Palatino Linotype" w:eastAsia="Palatino Linotype" w:hAnsi="Palatino Linotype" w:cs="Palatino Linotype"/>
          <w:sz w:val="22"/>
          <w:szCs w:val="22"/>
        </w:rPr>
        <w:t>n fecha</w:t>
      </w:r>
      <w:r w:rsidR="00DA1C98" w:rsidRPr="001070AF">
        <w:rPr>
          <w:rFonts w:ascii="Palatino Linotype" w:eastAsia="Palatino Linotype" w:hAnsi="Palatino Linotype" w:cs="Palatino Linotype"/>
          <w:sz w:val="22"/>
          <w:szCs w:val="22"/>
        </w:rPr>
        <w:t>s</w:t>
      </w:r>
      <w:r w:rsidR="007A76CD" w:rsidRPr="001070AF">
        <w:rPr>
          <w:rFonts w:ascii="Palatino Linotype" w:eastAsia="Palatino Linotype" w:hAnsi="Palatino Linotype" w:cs="Palatino Linotype"/>
          <w:sz w:val="22"/>
          <w:szCs w:val="22"/>
        </w:rPr>
        <w:t xml:space="preserve"> </w:t>
      </w:r>
      <w:r w:rsidR="00DA1C98" w:rsidRPr="001070AF">
        <w:rPr>
          <w:rFonts w:ascii="Palatino Linotype" w:eastAsia="Palatino Linotype" w:hAnsi="Palatino Linotype" w:cs="Palatino Linotype"/>
          <w:b/>
          <w:sz w:val="22"/>
          <w:szCs w:val="22"/>
        </w:rPr>
        <w:t>diecisiete y diecinueve de septiembre</w:t>
      </w:r>
      <w:r w:rsidR="00895915"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b/>
          <w:sz w:val="22"/>
          <w:szCs w:val="22"/>
        </w:rPr>
        <w:t>de dos mil veinti</w:t>
      </w:r>
      <w:r w:rsidR="007A76CD" w:rsidRPr="001070AF">
        <w:rPr>
          <w:rFonts w:ascii="Palatino Linotype" w:eastAsia="Palatino Linotype" w:hAnsi="Palatino Linotype" w:cs="Palatino Linotype"/>
          <w:b/>
          <w:sz w:val="22"/>
          <w:szCs w:val="22"/>
        </w:rPr>
        <w:t>c</w:t>
      </w:r>
      <w:r w:rsidR="00DB4A65" w:rsidRPr="001070AF">
        <w:rPr>
          <w:rFonts w:ascii="Palatino Linotype" w:eastAsia="Palatino Linotype" w:hAnsi="Palatino Linotype" w:cs="Palatino Linotype"/>
          <w:b/>
          <w:sz w:val="22"/>
          <w:szCs w:val="22"/>
        </w:rPr>
        <w:t>inco</w:t>
      </w:r>
      <w:r w:rsidRPr="001070AF">
        <w:rPr>
          <w:rFonts w:ascii="Palatino Linotype" w:eastAsia="Palatino Linotype" w:hAnsi="Palatino Linotype" w:cs="Palatino Linotype"/>
          <w:b/>
          <w:sz w:val="22"/>
          <w:szCs w:val="22"/>
        </w:rPr>
        <w:t>,</w:t>
      </w:r>
      <w:r w:rsidRPr="001070AF">
        <w:rPr>
          <w:rFonts w:ascii="Palatino Linotype" w:eastAsia="Palatino Linotype" w:hAnsi="Palatino Linotype" w:cs="Palatino Linotype"/>
          <w:sz w:val="22"/>
          <w:szCs w:val="22"/>
        </w:rPr>
        <w:t xml:space="preserve"> en términos de lo dispuesto en el artículo 185 fracciones I, II y IV de la Ley de Transparencia y Acceso a la Información Pública del Estado de México y Municipios, se admitieron a trámite los recursos de revisión.</w:t>
      </w:r>
    </w:p>
    <w:p w14:paraId="1F3345D8"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p w14:paraId="76ED683F" w14:textId="10E6D6A0" w:rsidR="005654BC"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6. Acumulación.</w:t>
      </w:r>
      <w:r w:rsidR="005654BC" w:rsidRPr="001070AF">
        <w:rPr>
          <w:rFonts w:ascii="Palatino Linotype" w:eastAsia="Palatino Linotype" w:hAnsi="Palatino Linotype" w:cs="Palatino Linotype"/>
          <w:b/>
          <w:sz w:val="22"/>
          <w:szCs w:val="22"/>
        </w:rPr>
        <w:t xml:space="preserve"> </w:t>
      </w:r>
      <w:r w:rsidR="005654BC" w:rsidRPr="001070AF">
        <w:rPr>
          <w:rFonts w:ascii="Palatino Linotype" w:eastAsia="Palatino Linotype" w:hAnsi="Palatino Linotype" w:cs="Palatino Linotype"/>
          <w:sz w:val="22"/>
          <w:szCs w:val="22"/>
        </w:rPr>
        <w:t xml:space="preserve">Al respecto cabe señalar, que el Pleno de este Instituto, mediante acuerdo de fecha </w:t>
      </w:r>
      <w:r w:rsidR="00DA1C98" w:rsidRPr="001070AF">
        <w:rPr>
          <w:rFonts w:ascii="Palatino Linotype" w:eastAsia="Palatino Linotype" w:hAnsi="Palatino Linotype" w:cs="Palatino Linotype"/>
          <w:b/>
          <w:bCs/>
          <w:sz w:val="22"/>
          <w:szCs w:val="22"/>
        </w:rPr>
        <w:t>veinticuatro de septiembre</w:t>
      </w:r>
      <w:r w:rsidR="005654BC" w:rsidRPr="001070AF">
        <w:rPr>
          <w:rFonts w:ascii="Palatino Linotype" w:eastAsia="Palatino Linotype" w:hAnsi="Palatino Linotype" w:cs="Palatino Linotype"/>
          <w:b/>
          <w:bCs/>
          <w:sz w:val="22"/>
          <w:szCs w:val="22"/>
        </w:rPr>
        <w:t xml:space="preserve"> de dos mil veinticinco</w:t>
      </w:r>
      <w:r w:rsidR="005654BC" w:rsidRPr="001070AF">
        <w:rPr>
          <w:rFonts w:ascii="Palatino Linotype" w:eastAsia="Palatino Linotype" w:hAnsi="Palatino Linotype" w:cs="Palatino Linotype"/>
          <w:b/>
          <w:sz w:val="22"/>
          <w:szCs w:val="22"/>
        </w:rPr>
        <w:t>,</w:t>
      </w:r>
      <w:r w:rsidR="005654BC" w:rsidRPr="001070AF">
        <w:rPr>
          <w:rFonts w:ascii="Palatino Linotype" w:eastAsia="Palatino Linotype" w:hAnsi="Palatino Linotype" w:cs="Palatino Linotype"/>
          <w:sz w:val="22"/>
          <w:szCs w:val="22"/>
        </w:rPr>
        <w:t xml:space="preserve"> ordenó la acumulación de los expedientes citados, al advertir la conexidad de causa y con la finalidad de evitar que se dicten resoluciones contradictorias, de conformidad con el artículo 195 de la Ley de Transparencia y Acceso a la Información Pública del Estado de México y Municipios y artículo 18 del Código de Procedimientos Administrativos del Estado de México, se acordó la acumulación de los recursos antes señalados, acordando que fuera Ponente la </w:t>
      </w:r>
      <w:r w:rsidR="005654BC" w:rsidRPr="001070AF">
        <w:rPr>
          <w:rFonts w:ascii="Palatino Linotype" w:eastAsia="Palatino Linotype" w:hAnsi="Palatino Linotype" w:cs="Palatino Linotype"/>
          <w:b/>
          <w:sz w:val="22"/>
          <w:szCs w:val="22"/>
        </w:rPr>
        <w:t>Comisionada</w:t>
      </w:r>
      <w:r w:rsidR="005654BC" w:rsidRPr="001070AF">
        <w:rPr>
          <w:rFonts w:ascii="Palatino Linotype" w:eastAsia="Palatino Linotype" w:hAnsi="Palatino Linotype" w:cs="Palatino Linotype"/>
          <w:sz w:val="22"/>
          <w:szCs w:val="22"/>
        </w:rPr>
        <w:t xml:space="preserve"> </w:t>
      </w:r>
      <w:r w:rsidR="005654BC" w:rsidRPr="001070AF">
        <w:rPr>
          <w:rFonts w:ascii="Palatino Linotype" w:eastAsia="Palatino Linotype" w:hAnsi="Palatino Linotype" w:cs="Palatino Linotype"/>
          <w:b/>
          <w:sz w:val="22"/>
          <w:szCs w:val="22"/>
        </w:rPr>
        <w:t>Guadalupe Ramírez Peña</w:t>
      </w:r>
      <w:r w:rsidR="005654BC" w:rsidRPr="001070AF">
        <w:rPr>
          <w:rFonts w:ascii="Palatino Linotype" w:eastAsia="Palatino Linotype" w:hAnsi="Palatino Linotype" w:cs="Palatino Linotype"/>
          <w:sz w:val="22"/>
          <w:szCs w:val="22"/>
        </w:rPr>
        <w:t xml:space="preserve">; que mediante acuerdo se notificó a las partes vía </w:t>
      </w:r>
      <w:r w:rsidR="005654BC" w:rsidRPr="001070AF">
        <w:rPr>
          <w:rFonts w:ascii="Palatino Linotype" w:eastAsia="Palatino Linotype" w:hAnsi="Palatino Linotype" w:cs="Palatino Linotype"/>
          <w:b/>
          <w:sz w:val="22"/>
          <w:szCs w:val="22"/>
        </w:rPr>
        <w:t xml:space="preserve">SAIMEX </w:t>
      </w:r>
      <w:r w:rsidR="005654BC" w:rsidRPr="001070AF">
        <w:rPr>
          <w:rFonts w:ascii="Palatino Linotype" w:eastAsia="Palatino Linotype" w:hAnsi="Palatino Linotype" w:cs="Palatino Linotype"/>
          <w:bCs/>
          <w:sz w:val="22"/>
          <w:szCs w:val="22"/>
        </w:rPr>
        <w:t>en fecha</w:t>
      </w:r>
      <w:r w:rsidR="005654BC" w:rsidRPr="001070AF">
        <w:rPr>
          <w:rFonts w:ascii="Palatino Linotype" w:eastAsia="Palatino Linotype" w:hAnsi="Palatino Linotype" w:cs="Palatino Linotype"/>
          <w:b/>
          <w:sz w:val="22"/>
          <w:szCs w:val="22"/>
        </w:rPr>
        <w:t xml:space="preserve"> </w:t>
      </w:r>
      <w:r w:rsidR="00DA1C98" w:rsidRPr="001070AF">
        <w:rPr>
          <w:rFonts w:ascii="Palatino Linotype" w:eastAsia="Palatino Linotype" w:hAnsi="Palatino Linotype" w:cs="Palatino Linotype"/>
          <w:sz w:val="22"/>
          <w:szCs w:val="22"/>
        </w:rPr>
        <w:t>diecinueve de febrero de dos mil veintiséis</w:t>
      </w:r>
      <w:r w:rsidR="005654BC" w:rsidRPr="001070AF">
        <w:rPr>
          <w:rFonts w:ascii="Palatino Linotype" w:eastAsia="Palatino Linotype" w:hAnsi="Palatino Linotype" w:cs="Palatino Linotype"/>
          <w:sz w:val="22"/>
          <w:szCs w:val="22"/>
        </w:rPr>
        <w:t xml:space="preserve">. </w:t>
      </w:r>
    </w:p>
    <w:p w14:paraId="0D0B427E" w14:textId="77777777" w:rsidR="005654BC" w:rsidRPr="001070AF" w:rsidRDefault="005654BC" w:rsidP="00450366">
      <w:pPr>
        <w:spacing w:line="360" w:lineRule="auto"/>
        <w:jc w:val="both"/>
        <w:rPr>
          <w:rFonts w:ascii="Palatino Linotype" w:eastAsia="Palatino Linotype" w:hAnsi="Palatino Linotype" w:cs="Palatino Linotype"/>
          <w:sz w:val="22"/>
          <w:szCs w:val="22"/>
        </w:rPr>
      </w:pPr>
    </w:p>
    <w:p w14:paraId="763BC9B2" w14:textId="0A024F59" w:rsidR="00C6409B"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7. Manifestaciones. </w:t>
      </w:r>
      <w:r w:rsidRPr="001070AF">
        <w:rPr>
          <w:rFonts w:ascii="Palatino Linotype" w:eastAsia="Palatino Linotype" w:hAnsi="Palatino Linotype" w:cs="Palatino Linotype"/>
          <w:sz w:val="22"/>
          <w:szCs w:val="22"/>
        </w:rPr>
        <w:t xml:space="preserve">De las constancias que obran en los expedientes electrónicos del SAIMEX se desprende que 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rindió sus informes justificados, </w:t>
      </w:r>
      <w:r w:rsidR="00FD5B37" w:rsidRPr="001070AF">
        <w:rPr>
          <w:rFonts w:ascii="Palatino Linotype" w:eastAsia="Palatino Linotype" w:hAnsi="Palatino Linotype" w:cs="Palatino Linotype"/>
          <w:sz w:val="22"/>
          <w:szCs w:val="22"/>
        </w:rPr>
        <w:t xml:space="preserve">los días </w:t>
      </w:r>
      <w:r w:rsidR="00903DF5" w:rsidRPr="001070AF">
        <w:rPr>
          <w:rFonts w:ascii="Palatino Linotype" w:eastAsia="Palatino Linotype" w:hAnsi="Palatino Linotype" w:cs="Palatino Linotype"/>
          <w:b/>
          <w:sz w:val="22"/>
          <w:szCs w:val="22"/>
        </w:rPr>
        <w:t>primero de octubre</w:t>
      </w:r>
      <w:r w:rsidRPr="001070AF">
        <w:rPr>
          <w:rFonts w:ascii="Palatino Linotype" w:eastAsia="Palatino Linotype" w:hAnsi="Palatino Linotype" w:cs="Palatino Linotype"/>
          <w:b/>
          <w:sz w:val="22"/>
          <w:szCs w:val="22"/>
        </w:rPr>
        <w:t xml:space="preserve"> de dos mil veinti</w:t>
      </w:r>
      <w:r w:rsidR="003A5590" w:rsidRPr="001070AF">
        <w:rPr>
          <w:rFonts w:ascii="Palatino Linotype" w:eastAsia="Palatino Linotype" w:hAnsi="Palatino Linotype" w:cs="Palatino Linotype"/>
          <w:b/>
          <w:sz w:val="22"/>
          <w:szCs w:val="22"/>
        </w:rPr>
        <w:t>c</w:t>
      </w:r>
      <w:r w:rsidR="00922B13" w:rsidRPr="001070AF">
        <w:rPr>
          <w:rFonts w:ascii="Palatino Linotype" w:eastAsia="Palatino Linotype" w:hAnsi="Palatino Linotype" w:cs="Palatino Linotype"/>
          <w:b/>
          <w:sz w:val="22"/>
          <w:szCs w:val="22"/>
        </w:rPr>
        <w:t>inco</w:t>
      </w:r>
      <w:r w:rsidRPr="001070AF">
        <w:rPr>
          <w:rFonts w:ascii="Palatino Linotype" w:eastAsia="Palatino Linotype" w:hAnsi="Palatino Linotype" w:cs="Palatino Linotype"/>
          <w:sz w:val="22"/>
          <w:szCs w:val="22"/>
        </w:rPr>
        <w:t xml:space="preserve">, mediante los archivos electrónicos </w:t>
      </w:r>
      <w:r w:rsidR="00903DF5" w:rsidRPr="001070AF">
        <w:rPr>
          <w:rFonts w:ascii="Palatino Linotype" w:eastAsia="Palatino Linotype" w:hAnsi="Palatino Linotype" w:cs="Palatino Linotype"/>
          <w:b/>
          <w:i/>
          <w:sz w:val="22"/>
          <w:szCs w:val="22"/>
        </w:rPr>
        <w:t>“ANEXO.pdf”</w:t>
      </w:r>
      <w:r w:rsidR="00903DF5" w:rsidRPr="001070AF">
        <w:rPr>
          <w:rFonts w:ascii="Palatino Linotype" w:eastAsia="Palatino Linotype" w:hAnsi="Palatino Linotype" w:cs="Palatino Linotype"/>
          <w:sz w:val="22"/>
          <w:szCs w:val="22"/>
        </w:rPr>
        <w:t xml:space="preserve"> y </w:t>
      </w:r>
      <w:r w:rsidR="00903DF5" w:rsidRPr="001070AF">
        <w:rPr>
          <w:rFonts w:ascii="Palatino Linotype" w:eastAsia="Palatino Linotype" w:hAnsi="Palatino Linotype" w:cs="Palatino Linotype"/>
          <w:b/>
          <w:i/>
          <w:sz w:val="22"/>
          <w:szCs w:val="22"/>
        </w:rPr>
        <w:t>“27 VIGÉSIMA SÉPTMA SESIÓN EXTRAORDINARIA (2).pdf, manifestaciones.pdf</w:t>
      </w:r>
      <w:r w:rsidR="00903DF5" w:rsidRPr="001070AF">
        <w:rPr>
          <w:rFonts w:ascii="Palatino Linotype" w:eastAsia="Palatino Linotype" w:hAnsi="Palatino Linotype" w:cs="Palatino Linotype"/>
          <w:sz w:val="22"/>
          <w:szCs w:val="22"/>
        </w:rPr>
        <w:t xml:space="preserve"> y </w:t>
      </w:r>
      <w:r w:rsidR="00903DF5" w:rsidRPr="001070AF">
        <w:rPr>
          <w:rFonts w:ascii="Palatino Linotype" w:eastAsia="Palatino Linotype" w:hAnsi="Palatino Linotype" w:cs="Palatino Linotype"/>
          <w:b/>
          <w:i/>
          <w:sz w:val="22"/>
          <w:szCs w:val="22"/>
        </w:rPr>
        <w:t>respuesta.pdf”</w:t>
      </w:r>
      <w:r w:rsidRPr="001070AF">
        <w:rPr>
          <w:rFonts w:ascii="Palatino Linotype" w:eastAsia="Palatino Linotype" w:hAnsi="Palatino Linotype" w:cs="Palatino Linotype"/>
          <w:b/>
          <w:i/>
          <w:sz w:val="22"/>
          <w:szCs w:val="22"/>
        </w:rPr>
        <w:t xml:space="preserve">, </w:t>
      </w:r>
      <w:r w:rsidR="00922B13" w:rsidRPr="001070AF">
        <w:rPr>
          <w:rFonts w:ascii="Palatino Linotype" w:eastAsia="Palatino Linotype" w:hAnsi="Palatino Linotype" w:cs="Palatino Linotype"/>
          <w:bCs/>
          <w:iCs/>
          <w:sz w:val="22"/>
          <w:szCs w:val="22"/>
        </w:rPr>
        <w:t>a través de los cuales</w:t>
      </w:r>
      <w:r w:rsidR="001318BC" w:rsidRPr="001070AF">
        <w:rPr>
          <w:rFonts w:ascii="Palatino Linotype" w:eastAsia="Palatino Linotype" w:hAnsi="Palatino Linotype" w:cs="Palatino Linotype"/>
          <w:bCs/>
          <w:iCs/>
          <w:sz w:val="22"/>
          <w:szCs w:val="22"/>
        </w:rPr>
        <w:t xml:space="preserve"> medularmente </w:t>
      </w:r>
      <w:r w:rsidR="00903DF5" w:rsidRPr="001070AF">
        <w:rPr>
          <w:rFonts w:ascii="Palatino Linotype" w:eastAsia="Palatino Linotype" w:hAnsi="Palatino Linotype" w:cs="Palatino Linotype"/>
          <w:bCs/>
          <w:iCs/>
          <w:sz w:val="22"/>
          <w:szCs w:val="22"/>
        </w:rPr>
        <w:t xml:space="preserve">confirma la clasificación de la información solicitada. </w:t>
      </w:r>
    </w:p>
    <w:p w14:paraId="371E40A7" w14:textId="77777777" w:rsidR="00C6409B" w:rsidRPr="001070AF" w:rsidRDefault="00C6409B" w:rsidP="00450366">
      <w:pPr>
        <w:spacing w:line="360" w:lineRule="auto"/>
        <w:jc w:val="both"/>
        <w:rPr>
          <w:rFonts w:ascii="Palatino Linotype" w:eastAsia="Palatino Linotype" w:hAnsi="Palatino Linotype" w:cs="Palatino Linotype"/>
          <w:bCs/>
          <w:iCs/>
          <w:sz w:val="22"/>
          <w:szCs w:val="22"/>
        </w:rPr>
      </w:pPr>
    </w:p>
    <w:p w14:paraId="7CE6C86C" w14:textId="2C55B59F" w:rsidR="00903DF5" w:rsidRPr="001070AF" w:rsidRDefault="00FD5B37"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Asimismo,</w:t>
      </w:r>
      <w:r w:rsidR="001B2F05" w:rsidRPr="001070AF">
        <w:rPr>
          <w:rFonts w:ascii="Palatino Linotype" w:eastAsia="Palatino Linotype" w:hAnsi="Palatino Linotype" w:cs="Palatino Linotype"/>
          <w:sz w:val="22"/>
          <w:szCs w:val="22"/>
        </w:rPr>
        <w:t xml:space="preserve"> por cuanto hace a la parte</w:t>
      </w:r>
      <w:r w:rsidR="001B2F05" w:rsidRPr="001070AF">
        <w:rPr>
          <w:rFonts w:ascii="Palatino Linotype" w:eastAsia="Palatino Linotype" w:hAnsi="Palatino Linotype" w:cs="Palatino Linotype"/>
          <w:b/>
          <w:sz w:val="22"/>
          <w:szCs w:val="22"/>
        </w:rPr>
        <w:t xml:space="preserve"> Recurrente</w:t>
      </w:r>
      <w:r w:rsidR="001B2F05" w:rsidRPr="001070AF">
        <w:rPr>
          <w:rFonts w:ascii="Palatino Linotype" w:eastAsia="Palatino Linotype" w:hAnsi="Palatino Linotype" w:cs="Palatino Linotype"/>
          <w:sz w:val="22"/>
          <w:szCs w:val="22"/>
        </w:rPr>
        <w:t xml:space="preserve">, </w:t>
      </w:r>
      <w:r w:rsidR="00903DF5" w:rsidRPr="001070AF">
        <w:rPr>
          <w:rFonts w:ascii="Palatino Linotype" w:eastAsia="Palatino Linotype" w:hAnsi="Palatino Linotype" w:cs="Palatino Linotype"/>
          <w:sz w:val="22"/>
          <w:szCs w:val="22"/>
        </w:rPr>
        <w:t xml:space="preserve">en fecha diecinueve de febrero de dos mil veintiséis, hizo entrega del archivo electrónico denominado </w:t>
      </w:r>
      <w:r w:rsidR="00903DF5" w:rsidRPr="001070AF">
        <w:rPr>
          <w:rFonts w:ascii="Palatino Linotype" w:eastAsia="Palatino Linotype" w:hAnsi="Palatino Linotype" w:cs="Palatino Linotype"/>
          <w:b/>
          <w:i/>
          <w:sz w:val="22"/>
          <w:szCs w:val="22"/>
        </w:rPr>
        <w:t>“eca 19feb.pdf”</w:t>
      </w:r>
      <w:r w:rsidR="00903DF5" w:rsidRPr="001070AF">
        <w:rPr>
          <w:rFonts w:ascii="Palatino Linotype" w:eastAsia="Palatino Linotype" w:hAnsi="Palatino Linotype" w:cs="Palatino Linotype"/>
          <w:sz w:val="22"/>
          <w:szCs w:val="22"/>
        </w:rPr>
        <w:t>, en el que refirió: “</w:t>
      </w:r>
      <w:r w:rsidR="00903DF5" w:rsidRPr="001070AF">
        <w:rPr>
          <w:rFonts w:ascii="Palatino Linotype" w:eastAsia="Palatino Linotype" w:hAnsi="Palatino Linotype" w:cs="Palatino Linotype"/>
          <w:i/>
          <w:sz w:val="22"/>
          <w:szCs w:val="22"/>
        </w:rPr>
        <w:t>La clasificacion impuesta por el sujeto obligado es violatoria de la ley.” (Sic)</w:t>
      </w:r>
    </w:p>
    <w:p w14:paraId="5A4819FD" w14:textId="77777777" w:rsidR="009620A4" w:rsidRPr="001070AF" w:rsidRDefault="009620A4" w:rsidP="00450366">
      <w:pPr>
        <w:spacing w:line="360" w:lineRule="auto"/>
        <w:jc w:val="both"/>
        <w:rPr>
          <w:rFonts w:ascii="Palatino Linotype" w:eastAsia="Palatino Linotype" w:hAnsi="Palatino Linotype" w:cs="Palatino Linotype"/>
          <w:sz w:val="22"/>
          <w:szCs w:val="22"/>
        </w:rPr>
      </w:pPr>
    </w:p>
    <w:p w14:paraId="103A743D" w14:textId="2D2B09E5" w:rsidR="00CF3C09" w:rsidRPr="001070AF" w:rsidRDefault="00CF3C09" w:rsidP="00450366">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7. Ampliación del plazo.</w:t>
      </w:r>
      <w:r w:rsidRPr="001070AF">
        <w:rPr>
          <w:rFonts w:ascii="Palatino Linotype" w:eastAsia="Palatino Linotype" w:hAnsi="Palatino Linotype" w:cs="Palatino Linotype"/>
          <w:sz w:val="22"/>
          <w:szCs w:val="22"/>
        </w:rPr>
        <w:t xml:space="preserve"> En fecha </w:t>
      </w:r>
      <w:r w:rsidR="00903DF5" w:rsidRPr="001070AF">
        <w:rPr>
          <w:rFonts w:ascii="Palatino Linotype" w:eastAsia="Palatino Linotype" w:hAnsi="Palatino Linotype" w:cs="Palatino Linotype"/>
          <w:b/>
          <w:sz w:val="22"/>
          <w:szCs w:val="22"/>
        </w:rPr>
        <w:t>veinti</w:t>
      </w:r>
      <w:r w:rsidR="00A82A23" w:rsidRPr="001070AF">
        <w:rPr>
          <w:rFonts w:ascii="Palatino Linotype" w:eastAsia="Palatino Linotype" w:hAnsi="Palatino Linotype" w:cs="Palatino Linotype"/>
          <w:b/>
          <w:sz w:val="22"/>
          <w:szCs w:val="22"/>
        </w:rPr>
        <w:t xml:space="preserve">cinco </w:t>
      </w:r>
      <w:r w:rsidRPr="001070AF">
        <w:rPr>
          <w:rFonts w:ascii="Palatino Linotype" w:eastAsia="Palatino Linotype" w:hAnsi="Palatino Linotype" w:cs="Palatino Linotype"/>
          <w:b/>
          <w:sz w:val="22"/>
          <w:szCs w:val="22"/>
        </w:rPr>
        <w:t>de febrero de dos mil veintiséis</w:t>
      </w:r>
      <w:r w:rsidRPr="001070AF">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w:t>
      </w:r>
    </w:p>
    <w:p w14:paraId="2D8A08E6" w14:textId="77777777" w:rsidR="00CF3C09" w:rsidRPr="001070AF" w:rsidRDefault="00CF3C09" w:rsidP="00450366">
      <w:pPr>
        <w:widowControl w:val="0"/>
        <w:spacing w:line="360" w:lineRule="auto"/>
        <w:jc w:val="both"/>
        <w:rPr>
          <w:rFonts w:ascii="Palatino Linotype" w:eastAsia="Palatino Linotype" w:hAnsi="Palatino Linotype" w:cs="Palatino Linotype"/>
          <w:sz w:val="22"/>
          <w:szCs w:val="22"/>
        </w:rPr>
      </w:pPr>
    </w:p>
    <w:p w14:paraId="23843700"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223EAD81"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5992F1AC"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54E3C15"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5563E159"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3C8E693"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7D428E09"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7D4FDA30"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7B726B6E" w14:textId="77777777" w:rsidR="00CF3C09" w:rsidRPr="001070AF" w:rsidRDefault="00CF3C09" w:rsidP="00450366">
      <w:pPr>
        <w:spacing w:line="360" w:lineRule="auto"/>
        <w:jc w:val="both"/>
        <w:rPr>
          <w:rFonts w:ascii="Palatino Linotype" w:eastAsia="Palatino Linotype" w:hAnsi="Palatino Linotype" w:cs="Palatino Linotype"/>
          <w:strike/>
          <w:sz w:val="22"/>
          <w:szCs w:val="22"/>
        </w:rPr>
      </w:pPr>
      <w:r w:rsidRPr="001070AF">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F904EDF"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0E2EC138" w14:textId="77777777" w:rsidR="00CF3C09" w:rsidRPr="001070AF" w:rsidRDefault="00CF3C09" w:rsidP="00450366">
      <w:pPr>
        <w:numPr>
          <w:ilvl w:val="0"/>
          <w:numId w:val="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Complejidad del Asunto:</w:t>
      </w:r>
      <w:r w:rsidRPr="001070AF">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32B72CBA" w14:textId="77777777" w:rsidR="00CF3C09" w:rsidRPr="001070AF" w:rsidRDefault="00CF3C09" w:rsidP="00450366">
      <w:pPr>
        <w:spacing w:line="360" w:lineRule="auto"/>
        <w:ind w:left="927"/>
        <w:jc w:val="both"/>
        <w:rPr>
          <w:rFonts w:ascii="Palatino Linotype" w:eastAsia="Palatino Linotype" w:hAnsi="Palatino Linotype" w:cs="Palatino Linotype"/>
          <w:sz w:val="22"/>
          <w:szCs w:val="22"/>
        </w:rPr>
      </w:pPr>
    </w:p>
    <w:p w14:paraId="383BBBEE" w14:textId="77777777" w:rsidR="00CF3C09" w:rsidRPr="001070AF" w:rsidRDefault="00CF3C09" w:rsidP="00450366">
      <w:pPr>
        <w:numPr>
          <w:ilvl w:val="0"/>
          <w:numId w:val="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Actividad Procesal del interesado.</w:t>
      </w:r>
      <w:r w:rsidRPr="001070AF">
        <w:rPr>
          <w:rFonts w:ascii="Palatino Linotype" w:eastAsia="Palatino Linotype" w:hAnsi="Palatino Linotype" w:cs="Palatino Linotype"/>
          <w:sz w:val="22"/>
          <w:szCs w:val="22"/>
        </w:rPr>
        <w:t xml:space="preserve"> Acciones u omisiones del interesado.</w:t>
      </w:r>
    </w:p>
    <w:p w14:paraId="66A56390" w14:textId="77777777" w:rsidR="00CF3C09" w:rsidRPr="001070AF" w:rsidRDefault="00CF3C09" w:rsidP="00450366">
      <w:pPr>
        <w:spacing w:line="360" w:lineRule="auto"/>
        <w:ind w:left="927"/>
        <w:jc w:val="both"/>
        <w:rPr>
          <w:rFonts w:ascii="Palatino Linotype" w:eastAsia="Palatino Linotype" w:hAnsi="Palatino Linotype" w:cs="Palatino Linotype"/>
          <w:sz w:val="22"/>
          <w:szCs w:val="22"/>
        </w:rPr>
      </w:pPr>
    </w:p>
    <w:p w14:paraId="71E97DCD" w14:textId="77777777" w:rsidR="00CF3C09" w:rsidRPr="001070AF" w:rsidRDefault="00CF3C09" w:rsidP="00450366">
      <w:pPr>
        <w:numPr>
          <w:ilvl w:val="0"/>
          <w:numId w:val="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Conducta de la Autoridad:</w:t>
      </w:r>
      <w:r w:rsidRPr="001070AF">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258C104B" w14:textId="77777777" w:rsidR="00CF3C09" w:rsidRPr="001070AF" w:rsidRDefault="00CF3C09" w:rsidP="00450366">
      <w:pPr>
        <w:spacing w:line="360" w:lineRule="auto"/>
        <w:ind w:left="927"/>
        <w:jc w:val="both"/>
        <w:rPr>
          <w:rFonts w:ascii="Palatino Linotype" w:eastAsia="Palatino Linotype" w:hAnsi="Palatino Linotype" w:cs="Palatino Linotype"/>
          <w:sz w:val="22"/>
          <w:szCs w:val="22"/>
        </w:rPr>
      </w:pPr>
    </w:p>
    <w:p w14:paraId="0959D99A" w14:textId="77777777" w:rsidR="00CF3C09" w:rsidRPr="001070AF" w:rsidRDefault="00CF3C09" w:rsidP="00450366">
      <w:pPr>
        <w:numPr>
          <w:ilvl w:val="0"/>
          <w:numId w:val="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
          <w:sz w:val="22"/>
          <w:szCs w:val="22"/>
        </w:rPr>
        <w:t xml:space="preserve">La afectación generada en la situación jurídica de la persona involucrada en el proceso: </w:t>
      </w:r>
      <w:r w:rsidRPr="001070AF">
        <w:rPr>
          <w:rFonts w:ascii="Palatino Linotype" w:eastAsia="Palatino Linotype" w:hAnsi="Palatino Linotype" w:cs="Palatino Linotype"/>
          <w:sz w:val="22"/>
          <w:szCs w:val="22"/>
        </w:rPr>
        <w:t>Violación a sus derechos humanos.</w:t>
      </w:r>
    </w:p>
    <w:p w14:paraId="56FD9FF1"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5AEDC6D4"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EF18A88"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435C633D" w14:textId="77777777" w:rsidR="00CF3C09" w:rsidRPr="001070AF" w:rsidRDefault="00CF3C09" w:rsidP="00450366">
      <w:pPr>
        <w:spacing w:line="360" w:lineRule="auto"/>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1070AF">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1070AF">
        <w:rPr>
          <w:rFonts w:ascii="Palatino Linotype" w:eastAsia="Palatino Linotype" w:hAnsi="Palatino Linotype" w:cs="Palatino Linotype"/>
          <w:sz w:val="22"/>
          <w:szCs w:val="22"/>
        </w:rPr>
        <w:t>, visible en la Gaceta del Seminario Judicial de la Federación con el registro digital 205635.</w:t>
      </w:r>
    </w:p>
    <w:p w14:paraId="4A58014A"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2D363D77"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4E0BFF2"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0D3065DB"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14C04C37"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p>
    <w:p w14:paraId="3038A2AA" w14:textId="77777777" w:rsidR="00CF3C09" w:rsidRPr="001070AF" w:rsidRDefault="00CF3C09" w:rsidP="00450366">
      <w:pPr>
        <w:spacing w:line="360" w:lineRule="auto"/>
        <w:ind w:left="851" w:right="616"/>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i/>
          <w:sz w:val="22"/>
          <w:szCs w:val="22"/>
        </w:rPr>
        <w:t>“PLAZO RAZONABLE PARA RESOLVER. DIMENSIÓN Y EFECTOS DE ESTE CONCEPTO CUANDO SE ADUCE EXCESIVA CARGA DE TRABAJO.”</w:t>
      </w:r>
      <w:r w:rsidRPr="001070AF">
        <w:rPr>
          <w:rFonts w:ascii="Palatino Linotype" w:eastAsia="Palatino Linotype" w:hAnsi="Palatino Linotype" w:cs="Palatino Linotype"/>
          <w:sz w:val="22"/>
          <w:szCs w:val="22"/>
        </w:rPr>
        <w:t xml:space="preserve"> consultable en el Seminario Judicial de la Federación y su gaceta, con el registro digital 2002351.</w:t>
      </w:r>
    </w:p>
    <w:p w14:paraId="07C50E95" w14:textId="77777777" w:rsidR="00CF3C09" w:rsidRPr="001070AF" w:rsidRDefault="00CF3C09" w:rsidP="00450366">
      <w:pPr>
        <w:spacing w:line="360" w:lineRule="auto"/>
        <w:ind w:left="851" w:right="616"/>
        <w:jc w:val="both"/>
        <w:rPr>
          <w:rFonts w:ascii="Palatino Linotype" w:eastAsia="Palatino Linotype" w:hAnsi="Palatino Linotype" w:cs="Palatino Linotype"/>
          <w:b/>
          <w:sz w:val="22"/>
          <w:szCs w:val="22"/>
        </w:rPr>
      </w:pPr>
    </w:p>
    <w:p w14:paraId="2DCD0DCC" w14:textId="77777777" w:rsidR="00CF3C09" w:rsidRPr="001070AF" w:rsidRDefault="00CF3C09" w:rsidP="00450366">
      <w:pPr>
        <w:spacing w:line="360" w:lineRule="auto"/>
        <w:ind w:left="851" w:right="616"/>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1070AF">
        <w:rPr>
          <w:rFonts w:ascii="Palatino Linotype" w:eastAsia="Palatino Linotype" w:hAnsi="Palatino Linotype" w:cs="Palatino Linotype"/>
          <w:sz w:val="22"/>
          <w:szCs w:val="22"/>
        </w:rPr>
        <w:t>, visible en el Seminario Judicial de la Federación y su gaceta, con el registro digital 2002350.</w:t>
      </w:r>
    </w:p>
    <w:p w14:paraId="2E971045" w14:textId="77777777" w:rsidR="00CF3C09" w:rsidRPr="001070AF" w:rsidRDefault="00CF3C09" w:rsidP="00450366">
      <w:pPr>
        <w:spacing w:line="360" w:lineRule="auto"/>
        <w:ind w:left="567" w:right="616"/>
        <w:jc w:val="both"/>
        <w:rPr>
          <w:rFonts w:ascii="Palatino Linotype" w:eastAsia="Palatino Linotype" w:hAnsi="Palatino Linotype" w:cs="Palatino Linotype"/>
          <w:sz w:val="22"/>
          <w:szCs w:val="22"/>
        </w:rPr>
      </w:pPr>
    </w:p>
    <w:p w14:paraId="7457F3A4" w14:textId="77777777" w:rsidR="00CF3C09" w:rsidRPr="001070AF" w:rsidRDefault="00CF3C09"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19C24F57" w14:textId="77777777" w:rsidR="003C6F24" w:rsidRPr="001070AF" w:rsidRDefault="003C6F24" w:rsidP="00450366">
      <w:pPr>
        <w:spacing w:line="360" w:lineRule="auto"/>
        <w:jc w:val="both"/>
        <w:rPr>
          <w:rFonts w:ascii="Palatino Linotype" w:eastAsia="Palatino Linotype" w:hAnsi="Palatino Linotype" w:cs="Palatino Linotype"/>
          <w:sz w:val="22"/>
          <w:szCs w:val="22"/>
        </w:rPr>
      </w:pPr>
    </w:p>
    <w:p w14:paraId="668273D1" w14:textId="01495751" w:rsidR="00781AC8" w:rsidRPr="001070AF" w:rsidRDefault="00922B13"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8</w:t>
      </w:r>
      <w:r w:rsidR="001B2F05" w:rsidRPr="001070AF">
        <w:rPr>
          <w:rFonts w:ascii="Palatino Linotype" w:eastAsia="Palatino Linotype" w:hAnsi="Palatino Linotype" w:cs="Palatino Linotype"/>
          <w:b/>
          <w:sz w:val="22"/>
          <w:szCs w:val="22"/>
        </w:rPr>
        <w:t xml:space="preserve">. Cierres de instrucción. </w:t>
      </w:r>
      <w:r w:rsidR="001B2F05" w:rsidRPr="001070AF">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 los expedientes, el </w:t>
      </w:r>
      <w:r w:rsidR="00274793" w:rsidRPr="001070AF">
        <w:rPr>
          <w:rFonts w:ascii="Palatino Linotype" w:eastAsia="Palatino Linotype" w:hAnsi="Palatino Linotype" w:cs="Palatino Linotype"/>
          <w:b/>
          <w:sz w:val="22"/>
          <w:szCs w:val="22"/>
        </w:rPr>
        <w:t>veinti</w:t>
      </w:r>
      <w:r w:rsidR="00903DF5" w:rsidRPr="001070AF">
        <w:rPr>
          <w:rFonts w:ascii="Palatino Linotype" w:eastAsia="Palatino Linotype" w:hAnsi="Palatino Linotype" w:cs="Palatino Linotype"/>
          <w:b/>
          <w:sz w:val="22"/>
          <w:szCs w:val="22"/>
        </w:rPr>
        <w:t xml:space="preserve">cinco </w:t>
      </w:r>
      <w:r w:rsidRPr="001070AF">
        <w:rPr>
          <w:rFonts w:ascii="Palatino Linotype" w:eastAsia="Palatino Linotype" w:hAnsi="Palatino Linotype" w:cs="Palatino Linotype"/>
          <w:b/>
          <w:sz w:val="22"/>
          <w:szCs w:val="22"/>
        </w:rPr>
        <w:t>de febrero</w:t>
      </w:r>
      <w:r w:rsidR="001B2F05" w:rsidRPr="001070AF">
        <w:rPr>
          <w:rFonts w:ascii="Palatino Linotype" w:eastAsia="Palatino Linotype" w:hAnsi="Palatino Linotype" w:cs="Palatino Linotype"/>
          <w:b/>
          <w:sz w:val="22"/>
          <w:szCs w:val="22"/>
        </w:rPr>
        <w:t xml:space="preserve"> de dos mil </w:t>
      </w:r>
      <w:r w:rsidR="00274793" w:rsidRPr="001070AF">
        <w:rPr>
          <w:rFonts w:ascii="Palatino Linotype" w:eastAsia="Palatino Linotype" w:hAnsi="Palatino Linotype" w:cs="Palatino Linotype"/>
          <w:b/>
          <w:sz w:val="22"/>
          <w:szCs w:val="22"/>
        </w:rPr>
        <w:t>veintiséis</w:t>
      </w:r>
      <w:r w:rsidR="001B2F05" w:rsidRPr="001070AF">
        <w:rPr>
          <w:rFonts w:ascii="Palatino Linotype" w:eastAsia="Palatino Linotype" w:hAnsi="Palatino Linotype" w:cs="Palatino Linotype"/>
          <w:sz w:val="22"/>
          <w:szCs w:val="22"/>
        </w:rPr>
        <w:t>, la Comisionada Ponente determinó los cierres de instrucción en términos de la fracción VI del artículo 185 de la Ley de Transparencia y Acceso a la Información Pública del Estado de México y Municipios.</w:t>
      </w:r>
    </w:p>
    <w:p w14:paraId="4E6A7B78" w14:textId="77777777" w:rsidR="003C6F24" w:rsidRPr="001070AF" w:rsidRDefault="003C6F24" w:rsidP="00450366">
      <w:pPr>
        <w:spacing w:line="360" w:lineRule="auto"/>
        <w:jc w:val="both"/>
        <w:rPr>
          <w:rFonts w:ascii="Palatino Linotype" w:eastAsia="Palatino Linotype" w:hAnsi="Palatino Linotype" w:cs="Palatino Linotype"/>
          <w:sz w:val="22"/>
          <w:szCs w:val="22"/>
        </w:rPr>
      </w:pPr>
    </w:p>
    <w:p w14:paraId="22F64357" w14:textId="7D97403C"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razón de que fueron debidamente sustanciados los expedientes electrónico</w:t>
      </w:r>
      <w:r w:rsidR="00D066C0"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xml:space="preserve"> y no existen diligencias pendientes de desahogo, se emite la Resolución que conforme a Derecho proceda, de acuerdo con los siguientes: </w:t>
      </w:r>
    </w:p>
    <w:p w14:paraId="660F93A4" w14:textId="10A8B712" w:rsidR="003C6F24" w:rsidRPr="001070AF" w:rsidRDefault="003C6F24" w:rsidP="00450366">
      <w:pPr>
        <w:spacing w:line="360" w:lineRule="auto"/>
        <w:jc w:val="both"/>
        <w:rPr>
          <w:rFonts w:ascii="Palatino Linotype" w:eastAsia="Palatino Linotype" w:hAnsi="Palatino Linotype" w:cs="Palatino Linotype"/>
          <w:sz w:val="22"/>
          <w:szCs w:val="22"/>
        </w:rPr>
      </w:pPr>
    </w:p>
    <w:p w14:paraId="3383E97C" w14:textId="77777777" w:rsidR="00542087" w:rsidRPr="001070AF" w:rsidRDefault="00542087" w:rsidP="00450366">
      <w:pPr>
        <w:spacing w:line="360" w:lineRule="auto"/>
        <w:jc w:val="both"/>
        <w:rPr>
          <w:rFonts w:ascii="Palatino Linotype" w:eastAsia="Palatino Linotype" w:hAnsi="Palatino Linotype" w:cs="Palatino Linotype"/>
          <w:sz w:val="22"/>
          <w:szCs w:val="22"/>
        </w:rPr>
      </w:pPr>
    </w:p>
    <w:p w14:paraId="5C8224DD" w14:textId="77777777" w:rsidR="00781AC8" w:rsidRPr="001070AF" w:rsidRDefault="001B2F05" w:rsidP="00450366">
      <w:pPr>
        <w:widowControl w:val="0"/>
        <w:spacing w:line="360" w:lineRule="auto"/>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II. C O N S I D E R A N D O S</w:t>
      </w:r>
    </w:p>
    <w:p w14:paraId="07CD1E56" w14:textId="77777777" w:rsidR="00781AC8" w:rsidRPr="001070AF" w:rsidRDefault="00781AC8" w:rsidP="00450366">
      <w:pPr>
        <w:widowControl w:val="0"/>
        <w:spacing w:line="360" w:lineRule="auto"/>
        <w:jc w:val="center"/>
        <w:rPr>
          <w:rFonts w:ascii="Palatino Linotype" w:eastAsia="Palatino Linotype" w:hAnsi="Palatino Linotype" w:cs="Palatino Linotype"/>
          <w:b/>
          <w:sz w:val="22"/>
          <w:szCs w:val="22"/>
        </w:rPr>
      </w:pPr>
    </w:p>
    <w:p w14:paraId="631179DE" w14:textId="4804A007"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Primero. Competencia.</w:t>
      </w:r>
      <w:r w:rsidRPr="001070A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los presentes recursos de revisión interpuestos por la parte</w:t>
      </w:r>
      <w:r w:rsidRPr="001070AF">
        <w:rPr>
          <w:rFonts w:ascii="Palatino Linotype" w:eastAsia="Palatino Linotype" w:hAnsi="Palatino Linotype" w:cs="Palatino Linotype"/>
          <w:b/>
          <w:sz w:val="22"/>
          <w:szCs w:val="22"/>
        </w:rPr>
        <w:t xml:space="preserve"> Recurrente</w:t>
      </w:r>
      <w:r w:rsidRPr="001070AF">
        <w:rPr>
          <w:rFonts w:ascii="Palatino Linotype" w:eastAsia="Palatino Linotype" w:hAnsi="Palatino Linotype" w:cs="Palatino Linotype"/>
          <w:sz w:val="22"/>
          <w:szCs w:val="22"/>
        </w:rPr>
        <w:t xml:space="preserve">, conforme a lo dispuesto en los artículos 6, apartado A de la Constitución Política de los Estados Unidos Mexicanos; 5 párrafos </w:t>
      </w:r>
      <w:r w:rsidR="00590D9B" w:rsidRPr="001070AF">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1070AF">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D120B9D" w14:textId="77777777" w:rsidR="00C37CDC" w:rsidRPr="001070AF" w:rsidRDefault="00C37CDC" w:rsidP="00450366">
      <w:pPr>
        <w:spacing w:line="360" w:lineRule="auto"/>
        <w:jc w:val="both"/>
        <w:rPr>
          <w:rFonts w:ascii="Palatino Linotype" w:eastAsia="Palatino Linotype" w:hAnsi="Palatino Linotype" w:cs="Palatino Linotype"/>
          <w:sz w:val="22"/>
          <w:szCs w:val="22"/>
        </w:rPr>
      </w:pPr>
    </w:p>
    <w:p w14:paraId="307D356E" w14:textId="77777777" w:rsidR="00781AC8" w:rsidRPr="001070AF" w:rsidRDefault="001B2F05" w:rsidP="00450366">
      <w:pPr>
        <w:spacing w:line="360" w:lineRule="auto"/>
        <w:jc w:val="both"/>
        <w:rPr>
          <w:rFonts w:ascii="Palatino Linotype" w:eastAsia="Palatino Linotype" w:hAnsi="Palatino Linotype" w:cs="Palatino Linotype"/>
          <w:sz w:val="22"/>
          <w:szCs w:val="22"/>
        </w:rPr>
      </w:pPr>
      <w:bookmarkStart w:id="1" w:name="_heading=h.tyjcwt" w:colFirst="0" w:colLast="0"/>
      <w:bookmarkEnd w:id="1"/>
      <w:r w:rsidRPr="001070AF">
        <w:rPr>
          <w:rFonts w:ascii="Palatino Linotype" w:eastAsia="Palatino Linotype" w:hAnsi="Palatino Linotype" w:cs="Palatino Linotype"/>
          <w:b/>
          <w:sz w:val="22"/>
          <w:szCs w:val="22"/>
        </w:rPr>
        <w:t xml:space="preserve">Segundo. Oportunidad y Procedibilidad de los Recursos de Revisión. </w:t>
      </w:r>
      <w:r w:rsidRPr="001070AF">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854632C" w14:textId="77777777" w:rsidR="00C37CDC" w:rsidRPr="001070AF" w:rsidRDefault="00C37CDC" w:rsidP="00450366">
      <w:pPr>
        <w:spacing w:line="360" w:lineRule="auto"/>
        <w:jc w:val="both"/>
        <w:rPr>
          <w:rFonts w:ascii="Palatino Linotype" w:eastAsia="Palatino Linotype" w:hAnsi="Palatino Linotype" w:cs="Palatino Linotype"/>
          <w:sz w:val="22"/>
          <w:szCs w:val="22"/>
        </w:rPr>
      </w:pPr>
    </w:p>
    <w:p w14:paraId="4E77997F" w14:textId="33F81CD9"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toda vez que </w:t>
      </w:r>
      <w:r w:rsidRPr="001070AF">
        <w:rPr>
          <w:rFonts w:ascii="Palatino Linotype" w:eastAsia="Palatino Linotype" w:hAnsi="Palatino Linotype" w:cs="Palatino Linotype"/>
          <w:b/>
          <w:sz w:val="22"/>
          <w:szCs w:val="22"/>
        </w:rPr>
        <w:t>el Sujeto Obligado</w:t>
      </w:r>
      <w:r w:rsidRPr="001070AF">
        <w:rPr>
          <w:rFonts w:ascii="Palatino Linotype" w:eastAsia="Palatino Linotype" w:hAnsi="Palatino Linotype" w:cs="Palatino Linotype"/>
          <w:sz w:val="22"/>
          <w:szCs w:val="22"/>
        </w:rPr>
        <w:t xml:space="preserve"> respondió a la solicitud de información el </w:t>
      </w:r>
      <w:r w:rsidR="00C13F26" w:rsidRPr="001070AF">
        <w:rPr>
          <w:rFonts w:ascii="Palatino Linotype" w:eastAsia="Palatino Linotype" w:hAnsi="Palatino Linotype" w:cs="Palatino Linotype"/>
          <w:b/>
          <w:sz w:val="22"/>
          <w:szCs w:val="22"/>
        </w:rPr>
        <w:t>doce de septiembre</w:t>
      </w:r>
      <w:r w:rsidR="005B1BCF" w:rsidRPr="001070AF">
        <w:rPr>
          <w:rFonts w:ascii="Palatino Linotype" w:eastAsia="Palatino Linotype" w:hAnsi="Palatino Linotype" w:cs="Palatino Linotype"/>
          <w:b/>
          <w:sz w:val="22"/>
          <w:szCs w:val="22"/>
        </w:rPr>
        <w:t xml:space="preserve"> de dos mil veinticinco</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 xml:space="preserve">mientras que los recursos de revisión se interpusieron el </w:t>
      </w:r>
      <w:r w:rsidR="00C13F26" w:rsidRPr="001070AF">
        <w:rPr>
          <w:rFonts w:ascii="Palatino Linotype" w:eastAsia="Palatino Linotype" w:hAnsi="Palatino Linotype" w:cs="Palatino Linotype"/>
          <w:b/>
          <w:sz w:val="22"/>
          <w:szCs w:val="22"/>
        </w:rPr>
        <w:t>quince de septiembre</w:t>
      </w:r>
      <w:r w:rsidR="005B1BCF" w:rsidRPr="001070AF">
        <w:rPr>
          <w:rFonts w:ascii="Palatino Linotype" w:eastAsia="Palatino Linotype" w:hAnsi="Palatino Linotype" w:cs="Palatino Linotype"/>
          <w:b/>
          <w:sz w:val="22"/>
          <w:szCs w:val="22"/>
        </w:rPr>
        <w:t xml:space="preserve"> de dos mil veinticinco</w:t>
      </w:r>
      <w:r w:rsidRPr="001070AF">
        <w:rPr>
          <w:rFonts w:ascii="Palatino Linotype" w:eastAsia="Palatino Linotype" w:hAnsi="Palatino Linotype" w:cs="Palatino Linotype"/>
          <w:sz w:val="22"/>
          <w:szCs w:val="22"/>
        </w:rPr>
        <w:t xml:space="preserve">, esto, </w:t>
      </w:r>
      <w:r w:rsidR="00D066C0" w:rsidRPr="001070AF">
        <w:rPr>
          <w:rFonts w:ascii="Palatino Linotype" w:eastAsia="Palatino Linotype" w:hAnsi="Palatino Linotype" w:cs="Palatino Linotype"/>
          <w:sz w:val="22"/>
          <w:szCs w:val="22"/>
        </w:rPr>
        <w:t xml:space="preserve">el </w:t>
      </w:r>
      <w:r w:rsidR="00C13F26" w:rsidRPr="001070AF">
        <w:rPr>
          <w:rFonts w:ascii="Palatino Linotype" w:eastAsia="Palatino Linotype" w:hAnsi="Palatino Linotype" w:cs="Palatino Linotype"/>
          <w:sz w:val="22"/>
          <w:szCs w:val="22"/>
        </w:rPr>
        <w:t>primer</w:t>
      </w:r>
      <w:r w:rsidR="005B1BCF" w:rsidRPr="001070AF">
        <w:rPr>
          <w:rFonts w:ascii="Palatino Linotype" w:eastAsia="Palatino Linotype" w:hAnsi="Palatino Linotype" w:cs="Palatino Linotype"/>
          <w:sz w:val="22"/>
          <w:szCs w:val="22"/>
        </w:rPr>
        <w:t xml:space="preserve"> día</w:t>
      </w:r>
      <w:r w:rsidRPr="001070AF">
        <w:rPr>
          <w:rFonts w:ascii="Palatino Linotype" w:eastAsia="Palatino Linotype" w:hAnsi="Palatino Linotype" w:cs="Palatino Linotype"/>
          <w:sz w:val="22"/>
          <w:szCs w:val="22"/>
        </w:rPr>
        <w:t xml:space="preserve"> </w:t>
      </w:r>
      <w:r w:rsidR="00C13F26" w:rsidRPr="001070AF">
        <w:rPr>
          <w:rFonts w:ascii="Palatino Linotype" w:eastAsia="Palatino Linotype" w:hAnsi="Palatino Linotype" w:cs="Palatino Linotype"/>
          <w:sz w:val="22"/>
          <w:szCs w:val="22"/>
        </w:rPr>
        <w:t xml:space="preserve">hábil </w:t>
      </w:r>
      <w:r w:rsidRPr="001070AF">
        <w:rPr>
          <w:rFonts w:ascii="Palatino Linotype" w:eastAsia="Palatino Linotype" w:hAnsi="Palatino Linotype" w:cs="Palatino Linotype"/>
          <w:sz w:val="22"/>
          <w:szCs w:val="22"/>
        </w:rPr>
        <w:t>en que tuvo conocimiento de las respuestas impugnadas.</w:t>
      </w:r>
    </w:p>
    <w:p w14:paraId="78A58492" w14:textId="77777777" w:rsidR="00D066C0" w:rsidRPr="001070AF" w:rsidRDefault="00D066C0" w:rsidP="00450366">
      <w:pPr>
        <w:spacing w:line="360" w:lineRule="auto"/>
        <w:jc w:val="both"/>
        <w:rPr>
          <w:rFonts w:ascii="Palatino Linotype" w:eastAsia="Palatino Linotype" w:hAnsi="Palatino Linotype" w:cs="Palatino Linotype"/>
          <w:sz w:val="22"/>
          <w:szCs w:val="22"/>
        </w:rPr>
      </w:pPr>
    </w:p>
    <w:p w14:paraId="09A51EE6" w14:textId="77777777" w:rsidR="00D066C0" w:rsidRPr="001070AF" w:rsidRDefault="00D066C0"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este sentido, al considerar la fecha en que se formularon las solicitudes y la fecha en que 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respondió a estas; así como la fecha en que se interpuso el recurso de revisión, se concluye que el presente recurso de revisión se encuentra dentro de los márgenes temporales previstos las disposiciones legales referidas.</w:t>
      </w:r>
    </w:p>
    <w:p w14:paraId="47843C33" w14:textId="77777777" w:rsidR="00C37CDC" w:rsidRPr="001070AF" w:rsidRDefault="00C37CDC" w:rsidP="00450366">
      <w:pPr>
        <w:spacing w:line="360" w:lineRule="auto"/>
        <w:jc w:val="both"/>
        <w:rPr>
          <w:rFonts w:ascii="Palatino Linotype" w:eastAsia="Palatino Linotype" w:hAnsi="Palatino Linotype" w:cs="Palatino Linotype"/>
          <w:sz w:val="22"/>
          <w:szCs w:val="22"/>
        </w:rPr>
      </w:pPr>
    </w:p>
    <w:p w14:paraId="34613059" w14:textId="77777777"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Así también, por cuanto hace a la procedibilidad de los recursos de revisión, una vez realizado el análisis de los formatos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50778B9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0F88856D" w14:textId="5BFD8963" w:rsidR="00781AC8" w:rsidRPr="001070AF" w:rsidRDefault="001B2F05" w:rsidP="0045036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Ahora bien, resulta procedente la interposición de los recursos, según lo aducido por la parte recurrente en sus razones o motivos de inconformidad, de acu</w:t>
      </w:r>
      <w:r w:rsidR="00590D9B" w:rsidRPr="001070AF">
        <w:rPr>
          <w:rFonts w:ascii="Palatino Linotype" w:eastAsia="Palatino Linotype" w:hAnsi="Palatino Linotype" w:cs="Palatino Linotype"/>
          <w:sz w:val="22"/>
          <w:szCs w:val="22"/>
        </w:rPr>
        <w:t xml:space="preserve">erdo al artículo 179, fracción </w:t>
      </w:r>
      <w:r w:rsidR="00C13F26" w:rsidRPr="001070AF">
        <w:rPr>
          <w:rFonts w:ascii="Palatino Linotype" w:eastAsia="Palatino Linotype" w:hAnsi="Palatino Linotype" w:cs="Palatino Linotype"/>
          <w:sz w:val="22"/>
          <w:szCs w:val="22"/>
        </w:rPr>
        <w:t>I</w:t>
      </w:r>
      <w:r w:rsidRPr="001070AF">
        <w:rPr>
          <w:rFonts w:ascii="Palatino Linotype" w:eastAsia="Palatino Linotype" w:hAnsi="Palatino Linotype" w:cs="Palatino Linotype"/>
          <w:sz w:val="22"/>
          <w:szCs w:val="22"/>
        </w:rPr>
        <w:t>I de la Ley de Transparencia y Acceso a la Información Pública del Estado de México y Municipios; que a la letra dice:</w:t>
      </w:r>
    </w:p>
    <w:p w14:paraId="41647164" w14:textId="77777777" w:rsidR="00C37CDC" w:rsidRPr="001070AF" w:rsidRDefault="00C37CDC"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p>
    <w:p w14:paraId="037357D4"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b/>
          <w:i/>
          <w:sz w:val="22"/>
          <w:szCs w:val="22"/>
        </w:rPr>
        <w:t>“Artículo 179</w:t>
      </w:r>
      <w:r w:rsidRPr="001070AF">
        <w:rPr>
          <w:rFonts w:ascii="Palatino Linotype" w:eastAsia="Palatino Linotype" w:hAnsi="Palatino Linotype" w:cs="Palatino Linotype"/>
          <w:i/>
          <w:sz w:val="22"/>
          <w:szCs w:val="22"/>
        </w:rPr>
        <w:t xml:space="preserve">. </w:t>
      </w:r>
      <w:r w:rsidRPr="001070AF">
        <w:rPr>
          <w:rFonts w:ascii="Palatino Linotype" w:eastAsia="Palatino Linotype" w:hAnsi="Palatino Linotype" w:cs="Palatino Linotype"/>
          <w:b/>
          <w:i/>
          <w:sz w:val="22"/>
          <w:szCs w:val="22"/>
        </w:rPr>
        <w:t>El recurso de revisión</w:t>
      </w:r>
      <w:r w:rsidRPr="001070AF">
        <w:rPr>
          <w:rFonts w:ascii="Palatino Linotype" w:eastAsia="Palatino Linotype" w:hAnsi="Palatino Linotype" w:cs="Palatino Linotype"/>
          <w:i/>
          <w:sz w:val="22"/>
          <w:szCs w:val="22"/>
        </w:rPr>
        <w:t xml:space="preserve"> es un medio de protección que la Ley otorga a los particulares, para hacer valer su derecho de acceso a la información pública</w:t>
      </w:r>
      <w:r w:rsidRPr="001070AF">
        <w:rPr>
          <w:rFonts w:ascii="Palatino Linotype" w:eastAsia="Palatino Linotype" w:hAnsi="Palatino Linotype" w:cs="Palatino Linotype"/>
          <w:b/>
          <w:i/>
          <w:sz w:val="22"/>
          <w:szCs w:val="22"/>
        </w:rPr>
        <w:t>, y procederá en contra de las siguientes causas</w:t>
      </w:r>
      <w:r w:rsidRPr="001070AF">
        <w:rPr>
          <w:rFonts w:ascii="Palatino Linotype" w:eastAsia="Palatino Linotype" w:hAnsi="Palatino Linotype" w:cs="Palatino Linotype"/>
          <w:i/>
          <w:sz w:val="22"/>
          <w:szCs w:val="22"/>
        </w:rPr>
        <w:t>:</w:t>
      </w:r>
    </w:p>
    <w:p w14:paraId="7AFD2073" w14:textId="35D5AF63" w:rsidR="00781AC8" w:rsidRPr="001070AF" w:rsidRDefault="00781AC8"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D2E412" w14:textId="7A20EBA8" w:rsidR="00781AC8" w:rsidRPr="001070AF" w:rsidRDefault="00C13F26"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b/>
          <w:i/>
          <w:sz w:val="22"/>
          <w:szCs w:val="22"/>
        </w:rPr>
        <w:t>II. La clasificación de la información</w:t>
      </w:r>
      <w:r w:rsidR="00590D9B" w:rsidRPr="001070AF">
        <w:rPr>
          <w:rFonts w:ascii="Palatino Linotype" w:eastAsia="Palatino Linotype" w:hAnsi="Palatino Linotype" w:cs="Palatino Linotype"/>
          <w:b/>
          <w:i/>
          <w:sz w:val="22"/>
          <w:szCs w:val="22"/>
        </w:rPr>
        <w:t>;</w:t>
      </w:r>
      <w:r w:rsidR="001B2F05" w:rsidRPr="001070AF">
        <w:rPr>
          <w:rFonts w:ascii="Palatino Linotype" w:eastAsia="Palatino Linotype" w:hAnsi="Palatino Linotype" w:cs="Palatino Linotype"/>
          <w:i/>
          <w:sz w:val="22"/>
          <w:szCs w:val="22"/>
        </w:rPr>
        <w:t xml:space="preserve">” </w:t>
      </w:r>
    </w:p>
    <w:p w14:paraId="131E9A78" w14:textId="77777777" w:rsidR="00212AD0" w:rsidRPr="001070AF" w:rsidRDefault="00212AD0" w:rsidP="00450366">
      <w:pPr>
        <w:pBdr>
          <w:top w:val="nil"/>
          <w:left w:val="nil"/>
          <w:bottom w:val="nil"/>
          <w:right w:val="nil"/>
          <w:between w:val="nil"/>
        </w:pBdr>
        <w:spacing w:line="276" w:lineRule="auto"/>
        <w:ind w:left="992" w:right="1043"/>
        <w:jc w:val="both"/>
        <w:rPr>
          <w:rFonts w:ascii="Palatino Linotype" w:eastAsia="Palatino Linotype" w:hAnsi="Palatino Linotype" w:cs="Palatino Linotype"/>
          <w:i/>
          <w:sz w:val="22"/>
          <w:szCs w:val="22"/>
        </w:rPr>
      </w:pPr>
    </w:p>
    <w:p w14:paraId="44846FF7" w14:textId="2016162C"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Tercero. Materia de la revisión. </w:t>
      </w:r>
      <w:r w:rsidRPr="001070AF">
        <w:rPr>
          <w:rFonts w:ascii="Palatino Linotype" w:eastAsia="Palatino Linotype" w:hAnsi="Palatino Linotype" w:cs="Palatino Linotype"/>
          <w:sz w:val="22"/>
          <w:szCs w:val="22"/>
        </w:rPr>
        <w:t xml:space="preserve">De la revisión a las constancias y documentos que obran en los expedientes electrónico se advierte, que el tema sobre el que este Organismo Garante de Transparencia y Acceso a la Información se pronunciará será: </w:t>
      </w:r>
      <w:r w:rsidRPr="001070AF">
        <w:rPr>
          <w:rFonts w:ascii="Palatino Linotype" w:eastAsia="Palatino Linotype" w:hAnsi="Palatino Linotype" w:cs="Palatino Linotype"/>
          <w:b/>
          <w:sz w:val="22"/>
          <w:szCs w:val="22"/>
        </w:rPr>
        <w:t xml:space="preserve">verificar si las respuestas </w:t>
      </w:r>
      <w:r w:rsidR="00590D9B" w:rsidRPr="001070AF">
        <w:rPr>
          <w:rFonts w:ascii="Palatino Linotype" w:eastAsia="Palatino Linotype" w:hAnsi="Palatino Linotype" w:cs="Palatino Linotype"/>
          <w:b/>
          <w:sz w:val="22"/>
          <w:szCs w:val="22"/>
        </w:rPr>
        <w:t>e informes justificados otorgado</w:t>
      </w:r>
      <w:r w:rsidRPr="001070AF">
        <w:rPr>
          <w:rFonts w:ascii="Palatino Linotype" w:eastAsia="Palatino Linotype" w:hAnsi="Palatino Linotype" w:cs="Palatino Linotype"/>
          <w:b/>
          <w:sz w:val="22"/>
          <w:szCs w:val="22"/>
        </w:rPr>
        <w:t>s por el Sujeto Obligado son adecuad</w:t>
      </w:r>
      <w:r w:rsidR="00590D9B" w:rsidRPr="001070AF">
        <w:rPr>
          <w:rFonts w:ascii="Palatino Linotype" w:eastAsia="Palatino Linotype" w:hAnsi="Palatino Linotype" w:cs="Palatino Linotype"/>
          <w:b/>
          <w:sz w:val="22"/>
          <w:szCs w:val="22"/>
        </w:rPr>
        <w:t>o</w:t>
      </w:r>
      <w:r w:rsidRPr="001070AF">
        <w:rPr>
          <w:rFonts w:ascii="Palatino Linotype" w:eastAsia="Palatino Linotype" w:hAnsi="Palatino Linotype" w:cs="Palatino Linotype"/>
          <w:b/>
          <w:sz w:val="22"/>
          <w:szCs w:val="22"/>
        </w:rPr>
        <w:t xml:space="preserve">s y suficientes para satisfacer el derecho de acceso a la información pública </w:t>
      </w:r>
      <w:r w:rsidRPr="001070AF">
        <w:rPr>
          <w:rFonts w:ascii="Palatino Linotype" w:eastAsia="Palatino Linotype" w:hAnsi="Palatino Linotype" w:cs="Palatino Linotype"/>
          <w:sz w:val="22"/>
          <w:szCs w:val="22"/>
        </w:rPr>
        <w:t>de la parte</w:t>
      </w:r>
      <w:r w:rsidRPr="001070AF">
        <w:rPr>
          <w:rFonts w:ascii="Palatino Linotype" w:eastAsia="Palatino Linotype" w:hAnsi="Palatino Linotype" w:cs="Palatino Linotype"/>
          <w:b/>
          <w:sz w:val="22"/>
          <w:szCs w:val="22"/>
        </w:rPr>
        <w:t xml:space="preserve"> Recurrente,</w:t>
      </w:r>
      <w:r w:rsidRPr="001070AF">
        <w:rPr>
          <w:rFonts w:ascii="Palatino Linotype" w:eastAsia="Palatino Linotype" w:hAnsi="Palatino Linotype" w:cs="Palatino Linotype"/>
          <w:sz w:val="22"/>
          <w:szCs w:val="22"/>
        </w:rPr>
        <w:t xml:space="preserve"> o en su defecto, en caso de ser procedente, ordenar la entrega de información oportuna.</w:t>
      </w:r>
    </w:p>
    <w:p w14:paraId="455EDAA0" w14:textId="77777777" w:rsidR="00C37CDC" w:rsidRPr="001070AF" w:rsidRDefault="00C37CDC" w:rsidP="00450366">
      <w:pPr>
        <w:spacing w:line="360" w:lineRule="auto"/>
        <w:jc w:val="both"/>
        <w:rPr>
          <w:rFonts w:ascii="Palatino Linotype" w:eastAsia="Palatino Linotype" w:hAnsi="Palatino Linotype" w:cs="Palatino Linotype"/>
          <w:sz w:val="22"/>
          <w:szCs w:val="22"/>
        </w:rPr>
      </w:pPr>
    </w:p>
    <w:p w14:paraId="27C82003" w14:textId="77777777" w:rsidR="00781AC8" w:rsidRPr="001070AF" w:rsidRDefault="001B2F0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Cuarto. Estudio del asunto. </w:t>
      </w:r>
      <w:r w:rsidRPr="001070AF">
        <w:rPr>
          <w:rFonts w:ascii="Palatino Linotype" w:eastAsia="Palatino Linotype" w:hAnsi="Palatino Linotype" w:cs="Palatino Linotype"/>
          <w:sz w:val="22"/>
          <w:szCs w:val="22"/>
        </w:rPr>
        <w:t xml:space="preserve">Antes de entrar al análisis de los pronunciamientos del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en las respuestas proporcionadas,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2F60909" w14:textId="77777777" w:rsidR="00C37CDC" w:rsidRPr="001070AF" w:rsidRDefault="00C37CDC" w:rsidP="00450366">
      <w:pPr>
        <w:pBdr>
          <w:top w:val="nil"/>
          <w:left w:val="nil"/>
          <w:bottom w:val="nil"/>
          <w:right w:val="nil"/>
          <w:between w:val="nil"/>
        </w:pBdr>
        <w:spacing w:line="360" w:lineRule="auto"/>
        <w:jc w:val="both"/>
        <w:rPr>
          <w:rFonts w:ascii="Palatino Linotype" w:hAnsi="Palatino Linotype"/>
          <w:sz w:val="22"/>
          <w:szCs w:val="22"/>
        </w:rPr>
      </w:pPr>
    </w:p>
    <w:p w14:paraId="4380DF4B" w14:textId="7CCF1E6C" w:rsidR="00781AC8" w:rsidRPr="001070AF" w:rsidRDefault="00A82A23"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Cs/>
          <w:i/>
          <w:sz w:val="22"/>
          <w:szCs w:val="22"/>
        </w:rPr>
        <w:t>“</w:t>
      </w:r>
      <w:r w:rsidR="001B2F05" w:rsidRPr="001070AF">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001B2F05" w:rsidRPr="001070AF">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030FAC"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0A7D01A5"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1070AF">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78B4C758"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w:t>
      </w:r>
    </w:p>
    <w:p w14:paraId="4A5061D8" w14:textId="30CF11D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rPr>
        <w:t>Artículo 6o.</w:t>
      </w:r>
    </w:p>
    <w:p w14:paraId="08C68472"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w:t>
      </w:r>
    </w:p>
    <w:p w14:paraId="42D3CF3F"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rPr>
        <w:t xml:space="preserve">A. Para el ejercicio del derecho de acceso a la información, la Federación y </w:t>
      </w:r>
      <w:r w:rsidRPr="001070AF">
        <w:rPr>
          <w:rFonts w:ascii="Palatino Linotype" w:eastAsia="Palatino Linotype" w:hAnsi="Palatino Linotype" w:cs="Palatino Linotype"/>
          <w:b/>
          <w:i/>
          <w:sz w:val="22"/>
          <w:szCs w:val="22"/>
          <w:u w:val="single"/>
        </w:rPr>
        <w:t>las entidades federativas</w:t>
      </w:r>
      <w:r w:rsidRPr="001070AF">
        <w:rPr>
          <w:rFonts w:ascii="Palatino Linotype" w:eastAsia="Palatino Linotype" w:hAnsi="Palatino Linotype" w:cs="Palatino Linotype"/>
          <w:b/>
          <w:i/>
          <w:sz w:val="22"/>
          <w:szCs w:val="22"/>
        </w:rPr>
        <w:t>,</w:t>
      </w:r>
      <w:r w:rsidRPr="001070AF">
        <w:rPr>
          <w:rFonts w:ascii="Palatino Linotype" w:eastAsia="Palatino Linotype" w:hAnsi="Palatino Linotype" w:cs="Palatino Linotype"/>
          <w:i/>
          <w:sz w:val="22"/>
          <w:szCs w:val="22"/>
        </w:rPr>
        <w:t xml:space="preserve"> en el ámbito de sus respectivas competencias, se regirán por los siguientes principios y bases:</w:t>
      </w:r>
    </w:p>
    <w:p w14:paraId="52C288D0"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 </w:t>
      </w:r>
      <w:r w:rsidRPr="001070AF">
        <w:rPr>
          <w:rFonts w:ascii="Palatino Linotype" w:eastAsia="Palatino Linotype" w:hAnsi="Palatino Linotype" w:cs="Palatino Linotype"/>
          <w:b/>
          <w:i/>
          <w:sz w:val="22"/>
          <w:szCs w:val="22"/>
        </w:rPr>
        <w:t xml:space="preserve">I. </w:t>
      </w:r>
      <w:r w:rsidRPr="001070AF">
        <w:rPr>
          <w:rFonts w:ascii="Palatino Linotype" w:eastAsia="Palatino Linotype" w:hAnsi="Palatino Linotype" w:cs="Palatino Linotype"/>
          <w:b/>
          <w:i/>
          <w:sz w:val="22"/>
          <w:szCs w:val="22"/>
          <w:u w:val="single"/>
        </w:rPr>
        <w:t>Toda la información en posesión de cualquier autoridad, entidad, órgano y organismo de los Poderes</w:t>
      </w:r>
      <w:r w:rsidRPr="001070AF">
        <w:rPr>
          <w:rFonts w:ascii="Palatino Linotype" w:eastAsia="Palatino Linotype" w:hAnsi="Palatino Linotype" w:cs="Palatino Linotype"/>
          <w:i/>
          <w:sz w:val="22"/>
          <w:szCs w:val="22"/>
        </w:rPr>
        <w:t xml:space="preserve"> Ejecutivo, Legislativo </w:t>
      </w:r>
      <w:r w:rsidRPr="001070AF">
        <w:rPr>
          <w:rFonts w:ascii="Palatino Linotype" w:eastAsia="Palatino Linotype" w:hAnsi="Palatino Linotype" w:cs="Palatino Linotype"/>
          <w:b/>
          <w:i/>
          <w:sz w:val="22"/>
          <w:szCs w:val="22"/>
          <w:u w:val="single"/>
        </w:rPr>
        <w:t>y Judicial</w:t>
      </w:r>
      <w:r w:rsidRPr="001070AF">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1070AF">
        <w:rPr>
          <w:rFonts w:ascii="Palatino Linotype" w:eastAsia="Palatino Linotype" w:hAnsi="Palatino Linotype" w:cs="Palatino Linotype"/>
          <w:b/>
          <w:i/>
          <w:sz w:val="22"/>
          <w:szCs w:val="22"/>
        </w:rPr>
        <w:t>es pública y sólo podrá ser reservada temporalmente por razones de interés público y seguridad nacional,</w:t>
      </w:r>
      <w:r w:rsidRPr="001070AF">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A8D2DC1" w14:textId="7FE82F5C" w:rsidR="00590D9B" w:rsidRPr="001070AF" w:rsidRDefault="001B2F05"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 </w:t>
      </w:r>
      <w:r w:rsidRPr="001070AF">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r w:rsidR="00590D9B" w:rsidRPr="001070AF">
        <w:rPr>
          <w:rFonts w:ascii="Palatino Linotype" w:eastAsia="Palatino Linotype" w:hAnsi="Palatino Linotype" w:cs="Palatino Linotype"/>
          <w:b/>
          <w:i/>
          <w:sz w:val="22"/>
          <w:szCs w:val="22"/>
        </w:rPr>
        <w:t xml:space="preserve"> </w:t>
      </w:r>
      <w:r w:rsidR="00590D9B" w:rsidRPr="001070AF">
        <w:rPr>
          <w:rFonts w:ascii="Palatino Linotype" w:eastAsia="Palatino Linotype" w:hAnsi="Palatino Linotype" w:cs="Palatino Linotype"/>
          <w:i/>
          <w:sz w:val="22"/>
          <w:szCs w:val="22"/>
        </w:rPr>
        <w:t>Para tal efecto, los sujetos obligados contarán con las facultades suficientes para su atención.</w:t>
      </w:r>
    </w:p>
    <w:p w14:paraId="17D6CDBC" w14:textId="02AE0C0E" w:rsidR="00781AC8" w:rsidRPr="001070AF" w:rsidRDefault="00590D9B"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r w:rsidRPr="001070AF">
        <w:rPr>
          <w:rFonts w:ascii="Palatino Linotype" w:eastAsia="Palatino Linotype" w:hAnsi="Palatino Linotype" w:cs="Palatino Linotype"/>
          <w:i/>
          <w:sz w:val="22"/>
          <w:szCs w:val="22"/>
        </w:rPr>
        <w:cr/>
      </w:r>
      <w:r w:rsidR="001B2F05" w:rsidRPr="001070AF">
        <w:rPr>
          <w:rFonts w:ascii="Palatino Linotype" w:eastAsia="Palatino Linotype" w:hAnsi="Palatino Linotype" w:cs="Palatino Linotype"/>
          <w:i/>
          <w:sz w:val="22"/>
          <w:szCs w:val="22"/>
        </w:rPr>
        <w:t> </w:t>
      </w:r>
      <w:r w:rsidR="001B2F05" w:rsidRPr="001070AF">
        <w:rPr>
          <w:rFonts w:ascii="Palatino Linotype" w:eastAsia="Palatino Linotype" w:hAnsi="Palatino Linotype" w:cs="Palatino Linotype"/>
          <w:b/>
          <w:i/>
          <w:sz w:val="22"/>
          <w:szCs w:val="22"/>
        </w:rPr>
        <w:t xml:space="preserve">III. </w:t>
      </w:r>
      <w:r w:rsidR="001B2F05" w:rsidRPr="001070AF">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001B2F05" w:rsidRPr="001070AF">
        <w:rPr>
          <w:rFonts w:ascii="Palatino Linotype" w:eastAsia="Palatino Linotype" w:hAnsi="Palatino Linotype" w:cs="Palatino Linotype"/>
          <w:i/>
          <w:sz w:val="22"/>
          <w:szCs w:val="22"/>
        </w:rPr>
        <w:t xml:space="preserve"> a sus datos personales o a la rectificación de éstos.</w:t>
      </w:r>
    </w:p>
    <w:p w14:paraId="269F5E3F" w14:textId="25AA7DEE"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 </w:t>
      </w:r>
      <w:r w:rsidRPr="001070AF">
        <w:rPr>
          <w:rFonts w:ascii="Palatino Linotype" w:eastAsia="Palatino Linotype" w:hAnsi="Palatino Linotype" w:cs="Palatino Linotype"/>
          <w:b/>
          <w:i/>
          <w:sz w:val="22"/>
          <w:szCs w:val="22"/>
        </w:rPr>
        <w:t xml:space="preserve">IV. </w:t>
      </w:r>
      <w:r w:rsidR="00590D9B" w:rsidRPr="001070AF">
        <w:rPr>
          <w:rFonts w:ascii="Palatino Linotype" w:eastAsia="Palatino Linotype" w:hAnsi="Palatino Linotype" w:cs="Palatino Linotype"/>
          <w:i/>
          <w:sz w:val="22"/>
          <w:szCs w:val="22"/>
        </w:rPr>
        <w:t>Se establecerán mecanismos de acceso a la información pública y procedimientos de revisión expeditos que se sustanciarán ante las instancias competentes en los términos que fija esta Constitución y las leyes.</w:t>
      </w:r>
    </w:p>
    <w:p w14:paraId="4AEF4C29"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rPr>
        <w:t xml:space="preserve">V. </w:t>
      </w:r>
      <w:r w:rsidRPr="001070AF">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949A05A"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 </w:t>
      </w:r>
      <w:r w:rsidRPr="001070AF">
        <w:rPr>
          <w:rFonts w:ascii="Palatino Linotype" w:eastAsia="Palatino Linotype" w:hAnsi="Palatino Linotype" w:cs="Palatino Linotype"/>
          <w:b/>
          <w:i/>
          <w:sz w:val="22"/>
          <w:szCs w:val="22"/>
        </w:rPr>
        <w:t xml:space="preserve">VI. </w:t>
      </w:r>
      <w:r w:rsidRPr="001070AF">
        <w:rPr>
          <w:rFonts w:ascii="Palatino Linotype" w:eastAsia="Palatino Linotype" w:hAnsi="Palatino Linotype" w:cs="Palatino Linotype"/>
          <w:i/>
          <w:sz w:val="22"/>
          <w:szCs w:val="22"/>
        </w:rPr>
        <w:t>Las leyes determinarán la manera en que los sujetos obligados deberán hacer pública la información relativa a los recursos públicos que entreguen a personas físicas o morales.</w:t>
      </w:r>
    </w:p>
    <w:p w14:paraId="7AE6523E" w14:textId="77777777" w:rsidR="006D2BFB" w:rsidRPr="001070AF" w:rsidRDefault="001B2F05"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 </w:t>
      </w:r>
      <w:r w:rsidRPr="001070AF">
        <w:rPr>
          <w:rFonts w:ascii="Palatino Linotype" w:eastAsia="Palatino Linotype" w:hAnsi="Palatino Linotype" w:cs="Palatino Linotype"/>
          <w:b/>
          <w:i/>
          <w:sz w:val="22"/>
          <w:szCs w:val="22"/>
        </w:rPr>
        <w:t xml:space="preserve">VII. </w:t>
      </w:r>
      <w:r w:rsidRPr="001070AF">
        <w:rPr>
          <w:rFonts w:ascii="Palatino Linotype" w:eastAsia="Palatino Linotype" w:hAnsi="Palatino Linotype" w:cs="Palatino Linotype"/>
          <w:i/>
          <w:sz w:val="22"/>
          <w:szCs w:val="22"/>
        </w:rPr>
        <w:t xml:space="preserve">La inobservancia a las disposiciones en materia de acceso a la información pública será sancionada en los términos que dispongan las leyes. </w:t>
      </w:r>
    </w:p>
    <w:p w14:paraId="78998644" w14:textId="089E0859"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w:t>
      </w:r>
      <w:r w:rsidR="00D255B7" w:rsidRPr="001070AF">
        <w:rPr>
          <w:rFonts w:ascii="Palatino Linotype" w:eastAsia="Palatino Linotype" w:hAnsi="Palatino Linotype" w:cs="Palatino Linotype"/>
          <w:i/>
          <w:sz w:val="22"/>
          <w:szCs w:val="22"/>
        </w:rPr>
        <w:t>”</w:t>
      </w:r>
    </w:p>
    <w:p w14:paraId="13C5811A" w14:textId="77777777" w:rsidR="00C37CDC" w:rsidRPr="001070AF" w:rsidRDefault="00C37CDC"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4C0DC49" w14:textId="77777777"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AF68C54" w14:textId="77777777" w:rsidR="00C37CDC" w:rsidRPr="001070AF" w:rsidRDefault="00C37CDC" w:rsidP="00450366">
      <w:pPr>
        <w:pBdr>
          <w:top w:val="nil"/>
          <w:left w:val="nil"/>
          <w:bottom w:val="nil"/>
          <w:right w:val="nil"/>
          <w:between w:val="nil"/>
        </w:pBdr>
        <w:tabs>
          <w:tab w:val="left" w:pos="7797"/>
        </w:tabs>
        <w:spacing w:line="276" w:lineRule="auto"/>
        <w:ind w:left="851" w:right="616"/>
        <w:jc w:val="both"/>
        <w:rPr>
          <w:rFonts w:ascii="Palatino Linotype" w:eastAsia="Palatino Linotype" w:hAnsi="Palatino Linotype" w:cs="Palatino Linotype"/>
          <w:i/>
          <w:sz w:val="22"/>
          <w:szCs w:val="22"/>
        </w:rPr>
      </w:pPr>
    </w:p>
    <w:p w14:paraId="65CFA07A" w14:textId="77777777" w:rsidR="00781AC8" w:rsidRPr="001070AF" w:rsidRDefault="001B2F05" w:rsidP="00450366">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w:t>
      </w:r>
      <w:r w:rsidRPr="001070AF">
        <w:rPr>
          <w:rFonts w:ascii="Palatino Linotype" w:eastAsia="Palatino Linotype" w:hAnsi="Palatino Linotype" w:cs="Palatino Linotype"/>
          <w:b/>
          <w:i/>
          <w:sz w:val="22"/>
          <w:szCs w:val="22"/>
        </w:rPr>
        <w:t>Artículo 4</w:t>
      </w:r>
      <w:r w:rsidRPr="001070AF">
        <w:rPr>
          <w:rFonts w:ascii="Palatino Linotype" w:eastAsia="Palatino Linotype" w:hAnsi="Palatino Linotype" w:cs="Palatino Linotype"/>
          <w:i/>
          <w:sz w:val="22"/>
          <w:szCs w:val="22"/>
        </w:rPr>
        <w:t>. El derecho humano de acceso a la información pública es la prerrogativa de las personas para buscar, difundir, investigar, recabar, recibir y solicitar información pública, sin necesidad de acreditar personalidad ni interés jurídico. </w:t>
      </w:r>
    </w:p>
    <w:p w14:paraId="694C5EDB" w14:textId="77777777" w:rsidR="00781AC8" w:rsidRPr="001070AF" w:rsidRDefault="001B2F05" w:rsidP="00450366">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1DFDF09" w14:textId="77777777" w:rsidR="00781AC8" w:rsidRPr="001070AF" w:rsidRDefault="001B2F05" w:rsidP="00450366">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Los sujetos obligados deben poner en práctica, políticas y programas de acceso a la información que se apeguen a criterios de publicidad, veracidad, oportunidad, precisión y suficiencia en beneficio de los solicitantes.”(Sic)</w:t>
      </w:r>
    </w:p>
    <w:p w14:paraId="72188CE1" w14:textId="77777777" w:rsidR="003F7137" w:rsidRPr="001070AF" w:rsidRDefault="003F7137"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47C3030" w14:textId="77777777"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32E19358" w14:textId="77777777" w:rsidR="003F7137" w:rsidRPr="001070AF" w:rsidRDefault="003F7137"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518C0F"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w:t>
      </w:r>
      <w:r w:rsidRPr="001070AF">
        <w:rPr>
          <w:rFonts w:ascii="Palatino Linotype" w:eastAsia="Palatino Linotype" w:hAnsi="Palatino Linotype" w:cs="Palatino Linotype"/>
          <w:b/>
          <w:i/>
          <w:sz w:val="22"/>
          <w:szCs w:val="22"/>
        </w:rPr>
        <w:t>Artículo 12</w:t>
      </w:r>
      <w:r w:rsidRPr="001070AF">
        <w:rPr>
          <w:rFonts w:ascii="Palatino Linotype" w:eastAsia="Palatino Linotype" w:hAnsi="Palatino Linotype" w:cs="Palatino Linotype"/>
          <w:i/>
          <w:sz w:val="22"/>
          <w:szCs w:val="22"/>
        </w:rPr>
        <w:t>. Quienes generen, recopilen, administren, manejen, procesen, archiven o conserven información pública serán responsables de la misma en los términos de las disposiciones jurídicas aplicables. </w:t>
      </w:r>
    </w:p>
    <w:p w14:paraId="62770792" w14:textId="77777777" w:rsidR="00781AC8" w:rsidRPr="001070AF" w:rsidRDefault="001B2F05" w:rsidP="00450366">
      <w:pPr>
        <w:pBdr>
          <w:top w:val="nil"/>
          <w:left w:val="nil"/>
          <w:bottom w:val="nil"/>
          <w:right w:val="nil"/>
          <w:between w:val="nil"/>
        </w:pBdr>
        <w:spacing w:line="276" w:lineRule="auto"/>
        <w:ind w:left="851" w:right="616"/>
        <w:jc w:val="both"/>
        <w:rPr>
          <w:rFonts w:ascii="Palatino Linotype" w:hAnsi="Palatino Linotype"/>
          <w:sz w:val="22"/>
          <w:szCs w:val="22"/>
        </w:rPr>
      </w:pPr>
      <w:r w:rsidRPr="001070AF">
        <w:rPr>
          <w:rFonts w:ascii="Palatino Linotype" w:eastAsia="Palatino Linotype" w:hAnsi="Palatino Linotype" w:cs="Palatino Linotype"/>
          <w:i/>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12DE5756" w14:textId="77777777" w:rsidR="003F7137" w:rsidRPr="001070AF" w:rsidRDefault="003F7137"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6A4A01" w14:textId="77777777"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Es decir, que el derecho de acceso a la información pública se satisface en aquellos casos en que se entregue documento en que conste la información requerida, toda vez que, los Sujetos Obligados</w:t>
      </w:r>
      <w:r w:rsidRPr="001070AF">
        <w:rPr>
          <w:rFonts w:ascii="Palatino Linotype" w:eastAsia="Palatino Linotype" w:hAnsi="Palatino Linotype" w:cs="Palatino Linotype"/>
          <w:b/>
          <w:sz w:val="22"/>
          <w:szCs w:val="22"/>
        </w:rPr>
        <w:t xml:space="preserve"> </w:t>
      </w:r>
      <w:r w:rsidRPr="001070AF">
        <w:rPr>
          <w:rFonts w:ascii="Palatino Linotype" w:eastAsia="Palatino Linotype" w:hAnsi="Palatino Linotype" w:cs="Palatino Linotype"/>
          <w:sz w:val="22"/>
          <w:szCs w:val="22"/>
        </w:rPr>
        <w:t xml:space="preserve">no tienen el deber de generar, poseer o administrar la información pública con el grado de detalle solicitado; esto es, que no tienen el deber de generar un documento </w:t>
      </w:r>
      <w:r w:rsidRPr="001070AF">
        <w:rPr>
          <w:rFonts w:ascii="Palatino Linotype" w:eastAsia="Palatino Linotype" w:hAnsi="Palatino Linotype" w:cs="Palatino Linotype"/>
          <w:i/>
          <w:sz w:val="22"/>
          <w:szCs w:val="22"/>
        </w:rPr>
        <w:t>ad hoc</w:t>
      </w:r>
      <w:r w:rsidRPr="001070AF">
        <w:rPr>
          <w:rFonts w:ascii="Palatino Linotype" w:eastAsia="Palatino Linotype" w:hAnsi="Palatino Linotype" w:cs="Palatino Linotype"/>
          <w:sz w:val="22"/>
          <w:szCs w:val="22"/>
        </w:rPr>
        <w:t>, para satisfacer el derecho de acceso a la información pública, como así lo establece el criterio 03/17 emitido por el Instituto Nacional de Transparencia, Acceso a la Información Pública y Protección de Datos Personales, el cual señala lo siguiente:</w:t>
      </w:r>
    </w:p>
    <w:p w14:paraId="76C932D7" w14:textId="77777777" w:rsidR="003F7137" w:rsidRPr="001070AF" w:rsidRDefault="003F7137" w:rsidP="00450366">
      <w:pPr>
        <w:pBdr>
          <w:top w:val="nil"/>
          <w:left w:val="nil"/>
          <w:bottom w:val="nil"/>
          <w:right w:val="nil"/>
          <w:between w:val="nil"/>
        </w:pBdr>
        <w:spacing w:line="276" w:lineRule="auto"/>
        <w:ind w:left="851" w:right="567"/>
        <w:jc w:val="both"/>
        <w:rPr>
          <w:rFonts w:ascii="Palatino Linotype" w:eastAsia="Palatino Linotype" w:hAnsi="Palatino Linotype" w:cs="Palatino Linotype"/>
          <w:b/>
          <w:i/>
          <w:sz w:val="22"/>
          <w:szCs w:val="22"/>
        </w:rPr>
      </w:pPr>
    </w:p>
    <w:p w14:paraId="07A5B34D" w14:textId="77777777" w:rsidR="00781AC8" w:rsidRPr="001070AF" w:rsidRDefault="001B2F05" w:rsidP="00450366">
      <w:pPr>
        <w:pBdr>
          <w:top w:val="nil"/>
          <w:left w:val="nil"/>
          <w:bottom w:val="nil"/>
          <w:right w:val="nil"/>
          <w:between w:val="nil"/>
        </w:pBdr>
        <w:spacing w:line="276" w:lineRule="auto"/>
        <w:ind w:left="851" w:right="567"/>
        <w:jc w:val="both"/>
        <w:rPr>
          <w:rFonts w:ascii="Palatino Linotype" w:hAnsi="Palatino Linotype"/>
          <w:sz w:val="22"/>
          <w:szCs w:val="22"/>
        </w:rPr>
      </w:pPr>
      <w:r w:rsidRPr="001070AF">
        <w:rPr>
          <w:rFonts w:ascii="Palatino Linotype" w:eastAsia="Palatino Linotype" w:hAnsi="Palatino Linotype" w:cs="Palatino Linotype"/>
          <w:b/>
          <w:i/>
          <w:sz w:val="22"/>
          <w:szCs w:val="22"/>
        </w:rPr>
        <w:t>03/17</w:t>
      </w:r>
    </w:p>
    <w:p w14:paraId="7ADC4784" w14:textId="77777777" w:rsidR="00781AC8" w:rsidRPr="001070AF" w:rsidRDefault="001B2F05" w:rsidP="00450366">
      <w:pPr>
        <w:pBdr>
          <w:top w:val="nil"/>
          <w:left w:val="nil"/>
          <w:bottom w:val="nil"/>
          <w:right w:val="nil"/>
          <w:between w:val="nil"/>
        </w:pBdr>
        <w:spacing w:line="276" w:lineRule="auto"/>
        <w:ind w:left="851" w:right="567"/>
        <w:jc w:val="both"/>
        <w:rPr>
          <w:rFonts w:ascii="Palatino Linotype" w:hAnsi="Palatino Linotype"/>
          <w:sz w:val="22"/>
          <w:szCs w:val="22"/>
        </w:rPr>
      </w:pPr>
      <w:r w:rsidRPr="001070AF">
        <w:rPr>
          <w:rFonts w:ascii="Palatino Linotype" w:eastAsia="Palatino Linotype" w:hAnsi="Palatino Linotype" w:cs="Palatino Linotype"/>
          <w:b/>
          <w:i/>
          <w:sz w:val="22"/>
          <w:szCs w:val="22"/>
        </w:rPr>
        <w:t>“NO EXISTE OBLIGACIÓN DE ELABORAR DOCUMENTOS AD HOC PARA ATENDER LAS SOLICITUDES DE ACCESO A LA INFORMACIÓN.</w:t>
      </w:r>
    </w:p>
    <w:p w14:paraId="6FB09C25" w14:textId="77777777" w:rsidR="00781AC8" w:rsidRPr="001070AF" w:rsidRDefault="001B2F05" w:rsidP="00450366">
      <w:pPr>
        <w:pBdr>
          <w:top w:val="nil"/>
          <w:left w:val="nil"/>
          <w:bottom w:val="nil"/>
          <w:right w:val="nil"/>
          <w:between w:val="nil"/>
        </w:pBdr>
        <w:spacing w:line="276" w:lineRule="auto"/>
        <w:ind w:left="851" w:right="567"/>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4B0F1EB6" w14:textId="77777777" w:rsidR="006D2BFB" w:rsidRPr="001070AF" w:rsidRDefault="006D2BFB" w:rsidP="00450366">
      <w:pPr>
        <w:pBdr>
          <w:top w:val="nil"/>
          <w:left w:val="nil"/>
          <w:bottom w:val="nil"/>
          <w:right w:val="nil"/>
          <w:between w:val="nil"/>
        </w:pBdr>
        <w:spacing w:line="360" w:lineRule="auto"/>
        <w:ind w:left="851" w:right="567"/>
        <w:jc w:val="both"/>
        <w:rPr>
          <w:rFonts w:ascii="Palatino Linotype" w:hAnsi="Palatino Linotype"/>
          <w:sz w:val="22"/>
          <w:szCs w:val="22"/>
        </w:rPr>
      </w:pPr>
    </w:p>
    <w:p w14:paraId="656327C2" w14:textId="77777777" w:rsidR="00781AC8" w:rsidRPr="001070AF" w:rsidRDefault="001B2F0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FB04F94" w14:textId="77777777" w:rsidR="003F7137" w:rsidRPr="001070AF" w:rsidRDefault="003F7137"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7F9221B" w14:textId="77777777" w:rsidR="00781AC8" w:rsidRPr="001070AF" w:rsidRDefault="001B2F05" w:rsidP="0045036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9E9A2C7" w14:textId="77777777" w:rsidR="003F7137" w:rsidRPr="001070AF" w:rsidRDefault="003F7137" w:rsidP="00450366">
      <w:pPr>
        <w:pBdr>
          <w:top w:val="nil"/>
          <w:left w:val="nil"/>
          <w:bottom w:val="nil"/>
          <w:right w:val="nil"/>
          <w:between w:val="nil"/>
        </w:pBdr>
        <w:spacing w:line="360" w:lineRule="auto"/>
        <w:ind w:right="49"/>
        <w:jc w:val="both"/>
        <w:rPr>
          <w:rFonts w:ascii="Palatino Linotype" w:hAnsi="Palatino Linotype"/>
          <w:sz w:val="22"/>
          <w:szCs w:val="22"/>
        </w:rPr>
      </w:pPr>
    </w:p>
    <w:p w14:paraId="1B9E3D7A" w14:textId="77777777"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2316871C" w14:textId="77777777" w:rsidR="003F7137" w:rsidRPr="001070AF" w:rsidRDefault="003F7137" w:rsidP="00450366">
      <w:pPr>
        <w:pBdr>
          <w:top w:val="nil"/>
          <w:left w:val="nil"/>
          <w:bottom w:val="nil"/>
          <w:right w:val="nil"/>
          <w:between w:val="nil"/>
        </w:pBdr>
        <w:ind w:left="851" w:right="567"/>
        <w:jc w:val="both"/>
        <w:rPr>
          <w:rFonts w:ascii="Palatino Linotype" w:eastAsia="Palatino Linotype" w:hAnsi="Palatino Linotype" w:cs="Palatino Linotype"/>
          <w:i/>
          <w:sz w:val="22"/>
          <w:szCs w:val="22"/>
        </w:rPr>
      </w:pPr>
    </w:p>
    <w:p w14:paraId="20A938BB"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i/>
          <w:sz w:val="22"/>
          <w:szCs w:val="22"/>
        </w:rPr>
        <w:t>“</w:t>
      </w:r>
      <w:r w:rsidRPr="001070AF">
        <w:rPr>
          <w:rFonts w:ascii="Palatino Linotype" w:eastAsia="Palatino Linotype" w:hAnsi="Palatino Linotype" w:cs="Palatino Linotype"/>
          <w:b/>
          <w:i/>
          <w:sz w:val="22"/>
          <w:szCs w:val="22"/>
        </w:rPr>
        <w:t xml:space="preserve">Artículo 3. </w:t>
      </w:r>
      <w:r w:rsidRPr="001070AF">
        <w:rPr>
          <w:rFonts w:ascii="Palatino Linotype" w:eastAsia="Palatino Linotype" w:hAnsi="Palatino Linotype" w:cs="Palatino Linotype"/>
          <w:i/>
          <w:sz w:val="22"/>
          <w:szCs w:val="22"/>
        </w:rPr>
        <w:t>Para los efectos de la presente Ley se entenderá por:</w:t>
      </w:r>
    </w:p>
    <w:p w14:paraId="16F21562"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i/>
          <w:sz w:val="22"/>
          <w:szCs w:val="22"/>
        </w:rPr>
        <w:t>…</w:t>
      </w:r>
    </w:p>
    <w:p w14:paraId="602B13F6"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b/>
          <w:i/>
          <w:sz w:val="22"/>
          <w:szCs w:val="22"/>
        </w:rPr>
        <w:t>XI. Documento:</w:t>
      </w:r>
      <w:r w:rsidRPr="001070AF">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1070AF">
        <w:rPr>
          <w:rFonts w:ascii="Palatino Linotype" w:eastAsia="Palatino Linotype" w:hAnsi="Palatino Linotype" w:cs="Palatino Linotype"/>
          <w:b/>
          <w:i/>
          <w:sz w:val="22"/>
          <w:szCs w:val="22"/>
        </w:rPr>
        <w:t>…</w:t>
      </w:r>
      <w:r w:rsidRPr="001070AF">
        <w:rPr>
          <w:rFonts w:ascii="Palatino Linotype" w:eastAsia="Palatino Linotype" w:hAnsi="Palatino Linotype" w:cs="Palatino Linotype"/>
          <w:i/>
          <w:sz w:val="22"/>
          <w:szCs w:val="22"/>
        </w:rPr>
        <w:t>” (Sic)</w:t>
      </w:r>
    </w:p>
    <w:p w14:paraId="3249F658" w14:textId="77777777" w:rsidR="003F7137" w:rsidRPr="001070AF" w:rsidRDefault="003F7137"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A9A985" w14:textId="77777777" w:rsidR="00781AC8" w:rsidRPr="001070AF" w:rsidRDefault="001B2F05" w:rsidP="00450366">
      <w:pPr>
        <w:pBdr>
          <w:top w:val="nil"/>
          <w:left w:val="nil"/>
          <w:bottom w:val="nil"/>
          <w:right w:val="nil"/>
          <w:between w:val="nil"/>
        </w:pBdr>
        <w:spacing w:line="360" w:lineRule="auto"/>
        <w:jc w:val="both"/>
        <w:rPr>
          <w:rFonts w:ascii="Palatino Linotype" w:hAnsi="Palatino Linotype"/>
          <w:sz w:val="22"/>
          <w:szCs w:val="22"/>
        </w:rPr>
      </w:pPr>
      <w:r w:rsidRPr="001070A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A7C5825" w14:textId="77777777" w:rsidR="003F7137" w:rsidRPr="001070AF" w:rsidRDefault="003F7137" w:rsidP="00450366">
      <w:pPr>
        <w:pBdr>
          <w:top w:val="nil"/>
          <w:left w:val="nil"/>
          <w:bottom w:val="nil"/>
          <w:right w:val="nil"/>
          <w:between w:val="nil"/>
        </w:pBdr>
        <w:ind w:left="851" w:right="567"/>
        <w:jc w:val="both"/>
        <w:rPr>
          <w:rFonts w:ascii="Palatino Linotype" w:eastAsia="Palatino Linotype" w:hAnsi="Palatino Linotype" w:cs="Palatino Linotype"/>
          <w:b/>
          <w:sz w:val="22"/>
          <w:szCs w:val="22"/>
        </w:rPr>
      </w:pPr>
    </w:p>
    <w:p w14:paraId="5AD93565"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b/>
          <w:sz w:val="22"/>
          <w:szCs w:val="22"/>
        </w:rPr>
        <w:t>“</w:t>
      </w:r>
      <w:r w:rsidRPr="001070AF">
        <w:rPr>
          <w:rFonts w:ascii="Palatino Linotype" w:eastAsia="Palatino Linotype" w:hAnsi="Palatino Linotype" w:cs="Palatino Linotype"/>
          <w:b/>
          <w:i/>
          <w:sz w:val="22"/>
          <w:szCs w:val="22"/>
        </w:rPr>
        <w:t>CRITERIO 0002-11</w:t>
      </w:r>
    </w:p>
    <w:p w14:paraId="59E25B0D"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1070AF">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BCBE91F" w14:textId="77777777" w:rsidR="00781AC8"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8BB3D94" w14:textId="77777777" w:rsidR="00781AC8" w:rsidRPr="001070AF" w:rsidRDefault="001B2F05" w:rsidP="00450366">
      <w:pPr>
        <w:numPr>
          <w:ilvl w:val="0"/>
          <w:numId w:val="3"/>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02361F27" w14:textId="77777777" w:rsidR="00781AC8" w:rsidRPr="001070AF" w:rsidRDefault="001B2F05" w:rsidP="00450366">
      <w:pPr>
        <w:numPr>
          <w:ilvl w:val="0"/>
          <w:numId w:val="3"/>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4ADFC04E" w14:textId="31B2E572" w:rsidR="006D2BFB" w:rsidRPr="001070AF" w:rsidRDefault="001B2F05" w:rsidP="00450366">
      <w:pPr>
        <w:pBdr>
          <w:top w:val="nil"/>
          <w:left w:val="nil"/>
          <w:bottom w:val="nil"/>
          <w:right w:val="nil"/>
          <w:between w:val="nil"/>
        </w:pBdr>
        <w:ind w:left="851" w:right="567"/>
        <w:jc w:val="both"/>
        <w:rPr>
          <w:rFonts w:ascii="Palatino Linotype" w:hAnsi="Palatino Linotype"/>
          <w:sz w:val="22"/>
          <w:szCs w:val="22"/>
        </w:rPr>
      </w:pPr>
      <w:r w:rsidRPr="001070AF">
        <w:rPr>
          <w:rFonts w:ascii="Palatino Linotype" w:eastAsia="Palatino Linotype" w:hAnsi="Palatino Linotype" w:cs="Palatino Linotype"/>
          <w:i/>
          <w:sz w:val="22"/>
          <w:szCs w:val="22"/>
        </w:rPr>
        <w:t xml:space="preserve">3. </w:t>
      </w:r>
      <w:r w:rsidRPr="001070AF">
        <w:rPr>
          <w:rFonts w:ascii="Palatino Linotype" w:eastAsia="Palatino Linotype" w:hAnsi="Palatino Linotype" w:cs="Palatino Linotype"/>
          <w:b/>
          <w:i/>
          <w:sz w:val="22"/>
          <w:szCs w:val="22"/>
        </w:rPr>
        <w:t>Que se trate de información registrada en cualquier soporte documental, que en ejercicio de las atribuciones conferidas, se encuentre en posesión de los Sujetos Obligados.” (Sic)</w:t>
      </w:r>
    </w:p>
    <w:p w14:paraId="58E8FB71" w14:textId="77777777" w:rsidR="00D255B7" w:rsidRPr="001070AF" w:rsidRDefault="00D255B7"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0D1C50E" w14:textId="37191936" w:rsidR="00781AC8" w:rsidRPr="001070AF" w:rsidRDefault="001B2F0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 ahí que 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así como de interés público, es decir, aquella que resulta relevante o beneficiosa para la sociedad y no simplemente de interés individual, y cuya divulgación resulta útil para que el público comprenda las actividades que llevan a cabo los Sujetos Obligados.</w:t>
      </w:r>
    </w:p>
    <w:p w14:paraId="6F4E7CE6" w14:textId="77777777" w:rsidR="003F7137" w:rsidRPr="001070AF" w:rsidRDefault="003F7137" w:rsidP="00450366">
      <w:pPr>
        <w:pBdr>
          <w:top w:val="nil"/>
          <w:left w:val="nil"/>
          <w:bottom w:val="nil"/>
          <w:right w:val="nil"/>
          <w:between w:val="nil"/>
        </w:pBdr>
        <w:spacing w:line="360" w:lineRule="auto"/>
        <w:jc w:val="both"/>
        <w:rPr>
          <w:rFonts w:ascii="Palatino Linotype" w:hAnsi="Palatino Linotype"/>
          <w:sz w:val="22"/>
          <w:szCs w:val="22"/>
        </w:rPr>
      </w:pPr>
    </w:p>
    <w:p w14:paraId="0A815E77" w14:textId="77777777" w:rsidR="00781AC8" w:rsidRPr="001070AF" w:rsidRDefault="001B2F0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Ahora bien, para profundizar en el estudio del presente asunto, es conveniente recordar que la parte solicitante requirió al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le proporcionara lo siguiente:</w:t>
      </w:r>
    </w:p>
    <w:p w14:paraId="268165A7" w14:textId="0FFA70F2" w:rsidR="00475618" w:rsidRPr="001070AF" w:rsidRDefault="00C13F26" w:rsidP="00450366">
      <w:pPr>
        <w:pStyle w:val="Prrafodelista"/>
        <w:numPr>
          <w:ilvl w:val="0"/>
          <w:numId w:val="4"/>
        </w:numPr>
        <w:pBdr>
          <w:top w:val="nil"/>
          <w:left w:val="nil"/>
          <w:bottom w:val="nil"/>
          <w:right w:val="nil"/>
          <w:between w:val="nil"/>
        </w:pBdr>
        <w:spacing w:line="360" w:lineRule="auto"/>
        <w:ind w:right="900"/>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b/>
          <w:bCs/>
          <w:sz w:val="22"/>
          <w:szCs w:val="22"/>
        </w:rPr>
        <w:t>Todas las facturas pagadas por la tesorería municipal mediante cheque o transferencia electrónica interbancaria del 1 de junio al 31 de julio de 2025.</w:t>
      </w:r>
    </w:p>
    <w:p w14:paraId="288C7076" w14:textId="77777777" w:rsidR="00C13F26" w:rsidRPr="001070AF" w:rsidRDefault="00C13F26" w:rsidP="00450366">
      <w:pPr>
        <w:tabs>
          <w:tab w:val="left" w:pos="7513"/>
        </w:tabs>
        <w:spacing w:line="360" w:lineRule="auto"/>
        <w:ind w:right="49"/>
        <w:jc w:val="both"/>
        <w:rPr>
          <w:rFonts w:ascii="Palatino Linotype" w:eastAsia="Palatino Linotype" w:hAnsi="Palatino Linotype" w:cs="Palatino Linotype"/>
          <w:sz w:val="22"/>
          <w:szCs w:val="22"/>
        </w:rPr>
      </w:pPr>
    </w:p>
    <w:p w14:paraId="3744BDDC" w14:textId="60EE095E" w:rsidR="00C13F26" w:rsidRPr="001070AF" w:rsidRDefault="00C13F26" w:rsidP="00450366">
      <w:pPr>
        <w:widowControl w:val="0"/>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respuesta,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a través de la Tesorería Municipal informó que la información se encontraba clasificada</w:t>
      </w:r>
      <w:r w:rsidR="006A4791" w:rsidRPr="001070AF">
        <w:rPr>
          <w:rFonts w:ascii="Palatino Linotype" w:eastAsia="Palatino Linotype" w:hAnsi="Palatino Linotype" w:cs="Palatino Linotype"/>
          <w:sz w:val="22"/>
          <w:szCs w:val="22"/>
        </w:rPr>
        <w:t xml:space="preserve"> como reservada</w:t>
      </w:r>
      <w:r w:rsidRPr="001070AF">
        <w:rPr>
          <w:rFonts w:ascii="Palatino Linotype" w:eastAsia="Palatino Linotype" w:hAnsi="Palatino Linotype" w:cs="Palatino Linotype"/>
          <w:sz w:val="22"/>
          <w:szCs w:val="22"/>
        </w:rPr>
        <w:t xml:space="preserve">. </w:t>
      </w:r>
    </w:p>
    <w:p w14:paraId="6334694D"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CB89AA4" w14:textId="7D02FB2F"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Al no estar conforme con los términos de la respuesta otorgada a su solicitud, la persona solicitante interpuso el recurso de revisión que ahora nos ocupa, en el que señaló como motivo de inconformidad la </w:t>
      </w:r>
      <w:r w:rsidR="006A4791" w:rsidRPr="001070AF">
        <w:rPr>
          <w:rFonts w:ascii="Palatino Linotype" w:eastAsia="Palatino Linotype" w:hAnsi="Palatino Linotype" w:cs="Palatino Linotype"/>
          <w:sz w:val="22"/>
          <w:szCs w:val="22"/>
        </w:rPr>
        <w:t xml:space="preserve">clasificación indebida de la información solicitada, solicitando revocar la clasificación aludida por parte del </w:t>
      </w:r>
      <w:r w:rsidR="006A4791" w:rsidRPr="001070AF">
        <w:rPr>
          <w:rFonts w:ascii="Palatino Linotype" w:eastAsia="Palatino Linotype" w:hAnsi="Palatino Linotype" w:cs="Palatino Linotype"/>
          <w:b/>
          <w:bCs/>
          <w:sz w:val="22"/>
          <w:szCs w:val="22"/>
        </w:rPr>
        <w:t>Sujeto Obligado</w:t>
      </w:r>
      <w:r w:rsidR="006A4791" w:rsidRPr="001070AF">
        <w:rPr>
          <w:rFonts w:ascii="Palatino Linotype" w:eastAsia="Palatino Linotype" w:hAnsi="Palatino Linotype" w:cs="Palatino Linotype"/>
          <w:sz w:val="22"/>
          <w:szCs w:val="22"/>
        </w:rPr>
        <w:t xml:space="preserve"> y ordenar la entrega de la información</w:t>
      </w:r>
      <w:r w:rsidR="00D255B7" w:rsidRPr="001070AF">
        <w:rPr>
          <w:rFonts w:ascii="Palatino Linotype" w:eastAsia="Palatino Linotype" w:hAnsi="Palatino Linotype" w:cs="Palatino Linotype"/>
          <w:sz w:val="22"/>
          <w:szCs w:val="22"/>
        </w:rPr>
        <w:t>.</w:t>
      </w:r>
    </w:p>
    <w:p w14:paraId="01118675"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185FFA2B" w14:textId="78D137CA"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Durante el periodo de manifestaciones el </w:t>
      </w:r>
      <w:r w:rsidRPr="001070AF">
        <w:rPr>
          <w:rFonts w:ascii="Palatino Linotype" w:eastAsia="Palatino Linotype" w:hAnsi="Palatino Linotype" w:cs="Palatino Linotype"/>
          <w:b/>
          <w:bCs/>
          <w:sz w:val="22"/>
          <w:szCs w:val="22"/>
        </w:rPr>
        <w:t xml:space="preserve">Sujeto Obligado </w:t>
      </w:r>
      <w:r w:rsidRPr="001070AF">
        <w:rPr>
          <w:rFonts w:ascii="Palatino Linotype" w:eastAsia="Palatino Linotype" w:hAnsi="Palatino Linotype" w:cs="Palatino Linotype"/>
          <w:sz w:val="22"/>
          <w:szCs w:val="22"/>
        </w:rPr>
        <w:t xml:space="preserve">rindió su informe justificado en el que </w:t>
      </w:r>
      <w:r w:rsidR="006A4791" w:rsidRPr="001070AF">
        <w:rPr>
          <w:rFonts w:ascii="Palatino Linotype" w:eastAsia="Palatino Linotype" w:hAnsi="Palatino Linotype" w:cs="Palatino Linotype"/>
          <w:sz w:val="22"/>
          <w:szCs w:val="22"/>
        </w:rPr>
        <w:t xml:space="preserve">confirmó la clasificación de la información. </w:t>
      </w:r>
    </w:p>
    <w:p w14:paraId="350CF7E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4D8FF5D5" w14:textId="71D82DD5" w:rsidR="00C13F26" w:rsidRPr="001070AF" w:rsidRDefault="00C13F26" w:rsidP="00450366">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Mientras que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 xml:space="preserve"> ratificó su inconformidad, </w:t>
      </w:r>
      <w:r w:rsidR="006A4791" w:rsidRPr="001070AF">
        <w:rPr>
          <w:rFonts w:ascii="Palatino Linotype" w:eastAsia="Palatino Linotype" w:hAnsi="Palatino Linotype" w:cs="Palatino Linotype"/>
          <w:sz w:val="22"/>
          <w:szCs w:val="22"/>
        </w:rPr>
        <w:t>al señalar que la clasificación impuesta por el sujeto obligado es violatoria de la ley</w:t>
      </w:r>
      <w:r w:rsidRPr="001070AF">
        <w:rPr>
          <w:rFonts w:ascii="Palatino Linotype" w:eastAsia="Palatino Linotype" w:hAnsi="Palatino Linotype" w:cs="Palatino Linotype"/>
          <w:sz w:val="22"/>
          <w:szCs w:val="22"/>
        </w:rPr>
        <w:t xml:space="preserve">. </w:t>
      </w:r>
    </w:p>
    <w:p w14:paraId="26D6CD7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19948780"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bookmarkStart w:id="2" w:name="_heading=h.17dp8vu" w:colFirst="0" w:colLast="0"/>
      <w:bookmarkEnd w:id="2"/>
      <w:r w:rsidRPr="001070AF">
        <w:rPr>
          <w:rFonts w:ascii="Palatino Linotype" w:eastAsia="Palatino Linotype" w:hAnsi="Palatino Linotype" w:cs="Palatino Linotype"/>
          <w:sz w:val="22"/>
          <w:szCs w:val="22"/>
        </w:rPr>
        <w:t>Expuesto lo anterior, y respecto a la naturaleza de la información solicitada, resulta conveniente señalar que por cuanto hace a las facturas, el Glosario de Términos Hacendarios que emite el Instituto Hacendario del Estado de México, define el término “factura” como el documento fiscal que emite la persona física o moral para comprobar la venta o adquisición de un bien y/o servicio.</w:t>
      </w:r>
    </w:p>
    <w:p w14:paraId="721F015A"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2A83E151"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Así,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destinados. </w:t>
      </w:r>
    </w:p>
    <w:p w14:paraId="2067B19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45142360" w14:textId="77777777" w:rsidR="00C13F26" w:rsidRPr="001070AF" w:rsidRDefault="00C13F26" w:rsidP="00450366">
      <w:pP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Aunado a ello, los artículos 342, 343, 344 y 345 del Código Financiero del Estado de México y Municipios, disponen el sistema y las políticas que deben seguirse para llevar el registro contable y presupuestal de las operaciones financieras, en los siguientes términos:</w:t>
      </w:r>
    </w:p>
    <w:p w14:paraId="309E04F3" w14:textId="77777777" w:rsidR="00C13F26" w:rsidRPr="001070AF" w:rsidRDefault="00C13F26" w:rsidP="00450366">
      <w:pPr>
        <w:spacing w:line="360" w:lineRule="auto"/>
        <w:ind w:right="49"/>
        <w:jc w:val="both"/>
        <w:rPr>
          <w:rFonts w:ascii="Palatino Linotype" w:eastAsia="Palatino Linotype" w:hAnsi="Palatino Linotype" w:cs="Palatino Linotype"/>
          <w:sz w:val="22"/>
          <w:szCs w:val="22"/>
        </w:rPr>
      </w:pPr>
    </w:p>
    <w:p w14:paraId="3930A768"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342.-</w:t>
      </w:r>
      <w:r w:rsidRPr="001070AF">
        <w:rPr>
          <w:rFonts w:ascii="Palatino Linotype" w:eastAsia="Palatino Linotype" w:hAnsi="Palatino Linotype" w:cs="Palatino Linotype"/>
          <w:i/>
          <w:iCs/>
          <w:sz w:val="22"/>
          <w:szCs w:val="22"/>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A93256A"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En el caso de los municipios,</w:t>
      </w:r>
      <w:r w:rsidRPr="001070AF">
        <w:rPr>
          <w:rFonts w:ascii="Palatino Linotype" w:eastAsia="Palatino Linotype" w:hAnsi="Palatino Linotype" w:cs="Palatino Linotype"/>
          <w:i/>
          <w:iCs/>
          <w:sz w:val="22"/>
          <w:szCs w:val="22"/>
        </w:rPr>
        <w:t xml:space="preserve"> el registro a que se refiere el párrafo anterior, se realizará conforme al sistema y a las disposiciones en materia de </w:t>
      </w:r>
      <w:r w:rsidRPr="001070AF">
        <w:rPr>
          <w:rFonts w:ascii="Palatino Linotype" w:eastAsia="Palatino Linotype" w:hAnsi="Palatino Linotype" w:cs="Palatino Linotype"/>
          <w:b/>
          <w:bCs/>
          <w:i/>
          <w:iCs/>
          <w:sz w:val="22"/>
          <w:szCs w:val="22"/>
        </w:rPr>
        <w:t>planeación, programación, presupuestación, evaluación y contabilidad gubernamental</w:t>
      </w:r>
      <w:r w:rsidRPr="001070AF">
        <w:rPr>
          <w:rFonts w:ascii="Palatino Linotype" w:eastAsia="Palatino Linotype" w:hAnsi="Palatino Linotype" w:cs="Palatino Linotype"/>
          <w:i/>
          <w:iCs/>
          <w:sz w:val="22"/>
          <w:szCs w:val="22"/>
        </w:rPr>
        <w:t>, que se aprueben en el marco del Sistema de Coordinación Hacendaria del Estado de México.</w:t>
      </w:r>
    </w:p>
    <w:p w14:paraId="1A0F04D0"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Artículo 343.-</w:t>
      </w:r>
      <w:r w:rsidRPr="001070AF">
        <w:rPr>
          <w:rFonts w:ascii="Palatino Linotype" w:eastAsia="Palatino Linotype" w:hAnsi="Palatino Linotype" w:cs="Palatino Linotype"/>
          <w:i/>
          <w:iCs/>
          <w:sz w:val="22"/>
          <w:szCs w:val="22"/>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4D3866F8"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El sistema de contabilidad sobre base acumulativa total, se sustentará en las normas emitidas por el Consejo Nacional de Armonización Contable.</w:t>
      </w:r>
    </w:p>
    <w:p w14:paraId="07D315E8"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rPr>
        <w:t xml:space="preserve">Artículo 344.- Los Entes Públicos, a través de cualquiera de sus unidades administrativas, de acuerdo con su naturaleza jurídica y según corresponda, </w:t>
      </w:r>
      <w:r w:rsidRPr="001070AF">
        <w:rPr>
          <w:rFonts w:ascii="Palatino Linotype" w:eastAsia="Palatino Linotype" w:hAnsi="Palatino Linotype" w:cs="Palatino Linotype"/>
          <w:b/>
          <w:bCs/>
          <w:i/>
          <w:iCs/>
          <w:sz w:val="22"/>
          <w:szCs w:val="22"/>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1070AF">
        <w:rPr>
          <w:rFonts w:ascii="Palatino Linotype" w:eastAsia="Palatino Linotype" w:hAnsi="Palatino Linotype" w:cs="Palatino Linotype"/>
          <w:b/>
          <w:bCs/>
          <w:i/>
          <w:iCs/>
          <w:sz w:val="22"/>
          <w:szCs w:val="22"/>
        </w:rPr>
        <w:t>.</w:t>
      </w:r>
    </w:p>
    <w:p w14:paraId="47FC28A4"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u w:val="single"/>
        </w:rPr>
        <w:t>Todo registro contable y presupuestal deberá estar soportado con los documentos comprobatorios originales o en medios electrónicos</w:t>
      </w:r>
      <w:r w:rsidRPr="001070AF">
        <w:rPr>
          <w:rFonts w:ascii="Palatino Linotype" w:eastAsia="Palatino Linotype" w:hAnsi="Palatino Linotype" w:cs="Palatino Linotype"/>
          <w:b/>
          <w:bCs/>
          <w:i/>
          <w:iCs/>
          <w:sz w:val="22"/>
          <w:szCs w:val="22"/>
        </w:rPr>
        <w:t xml:space="preserve">, los que deberán permanecer en custodia y conservación de los Entes Públicos a través de las unidades administrativas que ejercieron el gasto y a disposición de los Órganos de Fiscalización locales y federales, </w:t>
      </w:r>
      <w:r w:rsidRPr="001070AF">
        <w:rPr>
          <w:rFonts w:ascii="Palatino Linotype" w:eastAsia="Palatino Linotype" w:hAnsi="Palatino Linotype" w:cs="Palatino Linotype"/>
          <w:i/>
          <w:iCs/>
          <w:sz w:val="22"/>
          <w:szCs w:val="22"/>
        </w:rPr>
        <w:t xml:space="preserve">según corresponda, así como de los órganos internos de control, </w:t>
      </w:r>
      <w:r w:rsidRPr="001070AF">
        <w:rPr>
          <w:rFonts w:ascii="Palatino Linotype" w:eastAsia="Palatino Linotype" w:hAnsi="Palatino Linotype" w:cs="Palatino Linotype"/>
          <w:b/>
          <w:bCs/>
          <w:i/>
          <w:iCs/>
          <w:sz w:val="22"/>
          <w:szCs w:val="22"/>
        </w:rPr>
        <w:t>por un término de cinco años,</w:t>
      </w:r>
      <w:r w:rsidRPr="001070AF">
        <w:rPr>
          <w:rFonts w:ascii="Palatino Linotype" w:eastAsia="Palatino Linotype" w:hAnsi="Palatino Linotype" w:cs="Palatino Linotype"/>
          <w:i/>
          <w:iCs/>
          <w:sz w:val="22"/>
          <w:szCs w:val="22"/>
        </w:rPr>
        <w:t xml:space="preserve"> contados a partir del ejercicio presupuestal siguiente al que corresponda,</w:t>
      </w:r>
      <w:r w:rsidRPr="001070AF">
        <w:rPr>
          <w:rFonts w:ascii="Palatino Linotype" w:eastAsia="Palatino Linotype" w:hAnsi="Palatino Linotype" w:cs="Palatino Linotype"/>
          <w:b/>
          <w:bCs/>
          <w:i/>
          <w:iCs/>
          <w:sz w:val="22"/>
          <w:szCs w:val="22"/>
        </w:rPr>
        <w:t xml:space="preserve"> en el caso de los Municipios, dicha obligación corresponderá a la Tesorería.</w:t>
      </w:r>
    </w:p>
    <w:p w14:paraId="2FB000BC"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Tratándose de documentos de carácter histórico, se estará a lo dispuesto por la legislación de la materia.</w:t>
      </w:r>
    </w:p>
    <w:p w14:paraId="0E18E805"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6C89B260"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rPr>
        <w:t>Artículo 345.-</w:t>
      </w:r>
      <w:r w:rsidRPr="001070AF">
        <w:rPr>
          <w:rFonts w:ascii="Palatino Linotype" w:eastAsia="Palatino Linotype" w:hAnsi="Palatino Linotype" w:cs="Palatino Linotype"/>
          <w:i/>
          <w:iCs/>
          <w:sz w:val="22"/>
          <w:szCs w:val="22"/>
        </w:rPr>
        <w:t xml:space="preserve"> </w:t>
      </w:r>
      <w:r w:rsidRPr="001070AF">
        <w:rPr>
          <w:rFonts w:ascii="Palatino Linotype" w:eastAsia="Palatino Linotype" w:hAnsi="Palatino Linotype" w:cs="Palatino Linotype"/>
          <w:b/>
          <w:bCs/>
          <w:i/>
          <w:iCs/>
          <w:sz w:val="22"/>
          <w:szCs w:val="22"/>
        </w:rPr>
        <w:t xml:space="preserve">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1070AF">
        <w:rPr>
          <w:rFonts w:ascii="Palatino Linotype" w:eastAsia="Palatino Linotype" w:hAnsi="Palatino Linotype" w:cs="Palatino Linotype"/>
          <w:b/>
          <w:bCs/>
          <w:i/>
          <w:iCs/>
          <w:sz w:val="22"/>
          <w:szCs w:val="22"/>
          <w:u w:val="single"/>
        </w:rPr>
        <w:t>Tratándose de los comprobantes fiscales digitales, estos deberán estar agregados en forma electrónica a cada póliza de registro contable</w:t>
      </w:r>
      <w:r w:rsidRPr="001070AF">
        <w:rPr>
          <w:rFonts w:ascii="Palatino Linotype" w:eastAsia="Palatino Linotype" w:hAnsi="Palatino Linotype" w:cs="Palatino Linotype"/>
          <w:b/>
          <w:bCs/>
          <w:i/>
          <w:iCs/>
          <w:sz w:val="22"/>
          <w:szCs w:val="22"/>
        </w:rPr>
        <w:t>.</w:t>
      </w:r>
    </w:p>
    <w:p w14:paraId="798CED4E"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1070AF">
        <w:rPr>
          <w:rFonts w:ascii="Palatino Linotype" w:eastAsia="Palatino Linotype" w:hAnsi="Palatino Linotype" w:cs="Palatino Linotype"/>
          <w:b/>
          <w:bCs/>
          <w:i/>
          <w:iCs/>
          <w:sz w:val="22"/>
          <w:szCs w:val="22"/>
        </w:rPr>
        <w:t>deberán estar agregados en forma electrónica a cada póliza de registro contable</w:t>
      </w:r>
      <w:r w:rsidRPr="001070AF">
        <w:rPr>
          <w:rFonts w:ascii="Palatino Linotype" w:eastAsia="Palatino Linotype" w:hAnsi="Palatino Linotype" w:cs="Palatino Linotype"/>
          <w:i/>
          <w:iCs/>
          <w:sz w:val="22"/>
          <w:szCs w:val="22"/>
        </w:rPr>
        <w:t>.</w:t>
      </w:r>
    </w:p>
    <w:p w14:paraId="2E78C0D9"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El plazo señalado en este artículo empezará a contar a partir de la publicación en el Periódico Oficial, del decreto correspondiente.</w:t>
      </w:r>
      <w:r w:rsidRPr="001070AF">
        <w:rPr>
          <w:rFonts w:ascii="Palatino Linotype" w:eastAsia="Palatino Linotype" w:hAnsi="Palatino Linotype" w:cs="Palatino Linotype"/>
          <w:b/>
          <w:bCs/>
          <w:i/>
          <w:iCs/>
          <w:sz w:val="22"/>
          <w:szCs w:val="22"/>
        </w:rPr>
        <w:t>”</w:t>
      </w:r>
    </w:p>
    <w:p w14:paraId="698B13E1"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(Énfasis Añadido)</w:t>
      </w:r>
    </w:p>
    <w:p w14:paraId="178690C8"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206D0DAB"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2B217C4"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54667F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1070AF">
        <w:rPr>
          <w:rFonts w:ascii="Palatino Linotype" w:eastAsia="Palatino Linotype" w:hAnsi="Palatino Linotype" w:cs="Palatino Linotype"/>
          <w:sz w:val="22"/>
          <w:szCs w:val="22"/>
          <w:vertAlign w:val="superscript"/>
        </w:rPr>
        <w:footnoteReference w:id="1"/>
      </w:r>
      <w:r w:rsidRPr="001070AF">
        <w:rPr>
          <w:rFonts w:ascii="Palatino Linotype" w:eastAsia="Palatino Linotype" w:hAnsi="Palatino Linotype" w:cs="Palatino Linotype"/>
          <w:sz w:val="22"/>
          <w:szCs w:val="22"/>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091007B7"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b/>
          <w:bCs/>
          <w:i/>
          <w:iCs/>
          <w:sz w:val="22"/>
          <w:szCs w:val="22"/>
        </w:rPr>
      </w:pPr>
    </w:p>
    <w:p w14:paraId="4704B0CD"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REGISTRO CONTABLE</w:t>
      </w:r>
    </w:p>
    <w:p w14:paraId="19FF8097"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Asiento que se realiza en los libros de contabilidad de las actividades relacionadas con el ingreso y egresos de un ente económico.”</w:t>
      </w:r>
    </w:p>
    <w:p w14:paraId="79F4EBB5"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i/>
          <w:iCs/>
          <w:sz w:val="22"/>
          <w:szCs w:val="22"/>
        </w:rPr>
      </w:pPr>
    </w:p>
    <w:p w14:paraId="44036A33"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REGISTRO PRESUPUESTARIO</w:t>
      </w:r>
    </w:p>
    <w:p w14:paraId="520E12A6" w14:textId="77777777" w:rsidR="00C13F26" w:rsidRPr="001070AF" w:rsidRDefault="00C13F26" w:rsidP="00450366">
      <w:pPr>
        <w:tabs>
          <w:tab w:val="left" w:pos="7655"/>
        </w:tabs>
        <w:spacing w:line="276" w:lineRule="auto"/>
        <w:ind w:left="851" w:right="616" w:hanging="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Asiento contable de las erogaciones realizadas por las dependencias y entidades con relación a la asignación, modificación y ejercicio de los recursos presupuestarios que se les hayan autorizado.”</w:t>
      </w:r>
    </w:p>
    <w:p w14:paraId="00EE4845" w14:textId="77777777" w:rsidR="00C13F26" w:rsidRPr="001070AF" w:rsidRDefault="00C13F26" w:rsidP="00450366">
      <w:pPr>
        <w:spacing w:line="360" w:lineRule="auto"/>
        <w:ind w:right="51"/>
        <w:jc w:val="both"/>
        <w:rPr>
          <w:rFonts w:ascii="Palatino Linotype" w:eastAsia="Palatino Linotype" w:hAnsi="Palatino Linotype" w:cs="Palatino Linotype"/>
          <w:sz w:val="22"/>
          <w:szCs w:val="22"/>
        </w:rPr>
      </w:pPr>
    </w:p>
    <w:p w14:paraId="50572A00" w14:textId="77777777" w:rsidR="00C13F26" w:rsidRPr="001070AF" w:rsidRDefault="00C13F26" w:rsidP="00450366">
      <w:pPr>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3AF31EEA" w14:textId="77777777" w:rsidR="00C13F26" w:rsidRPr="001070AF" w:rsidRDefault="00C13F26" w:rsidP="00450366">
      <w:pPr>
        <w:spacing w:line="360" w:lineRule="auto"/>
        <w:ind w:right="51"/>
        <w:jc w:val="both"/>
        <w:rPr>
          <w:rFonts w:ascii="Palatino Linotype" w:eastAsia="Palatino Linotype" w:hAnsi="Palatino Linotype" w:cs="Palatino Linotype"/>
          <w:sz w:val="22"/>
          <w:szCs w:val="22"/>
        </w:rPr>
      </w:pPr>
    </w:p>
    <w:p w14:paraId="1BF5BEF1"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otra parte, se establece que el sistema de contabilidad sobre base acumulativa total se sustentará en los principios de contabilidad gubernamental.</w:t>
      </w:r>
    </w:p>
    <w:p w14:paraId="3DAAE56A"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02FE06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27BFF761"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0A820DA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Correlativo a lo anterior, es preciso referir una definición de </w:t>
      </w:r>
      <w:r w:rsidRPr="001070AF">
        <w:rPr>
          <w:rFonts w:ascii="Palatino Linotype" w:eastAsia="Palatino Linotype" w:hAnsi="Palatino Linotype" w:cs="Palatino Linotype"/>
          <w:i/>
          <w:iCs/>
          <w:sz w:val="22"/>
          <w:szCs w:val="22"/>
        </w:rPr>
        <w:t>póliza contable</w:t>
      </w:r>
      <w:r w:rsidRPr="001070AF">
        <w:rPr>
          <w:rFonts w:ascii="Palatino Linotype" w:eastAsia="Palatino Linotype" w:hAnsi="Palatino Linotype" w:cs="Palatino Linotype"/>
          <w:sz w:val="22"/>
          <w:szCs w:val="22"/>
        </w:rPr>
        <w:t>, la cual, primeramente, no está definida en el Código Financiero del Estado de México y Municipios; no obstante, el ya mencionado Glosario la define como:</w:t>
      </w:r>
    </w:p>
    <w:p w14:paraId="3A533343" w14:textId="77777777" w:rsidR="00C13F26" w:rsidRPr="001070AF" w:rsidRDefault="00C13F26" w:rsidP="00450366">
      <w:pPr>
        <w:spacing w:line="276" w:lineRule="auto"/>
        <w:ind w:left="862" w:right="758"/>
        <w:jc w:val="both"/>
        <w:rPr>
          <w:rFonts w:ascii="Palatino Linotype" w:eastAsia="Palatino Linotype" w:hAnsi="Palatino Linotype" w:cs="Palatino Linotype"/>
          <w:i/>
          <w:iCs/>
          <w:sz w:val="22"/>
          <w:szCs w:val="22"/>
        </w:rPr>
      </w:pPr>
    </w:p>
    <w:p w14:paraId="24E25886" w14:textId="77777777" w:rsidR="00C13F26" w:rsidRPr="001070AF" w:rsidRDefault="00C13F26" w:rsidP="00450366">
      <w:pPr>
        <w:spacing w:line="276" w:lineRule="auto"/>
        <w:ind w:left="862"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PÓLIZA CONTABLE</w:t>
      </w:r>
    </w:p>
    <w:p w14:paraId="1A6AD596" w14:textId="77777777" w:rsidR="00C13F26" w:rsidRPr="001070AF" w:rsidRDefault="00C13F26" w:rsidP="00450366">
      <w:pPr>
        <w:spacing w:line="276" w:lineRule="auto"/>
        <w:ind w:left="862"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Documento en el cual se asientan en forma individual todas y cada una de las operaciones desarrolladas por una institución, así como la información necesaria para la identificación de dichas operaciones.” </w:t>
      </w:r>
    </w:p>
    <w:p w14:paraId="0F90AB38"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3C05410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Así, se advierte que la </w:t>
      </w:r>
      <w:r w:rsidRPr="001070AF">
        <w:rPr>
          <w:rFonts w:ascii="Palatino Linotype" w:eastAsia="Palatino Linotype" w:hAnsi="Palatino Linotype" w:cs="Palatino Linotype"/>
          <w:i/>
          <w:iCs/>
          <w:sz w:val="22"/>
          <w:szCs w:val="22"/>
        </w:rPr>
        <w:t>póliza contable</w:t>
      </w:r>
      <w:r w:rsidRPr="001070AF">
        <w:rPr>
          <w:rFonts w:ascii="Palatino Linotype" w:eastAsia="Palatino Linotype" w:hAnsi="Palatino Linotype" w:cs="Palatino Linotype"/>
          <w:sz w:val="22"/>
          <w:szCs w:val="22"/>
        </w:rPr>
        <w:t xml:space="preserve"> constituye un registro contable y presupuestal con el que cuentan los Municipios para el registro de operaciones relacionadas con ingresos y egresos y </w:t>
      </w:r>
      <w:r w:rsidRPr="001070AF">
        <w:rPr>
          <w:rFonts w:ascii="Palatino Linotype" w:eastAsia="Palatino Linotype" w:hAnsi="Palatino Linotype" w:cs="Palatino Linotype"/>
          <w:b/>
          <w:bCs/>
          <w:sz w:val="22"/>
          <w:szCs w:val="22"/>
          <w:u w:val="single"/>
        </w:rPr>
        <w:t>se anexan los documentos o comprobantes que justifiquen las anotaciones y cantidades en ellas registradas</w:t>
      </w:r>
      <w:r w:rsidRPr="001070AF">
        <w:rPr>
          <w:rFonts w:ascii="Palatino Linotype" w:eastAsia="Palatino Linotype" w:hAnsi="Palatino Linotype" w:cs="Palatino Linotype"/>
          <w:sz w:val="22"/>
          <w:szCs w:val="22"/>
        </w:rPr>
        <w:t>, lo que permite la identificación plena de dichas operaciones.</w:t>
      </w:r>
    </w:p>
    <w:p w14:paraId="309BD660" w14:textId="77777777" w:rsidR="00C13F26" w:rsidRPr="001070AF" w:rsidRDefault="00C13F26" w:rsidP="00450366">
      <w:pPr>
        <w:spacing w:line="360" w:lineRule="auto"/>
        <w:jc w:val="both"/>
        <w:rPr>
          <w:rFonts w:ascii="Palatino Linotype" w:eastAsia="Palatino Linotype" w:hAnsi="Palatino Linotype" w:cs="Palatino Linotype"/>
          <w:i/>
          <w:iCs/>
          <w:sz w:val="22"/>
          <w:szCs w:val="22"/>
        </w:rPr>
      </w:pPr>
    </w:p>
    <w:p w14:paraId="657BE2E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este sentido, existen diversos tipos de pólizas contables de acuerdo a las operaciones realizadas, dentro de las cuales, encontramos las llamadas </w:t>
      </w:r>
      <w:r w:rsidRPr="001070AF">
        <w:rPr>
          <w:rFonts w:ascii="Palatino Linotype" w:eastAsia="Palatino Linotype" w:hAnsi="Palatino Linotype" w:cs="Palatino Linotype"/>
          <w:i/>
          <w:iCs/>
          <w:sz w:val="22"/>
          <w:szCs w:val="22"/>
        </w:rPr>
        <w:t>pólizas de egresos</w:t>
      </w:r>
      <w:r w:rsidRPr="001070AF">
        <w:rPr>
          <w:rFonts w:ascii="Palatino Linotype" w:eastAsia="Palatino Linotype" w:hAnsi="Palatino Linotype" w:cs="Palatino Linotype"/>
          <w:sz w:val="22"/>
          <w:szCs w:val="22"/>
        </w:rPr>
        <w:t xml:space="preserve">, que </w:t>
      </w:r>
      <w:r w:rsidRPr="001070AF">
        <w:rPr>
          <w:rFonts w:ascii="Palatino Linotype" w:eastAsia="Palatino Linotype" w:hAnsi="Palatino Linotype" w:cs="Palatino Linotype"/>
          <w:b/>
          <w:bCs/>
          <w:sz w:val="22"/>
          <w:szCs w:val="22"/>
        </w:rPr>
        <w:t xml:space="preserve">son aquellas en las cuales </w:t>
      </w:r>
      <w:r w:rsidRPr="001070AF">
        <w:rPr>
          <w:rFonts w:ascii="Palatino Linotype" w:eastAsia="Palatino Linotype" w:hAnsi="Palatino Linotype" w:cs="Palatino Linotype"/>
          <w:b/>
          <w:bCs/>
          <w:sz w:val="22"/>
          <w:szCs w:val="22"/>
          <w:u w:val="single"/>
        </w:rPr>
        <w:t>se anotan diariamente las operaciones que representan gastos, es decir, salidas de dinero</w:t>
      </w:r>
      <w:r w:rsidRPr="001070AF">
        <w:rPr>
          <w:rFonts w:ascii="Palatino Linotype" w:eastAsia="Palatino Linotype" w:hAnsi="Palatino Linotype" w:cs="Palatino Linotype"/>
          <w:sz w:val="22"/>
          <w:szCs w:val="22"/>
        </w:rPr>
        <w:t xml:space="preserve"> para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las que además, </w:t>
      </w:r>
      <w:r w:rsidRPr="001070AF">
        <w:rPr>
          <w:rFonts w:ascii="Palatino Linotype" w:eastAsia="Palatino Linotype" w:hAnsi="Palatino Linotype" w:cs="Palatino Linotype"/>
          <w:b/>
          <w:bCs/>
          <w:sz w:val="22"/>
          <w:szCs w:val="22"/>
          <w:u w:val="single"/>
        </w:rPr>
        <w:t>deben encontrarse acompañadas de las documentales que sirven de soporte de dicho movimiento</w:t>
      </w:r>
      <w:r w:rsidRPr="001070AF">
        <w:rPr>
          <w:rFonts w:ascii="Palatino Linotype" w:eastAsia="Palatino Linotype" w:hAnsi="Palatino Linotype" w:cs="Palatino Linotype"/>
          <w:sz w:val="22"/>
          <w:szCs w:val="22"/>
        </w:rPr>
        <w:t>, como por ejemplo las facturas.</w:t>
      </w:r>
    </w:p>
    <w:p w14:paraId="5CBBF947"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3256F854"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 este modo,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cuenta con facultades y atribuciones para tener registro de la expedición de las pólizas de egresos, ya que con tales documentales acredita y soporta el gasto realizado. </w:t>
      </w:r>
    </w:p>
    <w:p w14:paraId="4D8178B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7B0017C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Asimismo, el Manual de Organización de la Tesorería Municipal precisa que dicha área será la encargada de administrar los recursos públicos; para lo cual contará con la Subdirección de Egresos que tiene como objetivo llevar una administración adecuada de los recursos financieros, que cada pago cumpla con su normatividad aplicable y elaborar la información financiera y que esta sea veraz y oportuna para la toma de decisiones y atender los requerimientos de auditoria financieras. Aunado a ello contara con las siguientes funciones: </w:t>
      </w:r>
    </w:p>
    <w:p w14:paraId="4D9C582D"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01EF8301"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5C8169DF"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5. Supervisar y programar los pagos con cargo al presupuesto de egresos.</w:t>
      </w:r>
    </w:p>
    <w:p w14:paraId="6BC765CE"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6. Administrar correctamente los recursos financieros del Municipio de Ecatepec de Morelos para garantizar el pago en tiempo y forma al personal del Ayuntamiento prestadores de servicios y acreedores diversos.</w:t>
      </w:r>
    </w:p>
    <w:p w14:paraId="5B997FDA"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7. Mantener el control administrativo, de las cuentas por pagar, así como verificar mediante el cruce de información con las áreas de contabilidad y control presupuestal, a efecto de que los pagos que se realicen mantengan control y disciplina en el ejercicio del gasto público.</w:t>
      </w:r>
    </w:p>
    <w:p w14:paraId="2ACABD51"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8. Llevar el registro contable</w:t>
      </w:r>
      <w:r w:rsidRPr="001070AF">
        <w:rPr>
          <w:rFonts w:ascii="Palatino Linotype" w:eastAsia="Palatino Linotype" w:hAnsi="Palatino Linotype" w:cs="Palatino Linotype"/>
          <w:i/>
          <w:iCs/>
          <w:sz w:val="22"/>
          <w:szCs w:val="22"/>
        </w:rPr>
        <w:t xml:space="preserve"> y presupuestal de los ingresos públicos, egresos públicos y </w:t>
      </w:r>
      <w:r w:rsidRPr="001070AF">
        <w:rPr>
          <w:rFonts w:ascii="Palatino Linotype" w:eastAsia="Palatino Linotype" w:hAnsi="Palatino Linotype" w:cs="Palatino Linotype"/>
          <w:b/>
          <w:bCs/>
          <w:i/>
          <w:iCs/>
          <w:sz w:val="22"/>
          <w:szCs w:val="22"/>
          <w:u w:val="single"/>
        </w:rPr>
        <w:t>de todas las operaciones financieras que efectúa el Ayuntamiento</w:t>
      </w:r>
      <w:r w:rsidRPr="001070AF">
        <w:rPr>
          <w:rFonts w:ascii="Palatino Linotype" w:eastAsia="Palatino Linotype" w:hAnsi="Palatino Linotype" w:cs="Palatino Linotype"/>
          <w:i/>
          <w:iCs/>
          <w:sz w:val="22"/>
          <w:szCs w:val="22"/>
        </w:rPr>
        <w:t xml:space="preserve"> con la finalidad de proporcionar información sobre la aplicación de los fondos públicos. </w:t>
      </w:r>
    </w:p>
    <w:p w14:paraId="3ECD8E37"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6ED599E3"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18. Realizar de manera directa todos los pagos que le sean enviados por parte de la coordinación general de egresos, previo cumplimiento de los requisitos de identificación y soporte documental de las pólizas correspondientes.</w:t>
      </w:r>
    </w:p>
    <w:p w14:paraId="137D855D" w14:textId="77777777" w:rsidR="00C13F26" w:rsidRPr="001070AF" w:rsidRDefault="00C13F26" w:rsidP="00450366">
      <w:pPr>
        <w:spacing w:line="276" w:lineRule="auto"/>
        <w:ind w:left="851" w:right="616"/>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19. Desarrollar además todas aquellas funciones que resulten inherentes a sus ámbitos de competencia, así como aquellas que le sean encomendadas por sus superiores.”</w:t>
      </w:r>
    </w:p>
    <w:p w14:paraId="517209D7"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1EF05AC5" w14:textId="7EC17298"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 lo anterior, se colige que, el Ayuntamiento de Ecatepec de Morelos a través de la Tesorería Municipal se encarga de realizar las erogaciones que haga el Municipio; asimismo contara con una Subdirección de Egresos, misma que tiene atribuciones para vigilar la administración y correcta aplicación de los egresos, previa autorización de la Tesorería</w:t>
      </w:r>
      <w:r w:rsidR="00652C57" w:rsidRPr="001070AF">
        <w:rPr>
          <w:rFonts w:ascii="Palatino Linotype" w:eastAsia="Palatino Linotype" w:hAnsi="Palatino Linotype" w:cs="Palatino Linotype"/>
          <w:sz w:val="22"/>
          <w:szCs w:val="22"/>
        </w:rPr>
        <w:t>, aunado a que</w:t>
      </w:r>
      <w:r w:rsidRPr="001070AF">
        <w:rPr>
          <w:rFonts w:ascii="Palatino Linotype" w:eastAsia="Palatino Linotype" w:hAnsi="Palatino Linotype" w:cs="Palatino Linotype"/>
          <w:sz w:val="22"/>
          <w:szCs w:val="22"/>
        </w:rPr>
        <w:t xml:space="preserve"> lleva el registro contable y presupuestal de los egresos públicos y de todas las operaciones financieras que efectúa el Ayuntamiento. </w:t>
      </w:r>
    </w:p>
    <w:p w14:paraId="05D6ECFF"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214E934F" w14:textId="6A74DC5F"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 ahí que,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cuenta con las competencias, facultades y atribuciones para conocer, administrar y generar la información relacionada con las facturas pagadas por el </w:t>
      </w:r>
      <w:r w:rsidR="0014326D" w:rsidRPr="001070AF">
        <w:rPr>
          <w:rFonts w:ascii="Palatino Linotype" w:eastAsia="Palatino Linotype" w:hAnsi="Palatino Linotype" w:cs="Palatino Linotype"/>
          <w:sz w:val="22"/>
          <w:szCs w:val="22"/>
        </w:rPr>
        <w:t>Tesorero Municipal</w:t>
      </w:r>
      <w:r w:rsidRPr="001070AF">
        <w:rPr>
          <w:rFonts w:ascii="Palatino Linotype" w:eastAsia="Palatino Linotype" w:hAnsi="Palatino Linotype" w:cs="Palatino Linotype"/>
          <w:sz w:val="22"/>
          <w:szCs w:val="22"/>
        </w:rPr>
        <w:t xml:space="preserve">, referidas por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 xml:space="preserve"> en su solicitud de información.</w:t>
      </w:r>
    </w:p>
    <w:p w14:paraId="5E75F8AB"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0C0910E" w14:textId="662CE306"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Ahora bien, en el caso que nos ocupa, derivado d</w:t>
      </w:r>
      <w:r w:rsidR="0014326D" w:rsidRPr="001070AF">
        <w:rPr>
          <w:rFonts w:ascii="Palatino Linotype" w:eastAsia="Palatino Linotype" w:hAnsi="Palatino Linotype" w:cs="Palatino Linotype"/>
          <w:sz w:val="22"/>
          <w:szCs w:val="22"/>
        </w:rPr>
        <w:t>e las constancias que obran en los</w:t>
      </w:r>
      <w:r w:rsidRPr="001070AF">
        <w:rPr>
          <w:rFonts w:ascii="Palatino Linotype" w:eastAsia="Palatino Linotype" w:hAnsi="Palatino Linotype" w:cs="Palatino Linotype"/>
          <w:sz w:val="22"/>
          <w:szCs w:val="22"/>
        </w:rPr>
        <w:t xml:space="preserve"> expediente</w:t>
      </w:r>
      <w:r w:rsidR="0014326D"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xml:space="preserve"> en </w:t>
      </w:r>
      <w:r w:rsidR="0014326D" w:rsidRPr="001070AF">
        <w:rPr>
          <w:rFonts w:ascii="Palatino Linotype" w:eastAsia="Palatino Linotype" w:hAnsi="Palatino Linotype" w:cs="Palatino Linotype"/>
          <w:sz w:val="22"/>
          <w:szCs w:val="22"/>
        </w:rPr>
        <w:t xml:space="preserve">los </w:t>
      </w:r>
      <w:r w:rsidRPr="001070AF">
        <w:rPr>
          <w:rFonts w:ascii="Palatino Linotype" w:eastAsia="Palatino Linotype" w:hAnsi="Palatino Linotype" w:cs="Palatino Linotype"/>
          <w:sz w:val="22"/>
          <w:szCs w:val="22"/>
        </w:rPr>
        <w:t>que se actúa se advierte que la Unidad de Transparencia, en observancia de lo previsto en los artículos 53, fracciones II y IV</w:t>
      </w:r>
      <w:r w:rsidRPr="001070AF">
        <w:rPr>
          <w:rFonts w:ascii="Palatino Linotype" w:eastAsia="Palatino Linotype" w:hAnsi="Palatino Linotype" w:cs="Palatino Linotype"/>
          <w:sz w:val="22"/>
          <w:szCs w:val="22"/>
          <w:vertAlign w:val="superscript"/>
        </w:rPr>
        <w:t xml:space="preserve"> </w:t>
      </w:r>
      <w:r w:rsidRPr="001070AF">
        <w:rPr>
          <w:rFonts w:ascii="Palatino Linotype" w:eastAsia="Palatino Linotype" w:hAnsi="Palatino Linotype" w:cs="Palatino Linotype"/>
          <w:sz w:val="22"/>
          <w:szCs w:val="22"/>
          <w:vertAlign w:val="superscript"/>
        </w:rPr>
        <w:footnoteReference w:id="2"/>
      </w:r>
      <w:r w:rsidRPr="001070AF">
        <w:rPr>
          <w:rFonts w:ascii="Palatino Linotype" w:eastAsia="Palatino Linotype" w:hAnsi="Palatino Linotype" w:cs="Palatino Linotype"/>
          <w:sz w:val="22"/>
          <w:szCs w:val="22"/>
        </w:rPr>
        <w:t xml:space="preserve"> y 162</w:t>
      </w:r>
      <w:r w:rsidRPr="001070AF">
        <w:rPr>
          <w:rFonts w:ascii="Palatino Linotype" w:eastAsia="Palatino Linotype" w:hAnsi="Palatino Linotype" w:cs="Palatino Linotype"/>
          <w:sz w:val="22"/>
          <w:szCs w:val="22"/>
          <w:vertAlign w:val="superscript"/>
        </w:rPr>
        <w:footnoteReference w:id="3"/>
      </w:r>
      <w:r w:rsidRPr="001070AF">
        <w:rPr>
          <w:rFonts w:ascii="Palatino Linotype" w:eastAsia="Palatino Linotype" w:hAnsi="Palatino Linotype" w:cs="Palatino Linotype"/>
          <w:sz w:val="22"/>
          <w:szCs w:val="22"/>
        </w:rPr>
        <w:t xml:space="preserve"> de la Ley de Transparencia y Acceso a la Información Pública del Estado de México y Municipios, turnó la solicitud de información al área que, de acuerdo con sus facultades, competencias y funciones, cuenta con la información materia de la solicitud, esto es la Tesorería Municipal, </w:t>
      </w:r>
      <w:r w:rsidR="00652C57" w:rsidRPr="001070AF">
        <w:rPr>
          <w:rFonts w:ascii="Palatino Linotype" w:eastAsia="Palatino Linotype" w:hAnsi="Palatino Linotype" w:cs="Palatino Linotype"/>
          <w:sz w:val="22"/>
          <w:szCs w:val="22"/>
        </w:rPr>
        <w:t>quien</w:t>
      </w:r>
      <w:r w:rsidRPr="001070AF">
        <w:rPr>
          <w:rFonts w:ascii="Palatino Linotype" w:eastAsia="Palatino Linotype" w:hAnsi="Palatino Linotype" w:cs="Palatino Linotype"/>
          <w:sz w:val="22"/>
          <w:szCs w:val="22"/>
        </w:rPr>
        <w:t xml:space="preserve"> informó que la información solicitada no podía ser proporcionada al estar clasificada; sobre el tema, según Trujillo, Humberto (2019), en el “Diccionario de Transparencia y Acceso a la Información Pública” (p. 201), </w:t>
      </w:r>
      <w:r w:rsidRPr="001070AF">
        <w:rPr>
          <w:rFonts w:ascii="Palatino Linotype" w:eastAsia="Palatino Linotype" w:hAnsi="Palatino Linotype" w:cs="Palatino Linotype"/>
          <w:b/>
          <w:bCs/>
          <w:sz w:val="22"/>
          <w:szCs w:val="22"/>
        </w:rPr>
        <w:t>la negativa de acceso a la información</w:t>
      </w:r>
      <w:r w:rsidRPr="001070AF">
        <w:rPr>
          <w:rFonts w:ascii="Palatino Linotype" w:eastAsia="Palatino Linotype" w:hAnsi="Palatino Linotype" w:cs="Palatino Linotype"/>
          <w:sz w:val="22"/>
          <w:szCs w:val="22"/>
        </w:rPr>
        <w:t xml:space="preserve"> ocurre cuanto de manera fundada y motivada, una autoridad la niega o la limita, por alguna de las siguientes razones:</w:t>
      </w:r>
    </w:p>
    <w:p w14:paraId="5689A146" w14:textId="77777777" w:rsidR="00C13F26" w:rsidRPr="001070AF" w:rsidRDefault="00C13F26" w:rsidP="00450366">
      <w:pPr>
        <w:spacing w:line="360" w:lineRule="auto"/>
        <w:rPr>
          <w:rFonts w:ascii="Palatino Linotype" w:eastAsia="Palatino Linotype" w:hAnsi="Palatino Linotype" w:cs="Palatino Linotype"/>
          <w:sz w:val="22"/>
          <w:szCs w:val="22"/>
        </w:rPr>
      </w:pPr>
    </w:p>
    <w:p w14:paraId="78FCD670" w14:textId="77777777" w:rsidR="00C13F26" w:rsidRPr="001070AF" w:rsidRDefault="00C13F26" w:rsidP="00450366">
      <w:pPr>
        <w:numPr>
          <w:ilvl w:val="0"/>
          <w:numId w:val="21"/>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La inexistencia de la información (p. 171):</w:t>
      </w:r>
      <w:r w:rsidRPr="001070AF">
        <w:rPr>
          <w:rFonts w:ascii="Palatino Linotype" w:eastAsia="Palatino Linotype" w:hAnsi="Palatino Linotype" w:cs="Palatino Linotype"/>
          <w:sz w:val="22"/>
          <w:szCs w:val="22"/>
        </w:rPr>
        <w:t xml:space="preserve"> Sucede cuando la información solicitada no se encuentra en los archivos públicos o clasificados de los entes sujetos a las Leyes de Transparencia.</w:t>
      </w:r>
    </w:p>
    <w:p w14:paraId="16BB88FE"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338326F4" w14:textId="77777777" w:rsidR="00C13F26" w:rsidRPr="001070AF" w:rsidRDefault="00C13F26" w:rsidP="00450366">
      <w:pPr>
        <w:numPr>
          <w:ilvl w:val="0"/>
          <w:numId w:val="21"/>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La incompetencia del Sujeto Obligado (p. 171):</w:t>
      </w:r>
      <w:r w:rsidRPr="001070AF">
        <w:rPr>
          <w:rFonts w:ascii="Palatino Linotype" w:eastAsia="Palatino Linotype" w:hAnsi="Palatino Linotype" w:cs="Palatino Linotype"/>
          <w:sz w:val="22"/>
          <w:szCs w:val="22"/>
        </w:rPr>
        <w:t xml:space="preserve"> Ocurre cuando el Sujeto Obligado carece de atribuciones para poseer la información peticionada.</w:t>
      </w:r>
    </w:p>
    <w:p w14:paraId="497A3EB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71C42D9E" w14:textId="77777777" w:rsidR="00C13F26" w:rsidRPr="001070AF" w:rsidRDefault="00C13F26" w:rsidP="00450366">
      <w:pPr>
        <w:numPr>
          <w:ilvl w:val="0"/>
          <w:numId w:val="21"/>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La clasificación de la información (p. 70):</w:t>
      </w:r>
      <w:r w:rsidRPr="001070AF">
        <w:rPr>
          <w:rFonts w:ascii="Palatino Linotype" w:eastAsia="Palatino Linotype" w:hAnsi="Palatino Linotype" w:cs="Palatino Linotype"/>
          <w:sz w:val="22"/>
          <w:szCs w:val="22"/>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0E170960"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24CF6ED6"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sz w:val="22"/>
          <w:szCs w:val="22"/>
        </w:rPr>
        <w:t xml:space="preserve">Así, es de señalar que las excepciones al derecho de acceso a la información, consisten en que </w:t>
      </w:r>
      <w:r w:rsidRPr="001070AF">
        <w:rPr>
          <w:rFonts w:ascii="Palatino Linotype" w:eastAsia="Palatino Linotype" w:hAnsi="Palatino Linotype" w:cs="Palatino Linotype"/>
          <w:b/>
          <w:bCs/>
          <w:sz w:val="22"/>
          <w:szCs w:val="22"/>
        </w:rPr>
        <w:t xml:space="preserve">la documentación sea inexistente, obre en los archivos, pero se encuentre clasificada, </w:t>
      </w:r>
      <w:r w:rsidRPr="001070AF">
        <w:rPr>
          <w:rFonts w:ascii="Palatino Linotype" w:eastAsia="Palatino Linotype" w:hAnsi="Palatino Linotype" w:cs="Palatino Linotype"/>
          <w:sz w:val="22"/>
          <w:szCs w:val="22"/>
        </w:rPr>
        <w:t>o bien, el</w:t>
      </w:r>
      <w:r w:rsidRPr="001070AF">
        <w:rPr>
          <w:rFonts w:ascii="Palatino Linotype" w:eastAsia="Palatino Linotype" w:hAnsi="Palatino Linotype" w:cs="Palatino Linotype"/>
          <w:b/>
          <w:bCs/>
          <w:sz w:val="22"/>
          <w:szCs w:val="22"/>
        </w:rPr>
        <w:t xml:space="preserve"> Sujeto Obligado sea incompetente</w:t>
      </w:r>
      <w:r w:rsidRPr="001070AF">
        <w:rPr>
          <w:rFonts w:ascii="Palatino Linotype" w:eastAsia="Palatino Linotype" w:hAnsi="Palatino Linotype" w:cs="Palatino Linotype"/>
          <w:sz w:val="22"/>
          <w:szCs w:val="22"/>
        </w:rPr>
        <w:t xml:space="preserve"> para contar con esta; esto es, la negativa de acceso a la información, recae cuando la documentación no se encuentre en los archivos del sujeto obligado, o bien exista, pero no pueda proporcionarse por contener datos </w:t>
      </w:r>
      <w:r w:rsidRPr="001070AF">
        <w:rPr>
          <w:rFonts w:ascii="Palatino Linotype" w:eastAsia="Palatino Linotype" w:hAnsi="Palatino Linotype" w:cs="Palatino Linotype"/>
          <w:b/>
          <w:bCs/>
          <w:sz w:val="22"/>
          <w:szCs w:val="22"/>
        </w:rPr>
        <w:t>confidenciales o reservados.</w:t>
      </w:r>
    </w:p>
    <w:p w14:paraId="44DBBBBE"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3CBE441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ese contexto, es de referir que 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precisó que no podía entregar la información al contener información confidencial, es decir, aludió a una clasificación; sobre el tema, en los artículos 122, 128 y 130 de la Ley Transparencia y Acceso a la Información Pública del Estado de México y Municipios, se prevé que la clasificación es el proceso mediante el cual los sujetos obligados determinan que la información en su poder, actualiza alguno de los supuestos de </w:t>
      </w:r>
      <w:r w:rsidRPr="001070AF">
        <w:rPr>
          <w:rFonts w:ascii="Palatino Linotype" w:eastAsia="Palatino Linotype" w:hAnsi="Palatino Linotype" w:cs="Palatino Linotype"/>
          <w:b/>
          <w:bCs/>
          <w:sz w:val="22"/>
          <w:szCs w:val="22"/>
        </w:rPr>
        <w:t>reserva o confidencialidad</w:t>
      </w:r>
      <w:r w:rsidRPr="001070AF">
        <w:rPr>
          <w:rFonts w:ascii="Palatino Linotype" w:eastAsia="Palatino Linotype" w:hAnsi="Palatino Linotype" w:cs="Palatino Linotype"/>
          <w:sz w:val="22"/>
          <w:szCs w:val="22"/>
        </w:rPr>
        <w:t>. Además, que dichos entes deberán aplicar de manera restrictiva y limitada, las excepciones al derecho de acceso a la información, por lo que, tendrán que acreditar la procedencia.</w:t>
      </w:r>
    </w:p>
    <w:p w14:paraId="6A47C91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EF9D51D"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lo cual, en los casos en que se niegue el acceso a la información, por actualizarse alguno de los supuestos de clasificación, </w:t>
      </w:r>
      <w:r w:rsidRPr="001070AF">
        <w:rPr>
          <w:rFonts w:ascii="Palatino Linotype" w:eastAsia="Palatino Linotype" w:hAnsi="Palatino Linotype" w:cs="Palatino Linotype"/>
          <w:b/>
          <w:bCs/>
          <w:sz w:val="22"/>
          <w:szCs w:val="22"/>
        </w:rPr>
        <w:t>el Comité de Transparencia deberá confirmar, modificar o revocar la decisión;</w:t>
      </w:r>
      <w:r w:rsidRPr="001070AF">
        <w:rPr>
          <w:rFonts w:ascii="Palatino Linotype" w:eastAsia="Palatino Linotype" w:hAnsi="Palatino Linotype" w:cs="Palatino Linotype"/>
          <w:sz w:val="22"/>
          <w:szCs w:val="22"/>
        </w:rPr>
        <w:t xml:space="preserve"> 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31719300"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D213C31"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sz w:val="22"/>
          <w:szCs w:val="22"/>
        </w:rPr>
        <w:t xml:space="preserve">En ese contexto, de la interpretación del artículo 134 de la Ley de Transparencia y Acceso a la Información Pública del Estado de México y Municipios, se logra observar que </w:t>
      </w:r>
      <w:r w:rsidRPr="001070AF">
        <w:rPr>
          <w:rFonts w:ascii="Palatino Linotype" w:eastAsia="Palatino Linotype" w:hAnsi="Palatino Linotype" w:cs="Palatino Linotype"/>
          <w:b/>
          <w:bCs/>
          <w:sz w:val="22"/>
          <w:szCs w:val="22"/>
        </w:rPr>
        <w:t>la clasificación depende del contenido de los documentos, pues de su análisis se establece si corresponde a una clasificación total o parcial.</w:t>
      </w:r>
    </w:p>
    <w:p w14:paraId="2F0F11C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702A8B75"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2B350B3B"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p>
    <w:p w14:paraId="2CFC9680"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sz w:val="22"/>
          <w:szCs w:val="22"/>
        </w:rPr>
        <w:t xml:space="preserve">En ese contexto, según Bonifaz, Leticia (2016), en la “Ley General de Transparencia y Acceso a la Información Pública Comentada” (p. 342), la </w:t>
      </w:r>
      <w:r w:rsidRPr="001070AF">
        <w:rPr>
          <w:rFonts w:ascii="Palatino Linotype" w:eastAsia="Palatino Linotype" w:hAnsi="Palatino Linotype" w:cs="Palatino Linotype"/>
          <w:b/>
          <w:bCs/>
          <w:sz w:val="22"/>
          <w:szCs w:val="22"/>
        </w:rPr>
        <w:t>clasificación de la información</w:t>
      </w:r>
      <w:r w:rsidRPr="001070AF">
        <w:rPr>
          <w:rFonts w:ascii="Palatino Linotype" w:eastAsia="Palatino Linotype" w:hAnsi="Palatino Linotype" w:cs="Palatino Linotype"/>
          <w:sz w:val="22"/>
          <w:szCs w:val="22"/>
        </w:rPr>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1070AF">
        <w:rPr>
          <w:rFonts w:ascii="Palatino Linotype" w:eastAsia="Palatino Linotype" w:hAnsi="Palatino Linotype" w:cs="Palatino Linotype"/>
          <w:b/>
          <w:bCs/>
          <w:sz w:val="22"/>
          <w:szCs w:val="22"/>
        </w:rPr>
        <w:t>de manera adecuada la negativa de información.</w:t>
      </w:r>
    </w:p>
    <w:p w14:paraId="71266B96"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p>
    <w:p w14:paraId="69FA5772" w14:textId="77777777" w:rsidR="00C13F26" w:rsidRPr="001070AF" w:rsidRDefault="00C13F26" w:rsidP="00450366">
      <w:pPr>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sz w:val="22"/>
          <w:szCs w:val="22"/>
        </w:rPr>
        <w:t>Además, conforme al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análisis caso por caso.</w:t>
      </w:r>
    </w:p>
    <w:p w14:paraId="43F9974A"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92DDAC8"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Sobre lo anterior, el artículo 131 de la Ley referida, así como el Quinto de los Lineamientos Generales, establecen que los sujetos obligados deberán fundar y motivar debidamente la clasificación de la información. Al respecto, el Octavo de los Lineamientos Generales, precisa lo siguiente:</w:t>
      </w:r>
    </w:p>
    <w:p w14:paraId="4F2F0FE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B813A26" w14:textId="77777777" w:rsidR="00C13F26" w:rsidRPr="001070AF" w:rsidRDefault="00C13F26" w:rsidP="00450366">
      <w:pPr>
        <w:numPr>
          <w:ilvl w:val="0"/>
          <w:numId w:val="25"/>
        </w:numPr>
        <w:spacing w:line="360" w:lineRule="auto"/>
        <w:jc w:val="both"/>
        <w:rPr>
          <w:rFonts w:ascii="Palatino Linotype" w:eastAsia="Palatino Linotype" w:hAnsi="Palatino Linotype" w:cs="Palatino Linotype"/>
          <w:sz w:val="22"/>
          <w:szCs w:val="22"/>
          <w:u w:val="single"/>
        </w:rPr>
      </w:pPr>
      <w:r w:rsidRPr="001070AF">
        <w:rPr>
          <w:rFonts w:ascii="Palatino Linotype" w:eastAsia="Palatino Linotype" w:hAnsi="Palatino Linotype" w:cs="Palatino Linotype"/>
          <w:b/>
          <w:bCs/>
          <w:sz w:val="22"/>
          <w:szCs w:val="22"/>
        </w:rPr>
        <w:t>Para fundar la clasificación</w:t>
      </w:r>
      <w:r w:rsidRPr="001070AF">
        <w:rPr>
          <w:rFonts w:ascii="Palatino Linotype" w:eastAsia="Palatino Linotype" w:hAnsi="Palatino Linotype" w:cs="Palatino Linotype"/>
          <w:sz w:val="22"/>
          <w:szCs w:val="22"/>
        </w:rPr>
        <w:t xml:space="preserve"> de la información se deberán </w:t>
      </w:r>
      <w:r w:rsidRPr="001070AF">
        <w:rPr>
          <w:rFonts w:ascii="Palatino Linotype" w:eastAsia="Palatino Linotype" w:hAnsi="Palatino Linotype" w:cs="Palatino Linotype"/>
          <w:sz w:val="22"/>
          <w:szCs w:val="22"/>
          <w:u w:val="single"/>
        </w:rPr>
        <w:t>señalar el artículo, fracción, inciso, párrafo o numeral de la Ley aplicable.</w:t>
      </w:r>
    </w:p>
    <w:p w14:paraId="07A0B6F9" w14:textId="77777777" w:rsidR="00C13F26" w:rsidRPr="001070AF" w:rsidRDefault="00C13F26" w:rsidP="00450366">
      <w:pPr>
        <w:spacing w:line="360" w:lineRule="auto"/>
        <w:ind w:left="720"/>
        <w:jc w:val="both"/>
        <w:rPr>
          <w:rFonts w:ascii="Palatino Linotype" w:eastAsia="Palatino Linotype" w:hAnsi="Palatino Linotype" w:cs="Palatino Linotype"/>
          <w:sz w:val="22"/>
          <w:szCs w:val="22"/>
          <w:u w:val="single"/>
        </w:rPr>
      </w:pPr>
    </w:p>
    <w:p w14:paraId="3B9828E7" w14:textId="77777777" w:rsidR="00C13F26" w:rsidRPr="001070AF" w:rsidRDefault="00C13F26" w:rsidP="00450366">
      <w:pPr>
        <w:numPr>
          <w:ilvl w:val="0"/>
          <w:numId w:val="25"/>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Para motivar la clasificación</w:t>
      </w:r>
      <w:r w:rsidRPr="001070AF">
        <w:rPr>
          <w:rFonts w:ascii="Palatino Linotype" w:eastAsia="Palatino Linotype" w:hAnsi="Palatino Linotype" w:cs="Palatino Linotype"/>
          <w:sz w:val="22"/>
          <w:szCs w:val="22"/>
        </w:rPr>
        <w:t xml:space="preserve"> se deberán </w:t>
      </w:r>
      <w:r w:rsidRPr="001070AF">
        <w:rPr>
          <w:rFonts w:ascii="Palatino Linotype" w:eastAsia="Palatino Linotype" w:hAnsi="Palatino Linotype" w:cs="Palatino Linotype"/>
          <w:sz w:val="22"/>
          <w:szCs w:val="22"/>
          <w:u w:val="single"/>
        </w:rPr>
        <w:t>indicar las razones y circunstancias</w:t>
      </w:r>
      <w:r w:rsidRPr="001070AF">
        <w:rPr>
          <w:rFonts w:ascii="Palatino Linotype" w:eastAsia="Palatino Linotype" w:hAnsi="Palatino Linotype" w:cs="Palatino Linotype"/>
          <w:sz w:val="22"/>
          <w:szCs w:val="22"/>
        </w:rPr>
        <w:t xml:space="preserve"> especiales que lo llevaron a concluir que el caso particular se ajusta al supuesto previsto por la norma legal invocada.</w:t>
      </w:r>
    </w:p>
    <w:p w14:paraId="5765F378" w14:textId="77777777" w:rsidR="00C13F26" w:rsidRPr="001070AF" w:rsidRDefault="00C13F26" w:rsidP="00450366">
      <w:pPr>
        <w:spacing w:line="360" w:lineRule="auto"/>
        <w:ind w:left="720"/>
        <w:jc w:val="both"/>
        <w:rPr>
          <w:rFonts w:ascii="Palatino Linotype" w:eastAsia="Palatino Linotype" w:hAnsi="Palatino Linotype" w:cs="Palatino Linotype"/>
          <w:sz w:val="22"/>
          <w:szCs w:val="22"/>
        </w:rPr>
      </w:pPr>
    </w:p>
    <w:p w14:paraId="7D3A1C5B"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395EC020"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FUNDAMENTACION Y MOTIVACION, CONCEPTO DE.</w:t>
      </w:r>
      <w:r w:rsidRPr="001070AF">
        <w:rPr>
          <w:rFonts w:ascii="Palatino Linotype" w:eastAsia="Palatino Linotype" w:hAnsi="Palatino Linotype" w:cs="Palatino Linotype"/>
          <w:i/>
          <w:iCs/>
          <w:sz w:val="22"/>
          <w:szCs w:val="22"/>
        </w:rPr>
        <w:t xml:space="preserv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02FD6937"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4EBA116F"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Conforme a lo anterior, se advierte lo siguiente:</w:t>
      </w:r>
    </w:p>
    <w:p w14:paraId="533BC0D8"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3661F011" w14:textId="77777777" w:rsidR="00C13F26" w:rsidRPr="001070AF" w:rsidRDefault="00C13F26" w:rsidP="00450366">
      <w:pPr>
        <w:numPr>
          <w:ilvl w:val="0"/>
          <w:numId w:val="2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Fundamentación:</w:t>
      </w:r>
      <w:r w:rsidRPr="001070AF">
        <w:rPr>
          <w:rFonts w:ascii="Palatino Linotype" w:eastAsia="Palatino Linotype" w:hAnsi="Palatino Linotype" w:cs="Palatino Linotype"/>
          <w:sz w:val="22"/>
          <w:szCs w:val="22"/>
        </w:rPr>
        <w:t xml:space="preserve"> Obligación de la autoridad que emite un acto, para citar los preceptos legales, sustantivos y adjetivos, en que se apoye para la determinación tomada. </w:t>
      </w:r>
    </w:p>
    <w:p w14:paraId="66438E98" w14:textId="77777777" w:rsidR="00C13F26" w:rsidRPr="001070AF" w:rsidRDefault="00C13F26" w:rsidP="00450366">
      <w:pPr>
        <w:numPr>
          <w:ilvl w:val="0"/>
          <w:numId w:val="26"/>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Motivación:</w:t>
      </w:r>
      <w:r w:rsidRPr="001070AF">
        <w:rPr>
          <w:rFonts w:ascii="Palatino Linotype" w:eastAsia="Palatino Linotype" w:hAnsi="Palatino Linotype" w:cs="Palatino Linotype"/>
          <w:sz w:val="22"/>
          <w:szCs w:val="22"/>
        </w:rPr>
        <w:t xml:space="preserve"> Razonamientos lógico-jurídicos sobre porque se consideró en el caso en concreto, que se ajusta a la hipótesis normativa.</w:t>
      </w:r>
    </w:p>
    <w:p w14:paraId="48C255EE"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26756D6" w14:textId="100C92BE"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ese contexto, de la</w:t>
      </w:r>
      <w:r w:rsidR="00652C57"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xml:space="preserve"> respuesta</w:t>
      </w:r>
      <w:r w:rsidR="00652C57"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xml:space="preserve"> entregada</w:t>
      </w:r>
      <w:r w:rsidR="00652C57"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xml:space="preserve"> por la Tesorería Municipal, se logra vislumbrar que confundió la fundamentación y motivación de la clasificación, pues por una parte señala que se trata de información confidencial y por otra parte reservada, tal como se muestra a continuación:</w:t>
      </w:r>
    </w:p>
    <w:p w14:paraId="4E6C94D4" w14:textId="6BDEE129" w:rsidR="00947F61" w:rsidRPr="001070AF" w:rsidRDefault="00947F61"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noProof/>
          <w:sz w:val="22"/>
          <w:szCs w:val="22"/>
          <w:lang w:val="es-MX"/>
        </w:rPr>
        <w:drawing>
          <wp:inline distT="0" distB="0" distL="0" distR="0" wp14:anchorId="6070E2FF" wp14:editId="41EB5CBD">
            <wp:extent cx="5612130" cy="240601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406015"/>
                    </a:xfrm>
                    <a:prstGeom prst="rect">
                      <a:avLst/>
                    </a:prstGeom>
                  </pic:spPr>
                </pic:pic>
              </a:graphicData>
            </a:graphic>
          </wp:inline>
        </w:drawing>
      </w:r>
    </w:p>
    <w:p w14:paraId="7C969EF4" w14:textId="7AB757F5" w:rsidR="00C13F26" w:rsidRPr="001070AF" w:rsidRDefault="00947F61" w:rsidP="00450366">
      <w:pPr>
        <w:spacing w:line="360" w:lineRule="auto"/>
        <w:jc w:val="center"/>
        <w:rPr>
          <w:rFonts w:ascii="Palatino Linotype" w:eastAsia="Palatino Linotype" w:hAnsi="Palatino Linotype" w:cs="Palatino Linotype"/>
          <w:sz w:val="22"/>
          <w:szCs w:val="22"/>
        </w:rPr>
      </w:pPr>
      <w:r w:rsidRPr="001070AF">
        <w:rPr>
          <w:rFonts w:ascii="Palatino Linotype" w:eastAsia="Palatino Linotype" w:hAnsi="Palatino Linotype" w:cs="Palatino Linotype"/>
          <w:noProof/>
          <w:sz w:val="22"/>
          <w:szCs w:val="22"/>
          <w:lang w:val="es-MX"/>
        </w:rPr>
        <w:drawing>
          <wp:inline distT="0" distB="0" distL="0" distR="0" wp14:anchorId="66B64ACA" wp14:editId="4831FC73">
            <wp:extent cx="4229100" cy="29395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9580" cy="2960693"/>
                    </a:xfrm>
                    <a:prstGeom prst="rect">
                      <a:avLst/>
                    </a:prstGeom>
                  </pic:spPr>
                </pic:pic>
              </a:graphicData>
            </a:graphic>
          </wp:inline>
        </w:drawing>
      </w:r>
    </w:p>
    <w:p w14:paraId="72C7FE9B" w14:textId="77777777" w:rsidR="00947F61" w:rsidRPr="001070AF" w:rsidRDefault="00947F61" w:rsidP="00450366">
      <w:pPr>
        <w:spacing w:line="360" w:lineRule="auto"/>
        <w:jc w:val="center"/>
        <w:rPr>
          <w:rFonts w:ascii="Palatino Linotype" w:eastAsia="Palatino Linotype" w:hAnsi="Palatino Linotype" w:cs="Palatino Linotype"/>
          <w:sz w:val="22"/>
          <w:szCs w:val="22"/>
        </w:rPr>
      </w:pPr>
    </w:p>
    <w:p w14:paraId="30D31E6E" w14:textId="0B5F7E66" w:rsidR="0094189D" w:rsidRPr="001070AF" w:rsidRDefault="0094189D"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Aunado a ello, hizo entrega del Acta de la Vigésima Séptima Sesión Ordinaria del Comité de Transparencia, en donde aprobó la reserva de la información, tal como se muestra a continuación:</w:t>
      </w:r>
    </w:p>
    <w:p w14:paraId="04DA2B52" w14:textId="28F4C6D4" w:rsidR="0094189D" w:rsidRPr="001070AF" w:rsidRDefault="0094189D"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noProof/>
          <w:sz w:val="22"/>
          <w:szCs w:val="22"/>
          <w:lang w:val="es-MX"/>
        </w:rPr>
        <w:drawing>
          <wp:inline distT="0" distB="0" distL="0" distR="0" wp14:anchorId="517C82AA" wp14:editId="4F1D004F">
            <wp:extent cx="5612130" cy="1478280"/>
            <wp:effectExtent l="0" t="0" r="762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1478280"/>
                    </a:xfrm>
                    <a:prstGeom prst="rect">
                      <a:avLst/>
                    </a:prstGeom>
                  </pic:spPr>
                </pic:pic>
              </a:graphicData>
            </a:graphic>
          </wp:inline>
        </w:drawing>
      </w:r>
    </w:p>
    <w:p w14:paraId="11B1B8EB"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A0FBA61"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ese orden de ideas, el Trigésimo tercero de los Lineamientos Generales, establece la forma en que se debe fundamentar y motivar la reserva de la información, es decir, a través de los siguientes pasos:</w:t>
      </w:r>
    </w:p>
    <w:p w14:paraId="786DFF1D"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2EE1009C"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Se deberá citar la fracción y, en su caso, la causal aplicable de la Ley General de Transparencia y Acceso a la Información Pública o, en el presente caso, de la Ley de Transparencia y Acceso a la Información Pública del Estado de México y Municipios, vinculándola con el Lineamiento específico;</w:t>
      </w:r>
    </w:p>
    <w:p w14:paraId="08E12AEE"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Se deberá demostrar que la publicidad de la información generaría un riesgo de perjuicio, que rebasa el interés público;</w:t>
      </w:r>
    </w:p>
    <w:p w14:paraId="4138A029"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Se acreditará el vínculo entre la difusión de la información y la afectación del interés jurídico tutelado; </w:t>
      </w:r>
    </w:p>
    <w:p w14:paraId="34652B79"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Se precisará las razones objetivas por las que la apertura de la información generaría una afectación, por medio del riesgo real, demostrable e identificable;</w:t>
      </w:r>
    </w:p>
    <w:p w14:paraId="28418DFC"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Se deberán señalar las circunstancias de modo, tiempo y lugar del daño, y</w:t>
      </w:r>
    </w:p>
    <w:p w14:paraId="75F0CBE5" w14:textId="77777777" w:rsidR="00C13F26" w:rsidRPr="001070AF" w:rsidRDefault="00C13F26" w:rsidP="00450366">
      <w:pPr>
        <w:numPr>
          <w:ilvl w:val="0"/>
          <w:numId w:val="22"/>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Se elegirá la opción de excepción al acceso a la información que menos restrinja, la cual será adecuada y proporcional para la protección del interés público.</w:t>
      </w:r>
    </w:p>
    <w:p w14:paraId="31CAF7BE"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528F0F0F" w14:textId="13D02188"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Ahora bien, de</w:t>
      </w:r>
      <w:r w:rsidR="0094189D" w:rsidRPr="001070AF">
        <w:rPr>
          <w:rFonts w:ascii="Palatino Linotype" w:eastAsia="Palatino Linotype" w:hAnsi="Palatino Linotype" w:cs="Palatino Linotype"/>
          <w:sz w:val="22"/>
          <w:szCs w:val="22"/>
        </w:rPr>
        <w:t xml:space="preserve"> las constancias que obran en los</w:t>
      </w:r>
      <w:r w:rsidRPr="001070AF">
        <w:rPr>
          <w:rFonts w:ascii="Palatino Linotype" w:eastAsia="Palatino Linotype" w:hAnsi="Palatino Linotype" w:cs="Palatino Linotype"/>
          <w:sz w:val="22"/>
          <w:szCs w:val="22"/>
        </w:rPr>
        <w:t xml:space="preserve"> expediente</w:t>
      </w:r>
      <w:r w:rsidR="0094189D" w:rsidRPr="001070AF">
        <w:rPr>
          <w:rFonts w:ascii="Palatino Linotype" w:eastAsia="Palatino Linotype" w:hAnsi="Palatino Linotype" w:cs="Palatino Linotype"/>
          <w:sz w:val="22"/>
          <w:szCs w:val="22"/>
        </w:rPr>
        <w:t>s</w:t>
      </w:r>
      <w:r w:rsidRPr="001070AF">
        <w:rPr>
          <w:rFonts w:ascii="Palatino Linotype" w:eastAsia="Palatino Linotype" w:hAnsi="Palatino Linotype" w:cs="Palatino Linotype"/>
          <w:sz w:val="22"/>
          <w:szCs w:val="22"/>
        </w:rPr>
        <w:t>, se advierte que no fundamentó, ni motivó la clasificación de la información, de manera correcta, por las siguientes consideraciones:</w:t>
      </w:r>
    </w:p>
    <w:p w14:paraId="5541A6E3"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52AC36A5" w14:textId="77777777" w:rsidR="00C13F26" w:rsidRPr="001070AF" w:rsidRDefault="00C13F26" w:rsidP="00450366">
      <w:pPr>
        <w:numPr>
          <w:ilvl w:val="0"/>
          <w:numId w:val="23"/>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fundamentó de manera adecuada la reserva, dado que trajo a colación diversas causales de reserva y confidencialidad, sin analizar de manera específica cada causal.</w:t>
      </w:r>
    </w:p>
    <w:p w14:paraId="61E00107" w14:textId="5995A1B6" w:rsidR="00C13F26" w:rsidRPr="001070AF" w:rsidRDefault="00C13F26" w:rsidP="00450366">
      <w:pPr>
        <w:numPr>
          <w:ilvl w:val="0"/>
          <w:numId w:val="23"/>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precisó las razones objetivas, concretas y específicas por las cuales la apertura de la información generaría una afectación que rebase el interés público, pues, el Sujeto Obligado confundió la argumentación, entre diversos supuestos de clasificación distintos.</w:t>
      </w:r>
    </w:p>
    <w:p w14:paraId="6994451A" w14:textId="77777777" w:rsidR="00C13F26" w:rsidRPr="001070AF" w:rsidRDefault="00C13F26" w:rsidP="00450366">
      <w:pPr>
        <w:numPr>
          <w:ilvl w:val="0"/>
          <w:numId w:val="23"/>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acreditó el vínculo entre la información peticionada y la afectación que podría causar, pues únicamente precisó diversos supuestos establecidos en la Ley de la materia.</w:t>
      </w:r>
    </w:p>
    <w:p w14:paraId="782BF54C" w14:textId="77777777" w:rsidR="00C13F26" w:rsidRPr="001070AF" w:rsidRDefault="00C13F26" w:rsidP="00450366">
      <w:pPr>
        <w:numPr>
          <w:ilvl w:val="0"/>
          <w:numId w:val="23"/>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señalo las circunstancias de tiempo, modo y lugar del daño que produciría entregar la información peticionada.</w:t>
      </w:r>
    </w:p>
    <w:p w14:paraId="496E524E" w14:textId="77777777" w:rsidR="00C13F26" w:rsidRPr="001070AF" w:rsidRDefault="00C13F26" w:rsidP="00450366">
      <w:pPr>
        <w:numPr>
          <w:ilvl w:val="0"/>
          <w:numId w:val="23"/>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No se establecieron las razones, por las cuales la reserva era el medio menos restrictivo, para la protección del interés jurídico.</w:t>
      </w:r>
    </w:p>
    <w:p w14:paraId="2858512E"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F2F1931"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lo anteriormente expuesto, se advierte que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no fundó y motivó la reserva de la información, pues no realizó de manera correcta, la prueba de daño, señalada en el Trigésimo tercero de los Lineamientos Generales, relacionado con el artículo 129 de la Ley de Transparencia y Acceso a la Información Pública del Estado de México y Municipios, que es la argumentación fundada y motivada que se debe realizar para acreditar que la divulgación de la información lesiona el interés jurídicamente protegido por la normatividad aplicable y que el daño que puede producirse con la publicidad de la información es mayor que el interés de conocerla. </w:t>
      </w:r>
    </w:p>
    <w:p w14:paraId="2CE65195"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1AD4805F" w14:textId="2379DECF"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Ahora bien, cabe recordar que en </w:t>
      </w:r>
      <w:r w:rsidR="00652C57" w:rsidRPr="001070AF">
        <w:rPr>
          <w:rFonts w:ascii="Palatino Linotype" w:eastAsia="Palatino Linotype" w:hAnsi="Palatino Linotype" w:cs="Palatino Linotype"/>
          <w:sz w:val="22"/>
          <w:szCs w:val="22"/>
        </w:rPr>
        <w:t>respuesta</w:t>
      </w:r>
      <w:r w:rsidRPr="001070AF">
        <w:rPr>
          <w:rFonts w:ascii="Palatino Linotype" w:eastAsia="Palatino Linotype" w:hAnsi="Palatino Linotype" w:cs="Palatino Linotype"/>
          <w:sz w:val="22"/>
          <w:szCs w:val="22"/>
        </w:rPr>
        <w:t xml:space="preserve"> el Servidor Público Habilitado Competente refirió que la causa de reserva se encuentra contemplada por el artículo 140 fracción V de la Ley de Transparencia y Acceso a la Información Pública del Estado de México y Municipios, por lo que, este Instituto procederá al análisis de la causal de reserva citada de manera expresa por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a saber, las siguiente:</w:t>
      </w:r>
    </w:p>
    <w:p w14:paraId="654D7BAD" w14:textId="77777777" w:rsidR="00C13F26" w:rsidRPr="001070AF" w:rsidRDefault="00C13F26" w:rsidP="00450366">
      <w:pPr>
        <w:spacing w:line="360" w:lineRule="auto"/>
        <w:ind w:right="-93"/>
        <w:jc w:val="both"/>
        <w:rPr>
          <w:rFonts w:ascii="Palatino Linotype" w:eastAsia="Palatino Linotype" w:hAnsi="Palatino Linotype" w:cs="Palatino Linotype"/>
          <w:sz w:val="22"/>
          <w:szCs w:val="22"/>
        </w:rPr>
      </w:pPr>
    </w:p>
    <w:p w14:paraId="688E7A68"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bookmarkStart w:id="3" w:name="_heading=h.rfsaa8mn47zv" w:colFirst="0" w:colLast="0"/>
      <w:bookmarkEnd w:id="3"/>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140.</w:t>
      </w:r>
      <w:r w:rsidRPr="001070AF">
        <w:rPr>
          <w:rFonts w:ascii="Palatino Linotype" w:eastAsia="Palatino Linotype" w:hAnsi="Palatino Linotype" w:cs="Palatino Linotype"/>
          <w:i/>
          <w:iCs/>
          <w:sz w:val="22"/>
          <w:szCs w:val="22"/>
        </w:rPr>
        <w:t xml:space="preserve"> El acceso a la información pública será restringido excepcionalmente, cuando por razones de interés público, ésta sea clasificada como reservada, conforme a los criterios siguientes: </w:t>
      </w:r>
    </w:p>
    <w:p w14:paraId="3CFACA76"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7C35F32B"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V. Aquella cuya divulgación obstruya o pueda causar un serio perjuicio a:</w:t>
      </w:r>
    </w:p>
    <w:p w14:paraId="3CBEC4D0"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p>
    <w:p w14:paraId="7D9133B4"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1. Las actividades de fiscalización, verificación, inspección, comprobación y auditoría sobre el cumplimiento de las Leyes; o</w:t>
      </w:r>
    </w:p>
    <w:p w14:paraId="46797FEB" w14:textId="77777777" w:rsidR="00C13F26" w:rsidRPr="001070AF" w:rsidRDefault="00C13F26" w:rsidP="00450366">
      <w:pPr>
        <w:tabs>
          <w:tab w:val="left" w:pos="993"/>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3E2D3A34" w14:textId="77777777" w:rsidR="00C13F26" w:rsidRPr="001070AF" w:rsidRDefault="00C13F26" w:rsidP="00450366">
      <w:pPr>
        <w:spacing w:line="360" w:lineRule="auto"/>
        <w:ind w:left="927" w:right="567"/>
        <w:jc w:val="both"/>
        <w:rPr>
          <w:rFonts w:ascii="Palatino Linotype" w:eastAsia="Palatino Linotype" w:hAnsi="Palatino Linotype" w:cs="Palatino Linotype"/>
          <w:i/>
          <w:iCs/>
          <w:sz w:val="22"/>
          <w:szCs w:val="22"/>
        </w:rPr>
      </w:pPr>
    </w:p>
    <w:p w14:paraId="681EC2F1"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 dicho precepto normativo se desprende que podrá clasificarse como información reservada aquella cuya publicación obstruya o cause perjuicio en las actividades de fiscalización, verificación, inspección, comprobación y auditoría sobre el cumplimiento de leyes. Por su parte el numeral vigésimo Cuarto de los Lineamientos señala: </w:t>
      </w:r>
    </w:p>
    <w:p w14:paraId="7F298086"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763480E0"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“Vigésimo cuarto. </w:t>
      </w:r>
      <w:r w:rsidRPr="001070AF">
        <w:rPr>
          <w:rFonts w:ascii="Palatino Linotype" w:eastAsia="Palatino Linotype" w:hAnsi="Palatino Linotype" w:cs="Palatino Linotype"/>
          <w:i/>
          <w:iCs/>
          <w:sz w:val="22"/>
          <w:szCs w:val="22"/>
        </w:rPr>
        <w:t xml:space="preserve">De conformidad con el artículo 113, fracción VI de la Ley General, podrá considerarse como </w:t>
      </w:r>
      <w:r w:rsidRPr="001070AF">
        <w:rPr>
          <w:rFonts w:ascii="Palatino Linotype" w:eastAsia="Palatino Linotype" w:hAnsi="Palatino Linotype" w:cs="Palatino Linotype"/>
          <w:b/>
          <w:bCs/>
          <w:i/>
          <w:iCs/>
          <w:sz w:val="22"/>
          <w:szCs w:val="22"/>
        </w:rPr>
        <w:t>reservada, aquella información que obstruya las actividades de verificación, inspección y auditoría relativas al cumplimiento de las leyes</w:t>
      </w:r>
      <w:r w:rsidRPr="001070AF">
        <w:rPr>
          <w:rFonts w:ascii="Palatino Linotype" w:eastAsia="Palatino Linotype" w:hAnsi="Palatino Linotype" w:cs="Palatino Linotype"/>
          <w:i/>
          <w:iCs/>
          <w:sz w:val="22"/>
          <w:szCs w:val="22"/>
        </w:rPr>
        <w:t>, cuando se actualicen los siguientes elementos:</w:t>
      </w:r>
    </w:p>
    <w:p w14:paraId="5740F64D"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p>
    <w:p w14:paraId="7235DB96"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w:t>
      </w:r>
      <w:r w:rsidRPr="001070AF">
        <w:rPr>
          <w:rFonts w:ascii="Palatino Linotype" w:eastAsia="Palatino Linotype" w:hAnsi="Palatino Linotype" w:cs="Palatino Linotype"/>
          <w:i/>
          <w:iCs/>
          <w:sz w:val="22"/>
          <w:szCs w:val="22"/>
        </w:rPr>
        <w:t> La existencia de un procedimiento de verificación del cumplimiento de las leyes;</w:t>
      </w:r>
    </w:p>
    <w:p w14:paraId="1735EDC0"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II</w:t>
      </w:r>
      <w:r w:rsidRPr="001070AF">
        <w:rPr>
          <w:rFonts w:ascii="Palatino Linotype" w:eastAsia="Palatino Linotype" w:hAnsi="Palatino Linotype" w:cs="Palatino Linotype"/>
          <w:i/>
          <w:iCs/>
          <w:sz w:val="22"/>
          <w:szCs w:val="22"/>
        </w:rPr>
        <w:t>. Que el procedimiento se encuentre en trámite;</w:t>
      </w:r>
    </w:p>
    <w:p w14:paraId="0AEE93BA"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III.</w:t>
      </w:r>
      <w:r w:rsidRPr="001070AF">
        <w:rPr>
          <w:rFonts w:ascii="Palatino Linotype" w:eastAsia="Palatino Linotype" w:hAnsi="Palatino Linotype" w:cs="Palatino Linotype"/>
          <w:i/>
          <w:iCs/>
          <w:sz w:val="22"/>
          <w:szCs w:val="22"/>
        </w:rPr>
        <w:t> La vinculación directa con las actividades que realiza la autoridad en el procedimiento de verificación del cumplimiento de las leyes, y</w:t>
      </w:r>
    </w:p>
    <w:p w14:paraId="7DA60A27" w14:textId="77777777" w:rsidR="00C13F26" w:rsidRPr="001070AF" w:rsidRDefault="00C13F26" w:rsidP="00450366">
      <w:pPr>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IV.</w:t>
      </w:r>
      <w:r w:rsidRPr="001070AF">
        <w:rPr>
          <w:rFonts w:ascii="Palatino Linotype" w:eastAsia="Palatino Linotype" w:hAnsi="Palatino Linotype" w:cs="Palatino Linotype"/>
          <w:i/>
          <w:iCs/>
          <w:sz w:val="22"/>
          <w:szCs w:val="22"/>
        </w:rPr>
        <w:t> Que la difusión de la información impida u obstaculice las actividades de inspección, supervisión o vigilancia que realicen las autoridades en el procedimiento de verificación del cumplimiento de las leyes.”</w:t>
      </w:r>
    </w:p>
    <w:p w14:paraId="65E07439" w14:textId="77777777" w:rsidR="00C13F26" w:rsidRPr="001070AF" w:rsidRDefault="00C13F26" w:rsidP="00450366">
      <w:pPr>
        <w:spacing w:line="360" w:lineRule="auto"/>
        <w:ind w:right="-93"/>
        <w:jc w:val="both"/>
        <w:rPr>
          <w:rFonts w:ascii="Palatino Linotype" w:eastAsia="Palatino Linotype" w:hAnsi="Palatino Linotype" w:cs="Palatino Linotype"/>
          <w:b/>
          <w:bCs/>
          <w:sz w:val="22"/>
          <w:szCs w:val="22"/>
        </w:rPr>
      </w:pPr>
    </w:p>
    <w:p w14:paraId="6ED7AADC" w14:textId="77777777" w:rsidR="00C13F26" w:rsidRPr="001070AF" w:rsidRDefault="00C13F26" w:rsidP="00450366">
      <w:p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Del lineamiento en cita, se colige que se trata de información reservada aquella que </w:t>
      </w:r>
      <w:r w:rsidRPr="001070AF">
        <w:rPr>
          <w:rFonts w:ascii="Palatino Linotype" w:eastAsia="Palatino Linotype" w:hAnsi="Palatino Linotype" w:cs="Palatino Linotype"/>
          <w:b/>
          <w:bCs/>
          <w:sz w:val="22"/>
          <w:szCs w:val="22"/>
        </w:rPr>
        <w:t xml:space="preserve">obstruya las actividades de </w:t>
      </w:r>
      <w:r w:rsidRPr="001070AF">
        <w:rPr>
          <w:rFonts w:ascii="Palatino Linotype" w:eastAsia="Palatino Linotype" w:hAnsi="Palatino Linotype" w:cs="Palatino Linotype"/>
          <w:sz w:val="22"/>
          <w:szCs w:val="22"/>
        </w:rPr>
        <w:t xml:space="preserve">verificación, inspección y </w:t>
      </w:r>
      <w:r w:rsidRPr="001070AF">
        <w:rPr>
          <w:rFonts w:ascii="Palatino Linotype" w:eastAsia="Palatino Linotype" w:hAnsi="Palatino Linotype" w:cs="Palatino Linotype"/>
          <w:b/>
          <w:bCs/>
          <w:sz w:val="22"/>
          <w:szCs w:val="22"/>
        </w:rPr>
        <w:t xml:space="preserve">auditoría relativas al cumplimiento de las leyes, </w:t>
      </w:r>
      <w:r w:rsidRPr="001070AF">
        <w:rPr>
          <w:rFonts w:ascii="Palatino Linotype" w:eastAsia="Palatino Linotype" w:hAnsi="Palatino Linotype" w:cs="Palatino Linotype"/>
          <w:sz w:val="22"/>
          <w:szCs w:val="22"/>
        </w:rPr>
        <w:t xml:space="preserve">cuando se actualicen los siguientes elementos: </w:t>
      </w:r>
    </w:p>
    <w:p w14:paraId="62C2B94C" w14:textId="77777777" w:rsidR="00C13F26" w:rsidRPr="001070AF" w:rsidRDefault="00C13F26" w:rsidP="00450366">
      <w:pPr>
        <w:spacing w:line="360" w:lineRule="auto"/>
        <w:ind w:right="-93"/>
        <w:jc w:val="both"/>
        <w:rPr>
          <w:rFonts w:ascii="Palatino Linotype" w:eastAsia="Palatino Linotype" w:hAnsi="Palatino Linotype" w:cs="Palatino Linotype"/>
          <w:sz w:val="22"/>
          <w:szCs w:val="22"/>
        </w:rPr>
      </w:pPr>
    </w:p>
    <w:p w14:paraId="634B90B8" w14:textId="77777777" w:rsidR="00C13F26" w:rsidRPr="001070AF" w:rsidRDefault="00C13F26" w:rsidP="00450366">
      <w:pPr>
        <w:numPr>
          <w:ilvl w:val="0"/>
          <w:numId w:val="24"/>
        </w:num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La existencia de un procedimiento de verificación del cumplimiento de las leyes. </w:t>
      </w:r>
    </w:p>
    <w:p w14:paraId="64FBC333" w14:textId="77777777" w:rsidR="00C13F26" w:rsidRPr="001070AF" w:rsidRDefault="00C13F26" w:rsidP="00450366">
      <w:pPr>
        <w:numPr>
          <w:ilvl w:val="0"/>
          <w:numId w:val="24"/>
        </w:num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Que ese procedimiento se encuentre en trámite. </w:t>
      </w:r>
    </w:p>
    <w:p w14:paraId="297C6BFF" w14:textId="77777777" w:rsidR="00C13F26" w:rsidRPr="001070AF" w:rsidRDefault="00C13F26" w:rsidP="00450366">
      <w:pPr>
        <w:numPr>
          <w:ilvl w:val="0"/>
          <w:numId w:val="24"/>
        </w:num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La vinculación directa con las actividades que realiza la autoridad en el procedimiento de verificación del cumplimiento de las leyes. </w:t>
      </w:r>
    </w:p>
    <w:p w14:paraId="2547E1C4" w14:textId="77777777" w:rsidR="00C13F26" w:rsidRPr="001070AF" w:rsidRDefault="00C13F26" w:rsidP="00450366">
      <w:pPr>
        <w:numPr>
          <w:ilvl w:val="0"/>
          <w:numId w:val="24"/>
        </w:num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Que la difusión de la información impida u obstaculice las actividades de inspección, supervisión o vigilancia que realicen las autoridades en el proceso de verificación del cumplimiento de las leyes. </w:t>
      </w:r>
    </w:p>
    <w:p w14:paraId="51ACE4A8" w14:textId="77777777" w:rsidR="00C13F26" w:rsidRPr="001070AF" w:rsidRDefault="00C13F26" w:rsidP="00450366">
      <w:pPr>
        <w:spacing w:line="360" w:lineRule="auto"/>
        <w:ind w:right="-93"/>
        <w:jc w:val="both"/>
        <w:rPr>
          <w:rFonts w:ascii="Palatino Linotype" w:eastAsia="Palatino Linotype" w:hAnsi="Palatino Linotype" w:cs="Palatino Linotype"/>
          <w:sz w:val="22"/>
          <w:szCs w:val="22"/>
        </w:rPr>
      </w:pPr>
    </w:p>
    <w:p w14:paraId="70CCF3AB" w14:textId="77777777" w:rsidR="00C13F26" w:rsidRPr="001070AF" w:rsidRDefault="00C13F26" w:rsidP="00450366">
      <w:pPr>
        <w:spacing w:line="360" w:lineRule="auto"/>
        <w:ind w:right="-93"/>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 </w:t>
      </w:r>
    </w:p>
    <w:p w14:paraId="01ACE3E1"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60AEF2D9"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Es decir, con dicha causal de reserva se procura permitir que las autoridades realicen las labores de verificación, inspección o auditoría del cumplimiento de las leyes, en su circunstancia natural, sin que el sujeto verificado, o bien, personas ajenas, puedan influir en el resultado, modificando los hechos, actos u omisiones a fiscalizar.</w:t>
      </w:r>
    </w:p>
    <w:p w14:paraId="32A74CF2"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573FAFC9"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Así las cosas, a continuación, se analizarán cada uno de los requisitos señalados anteriormente, con la finalidad de verificar si se configura la hipótesis de reserva en estudio:</w:t>
      </w:r>
    </w:p>
    <w:p w14:paraId="4147A3FC"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746ADEF3" w14:textId="77777777" w:rsidR="00C13F26" w:rsidRPr="001070AF" w:rsidRDefault="00C13F26" w:rsidP="00450366">
      <w:pPr>
        <w:numPr>
          <w:ilvl w:val="0"/>
          <w:numId w:val="18"/>
        </w:numPr>
        <w:tabs>
          <w:tab w:val="left" w:pos="4962"/>
        </w:tabs>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b/>
          <w:bCs/>
          <w:sz w:val="22"/>
          <w:szCs w:val="22"/>
        </w:rPr>
        <w:t>La existencia de un procedimiento de verificación del cumplimiento de las leyes</w:t>
      </w:r>
    </w:p>
    <w:p w14:paraId="42F7F967"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Al respecto, es de señalar que el Ayuntamiento no acreditó de ninguna manera, la existencia de un procedimiento de verificación del cumplimiento de las leyes, al no señalar algún elemento que permita su identificación.</w:t>
      </w:r>
    </w:p>
    <w:p w14:paraId="3E27B843"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14D4C5FF"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tales circunstancias, se advierte que no existe un procedimiento de verificación del cumplimiento de las leyes, ni que pueda existir alguno respecto a la información peticionada, por lo que no se acredita el requisito número uno. Dicha determinación, toma relevancia, pues la no actualización de uno de los elementos, trae como consecuencia la improcedencia de la reserva, en términos del inciso 1, de la fracción V, del artículo 140 de la Ley de Transparencia y Acceso a la Información Pública del Estado de México y Municipios.</w:t>
      </w:r>
    </w:p>
    <w:p w14:paraId="41BC9171"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7A2472AA"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toma relevancia pues al no haber iniciado algún procedimiento de verificación de leyes, no existe una vinculación con las actividades que realiza la autoridad en el procedimiento de verificación y, por lo tanto, la difusión de dicha información, no impide u obstaculiza las actividades de inspección, supervisión o vigilancia.</w:t>
      </w:r>
    </w:p>
    <w:p w14:paraId="634FE30F"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0AC6A7AB"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b/>
          <w:bCs/>
          <w:sz w:val="22"/>
          <w:szCs w:val="22"/>
        </w:rPr>
      </w:pPr>
      <w:r w:rsidRPr="001070AF">
        <w:rPr>
          <w:rFonts w:ascii="Palatino Linotype" w:eastAsia="Palatino Linotype" w:hAnsi="Palatino Linotype" w:cs="Palatino Linotype"/>
          <w:sz w:val="22"/>
          <w:szCs w:val="22"/>
        </w:rPr>
        <w:t xml:space="preserve">Por tales consideraciones, </w:t>
      </w:r>
      <w:r w:rsidRPr="001070AF">
        <w:rPr>
          <w:rFonts w:ascii="Palatino Linotype" w:eastAsia="Palatino Linotype" w:hAnsi="Palatino Linotype" w:cs="Palatino Linotype"/>
          <w:b/>
          <w:bCs/>
          <w:sz w:val="22"/>
          <w:szCs w:val="22"/>
        </w:rPr>
        <w:t>no se actualiza la causal de reserva, establecida en el artículo 140, fracción V, inciso 1, de la Ley de Transparencia y Acceso a la Información Pública del Estado de México y Municipios y por lo cual, resulta procedente ordenar la entrega de la información requerida.</w:t>
      </w:r>
    </w:p>
    <w:p w14:paraId="021B1036"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b/>
          <w:bCs/>
          <w:sz w:val="22"/>
          <w:szCs w:val="22"/>
        </w:rPr>
      </w:pPr>
    </w:p>
    <w:p w14:paraId="634986DC"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Ahora bien, el artículo 140, fracción V, numeral 2, de la Ley citada, (homólogo a parte del artículo 113, fracción V de la Ley General de Transparencia y Acceso a la Información Pública), prevé lo siguiente:</w:t>
      </w:r>
    </w:p>
    <w:p w14:paraId="16C79C50"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02C4733F"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140.</w:t>
      </w:r>
      <w:r w:rsidRPr="001070AF">
        <w:rPr>
          <w:rFonts w:ascii="Palatino Linotype" w:eastAsia="Palatino Linotype" w:hAnsi="Palatino Linotype" w:cs="Palatino Linotype"/>
          <w:i/>
          <w:iCs/>
          <w:sz w:val="22"/>
          <w:szCs w:val="22"/>
        </w:rPr>
        <w:t xml:space="preserve"> El acceso a la información pública será restringido excepcionalmente, cuando por razones de interés público, ésta sea clasificada como reservada, conforme a los criterios siguientes: </w:t>
      </w:r>
    </w:p>
    <w:p w14:paraId="4585E49E"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3CA06C19"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V. Aquella cuya divulgación obstruya o pueda causar un serio perjuicio a:</w:t>
      </w:r>
    </w:p>
    <w:p w14:paraId="715FDEBC"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p>
    <w:p w14:paraId="05F0C278"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2. La recaudación de las contribuciones.</w:t>
      </w:r>
    </w:p>
    <w:p w14:paraId="006125ED" w14:textId="77777777" w:rsidR="00C13F26" w:rsidRPr="001070AF" w:rsidRDefault="00C13F26" w:rsidP="00450366">
      <w:pPr>
        <w:tabs>
          <w:tab w:val="left" w:pos="4962"/>
        </w:tabs>
        <w:spacing w:line="276" w:lineRule="auto"/>
        <w:ind w:left="851" w:right="567"/>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 </w:t>
      </w:r>
    </w:p>
    <w:p w14:paraId="29F8AEA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4450B69A"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 dicho precepto normativo se desprende que podrá clasificarse como información reservada aquella cuya publicación obstruya o cause perjuicio a la recaudación de contribuciones. Por su parte, los Lineamientos Generales establecen lo siguiente:</w:t>
      </w:r>
    </w:p>
    <w:p w14:paraId="6779FED2"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4E31A610"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Vigésimo quinto.</w:t>
      </w:r>
      <w:r w:rsidRPr="001070AF">
        <w:rPr>
          <w:rFonts w:ascii="Palatino Linotype" w:eastAsia="Palatino Linotype" w:hAnsi="Palatino Linotype" w:cs="Palatino Linotype"/>
          <w:i/>
          <w:iCs/>
          <w:sz w:val="22"/>
          <w:szCs w:val="22"/>
        </w:rPr>
        <w:t> De conformidad con el artículo 113, fracción VI de la Ley General, podrá considerarse como información reservada, aquella cuya difusión pueda obstruir o impedir el ejercicio de las facultades que llevan a cabo las autoridades competentes para recaudar, fiscalizar y comprobar el cumplimiento de las obligaciones fiscales en términos de las disposiciones normativas aplicables…”</w:t>
      </w:r>
    </w:p>
    <w:p w14:paraId="61BCA39B"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1CDD4B73"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Del lineamiento en cita, se colige que se trata de información reservada, aquella que cuya difusión pueda obstruir o impedir el ejercicio de las facultades de recaudación y comprobación del cumplimiento de obligaciones fiscales por parte del Ayuntamiento.</w:t>
      </w:r>
    </w:p>
    <w:p w14:paraId="70A441F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6883434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Al respecto, los artículos 115, fracción IV, de la Constitución Política de los Estados Unidos Mexicanos y 125, fracciones I a III, de la Constitución Política de los Estado Libre y Soberano de México, precisan que los Municipios administrarán libremente su hacienda, la cual se formará de los rendimientos de los bienes que les pertenezcan, así como de las contribuciones y otros ingresos tengan, conforme a lo siguiente:</w:t>
      </w:r>
    </w:p>
    <w:p w14:paraId="0EB8A43B"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5C813011" w14:textId="77777777" w:rsidR="00C13F26" w:rsidRPr="001070AF" w:rsidRDefault="00C13F26" w:rsidP="00450366">
      <w:pPr>
        <w:numPr>
          <w:ilvl w:val="0"/>
          <w:numId w:val="19"/>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Podrán percibir contribuciones que establezcan los Estados sobre la propiedad inmobiliaria, de su fraccionamiento, división, consolidación, traslación y mejora;</w:t>
      </w:r>
    </w:p>
    <w:p w14:paraId="631DE4B3" w14:textId="77777777" w:rsidR="00C13F26" w:rsidRPr="001070AF" w:rsidRDefault="00C13F26" w:rsidP="00450366">
      <w:pPr>
        <w:numPr>
          <w:ilvl w:val="0"/>
          <w:numId w:val="19"/>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Las participaciones federales, y</w:t>
      </w:r>
    </w:p>
    <w:p w14:paraId="0CDB8FC8" w14:textId="77777777" w:rsidR="00C13F26" w:rsidRPr="001070AF" w:rsidRDefault="00C13F26" w:rsidP="00450366">
      <w:pPr>
        <w:numPr>
          <w:ilvl w:val="0"/>
          <w:numId w:val="19"/>
        </w:num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Los ingresos derivados de la prestación de servicios públicos.</w:t>
      </w:r>
    </w:p>
    <w:p w14:paraId="5E279C9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30AEF16C"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Por su parte, los artículos 115, fracción IV, de la Constitución Política de los Estados Unidos Mexicanos y 125, fracciones I a III, de la Constitución Política de los Estado Libre y Soberano de México, precisan que los Municipios administrarán libremente su hacienda, la cual se formará de los rendimientos de los bienes que les pertenezcan, así como de las contribuciones y otros ingresos tengan, conforme a lo siguiente:</w:t>
      </w:r>
    </w:p>
    <w:p w14:paraId="42708849"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7229405E" w14:textId="77777777" w:rsidR="00C13F26" w:rsidRPr="001070AF" w:rsidRDefault="00C13F26" w:rsidP="00450366">
      <w:pPr>
        <w:numPr>
          <w:ilvl w:val="0"/>
          <w:numId w:val="20"/>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Podrán percibir contribuciones que establezcan los Estados sobre la propiedad inmobiliaria, de su fraccionamiento, división, consolidación, traslación y mejora;</w:t>
      </w:r>
    </w:p>
    <w:p w14:paraId="33974CE9" w14:textId="77777777" w:rsidR="00C13F26" w:rsidRPr="001070AF" w:rsidRDefault="00C13F26" w:rsidP="00450366">
      <w:pPr>
        <w:numPr>
          <w:ilvl w:val="0"/>
          <w:numId w:val="20"/>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Las participaciones federales, y</w:t>
      </w:r>
    </w:p>
    <w:p w14:paraId="4E6E5CBD" w14:textId="77777777" w:rsidR="00C13F26" w:rsidRPr="001070AF" w:rsidRDefault="00C13F26" w:rsidP="00450366">
      <w:pPr>
        <w:numPr>
          <w:ilvl w:val="0"/>
          <w:numId w:val="20"/>
        </w:num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Los ingresos derivados de la prestación de servicios públicos.</w:t>
      </w:r>
    </w:p>
    <w:p w14:paraId="7AE88D2F" w14:textId="77777777" w:rsidR="00C13F26" w:rsidRPr="001070AF" w:rsidRDefault="00C13F26" w:rsidP="00450366">
      <w:pPr>
        <w:spacing w:line="360" w:lineRule="auto"/>
        <w:ind w:left="720"/>
        <w:jc w:val="both"/>
        <w:rPr>
          <w:rFonts w:ascii="Palatino Linotype" w:eastAsia="Palatino Linotype" w:hAnsi="Palatino Linotype" w:cs="Palatino Linotype"/>
          <w:sz w:val="22"/>
          <w:szCs w:val="22"/>
        </w:rPr>
      </w:pPr>
    </w:p>
    <w:p w14:paraId="467D2BB3"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Conforme a lo expuesto, se colige que el Ayuntamiento de Ecatepec de Morelos es una autoridad fiscal, encargada de recabar diversos derechos, contribuciones, entre otros y, por lo tanto, cuenta en sus archivos información que puede obstruir o impedir el ejercicio de sus facultades que lleva como autoridad competente para recaudar, fiscalizar y comprobar el cumplimiento de las obligaciones fiscales.</w:t>
      </w:r>
    </w:p>
    <w:p w14:paraId="4B0253F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335BC75B" w14:textId="10653C29"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Sin embargo, cabe recordar que la pretensión de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 xml:space="preserve">, es únicamente conocer Facturas pagadas </w:t>
      </w:r>
      <w:r w:rsidR="00230203" w:rsidRPr="001070AF">
        <w:rPr>
          <w:rFonts w:ascii="Palatino Linotype" w:eastAsia="Palatino Linotype" w:hAnsi="Palatino Linotype" w:cs="Palatino Linotype"/>
          <w:sz w:val="22"/>
          <w:szCs w:val="22"/>
        </w:rPr>
        <w:t>por la tesorería municipal mediante cheque o transferencia electrónica interbancaria;</w:t>
      </w:r>
      <w:r w:rsidRPr="001070AF">
        <w:rPr>
          <w:rFonts w:ascii="Palatino Linotype" w:eastAsia="Palatino Linotype" w:hAnsi="Palatino Linotype" w:cs="Palatino Linotype"/>
          <w:sz w:val="22"/>
          <w:szCs w:val="22"/>
        </w:rPr>
        <w:t xml:space="preserve"> por lo que, no se logra advertir la forma en que con dicha información pueda afectar la función de recaudar contribuciones del Sujeto Obligado, pues dicha información no da cuenta de la forma en que realizan dichas actividades, ni se trata de aquella obtenida en virtud de los trámites relativos a la aplicación de las disposiciones tributarias, así  como, de sus facultades de comprobación.</w:t>
      </w:r>
    </w:p>
    <w:p w14:paraId="62FBB05E"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sz w:val="22"/>
          <w:szCs w:val="22"/>
        </w:rPr>
      </w:pPr>
    </w:p>
    <w:p w14:paraId="6CA9FCD5" w14:textId="77777777" w:rsidR="00C13F26" w:rsidRPr="001070AF" w:rsidRDefault="00C13F26" w:rsidP="00450366">
      <w:pPr>
        <w:tabs>
          <w:tab w:val="left" w:pos="4962"/>
        </w:tabs>
        <w:spacing w:line="360" w:lineRule="auto"/>
        <w:jc w:val="both"/>
        <w:rPr>
          <w:rFonts w:ascii="Palatino Linotype" w:eastAsia="Palatino Linotype" w:hAnsi="Palatino Linotype" w:cs="Palatino Linotype"/>
          <w:b/>
          <w:bCs/>
          <w:sz w:val="22"/>
          <w:szCs w:val="22"/>
          <w:u w:val="single"/>
        </w:rPr>
      </w:pPr>
      <w:r w:rsidRPr="001070AF">
        <w:rPr>
          <w:rFonts w:ascii="Palatino Linotype" w:eastAsia="Palatino Linotype" w:hAnsi="Palatino Linotype" w:cs="Palatino Linotype"/>
          <w:sz w:val="22"/>
          <w:szCs w:val="22"/>
        </w:rPr>
        <w:t xml:space="preserve">Por tales circunstancias, se considera que la información solicitada por el Sujeto Obligado no actualiza la causal de reserva, establecida en el artículo 140, fracción V, numeral 2 de la Ley de Transparencia y Acceso a la Información Pública del Estado de México y Municipios, pues como se indicó no obstruye o impide el ejercicio de las facultades de recaudación del Ayuntamiento. Conforme a lo anterior, </w:t>
      </w:r>
      <w:r w:rsidRPr="001070AF">
        <w:rPr>
          <w:rFonts w:ascii="Palatino Linotype" w:eastAsia="Palatino Linotype" w:hAnsi="Palatino Linotype" w:cs="Palatino Linotype"/>
          <w:b/>
          <w:bCs/>
          <w:sz w:val="22"/>
          <w:szCs w:val="22"/>
          <w:u w:val="single"/>
        </w:rPr>
        <w:t xml:space="preserve">se logra vislumbrar que no se acredito ninguna de las causales de reserva señaladas. </w:t>
      </w:r>
    </w:p>
    <w:p w14:paraId="50556CCA"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783B737F"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hAnsi="Palatino Linotype"/>
          <w:sz w:val="22"/>
          <w:szCs w:val="22"/>
        </w:rPr>
        <w:t xml:space="preserve">Por lo señalado, es que el </w:t>
      </w:r>
      <w:r w:rsidRPr="001070AF">
        <w:rPr>
          <w:rFonts w:ascii="Palatino Linotype" w:hAnsi="Palatino Linotype"/>
          <w:b/>
          <w:bCs/>
          <w:sz w:val="22"/>
          <w:szCs w:val="22"/>
        </w:rPr>
        <w:t>Sujeto Obligado</w:t>
      </w:r>
      <w:r w:rsidRPr="001070AF">
        <w:rPr>
          <w:rFonts w:ascii="Palatino Linotype" w:hAnsi="Palatino Linotype"/>
          <w:sz w:val="22"/>
          <w:szCs w:val="22"/>
        </w:rPr>
        <w:t xml:space="preserve"> no acreditó la clasificación de la información</w:t>
      </w:r>
      <w:r w:rsidRPr="001070AF">
        <w:rPr>
          <w:rFonts w:ascii="Palatino Linotype" w:eastAsia="Palatino Linotype" w:hAnsi="Palatino Linotype" w:cs="Palatino Linotype"/>
          <w:sz w:val="22"/>
          <w:szCs w:val="22"/>
        </w:rPr>
        <w:t xml:space="preserve">, además que es de suma importancia destacar que el penúltimo párrafo, del artículo 23 de la Ley de Transparencia y Acceso a la Información Pública del Estado de México y Municipios, establece como deber de los sujetos obligados de hacer pública toda la información relativa a los montos y personas a quienes se entreguen recursos públicos, con la única finalidad de dar a conocer a la ciudadanía la forma, términos y montos en que se aplican los recursos públicos y con ello transparentar la forma, términos, causas y finalidad en la disposición de esos recursos; ya que este precepto legal que establece: </w:t>
      </w:r>
    </w:p>
    <w:p w14:paraId="1BCAC17B"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p>
    <w:p w14:paraId="4C6D465A" w14:textId="77777777" w:rsidR="00C13F26" w:rsidRPr="001070AF" w:rsidRDefault="00C13F26" w:rsidP="00450366">
      <w:pPr>
        <w:spacing w:line="276" w:lineRule="auto"/>
        <w:ind w:left="851"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23…</w:t>
      </w:r>
    </w:p>
    <w:p w14:paraId="1730CD27" w14:textId="77777777" w:rsidR="00C13F26" w:rsidRPr="001070AF" w:rsidRDefault="00C13F26"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Los sujetos obligados deberán hacer pública </w:t>
      </w:r>
      <w:r w:rsidRPr="001070AF">
        <w:rPr>
          <w:rFonts w:ascii="Palatino Linotype" w:eastAsia="Palatino Linotype" w:hAnsi="Palatino Linotype" w:cs="Palatino Linotype"/>
          <w:i/>
          <w:iCs/>
          <w:sz w:val="22"/>
          <w:szCs w:val="22"/>
          <w:u w:val="single"/>
        </w:rPr>
        <w:t>toda aquella información relativa a los montos y las personas a quienes entreguen, por cualquier motivo, recursos públicos</w:t>
      </w:r>
      <w:r w:rsidRPr="001070AF">
        <w:rPr>
          <w:rFonts w:ascii="Palatino Linotype" w:eastAsia="Palatino Linotype" w:hAnsi="Palatino Linotype" w:cs="Palatino Linotype"/>
          <w:i/>
          <w:iCs/>
          <w:sz w:val="22"/>
          <w:szCs w:val="22"/>
        </w:rPr>
        <w:t>, así como los informes que dichas personas les entreguen sobre el uso y destino de dichos recursos…(Sic)”</w:t>
      </w:r>
    </w:p>
    <w:p w14:paraId="463B1E92"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651092DD"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ello la información solicitada adquiere el carácter de público, al existir disposición normativa que obliga al sujeto obligado a hacer del conocimiento de los particulares toda aquella información relativa a los montos y las personas a quienes entreguen, por cualquier motivo, recursos públicos, y que en este caso lo que da cuenta de ellos son las facturas solicitadas. </w:t>
      </w:r>
    </w:p>
    <w:p w14:paraId="47DF2198"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p>
    <w:p w14:paraId="5618A0FB"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ese contexto, los artículos 3°, fracción XLV, y 137 de la Ley de Transparencia y Acceso a la Información Pública del Estado de México y Municipios y los numerales Segundo, fracción XVIII, y Quincuagésimo sexto de los Lineamientos Generales, establecen que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documento que deberá ser aprobado por el Comité de Transparencia.</w:t>
      </w:r>
    </w:p>
    <w:p w14:paraId="09E49215" w14:textId="77777777"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 </w:t>
      </w:r>
    </w:p>
    <w:p w14:paraId="20C4DB64" w14:textId="7FCA43F3" w:rsidR="00C13F26" w:rsidRPr="001070AF" w:rsidRDefault="00C13F26"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Como se logra observar, la clasificación total del documento no es la única forma de proteger información localizada en este, pues existe otro procedimiento, en el cual, solamente se testan las partes que contienen datos o información, denominado versión pública; con lo cual,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podría testar los datos confidenciales y proporcionar el documento que da cuenta de la información solicitada, con lo cual se robustece que no procede la reservada aludida, resultando procedente ordenar la entrega de las facturas pagadas </w:t>
      </w:r>
      <w:r w:rsidR="00230203" w:rsidRPr="001070AF">
        <w:rPr>
          <w:rFonts w:ascii="Palatino Linotype" w:eastAsia="Palatino Linotype" w:hAnsi="Palatino Linotype" w:cs="Palatino Linotype"/>
          <w:sz w:val="22"/>
          <w:szCs w:val="22"/>
        </w:rPr>
        <w:t>por la tesorería municipal mediante cheque o transferencia electrónica interbancaria del primero de junio al treinta y uno de julio de dos mil veinticinco</w:t>
      </w:r>
      <w:r w:rsidRPr="001070AF">
        <w:rPr>
          <w:rFonts w:ascii="Palatino Linotype" w:eastAsia="Palatino Linotype" w:hAnsi="Palatino Linotype" w:cs="Palatino Linotype"/>
          <w:sz w:val="22"/>
          <w:szCs w:val="22"/>
        </w:rPr>
        <w:t>, en versión pública, conforme al considerando quinto.</w:t>
      </w:r>
    </w:p>
    <w:p w14:paraId="4069D608" w14:textId="77777777" w:rsidR="00C13F26" w:rsidRPr="001070AF" w:rsidRDefault="00C13F26" w:rsidP="00450366">
      <w:pPr>
        <w:tabs>
          <w:tab w:val="left" w:pos="7513"/>
        </w:tabs>
        <w:spacing w:line="360" w:lineRule="auto"/>
        <w:ind w:right="49"/>
        <w:jc w:val="both"/>
        <w:rPr>
          <w:rFonts w:ascii="Palatino Linotype" w:eastAsia="Palatino Linotype" w:hAnsi="Palatino Linotype" w:cs="Palatino Linotype"/>
          <w:sz w:val="22"/>
          <w:szCs w:val="22"/>
        </w:rPr>
      </w:pPr>
    </w:p>
    <w:p w14:paraId="6A431615"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sz w:val="22"/>
          <w:szCs w:val="22"/>
        </w:rPr>
        <w:t xml:space="preserve">Quinto. Versión pública. </w:t>
      </w:r>
      <w:r w:rsidRPr="001070AF">
        <w:rPr>
          <w:rFonts w:ascii="Palatino Linotype" w:eastAsia="Palatino Linotype" w:hAnsi="Palatino Linotype" w:cs="Palatino Linotype"/>
          <w:sz w:val="22"/>
          <w:szCs w:val="22"/>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Sujeto Obligado tendrá que hacer la elaboración de una versión pública de los documentos que vaya entregar para dar cumplimiento a esta resolución, a fin de satisfacer el derecho de acceso a la información pública de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 xml:space="preserve"> sin menoscabar el derecho a la protección de los datos personales de terceros.</w:t>
      </w:r>
    </w:p>
    <w:p w14:paraId="2AB31825"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3B2083A"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de conformidad a lo que señalan los artículos 3, fracciones IX, XX, XXXII, XLV; 6, 137 y 143 fracción I, de la Ley de Transparencia y Acceso a la Información Pública del Estado de México y Municipios vigente, que se leen como sigue:</w:t>
      </w:r>
    </w:p>
    <w:p w14:paraId="7BCE255F" w14:textId="77777777" w:rsidR="007A350F" w:rsidRPr="001070AF" w:rsidRDefault="007A350F" w:rsidP="00450366">
      <w:pPr>
        <w:spacing w:line="276" w:lineRule="auto"/>
        <w:ind w:left="851" w:right="616"/>
        <w:jc w:val="both"/>
        <w:rPr>
          <w:rFonts w:ascii="Palatino Linotype" w:eastAsia="Palatino Linotype" w:hAnsi="Palatino Linotype" w:cs="Palatino Linotype"/>
          <w:b/>
          <w:bCs/>
          <w:i/>
          <w:iCs/>
          <w:sz w:val="22"/>
          <w:szCs w:val="22"/>
        </w:rPr>
      </w:pPr>
    </w:p>
    <w:p w14:paraId="4FF2692B" w14:textId="759BF9E1" w:rsidR="00F37215" w:rsidRPr="001070AF" w:rsidRDefault="00F37215" w:rsidP="00450366">
      <w:pPr>
        <w:spacing w:line="276" w:lineRule="auto"/>
        <w:ind w:left="851"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rPr>
        <w:t>“Artículo 3. Para los efectos de la presente Ley se entenderá por:</w:t>
      </w:r>
    </w:p>
    <w:p w14:paraId="21B97722"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IX. Datos personales:</w:t>
      </w:r>
      <w:r w:rsidRPr="001070AF">
        <w:rPr>
          <w:rFonts w:ascii="Palatino Linotype" w:eastAsia="Palatino Linotype" w:hAnsi="Palatino Linotype" w:cs="Palatino Linotype"/>
          <w:i/>
          <w:iCs/>
          <w:sz w:val="22"/>
          <w:szCs w:val="22"/>
        </w:rPr>
        <w:t xml:space="preserve"> </w:t>
      </w:r>
      <w:r w:rsidRPr="001070AF">
        <w:rPr>
          <w:rFonts w:ascii="Palatino Linotype" w:eastAsia="Palatino Linotype" w:hAnsi="Palatino Linotype" w:cs="Palatino Linotype"/>
          <w:b/>
          <w:bCs/>
          <w:i/>
          <w:iCs/>
          <w:sz w:val="22"/>
          <w:szCs w:val="22"/>
        </w:rPr>
        <w:t>La información concerniente a una persona, identificada o identificable</w:t>
      </w:r>
      <w:r w:rsidRPr="001070AF">
        <w:rPr>
          <w:rFonts w:ascii="Palatino Linotype" w:eastAsia="Palatino Linotype" w:hAnsi="Palatino Linotype" w:cs="Palatino Linotype"/>
          <w:i/>
          <w:iCs/>
          <w:sz w:val="22"/>
          <w:szCs w:val="22"/>
        </w:rPr>
        <w:t xml:space="preserve"> según lo dispuesto por la Ley de Protección de Datos Personales del Estado de México;</w:t>
      </w:r>
    </w:p>
    <w:p w14:paraId="631C0507"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XX. Información clasificada:</w:t>
      </w:r>
      <w:r w:rsidRPr="001070AF">
        <w:rPr>
          <w:rFonts w:ascii="Palatino Linotype" w:eastAsia="Palatino Linotype" w:hAnsi="Palatino Linotype" w:cs="Palatino Linotype"/>
          <w:i/>
          <w:iCs/>
          <w:sz w:val="22"/>
          <w:szCs w:val="22"/>
        </w:rPr>
        <w:t xml:space="preserve"> Aquella considerada por la presente Ley como reservada o confidencial;</w:t>
      </w:r>
    </w:p>
    <w:p w14:paraId="44F9C7CB"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XXXII. Protección de Datos Personales:</w:t>
      </w:r>
      <w:r w:rsidRPr="001070AF">
        <w:rPr>
          <w:rFonts w:ascii="Palatino Linotype" w:eastAsia="Palatino Linotype" w:hAnsi="Palatino Linotype" w:cs="Palatino Linotype"/>
          <w:i/>
          <w:iCs/>
          <w:sz w:val="22"/>
          <w:szCs w:val="22"/>
        </w:rPr>
        <w:t xml:space="preserve"> Derecho humano que tutela la privacidad de datos personales en poder de los sujetos obligados y sujetos particulares;</w:t>
      </w:r>
    </w:p>
    <w:p w14:paraId="3D727FF4"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XLV. Versión pública</w:t>
      </w:r>
      <w:r w:rsidRPr="001070AF">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6CA378DF"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“Artículo 6.</w:t>
      </w:r>
      <w:r w:rsidRPr="001070AF">
        <w:rPr>
          <w:rFonts w:ascii="Palatino Linotype" w:eastAsia="Palatino Linotype" w:hAnsi="Palatino Linotype" w:cs="Palatino Linotype"/>
          <w:i/>
          <w:iCs/>
          <w:sz w:val="22"/>
          <w:szCs w:val="22"/>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660FCEB" w14:textId="77777777" w:rsidR="00F37215" w:rsidRPr="001070AF" w:rsidRDefault="00F37215" w:rsidP="00450366">
      <w:pPr>
        <w:spacing w:line="276" w:lineRule="auto"/>
        <w:ind w:left="851" w:right="616"/>
        <w:jc w:val="both"/>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rPr>
        <w:t>“Artículo 137.</w:t>
      </w:r>
      <w:r w:rsidRPr="001070AF">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1D3B197"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“Artículo 143</w:t>
      </w:r>
      <w:r w:rsidRPr="001070AF">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14:paraId="1150CF1E"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w:t>
      </w:r>
      <w:r w:rsidRPr="001070AF">
        <w:rPr>
          <w:rFonts w:ascii="Palatino Linotype" w:eastAsia="Palatino Linotype" w:hAnsi="Palatino Linotype" w:cs="Palatino Linotype"/>
          <w:i/>
          <w:iCs/>
          <w:sz w:val="22"/>
          <w:szCs w:val="22"/>
        </w:rPr>
        <w:t xml:space="preserve"> Se refiera a la información privada y los datos personales concernientes a una persona física o jurídica colectiva identificada o identificable;</w:t>
      </w:r>
    </w:p>
    <w:p w14:paraId="64265C88"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EB8B4CF"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III. La que presenten los particulares a los sujetos obligados, de conformidad con lo dispuesto por las leyes o los tratados internacionales.” </w:t>
      </w:r>
    </w:p>
    <w:p w14:paraId="7EFD3626" w14:textId="77777777" w:rsidR="00F37215" w:rsidRPr="001070AF" w:rsidRDefault="00F37215" w:rsidP="00450366">
      <w:pPr>
        <w:ind w:left="993" w:right="1041"/>
        <w:jc w:val="both"/>
        <w:rPr>
          <w:rFonts w:ascii="Palatino Linotype" w:eastAsia="Palatino Linotype" w:hAnsi="Palatino Linotype" w:cs="Palatino Linotype"/>
          <w:i/>
          <w:iCs/>
          <w:sz w:val="22"/>
          <w:szCs w:val="22"/>
        </w:rPr>
      </w:pPr>
    </w:p>
    <w:p w14:paraId="53133E8C"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deberá proceder a testar los datos personales que se encuentren contenidos en los documentos a entregar para satisfacer el derecho de acceso a la información pública de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24536CAF"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p>
    <w:p w14:paraId="2F7D37AA"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71CD302C"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p>
    <w:p w14:paraId="67BE09C2"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ende, la clasificación de la información no opera con la simple supresión de datos que se haga en los documentos de que se trate o con la simple decisión que tome el Servidor Público Habilitado o el Responsable de la Unidad de Transparencia del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sino que ello deberá realizarse en términos de lo que disponen los artículos 49 fracción VIII, 53, fracción X y 59, fracción V, de la Ley en consulta, cuyo sentido literal es el siguiente:</w:t>
      </w:r>
    </w:p>
    <w:p w14:paraId="00894866"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p>
    <w:p w14:paraId="2DAB1A44"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“Artículo 49.</w:t>
      </w:r>
      <w:r w:rsidRPr="001070AF">
        <w:rPr>
          <w:rFonts w:ascii="Palatino Linotype" w:eastAsia="Palatino Linotype" w:hAnsi="Palatino Linotype" w:cs="Palatino Linotype"/>
          <w:i/>
          <w:iCs/>
          <w:sz w:val="22"/>
          <w:szCs w:val="22"/>
        </w:rPr>
        <w:t xml:space="preserve"> </w:t>
      </w:r>
      <w:r w:rsidRPr="001070AF">
        <w:rPr>
          <w:rFonts w:ascii="Palatino Linotype" w:eastAsia="Palatino Linotype" w:hAnsi="Palatino Linotype" w:cs="Palatino Linotype"/>
          <w:b/>
          <w:bCs/>
          <w:i/>
          <w:iCs/>
          <w:sz w:val="22"/>
          <w:szCs w:val="22"/>
        </w:rPr>
        <w:t>Los Comités de Transparencia</w:t>
      </w:r>
      <w:r w:rsidRPr="001070AF">
        <w:rPr>
          <w:rFonts w:ascii="Palatino Linotype" w:eastAsia="Palatino Linotype" w:hAnsi="Palatino Linotype" w:cs="Palatino Linotype"/>
          <w:i/>
          <w:iCs/>
          <w:sz w:val="22"/>
          <w:szCs w:val="22"/>
        </w:rPr>
        <w:t xml:space="preserve"> tendrán las siguientes atribuciones:</w:t>
      </w:r>
    </w:p>
    <w:p w14:paraId="181B78CD"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VIII. Aprobar, modificar o revocar la clasificación de la información</w:t>
      </w:r>
      <w:r w:rsidRPr="001070AF">
        <w:rPr>
          <w:rFonts w:ascii="Palatino Linotype" w:eastAsia="Palatino Linotype" w:hAnsi="Palatino Linotype" w:cs="Palatino Linotype"/>
          <w:i/>
          <w:iCs/>
          <w:sz w:val="22"/>
          <w:szCs w:val="22"/>
        </w:rPr>
        <w:t>…”</w:t>
      </w:r>
    </w:p>
    <w:p w14:paraId="70F60422"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53.</w:t>
      </w:r>
      <w:r w:rsidRPr="001070AF">
        <w:rPr>
          <w:rFonts w:ascii="Palatino Linotype" w:eastAsia="Palatino Linotype" w:hAnsi="Palatino Linotype" w:cs="Palatino Linotype"/>
          <w:i/>
          <w:iCs/>
          <w:sz w:val="22"/>
          <w:szCs w:val="22"/>
        </w:rPr>
        <w:t xml:space="preserve"> Las </w:t>
      </w:r>
      <w:r w:rsidRPr="001070AF">
        <w:rPr>
          <w:rFonts w:ascii="Palatino Linotype" w:eastAsia="Palatino Linotype" w:hAnsi="Palatino Linotype" w:cs="Palatino Linotype"/>
          <w:b/>
          <w:bCs/>
          <w:i/>
          <w:iCs/>
          <w:sz w:val="22"/>
          <w:szCs w:val="22"/>
        </w:rPr>
        <w:t>Unidades de Transparencia</w:t>
      </w:r>
      <w:r w:rsidRPr="001070AF">
        <w:rPr>
          <w:rFonts w:ascii="Palatino Linotype" w:eastAsia="Palatino Linotype" w:hAnsi="Palatino Linotype" w:cs="Palatino Linotype"/>
          <w:i/>
          <w:iCs/>
          <w:sz w:val="22"/>
          <w:szCs w:val="22"/>
        </w:rPr>
        <w:t xml:space="preserve"> tendrán las siguientes </w:t>
      </w:r>
      <w:r w:rsidRPr="001070AF">
        <w:rPr>
          <w:rFonts w:ascii="Palatino Linotype" w:eastAsia="Palatino Linotype" w:hAnsi="Palatino Linotype" w:cs="Palatino Linotype"/>
          <w:b/>
          <w:bCs/>
          <w:i/>
          <w:iCs/>
          <w:sz w:val="22"/>
          <w:szCs w:val="22"/>
        </w:rPr>
        <w:t>funciones</w:t>
      </w:r>
      <w:r w:rsidRPr="001070AF">
        <w:rPr>
          <w:rFonts w:ascii="Palatino Linotype" w:eastAsia="Palatino Linotype" w:hAnsi="Palatino Linotype" w:cs="Palatino Linotype"/>
          <w:i/>
          <w:iCs/>
          <w:sz w:val="22"/>
          <w:szCs w:val="22"/>
        </w:rPr>
        <w:t>:</w:t>
      </w:r>
    </w:p>
    <w:p w14:paraId="290982A1"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X. Presentar ante el Comité, el proyecto de clasificación de información</w:t>
      </w:r>
      <w:r w:rsidRPr="001070AF">
        <w:rPr>
          <w:rFonts w:ascii="Palatino Linotype" w:eastAsia="Palatino Linotype" w:hAnsi="Palatino Linotype" w:cs="Palatino Linotype"/>
          <w:i/>
          <w:iCs/>
          <w:sz w:val="22"/>
          <w:szCs w:val="22"/>
        </w:rPr>
        <w:t xml:space="preserve">…” </w:t>
      </w:r>
    </w:p>
    <w:p w14:paraId="6CE51681"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“Artículo 59.</w:t>
      </w:r>
      <w:r w:rsidRPr="001070AF">
        <w:rPr>
          <w:rFonts w:ascii="Palatino Linotype" w:eastAsia="Palatino Linotype" w:hAnsi="Palatino Linotype" w:cs="Palatino Linotype"/>
          <w:i/>
          <w:iCs/>
          <w:sz w:val="22"/>
          <w:szCs w:val="22"/>
        </w:rPr>
        <w:t xml:space="preserve"> Los </w:t>
      </w:r>
      <w:r w:rsidRPr="001070AF">
        <w:rPr>
          <w:rFonts w:ascii="Palatino Linotype" w:eastAsia="Palatino Linotype" w:hAnsi="Palatino Linotype" w:cs="Palatino Linotype"/>
          <w:b/>
          <w:bCs/>
          <w:i/>
          <w:iCs/>
          <w:sz w:val="22"/>
          <w:szCs w:val="22"/>
        </w:rPr>
        <w:t>servidores públicos habilitados</w:t>
      </w:r>
      <w:r w:rsidRPr="001070AF">
        <w:rPr>
          <w:rFonts w:ascii="Palatino Linotype" w:eastAsia="Palatino Linotype" w:hAnsi="Palatino Linotype" w:cs="Palatino Linotype"/>
          <w:i/>
          <w:iCs/>
          <w:sz w:val="22"/>
          <w:szCs w:val="22"/>
        </w:rPr>
        <w:t xml:space="preserve"> tendrán las </w:t>
      </w:r>
      <w:r w:rsidRPr="001070AF">
        <w:rPr>
          <w:rFonts w:ascii="Palatino Linotype" w:eastAsia="Palatino Linotype" w:hAnsi="Palatino Linotype" w:cs="Palatino Linotype"/>
          <w:b/>
          <w:bCs/>
          <w:i/>
          <w:iCs/>
          <w:sz w:val="22"/>
          <w:szCs w:val="22"/>
        </w:rPr>
        <w:t>funciones</w:t>
      </w:r>
      <w:r w:rsidRPr="001070AF">
        <w:rPr>
          <w:rFonts w:ascii="Palatino Linotype" w:eastAsia="Palatino Linotype" w:hAnsi="Palatino Linotype" w:cs="Palatino Linotype"/>
          <w:i/>
          <w:iCs/>
          <w:sz w:val="22"/>
          <w:szCs w:val="22"/>
        </w:rPr>
        <w:t xml:space="preserve"> siguientes:</w:t>
      </w:r>
    </w:p>
    <w:p w14:paraId="2B9D3FA9" w14:textId="77777777" w:rsidR="00F37215" w:rsidRPr="001070AF" w:rsidRDefault="00F37215" w:rsidP="00450366">
      <w:pPr>
        <w:spacing w:line="276" w:lineRule="auto"/>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1070AF">
        <w:rPr>
          <w:rFonts w:ascii="Palatino Linotype" w:eastAsia="Palatino Linotype" w:hAnsi="Palatino Linotype" w:cs="Palatino Linotype"/>
          <w:i/>
          <w:iCs/>
          <w:sz w:val="22"/>
          <w:szCs w:val="22"/>
        </w:rPr>
        <w:t xml:space="preserve">, la cual tendrá los fundamentos y argumentos en que se basa dicha propuesta…” </w:t>
      </w:r>
    </w:p>
    <w:p w14:paraId="4AA00658" w14:textId="77777777" w:rsidR="00F37215" w:rsidRPr="001070AF" w:rsidRDefault="00F37215" w:rsidP="00450366">
      <w:pPr>
        <w:spacing w:line="276" w:lineRule="auto"/>
        <w:ind w:left="992" w:right="1043"/>
        <w:jc w:val="both"/>
        <w:rPr>
          <w:rFonts w:ascii="Palatino Linotype" w:eastAsia="Palatino Linotype" w:hAnsi="Palatino Linotype" w:cs="Palatino Linotype"/>
          <w:i/>
          <w:iCs/>
          <w:sz w:val="22"/>
          <w:szCs w:val="22"/>
        </w:rPr>
      </w:pPr>
    </w:p>
    <w:p w14:paraId="78203089"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5F2FE6B"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p>
    <w:p w14:paraId="56171215"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4E1D86D8"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p>
    <w:p w14:paraId="5DCAF6CA" w14:textId="77777777" w:rsidR="00F37215" w:rsidRPr="001070AF" w:rsidRDefault="00F37215" w:rsidP="00450366">
      <w:pPr>
        <w:ind w:left="851" w:right="616"/>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149.</w:t>
      </w:r>
      <w:r w:rsidRPr="001070AF">
        <w:rPr>
          <w:rFonts w:ascii="Palatino Linotype" w:eastAsia="Palatino Linotype" w:hAnsi="Palatino Linotype" w:cs="Palatino Linotype"/>
          <w:i/>
          <w:iCs/>
          <w:sz w:val="22"/>
          <w:szCs w:val="22"/>
        </w:rPr>
        <w:t xml:space="preserve"> El </w:t>
      </w:r>
      <w:r w:rsidRPr="001070AF">
        <w:rPr>
          <w:rFonts w:ascii="Palatino Linotype" w:eastAsia="Palatino Linotype" w:hAnsi="Palatino Linotype" w:cs="Palatino Linotype"/>
          <w:b/>
          <w:bCs/>
          <w:i/>
          <w:iCs/>
          <w:sz w:val="22"/>
          <w:szCs w:val="22"/>
        </w:rPr>
        <w:t>acuerdo que clasifique la información como confidencial</w:t>
      </w:r>
      <w:r w:rsidRPr="001070AF">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w:t>
      </w:r>
    </w:p>
    <w:p w14:paraId="4E6A99EB" w14:textId="77777777" w:rsidR="00F37215" w:rsidRPr="001070AF" w:rsidRDefault="00F37215" w:rsidP="00450366">
      <w:pPr>
        <w:spacing w:line="360" w:lineRule="auto"/>
        <w:ind w:right="51"/>
        <w:jc w:val="both"/>
        <w:rPr>
          <w:rFonts w:ascii="Palatino Linotype" w:eastAsia="Palatino Linotype" w:hAnsi="Palatino Linotype" w:cs="Palatino Linotype"/>
          <w:i/>
          <w:iCs/>
          <w:sz w:val="22"/>
          <w:szCs w:val="22"/>
        </w:rPr>
      </w:pPr>
    </w:p>
    <w:p w14:paraId="6A9FB3D8"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Es decir, el</w:t>
      </w:r>
      <w:r w:rsidRPr="001070AF">
        <w:rPr>
          <w:rFonts w:ascii="Palatino Linotype" w:eastAsia="Palatino Linotype" w:hAnsi="Palatino Linotype" w:cs="Palatino Linotype"/>
          <w:b/>
          <w:bCs/>
          <w:sz w:val="22"/>
          <w:szCs w:val="22"/>
        </w:rPr>
        <w:t xml:space="preserve"> Sujeto Obligado</w:t>
      </w:r>
      <w:r w:rsidRPr="001070AF">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0BC35FC1"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p>
    <w:p w14:paraId="613D335F" w14:textId="77777777" w:rsidR="00F37215" w:rsidRPr="001070AF" w:rsidRDefault="00F37215" w:rsidP="00450366">
      <w:pPr>
        <w:pBdr>
          <w:top w:val="nil"/>
          <w:left w:val="nil"/>
          <w:bottom w:val="nil"/>
          <w:right w:val="nil"/>
          <w:between w:val="nil"/>
        </w:pBd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Respecto del </w:t>
      </w:r>
      <w:r w:rsidRPr="001070AF">
        <w:rPr>
          <w:rFonts w:ascii="Palatino Linotype" w:eastAsia="Palatino Linotype" w:hAnsi="Palatino Linotype" w:cs="Palatino Linotype"/>
          <w:b/>
          <w:bCs/>
          <w:sz w:val="22"/>
          <w:szCs w:val="22"/>
        </w:rPr>
        <w:t>nombre de las personas físicas</w:t>
      </w:r>
      <w:r w:rsidRPr="001070AF">
        <w:rPr>
          <w:rFonts w:ascii="Palatino Linotype" w:eastAsia="Palatino Linotype" w:hAnsi="Palatino Linotype" w:cs="Palatino Linotype"/>
          <w:sz w:val="22"/>
          <w:szCs w:val="22"/>
        </w:rPr>
        <w:t xml:space="preserve"> o los </w:t>
      </w:r>
      <w:r w:rsidRPr="001070AF">
        <w:rPr>
          <w:rFonts w:ascii="Palatino Linotype" w:eastAsia="Palatino Linotype" w:hAnsi="Palatino Linotype" w:cs="Palatino Linotype"/>
          <w:b/>
          <w:bCs/>
          <w:sz w:val="22"/>
          <w:szCs w:val="22"/>
        </w:rPr>
        <w:t>representantes legales de las personas morales</w:t>
      </w: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
          <w:bCs/>
          <w:sz w:val="22"/>
          <w:szCs w:val="22"/>
        </w:rPr>
        <w:t>en su calidad de proveedores, contratistas o prestadores de servicios, y la firma y rúbrica de estos</w:t>
      </w:r>
      <w:r w:rsidRPr="001070AF">
        <w:rPr>
          <w:rFonts w:ascii="Palatino Linotype" w:eastAsia="Palatino Linotype" w:hAnsi="Palatino Linotype" w:cs="Palatino Linotype"/>
          <w:sz w:val="22"/>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03E8AF90" w14:textId="77777777" w:rsidR="00F37215" w:rsidRPr="001070AF" w:rsidRDefault="00F37215" w:rsidP="00450366">
      <w:pPr>
        <w:pBdr>
          <w:top w:val="nil"/>
          <w:left w:val="nil"/>
          <w:bottom w:val="nil"/>
          <w:right w:val="nil"/>
          <w:between w:val="nil"/>
        </w:pBdr>
        <w:spacing w:line="360" w:lineRule="auto"/>
        <w:ind w:right="50"/>
        <w:jc w:val="both"/>
        <w:rPr>
          <w:rFonts w:ascii="Palatino Linotype" w:eastAsia="Palatino Linotype" w:hAnsi="Palatino Linotype" w:cs="Palatino Linotype"/>
          <w:sz w:val="22"/>
          <w:szCs w:val="22"/>
        </w:rPr>
      </w:pPr>
    </w:p>
    <w:p w14:paraId="10A3D7F2" w14:textId="77777777" w:rsidR="00F37215" w:rsidRPr="001070AF" w:rsidRDefault="00F37215" w:rsidP="00450366">
      <w:pPr>
        <w:pBdr>
          <w:top w:val="nil"/>
          <w:left w:val="nil"/>
          <w:bottom w:val="nil"/>
          <w:right w:val="nil"/>
          <w:between w:val="nil"/>
        </w:pBd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Argumentación que guarda sustento en lo estipulado por el artículo 23 de la Ley de Transparencia y Acceso a la Información Pública del Estado de México y Municipios en su penúltimo párrafo, mismo que es del tenor literal siguiente:</w:t>
      </w:r>
    </w:p>
    <w:p w14:paraId="78A00DF7" w14:textId="77777777" w:rsidR="00F37215" w:rsidRPr="001070AF" w:rsidRDefault="00F37215" w:rsidP="00450366">
      <w:pPr>
        <w:pBdr>
          <w:top w:val="nil"/>
          <w:left w:val="nil"/>
          <w:bottom w:val="nil"/>
          <w:right w:val="nil"/>
          <w:between w:val="nil"/>
        </w:pBdr>
        <w:spacing w:line="360" w:lineRule="auto"/>
        <w:ind w:right="50"/>
        <w:jc w:val="both"/>
        <w:rPr>
          <w:rFonts w:ascii="Palatino Linotype" w:eastAsia="Palatino Linotype" w:hAnsi="Palatino Linotype" w:cs="Palatino Linotype"/>
          <w:sz w:val="22"/>
          <w:szCs w:val="22"/>
        </w:rPr>
      </w:pPr>
    </w:p>
    <w:p w14:paraId="2F44BFA2" w14:textId="77777777" w:rsidR="00F37215" w:rsidRPr="001070AF" w:rsidRDefault="00F37215" w:rsidP="00450366">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Artículo 23.</w:t>
      </w:r>
      <w:r w:rsidRPr="001070AF">
        <w:rPr>
          <w:rFonts w:ascii="Palatino Linotype" w:eastAsia="Palatino Linotype" w:hAnsi="Palatino Linotype" w:cs="Palatino Linotype"/>
          <w:i/>
          <w:iCs/>
          <w:sz w:val="22"/>
          <w:szCs w:val="22"/>
        </w:rPr>
        <w:t xml:space="preserve"> (…)</w:t>
      </w:r>
    </w:p>
    <w:p w14:paraId="7B7869E9" w14:textId="77777777" w:rsidR="00F37215" w:rsidRPr="001070AF" w:rsidRDefault="00F37215" w:rsidP="00450366">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5841B76"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81E559C"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Asimismo, resulta aplicable el contenido del criterio de interpretación 01/19 emitido por el Instituto Nacional de Transparencia, Acceso a la Información, y Protección de Datos Personales, INAI, que lleva por rubro y texto los siguientes</w:t>
      </w:r>
    </w:p>
    <w:p w14:paraId="4EC7100C" w14:textId="77777777" w:rsidR="00F37215" w:rsidRPr="001070AF" w:rsidRDefault="00F37215" w:rsidP="0045036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5BF760C" w14:textId="77777777" w:rsidR="00F37215" w:rsidRPr="001070AF" w:rsidRDefault="00F37215" w:rsidP="00450366">
      <w:pPr>
        <w:pBdr>
          <w:top w:val="nil"/>
          <w:left w:val="nil"/>
          <w:bottom w:val="nil"/>
          <w:right w:val="nil"/>
          <w:between w:val="nil"/>
        </w:pBdr>
        <w:spacing w:line="276" w:lineRule="auto"/>
        <w:ind w:left="851" w:right="902"/>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“Datos de identificación del representante o apoderado legal.</w:t>
      </w:r>
      <w:r w:rsidRPr="001070AF">
        <w:rPr>
          <w:rFonts w:ascii="Palatino Linotype" w:eastAsia="Palatino Linotype" w:hAnsi="Palatino Linotype" w:cs="Palatino Linotype"/>
          <w:i/>
          <w:iCs/>
          <w:sz w:val="22"/>
          <w:szCs w:val="22"/>
        </w:rPr>
        <w:t xml:space="preserve"> </w:t>
      </w:r>
      <w:r w:rsidRPr="001070AF">
        <w:rPr>
          <w:rFonts w:ascii="Palatino Linotype" w:eastAsia="Palatino Linotype" w:hAnsi="Palatino Linotype" w:cs="Palatino Linotype"/>
          <w:b/>
          <w:bCs/>
          <w:i/>
          <w:iCs/>
          <w:sz w:val="22"/>
          <w:szCs w:val="22"/>
        </w:rPr>
        <w:t xml:space="preserve">Naturaleza jurídica. El nombre, la </w:t>
      </w:r>
      <w:r w:rsidRPr="001070AF">
        <w:rPr>
          <w:rFonts w:ascii="Palatino Linotype" w:eastAsia="Palatino Linotype" w:hAnsi="Palatino Linotype" w:cs="Palatino Linotype"/>
          <w:b/>
          <w:bCs/>
          <w:i/>
          <w:iCs/>
          <w:sz w:val="22"/>
          <w:szCs w:val="22"/>
          <w:u w:val="single"/>
        </w:rPr>
        <w:t>firma y la rúbrica</w:t>
      </w:r>
      <w:r w:rsidRPr="001070AF">
        <w:rPr>
          <w:rFonts w:ascii="Palatino Linotype" w:eastAsia="Palatino Linotype" w:hAnsi="Palatino Linotype" w:cs="Palatino Linotype"/>
          <w:i/>
          <w:iCs/>
          <w:sz w:val="22"/>
          <w:szCs w:val="22"/>
        </w:rPr>
        <w:t xml:space="preserve"> de una persona física, que actúe como representante o apoderado legal de un tercero que haya celebrado un acto jurídico, con algún sujeto obligado, </w:t>
      </w:r>
      <w:r w:rsidRPr="001070AF">
        <w:rPr>
          <w:rFonts w:ascii="Palatino Linotype" w:eastAsia="Palatino Linotype" w:hAnsi="Palatino Linotype" w:cs="Palatino Linotype"/>
          <w:b/>
          <w:bCs/>
          <w:i/>
          <w:iCs/>
          <w:sz w:val="22"/>
          <w:szCs w:val="22"/>
          <w:u w:val="single"/>
        </w:rPr>
        <w:t>es información pública</w:t>
      </w:r>
      <w:r w:rsidRPr="001070AF">
        <w:rPr>
          <w:rFonts w:ascii="Palatino Linotype" w:eastAsia="Palatino Linotype" w:hAnsi="Palatino Linotype" w:cs="Palatino Linotype"/>
          <w:b/>
          <w:bCs/>
          <w:i/>
          <w:iCs/>
          <w:sz w:val="22"/>
          <w:szCs w:val="22"/>
        </w:rPr>
        <w:t>, en razón de que tales datos fueron proporcionados con el objeto de expresar el consentimiento obligacional del tercero y otorgar validez a dicho instrumento jurídico</w:t>
      </w:r>
      <w:r w:rsidRPr="001070AF">
        <w:rPr>
          <w:rFonts w:ascii="Palatino Linotype" w:eastAsia="Palatino Linotype" w:hAnsi="Palatino Linotype" w:cs="Palatino Linotype"/>
          <w:i/>
          <w:iCs/>
          <w:sz w:val="22"/>
          <w:szCs w:val="22"/>
        </w:rPr>
        <w:t>.”</w:t>
      </w:r>
    </w:p>
    <w:p w14:paraId="5D209475"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p>
    <w:p w14:paraId="45EC2E23"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cuanto hace al </w:t>
      </w:r>
      <w:r w:rsidRPr="001070AF">
        <w:rPr>
          <w:rFonts w:ascii="Palatino Linotype" w:eastAsia="Palatino Linotype" w:hAnsi="Palatino Linotype" w:cs="Palatino Linotype"/>
          <w:b/>
          <w:bCs/>
          <w:sz w:val="22"/>
          <w:szCs w:val="22"/>
          <w:u w:val="single"/>
        </w:rPr>
        <w:t>número de cuenta bancaria</w:t>
      </w:r>
      <w:r w:rsidRPr="001070AF">
        <w:rPr>
          <w:rFonts w:ascii="Palatino Linotype" w:eastAsia="Palatino Linotype" w:hAnsi="Palatino Linotype" w:cs="Palatino Linotype"/>
          <w:sz w:val="22"/>
          <w:szCs w:val="22"/>
        </w:rPr>
        <w:t xml:space="preserve"> de los particulares debe ser clasificado como confidencial con fundamento en las fracciones I y II del artículo 143 de la Ley de la Materia de la Entidad; en razón de que, con su difusión se estaría poniendo en riesgo la seguridad de su titular.</w:t>
      </w:r>
    </w:p>
    <w:p w14:paraId="10B2C232"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34D0A499"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3475068" w14:textId="77777777" w:rsidR="00F37215" w:rsidRPr="001070AF" w:rsidRDefault="00F37215" w:rsidP="00450366">
      <w:pPr>
        <w:spacing w:line="360" w:lineRule="auto"/>
        <w:ind w:right="51"/>
        <w:jc w:val="both"/>
        <w:rPr>
          <w:rFonts w:ascii="Palatino Linotype" w:eastAsia="Palatino Linotype" w:hAnsi="Palatino Linotype" w:cs="Palatino Linotype"/>
          <w:sz w:val="22"/>
          <w:szCs w:val="22"/>
        </w:rPr>
      </w:pPr>
    </w:p>
    <w:p w14:paraId="21E482EB"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Lo anterior encuentra sustento en el criterio orientador 10/17 emitido por el entonces Instituto Nacional de Transparencia y Acceso a la Información Pública del Estado de México y Municipios, que a la letra dicen:</w:t>
      </w:r>
    </w:p>
    <w:p w14:paraId="567F42BE"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6B3056E7" w14:textId="77777777" w:rsidR="00F37215" w:rsidRPr="001070AF" w:rsidRDefault="00F37215" w:rsidP="00450366">
      <w:pPr>
        <w:spacing w:line="276" w:lineRule="auto"/>
        <w:ind w:left="851" w:right="1134"/>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“Cuentas bancarias y/o CLABE interbancaria de personas físicas y morales privadas.</w:t>
      </w:r>
      <w:r w:rsidRPr="001070AF">
        <w:rPr>
          <w:rFonts w:ascii="Palatino Linotype" w:eastAsia="Palatino Linotype" w:hAnsi="Palatino Linotype" w:cs="Palatino Linotype"/>
          <w:i/>
          <w:iCs/>
          <w:sz w:val="22"/>
          <w:szCs w:val="22"/>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882BAA1" w14:textId="77777777" w:rsidR="00F37215" w:rsidRPr="001070AF" w:rsidRDefault="00F37215" w:rsidP="00450366">
      <w:pPr>
        <w:ind w:left="851" w:right="899"/>
        <w:jc w:val="center"/>
        <w:rPr>
          <w:rFonts w:ascii="Palatino Linotype" w:eastAsia="Palatino Linotype" w:hAnsi="Palatino Linotype" w:cs="Palatino Linotype"/>
          <w:b/>
          <w:bCs/>
          <w:i/>
          <w:iCs/>
          <w:sz w:val="22"/>
          <w:szCs w:val="22"/>
        </w:rPr>
      </w:pPr>
    </w:p>
    <w:p w14:paraId="0A3E7CBF"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1A445F17"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4C00B592" w14:textId="77777777" w:rsidR="00F37215" w:rsidRPr="001070AF" w:rsidRDefault="00F37215" w:rsidP="00450366">
      <w:pPr>
        <w:spacing w:line="276" w:lineRule="auto"/>
        <w:ind w:left="851" w:right="1134"/>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Cuentas bancarias y/o CLABE interbancaria de sujetos obligados que reciben y/o transfieren recursos públicos, son información pública.</w:t>
      </w:r>
      <w:r w:rsidRPr="001070AF">
        <w:rPr>
          <w:rFonts w:ascii="Palatino Linotype" w:eastAsia="Palatino Linotype" w:hAnsi="Palatino Linotype" w:cs="Palatino Linotype"/>
          <w:i/>
          <w:iCs/>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52426F11" w14:textId="77777777" w:rsidR="00F37215" w:rsidRPr="001070AF" w:rsidRDefault="00F37215" w:rsidP="00450366">
      <w:pPr>
        <w:spacing w:line="360" w:lineRule="auto"/>
        <w:ind w:left="851" w:right="1134"/>
        <w:jc w:val="both"/>
        <w:rPr>
          <w:rFonts w:ascii="Palatino Linotype" w:eastAsia="Palatino Linotype" w:hAnsi="Palatino Linotype" w:cs="Palatino Linotype"/>
          <w:i/>
          <w:iCs/>
          <w:sz w:val="22"/>
          <w:szCs w:val="22"/>
        </w:rPr>
      </w:pPr>
    </w:p>
    <w:p w14:paraId="59ABAE86"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Sobre el </w:t>
      </w:r>
      <w:r w:rsidRPr="001070AF">
        <w:rPr>
          <w:rFonts w:ascii="Palatino Linotype" w:eastAsia="Palatino Linotype" w:hAnsi="Palatino Linotype" w:cs="Palatino Linotype"/>
          <w:b/>
          <w:bCs/>
          <w:sz w:val="22"/>
          <w:szCs w:val="22"/>
        </w:rPr>
        <w:t>RFC</w:t>
      </w:r>
      <w:r w:rsidRPr="001070AF">
        <w:rPr>
          <w:rFonts w:ascii="Palatino Linotype" w:eastAsia="Palatino Linotype" w:hAnsi="Palatino Linotype" w:cs="Palatino Linotype"/>
          <w:sz w:val="22"/>
          <w:szCs w:val="22"/>
        </w:rPr>
        <w:t>, dada la naturaleza de la información que se ordena, es importante resaltar que, 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2A53323B"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54BADC52"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1FA31C4B"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4F812F4E"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2A0096CF" w14:textId="77777777" w:rsidR="00F37215" w:rsidRPr="001070AF" w:rsidRDefault="00F37215" w:rsidP="00450366">
      <w:pPr>
        <w:spacing w:line="360" w:lineRule="auto"/>
        <w:ind w:right="50"/>
        <w:jc w:val="both"/>
        <w:rPr>
          <w:rFonts w:ascii="Palatino Linotype" w:eastAsia="Palatino Linotype" w:hAnsi="Palatino Linotype" w:cs="Palatino Linotype"/>
          <w:sz w:val="22"/>
          <w:szCs w:val="22"/>
        </w:rPr>
      </w:pPr>
    </w:p>
    <w:p w14:paraId="73A64402"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Al respecto, se destaca que la versión pública que elabore el </w:t>
      </w:r>
      <w:r w:rsidRPr="001070AF">
        <w:rPr>
          <w:rFonts w:ascii="Palatino Linotype" w:eastAsia="Palatino Linotype" w:hAnsi="Palatino Linotype" w:cs="Palatino Linotype"/>
          <w:b/>
          <w:bCs/>
          <w:sz w:val="22"/>
          <w:szCs w:val="22"/>
        </w:rPr>
        <w:t>Sujeto Obligado</w:t>
      </w:r>
      <w:r w:rsidRPr="001070AF">
        <w:rPr>
          <w:rFonts w:ascii="Palatino Linotype" w:eastAsia="Palatino Linotype" w:hAnsi="Palatino Linotype" w:cs="Palatino Linotype"/>
          <w:sz w:val="22"/>
          <w:szCs w:val="22"/>
        </w:rPr>
        <w:t xml:space="preserve"> debe cumplir con las formalidades exigidas en la Ley;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1070AF">
        <w:rPr>
          <w:rFonts w:ascii="Palatino Linotype" w:eastAsia="Palatino Linotype" w:hAnsi="Palatino Linotype" w:cs="Palatino Linotype"/>
          <w:b/>
          <w:bCs/>
          <w:sz w:val="22"/>
          <w:szCs w:val="22"/>
        </w:rPr>
        <w:t>LINEAMIENTOS GENERALES EN MATERIA DE CLASIFICACIÓN Y DESCLASIFICACIÓN DE LA INFORMACIÓN, ASÍ COMO PARA LA ELABORACIÓN DE VERSIONES PÚBLICAS</w:t>
      </w:r>
      <w:r w:rsidRPr="001070AF">
        <w:rPr>
          <w:rFonts w:ascii="Palatino Linotype" w:eastAsia="Palatino Linotype" w:hAnsi="Palatino Linotype" w:cs="Palatino Linotype"/>
          <w:sz w:val="22"/>
          <w:szCs w:val="22"/>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4C8C0580" w14:textId="77777777" w:rsidR="00F37215" w:rsidRPr="001070AF" w:rsidRDefault="00F37215" w:rsidP="00450366">
      <w:pPr>
        <w:ind w:left="709" w:right="709"/>
        <w:jc w:val="both"/>
        <w:rPr>
          <w:rFonts w:ascii="Palatino Linotype" w:eastAsia="Palatino Linotype" w:hAnsi="Palatino Linotype" w:cs="Palatino Linotype"/>
          <w:b/>
          <w:bCs/>
          <w:i/>
          <w:iCs/>
          <w:sz w:val="22"/>
          <w:szCs w:val="22"/>
        </w:rPr>
      </w:pPr>
    </w:p>
    <w:p w14:paraId="32BBD43F"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“Lineamientos Generales en materia de Clasificación y Desclasificación de la Información, así como para la elaboración de Versiones Públicas</w:t>
      </w:r>
    </w:p>
    <w:p w14:paraId="6ACA3912"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w:t>
      </w:r>
      <w:r w:rsidRPr="001070AF">
        <w:rPr>
          <w:rFonts w:ascii="Palatino Linotype" w:eastAsia="Palatino Linotype" w:hAnsi="Palatino Linotype" w:cs="Palatino Linotype"/>
          <w:b/>
          <w:bCs/>
          <w:i/>
          <w:iCs/>
          <w:sz w:val="22"/>
          <w:szCs w:val="22"/>
        </w:rPr>
        <w:t>Segundo.-</w:t>
      </w:r>
      <w:r w:rsidRPr="001070AF">
        <w:rPr>
          <w:rFonts w:ascii="Palatino Linotype" w:eastAsia="Palatino Linotype" w:hAnsi="Palatino Linotype" w:cs="Palatino Linotype"/>
          <w:i/>
          <w:iCs/>
          <w:sz w:val="22"/>
          <w:szCs w:val="22"/>
        </w:rPr>
        <w:t xml:space="preserve"> Para efectos de los presentes Lineamientos Generales, se entenderá por:</w:t>
      </w:r>
    </w:p>
    <w:p w14:paraId="6AFC4C9D"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XVIII.</w:t>
      </w:r>
      <w:r w:rsidRPr="001070AF">
        <w:rPr>
          <w:rFonts w:ascii="Palatino Linotype" w:eastAsia="Palatino Linotype" w:hAnsi="Palatino Linotype" w:cs="Palatino Linotype"/>
          <w:i/>
          <w:iCs/>
          <w:sz w:val="22"/>
          <w:szCs w:val="22"/>
        </w:rPr>
        <w:t xml:space="preserve"> </w:t>
      </w:r>
      <w:r w:rsidRPr="001070AF">
        <w:rPr>
          <w:rFonts w:ascii="Palatino Linotype" w:eastAsia="Palatino Linotype" w:hAnsi="Palatino Linotype" w:cs="Palatino Linotype"/>
          <w:b/>
          <w:bCs/>
          <w:i/>
          <w:iCs/>
          <w:sz w:val="22"/>
          <w:szCs w:val="22"/>
        </w:rPr>
        <w:t>Versión pública:</w:t>
      </w:r>
      <w:r w:rsidRPr="001070AF">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1070AF">
        <w:rPr>
          <w:rFonts w:ascii="Palatino Linotype" w:eastAsia="Palatino Linotype" w:hAnsi="Palatino Linotype" w:cs="Palatino Linotype"/>
          <w:b/>
          <w:bCs/>
          <w:i/>
          <w:iCs/>
          <w:sz w:val="22"/>
          <w:szCs w:val="22"/>
          <w:u w:val="single"/>
        </w:rPr>
        <w:t>fundando y motivando la</w:t>
      </w:r>
      <w:r w:rsidRPr="001070AF">
        <w:rPr>
          <w:rFonts w:ascii="Palatino Linotype" w:eastAsia="Palatino Linotype" w:hAnsi="Palatino Linotype" w:cs="Palatino Linotype"/>
          <w:i/>
          <w:iCs/>
          <w:sz w:val="22"/>
          <w:szCs w:val="22"/>
        </w:rPr>
        <w:t xml:space="preserve"> reserva o </w:t>
      </w:r>
      <w:r w:rsidRPr="001070AF">
        <w:rPr>
          <w:rFonts w:ascii="Palatino Linotype" w:eastAsia="Palatino Linotype" w:hAnsi="Palatino Linotype" w:cs="Palatino Linotype"/>
          <w:b/>
          <w:bCs/>
          <w:i/>
          <w:iCs/>
          <w:sz w:val="22"/>
          <w:szCs w:val="22"/>
          <w:u w:val="single"/>
        </w:rPr>
        <w:t>confidencialidad</w:t>
      </w:r>
      <w:r w:rsidRPr="001070AF">
        <w:rPr>
          <w:rFonts w:ascii="Palatino Linotype" w:eastAsia="Palatino Linotype" w:hAnsi="Palatino Linotype" w:cs="Palatino Linotype"/>
          <w:i/>
          <w:iCs/>
          <w:sz w:val="22"/>
          <w:szCs w:val="22"/>
        </w:rPr>
        <w:t>, a través de la resolución que para tal efecto emita el Comité de Transparencia.</w:t>
      </w:r>
    </w:p>
    <w:p w14:paraId="6C142495"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Cuarto.</w:t>
      </w:r>
      <w:r w:rsidRPr="001070AF">
        <w:rPr>
          <w:rFonts w:ascii="Palatino Linotype" w:eastAsia="Palatino Linotype" w:hAnsi="Palatino Linotype" w:cs="Palatino Linotype"/>
          <w:i/>
          <w:iCs/>
          <w:sz w:val="22"/>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BCC6A9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4C2192BF"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Quinto.</w:t>
      </w:r>
      <w:r w:rsidRPr="001070AF">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F07813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w:t>
      </w:r>
    </w:p>
    <w:p w14:paraId="1DF47D3D"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Séptimo.</w:t>
      </w:r>
      <w:r w:rsidRPr="001070AF">
        <w:rPr>
          <w:rFonts w:ascii="Palatino Linotype" w:eastAsia="Palatino Linotype" w:hAnsi="Palatino Linotype" w:cs="Palatino Linotype"/>
          <w:i/>
          <w:iCs/>
          <w:sz w:val="22"/>
          <w:szCs w:val="22"/>
        </w:rPr>
        <w:t xml:space="preserve"> La clasificación de la información se llevará a cabo en el momento en que:</w:t>
      </w:r>
    </w:p>
    <w:p w14:paraId="47753C5D"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I.</w:t>
      </w:r>
      <w:r w:rsidRPr="001070AF">
        <w:rPr>
          <w:rFonts w:ascii="Palatino Linotype" w:eastAsia="Palatino Linotype" w:hAnsi="Palatino Linotype" w:cs="Palatino Linotype"/>
          <w:i/>
          <w:iCs/>
          <w:sz w:val="22"/>
          <w:szCs w:val="22"/>
        </w:rPr>
        <w:t xml:space="preserve"> Se reciba una solicitud de acceso a la información;</w:t>
      </w:r>
    </w:p>
    <w:p w14:paraId="7799A641"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II.</w:t>
      </w:r>
      <w:r w:rsidRPr="001070AF">
        <w:rPr>
          <w:rFonts w:ascii="Palatino Linotype" w:eastAsia="Palatino Linotype" w:hAnsi="Palatino Linotype" w:cs="Palatino Linotype"/>
          <w:i/>
          <w:iCs/>
          <w:sz w:val="22"/>
          <w:szCs w:val="22"/>
        </w:rPr>
        <w:t xml:space="preserve"> Se  determine mediante resolución del Comité de Transparencia, el órgano garante </w:t>
      </w:r>
    </w:p>
    <w:p w14:paraId="5C8C1016"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competente, o en cumplimiento a una sentencia del Poder Judicial; o</w:t>
      </w:r>
    </w:p>
    <w:p w14:paraId="0451FB3B"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III.</w:t>
      </w:r>
      <w:r w:rsidRPr="001070AF">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581FB4BD"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Los titulares de las áreas deberán revisar la clasificación al momento de la recepción de una solicitud de acceso a la información, para verificar si encuadra en una causal de reserva o de confidencialidad.</w:t>
      </w:r>
    </w:p>
    <w:p w14:paraId="53659A3D"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Octavo.</w:t>
      </w:r>
      <w:r w:rsidRPr="001070AF">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BDAFF5B"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B83472A"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 </w:t>
      </w:r>
    </w:p>
    <w:p w14:paraId="164DC88A"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Noveno.</w:t>
      </w:r>
      <w:r w:rsidRPr="001070AF">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113050A"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Décimo.</w:t>
      </w:r>
      <w:r w:rsidRPr="001070AF">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1B51F3C"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C7C0906"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Décimo primero.</w:t>
      </w:r>
      <w:r w:rsidRPr="001070AF">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6D732F47"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w:t>
      </w:r>
    </w:p>
    <w:p w14:paraId="76E9999F" w14:textId="77777777" w:rsidR="00F37215" w:rsidRPr="001070AF" w:rsidRDefault="00F37215" w:rsidP="00450366">
      <w:pPr>
        <w:pBdr>
          <w:top w:val="nil"/>
          <w:left w:val="nil"/>
          <w:bottom w:val="nil"/>
          <w:right w:val="nil"/>
          <w:between w:val="nil"/>
        </w:pBdr>
        <w:spacing w:line="276" w:lineRule="auto"/>
        <w:ind w:left="709" w:right="709"/>
        <w:jc w:val="center"/>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CAPÍTULO VIII</w:t>
      </w:r>
    </w:p>
    <w:p w14:paraId="7AB75913" w14:textId="77777777" w:rsidR="00F37215" w:rsidRPr="001070AF" w:rsidRDefault="00F37215" w:rsidP="00450366">
      <w:pPr>
        <w:pBdr>
          <w:top w:val="nil"/>
          <w:left w:val="nil"/>
          <w:bottom w:val="nil"/>
          <w:right w:val="nil"/>
          <w:between w:val="nil"/>
        </w:pBdr>
        <w:spacing w:line="276" w:lineRule="auto"/>
        <w:ind w:left="709" w:right="709"/>
        <w:jc w:val="center"/>
        <w:rPr>
          <w:rFonts w:ascii="Palatino Linotype" w:eastAsia="Palatino Linotype" w:hAnsi="Palatino Linotype" w:cs="Palatino Linotype"/>
          <w:b/>
          <w:bCs/>
          <w:i/>
          <w:iCs/>
          <w:sz w:val="22"/>
          <w:szCs w:val="22"/>
        </w:rPr>
      </w:pPr>
      <w:r w:rsidRPr="001070AF">
        <w:rPr>
          <w:rFonts w:ascii="Palatino Linotype" w:eastAsia="Palatino Linotype" w:hAnsi="Palatino Linotype" w:cs="Palatino Linotype"/>
          <w:b/>
          <w:bCs/>
          <w:i/>
          <w:iCs/>
          <w:sz w:val="22"/>
          <w:szCs w:val="22"/>
        </w:rPr>
        <w:t>DE LOS ELEMENTOS PARA LA CLASIFICACIÓN</w:t>
      </w:r>
    </w:p>
    <w:p w14:paraId="66E138E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Quincuagésimo</w:t>
      </w:r>
      <w:r w:rsidRPr="001070AF">
        <w:rPr>
          <w:rFonts w:ascii="Palatino Linotype" w:eastAsia="Palatino Linotype" w:hAnsi="Palatino Linotype" w:cs="Palatino Linotype"/>
          <w:i/>
          <w:iCs/>
          <w:sz w:val="22"/>
          <w:szCs w:val="22"/>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695080EE"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Quincuagésimo primero</w:t>
      </w:r>
      <w:r w:rsidRPr="001070AF">
        <w:rPr>
          <w:rFonts w:ascii="Palatino Linotype" w:eastAsia="Palatino Linotype" w:hAnsi="Palatino Linotype" w:cs="Palatino Linotype"/>
          <w:i/>
          <w:iCs/>
          <w:sz w:val="22"/>
          <w:szCs w:val="22"/>
        </w:rPr>
        <w:t>. Toda acta del Comité de Transparencia deberá contener:</w:t>
      </w:r>
    </w:p>
    <w:p w14:paraId="506F1F33"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I. El número de sesión y fecha; </w:t>
      </w:r>
    </w:p>
    <w:p w14:paraId="520CC137"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 El nombre del área que solicitó la clasificación de información;</w:t>
      </w:r>
    </w:p>
    <w:p w14:paraId="4E5D451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III. La fundamentación legal y motivación correspondiente;</w:t>
      </w:r>
    </w:p>
    <w:p w14:paraId="6B2FF1E5"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IV. La resolución o resoluciones aprobadas; y</w:t>
      </w:r>
    </w:p>
    <w:p w14:paraId="295FD208"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V. La rúbrica o firma digital de cada integrante del Comité de Transparencia. </w:t>
      </w:r>
    </w:p>
    <w:p w14:paraId="5C094FDA"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Las resoluciones del Comité en las que se haya determinado confirmar o modificar la clasificación de información pública como reservada, deberán incluir, cuando menos:</w:t>
      </w:r>
    </w:p>
    <w:p w14:paraId="6C493AF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 Los motivos y razonamientos que sustenten la confirmación o modificación de la prueba de daño;</w:t>
      </w:r>
    </w:p>
    <w:p w14:paraId="50679DE6"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 Descripción de las partes o secciones reservadas, en caso de clasificación parcial;</w:t>
      </w:r>
    </w:p>
    <w:p w14:paraId="322152C1"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III. El periodo por el que mantendrá su clasificación y fecha de expiración; y</w:t>
      </w:r>
    </w:p>
    <w:p w14:paraId="4370738E"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IV. El nombre del titular y área encargada de realizar la versión pública del documento, en su caso.</w:t>
      </w:r>
    </w:p>
    <w:p w14:paraId="4C0DE65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C49F2E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BF7EE8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b/>
          <w:bCs/>
          <w:i/>
          <w:iCs/>
          <w:sz w:val="22"/>
          <w:szCs w:val="22"/>
        </w:rPr>
        <w:t>Quincuagésimo segundo</w:t>
      </w:r>
      <w:r w:rsidRPr="001070AF">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0186280E"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En el caso específico de la clasificación y elaboración de versiones públicas de documentos que contengan información confidencial, las áreas de los sujetos obligados deberán:</w:t>
      </w:r>
    </w:p>
    <w:p w14:paraId="12BB5C5B"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14:paraId="38D2DC89"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14:paraId="0C635212"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III. Señalar las personas o instancias autorizadas a acceder a la información clasificada.</w:t>
      </w:r>
    </w:p>
    <w:p w14:paraId="595033AF"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74DBB4C9"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bCs/>
          <w:i/>
          <w:iCs/>
          <w:sz w:val="22"/>
          <w:szCs w:val="22"/>
        </w:rPr>
        <w:t>…</w:t>
      </w:r>
    </w:p>
    <w:p w14:paraId="2BB378A9"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i/>
          <w:iCs/>
          <w:sz w:val="22"/>
          <w:szCs w:val="22"/>
        </w:rPr>
      </w:pPr>
      <w:r w:rsidRPr="001070AF">
        <w:rPr>
          <w:rFonts w:ascii="Palatino Linotype" w:eastAsia="Palatino Linotype" w:hAnsi="Palatino Linotype" w:cs="Palatino Linotype"/>
          <w:i/>
          <w:iCs/>
          <w:sz w:val="22"/>
          <w:szCs w:val="22"/>
        </w:rPr>
        <w:t>Quincuagésimo cuarto.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p>
    <w:p w14:paraId="1F28A5C4" w14:textId="77777777" w:rsidR="00F37215" w:rsidRPr="001070AF" w:rsidRDefault="00F37215" w:rsidP="00450366">
      <w:pPr>
        <w:pBdr>
          <w:top w:val="nil"/>
          <w:left w:val="nil"/>
          <w:bottom w:val="nil"/>
          <w:right w:val="nil"/>
          <w:between w:val="nil"/>
        </w:pBdr>
        <w:spacing w:line="276" w:lineRule="auto"/>
        <w:ind w:left="709" w:right="70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i/>
          <w:iCs/>
          <w:sz w:val="22"/>
          <w:szCs w:val="22"/>
        </w:rPr>
        <w:t xml:space="preserve">Quincuagésimo quinto.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w:t>
      </w:r>
    </w:p>
    <w:p w14:paraId="756C16C8" w14:textId="77777777" w:rsidR="00F37215" w:rsidRPr="001070AF" w:rsidRDefault="00F37215" w:rsidP="00450366">
      <w:pPr>
        <w:jc w:val="both"/>
        <w:rPr>
          <w:rFonts w:ascii="Palatino Linotype" w:eastAsia="Palatino Linotype" w:hAnsi="Palatino Linotype" w:cs="Palatino Linotype"/>
          <w:sz w:val="22"/>
          <w:szCs w:val="22"/>
        </w:rPr>
      </w:pPr>
    </w:p>
    <w:p w14:paraId="4EB2FAE7"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Efectivamente, cuando se clasifica información como confidencial es importante someterlo al Comité de Transparencia, quien debe confirmar, modificar o revocar la clasificación.</w:t>
      </w:r>
    </w:p>
    <w:p w14:paraId="435060AF"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p>
    <w:p w14:paraId="7D9A0192" w14:textId="77777777" w:rsidR="00F37215" w:rsidRPr="001070AF" w:rsidRDefault="00F37215" w:rsidP="00450366">
      <w:pPr>
        <w:shd w:val="clear" w:color="auto" w:fill="FFFFFF"/>
        <w:spacing w:line="360" w:lineRule="auto"/>
        <w:ind w:right="51"/>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1070AF">
        <w:rPr>
          <w:rFonts w:ascii="Palatino Linotype" w:eastAsia="Palatino Linotype" w:hAnsi="Palatino Linotype" w:cs="Palatino Linotype"/>
          <w:b/>
          <w:bCs/>
          <w:sz w:val="22"/>
          <w:szCs w:val="22"/>
        </w:rPr>
        <w:t>Recurrente</w:t>
      </w:r>
      <w:r w:rsidRPr="001070AF">
        <w:rPr>
          <w:rFonts w:ascii="Palatino Linotype" w:eastAsia="Palatino Linotype" w:hAnsi="Palatino Linotype" w:cs="Palatino Linotype"/>
          <w:sz w:val="22"/>
          <w:szCs w:val="22"/>
        </w:rPr>
        <w:t>.</w:t>
      </w:r>
    </w:p>
    <w:p w14:paraId="183B42BD" w14:textId="77777777" w:rsidR="00F37215" w:rsidRPr="001070AF" w:rsidRDefault="00F37215" w:rsidP="00450366">
      <w:pPr>
        <w:spacing w:line="360" w:lineRule="auto"/>
        <w:jc w:val="both"/>
        <w:rPr>
          <w:rFonts w:ascii="Palatino Linotype" w:eastAsia="Palatino Linotype" w:hAnsi="Palatino Linotype" w:cs="Palatino Linotype"/>
          <w:sz w:val="22"/>
          <w:szCs w:val="22"/>
        </w:rPr>
      </w:pPr>
    </w:p>
    <w:p w14:paraId="347C1A83" w14:textId="1505F0FB" w:rsidR="00F37215" w:rsidRPr="001070AF" w:rsidRDefault="00F3721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En mérito de lo expuesto en líneas anteriores resultan fundadas las razones o motivos de inconformidad que arguye la parte</w:t>
      </w:r>
      <w:r w:rsidRPr="001070AF">
        <w:rPr>
          <w:rFonts w:ascii="Palatino Linotype" w:eastAsia="Palatino Linotype" w:hAnsi="Palatino Linotype" w:cs="Palatino Linotype"/>
          <w:b/>
          <w:bCs/>
          <w:sz w:val="22"/>
          <w:szCs w:val="22"/>
        </w:rPr>
        <w:t xml:space="preserve"> Recurrente</w:t>
      </w:r>
      <w:r w:rsidRPr="001070AF">
        <w:rPr>
          <w:rFonts w:ascii="Palatino Linotype" w:eastAsia="Palatino Linotype" w:hAnsi="Palatino Linotype" w:cs="Palatino Linotype"/>
          <w:sz w:val="22"/>
          <w:szCs w:val="22"/>
        </w:rPr>
        <w:t xml:space="preserve">, por ello con fundamento en el artículo 124 fracción III de la Ley de Transparencia y Acceso a la Información Pública del Estado de México y Municipios, este Instituto </w:t>
      </w:r>
      <w:r w:rsidRPr="001070AF">
        <w:rPr>
          <w:rFonts w:ascii="Palatino Linotype" w:eastAsia="Palatino Linotype" w:hAnsi="Palatino Linotype" w:cs="Palatino Linotype"/>
          <w:b/>
          <w:bCs/>
          <w:sz w:val="22"/>
          <w:szCs w:val="22"/>
        </w:rPr>
        <w:t>Revoca</w:t>
      </w:r>
      <w:r w:rsidRPr="001070AF">
        <w:rPr>
          <w:rFonts w:ascii="Palatino Linotype" w:eastAsia="Palatino Linotype" w:hAnsi="Palatino Linotype" w:cs="Palatino Linotype"/>
          <w:sz w:val="22"/>
          <w:szCs w:val="22"/>
        </w:rPr>
        <w:t xml:space="preserve"> las respuestas a las solicitudes de información pública </w:t>
      </w:r>
      <w:r w:rsidRPr="001070AF">
        <w:rPr>
          <w:rFonts w:ascii="Palatino Linotype" w:eastAsia="Palatino Linotype" w:hAnsi="Palatino Linotype" w:cs="Palatino Linotype"/>
          <w:b/>
          <w:bCs/>
          <w:sz w:val="22"/>
          <w:szCs w:val="22"/>
        </w:rPr>
        <w:t xml:space="preserve">00692/ECATEPEC/IP/2025 </w:t>
      </w:r>
      <w:r w:rsidRPr="001070AF">
        <w:rPr>
          <w:rFonts w:ascii="Palatino Linotype" w:eastAsia="Palatino Linotype" w:hAnsi="Palatino Linotype" w:cs="Palatino Linotype"/>
          <w:bCs/>
          <w:sz w:val="22"/>
          <w:szCs w:val="22"/>
        </w:rPr>
        <w:t>y</w:t>
      </w:r>
      <w:r w:rsidRPr="001070AF">
        <w:rPr>
          <w:rFonts w:ascii="Palatino Linotype" w:eastAsia="Palatino Linotype" w:hAnsi="Palatino Linotype" w:cs="Palatino Linotype"/>
          <w:b/>
          <w:bCs/>
          <w:sz w:val="22"/>
          <w:szCs w:val="22"/>
        </w:rPr>
        <w:t xml:space="preserve"> 00693/ECATEPEC/IP/2025</w:t>
      </w:r>
      <w:r w:rsidRPr="001070AF">
        <w:rPr>
          <w:rFonts w:ascii="Palatino Linotype" w:eastAsia="Palatino Linotype" w:hAnsi="Palatino Linotype" w:cs="Palatino Linotype"/>
          <w:sz w:val="22"/>
          <w:szCs w:val="22"/>
        </w:rPr>
        <w:t>,</w:t>
      </w:r>
      <w:r w:rsidRPr="001070AF">
        <w:rPr>
          <w:rFonts w:ascii="Palatino Linotype" w:eastAsia="Palatino Linotype" w:hAnsi="Palatino Linotype" w:cs="Palatino Linotype"/>
          <w:b/>
          <w:bCs/>
          <w:sz w:val="22"/>
          <w:szCs w:val="22"/>
        </w:rPr>
        <w:t xml:space="preserve"> </w:t>
      </w:r>
      <w:r w:rsidRPr="001070AF">
        <w:rPr>
          <w:rFonts w:ascii="Palatino Linotype" w:eastAsia="Palatino Linotype" w:hAnsi="Palatino Linotype" w:cs="Palatino Linotype"/>
          <w:sz w:val="22"/>
          <w:szCs w:val="22"/>
        </w:rPr>
        <w:t>que han sido materia del presente fallo.</w:t>
      </w:r>
    </w:p>
    <w:p w14:paraId="6EE0A26B" w14:textId="77777777" w:rsidR="00166D7A" w:rsidRPr="001070AF" w:rsidRDefault="00166D7A" w:rsidP="00450366">
      <w:pPr>
        <w:shd w:val="clear" w:color="auto" w:fill="FFFFFF"/>
        <w:spacing w:line="360" w:lineRule="auto"/>
        <w:ind w:right="51"/>
        <w:jc w:val="both"/>
        <w:rPr>
          <w:rFonts w:ascii="Palatino Linotype" w:eastAsia="Palatino Linotype" w:hAnsi="Palatino Linotype" w:cs="Palatino Linotype"/>
          <w:sz w:val="22"/>
          <w:szCs w:val="22"/>
        </w:rPr>
      </w:pPr>
    </w:p>
    <w:p w14:paraId="39ACCB85" w14:textId="07149855"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Por lo anteriormente expuesto y con fundamento en lo prescrito en los artículos 5 párrafos </w:t>
      </w:r>
      <w:r w:rsidR="000142E3" w:rsidRPr="001070AF">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1070AF">
        <w:rPr>
          <w:rFonts w:ascii="Palatino Linotype" w:eastAsia="Palatino Linotype" w:hAnsi="Palatino Linotype" w:cs="Palatino Linotype"/>
          <w:sz w:val="22"/>
          <w:szCs w:val="22"/>
        </w:rPr>
        <w:t>; 2, fracción II; 29, 36 fracciones I y II; 176, 178, 181, 185 y 186 fracción III de la Ley de Transparencia y Acceso a la Información Pública del Estado de México y Municipios, este Pleno:</w:t>
      </w:r>
    </w:p>
    <w:p w14:paraId="3AC3C554" w14:textId="77777777" w:rsidR="00166D7A" w:rsidRPr="001070AF" w:rsidRDefault="00166D7A" w:rsidP="00450366">
      <w:pPr>
        <w:spacing w:line="360" w:lineRule="auto"/>
        <w:jc w:val="both"/>
        <w:rPr>
          <w:rFonts w:ascii="Palatino Linotype" w:eastAsia="Palatino Linotype" w:hAnsi="Palatino Linotype" w:cs="Palatino Linotype"/>
          <w:sz w:val="22"/>
          <w:szCs w:val="22"/>
        </w:rPr>
      </w:pPr>
    </w:p>
    <w:p w14:paraId="35088429" w14:textId="77777777" w:rsidR="00781AC8" w:rsidRPr="001070AF" w:rsidRDefault="001B2F05" w:rsidP="00450366">
      <w:pPr>
        <w:numPr>
          <w:ilvl w:val="0"/>
          <w:numId w:val="2"/>
        </w:numPr>
        <w:pBdr>
          <w:top w:val="nil"/>
          <w:left w:val="nil"/>
          <w:bottom w:val="nil"/>
          <w:right w:val="nil"/>
          <w:between w:val="nil"/>
        </w:pBdr>
        <w:spacing w:line="360" w:lineRule="auto"/>
        <w:ind w:left="567" w:hanging="141"/>
        <w:jc w:val="center"/>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R E S U E L V E:</w:t>
      </w:r>
    </w:p>
    <w:p w14:paraId="0375F512" w14:textId="77777777" w:rsidR="00166D7A" w:rsidRPr="001070AF" w:rsidRDefault="00166D7A" w:rsidP="00450366">
      <w:pPr>
        <w:spacing w:line="360" w:lineRule="auto"/>
        <w:jc w:val="both"/>
        <w:rPr>
          <w:rFonts w:ascii="Palatino Linotype" w:eastAsia="Palatino Linotype" w:hAnsi="Palatino Linotype" w:cs="Palatino Linotype"/>
          <w:b/>
          <w:sz w:val="22"/>
          <w:szCs w:val="22"/>
        </w:rPr>
      </w:pPr>
      <w:bookmarkStart w:id="4" w:name="_heading=h.3znysh7" w:colFirst="0" w:colLast="0"/>
      <w:bookmarkEnd w:id="4"/>
    </w:p>
    <w:p w14:paraId="192F2EAD" w14:textId="1D70B221" w:rsidR="00AA3AF5"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 xml:space="preserve">Primero. </w:t>
      </w:r>
      <w:r w:rsidR="00AA3AF5" w:rsidRPr="001070AF">
        <w:rPr>
          <w:rFonts w:ascii="Palatino Linotype" w:eastAsia="Palatino Linotype" w:hAnsi="Palatino Linotype" w:cs="Palatino Linotype"/>
          <w:sz w:val="22"/>
          <w:szCs w:val="22"/>
        </w:rPr>
        <w:t xml:space="preserve">Resultan </w:t>
      </w:r>
      <w:r w:rsidR="00AA3AF5" w:rsidRPr="001070AF">
        <w:rPr>
          <w:rFonts w:ascii="Palatino Linotype" w:eastAsia="Palatino Linotype" w:hAnsi="Palatino Linotype" w:cs="Palatino Linotype"/>
          <w:b/>
          <w:sz w:val="22"/>
          <w:szCs w:val="22"/>
        </w:rPr>
        <w:t>fundados</w:t>
      </w:r>
      <w:r w:rsidR="00AA3AF5" w:rsidRPr="001070AF">
        <w:rPr>
          <w:rFonts w:ascii="Palatino Linotype" w:eastAsia="Palatino Linotype" w:hAnsi="Palatino Linotype" w:cs="Palatino Linotype"/>
          <w:sz w:val="22"/>
          <w:szCs w:val="22"/>
        </w:rPr>
        <w:t xml:space="preserve"> los motivos de inconformidad hechos valer por la parte </w:t>
      </w:r>
      <w:r w:rsidR="00AA3AF5" w:rsidRPr="001070AF">
        <w:rPr>
          <w:rFonts w:ascii="Palatino Linotype" w:eastAsia="Palatino Linotype" w:hAnsi="Palatino Linotype" w:cs="Palatino Linotype"/>
          <w:b/>
          <w:sz w:val="22"/>
          <w:szCs w:val="22"/>
        </w:rPr>
        <w:t>Recurrente</w:t>
      </w:r>
      <w:r w:rsidR="00AA3AF5" w:rsidRPr="001070AF">
        <w:rPr>
          <w:rFonts w:ascii="Palatino Linotype" w:eastAsia="Palatino Linotype" w:hAnsi="Palatino Linotype" w:cs="Palatino Linotype"/>
          <w:sz w:val="22"/>
          <w:szCs w:val="22"/>
        </w:rPr>
        <w:t xml:space="preserve"> en </w:t>
      </w:r>
      <w:r w:rsidR="00AA3AF5" w:rsidRPr="001070AF">
        <w:rPr>
          <w:rFonts w:ascii="Palatino Linotype" w:eastAsia="Palatino Linotype" w:hAnsi="Palatino Linotype" w:cs="Palatino Linotype"/>
          <w:sz w:val="22"/>
          <w:szCs w:val="22"/>
          <w:lang w:val="es-MX"/>
        </w:rPr>
        <w:t xml:space="preserve">los Recursos de Revisión </w:t>
      </w:r>
      <w:r w:rsidR="0025343E" w:rsidRPr="001070AF">
        <w:rPr>
          <w:rFonts w:ascii="Palatino Linotype" w:eastAsia="Palatino Linotype" w:hAnsi="Palatino Linotype" w:cs="Palatino Linotype"/>
          <w:b/>
          <w:sz w:val="22"/>
          <w:szCs w:val="22"/>
          <w:lang w:val="es-MX"/>
        </w:rPr>
        <w:t>10799/INFOEM/IP/RR/2025 y 10800</w:t>
      </w:r>
      <w:r w:rsidR="00AA3AF5" w:rsidRPr="001070AF">
        <w:rPr>
          <w:rFonts w:ascii="Palatino Linotype" w:eastAsia="Palatino Linotype" w:hAnsi="Palatino Linotype" w:cs="Palatino Linotype"/>
          <w:b/>
          <w:sz w:val="22"/>
          <w:szCs w:val="22"/>
          <w:lang w:val="es-MX"/>
        </w:rPr>
        <w:t>/INFOEM/IP/RR/2025</w:t>
      </w:r>
      <w:r w:rsidR="00AA3AF5" w:rsidRPr="001070AF">
        <w:rPr>
          <w:rFonts w:ascii="Palatino Linotype" w:eastAsia="Palatino Linotype" w:hAnsi="Palatino Linotype" w:cs="Palatino Linotype"/>
          <w:sz w:val="22"/>
          <w:szCs w:val="22"/>
        </w:rPr>
        <w:t xml:space="preserve">, por lo que, en términos del </w:t>
      </w:r>
      <w:r w:rsidR="00AA3AF5" w:rsidRPr="001070AF">
        <w:rPr>
          <w:rFonts w:ascii="Palatino Linotype" w:eastAsia="Palatino Linotype" w:hAnsi="Palatino Linotype" w:cs="Palatino Linotype"/>
          <w:b/>
          <w:sz w:val="22"/>
          <w:szCs w:val="22"/>
        </w:rPr>
        <w:t xml:space="preserve">Considerando Cuarto </w:t>
      </w:r>
      <w:r w:rsidR="00AA3AF5" w:rsidRPr="001070AF">
        <w:rPr>
          <w:rFonts w:ascii="Palatino Linotype" w:eastAsia="Palatino Linotype" w:hAnsi="Palatino Linotype" w:cs="Palatino Linotype"/>
          <w:sz w:val="22"/>
          <w:szCs w:val="22"/>
        </w:rPr>
        <w:t xml:space="preserve">de esta resolución, se </w:t>
      </w:r>
      <w:r w:rsidR="007041C1" w:rsidRPr="001070AF">
        <w:rPr>
          <w:rFonts w:ascii="Palatino Linotype" w:eastAsia="Palatino Linotype" w:hAnsi="Palatino Linotype" w:cs="Palatino Linotype"/>
          <w:b/>
          <w:sz w:val="22"/>
          <w:szCs w:val="22"/>
        </w:rPr>
        <w:t>Revo</w:t>
      </w:r>
      <w:r w:rsidR="00AA3AF5" w:rsidRPr="001070AF">
        <w:rPr>
          <w:rFonts w:ascii="Palatino Linotype" w:eastAsia="Palatino Linotype" w:hAnsi="Palatino Linotype" w:cs="Palatino Linotype"/>
          <w:b/>
          <w:sz w:val="22"/>
          <w:szCs w:val="22"/>
        </w:rPr>
        <w:t>ca</w:t>
      </w:r>
      <w:r w:rsidR="00062530" w:rsidRPr="001070AF">
        <w:rPr>
          <w:rFonts w:ascii="Palatino Linotype" w:eastAsia="Palatino Linotype" w:hAnsi="Palatino Linotype" w:cs="Palatino Linotype"/>
          <w:b/>
          <w:sz w:val="22"/>
          <w:szCs w:val="22"/>
        </w:rPr>
        <w:t>n</w:t>
      </w:r>
      <w:r w:rsidR="00AA3AF5" w:rsidRPr="001070AF">
        <w:rPr>
          <w:rFonts w:ascii="Palatino Linotype" w:eastAsia="Palatino Linotype" w:hAnsi="Palatino Linotype" w:cs="Palatino Linotype"/>
          <w:b/>
          <w:sz w:val="22"/>
          <w:szCs w:val="22"/>
        </w:rPr>
        <w:t xml:space="preserve"> </w:t>
      </w:r>
      <w:r w:rsidR="00AA3AF5" w:rsidRPr="001070AF">
        <w:rPr>
          <w:rFonts w:ascii="Palatino Linotype" w:eastAsia="Palatino Linotype" w:hAnsi="Palatino Linotype" w:cs="Palatino Linotype"/>
          <w:sz w:val="22"/>
          <w:szCs w:val="22"/>
        </w:rPr>
        <w:t>la</w:t>
      </w:r>
      <w:r w:rsidR="00062530" w:rsidRPr="001070AF">
        <w:rPr>
          <w:rFonts w:ascii="Palatino Linotype" w:eastAsia="Palatino Linotype" w:hAnsi="Palatino Linotype" w:cs="Palatino Linotype"/>
          <w:sz w:val="22"/>
          <w:szCs w:val="22"/>
        </w:rPr>
        <w:t>s</w:t>
      </w:r>
      <w:r w:rsidR="00AA3AF5" w:rsidRPr="001070AF">
        <w:rPr>
          <w:rFonts w:ascii="Palatino Linotype" w:eastAsia="Palatino Linotype" w:hAnsi="Palatino Linotype" w:cs="Palatino Linotype"/>
          <w:sz w:val="22"/>
          <w:szCs w:val="22"/>
        </w:rPr>
        <w:t xml:space="preserve"> respuesta</w:t>
      </w:r>
      <w:r w:rsidR="00062530" w:rsidRPr="001070AF">
        <w:rPr>
          <w:rFonts w:ascii="Palatino Linotype" w:eastAsia="Palatino Linotype" w:hAnsi="Palatino Linotype" w:cs="Palatino Linotype"/>
          <w:sz w:val="22"/>
          <w:szCs w:val="22"/>
        </w:rPr>
        <w:t>s</w:t>
      </w:r>
      <w:r w:rsidR="00AA3AF5" w:rsidRPr="001070AF">
        <w:rPr>
          <w:rFonts w:ascii="Palatino Linotype" w:eastAsia="Palatino Linotype" w:hAnsi="Palatino Linotype" w:cs="Palatino Linotype"/>
          <w:sz w:val="22"/>
          <w:szCs w:val="22"/>
        </w:rPr>
        <w:t xml:space="preserve"> emitida</w:t>
      </w:r>
      <w:r w:rsidR="00062530" w:rsidRPr="001070AF">
        <w:rPr>
          <w:rFonts w:ascii="Palatino Linotype" w:eastAsia="Palatino Linotype" w:hAnsi="Palatino Linotype" w:cs="Palatino Linotype"/>
          <w:sz w:val="22"/>
          <w:szCs w:val="22"/>
        </w:rPr>
        <w:t>s</w:t>
      </w:r>
      <w:r w:rsidR="00AA3AF5" w:rsidRPr="001070AF">
        <w:rPr>
          <w:rFonts w:ascii="Palatino Linotype" w:eastAsia="Palatino Linotype" w:hAnsi="Palatino Linotype" w:cs="Palatino Linotype"/>
          <w:sz w:val="22"/>
          <w:szCs w:val="22"/>
        </w:rPr>
        <w:t xml:space="preserve"> por el </w:t>
      </w:r>
      <w:r w:rsidR="00AA3AF5" w:rsidRPr="001070AF">
        <w:rPr>
          <w:rFonts w:ascii="Palatino Linotype" w:eastAsia="Palatino Linotype" w:hAnsi="Palatino Linotype" w:cs="Palatino Linotype"/>
          <w:b/>
          <w:sz w:val="22"/>
          <w:szCs w:val="22"/>
        </w:rPr>
        <w:t>Sujeto Obligado</w:t>
      </w:r>
      <w:r w:rsidR="00AA3AF5" w:rsidRPr="001070AF">
        <w:rPr>
          <w:rFonts w:ascii="Palatino Linotype" w:eastAsia="Palatino Linotype" w:hAnsi="Palatino Linotype" w:cs="Palatino Linotype"/>
          <w:sz w:val="22"/>
          <w:szCs w:val="22"/>
        </w:rPr>
        <w:t>.</w:t>
      </w:r>
    </w:p>
    <w:p w14:paraId="5F4766F0" w14:textId="77777777" w:rsidR="00166D7A" w:rsidRPr="001070AF" w:rsidRDefault="00166D7A" w:rsidP="00450366">
      <w:pPr>
        <w:spacing w:line="360" w:lineRule="auto"/>
        <w:jc w:val="both"/>
        <w:rPr>
          <w:rFonts w:ascii="Palatino Linotype" w:eastAsia="Palatino Linotype" w:hAnsi="Palatino Linotype" w:cs="Palatino Linotype"/>
          <w:sz w:val="22"/>
          <w:szCs w:val="22"/>
        </w:rPr>
      </w:pPr>
    </w:p>
    <w:p w14:paraId="222A407E" w14:textId="2AF324C4" w:rsidR="00AA3AF5" w:rsidRPr="001070AF" w:rsidRDefault="00AA3AF5" w:rsidP="00450366">
      <w:pP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Segundo</w:t>
      </w:r>
      <w:r w:rsidRPr="001070AF">
        <w:rPr>
          <w:rFonts w:ascii="Palatino Linotype" w:eastAsia="Palatino Linotype" w:hAnsi="Palatino Linotype" w:cs="Palatino Linotype"/>
          <w:sz w:val="22"/>
          <w:szCs w:val="22"/>
        </w:rPr>
        <w:t xml:space="preserve">. Se </w:t>
      </w:r>
      <w:r w:rsidRPr="001070AF">
        <w:rPr>
          <w:rFonts w:ascii="Palatino Linotype" w:eastAsia="Palatino Linotype" w:hAnsi="Palatino Linotype" w:cs="Palatino Linotype"/>
          <w:b/>
          <w:sz w:val="22"/>
          <w:szCs w:val="22"/>
        </w:rPr>
        <w:t>ordena</w:t>
      </w:r>
      <w:r w:rsidRPr="001070AF">
        <w:rPr>
          <w:rFonts w:ascii="Palatino Linotype" w:eastAsia="Palatino Linotype" w:hAnsi="Palatino Linotype" w:cs="Palatino Linotype"/>
          <w:sz w:val="22"/>
          <w:szCs w:val="22"/>
        </w:rPr>
        <w:t xml:space="preserve"> al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que, en términos del </w:t>
      </w:r>
      <w:r w:rsidRPr="001070AF">
        <w:rPr>
          <w:rFonts w:ascii="Palatino Linotype" w:eastAsia="Palatino Linotype" w:hAnsi="Palatino Linotype" w:cs="Palatino Linotype"/>
          <w:b/>
          <w:sz w:val="22"/>
          <w:szCs w:val="22"/>
        </w:rPr>
        <w:t>Considerando Cuarto y Quinto</w:t>
      </w:r>
      <w:r w:rsidRPr="001070AF">
        <w:rPr>
          <w:rFonts w:ascii="Palatino Linotype" w:eastAsia="Palatino Linotype" w:hAnsi="Palatino Linotype" w:cs="Palatino Linotype"/>
          <w:sz w:val="22"/>
          <w:szCs w:val="22"/>
        </w:rPr>
        <w:t xml:space="preserve">, haga entrega vía Sistema de Acceso a la Información Mexiquense, </w:t>
      </w:r>
      <w:r w:rsidR="00062530" w:rsidRPr="001070AF">
        <w:rPr>
          <w:rFonts w:ascii="Palatino Linotype" w:eastAsia="Palatino Linotype" w:hAnsi="Palatino Linotype" w:cs="Palatino Linotype"/>
          <w:sz w:val="22"/>
          <w:szCs w:val="22"/>
        </w:rPr>
        <w:t xml:space="preserve">de ser procedente en versión pública, </w:t>
      </w:r>
      <w:r w:rsidR="003C4EA6" w:rsidRPr="001070AF">
        <w:rPr>
          <w:rFonts w:ascii="Palatino Linotype" w:eastAsia="Palatino Linotype" w:hAnsi="Palatino Linotype" w:cs="Palatino Linotype"/>
          <w:sz w:val="22"/>
          <w:szCs w:val="22"/>
        </w:rPr>
        <w:t>de</w:t>
      </w:r>
      <w:r w:rsidRPr="001070AF">
        <w:rPr>
          <w:rFonts w:ascii="Palatino Linotype" w:eastAsia="Palatino Linotype" w:hAnsi="Palatino Linotype" w:cs="Palatino Linotype"/>
          <w:sz w:val="22"/>
          <w:szCs w:val="22"/>
        </w:rPr>
        <w:t xml:space="preserve"> lo siguiente: </w:t>
      </w:r>
    </w:p>
    <w:p w14:paraId="49F8DCF7" w14:textId="77777777" w:rsidR="00AA3AF5" w:rsidRPr="001070AF" w:rsidRDefault="00AA3AF5" w:rsidP="00450366">
      <w:pPr>
        <w:spacing w:line="360" w:lineRule="auto"/>
        <w:ind w:right="49"/>
        <w:jc w:val="both"/>
        <w:rPr>
          <w:rFonts w:ascii="Palatino Linotype" w:eastAsia="Palatino Linotype" w:hAnsi="Palatino Linotype" w:cs="Palatino Linotype"/>
          <w:sz w:val="22"/>
          <w:szCs w:val="22"/>
        </w:rPr>
      </w:pPr>
    </w:p>
    <w:p w14:paraId="60E8AA56" w14:textId="6F13BCB2" w:rsidR="0060298A" w:rsidRPr="001070AF" w:rsidRDefault="0025343E" w:rsidP="00450366">
      <w:pPr>
        <w:pStyle w:val="Prrafodelista"/>
        <w:numPr>
          <w:ilvl w:val="0"/>
          <w:numId w:val="15"/>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b/>
          <w:i/>
          <w:sz w:val="22"/>
          <w:szCs w:val="22"/>
        </w:rPr>
      </w:pPr>
      <w:r w:rsidRPr="001070AF">
        <w:rPr>
          <w:rFonts w:ascii="Palatino Linotype" w:eastAsia="Palatino Linotype" w:hAnsi="Palatino Linotype" w:cs="Palatino Linotype"/>
          <w:b/>
          <w:i/>
          <w:sz w:val="22"/>
          <w:szCs w:val="22"/>
        </w:rPr>
        <w:t xml:space="preserve">Facturas pagadas por </w:t>
      </w:r>
      <w:r w:rsidR="00450366" w:rsidRPr="001070AF">
        <w:rPr>
          <w:rFonts w:ascii="Palatino Linotype" w:eastAsia="Palatino Linotype" w:hAnsi="Palatino Linotype" w:cs="Palatino Linotype"/>
          <w:b/>
          <w:i/>
          <w:sz w:val="22"/>
          <w:szCs w:val="22"/>
        </w:rPr>
        <w:t xml:space="preserve">Tesorería Municipal </w:t>
      </w:r>
      <w:r w:rsidRPr="001070AF">
        <w:rPr>
          <w:rFonts w:ascii="Palatino Linotype" w:eastAsia="Palatino Linotype" w:hAnsi="Palatino Linotype" w:cs="Palatino Linotype"/>
          <w:b/>
          <w:i/>
          <w:sz w:val="22"/>
          <w:szCs w:val="22"/>
        </w:rPr>
        <w:t>mediante cheque o transferencia electrónica interbancaria del primero de junio al treinta y uno de julio de dos mil veinticinco.</w:t>
      </w:r>
    </w:p>
    <w:p w14:paraId="6601D9EC" w14:textId="77777777" w:rsidR="003C4EA6" w:rsidRPr="001070AF" w:rsidRDefault="003C4EA6"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p>
    <w:p w14:paraId="0F3C3655" w14:textId="5C9BED65" w:rsidR="003C4EA6" w:rsidRPr="001070AF" w:rsidRDefault="003C4EA6"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1070AF">
        <w:rPr>
          <w:rFonts w:ascii="Palatino Linotype" w:eastAsia="Palatino Linotype" w:hAnsi="Palatino Linotype" w:cs="Palatino Linotype"/>
          <w:i/>
          <w:sz w:val="22"/>
          <w:szCs w:val="22"/>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de los documentos remitidos que se ponga a disposición de la parte Recurrente.</w:t>
      </w:r>
    </w:p>
    <w:p w14:paraId="13FD0418" w14:textId="77777777" w:rsidR="003C4EA6" w:rsidRPr="001070AF" w:rsidRDefault="003C4EA6" w:rsidP="0045036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61FD2B67" w14:textId="77777777" w:rsidR="00AA3AF5" w:rsidRPr="001070AF" w:rsidRDefault="00AA3AF5" w:rsidP="00450366">
      <w:pPr>
        <w:pBdr>
          <w:top w:val="nil"/>
          <w:left w:val="nil"/>
          <w:bottom w:val="nil"/>
          <w:right w:val="nil"/>
          <w:between w:val="nil"/>
        </w:pBdr>
        <w:spacing w:line="276" w:lineRule="auto"/>
        <w:ind w:right="616"/>
        <w:jc w:val="both"/>
        <w:rPr>
          <w:rFonts w:ascii="Palatino Linotype" w:eastAsia="Palatino Linotype" w:hAnsi="Palatino Linotype" w:cs="Palatino Linotype"/>
          <w:i/>
          <w:sz w:val="22"/>
          <w:szCs w:val="22"/>
        </w:rPr>
      </w:pPr>
    </w:p>
    <w:p w14:paraId="4876FEBC" w14:textId="77777777" w:rsidR="00AA3AF5" w:rsidRPr="001070AF" w:rsidRDefault="00AA3AF5" w:rsidP="00450366">
      <w:pPr>
        <w:spacing w:line="360" w:lineRule="auto"/>
        <w:ind w:right="49"/>
        <w:jc w:val="both"/>
        <w:rPr>
          <w:rFonts w:ascii="Palatino Linotype" w:eastAsia="Palatino Linotype" w:hAnsi="Palatino Linotype" w:cs="Palatino Linotype"/>
          <w:b/>
          <w:sz w:val="22"/>
          <w:szCs w:val="22"/>
        </w:rPr>
      </w:pPr>
      <w:r w:rsidRPr="001070AF">
        <w:rPr>
          <w:rFonts w:ascii="Palatino Linotype" w:eastAsia="Palatino Linotype" w:hAnsi="Palatino Linotype" w:cs="Palatino Linotype"/>
          <w:b/>
          <w:sz w:val="22"/>
          <w:szCs w:val="22"/>
        </w:rPr>
        <w:t>Tercero.</w:t>
      </w: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
          <w:sz w:val="22"/>
          <w:szCs w:val="22"/>
        </w:rPr>
        <w:t xml:space="preserve">Notifíquese </w:t>
      </w:r>
      <w:r w:rsidRPr="001070AF">
        <w:rPr>
          <w:rFonts w:ascii="Palatino Linotype" w:eastAsia="Palatino Linotype" w:hAnsi="Palatino Linotype" w:cs="Palatino Linotype"/>
          <w:sz w:val="22"/>
          <w:szCs w:val="22"/>
        </w:rPr>
        <w:t xml:space="preserve">la presente resolución </w:t>
      </w:r>
      <w:r w:rsidRPr="001070AF">
        <w:rPr>
          <w:rFonts w:ascii="Palatino Linotype" w:eastAsia="Palatino Linotype" w:hAnsi="Palatino Linotype" w:cs="Palatino Linotype"/>
          <w:b/>
          <w:sz w:val="22"/>
          <w:szCs w:val="22"/>
        </w:rPr>
        <w:t xml:space="preserve">vía SAIMEX </w:t>
      </w:r>
      <w:r w:rsidRPr="001070AF">
        <w:rPr>
          <w:rFonts w:ascii="Palatino Linotype" w:eastAsia="Palatino Linotype" w:hAnsi="Palatino Linotype" w:cs="Palatino Linotype"/>
          <w:sz w:val="22"/>
          <w:szCs w:val="22"/>
        </w:rPr>
        <w:t>al T</w:t>
      </w:r>
      <w:r w:rsidRPr="001070AF">
        <w:rPr>
          <w:rFonts w:ascii="Palatino Linotype" w:eastAsia="Palatino Linotype" w:hAnsi="Palatino Linotype" w:cs="Palatino Linotype"/>
          <w:b/>
          <w:sz w:val="22"/>
          <w:szCs w:val="22"/>
        </w:rPr>
        <w:t xml:space="preserve">itular de la Unidad de Transparencia </w:t>
      </w:r>
      <w:r w:rsidRPr="001070AF">
        <w:rPr>
          <w:rFonts w:ascii="Palatino Linotype" w:eastAsia="Palatino Linotype" w:hAnsi="Palatino Linotype" w:cs="Palatino Linotype"/>
          <w:sz w:val="22"/>
          <w:szCs w:val="22"/>
        </w:rPr>
        <w:t xml:space="preserve">del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81756DA" w14:textId="77777777" w:rsidR="00AA3AF5" w:rsidRPr="001070AF" w:rsidRDefault="00AA3AF5" w:rsidP="00450366">
      <w:pPr>
        <w:spacing w:line="360" w:lineRule="auto"/>
        <w:ind w:right="49"/>
        <w:jc w:val="both"/>
        <w:rPr>
          <w:rFonts w:ascii="Palatino Linotype" w:eastAsia="Palatino Linotype" w:hAnsi="Palatino Linotype" w:cs="Palatino Linotype"/>
          <w:sz w:val="22"/>
          <w:szCs w:val="22"/>
        </w:rPr>
      </w:pPr>
    </w:p>
    <w:p w14:paraId="526BB9E4" w14:textId="77777777" w:rsidR="00AA3AF5" w:rsidRPr="001070AF" w:rsidRDefault="00AA3AF5" w:rsidP="00450366">
      <w:pP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Cuarto.</w:t>
      </w:r>
      <w:r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b/>
          <w:sz w:val="22"/>
          <w:szCs w:val="22"/>
        </w:rPr>
        <w:t xml:space="preserve">Notifíquese vía SAIMEX </w:t>
      </w:r>
      <w:r w:rsidRPr="001070AF">
        <w:rPr>
          <w:rFonts w:ascii="Palatino Linotype" w:eastAsia="Palatino Linotype" w:hAnsi="Palatino Linotype" w:cs="Palatino Linotype"/>
          <w:sz w:val="22"/>
          <w:szCs w:val="22"/>
        </w:rPr>
        <w:t xml:space="preserve">a la parte </w:t>
      </w:r>
      <w:r w:rsidRPr="001070AF">
        <w:rPr>
          <w:rFonts w:ascii="Palatino Linotype" w:eastAsia="Palatino Linotype" w:hAnsi="Palatino Linotype" w:cs="Palatino Linotype"/>
          <w:b/>
          <w:sz w:val="22"/>
          <w:szCs w:val="22"/>
        </w:rPr>
        <w:t xml:space="preserve">Recurrente </w:t>
      </w:r>
      <w:r w:rsidRPr="001070AF">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México y Municipios, podrá impugnar la presente resolución vía Juicio de Amparo en los términos de las leyes aplicables. </w:t>
      </w:r>
    </w:p>
    <w:p w14:paraId="09C751B9" w14:textId="77777777" w:rsidR="00AA3AF5" w:rsidRPr="001070AF" w:rsidRDefault="00AA3AF5" w:rsidP="00450366">
      <w:pPr>
        <w:spacing w:line="360" w:lineRule="auto"/>
        <w:ind w:right="49"/>
        <w:jc w:val="both"/>
        <w:rPr>
          <w:rFonts w:ascii="Palatino Linotype" w:eastAsia="Palatino Linotype" w:hAnsi="Palatino Linotype" w:cs="Palatino Linotype"/>
          <w:sz w:val="22"/>
          <w:szCs w:val="22"/>
        </w:rPr>
      </w:pPr>
    </w:p>
    <w:p w14:paraId="3D49627B" w14:textId="4353F029" w:rsidR="003C4EA6" w:rsidRPr="001070AF" w:rsidRDefault="00AA3AF5" w:rsidP="00450366">
      <w:pPr>
        <w:spacing w:line="360" w:lineRule="auto"/>
        <w:ind w:right="49"/>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b/>
          <w:sz w:val="22"/>
          <w:szCs w:val="22"/>
        </w:rPr>
        <w:t>Quinto.</w:t>
      </w:r>
      <w:r w:rsidRPr="001070AF">
        <w:rPr>
          <w:rFonts w:ascii="Palatino Linotype" w:eastAsia="Palatino Linotype" w:hAnsi="Palatino Linotype" w:cs="Palatino Linotype"/>
          <w:sz w:val="22"/>
          <w:szCs w:val="22"/>
        </w:rPr>
        <w:t xml:space="preserve"> De conformidad con el artículo 198 de la Ley de Transparencia y Acceso a la Información Pública del Estado de México y Municipios, de considerarlo procedente, el </w:t>
      </w:r>
      <w:r w:rsidRPr="001070AF">
        <w:rPr>
          <w:rFonts w:ascii="Palatino Linotype" w:eastAsia="Palatino Linotype" w:hAnsi="Palatino Linotype" w:cs="Palatino Linotype"/>
          <w:b/>
          <w:sz w:val="22"/>
          <w:szCs w:val="22"/>
        </w:rPr>
        <w:t>Sujeto Obligado</w:t>
      </w:r>
      <w:r w:rsidRPr="001070AF">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7A721889" w14:textId="77777777" w:rsidR="0060298A" w:rsidRPr="001070AF" w:rsidRDefault="0060298A" w:rsidP="00450366">
      <w:pPr>
        <w:spacing w:line="360" w:lineRule="auto"/>
        <w:ind w:right="49"/>
        <w:jc w:val="both"/>
        <w:rPr>
          <w:rFonts w:ascii="Palatino Linotype" w:eastAsia="Palatino Linotype" w:hAnsi="Palatino Linotype" w:cs="Palatino Linotype"/>
          <w:sz w:val="22"/>
          <w:szCs w:val="22"/>
        </w:rPr>
      </w:pPr>
    </w:p>
    <w:p w14:paraId="0C2E8A16" w14:textId="1B23DA51" w:rsidR="00781AC8" w:rsidRPr="001070AF" w:rsidRDefault="001B2F05" w:rsidP="00450366">
      <w:pPr>
        <w:spacing w:line="360" w:lineRule="auto"/>
        <w:jc w:val="both"/>
        <w:rPr>
          <w:rFonts w:ascii="Palatino Linotype" w:eastAsia="Palatino Linotype" w:hAnsi="Palatino Linotype" w:cs="Palatino Linotype"/>
          <w:sz w:val="22"/>
          <w:szCs w:val="22"/>
        </w:rPr>
      </w:pPr>
      <w:r w:rsidRPr="001070AF">
        <w:rPr>
          <w:rFonts w:ascii="Palatino Linotype" w:eastAsia="Palatino Linotype" w:hAnsi="Palatino Linotype" w:cs="Palatino Linotype"/>
          <w:sz w:val="22"/>
          <w:szCs w:val="22"/>
        </w:rPr>
        <w:t xml:space="preserve">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041C1" w:rsidRPr="001070AF">
        <w:rPr>
          <w:rFonts w:ascii="Palatino Linotype" w:eastAsia="Palatino Linotype" w:hAnsi="Palatino Linotype" w:cs="Palatino Linotype"/>
          <w:sz w:val="22"/>
          <w:szCs w:val="22"/>
        </w:rPr>
        <w:t>OCTAVA</w:t>
      </w:r>
      <w:r w:rsidR="003C4EA6" w:rsidRPr="001070AF">
        <w:rPr>
          <w:rFonts w:ascii="Palatino Linotype" w:eastAsia="Palatino Linotype" w:hAnsi="Palatino Linotype" w:cs="Palatino Linotype"/>
          <w:sz w:val="22"/>
          <w:szCs w:val="22"/>
        </w:rPr>
        <w:t xml:space="preserve"> </w:t>
      </w:r>
      <w:r w:rsidRPr="001070AF">
        <w:rPr>
          <w:rFonts w:ascii="Palatino Linotype" w:eastAsia="Palatino Linotype" w:hAnsi="Palatino Linotype" w:cs="Palatino Linotype"/>
          <w:sz w:val="22"/>
          <w:szCs w:val="22"/>
        </w:rPr>
        <w:t>SESIÓN ORDINARIA CELEBRADA EL</w:t>
      </w:r>
      <w:r w:rsidR="00EF5612" w:rsidRPr="001070AF">
        <w:rPr>
          <w:rFonts w:ascii="Palatino Linotype" w:eastAsia="Palatino Linotype" w:hAnsi="Palatino Linotype" w:cs="Palatino Linotype"/>
          <w:sz w:val="22"/>
          <w:szCs w:val="22"/>
        </w:rPr>
        <w:t xml:space="preserve"> </w:t>
      </w:r>
      <w:r w:rsidR="007041C1" w:rsidRPr="001070AF">
        <w:rPr>
          <w:rFonts w:ascii="Palatino Linotype" w:eastAsia="Palatino Linotype" w:hAnsi="Palatino Linotype" w:cs="Palatino Linotype"/>
          <w:sz w:val="22"/>
          <w:szCs w:val="22"/>
        </w:rPr>
        <w:t>CINCO DE MARZO</w:t>
      </w:r>
      <w:r w:rsidR="003C4EA6" w:rsidRPr="001070AF">
        <w:rPr>
          <w:rFonts w:ascii="Palatino Linotype" w:eastAsia="Palatino Linotype" w:hAnsi="Palatino Linotype" w:cs="Palatino Linotype"/>
          <w:sz w:val="22"/>
          <w:szCs w:val="22"/>
        </w:rPr>
        <w:t xml:space="preserve"> DE DOS MIL VEINTISÉIS</w:t>
      </w:r>
      <w:r w:rsidRPr="001070AF">
        <w:rPr>
          <w:rFonts w:ascii="Palatino Linotype" w:eastAsia="Palatino Linotype" w:hAnsi="Palatino Linotype" w:cs="Palatino Linotype"/>
          <w:sz w:val="22"/>
          <w:szCs w:val="22"/>
        </w:rPr>
        <w:t>, ANTE EL SECRETARIO TÉCNICO DEL PLENO ALEXIS TAPIA RAMÍREZ.</w:t>
      </w:r>
    </w:p>
    <w:p w14:paraId="70741A33" w14:textId="4FAFE4CD" w:rsidR="00781AC8" w:rsidRPr="001070AF" w:rsidRDefault="00781AC8" w:rsidP="00450366">
      <w:pPr>
        <w:spacing w:line="360" w:lineRule="auto"/>
        <w:jc w:val="both"/>
        <w:rPr>
          <w:rFonts w:ascii="Palatino Linotype" w:eastAsia="Palatino Linotype" w:hAnsi="Palatino Linotype" w:cs="Palatino Linotype"/>
          <w:sz w:val="22"/>
          <w:szCs w:val="22"/>
        </w:rPr>
      </w:pPr>
      <w:bookmarkStart w:id="5" w:name="_heading=h.2et92p0" w:colFirst="0" w:colLast="0"/>
      <w:bookmarkEnd w:id="5"/>
    </w:p>
    <w:p w14:paraId="311E0250"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674B88F5"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57D20D4C"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305504D6"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48A7529E"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56195F2C"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26650AC7"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0D5B4E6F"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02DCBF83"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69ABA721"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79379313"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64123AEF"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2A6BC68E"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p w14:paraId="03AD065D" w14:textId="77777777" w:rsidR="00781AC8" w:rsidRPr="001070AF" w:rsidRDefault="00781AC8" w:rsidP="00450366">
      <w:pPr>
        <w:spacing w:line="360" w:lineRule="auto"/>
        <w:jc w:val="both"/>
        <w:rPr>
          <w:rFonts w:ascii="Palatino Linotype" w:eastAsia="Palatino Linotype" w:hAnsi="Palatino Linotype" w:cs="Palatino Linotype"/>
          <w:sz w:val="22"/>
          <w:szCs w:val="22"/>
        </w:rPr>
      </w:pPr>
    </w:p>
    <w:sectPr w:rsidR="00781AC8" w:rsidRPr="001070AF">
      <w:headerReference w:type="default" r:id="rId12"/>
      <w:footerReference w:type="default" r:id="rId13"/>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DBAA5" w14:textId="77777777" w:rsidR="001A2679" w:rsidRDefault="001A2679">
      <w:r>
        <w:separator/>
      </w:r>
    </w:p>
  </w:endnote>
  <w:endnote w:type="continuationSeparator" w:id="0">
    <w:p w14:paraId="647D65BF" w14:textId="77777777" w:rsidR="001A2679" w:rsidRDefault="001A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Myriad Pro">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AFAE" w14:textId="5F2812B7" w:rsidR="00C13F26" w:rsidRDefault="00C13F2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14FC7">
      <w:rPr>
        <w:rFonts w:ascii="Palatino Linotype" w:eastAsia="Palatino Linotype" w:hAnsi="Palatino Linotype" w:cs="Palatino Linotype"/>
        <w:b/>
        <w:noProof/>
        <w:color w:val="000000"/>
        <w:sz w:val="20"/>
        <w:szCs w:val="20"/>
      </w:rPr>
      <w:t>29</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14FC7">
      <w:rPr>
        <w:rFonts w:ascii="Palatino Linotype" w:eastAsia="Palatino Linotype" w:hAnsi="Palatino Linotype" w:cs="Palatino Linotype"/>
        <w:b/>
        <w:noProof/>
        <w:color w:val="000000"/>
        <w:sz w:val="20"/>
        <w:szCs w:val="20"/>
      </w:rPr>
      <w:t>59</w:t>
    </w:r>
    <w:r>
      <w:rPr>
        <w:rFonts w:ascii="Palatino Linotype" w:eastAsia="Palatino Linotype" w:hAnsi="Palatino Linotype" w:cs="Palatino Linotype"/>
        <w:b/>
        <w:color w:val="000000"/>
        <w:sz w:val="20"/>
        <w:szCs w:val="20"/>
      </w:rPr>
      <w:fldChar w:fldCharType="end"/>
    </w:r>
  </w:p>
  <w:p w14:paraId="4E1D951B" w14:textId="77777777" w:rsidR="00C13F26" w:rsidRDefault="00C13F26">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10CD0" w14:textId="5CD6F548" w:rsidR="00C13F26" w:rsidRDefault="00C13F2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14FC7">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14FC7">
      <w:rPr>
        <w:rFonts w:ascii="Palatino Linotype" w:eastAsia="Palatino Linotype" w:hAnsi="Palatino Linotype" w:cs="Palatino Linotype"/>
        <w:b/>
        <w:noProof/>
        <w:color w:val="000000"/>
        <w:sz w:val="20"/>
        <w:szCs w:val="20"/>
      </w:rPr>
      <w:t>59</w:t>
    </w:r>
    <w:r>
      <w:rPr>
        <w:rFonts w:ascii="Palatino Linotype" w:eastAsia="Palatino Linotype" w:hAnsi="Palatino Linotype" w:cs="Palatino Linotype"/>
        <w:b/>
        <w:color w:val="000000"/>
        <w:sz w:val="20"/>
        <w:szCs w:val="20"/>
      </w:rPr>
      <w:fldChar w:fldCharType="end"/>
    </w:r>
  </w:p>
  <w:p w14:paraId="7FB54646" w14:textId="77777777" w:rsidR="00C13F26" w:rsidRDefault="00C13F26">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F40AF" w14:textId="77777777" w:rsidR="001A2679" w:rsidRDefault="001A2679">
      <w:r>
        <w:separator/>
      </w:r>
    </w:p>
  </w:footnote>
  <w:footnote w:type="continuationSeparator" w:id="0">
    <w:p w14:paraId="1763A537" w14:textId="77777777" w:rsidR="001A2679" w:rsidRDefault="001A2679">
      <w:r>
        <w:continuationSeparator/>
      </w:r>
    </w:p>
  </w:footnote>
  <w:footnote w:id="1">
    <w:p w14:paraId="1D4BED7B" w14:textId="77777777" w:rsidR="00C13F26" w:rsidRDefault="00C13F26" w:rsidP="00C13F2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04E25743" w14:textId="77777777" w:rsidR="00C13F26" w:rsidRDefault="00014FC7" w:rsidP="00C13F26">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1">
        <w:r w:rsidR="00C13F26">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C13F26">
        <w:rPr>
          <w:rFonts w:ascii="Palatino Linotype" w:eastAsia="Palatino Linotype" w:hAnsi="Palatino Linotype" w:cs="Palatino Linotype"/>
          <w:color w:val="000000"/>
          <w:sz w:val="16"/>
          <w:szCs w:val="16"/>
        </w:rPr>
        <w:t xml:space="preserve"> </w:t>
      </w:r>
    </w:p>
  </w:footnote>
  <w:footnote w:id="2">
    <w:p w14:paraId="7A3A5511" w14:textId="77777777" w:rsidR="00C13F26" w:rsidRDefault="00C13F26" w:rsidP="00C13F26">
      <w:pP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b/>
          <w:bCs/>
          <w:color w:val="000000"/>
          <w:sz w:val="16"/>
          <w:szCs w:val="16"/>
        </w:rPr>
        <w:t xml:space="preserve"> Artículo 53</w:t>
      </w:r>
      <w:r>
        <w:rPr>
          <w:rFonts w:ascii="Palatino Linotype" w:eastAsia="Palatino Linotype" w:hAnsi="Palatino Linotype" w:cs="Palatino Linotype"/>
          <w:color w:val="000000"/>
          <w:sz w:val="16"/>
          <w:szCs w:val="16"/>
        </w:rPr>
        <w:t>. Las Unidades de Transparencia tendrán las siguientes funciones:</w:t>
      </w:r>
    </w:p>
    <w:p w14:paraId="2ADE6211" w14:textId="77777777" w:rsidR="00C13F26" w:rsidRDefault="00C13F26" w:rsidP="00C13F2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Recibir, tramitar y dar respuesta a las solicitudes de acceso a la información;</w:t>
      </w:r>
    </w:p>
    <w:p w14:paraId="3064E771" w14:textId="77777777" w:rsidR="00C13F26" w:rsidRDefault="00C13F26" w:rsidP="00C13F2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IV. Realizar, con efectividad, los trámites internos necesarios para la atención de las solicitudes de acceso a la información;</w:t>
      </w:r>
    </w:p>
  </w:footnote>
  <w:footnote w:id="3">
    <w:p w14:paraId="2A0F958C" w14:textId="77777777" w:rsidR="00C13F26" w:rsidRDefault="00C13F26" w:rsidP="00C13F26">
      <w:pP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162.</w:t>
      </w:r>
      <w:r>
        <w:rPr>
          <w:rFonts w:ascii="Palatino Linotype" w:eastAsia="Palatino Linotype" w:hAnsi="Palatino Linotype" w:cs="Palatino Linotype"/>
          <w:color w:val="000000"/>
          <w:sz w:val="16"/>
          <w:szCs w:val="16"/>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4B56" w14:textId="77777777" w:rsidR="00C13F26" w:rsidRDefault="00C13F26">
    <w:pPr>
      <w:rPr>
        <w:rFonts w:ascii="Cambria" w:eastAsia="Cambria" w:hAnsi="Cambria" w:cs="Cambria"/>
        <w:color w:val="000000"/>
      </w:rPr>
    </w:pPr>
    <w:r>
      <w:rPr>
        <w:noProof/>
        <w:lang w:val="es-MX"/>
      </w:rPr>
      <w:drawing>
        <wp:anchor distT="0" distB="0" distL="0" distR="0" simplePos="0" relativeHeight="251658240" behindDoc="1" locked="0" layoutInCell="1" hidden="0" allowOverlap="1" wp14:anchorId="7ACC3135" wp14:editId="0688B937">
          <wp:simplePos x="0" y="0"/>
          <wp:positionH relativeFrom="column">
            <wp:posOffset>-1127123</wp:posOffset>
          </wp:positionH>
          <wp:positionV relativeFrom="paragraph">
            <wp:posOffset>-344803</wp:posOffset>
          </wp:positionV>
          <wp:extent cx="7809865" cy="10165715"/>
          <wp:effectExtent l="0" t="0" r="0" b="0"/>
          <wp:wrapNone/>
          <wp:docPr id="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a"/>
      <w:tblW w:w="6662" w:type="dxa"/>
      <w:tblInd w:w="1985" w:type="dxa"/>
      <w:tblLayout w:type="fixed"/>
      <w:tblLook w:val="0400" w:firstRow="0" w:lastRow="0" w:firstColumn="0" w:lastColumn="0" w:noHBand="0" w:noVBand="1"/>
    </w:tblPr>
    <w:tblGrid>
      <w:gridCol w:w="3118"/>
      <w:gridCol w:w="3544"/>
    </w:tblGrid>
    <w:tr w:rsidR="00C13F26" w14:paraId="4C5E0E50" w14:textId="77777777" w:rsidTr="00C268D5">
      <w:tc>
        <w:tcPr>
          <w:tcW w:w="3118" w:type="dxa"/>
        </w:tcPr>
        <w:p w14:paraId="5C1AE3CE"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544" w:type="dxa"/>
          <w:vAlign w:val="center"/>
        </w:tcPr>
        <w:p w14:paraId="7EACF5C9" w14:textId="4C4AD5B8" w:rsidR="00C13F26" w:rsidRDefault="00C13F26" w:rsidP="00A800CD">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10799/INFOEM/IP/RR/2025 y acumulado</w:t>
          </w:r>
        </w:p>
      </w:tc>
    </w:tr>
    <w:tr w:rsidR="00C13F26" w14:paraId="03EC8442" w14:textId="77777777" w:rsidTr="00C268D5">
      <w:trPr>
        <w:trHeight w:val="228"/>
      </w:trPr>
      <w:tc>
        <w:tcPr>
          <w:tcW w:w="3118" w:type="dxa"/>
          <w:vAlign w:val="center"/>
        </w:tcPr>
        <w:p w14:paraId="4F57FB4A"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544" w:type="dxa"/>
          <w:vAlign w:val="center"/>
        </w:tcPr>
        <w:p w14:paraId="7D5012C1" w14:textId="37922D5E" w:rsidR="00C13F26" w:rsidRDefault="00C13F26">
          <w:pPr>
            <w:ind w:left="-45" w:right="1586"/>
            <w:jc w:val="both"/>
            <w:rPr>
              <w:rFonts w:ascii="Palatino Linotype" w:eastAsia="Palatino Linotype" w:hAnsi="Palatino Linotype" w:cs="Palatino Linotype"/>
              <w:b/>
              <w:sz w:val="22"/>
              <w:szCs w:val="22"/>
            </w:rPr>
          </w:pPr>
          <w:r w:rsidRPr="00A800CD">
            <w:rPr>
              <w:rFonts w:ascii="Palatino Linotype" w:eastAsia="Palatino Linotype" w:hAnsi="Palatino Linotype" w:cs="Palatino Linotype"/>
              <w:b/>
              <w:sz w:val="22"/>
              <w:szCs w:val="22"/>
            </w:rPr>
            <w:t>Ayuntamiento de Ecatepec de Morelos</w:t>
          </w:r>
        </w:p>
      </w:tc>
    </w:tr>
    <w:tr w:rsidR="00C13F26" w14:paraId="4AB682C9" w14:textId="77777777" w:rsidTr="00C268D5">
      <w:tc>
        <w:tcPr>
          <w:tcW w:w="3118" w:type="dxa"/>
          <w:vAlign w:val="center"/>
        </w:tcPr>
        <w:p w14:paraId="239A7B1F" w14:textId="77777777" w:rsidR="00C13F26" w:rsidRDefault="00C13F26">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544" w:type="dxa"/>
          <w:vAlign w:val="center"/>
        </w:tcPr>
        <w:p w14:paraId="78720F01" w14:textId="77777777" w:rsidR="00C13F26" w:rsidRDefault="00C13F26">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56C448BD" w14:textId="77777777" w:rsidR="00C13F26" w:rsidRDefault="00C13F2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EB5B" w14:textId="77777777" w:rsidR="00C13F26" w:rsidRDefault="00C13F2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9"/>
      <w:tblW w:w="6378" w:type="dxa"/>
      <w:tblInd w:w="2694" w:type="dxa"/>
      <w:tblLayout w:type="fixed"/>
      <w:tblLook w:val="0400" w:firstRow="0" w:lastRow="0" w:firstColumn="0" w:lastColumn="0" w:noHBand="0" w:noVBand="1"/>
    </w:tblPr>
    <w:tblGrid>
      <w:gridCol w:w="2409"/>
      <w:gridCol w:w="3969"/>
    </w:tblGrid>
    <w:tr w:rsidR="00C13F26" w14:paraId="414704EB" w14:textId="77777777" w:rsidTr="00FB3A1A">
      <w:trPr>
        <w:trHeight w:val="714"/>
      </w:trPr>
      <w:tc>
        <w:tcPr>
          <w:tcW w:w="2409" w:type="dxa"/>
          <w:vAlign w:val="center"/>
        </w:tcPr>
        <w:p w14:paraId="2E45ECD5"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969" w:type="dxa"/>
          <w:vAlign w:val="center"/>
        </w:tcPr>
        <w:p w14:paraId="26CA7DC0" w14:textId="644E7D8F" w:rsidR="00C13F26" w:rsidRDefault="00C13F26" w:rsidP="00A800CD">
          <w:pPr>
            <w:tabs>
              <w:tab w:val="left" w:pos="3153"/>
            </w:tabs>
            <w:ind w:left="-1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10799/INFOEM/IP/RR/2025 y acumulado</w:t>
          </w:r>
        </w:p>
      </w:tc>
    </w:tr>
    <w:tr w:rsidR="00C13F26" w14:paraId="2220049E" w14:textId="77777777" w:rsidTr="00C268D5">
      <w:trPr>
        <w:trHeight w:val="130"/>
      </w:trPr>
      <w:tc>
        <w:tcPr>
          <w:tcW w:w="2409" w:type="dxa"/>
          <w:vAlign w:val="center"/>
        </w:tcPr>
        <w:p w14:paraId="5C9480DD"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969" w:type="dxa"/>
          <w:vAlign w:val="center"/>
        </w:tcPr>
        <w:p w14:paraId="482081CA" w14:textId="227179AC" w:rsidR="00C13F26" w:rsidRDefault="00014FC7" w:rsidP="00014FC7">
          <w:pPr>
            <w:ind w:left="-11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XXXXX XXXXXX XXXXXXXX </w:t>
          </w:r>
        </w:p>
      </w:tc>
    </w:tr>
    <w:tr w:rsidR="00C13F26" w14:paraId="3CEA6190" w14:textId="77777777" w:rsidTr="00C268D5">
      <w:trPr>
        <w:trHeight w:val="228"/>
      </w:trPr>
      <w:tc>
        <w:tcPr>
          <w:tcW w:w="2409" w:type="dxa"/>
          <w:vAlign w:val="center"/>
        </w:tcPr>
        <w:p w14:paraId="415DD9E5"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969" w:type="dxa"/>
          <w:vAlign w:val="center"/>
        </w:tcPr>
        <w:p w14:paraId="7E37C76B" w14:textId="1782D90F" w:rsidR="00C13F26" w:rsidRDefault="00C13F26">
          <w:pPr>
            <w:ind w:left="-115" w:right="-1107"/>
            <w:jc w:val="both"/>
            <w:rPr>
              <w:rFonts w:ascii="Palatino Linotype" w:eastAsia="Palatino Linotype" w:hAnsi="Palatino Linotype" w:cs="Palatino Linotype"/>
              <w:b/>
              <w:sz w:val="22"/>
              <w:szCs w:val="22"/>
            </w:rPr>
          </w:pPr>
          <w:r w:rsidRPr="00A800CD">
            <w:rPr>
              <w:rFonts w:ascii="Palatino Linotype" w:eastAsia="Palatino Linotype" w:hAnsi="Palatino Linotype" w:cs="Palatino Linotype"/>
              <w:b/>
              <w:sz w:val="22"/>
              <w:szCs w:val="22"/>
            </w:rPr>
            <w:t>Ayuntamiento de Ecatepec de Morelos</w:t>
          </w:r>
          <w:r>
            <w:rPr>
              <w:noProof/>
              <w:lang w:val="es-MX"/>
            </w:rPr>
            <w:drawing>
              <wp:anchor distT="0" distB="0" distL="0" distR="0" simplePos="0" relativeHeight="251659264" behindDoc="1" locked="0" layoutInCell="1" hidden="0" allowOverlap="1" wp14:anchorId="4636294E" wp14:editId="26DB6343">
                <wp:simplePos x="0" y="0"/>
                <wp:positionH relativeFrom="column">
                  <wp:posOffset>-4800598</wp:posOffset>
                </wp:positionH>
                <wp:positionV relativeFrom="paragraph">
                  <wp:posOffset>-917573</wp:posOffset>
                </wp:positionV>
                <wp:extent cx="7809865" cy="10165715"/>
                <wp:effectExtent l="0" t="0" r="0" b="0"/>
                <wp:wrapNone/>
                <wp:docPr id="8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C13F26" w14:paraId="0807865D" w14:textId="77777777" w:rsidTr="00C268D5">
      <w:tc>
        <w:tcPr>
          <w:tcW w:w="2409" w:type="dxa"/>
          <w:vAlign w:val="center"/>
        </w:tcPr>
        <w:p w14:paraId="06AD9760" w14:textId="77777777" w:rsidR="00C13F26" w:rsidRDefault="00C13F2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969" w:type="dxa"/>
          <w:vAlign w:val="center"/>
        </w:tcPr>
        <w:p w14:paraId="4C94EAFB" w14:textId="77777777" w:rsidR="00C13F26" w:rsidRDefault="00C13F26">
          <w:pPr>
            <w:ind w:left="-115"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3BA55D5" w14:textId="77777777" w:rsidR="00C13F26" w:rsidRDefault="00C13F26">
    <w:pPr>
      <w:pBdr>
        <w:top w:val="nil"/>
        <w:left w:val="nil"/>
        <w:bottom w:val="nil"/>
        <w:right w:val="nil"/>
        <w:between w:val="nil"/>
      </w:pBdr>
      <w:tabs>
        <w:tab w:val="center" w:pos="4252"/>
        <w:tab w:val="right" w:pos="8504"/>
      </w:tabs>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2070"/>
    <w:multiLevelType w:val="multilevel"/>
    <w:tmpl w:val="3D6010E8"/>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2FD5345"/>
    <w:multiLevelType w:val="hybridMultilevel"/>
    <w:tmpl w:val="7EC0F6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0E578B"/>
    <w:multiLevelType w:val="multilevel"/>
    <w:tmpl w:val="5CDCD29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 w15:restartNumberingAfterBreak="0">
    <w:nsid w:val="086C47CC"/>
    <w:multiLevelType w:val="multilevel"/>
    <w:tmpl w:val="65421BB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35F34DE"/>
    <w:multiLevelType w:val="hybridMultilevel"/>
    <w:tmpl w:val="D6B8012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24225B24"/>
    <w:multiLevelType w:val="multilevel"/>
    <w:tmpl w:val="657CD6C2"/>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29D80B1A"/>
    <w:multiLevelType w:val="multilevel"/>
    <w:tmpl w:val="4E2A314A"/>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15:restartNumberingAfterBreak="0">
    <w:nsid w:val="2CFA1B72"/>
    <w:multiLevelType w:val="multilevel"/>
    <w:tmpl w:val="1924F2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131CE0"/>
    <w:multiLevelType w:val="multilevel"/>
    <w:tmpl w:val="DD6649F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34445D2E"/>
    <w:multiLevelType w:val="multilevel"/>
    <w:tmpl w:val="F0C8BE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973468"/>
    <w:multiLevelType w:val="hybridMultilevel"/>
    <w:tmpl w:val="C42C7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7F31F2D"/>
    <w:multiLevelType w:val="hybridMultilevel"/>
    <w:tmpl w:val="823233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F417B9"/>
    <w:multiLevelType w:val="multilevel"/>
    <w:tmpl w:val="AFBC3F5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3EDE124C"/>
    <w:multiLevelType w:val="multilevel"/>
    <w:tmpl w:val="52062702"/>
    <w:lvl w:ilvl="0">
      <w:start w:val="1"/>
      <w:numFmt w:val="bullet"/>
      <w:pStyle w:val="Listaconvietas3"/>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0DB4E4C"/>
    <w:multiLevelType w:val="multilevel"/>
    <w:tmpl w:val="FEBE5B5A"/>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6" w15:restartNumberingAfterBreak="0">
    <w:nsid w:val="478276F3"/>
    <w:multiLevelType w:val="hybridMultilevel"/>
    <w:tmpl w:val="42342D06"/>
    <w:lvl w:ilvl="0" w:tplc="9A809C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C32AE3"/>
    <w:multiLevelType w:val="hybridMultilevel"/>
    <w:tmpl w:val="89AC0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B60089"/>
    <w:multiLevelType w:val="hybridMultilevel"/>
    <w:tmpl w:val="7B5AB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4F502B4"/>
    <w:multiLevelType w:val="hybridMultilevel"/>
    <w:tmpl w:val="B30ED2E2"/>
    <w:lvl w:ilvl="0" w:tplc="070A84A2">
      <w:start w:val="2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070C81"/>
    <w:multiLevelType w:val="hybridMultilevel"/>
    <w:tmpl w:val="ECF62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E3F70B5"/>
    <w:multiLevelType w:val="hybridMultilevel"/>
    <w:tmpl w:val="2CAA0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8B5353B"/>
    <w:multiLevelType w:val="multilevel"/>
    <w:tmpl w:val="B4D60132"/>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155D71"/>
    <w:multiLevelType w:val="hybridMultilevel"/>
    <w:tmpl w:val="070A8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23522F1"/>
    <w:multiLevelType w:val="hybridMultilevel"/>
    <w:tmpl w:val="7122A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9BA278E"/>
    <w:multiLevelType w:val="multilevel"/>
    <w:tmpl w:val="4E34B250"/>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abstractNumId w:val="14"/>
  </w:num>
  <w:num w:numId="2">
    <w:abstractNumId w:val="22"/>
  </w:num>
  <w:num w:numId="3">
    <w:abstractNumId w:val="8"/>
  </w:num>
  <w:num w:numId="4">
    <w:abstractNumId w:val="17"/>
  </w:num>
  <w:num w:numId="5">
    <w:abstractNumId w:val="10"/>
  </w:num>
  <w:num w:numId="6">
    <w:abstractNumId w:val="4"/>
  </w:num>
  <w:num w:numId="7">
    <w:abstractNumId w:val="12"/>
  </w:num>
  <w:num w:numId="8">
    <w:abstractNumId w:val="18"/>
  </w:num>
  <w:num w:numId="9">
    <w:abstractNumId w:val="16"/>
  </w:num>
  <w:num w:numId="10">
    <w:abstractNumId w:val="24"/>
  </w:num>
  <w:num w:numId="11">
    <w:abstractNumId w:val="23"/>
  </w:num>
  <w:num w:numId="12">
    <w:abstractNumId w:val="20"/>
  </w:num>
  <w:num w:numId="13">
    <w:abstractNumId w:val="21"/>
  </w:num>
  <w:num w:numId="14">
    <w:abstractNumId w:val="19"/>
  </w:num>
  <w:num w:numId="15">
    <w:abstractNumId w:val="11"/>
  </w:num>
  <w:num w:numId="16">
    <w:abstractNumId w:val="5"/>
  </w:num>
  <w:num w:numId="17">
    <w:abstractNumId w:val="1"/>
  </w:num>
  <w:num w:numId="18">
    <w:abstractNumId w:val="15"/>
  </w:num>
  <w:num w:numId="19">
    <w:abstractNumId w:val="3"/>
  </w:num>
  <w:num w:numId="20">
    <w:abstractNumId w:val="9"/>
  </w:num>
  <w:num w:numId="21">
    <w:abstractNumId w:val="0"/>
  </w:num>
  <w:num w:numId="22">
    <w:abstractNumId w:val="25"/>
  </w:num>
  <w:num w:numId="23">
    <w:abstractNumId w:val="7"/>
  </w:num>
  <w:num w:numId="24">
    <w:abstractNumId w:val="6"/>
  </w:num>
  <w:num w:numId="25">
    <w:abstractNumId w:val="13"/>
  </w:num>
  <w:num w:numId="2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C8"/>
    <w:rsid w:val="0001151A"/>
    <w:rsid w:val="000142E3"/>
    <w:rsid w:val="00014FC7"/>
    <w:rsid w:val="00022350"/>
    <w:rsid w:val="0003756A"/>
    <w:rsid w:val="00050AF5"/>
    <w:rsid w:val="00062530"/>
    <w:rsid w:val="000635B4"/>
    <w:rsid w:val="000821FC"/>
    <w:rsid w:val="00092FFA"/>
    <w:rsid w:val="000A1234"/>
    <w:rsid w:val="000A2EF8"/>
    <w:rsid w:val="000A500F"/>
    <w:rsid w:val="000A64BB"/>
    <w:rsid w:val="000B4D38"/>
    <w:rsid w:val="000B5314"/>
    <w:rsid w:val="000C02BE"/>
    <w:rsid w:val="000D0D46"/>
    <w:rsid w:val="000E060D"/>
    <w:rsid w:val="000F1188"/>
    <w:rsid w:val="00101662"/>
    <w:rsid w:val="001070AF"/>
    <w:rsid w:val="00117117"/>
    <w:rsid w:val="00125003"/>
    <w:rsid w:val="001318BC"/>
    <w:rsid w:val="0014326D"/>
    <w:rsid w:val="00145BC3"/>
    <w:rsid w:val="0015553B"/>
    <w:rsid w:val="001579CC"/>
    <w:rsid w:val="001626AD"/>
    <w:rsid w:val="00166D7A"/>
    <w:rsid w:val="001A2679"/>
    <w:rsid w:val="001B2F05"/>
    <w:rsid w:val="001C4D48"/>
    <w:rsid w:val="001D5210"/>
    <w:rsid w:val="001D521F"/>
    <w:rsid w:val="001E021D"/>
    <w:rsid w:val="001F0773"/>
    <w:rsid w:val="001F5AAE"/>
    <w:rsid w:val="002043B0"/>
    <w:rsid w:val="00210714"/>
    <w:rsid w:val="00212AD0"/>
    <w:rsid w:val="00222407"/>
    <w:rsid w:val="0022240D"/>
    <w:rsid w:val="00227484"/>
    <w:rsid w:val="00230203"/>
    <w:rsid w:val="0023256D"/>
    <w:rsid w:val="0023550D"/>
    <w:rsid w:val="00236466"/>
    <w:rsid w:val="002452CF"/>
    <w:rsid w:val="0025195E"/>
    <w:rsid w:val="0025343E"/>
    <w:rsid w:val="0025758C"/>
    <w:rsid w:val="002575E8"/>
    <w:rsid w:val="002615E5"/>
    <w:rsid w:val="00264097"/>
    <w:rsid w:val="002649DD"/>
    <w:rsid w:val="00272454"/>
    <w:rsid w:val="00274793"/>
    <w:rsid w:val="0029054C"/>
    <w:rsid w:val="002939C9"/>
    <w:rsid w:val="002A4F17"/>
    <w:rsid w:val="002B557D"/>
    <w:rsid w:val="002C3B28"/>
    <w:rsid w:val="002C7D50"/>
    <w:rsid w:val="002D21D7"/>
    <w:rsid w:val="002D6C89"/>
    <w:rsid w:val="002E17EA"/>
    <w:rsid w:val="002F1DA2"/>
    <w:rsid w:val="002F3475"/>
    <w:rsid w:val="0032551A"/>
    <w:rsid w:val="00330065"/>
    <w:rsid w:val="00384CCC"/>
    <w:rsid w:val="00385714"/>
    <w:rsid w:val="00386514"/>
    <w:rsid w:val="00387679"/>
    <w:rsid w:val="003918E9"/>
    <w:rsid w:val="003A4181"/>
    <w:rsid w:val="003A5590"/>
    <w:rsid w:val="003B1436"/>
    <w:rsid w:val="003C4EA6"/>
    <w:rsid w:val="003C6F24"/>
    <w:rsid w:val="003E5B37"/>
    <w:rsid w:val="003F3281"/>
    <w:rsid w:val="003F7137"/>
    <w:rsid w:val="004211FC"/>
    <w:rsid w:val="0043779A"/>
    <w:rsid w:val="00450366"/>
    <w:rsid w:val="0045644D"/>
    <w:rsid w:val="00473E0D"/>
    <w:rsid w:val="00475618"/>
    <w:rsid w:val="004914A8"/>
    <w:rsid w:val="004D4C81"/>
    <w:rsid w:val="004D79B8"/>
    <w:rsid w:val="004F4044"/>
    <w:rsid w:val="00513985"/>
    <w:rsid w:val="00523751"/>
    <w:rsid w:val="00542087"/>
    <w:rsid w:val="005603D2"/>
    <w:rsid w:val="005615E9"/>
    <w:rsid w:val="005654BC"/>
    <w:rsid w:val="00576E19"/>
    <w:rsid w:val="005816F8"/>
    <w:rsid w:val="00590D9B"/>
    <w:rsid w:val="00592E78"/>
    <w:rsid w:val="00595563"/>
    <w:rsid w:val="005A23B5"/>
    <w:rsid w:val="005B1BCF"/>
    <w:rsid w:val="005B592D"/>
    <w:rsid w:val="005D2E25"/>
    <w:rsid w:val="005F4DF4"/>
    <w:rsid w:val="005F669B"/>
    <w:rsid w:val="005F6CEE"/>
    <w:rsid w:val="0060298A"/>
    <w:rsid w:val="00610D1A"/>
    <w:rsid w:val="00632F75"/>
    <w:rsid w:val="00634A97"/>
    <w:rsid w:val="00635F2E"/>
    <w:rsid w:val="00652C57"/>
    <w:rsid w:val="00661A68"/>
    <w:rsid w:val="006900C2"/>
    <w:rsid w:val="006A0785"/>
    <w:rsid w:val="006A4791"/>
    <w:rsid w:val="006B5A21"/>
    <w:rsid w:val="006B6641"/>
    <w:rsid w:val="006C48D4"/>
    <w:rsid w:val="006C73EA"/>
    <w:rsid w:val="006D1867"/>
    <w:rsid w:val="006D2BFB"/>
    <w:rsid w:val="006E11AD"/>
    <w:rsid w:val="006E7471"/>
    <w:rsid w:val="006F7036"/>
    <w:rsid w:val="007026EA"/>
    <w:rsid w:val="007041C1"/>
    <w:rsid w:val="00710CF5"/>
    <w:rsid w:val="00713BDC"/>
    <w:rsid w:val="00733309"/>
    <w:rsid w:val="0076341F"/>
    <w:rsid w:val="00781AC8"/>
    <w:rsid w:val="007A350F"/>
    <w:rsid w:val="007A711E"/>
    <w:rsid w:val="007A76CD"/>
    <w:rsid w:val="007B1F64"/>
    <w:rsid w:val="007E3633"/>
    <w:rsid w:val="00807FE8"/>
    <w:rsid w:val="00814E12"/>
    <w:rsid w:val="008330B3"/>
    <w:rsid w:val="0084335F"/>
    <w:rsid w:val="0084668C"/>
    <w:rsid w:val="00854873"/>
    <w:rsid w:val="00862E10"/>
    <w:rsid w:val="00862EDD"/>
    <w:rsid w:val="008638CB"/>
    <w:rsid w:val="0089415D"/>
    <w:rsid w:val="00895915"/>
    <w:rsid w:val="008B0A40"/>
    <w:rsid w:val="008B5012"/>
    <w:rsid w:val="008B6206"/>
    <w:rsid w:val="008D4B78"/>
    <w:rsid w:val="00903DF5"/>
    <w:rsid w:val="0092044E"/>
    <w:rsid w:val="00920C42"/>
    <w:rsid w:val="00922B13"/>
    <w:rsid w:val="00931BA0"/>
    <w:rsid w:val="00934507"/>
    <w:rsid w:val="0094189D"/>
    <w:rsid w:val="0094535B"/>
    <w:rsid w:val="00947F61"/>
    <w:rsid w:val="009620A4"/>
    <w:rsid w:val="009A4A27"/>
    <w:rsid w:val="009F43EF"/>
    <w:rsid w:val="00A00DDB"/>
    <w:rsid w:val="00A049B5"/>
    <w:rsid w:val="00A163A6"/>
    <w:rsid w:val="00A17FA0"/>
    <w:rsid w:val="00A332CE"/>
    <w:rsid w:val="00A601D3"/>
    <w:rsid w:val="00A800CD"/>
    <w:rsid w:val="00A811C5"/>
    <w:rsid w:val="00A82A23"/>
    <w:rsid w:val="00A869C3"/>
    <w:rsid w:val="00A946BA"/>
    <w:rsid w:val="00AA3AF5"/>
    <w:rsid w:val="00AA56D1"/>
    <w:rsid w:val="00AB026D"/>
    <w:rsid w:val="00AB1536"/>
    <w:rsid w:val="00AD45A5"/>
    <w:rsid w:val="00B01250"/>
    <w:rsid w:val="00B13426"/>
    <w:rsid w:val="00B35989"/>
    <w:rsid w:val="00B558DC"/>
    <w:rsid w:val="00B5602A"/>
    <w:rsid w:val="00B94587"/>
    <w:rsid w:val="00BB2895"/>
    <w:rsid w:val="00BF26D9"/>
    <w:rsid w:val="00BF69C8"/>
    <w:rsid w:val="00C13F26"/>
    <w:rsid w:val="00C220E6"/>
    <w:rsid w:val="00C268D5"/>
    <w:rsid w:val="00C31450"/>
    <w:rsid w:val="00C35FB8"/>
    <w:rsid w:val="00C37CDC"/>
    <w:rsid w:val="00C45AF4"/>
    <w:rsid w:val="00C6409B"/>
    <w:rsid w:val="00C859FC"/>
    <w:rsid w:val="00CF3C09"/>
    <w:rsid w:val="00D0487B"/>
    <w:rsid w:val="00D066C0"/>
    <w:rsid w:val="00D107DB"/>
    <w:rsid w:val="00D147DC"/>
    <w:rsid w:val="00D1546B"/>
    <w:rsid w:val="00D20677"/>
    <w:rsid w:val="00D22855"/>
    <w:rsid w:val="00D255B7"/>
    <w:rsid w:val="00D269D0"/>
    <w:rsid w:val="00D27DD0"/>
    <w:rsid w:val="00D34D48"/>
    <w:rsid w:val="00D42491"/>
    <w:rsid w:val="00D513C1"/>
    <w:rsid w:val="00D6422A"/>
    <w:rsid w:val="00D72852"/>
    <w:rsid w:val="00D87B1E"/>
    <w:rsid w:val="00D93F20"/>
    <w:rsid w:val="00DA1C98"/>
    <w:rsid w:val="00DB4A65"/>
    <w:rsid w:val="00DE3489"/>
    <w:rsid w:val="00DF5EA7"/>
    <w:rsid w:val="00DF7D6B"/>
    <w:rsid w:val="00E11C2E"/>
    <w:rsid w:val="00E175EA"/>
    <w:rsid w:val="00E250B6"/>
    <w:rsid w:val="00E261BD"/>
    <w:rsid w:val="00E41FBF"/>
    <w:rsid w:val="00E42B37"/>
    <w:rsid w:val="00E73F53"/>
    <w:rsid w:val="00E869AF"/>
    <w:rsid w:val="00E91BF5"/>
    <w:rsid w:val="00EC7B5F"/>
    <w:rsid w:val="00EE2F5D"/>
    <w:rsid w:val="00EE48BF"/>
    <w:rsid w:val="00EF5612"/>
    <w:rsid w:val="00F12ECA"/>
    <w:rsid w:val="00F353EF"/>
    <w:rsid w:val="00F37215"/>
    <w:rsid w:val="00F372B7"/>
    <w:rsid w:val="00F61B86"/>
    <w:rsid w:val="00F671A2"/>
    <w:rsid w:val="00F75F04"/>
    <w:rsid w:val="00FA5A92"/>
    <w:rsid w:val="00FB0463"/>
    <w:rsid w:val="00FB12FA"/>
    <w:rsid w:val="00FB39BA"/>
    <w:rsid w:val="00FB3A1A"/>
    <w:rsid w:val="00FB6C85"/>
    <w:rsid w:val="00FD5B37"/>
    <w:rsid w:val="00FE121B"/>
    <w:rsid w:val="00FE5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F5D7"/>
  <w15:docId w15:val="{656BB065-CE39-4AE8-84C7-A27FC457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D25"/>
  </w:style>
  <w:style w:type="paragraph" w:styleId="Ttulo1">
    <w:name w:val="heading 1"/>
    <w:basedOn w:val="Normal"/>
    <w:next w:val="Normal"/>
    <w:link w:val="Ttulo1Car"/>
    <w:uiPriority w:val="9"/>
    <w:qFormat/>
    <w:rsid w:val="00603D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03D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3B73CD"/>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3B73CD"/>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3B73CD"/>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3B73CD"/>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3B73CD"/>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3B73CD"/>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3B73CD"/>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80F8C"/>
  </w:style>
  <w:style w:type="paragraph" w:styleId="Piedepgina">
    <w:name w:val="footer"/>
    <w:basedOn w:val="Normal"/>
    <w:link w:val="Piedepgina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80F8C"/>
  </w:style>
  <w:style w:type="paragraph" w:styleId="Textodeglobo">
    <w:name w:val="Balloon Text"/>
    <w:basedOn w:val="Normal"/>
    <w:link w:val="TextodegloboCar"/>
    <w:uiPriority w:val="99"/>
    <w:semiHidden/>
    <w:unhideWhenUsed/>
    <w:rsid w:val="00C80F8C"/>
    <w:rPr>
      <w:rFonts w:ascii="Lucida Grande" w:eastAsiaTheme="minorEastAsia" w:hAnsi="Lucida Grande" w:cs="Lucida Grande"/>
      <w:sz w:val="18"/>
      <w:szCs w:val="18"/>
      <w:lang w:val="es-ES_tradnl"/>
    </w:rPr>
  </w:style>
  <w:style w:type="character" w:customStyle="1" w:styleId="TextodegloboCar">
    <w:name w:val="Texto de globo Car"/>
    <w:basedOn w:val="Fuentedeprrafopredeter"/>
    <w:link w:val="Textodeglobo"/>
    <w:uiPriority w:val="99"/>
    <w:semiHidden/>
    <w:rsid w:val="00C80F8C"/>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70703E"/>
    <w:pPr>
      <w:ind w:left="720"/>
      <w:contextualSpacing/>
    </w:pPr>
  </w:style>
  <w:style w:type="character" w:styleId="Hipervnculo">
    <w:name w:val="Hyperlink"/>
    <w:basedOn w:val="Fuentedeprrafopredeter"/>
    <w:uiPriority w:val="99"/>
    <w:unhideWhenUsed/>
    <w:rsid w:val="00FD7589"/>
    <w:rPr>
      <w:color w:val="0000FF"/>
      <w:u w:val="single"/>
    </w:rPr>
  </w:style>
  <w:style w:type="character" w:customStyle="1" w:styleId="apple-converted-space">
    <w:name w:val="apple-converted-space"/>
    <w:basedOn w:val="Fuentedeprrafopredeter"/>
    <w:rsid w:val="00FD7589"/>
  </w:style>
  <w:style w:type="paragraph" w:customStyle="1" w:styleId="Listavistosa-nfasis11">
    <w:name w:val="Lista vistosa - Énfasis 11"/>
    <w:basedOn w:val="Normal"/>
    <w:link w:val="Listavistosa-nfasis1Car"/>
    <w:uiPriority w:val="34"/>
    <w:qFormat/>
    <w:rsid w:val="000D2D89"/>
    <w:pPr>
      <w:ind w:left="708"/>
    </w:pPr>
  </w:style>
  <w:style w:type="character" w:customStyle="1" w:styleId="Listavistosa-nfasis1Car">
    <w:name w:val="Lista vistosa - Énfasis 1 Car"/>
    <w:link w:val="Listavistosa-nfasis11"/>
    <w:uiPriority w:val="34"/>
    <w:locked/>
    <w:rsid w:val="000D2D89"/>
    <w:rPr>
      <w:rFonts w:ascii="Times New Roman" w:eastAsia="Times New Roman" w:hAnsi="Times New Roman" w:cs="Times New Roman"/>
      <w:lang w:val="es-ES"/>
    </w:rPr>
  </w:style>
  <w:style w:type="paragraph" w:customStyle="1" w:styleId="Texto">
    <w:name w:val="Texto"/>
    <w:basedOn w:val="Normal"/>
    <w:link w:val="TextoCar"/>
    <w:rsid w:val="000470FE"/>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rsid w:val="000470FE"/>
    <w:pPr>
      <w:spacing w:before="100" w:beforeAutospacing="1" w:after="100" w:afterAutospacing="1"/>
    </w:pPr>
  </w:style>
  <w:style w:type="character" w:customStyle="1" w:styleId="apple-style-span">
    <w:name w:val="apple-style-span"/>
    <w:rsid w:val="008846E7"/>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7E1FF4"/>
    <w:rPr>
      <w:rFonts w:ascii="Times New Roman" w:eastAsia="Times New Roman" w:hAnsi="Times New Roman" w:cs="Times New Roman"/>
      <w:lang w:val="es-ES"/>
    </w:rPr>
  </w:style>
  <w:style w:type="character" w:styleId="Textoennegrita">
    <w:name w:val="Strong"/>
    <w:uiPriority w:val="22"/>
    <w:qFormat/>
    <w:rsid w:val="003D1B5F"/>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944C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944C8"/>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2944C8"/>
    <w:rPr>
      <w:vertAlign w:val="superscript"/>
    </w:rPr>
  </w:style>
  <w:style w:type="paragraph" w:styleId="Sinespaciado">
    <w:name w:val="No Spacing"/>
    <w:aliases w:val="Francesa"/>
    <w:link w:val="SinespaciadoCar"/>
    <w:uiPriority w:val="1"/>
    <w:qFormat/>
    <w:rsid w:val="002944C8"/>
    <w:rPr>
      <w:lang w:val="es-MX"/>
    </w:rPr>
  </w:style>
  <w:style w:type="paragraph" w:styleId="Textoindependiente2">
    <w:name w:val="Body Text 2"/>
    <w:basedOn w:val="Normal"/>
    <w:link w:val="Textoindependiente2Car"/>
    <w:uiPriority w:val="99"/>
    <w:unhideWhenUsed/>
    <w:rsid w:val="002944C8"/>
    <w:pPr>
      <w:spacing w:after="120" w:line="480" w:lineRule="auto"/>
    </w:pPr>
  </w:style>
  <w:style w:type="character" w:customStyle="1" w:styleId="Textoindependiente2Car">
    <w:name w:val="Texto independiente 2 Car"/>
    <w:basedOn w:val="Fuentedeprrafopredeter"/>
    <w:link w:val="Textoindependiente2"/>
    <w:uiPriority w:val="99"/>
    <w:rsid w:val="002944C8"/>
    <w:rPr>
      <w:rFonts w:ascii="Times New Roman" w:eastAsia="Times New Roman" w:hAnsi="Times New Roman" w:cs="Times New Roman"/>
      <w:lang w:val="es-ES"/>
    </w:rPr>
  </w:style>
  <w:style w:type="paragraph" w:styleId="Textosinformato">
    <w:name w:val="Plain Text"/>
    <w:basedOn w:val="Normal"/>
    <w:link w:val="TextosinformatoCar"/>
    <w:rsid w:val="002944C8"/>
    <w:rPr>
      <w:rFonts w:ascii="Courier New" w:hAnsi="Courier New"/>
      <w:sz w:val="20"/>
      <w:szCs w:val="20"/>
    </w:rPr>
  </w:style>
  <w:style w:type="character" w:customStyle="1" w:styleId="TextosinformatoCar">
    <w:name w:val="Texto sin formato Car"/>
    <w:basedOn w:val="Fuentedeprrafopredeter"/>
    <w:link w:val="Textosinformato"/>
    <w:rsid w:val="002944C8"/>
    <w:rPr>
      <w:rFonts w:ascii="Courier New" w:eastAsia="Times New Roman" w:hAnsi="Courier New" w:cs="Times New Roman"/>
      <w:sz w:val="20"/>
      <w:szCs w:val="20"/>
      <w:lang w:val="es-ES"/>
    </w:rPr>
  </w:style>
  <w:style w:type="paragraph" w:customStyle="1" w:styleId="Standard">
    <w:name w:val="Standard"/>
    <w:rsid w:val="002944C8"/>
    <w:pPr>
      <w:widowControl w:val="0"/>
      <w:suppressAutoHyphens/>
      <w:autoSpaceDN w:val="0"/>
      <w:textAlignment w:val="baseline"/>
    </w:pPr>
    <w:rPr>
      <w:rFonts w:ascii="Liberation Serif" w:eastAsia="DejaVu Sans" w:hAnsi="Liberation Serif" w:cs="Lohit Hindi"/>
      <w:kern w:val="3"/>
      <w:lang w:val="es-MX" w:eastAsia="zh-CN" w:bidi="hi-IN"/>
    </w:rPr>
  </w:style>
  <w:style w:type="character" w:customStyle="1" w:styleId="negritas1">
    <w:name w:val="negritas1"/>
    <w:rsid w:val="002944C8"/>
    <w:rPr>
      <w:rFonts w:ascii="Arial" w:hAnsi="Arial" w:cs="Arial" w:hint="default"/>
      <w:b/>
      <w:bCs/>
      <w:sz w:val="18"/>
      <w:szCs w:val="18"/>
    </w:rPr>
  </w:style>
  <w:style w:type="paragraph" w:customStyle="1" w:styleId="Pa2">
    <w:name w:val="Pa2"/>
    <w:basedOn w:val="Normal"/>
    <w:next w:val="Normal"/>
    <w:uiPriority w:val="99"/>
    <w:rsid w:val="002944C8"/>
    <w:pPr>
      <w:autoSpaceDE w:val="0"/>
      <w:autoSpaceDN w:val="0"/>
      <w:adjustRightInd w:val="0"/>
      <w:spacing w:line="240" w:lineRule="atLeast"/>
    </w:pPr>
    <w:rPr>
      <w:rFonts w:ascii="Helvetica" w:hAnsi="Helvetica"/>
      <w:lang w:val="es-ES_tradnl" w:eastAsia="es-ES_tradnl"/>
    </w:rPr>
  </w:style>
  <w:style w:type="paragraph" w:customStyle="1" w:styleId="Default">
    <w:name w:val="Default"/>
    <w:rsid w:val="002944C8"/>
    <w:pPr>
      <w:autoSpaceDE w:val="0"/>
      <w:autoSpaceDN w:val="0"/>
      <w:adjustRightInd w:val="0"/>
    </w:pPr>
    <w:rPr>
      <w:rFonts w:ascii="Arial" w:eastAsiaTheme="minorHAnsi" w:hAnsi="Arial" w:cs="Arial"/>
      <w:color w:val="000000"/>
      <w:lang w:val="es-MX" w:eastAsia="en-US"/>
    </w:rPr>
  </w:style>
  <w:style w:type="character" w:customStyle="1" w:styleId="f">
    <w:name w:val="f"/>
    <w:basedOn w:val="Fuentedeprrafopredeter"/>
    <w:rsid w:val="002944C8"/>
  </w:style>
  <w:style w:type="paragraph" w:customStyle="1" w:styleId="q">
    <w:name w:val="q"/>
    <w:basedOn w:val="Normal"/>
    <w:rsid w:val="002944C8"/>
    <w:pPr>
      <w:spacing w:before="100" w:beforeAutospacing="1" w:after="100" w:afterAutospacing="1"/>
    </w:pPr>
    <w:rPr>
      <w:lang w:val="es-MX"/>
    </w:rPr>
  </w:style>
  <w:style w:type="character" w:customStyle="1" w:styleId="d">
    <w:name w:val="d"/>
    <w:basedOn w:val="Fuentedeprrafopredeter"/>
    <w:rsid w:val="002944C8"/>
  </w:style>
  <w:style w:type="character" w:customStyle="1" w:styleId="b">
    <w:name w:val="b"/>
    <w:basedOn w:val="Fuentedeprrafopredeter"/>
    <w:rsid w:val="002944C8"/>
  </w:style>
  <w:style w:type="character" w:customStyle="1" w:styleId="k">
    <w:name w:val="k"/>
    <w:basedOn w:val="Fuentedeprrafopredeter"/>
    <w:rsid w:val="002944C8"/>
  </w:style>
  <w:style w:type="character" w:customStyle="1" w:styleId="h">
    <w:name w:val="h"/>
    <w:basedOn w:val="Fuentedeprrafopredeter"/>
    <w:rsid w:val="002944C8"/>
  </w:style>
  <w:style w:type="character" w:styleId="Hipervnculovisitado">
    <w:name w:val="FollowedHyperlink"/>
    <w:basedOn w:val="Fuentedeprrafopredeter"/>
    <w:uiPriority w:val="99"/>
    <w:semiHidden/>
    <w:unhideWhenUsed/>
    <w:rsid w:val="002944C8"/>
    <w:rPr>
      <w:color w:val="800080" w:themeColor="followedHyperlink"/>
      <w:u w:val="single"/>
    </w:rPr>
  </w:style>
  <w:style w:type="character" w:styleId="CitaHTML">
    <w:name w:val="HTML Cite"/>
    <w:uiPriority w:val="99"/>
    <w:semiHidden/>
    <w:unhideWhenUsed/>
    <w:rsid w:val="00B85C7C"/>
    <w:rPr>
      <w:i/>
      <w:iCs/>
    </w:rPr>
  </w:style>
  <w:style w:type="character" w:customStyle="1" w:styleId="SinespaciadoCar">
    <w:name w:val="Sin espaciado Car"/>
    <w:aliases w:val="Francesa Car"/>
    <w:link w:val="Sinespaciado"/>
    <w:uiPriority w:val="1"/>
    <w:locked/>
    <w:rsid w:val="00270539"/>
    <w:rPr>
      <w:rFonts w:ascii="Times New Roman" w:eastAsia="Times New Roman" w:hAnsi="Times New Roman" w:cs="Times New Roman"/>
      <w:lang w:val="es-MX"/>
    </w:rPr>
  </w:style>
  <w:style w:type="character" w:customStyle="1" w:styleId="medium">
    <w:name w:val="medium"/>
    <w:basedOn w:val="Fuentedeprrafopredeter"/>
    <w:rsid w:val="00354DB7"/>
  </w:style>
  <w:style w:type="table" w:styleId="Tablaconcuadrcula">
    <w:name w:val="Table Grid"/>
    <w:basedOn w:val="Tablanormal"/>
    <w:uiPriority w:val="39"/>
    <w:rsid w:val="00BB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eroconsecutivo">
    <w:name w:val="numeroconsecutivo"/>
    <w:basedOn w:val="Fuentedeprrafopredeter"/>
    <w:rsid w:val="00615060"/>
  </w:style>
  <w:style w:type="character" w:customStyle="1" w:styleId="titulorubrolgt">
    <w:name w:val="titulorubrolgt"/>
    <w:basedOn w:val="Fuentedeprrafopredeter"/>
    <w:rsid w:val="00615060"/>
  </w:style>
  <w:style w:type="character" w:customStyle="1" w:styleId="ctr">
    <w:name w:val="ctr"/>
    <w:basedOn w:val="Fuentedeprrafopredeter"/>
    <w:rsid w:val="00615060"/>
  </w:style>
  <w:style w:type="paragraph" w:styleId="Textonotaalfinal">
    <w:name w:val="endnote text"/>
    <w:basedOn w:val="Normal"/>
    <w:link w:val="TextonotaalfinalCar"/>
    <w:uiPriority w:val="99"/>
    <w:semiHidden/>
    <w:unhideWhenUsed/>
    <w:rsid w:val="00D25E88"/>
    <w:rPr>
      <w:sz w:val="20"/>
      <w:szCs w:val="20"/>
    </w:rPr>
  </w:style>
  <w:style w:type="character" w:customStyle="1" w:styleId="TextonotaalfinalCar">
    <w:name w:val="Texto nota al final Car"/>
    <w:basedOn w:val="Fuentedeprrafopredeter"/>
    <w:link w:val="Textonotaalfinal"/>
    <w:uiPriority w:val="99"/>
    <w:semiHidden/>
    <w:rsid w:val="00D25E88"/>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D25E88"/>
    <w:rPr>
      <w:vertAlign w:val="superscript"/>
    </w:rPr>
  </w:style>
  <w:style w:type="character" w:customStyle="1" w:styleId="A1">
    <w:name w:val="A1"/>
    <w:uiPriority w:val="99"/>
    <w:rsid w:val="00EC4ECD"/>
    <w:rPr>
      <w:rFonts w:ascii="Myriad Pro" w:hAnsi="Myriad Pro" w:cs="Myriad Pro" w:hint="default"/>
      <w:color w:val="000000"/>
      <w:sz w:val="22"/>
      <w:szCs w:val="22"/>
    </w:rPr>
  </w:style>
  <w:style w:type="paragraph" w:customStyle="1" w:styleId="Pa9">
    <w:name w:val="Pa9"/>
    <w:basedOn w:val="Normal"/>
    <w:next w:val="Normal"/>
    <w:uiPriority w:val="99"/>
    <w:rsid w:val="00EC4ECD"/>
    <w:pPr>
      <w:autoSpaceDE w:val="0"/>
      <w:autoSpaceDN w:val="0"/>
      <w:adjustRightInd w:val="0"/>
      <w:spacing w:line="241" w:lineRule="atLeast"/>
    </w:pPr>
    <w:rPr>
      <w:rFonts w:ascii="Myriad Pro" w:eastAsiaTheme="minorHAnsi" w:hAnsi="Myriad Pro" w:cstheme="minorBidi"/>
      <w:lang w:val="es-MX" w:eastAsia="en-US"/>
    </w:rPr>
  </w:style>
  <w:style w:type="paragraph" w:customStyle="1" w:styleId="Pa5">
    <w:name w:val="Pa5"/>
    <w:basedOn w:val="Normal"/>
    <w:next w:val="Normal"/>
    <w:uiPriority w:val="99"/>
    <w:rsid w:val="00EC4ECD"/>
    <w:pPr>
      <w:autoSpaceDE w:val="0"/>
      <w:autoSpaceDN w:val="0"/>
      <w:adjustRightInd w:val="0"/>
      <w:spacing w:line="201" w:lineRule="atLeast"/>
    </w:pPr>
    <w:rPr>
      <w:rFonts w:ascii="Myriad Pro" w:eastAsiaTheme="minorHAnsi" w:hAnsi="Myriad Pro" w:cstheme="minorBidi"/>
      <w:lang w:val="es-MX" w:eastAsia="en-US"/>
    </w:rPr>
  </w:style>
  <w:style w:type="paragraph" w:customStyle="1" w:styleId="m5127500252372250437gmail-paragraph">
    <w:name w:val="m_5127500252372250437gmail-paragraph"/>
    <w:basedOn w:val="Normal"/>
    <w:rsid w:val="00980B7E"/>
    <w:pPr>
      <w:spacing w:before="100" w:beforeAutospacing="1" w:after="100" w:afterAutospacing="1"/>
    </w:pPr>
    <w:rPr>
      <w:lang w:val="es-MX"/>
    </w:rPr>
  </w:style>
  <w:style w:type="character" w:customStyle="1" w:styleId="nombrefraccder">
    <w:name w:val="nombrefraccder"/>
    <w:basedOn w:val="Fuentedeprrafopredeter"/>
    <w:rsid w:val="009B4A68"/>
  </w:style>
  <w:style w:type="character" w:customStyle="1" w:styleId="numberfraccder">
    <w:name w:val="numberfraccder"/>
    <w:basedOn w:val="Fuentedeprrafopredeter"/>
    <w:rsid w:val="009B4A68"/>
  </w:style>
  <w:style w:type="character" w:customStyle="1" w:styleId="TextoCar">
    <w:name w:val="Texto Car"/>
    <w:link w:val="Texto"/>
    <w:locked/>
    <w:rsid w:val="002B0963"/>
    <w:rPr>
      <w:rFonts w:ascii="Arial" w:eastAsia="Times New Roman" w:hAnsi="Arial" w:cs="Arial"/>
      <w:sz w:val="18"/>
      <w:szCs w:val="18"/>
      <w:lang w:val="es-MX"/>
    </w:rPr>
  </w:style>
  <w:style w:type="character" w:styleId="nfasis">
    <w:name w:val="Emphasis"/>
    <w:basedOn w:val="Fuentedeprrafopredeter"/>
    <w:uiPriority w:val="20"/>
    <w:qFormat/>
    <w:rsid w:val="00C536F2"/>
    <w:rPr>
      <w:i/>
      <w:iCs/>
    </w:rPr>
  </w:style>
  <w:style w:type="character" w:customStyle="1" w:styleId="normaltextrun">
    <w:name w:val="normaltextrun"/>
    <w:basedOn w:val="Fuentedeprrafopredeter"/>
    <w:rsid w:val="0011437B"/>
  </w:style>
  <w:style w:type="character" w:customStyle="1" w:styleId="m5127500252372250437gmail-normaltextrun">
    <w:name w:val="m_5127500252372250437gmail-normaltextrun"/>
    <w:basedOn w:val="Fuentedeprrafopredeter"/>
    <w:rsid w:val="0011437B"/>
  </w:style>
  <w:style w:type="paragraph" w:customStyle="1" w:styleId="m-60081275284358516gmail-msolistparagraph">
    <w:name w:val="m_-60081275284358516gmail-msolistparagraph"/>
    <w:basedOn w:val="Normal"/>
    <w:rsid w:val="00207C90"/>
    <w:pPr>
      <w:spacing w:before="100" w:beforeAutospacing="1" w:after="100" w:afterAutospacing="1"/>
    </w:pPr>
    <w:rPr>
      <w:lang w:val="es-MX"/>
    </w:rPr>
  </w:style>
  <w:style w:type="paragraph" w:customStyle="1" w:styleId="ANOTACION">
    <w:name w:val="ANOTACION"/>
    <w:basedOn w:val="Normal"/>
    <w:link w:val="ANOTACIONCar"/>
    <w:rsid w:val="001B5A73"/>
    <w:pPr>
      <w:spacing w:before="101" w:after="101" w:line="216" w:lineRule="atLeast"/>
      <w:jc w:val="center"/>
    </w:pPr>
    <w:rPr>
      <w:b/>
      <w:sz w:val="18"/>
      <w:szCs w:val="20"/>
      <w:lang w:val="es-ES_tradnl"/>
    </w:rPr>
  </w:style>
  <w:style w:type="character" w:customStyle="1" w:styleId="ANOTACIONCar">
    <w:name w:val="ANOTACION Car"/>
    <w:link w:val="ANOTACION"/>
    <w:locked/>
    <w:rsid w:val="001B5A73"/>
    <w:rPr>
      <w:rFonts w:ascii="Times New Roman" w:eastAsia="Times New Roman" w:hAnsi="Times New Roman" w:cs="Times New Roman"/>
      <w:b/>
      <w:sz w:val="18"/>
      <w:szCs w:val="20"/>
    </w:rPr>
  </w:style>
  <w:style w:type="paragraph" w:customStyle="1" w:styleId="j">
    <w:name w:val="j"/>
    <w:basedOn w:val="Normal"/>
    <w:rsid w:val="007B00BD"/>
    <w:pPr>
      <w:spacing w:before="100" w:beforeAutospacing="1" w:after="100" w:afterAutospacing="1"/>
    </w:pPr>
    <w:rPr>
      <w:lang w:val="es-MX"/>
    </w:rPr>
  </w:style>
  <w:style w:type="character" w:customStyle="1" w:styleId="nacep">
    <w:name w:val="n_acep"/>
    <w:basedOn w:val="Fuentedeprrafopredeter"/>
    <w:rsid w:val="007B00BD"/>
  </w:style>
  <w:style w:type="paragraph" w:customStyle="1" w:styleId="k5">
    <w:name w:val="k5"/>
    <w:basedOn w:val="Normal"/>
    <w:rsid w:val="007B00BD"/>
    <w:pPr>
      <w:spacing w:before="100" w:beforeAutospacing="1" w:after="100" w:afterAutospacing="1"/>
    </w:pPr>
    <w:rPr>
      <w:lang w:val="es-MX"/>
    </w:rPr>
  </w:style>
  <w:style w:type="paragraph" w:customStyle="1" w:styleId="m">
    <w:name w:val="m"/>
    <w:basedOn w:val="Normal"/>
    <w:rsid w:val="007B00BD"/>
    <w:pPr>
      <w:spacing w:before="100" w:beforeAutospacing="1" w:after="100" w:afterAutospacing="1"/>
    </w:pPr>
    <w:rPr>
      <w:lang w:val="es-MX"/>
    </w:rPr>
  </w:style>
  <w:style w:type="character" w:styleId="Refdecomentario">
    <w:name w:val="annotation reference"/>
    <w:basedOn w:val="Fuentedeprrafopredeter"/>
    <w:uiPriority w:val="99"/>
    <w:semiHidden/>
    <w:unhideWhenUsed/>
    <w:rsid w:val="003219FE"/>
    <w:rPr>
      <w:sz w:val="16"/>
      <w:szCs w:val="16"/>
    </w:rPr>
  </w:style>
  <w:style w:type="paragraph" w:styleId="Textocomentario">
    <w:name w:val="annotation text"/>
    <w:basedOn w:val="Normal"/>
    <w:link w:val="TextocomentarioCar"/>
    <w:uiPriority w:val="99"/>
    <w:semiHidden/>
    <w:unhideWhenUsed/>
    <w:rsid w:val="003219FE"/>
    <w:rPr>
      <w:sz w:val="20"/>
      <w:szCs w:val="20"/>
    </w:rPr>
  </w:style>
  <w:style w:type="character" w:customStyle="1" w:styleId="TextocomentarioCar">
    <w:name w:val="Texto comentario Car"/>
    <w:basedOn w:val="Fuentedeprrafopredeter"/>
    <w:link w:val="Textocomentario"/>
    <w:uiPriority w:val="99"/>
    <w:semiHidden/>
    <w:rsid w:val="003219F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3219FE"/>
    <w:rPr>
      <w:b/>
      <w:bCs/>
    </w:rPr>
  </w:style>
  <w:style w:type="character" w:customStyle="1" w:styleId="AsuntodelcomentarioCar">
    <w:name w:val="Asunto del comentario Car"/>
    <w:basedOn w:val="TextocomentarioCar"/>
    <w:link w:val="Asuntodelcomentario"/>
    <w:uiPriority w:val="99"/>
    <w:semiHidden/>
    <w:rsid w:val="003219FE"/>
    <w:rPr>
      <w:rFonts w:ascii="Times New Roman" w:eastAsia="Times New Roman" w:hAnsi="Times New Roman" w:cs="Times New Roman"/>
      <w:b/>
      <w:bCs/>
      <w:sz w:val="20"/>
      <w:szCs w:val="20"/>
      <w:lang w:val="es-ES"/>
    </w:rPr>
  </w:style>
  <w:style w:type="paragraph" w:customStyle="1" w:styleId="FAFunotente1">
    <w:name w:val="FA Fu?notente1"/>
    <w:basedOn w:val="Normal"/>
    <w:next w:val="Textonotapie"/>
    <w:uiPriority w:val="99"/>
    <w:unhideWhenUsed/>
    <w:rsid w:val="00A403D3"/>
    <w:rPr>
      <w:rFonts w:asciiTheme="minorHAnsi" w:eastAsia="Cambria" w:hAnsiTheme="minorHAnsi" w:cstheme="minorBidi"/>
      <w:sz w:val="20"/>
      <w:szCs w:val="20"/>
      <w:lang w:val="es-MX" w:eastAsia="en-US"/>
    </w:rPr>
  </w:style>
  <w:style w:type="character" w:customStyle="1" w:styleId="Ttulo1Car">
    <w:name w:val="Título 1 Car"/>
    <w:basedOn w:val="Fuentedeprrafopredeter"/>
    <w:link w:val="Ttulo1"/>
    <w:uiPriority w:val="9"/>
    <w:rsid w:val="00603D72"/>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link w:val="Ttulo2"/>
    <w:uiPriority w:val="9"/>
    <w:rsid w:val="00603D72"/>
    <w:rPr>
      <w:rFonts w:asciiTheme="majorHAnsi" w:eastAsiaTheme="majorEastAsia" w:hAnsiTheme="majorHAnsi" w:cstheme="majorBidi"/>
      <w:color w:val="365F91" w:themeColor="accent1" w:themeShade="BF"/>
      <w:sz w:val="26"/>
      <w:szCs w:val="26"/>
      <w:lang w:val="es-ES"/>
    </w:rPr>
  </w:style>
  <w:style w:type="paragraph" w:styleId="Lista">
    <w:name w:val="List"/>
    <w:basedOn w:val="Normal"/>
    <w:uiPriority w:val="99"/>
    <w:unhideWhenUsed/>
    <w:rsid w:val="00603D72"/>
    <w:pPr>
      <w:ind w:left="283" w:hanging="283"/>
      <w:contextualSpacing/>
    </w:pPr>
  </w:style>
  <w:style w:type="paragraph" w:styleId="Lista2">
    <w:name w:val="List 2"/>
    <w:basedOn w:val="Normal"/>
    <w:uiPriority w:val="99"/>
    <w:unhideWhenUsed/>
    <w:rsid w:val="00603D72"/>
    <w:pPr>
      <w:ind w:left="566" w:hanging="283"/>
      <w:contextualSpacing/>
    </w:pPr>
  </w:style>
  <w:style w:type="paragraph" w:styleId="Lista3">
    <w:name w:val="List 3"/>
    <w:basedOn w:val="Normal"/>
    <w:uiPriority w:val="99"/>
    <w:unhideWhenUsed/>
    <w:rsid w:val="00603D72"/>
    <w:pPr>
      <w:ind w:left="849" w:hanging="283"/>
      <w:contextualSpacing/>
    </w:pPr>
  </w:style>
  <w:style w:type="paragraph" w:styleId="Listaconvietas3">
    <w:name w:val="List Bullet 3"/>
    <w:basedOn w:val="Normal"/>
    <w:uiPriority w:val="99"/>
    <w:unhideWhenUsed/>
    <w:rsid w:val="00603D72"/>
    <w:pPr>
      <w:numPr>
        <w:numId w:val="1"/>
      </w:numPr>
      <w:contextualSpacing/>
    </w:pPr>
  </w:style>
  <w:style w:type="paragraph" w:styleId="Continuarlista">
    <w:name w:val="List Continue"/>
    <w:basedOn w:val="Normal"/>
    <w:uiPriority w:val="99"/>
    <w:unhideWhenUsed/>
    <w:rsid w:val="00603D72"/>
    <w:pPr>
      <w:spacing w:after="120"/>
      <w:ind w:left="283"/>
      <w:contextualSpacing/>
    </w:pPr>
  </w:style>
  <w:style w:type="paragraph" w:styleId="Continuarlista2">
    <w:name w:val="List Continue 2"/>
    <w:basedOn w:val="Normal"/>
    <w:uiPriority w:val="99"/>
    <w:unhideWhenUsed/>
    <w:rsid w:val="00603D72"/>
    <w:pPr>
      <w:spacing w:after="120"/>
      <w:ind w:left="566"/>
      <w:contextualSpacing/>
    </w:pPr>
  </w:style>
  <w:style w:type="paragraph" w:styleId="Textoindependiente">
    <w:name w:val="Body Text"/>
    <w:basedOn w:val="Normal"/>
    <w:link w:val="TextoindependienteCar"/>
    <w:uiPriority w:val="99"/>
    <w:unhideWhenUsed/>
    <w:rsid w:val="00603D72"/>
    <w:pPr>
      <w:spacing w:after="120"/>
    </w:pPr>
  </w:style>
  <w:style w:type="character" w:customStyle="1" w:styleId="TextoindependienteCar">
    <w:name w:val="Texto independiente Car"/>
    <w:basedOn w:val="Fuentedeprrafopredeter"/>
    <w:link w:val="Textoindependiente"/>
    <w:uiPriority w:val="99"/>
    <w:rsid w:val="00603D72"/>
    <w:rPr>
      <w:rFonts w:ascii="Times New Roman" w:eastAsia="Times New Roman" w:hAnsi="Times New Roman" w:cs="Times New Roman"/>
      <w:lang w:val="es-ES"/>
    </w:rPr>
  </w:style>
  <w:style w:type="paragraph" w:styleId="Sangradetextonormal">
    <w:name w:val="Body Text Indent"/>
    <w:basedOn w:val="Normal"/>
    <w:link w:val="SangradetextonormalCar"/>
    <w:uiPriority w:val="99"/>
    <w:semiHidden/>
    <w:unhideWhenUsed/>
    <w:rsid w:val="00603D72"/>
    <w:pPr>
      <w:spacing w:after="120"/>
      <w:ind w:left="283"/>
    </w:pPr>
  </w:style>
  <w:style w:type="character" w:customStyle="1" w:styleId="SangradetextonormalCar">
    <w:name w:val="Sangría de texto normal Car"/>
    <w:basedOn w:val="Fuentedeprrafopredeter"/>
    <w:link w:val="Sangradetextonormal"/>
    <w:uiPriority w:val="99"/>
    <w:semiHidden/>
    <w:rsid w:val="00603D72"/>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unhideWhenUsed/>
    <w:rsid w:val="00603D7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03D72"/>
    <w:rPr>
      <w:rFonts w:ascii="Times New Roman" w:eastAsia="Times New Roman" w:hAnsi="Times New Roman" w:cs="Times New Roman"/>
      <w:lang w:val="es-ES"/>
    </w:rPr>
  </w:style>
  <w:style w:type="paragraph" w:customStyle="1" w:styleId="paragraph">
    <w:name w:val="paragraph"/>
    <w:basedOn w:val="Normal"/>
    <w:rsid w:val="00E34821"/>
    <w:pPr>
      <w:spacing w:before="100" w:beforeAutospacing="1" w:after="100" w:afterAutospacing="1"/>
    </w:pPr>
    <w:rPr>
      <w:lang w:val="es-MX"/>
    </w:rPr>
  </w:style>
  <w:style w:type="paragraph" w:customStyle="1" w:styleId="n2">
    <w:name w:val="n2"/>
    <w:basedOn w:val="Normal"/>
    <w:rsid w:val="009D307C"/>
    <w:pPr>
      <w:spacing w:before="100" w:beforeAutospacing="1" w:after="100" w:afterAutospacing="1"/>
    </w:pPr>
    <w:rPr>
      <w:lang w:val="es-MX"/>
    </w:rPr>
  </w:style>
  <w:style w:type="character" w:customStyle="1" w:styleId="u">
    <w:name w:val="u"/>
    <w:basedOn w:val="Fuentedeprrafopredeter"/>
    <w:rsid w:val="009D307C"/>
  </w:style>
  <w:style w:type="paragraph" w:customStyle="1" w:styleId="j1">
    <w:name w:val="j1"/>
    <w:basedOn w:val="Normal"/>
    <w:rsid w:val="009D307C"/>
    <w:pPr>
      <w:spacing w:before="100" w:beforeAutospacing="1" w:after="100" w:afterAutospacing="1"/>
    </w:pPr>
    <w:rPr>
      <w:lang w:val="es-MX"/>
    </w:rPr>
  </w:style>
  <w:style w:type="paragraph" w:customStyle="1" w:styleId="j2">
    <w:name w:val="j2"/>
    <w:basedOn w:val="Normal"/>
    <w:rsid w:val="009D307C"/>
    <w:pPr>
      <w:spacing w:before="100" w:beforeAutospacing="1" w:after="100" w:afterAutospacing="1"/>
    </w:pPr>
    <w:rPr>
      <w:lang w:val="es-MX"/>
    </w:rPr>
  </w:style>
  <w:style w:type="table" w:styleId="Tabladelista1clara-nfasis1">
    <w:name w:val="List Table 1 Light Accent 1"/>
    <w:basedOn w:val="Tablanormal"/>
    <w:uiPriority w:val="46"/>
    <w:rsid w:val="00A01B9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cinsinresolver1">
    <w:name w:val="Mención sin resolver1"/>
    <w:basedOn w:val="Fuentedeprrafopredeter"/>
    <w:uiPriority w:val="99"/>
    <w:semiHidden/>
    <w:unhideWhenUsed/>
    <w:rsid w:val="00457753"/>
    <w:rPr>
      <w:color w:val="605E5C"/>
      <w:shd w:val="clear" w:color="auto" w:fill="E1DFDD"/>
    </w:rPr>
  </w:style>
  <w:style w:type="character" w:customStyle="1" w:styleId="Mencinsinresolver2">
    <w:name w:val="Mención sin resolver2"/>
    <w:basedOn w:val="Fuentedeprrafopredeter"/>
    <w:uiPriority w:val="99"/>
    <w:semiHidden/>
    <w:unhideWhenUsed/>
    <w:rsid w:val="00CE48D4"/>
    <w:rPr>
      <w:color w:val="605E5C"/>
      <w:shd w:val="clear" w:color="auto" w:fill="E1DFDD"/>
    </w:rPr>
  </w:style>
  <w:style w:type="table" w:customStyle="1" w:styleId="Tabladelista1clara-nfasis11">
    <w:name w:val="Tabla de lista 1 clara - Énfasis 11"/>
    <w:basedOn w:val="Tablanormal"/>
    <w:uiPriority w:val="46"/>
    <w:rsid w:val="008F79FD"/>
    <w:rPr>
      <w:rFonts w:eastAsia="MS Mincho"/>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3Car">
    <w:name w:val="Título 3 Car"/>
    <w:basedOn w:val="Fuentedeprrafopredeter"/>
    <w:link w:val="Ttulo3"/>
    <w:uiPriority w:val="9"/>
    <w:semiHidden/>
    <w:rsid w:val="003B73CD"/>
    <w:rPr>
      <w:rFonts w:asciiTheme="majorHAnsi" w:eastAsiaTheme="majorEastAsia" w:hAnsiTheme="majorHAnsi" w:cstheme="majorBidi"/>
      <w:b/>
      <w:bCs/>
      <w:sz w:val="26"/>
      <w:szCs w:val="26"/>
      <w:lang w:val="en-US" w:eastAsia="en-US"/>
    </w:rPr>
  </w:style>
  <w:style w:type="character" w:customStyle="1" w:styleId="Ttulo4Car">
    <w:name w:val="Título 4 Car"/>
    <w:basedOn w:val="Fuentedeprrafopredeter"/>
    <w:link w:val="Ttulo4"/>
    <w:uiPriority w:val="9"/>
    <w:semiHidden/>
    <w:rsid w:val="003B73CD"/>
    <w:rPr>
      <w:b/>
      <w:bCs/>
      <w:sz w:val="28"/>
      <w:szCs w:val="28"/>
      <w:lang w:val="en-US" w:eastAsia="en-US"/>
    </w:rPr>
  </w:style>
  <w:style w:type="character" w:customStyle="1" w:styleId="Ttulo5Car">
    <w:name w:val="Título 5 Car"/>
    <w:basedOn w:val="Fuentedeprrafopredeter"/>
    <w:link w:val="Ttulo5"/>
    <w:uiPriority w:val="9"/>
    <w:semiHidden/>
    <w:rsid w:val="003B73CD"/>
    <w:rPr>
      <w:b/>
      <w:bCs/>
      <w:i/>
      <w:iCs/>
      <w:sz w:val="26"/>
      <w:szCs w:val="26"/>
      <w:lang w:val="en-US" w:eastAsia="en-US"/>
    </w:rPr>
  </w:style>
  <w:style w:type="character" w:customStyle="1" w:styleId="Ttulo6Car">
    <w:name w:val="Título 6 Car"/>
    <w:basedOn w:val="Fuentedeprrafopredeter"/>
    <w:link w:val="Ttulo6"/>
    <w:semiHidden/>
    <w:rsid w:val="003B73CD"/>
    <w:rPr>
      <w:rFonts w:ascii="Times New Roman" w:eastAsia="Times New Roman" w:hAnsi="Times New Roman" w:cs="Times New Roman"/>
      <w:b/>
      <w:bCs/>
      <w:sz w:val="22"/>
      <w:szCs w:val="22"/>
      <w:lang w:val="en-US" w:eastAsia="en-US"/>
    </w:rPr>
  </w:style>
  <w:style w:type="character" w:customStyle="1" w:styleId="Ttulo7Car">
    <w:name w:val="Título 7 Car"/>
    <w:basedOn w:val="Fuentedeprrafopredeter"/>
    <w:link w:val="Ttulo7"/>
    <w:uiPriority w:val="9"/>
    <w:semiHidden/>
    <w:rsid w:val="003B73CD"/>
    <w:rPr>
      <w:lang w:val="en-US" w:eastAsia="en-US"/>
    </w:rPr>
  </w:style>
  <w:style w:type="character" w:customStyle="1" w:styleId="Ttulo8Car">
    <w:name w:val="Título 8 Car"/>
    <w:basedOn w:val="Fuentedeprrafopredeter"/>
    <w:link w:val="Ttulo8"/>
    <w:uiPriority w:val="9"/>
    <w:semiHidden/>
    <w:rsid w:val="003B73CD"/>
    <w:rPr>
      <w:i/>
      <w:iCs/>
      <w:lang w:val="en-US" w:eastAsia="en-US"/>
    </w:rPr>
  </w:style>
  <w:style w:type="character" w:customStyle="1" w:styleId="Ttulo9Car">
    <w:name w:val="Título 9 Car"/>
    <w:basedOn w:val="Fuentedeprrafopredeter"/>
    <w:link w:val="Ttulo9"/>
    <w:uiPriority w:val="9"/>
    <w:semiHidden/>
    <w:rsid w:val="003B73CD"/>
    <w:rPr>
      <w:rFonts w:asciiTheme="majorHAnsi" w:eastAsiaTheme="majorEastAsia" w:hAnsiTheme="majorHAnsi" w:cstheme="majorBidi"/>
      <w:sz w:val="22"/>
      <w:szCs w:val="22"/>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10"/>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7">
    <w:name w:val="7"/>
    <w:basedOn w:val="TableNormal10"/>
    <w:tblPr>
      <w:tblStyleRowBandSize w:val="1"/>
      <w:tblStyleColBandSize w:val="1"/>
      <w:tblCellMar>
        <w:left w:w="115" w:type="dxa"/>
        <w:right w:w="115" w:type="dxa"/>
      </w:tblCellMar>
    </w:tblPr>
  </w:style>
  <w:style w:type="table" w:customStyle="1" w:styleId="6">
    <w:name w:val="6"/>
    <w:basedOn w:val="TableNormal10"/>
    <w:tblPr>
      <w:tblStyleRowBandSize w:val="1"/>
      <w:tblStyleColBandSize w:val="1"/>
      <w:tblCellMar>
        <w:left w:w="115" w:type="dxa"/>
        <w:right w:w="115" w:type="dxa"/>
      </w:tblCellMar>
    </w:tblPr>
  </w:style>
  <w:style w:type="table" w:customStyle="1" w:styleId="5">
    <w:name w:val="5"/>
    <w:basedOn w:val="TableNormal10"/>
    <w:tblPr>
      <w:tblStyleRowBandSize w:val="1"/>
      <w:tblStyleColBandSize w:val="1"/>
      <w:tblCellMar>
        <w:left w:w="108" w:type="dxa"/>
        <w:right w:w="108"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left w:w="115" w:type="dxa"/>
        <w:right w:w="115" w:type="dxa"/>
      </w:tblCellMar>
    </w:tblPr>
  </w:style>
  <w:style w:type="table" w:customStyle="1" w:styleId="2">
    <w:name w:val="2"/>
    <w:basedOn w:val="TableNormal10"/>
    <w:tblPr>
      <w:tblStyleRowBandSize w:val="1"/>
      <w:tblStyleColBandSize w:val="1"/>
      <w:tblCellMar>
        <w:left w:w="115" w:type="dxa"/>
        <w:right w:w="115" w:type="dxa"/>
      </w:tblCellMar>
    </w:tblPr>
  </w:style>
  <w:style w:type="table" w:customStyle="1" w:styleId="1">
    <w:name w:val="1"/>
    <w:basedOn w:val="TableNormal10"/>
    <w:tblPr>
      <w:tblStyleRowBandSize w:val="1"/>
      <w:tblStyleColBandSize w:val="1"/>
      <w:tblCellMar>
        <w:left w:w="115" w:type="dxa"/>
        <w:right w:w="115" w:type="dxa"/>
      </w:tblCellMar>
    </w:tblPr>
  </w:style>
  <w:style w:type="table" w:customStyle="1" w:styleId="Tablaconcuadrcula1">
    <w:name w:val="Tabla con cuadrícula1"/>
    <w:basedOn w:val="Tablanormal"/>
    <w:next w:val="Tablaconcuadrcula"/>
    <w:uiPriority w:val="59"/>
    <w:rsid w:val="0031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customStyle="1" w:styleId="Mencinsinresolver3">
    <w:name w:val="Mención sin resolver3"/>
    <w:basedOn w:val="Fuentedeprrafopredeter"/>
    <w:uiPriority w:val="99"/>
    <w:semiHidden/>
    <w:unhideWhenUsed/>
    <w:rsid w:val="00D107DB"/>
    <w:rPr>
      <w:color w:val="605E5C"/>
      <w:shd w:val="clear" w:color="auto" w:fill="E1DFDD"/>
    </w:rPr>
  </w:style>
  <w:style w:type="character" w:customStyle="1" w:styleId="Mencinsinresolver4">
    <w:name w:val="Mención sin resolver4"/>
    <w:basedOn w:val="Fuentedeprrafopredeter"/>
    <w:uiPriority w:val="99"/>
    <w:semiHidden/>
    <w:unhideWhenUsed/>
    <w:rsid w:val="00FB0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5078">
      <w:bodyDiv w:val="1"/>
      <w:marLeft w:val="0"/>
      <w:marRight w:val="0"/>
      <w:marTop w:val="0"/>
      <w:marBottom w:val="0"/>
      <w:divBdr>
        <w:top w:val="none" w:sz="0" w:space="0" w:color="auto"/>
        <w:left w:val="none" w:sz="0" w:space="0" w:color="auto"/>
        <w:bottom w:val="none" w:sz="0" w:space="0" w:color="auto"/>
        <w:right w:val="none" w:sz="0" w:space="0" w:color="auto"/>
      </w:divBdr>
    </w:div>
    <w:div w:id="169375447">
      <w:bodyDiv w:val="1"/>
      <w:marLeft w:val="0"/>
      <w:marRight w:val="0"/>
      <w:marTop w:val="0"/>
      <w:marBottom w:val="0"/>
      <w:divBdr>
        <w:top w:val="none" w:sz="0" w:space="0" w:color="auto"/>
        <w:left w:val="none" w:sz="0" w:space="0" w:color="auto"/>
        <w:bottom w:val="none" w:sz="0" w:space="0" w:color="auto"/>
        <w:right w:val="none" w:sz="0" w:space="0" w:color="auto"/>
      </w:divBdr>
    </w:div>
    <w:div w:id="197740412">
      <w:bodyDiv w:val="1"/>
      <w:marLeft w:val="0"/>
      <w:marRight w:val="0"/>
      <w:marTop w:val="0"/>
      <w:marBottom w:val="0"/>
      <w:divBdr>
        <w:top w:val="none" w:sz="0" w:space="0" w:color="auto"/>
        <w:left w:val="none" w:sz="0" w:space="0" w:color="auto"/>
        <w:bottom w:val="none" w:sz="0" w:space="0" w:color="auto"/>
        <w:right w:val="none" w:sz="0" w:space="0" w:color="auto"/>
      </w:divBdr>
    </w:div>
    <w:div w:id="285547747">
      <w:bodyDiv w:val="1"/>
      <w:marLeft w:val="0"/>
      <w:marRight w:val="0"/>
      <w:marTop w:val="0"/>
      <w:marBottom w:val="0"/>
      <w:divBdr>
        <w:top w:val="none" w:sz="0" w:space="0" w:color="auto"/>
        <w:left w:val="none" w:sz="0" w:space="0" w:color="auto"/>
        <w:bottom w:val="none" w:sz="0" w:space="0" w:color="auto"/>
        <w:right w:val="none" w:sz="0" w:space="0" w:color="auto"/>
      </w:divBdr>
    </w:div>
    <w:div w:id="434177875">
      <w:bodyDiv w:val="1"/>
      <w:marLeft w:val="0"/>
      <w:marRight w:val="0"/>
      <w:marTop w:val="0"/>
      <w:marBottom w:val="0"/>
      <w:divBdr>
        <w:top w:val="none" w:sz="0" w:space="0" w:color="auto"/>
        <w:left w:val="none" w:sz="0" w:space="0" w:color="auto"/>
        <w:bottom w:val="none" w:sz="0" w:space="0" w:color="auto"/>
        <w:right w:val="none" w:sz="0" w:space="0" w:color="auto"/>
      </w:divBdr>
    </w:div>
    <w:div w:id="571158440">
      <w:bodyDiv w:val="1"/>
      <w:marLeft w:val="0"/>
      <w:marRight w:val="0"/>
      <w:marTop w:val="0"/>
      <w:marBottom w:val="0"/>
      <w:divBdr>
        <w:top w:val="none" w:sz="0" w:space="0" w:color="auto"/>
        <w:left w:val="none" w:sz="0" w:space="0" w:color="auto"/>
        <w:bottom w:val="none" w:sz="0" w:space="0" w:color="auto"/>
        <w:right w:val="none" w:sz="0" w:space="0" w:color="auto"/>
      </w:divBdr>
    </w:div>
    <w:div w:id="733434824">
      <w:bodyDiv w:val="1"/>
      <w:marLeft w:val="0"/>
      <w:marRight w:val="0"/>
      <w:marTop w:val="0"/>
      <w:marBottom w:val="0"/>
      <w:divBdr>
        <w:top w:val="none" w:sz="0" w:space="0" w:color="auto"/>
        <w:left w:val="none" w:sz="0" w:space="0" w:color="auto"/>
        <w:bottom w:val="none" w:sz="0" w:space="0" w:color="auto"/>
        <w:right w:val="none" w:sz="0" w:space="0" w:color="auto"/>
      </w:divBdr>
    </w:div>
    <w:div w:id="1960139254">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
    <w:div w:id="205226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QlA0Qjmw2jwvJsd/L7/zv2FQIA==">CgMxLjAyCGgudHlqY3d0MgloLjN6bnlzaDcyCWguMWZvYjl0ZTIJaC4yZXQ5MnAwOAByITFHQWNhUXVPekIweldnb192WkZldlVCSWs5QXI2aVNEVw==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2352EB-3395-4D84-99B8-2D46AD79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14863</Words>
  <Characters>81748</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Maricela Villagómez Martínez</cp:lastModifiedBy>
  <cp:revision>2</cp:revision>
  <dcterms:created xsi:type="dcterms:W3CDTF">2026-04-07T18:38:00Z</dcterms:created>
  <dcterms:modified xsi:type="dcterms:W3CDTF">2026-04-07T18:38:00Z</dcterms:modified>
</cp:coreProperties>
</file>