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83F6052" w:rsidR="00C4052B" w:rsidRPr="00C13683" w:rsidRDefault="00C4052B" w:rsidP="001162C4">
          <w:pPr>
            <w:pStyle w:val="TtulodeTDC"/>
            <w:spacing w:before="0" w:line="360" w:lineRule="auto"/>
            <w:jc w:val="center"/>
            <w:rPr>
              <w:rFonts w:ascii="Palatino Linotype" w:hAnsi="Palatino Linotype"/>
              <w:color w:val="auto"/>
              <w:sz w:val="22"/>
              <w:szCs w:val="22"/>
            </w:rPr>
          </w:pPr>
          <w:r w:rsidRPr="00C13683">
            <w:rPr>
              <w:rFonts w:ascii="Palatino Linotype" w:hAnsi="Palatino Linotype"/>
              <w:color w:val="auto"/>
              <w:sz w:val="22"/>
              <w:szCs w:val="22"/>
              <w:lang w:val="es-ES"/>
            </w:rPr>
            <w:t xml:space="preserve">RESOLUCIÓN DEL RECURSO DE REVISIÓN </w:t>
          </w:r>
          <w:r w:rsidR="007E7797" w:rsidRPr="00C13683">
            <w:rPr>
              <w:rFonts w:ascii="Palatino Linotype" w:hAnsi="Palatino Linotype"/>
              <w:color w:val="auto"/>
              <w:sz w:val="22"/>
              <w:szCs w:val="22"/>
            </w:rPr>
            <w:t>10326</w:t>
          </w:r>
          <w:r w:rsidR="000D392E" w:rsidRPr="00C13683">
            <w:rPr>
              <w:rFonts w:ascii="Palatino Linotype" w:hAnsi="Palatino Linotype"/>
              <w:color w:val="auto"/>
              <w:sz w:val="22"/>
              <w:szCs w:val="22"/>
            </w:rPr>
            <w:t>/INFOEM/IP/RR/2025</w:t>
          </w:r>
        </w:p>
        <w:p w14:paraId="73933EFA" w14:textId="77777777" w:rsidR="00C4052B" w:rsidRPr="00C13683" w:rsidRDefault="00C4052B" w:rsidP="001162C4">
          <w:pPr>
            <w:spacing w:after="0" w:line="360" w:lineRule="auto"/>
          </w:pPr>
        </w:p>
        <w:p w14:paraId="228EFD37" w14:textId="77777777" w:rsidR="0057076C" w:rsidRPr="00C13683" w:rsidRDefault="00C4052B">
          <w:pPr>
            <w:pStyle w:val="TDC1"/>
            <w:tabs>
              <w:tab w:val="right" w:leader="dot" w:pos="8921"/>
            </w:tabs>
            <w:rPr>
              <w:rFonts w:asciiTheme="minorHAnsi" w:eastAsiaTheme="minorEastAsia" w:hAnsiTheme="minorHAnsi" w:cstheme="minorBidi"/>
              <w:noProof/>
              <w:color w:val="auto"/>
            </w:rPr>
          </w:pPr>
          <w:r w:rsidRPr="00C13683">
            <w:fldChar w:fldCharType="begin"/>
          </w:r>
          <w:r w:rsidRPr="00C13683">
            <w:instrText xml:space="preserve"> TOC \o "1-3" \h \z \u </w:instrText>
          </w:r>
          <w:r w:rsidRPr="00C13683">
            <w:fldChar w:fldCharType="separate"/>
          </w:r>
          <w:hyperlink w:anchor="_Toc219289820" w:history="1">
            <w:r w:rsidR="0057076C" w:rsidRPr="00C13683">
              <w:rPr>
                <w:rStyle w:val="Hipervnculo"/>
                <w:noProof/>
              </w:rPr>
              <w:t>A N T E C E D E N T E S</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_Toc219289820 \h </w:instrText>
            </w:r>
            <w:r w:rsidR="0057076C" w:rsidRPr="00C13683">
              <w:rPr>
                <w:noProof/>
                <w:webHidden/>
              </w:rPr>
            </w:r>
            <w:r w:rsidR="0057076C" w:rsidRPr="00C13683">
              <w:rPr>
                <w:noProof/>
                <w:webHidden/>
              </w:rPr>
              <w:fldChar w:fldCharType="separate"/>
            </w:r>
            <w:r w:rsidR="007F09B6">
              <w:rPr>
                <w:noProof/>
                <w:webHidden/>
              </w:rPr>
              <w:t>2</w:t>
            </w:r>
            <w:r w:rsidR="0057076C" w:rsidRPr="00C13683">
              <w:rPr>
                <w:noProof/>
                <w:webHidden/>
              </w:rPr>
              <w:fldChar w:fldCharType="end"/>
            </w:r>
          </w:hyperlink>
        </w:p>
        <w:p w14:paraId="6294FAC0"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1" w:history="1">
            <w:r w:rsidR="0057076C" w:rsidRPr="00C13683">
              <w:rPr>
                <w:rStyle w:val="Hipervnculo"/>
                <w:noProof/>
                <w:lang w:eastAsia="es-ES"/>
              </w:rPr>
              <w:t>I. Presentación de la solicitud de información</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_Toc219289821 \h </w:instrText>
            </w:r>
            <w:r w:rsidR="0057076C" w:rsidRPr="00C13683">
              <w:rPr>
                <w:noProof/>
                <w:webHidden/>
              </w:rPr>
            </w:r>
            <w:r w:rsidR="0057076C" w:rsidRPr="00C13683">
              <w:rPr>
                <w:noProof/>
                <w:webHidden/>
              </w:rPr>
              <w:fldChar w:fldCharType="separate"/>
            </w:r>
            <w:r w:rsidR="007F09B6">
              <w:rPr>
                <w:noProof/>
                <w:webHidden/>
              </w:rPr>
              <w:t>2</w:t>
            </w:r>
            <w:r w:rsidR="0057076C" w:rsidRPr="00C13683">
              <w:rPr>
                <w:noProof/>
                <w:webHidden/>
              </w:rPr>
              <w:fldChar w:fldCharType="end"/>
            </w:r>
          </w:hyperlink>
        </w:p>
        <w:p w14:paraId="08647471"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2" w:history="1">
            <w:r w:rsidR="0057076C" w:rsidRPr="00C13683">
              <w:rPr>
                <w:rStyle w:val="Hipervnculo"/>
                <w:rFonts w:cs="Tahoma"/>
                <w:noProof/>
              </w:rPr>
              <w:t>II.</w:t>
            </w:r>
            <w:r w:rsidR="0057076C" w:rsidRPr="00C13683">
              <w:rPr>
                <w:rStyle w:val="Hipervnculo"/>
                <w:noProof/>
              </w:rPr>
              <w:t xml:space="preserve"> Respuesta del Sujeto Obligado</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_Toc219289822 \h </w:instrText>
            </w:r>
            <w:r w:rsidR="0057076C" w:rsidRPr="00C13683">
              <w:rPr>
                <w:noProof/>
                <w:webHidden/>
              </w:rPr>
            </w:r>
            <w:r w:rsidR="0057076C" w:rsidRPr="00C13683">
              <w:rPr>
                <w:noProof/>
                <w:webHidden/>
              </w:rPr>
              <w:fldChar w:fldCharType="separate"/>
            </w:r>
            <w:r w:rsidR="007F09B6">
              <w:rPr>
                <w:noProof/>
                <w:webHidden/>
              </w:rPr>
              <w:t>3</w:t>
            </w:r>
            <w:r w:rsidR="0057076C" w:rsidRPr="00C13683">
              <w:rPr>
                <w:noProof/>
                <w:webHidden/>
              </w:rPr>
              <w:fldChar w:fldCharType="end"/>
            </w:r>
          </w:hyperlink>
        </w:p>
        <w:p w14:paraId="10D3BA9E"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3" w:history="1">
            <w:r w:rsidR="0057076C" w:rsidRPr="00C13683">
              <w:rPr>
                <w:rStyle w:val="Hipervnculo"/>
                <w:noProof/>
              </w:rPr>
              <w:t>III. Interposición del Recurso de Revisión</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_Toc219289823 \h </w:instrText>
            </w:r>
            <w:r w:rsidR="0057076C" w:rsidRPr="00C13683">
              <w:rPr>
                <w:noProof/>
                <w:webHidden/>
              </w:rPr>
            </w:r>
            <w:r w:rsidR="0057076C" w:rsidRPr="00C13683">
              <w:rPr>
                <w:noProof/>
                <w:webHidden/>
              </w:rPr>
              <w:fldChar w:fldCharType="separate"/>
            </w:r>
            <w:r w:rsidR="007F09B6">
              <w:rPr>
                <w:noProof/>
                <w:webHidden/>
              </w:rPr>
              <w:t>4</w:t>
            </w:r>
            <w:r w:rsidR="0057076C" w:rsidRPr="00C13683">
              <w:rPr>
                <w:noProof/>
                <w:webHidden/>
              </w:rPr>
              <w:fldChar w:fldCharType="end"/>
            </w:r>
          </w:hyperlink>
        </w:p>
        <w:p w14:paraId="25AAEF48"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4" w:history="1">
            <w:r w:rsidR="0057076C" w:rsidRPr="00C13683">
              <w:rPr>
                <w:rStyle w:val="Hipervnculo"/>
                <w:noProof/>
              </w:rPr>
              <w:t>IV. Trámite del Recurso de Revisión ante este Instituto</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_Toc219289824 \h </w:instrText>
            </w:r>
            <w:r w:rsidR="0057076C" w:rsidRPr="00C13683">
              <w:rPr>
                <w:noProof/>
                <w:webHidden/>
              </w:rPr>
            </w:r>
            <w:r w:rsidR="0057076C" w:rsidRPr="00C13683">
              <w:rPr>
                <w:noProof/>
                <w:webHidden/>
              </w:rPr>
              <w:fldChar w:fldCharType="separate"/>
            </w:r>
            <w:r w:rsidR="007F09B6">
              <w:rPr>
                <w:noProof/>
                <w:webHidden/>
              </w:rPr>
              <w:t>6</w:t>
            </w:r>
            <w:r w:rsidR="0057076C" w:rsidRPr="00C13683">
              <w:rPr>
                <w:noProof/>
                <w:webHidden/>
              </w:rPr>
              <w:fldChar w:fldCharType="end"/>
            </w:r>
          </w:hyperlink>
        </w:p>
        <w:p w14:paraId="29AA5342" w14:textId="77777777" w:rsidR="0057076C" w:rsidRPr="00C13683" w:rsidRDefault="00CC34AF">
          <w:pPr>
            <w:pStyle w:val="TDC1"/>
            <w:tabs>
              <w:tab w:val="right" w:leader="dot" w:pos="8921"/>
            </w:tabs>
            <w:rPr>
              <w:rFonts w:asciiTheme="minorHAnsi" w:eastAsiaTheme="minorEastAsia" w:hAnsiTheme="minorHAnsi" w:cstheme="minorBidi"/>
              <w:noProof/>
              <w:color w:val="auto"/>
            </w:rPr>
          </w:pPr>
          <w:hyperlink w:anchor="_Toc219289825" w:history="1">
            <w:r w:rsidR="0057076C" w:rsidRPr="00C13683">
              <w:rPr>
                <w:rStyle w:val="Hipervnculo"/>
                <w:noProof/>
              </w:rPr>
              <w:t>C O N S I D E R A N D O S</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_Toc219289825 \h </w:instrText>
            </w:r>
            <w:r w:rsidR="0057076C" w:rsidRPr="00C13683">
              <w:rPr>
                <w:noProof/>
                <w:webHidden/>
              </w:rPr>
            </w:r>
            <w:r w:rsidR="0057076C" w:rsidRPr="00C13683">
              <w:rPr>
                <w:noProof/>
                <w:webHidden/>
              </w:rPr>
              <w:fldChar w:fldCharType="separate"/>
            </w:r>
            <w:r w:rsidR="007F09B6">
              <w:rPr>
                <w:noProof/>
                <w:webHidden/>
              </w:rPr>
              <w:t>8</w:t>
            </w:r>
            <w:r w:rsidR="0057076C" w:rsidRPr="00C13683">
              <w:rPr>
                <w:noProof/>
                <w:webHidden/>
              </w:rPr>
              <w:fldChar w:fldCharType="end"/>
            </w:r>
          </w:hyperlink>
        </w:p>
        <w:p w14:paraId="0648C400"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6" w:history="1">
            <w:r w:rsidR="0057076C" w:rsidRPr="00C13683">
              <w:rPr>
                <w:rStyle w:val="Hipervnculo"/>
                <w:noProof/>
              </w:rPr>
              <w:t>PRIMERO. Competencia</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_Toc219289826 \h </w:instrText>
            </w:r>
            <w:r w:rsidR="0057076C" w:rsidRPr="00C13683">
              <w:rPr>
                <w:noProof/>
                <w:webHidden/>
              </w:rPr>
            </w:r>
            <w:r w:rsidR="0057076C" w:rsidRPr="00C13683">
              <w:rPr>
                <w:noProof/>
                <w:webHidden/>
              </w:rPr>
              <w:fldChar w:fldCharType="separate"/>
            </w:r>
            <w:r w:rsidR="007F09B6">
              <w:rPr>
                <w:noProof/>
                <w:webHidden/>
              </w:rPr>
              <w:t>8</w:t>
            </w:r>
            <w:r w:rsidR="0057076C" w:rsidRPr="00C13683">
              <w:rPr>
                <w:noProof/>
                <w:webHidden/>
              </w:rPr>
              <w:fldChar w:fldCharType="end"/>
            </w:r>
          </w:hyperlink>
        </w:p>
        <w:p w14:paraId="3093F03E"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7" w:history="1">
            <w:r w:rsidR="0057076C" w:rsidRPr="00C13683">
              <w:rPr>
                <w:rStyle w:val="Hipervnculo"/>
                <w:noProof/>
              </w:rPr>
              <w:t>SEGUNDO. Causales de improcedencia y sobreseimiento</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_Toc219289827 \h </w:instrText>
            </w:r>
            <w:r w:rsidR="0057076C" w:rsidRPr="00C13683">
              <w:rPr>
                <w:noProof/>
                <w:webHidden/>
              </w:rPr>
            </w:r>
            <w:r w:rsidR="0057076C" w:rsidRPr="00C13683">
              <w:rPr>
                <w:noProof/>
                <w:webHidden/>
              </w:rPr>
              <w:fldChar w:fldCharType="separate"/>
            </w:r>
            <w:r w:rsidR="007F09B6">
              <w:rPr>
                <w:noProof/>
                <w:webHidden/>
              </w:rPr>
              <w:t>8</w:t>
            </w:r>
            <w:r w:rsidR="0057076C" w:rsidRPr="00C13683">
              <w:rPr>
                <w:noProof/>
                <w:webHidden/>
              </w:rPr>
              <w:fldChar w:fldCharType="end"/>
            </w:r>
          </w:hyperlink>
        </w:p>
        <w:p w14:paraId="367455DD"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8" w:history="1">
            <w:r w:rsidR="0057076C" w:rsidRPr="00C13683">
              <w:rPr>
                <w:rStyle w:val="Hipervnculo"/>
                <w:noProof/>
              </w:rPr>
              <w:t>TERCERO. Determinación de la Controversia</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_Toc219289828 \h </w:instrText>
            </w:r>
            <w:r w:rsidR="0057076C" w:rsidRPr="00C13683">
              <w:rPr>
                <w:noProof/>
                <w:webHidden/>
              </w:rPr>
            </w:r>
            <w:r w:rsidR="0057076C" w:rsidRPr="00C13683">
              <w:rPr>
                <w:noProof/>
                <w:webHidden/>
              </w:rPr>
              <w:fldChar w:fldCharType="separate"/>
            </w:r>
            <w:r w:rsidR="007F09B6">
              <w:rPr>
                <w:noProof/>
                <w:webHidden/>
              </w:rPr>
              <w:t>10</w:t>
            </w:r>
            <w:r w:rsidR="0057076C" w:rsidRPr="00C13683">
              <w:rPr>
                <w:noProof/>
                <w:webHidden/>
              </w:rPr>
              <w:fldChar w:fldCharType="end"/>
            </w:r>
          </w:hyperlink>
        </w:p>
        <w:p w14:paraId="280EC2DF"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29" w:history="1">
            <w:r w:rsidR="0057076C" w:rsidRPr="00C13683">
              <w:rPr>
                <w:rStyle w:val="Hipervnculo"/>
                <w:noProof/>
              </w:rPr>
              <w:t>CUARTO. Marco normativo aplicable en materia de transparencia y acceso a la información pública</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_Toc219289829 \h </w:instrText>
            </w:r>
            <w:r w:rsidR="0057076C" w:rsidRPr="00C13683">
              <w:rPr>
                <w:noProof/>
                <w:webHidden/>
              </w:rPr>
            </w:r>
            <w:r w:rsidR="0057076C" w:rsidRPr="00C13683">
              <w:rPr>
                <w:noProof/>
                <w:webHidden/>
              </w:rPr>
              <w:fldChar w:fldCharType="separate"/>
            </w:r>
            <w:r w:rsidR="007F09B6">
              <w:rPr>
                <w:noProof/>
                <w:webHidden/>
              </w:rPr>
              <w:t>11</w:t>
            </w:r>
            <w:r w:rsidR="0057076C" w:rsidRPr="00C13683">
              <w:rPr>
                <w:noProof/>
                <w:webHidden/>
              </w:rPr>
              <w:fldChar w:fldCharType="end"/>
            </w:r>
          </w:hyperlink>
        </w:p>
        <w:p w14:paraId="5956B8B5"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30" w:history="1">
            <w:r w:rsidR="0057076C" w:rsidRPr="00C13683">
              <w:rPr>
                <w:rStyle w:val="Hipervnculo"/>
                <w:noProof/>
              </w:rPr>
              <w:t>QUINTO. Estudio de Fondo</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_Toc219289830 \h </w:instrText>
            </w:r>
            <w:r w:rsidR="0057076C" w:rsidRPr="00C13683">
              <w:rPr>
                <w:noProof/>
                <w:webHidden/>
              </w:rPr>
            </w:r>
            <w:r w:rsidR="0057076C" w:rsidRPr="00C13683">
              <w:rPr>
                <w:noProof/>
                <w:webHidden/>
              </w:rPr>
              <w:fldChar w:fldCharType="separate"/>
            </w:r>
            <w:r w:rsidR="007F09B6">
              <w:rPr>
                <w:noProof/>
                <w:webHidden/>
              </w:rPr>
              <w:t>13</w:t>
            </w:r>
            <w:r w:rsidR="0057076C" w:rsidRPr="00C13683">
              <w:rPr>
                <w:noProof/>
                <w:webHidden/>
              </w:rPr>
              <w:fldChar w:fldCharType="end"/>
            </w:r>
          </w:hyperlink>
        </w:p>
        <w:p w14:paraId="6EF8CD78" w14:textId="77777777" w:rsidR="0057076C" w:rsidRPr="00C13683" w:rsidRDefault="00CC34AF">
          <w:pPr>
            <w:pStyle w:val="TDC2"/>
            <w:tabs>
              <w:tab w:val="right" w:leader="dot" w:pos="8921"/>
            </w:tabs>
            <w:rPr>
              <w:rFonts w:asciiTheme="minorHAnsi" w:eastAsiaTheme="minorEastAsia" w:hAnsiTheme="minorHAnsi" w:cstheme="minorBidi"/>
              <w:noProof/>
              <w:color w:val="auto"/>
            </w:rPr>
          </w:pPr>
          <w:hyperlink w:anchor="_Toc219289831" w:history="1">
            <w:r w:rsidR="0057076C" w:rsidRPr="00C13683">
              <w:rPr>
                <w:rStyle w:val="Hipervnculo"/>
                <w:noProof/>
              </w:rPr>
              <w:t>SEXTO. Decisión</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_Toc219289831 \h </w:instrText>
            </w:r>
            <w:r w:rsidR="0057076C" w:rsidRPr="00C13683">
              <w:rPr>
                <w:noProof/>
                <w:webHidden/>
              </w:rPr>
            </w:r>
            <w:r w:rsidR="0057076C" w:rsidRPr="00C13683">
              <w:rPr>
                <w:noProof/>
                <w:webHidden/>
              </w:rPr>
              <w:fldChar w:fldCharType="separate"/>
            </w:r>
            <w:r w:rsidR="007F09B6">
              <w:rPr>
                <w:noProof/>
                <w:webHidden/>
              </w:rPr>
              <w:t>50</w:t>
            </w:r>
            <w:r w:rsidR="0057076C" w:rsidRPr="00C13683">
              <w:rPr>
                <w:noProof/>
                <w:webHidden/>
              </w:rPr>
              <w:fldChar w:fldCharType="end"/>
            </w:r>
          </w:hyperlink>
        </w:p>
        <w:p w14:paraId="59EF6D01" w14:textId="77777777" w:rsidR="0057076C" w:rsidRPr="00C13683" w:rsidRDefault="00CC34AF">
          <w:pPr>
            <w:pStyle w:val="TDC1"/>
            <w:tabs>
              <w:tab w:val="right" w:leader="dot" w:pos="8921"/>
            </w:tabs>
            <w:rPr>
              <w:rFonts w:asciiTheme="minorHAnsi" w:eastAsiaTheme="minorEastAsia" w:hAnsiTheme="minorHAnsi" w:cstheme="minorBidi"/>
              <w:noProof/>
              <w:color w:val="auto"/>
            </w:rPr>
          </w:pPr>
          <w:hyperlink w:anchor="_Toc219289832" w:history="1">
            <w:r w:rsidR="0057076C" w:rsidRPr="00C13683">
              <w:rPr>
                <w:rStyle w:val="Hipervnculo"/>
                <w:noProof/>
              </w:rPr>
              <w:t>R E S U E L V E</w:t>
            </w:r>
            <w:r w:rsidR="0057076C" w:rsidRPr="00C13683">
              <w:rPr>
                <w:noProof/>
                <w:webHidden/>
              </w:rPr>
              <w:tab/>
            </w:r>
            <w:r w:rsidR="0057076C" w:rsidRPr="00C13683">
              <w:rPr>
                <w:noProof/>
                <w:webHidden/>
              </w:rPr>
              <w:fldChar w:fldCharType="begin"/>
            </w:r>
            <w:r w:rsidR="0057076C" w:rsidRPr="00C13683">
              <w:rPr>
                <w:noProof/>
                <w:webHidden/>
              </w:rPr>
              <w:instrText xml:space="preserve"> PAGEREF _Toc219289832 \h </w:instrText>
            </w:r>
            <w:r w:rsidR="0057076C" w:rsidRPr="00C13683">
              <w:rPr>
                <w:noProof/>
                <w:webHidden/>
              </w:rPr>
            </w:r>
            <w:r w:rsidR="0057076C" w:rsidRPr="00C13683">
              <w:rPr>
                <w:noProof/>
                <w:webHidden/>
              </w:rPr>
              <w:fldChar w:fldCharType="separate"/>
            </w:r>
            <w:r w:rsidR="007F09B6">
              <w:rPr>
                <w:noProof/>
                <w:webHidden/>
              </w:rPr>
              <w:t>51</w:t>
            </w:r>
            <w:r w:rsidR="0057076C" w:rsidRPr="00C13683">
              <w:rPr>
                <w:noProof/>
                <w:webHidden/>
              </w:rPr>
              <w:fldChar w:fldCharType="end"/>
            </w:r>
          </w:hyperlink>
        </w:p>
        <w:p w14:paraId="5B9D6C11" w14:textId="331DCCD6" w:rsidR="00C4052B" w:rsidRPr="00C13683" w:rsidRDefault="00C4052B" w:rsidP="001162C4">
          <w:pPr>
            <w:spacing w:after="0" w:line="360" w:lineRule="auto"/>
          </w:pPr>
          <w:r w:rsidRPr="00C13683">
            <w:rPr>
              <w:b/>
              <w:bCs/>
              <w:lang w:val="es-ES"/>
            </w:rPr>
            <w:fldChar w:fldCharType="end"/>
          </w:r>
        </w:p>
      </w:sdtContent>
    </w:sdt>
    <w:p w14:paraId="57481942" w14:textId="77777777" w:rsidR="00C4052B" w:rsidRPr="00C13683" w:rsidRDefault="00C4052B" w:rsidP="001162C4">
      <w:pPr>
        <w:tabs>
          <w:tab w:val="left" w:pos="8931"/>
        </w:tabs>
        <w:spacing w:after="0" w:line="360" w:lineRule="auto"/>
      </w:pPr>
    </w:p>
    <w:p w14:paraId="411B5995" w14:textId="77777777" w:rsidR="00C4052B" w:rsidRPr="00C13683" w:rsidRDefault="00C4052B" w:rsidP="001162C4">
      <w:pPr>
        <w:tabs>
          <w:tab w:val="left" w:pos="8931"/>
        </w:tabs>
        <w:spacing w:after="0" w:line="360" w:lineRule="auto"/>
      </w:pPr>
    </w:p>
    <w:p w14:paraId="6784625D" w14:textId="77777777" w:rsidR="00C4052B" w:rsidRPr="00C13683" w:rsidRDefault="00C4052B" w:rsidP="001162C4">
      <w:pPr>
        <w:tabs>
          <w:tab w:val="left" w:pos="8931"/>
        </w:tabs>
        <w:spacing w:after="0" w:line="360" w:lineRule="auto"/>
      </w:pPr>
    </w:p>
    <w:p w14:paraId="140888DD" w14:textId="77777777" w:rsidR="00C4052B" w:rsidRPr="00C13683" w:rsidRDefault="00C4052B" w:rsidP="001162C4">
      <w:pPr>
        <w:tabs>
          <w:tab w:val="left" w:pos="8931"/>
        </w:tabs>
        <w:spacing w:after="0" w:line="360" w:lineRule="auto"/>
      </w:pPr>
    </w:p>
    <w:p w14:paraId="46268890" w14:textId="77777777" w:rsidR="00C4052B" w:rsidRPr="00C13683" w:rsidRDefault="00C4052B" w:rsidP="001162C4">
      <w:pPr>
        <w:tabs>
          <w:tab w:val="left" w:pos="8931"/>
        </w:tabs>
        <w:spacing w:after="0" w:line="360" w:lineRule="auto"/>
      </w:pPr>
    </w:p>
    <w:p w14:paraId="147CC638" w14:textId="77777777" w:rsidR="00C4052B" w:rsidRPr="00C13683" w:rsidRDefault="00C4052B" w:rsidP="001162C4">
      <w:pPr>
        <w:tabs>
          <w:tab w:val="left" w:pos="8931"/>
        </w:tabs>
        <w:spacing w:after="0" w:line="360" w:lineRule="auto"/>
      </w:pPr>
    </w:p>
    <w:p w14:paraId="01BB5716" w14:textId="77777777" w:rsidR="00C4052B" w:rsidRPr="00C13683" w:rsidRDefault="00C4052B" w:rsidP="001162C4">
      <w:pPr>
        <w:tabs>
          <w:tab w:val="left" w:pos="8931"/>
        </w:tabs>
        <w:spacing w:after="0" w:line="360" w:lineRule="auto"/>
      </w:pPr>
    </w:p>
    <w:p w14:paraId="62C1CEC9" w14:textId="77777777" w:rsidR="00C4052B" w:rsidRPr="00C13683" w:rsidRDefault="00C4052B" w:rsidP="001162C4">
      <w:pPr>
        <w:tabs>
          <w:tab w:val="left" w:pos="8931"/>
        </w:tabs>
        <w:spacing w:after="0" w:line="360" w:lineRule="auto"/>
      </w:pPr>
    </w:p>
    <w:p w14:paraId="3FB7EB5E" w14:textId="4F7C78F7" w:rsidR="005C690F" w:rsidRPr="00C13683" w:rsidRDefault="007D6307" w:rsidP="001162C4">
      <w:pPr>
        <w:tabs>
          <w:tab w:val="left" w:pos="8931"/>
        </w:tabs>
        <w:spacing w:after="0" w:line="360" w:lineRule="auto"/>
      </w:pPr>
      <w:r w:rsidRPr="00C13683">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13683">
        <w:t xml:space="preserve">fecha </w:t>
      </w:r>
      <w:r w:rsidR="00CA7C7A" w:rsidRPr="00C13683">
        <w:t>veintiuno de enero</w:t>
      </w:r>
      <w:r w:rsidR="00CF7AA5" w:rsidRPr="00C13683">
        <w:t xml:space="preserve"> </w:t>
      </w:r>
      <w:r w:rsidR="006F37FB">
        <w:t>de dos mil veintiséis</w:t>
      </w:r>
      <w:r w:rsidRPr="00C13683">
        <w:t xml:space="preserve">. </w:t>
      </w:r>
    </w:p>
    <w:p w14:paraId="0DCD3B82" w14:textId="77777777" w:rsidR="005C690F" w:rsidRPr="00C13683" w:rsidRDefault="005C690F" w:rsidP="001162C4">
      <w:pPr>
        <w:spacing w:after="0" w:line="360" w:lineRule="auto"/>
        <w:rPr>
          <w:b/>
        </w:rPr>
      </w:pPr>
    </w:p>
    <w:p w14:paraId="1570B336" w14:textId="256C6300" w:rsidR="005C690F" w:rsidRPr="00C13683" w:rsidRDefault="007D6307" w:rsidP="001162C4">
      <w:pPr>
        <w:spacing w:after="0" w:line="360" w:lineRule="auto"/>
        <w:rPr>
          <w:color w:val="0D0D0D"/>
        </w:rPr>
      </w:pPr>
      <w:r w:rsidRPr="00C13683">
        <w:rPr>
          <w:b/>
        </w:rPr>
        <w:t xml:space="preserve">VISTO </w:t>
      </w:r>
      <w:r w:rsidRPr="00C13683">
        <w:t xml:space="preserve">el expediente electrónico conformado con motivo del Recurso de Revisión </w:t>
      </w:r>
      <w:r w:rsidR="007E7797" w:rsidRPr="00987BA7">
        <w:rPr>
          <w:b/>
          <w:bCs/>
        </w:rPr>
        <w:t>10326</w:t>
      </w:r>
      <w:r w:rsidR="000D392E" w:rsidRPr="00987BA7">
        <w:rPr>
          <w:b/>
          <w:bCs/>
        </w:rPr>
        <w:t>/INFOEM/IP/RR/2025</w:t>
      </w:r>
      <w:r w:rsidRPr="00C13683">
        <w:rPr>
          <w:bCs/>
        </w:rPr>
        <w:t xml:space="preserve">, interpuesto </w:t>
      </w:r>
      <w:r w:rsidR="008415EA" w:rsidRPr="00C13683">
        <w:rPr>
          <w:bCs/>
        </w:rPr>
        <w:t>por</w:t>
      </w:r>
      <w:r w:rsidR="00EE1006" w:rsidRPr="00C13683">
        <w:rPr>
          <w:bCs/>
        </w:rPr>
        <w:t xml:space="preserve"> </w:t>
      </w:r>
      <w:r w:rsidR="00CC34AF" w:rsidRPr="00CC34AF">
        <w:rPr>
          <w:bCs/>
          <w:highlight w:val="black"/>
        </w:rPr>
        <w:t>XXXXXXXXXXXXXXX</w:t>
      </w:r>
      <w:r w:rsidR="007E7797" w:rsidRPr="00C13683">
        <w:rPr>
          <w:bCs/>
        </w:rPr>
        <w:t xml:space="preserve">, quien será </w:t>
      </w:r>
      <w:r w:rsidR="00D906B2" w:rsidRPr="00C13683">
        <w:rPr>
          <w:bCs/>
        </w:rPr>
        <w:t>la persona</w:t>
      </w:r>
      <w:r w:rsidRPr="00C13683">
        <w:rPr>
          <w:bCs/>
        </w:rPr>
        <w:t xml:space="preserve"> </w:t>
      </w:r>
      <w:r w:rsidRPr="00C13683">
        <w:rPr>
          <w:bCs/>
          <w:color w:val="0D0D0D"/>
        </w:rPr>
        <w:t>Recurrente o Particular, en contra de la respuesta del Sujeto Obligado</w:t>
      </w:r>
      <w:r w:rsidR="00705FBB" w:rsidRPr="00C13683">
        <w:rPr>
          <w:bCs/>
          <w:color w:val="0D0D0D"/>
        </w:rPr>
        <w:t xml:space="preserve">, </w:t>
      </w:r>
      <w:r w:rsidR="008246F7" w:rsidRPr="00987BA7">
        <w:rPr>
          <w:b/>
        </w:rPr>
        <w:t>Ayuntamiento d</w:t>
      </w:r>
      <w:r w:rsidR="00EC7CBF" w:rsidRPr="00987BA7">
        <w:rPr>
          <w:b/>
        </w:rPr>
        <w:t xml:space="preserve">e </w:t>
      </w:r>
      <w:r w:rsidR="007E7797" w:rsidRPr="00987BA7">
        <w:rPr>
          <w:b/>
        </w:rPr>
        <w:t>Ecatepec de Morelos</w:t>
      </w:r>
      <w:r w:rsidR="00EF0C39" w:rsidRPr="00987BA7">
        <w:rPr>
          <w:b/>
          <w:bCs/>
        </w:rPr>
        <w:t>,</w:t>
      </w:r>
      <w:r w:rsidRPr="00C13683">
        <w:rPr>
          <w:bCs/>
          <w:color w:val="0D0D0D"/>
        </w:rPr>
        <w:t xml:space="preserve"> </w:t>
      </w:r>
      <w:r w:rsidRPr="00C13683">
        <w:rPr>
          <w:color w:val="0D0D0D"/>
        </w:rPr>
        <w:t>a la solicitud de acceso a la información pública</w:t>
      </w:r>
      <w:r w:rsidR="00800641" w:rsidRPr="00C13683">
        <w:rPr>
          <w:color w:val="0D0D0D"/>
        </w:rPr>
        <w:t xml:space="preserve"> </w:t>
      </w:r>
      <w:r w:rsidR="001F3444" w:rsidRPr="00C13683">
        <w:t>0</w:t>
      </w:r>
      <w:r w:rsidR="007E7797" w:rsidRPr="00C13683">
        <w:t>0657</w:t>
      </w:r>
      <w:r w:rsidR="00EE1006" w:rsidRPr="00C13683">
        <w:t>/</w:t>
      </w:r>
      <w:r w:rsidR="007E7797" w:rsidRPr="00C13683">
        <w:t>ECATEPEC</w:t>
      </w:r>
      <w:r w:rsidR="000D392E" w:rsidRPr="00C13683">
        <w:t>/IP/2025</w:t>
      </w:r>
      <w:r w:rsidRPr="00C13683">
        <w:rPr>
          <w:color w:val="000000"/>
        </w:rPr>
        <w:t xml:space="preserve">, </w:t>
      </w:r>
      <w:r w:rsidRPr="00C13683">
        <w:rPr>
          <w:color w:val="0D0D0D"/>
        </w:rPr>
        <w:t>se emite la presente Resolución, con base en los Antecedentes y Considerandos que se exponen a continuación:</w:t>
      </w:r>
      <w:bookmarkStart w:id="0" w:name="_GoBack"/>
      <w:bookmarkEnd w:id="0"/>
    </w:p>
    <w:p w14:paraId="1F97CEF3" w14:textId="77777777" w:rsidR="005C690F" w:rsidRPr="00C13683" w:rsidRDefault="005C690F" w:rsidP="001162C4">
      <w:pPr>
        <w:spacing w:after="0" w:line="360" w:lineRule="auto"/>
        <w:rPr>
          <w:b/>
        </w:rPr>
      </w:pPr>
    </w:p>
    <w:p w14:paraId="1DEAF9D3" w14:textId="24D35555" w:rsidR="005C690F" w:rsidRPr="00C13683" w:rsidRDefault="00CD6238" w:rsidP="001162C4">
      <w:pPr>
        <w:pStyle w:val="Ttulo1"/>
        <w:spacing w:before="0" w:after="0" w:line="360" w:lineRule="auto"/>
        <w:jc w:val="center"/>
        <w:rPr>
          <w:sz w:val="22"/>
          <w:szCs w:val="22"/>
        </w:rPr>
      </w:pPr>
      <w:bookmarkStart w:id="1" w:name="_Toc219289820"/>
      <w:r w:rsidRPr="00C13683">
        <w:rPr>
          <w:sz w:val="22"/>
          <w:szCs w:val="22"/>
        </w:rPr>
        <w:t>A N T E C E D E N T E S</w:t>
      </w:r>
      <w:bookmarkEnd w:id="1"/>
    </w:p>
    <w:p w14:paraId="5A7EDA4F" w14:textId="77777777" w:rsidR="005C690F" w:rsidRPr="00C13683" w:rsidRDefault="005C690F" w:rsidP="001162C4">
      <w:pPr>
        <w:spacing w:after="0" w:line="360" w:lineRule="auto"/>
        <w:jc w:val="center"/>
        <w:rPr>
          <w:b/>
        </w:rPr>
      </w:pPr>
    </w:p>
    <w:p w14:paraId="4930DAB9" w14:textId="701611A7" w:rsidR="00E22EA8" w:rsidRPr="00C13683" w:rsidRDefault="009215C2" w:rsidP="001162C4">
      <w:pPr>
        <w:pStyle w:val="Ttulo2"/>
        <w:spacing w:before="0" w:after="0" w:line="360" w:lineRule="auto"/>
        <w:rPr>
          <w:sz w:val="22"/>
          <w:szCs w:val="22"/>
          <w:lang w:eastAsia="es-ES"/>
        </w:rPr>
      </w:pPr>
      <w:bookmarkStart w:id="2" w:name="_Toc219289821"/>
      <w:r w:rsidRPr="00C13683">
        <w:rPr>
          <w:sz w:val="22"/>
          <w:szCs w:val="22"/>
          <w:lang w:eastAsia="es-ES"/>
        </w:rPr>
        <w:t xml:space="preserve">I. </w:t>
      </w:r>
      <w:r w:rsidR="00E22EA8" w:rsidRPr="00C13683">
        <w:rPr>
          <w:sz w:val="22"/>
          <w:szCs w:val="22"/>
          <w:lang w:eastAsia="es-ES"/>
        </w:rPr>
        <w:t>Presentación de la solicitud de información</w:t>
      </w:r>
      <w:bookmarkEnd w:id="2"/>
    </w:p>
    <w:p w14:paraId="63A20E25" w14:textId="77777777" w:rsidR="009215C2" w:rsidRPr="00C13683" w:rsidRDefault="009215C2" w:rsidP="001162C4">
      <w:pPr>
        <w:tabs>
          <w:tab w:val="left" w:pos="567"/>
        </w:tabs>
        <w:spacing w:after="0" w:line="360" w:lineRule="auto"/>
        <w:rPr>
          <w:rFonts w:eastAsia="Times New Roman" w:cs="Tahoma"/>
          <w:lang w:eastAsia="es-ES"/>
        </w:rPr>
      </w:pPr>
    </w:p>
    <w:p w14:paraId="301B8A4E" w14:textId="4B015618" w:rsidR="00E22EA8" w:rsidRPr="00C13683" w:rsidRDefault="00D906B2" w:rsidP="001162C4">
      <w:pPr>
        <w:spacing w:after="0" w:line="360" w:lineRule="auto"/>
        <w:rPr>
          <w:rFonts w:eastAsia="Times New Roman" w:cs="Tahoma"/>
          <w:lang w:eastAsia="es-ES"/>
        </w:rPr>
      </w:pPr>
      <w:r w:rsidRPr="00C13683">
        <w:rPr>
          <w:rFonts w:eastAsia="Times New Roman" w:cs="Tahoma"/>
          <w:lang w:eastAsia="es-ES"/>
        </w:rPr>
        <w:t>El</w:t>
      </w:r>
      <w:r w:rsidR="00D52EC1" w:rsidRPr="00C13683">
        <w:rPr>
          <w:rFonts w:eastAsia="Times New Roman" w:cs="Tahoma"/>
          <w:lang w:eastAsia="es-ES"/>
        </w:rPr>
        <w:t xml:space="preserve"> </w:t>
      </w:r>
      <w:r w:rsidR="007E7797" w:rsidRPr="00C13683">
        <w:rPr>
          <w:rFonts w:eastAsia="Times New Roman" w:cs="Tahoma"/>
          <w:lang w:eastAsia="es-ES"/>
        </w:rPr>
        <w:t>ocho de agosto</w:t>
      </w:r>
      <w:r w:rsidR="00A41789" w:rsidRPr="00C13683">
        <w:rPr>
          <w:rFonts w:eastAsia="Times New Roman" w:cs="Tahoma"/>
          <w:lang w:eastAsia="es-ES"/>
        </w:rPr>
        <w:t xml:space="preserve"> </w:t>
      </w:r>
      <w:r w:rsidR="008E0DC4" w:rsidRPr="00C13683">
        <w:rPr>
          <w:rFonts w:eastAsia="Times New Roman" w:cs="Tahoma"/>
          <w:lang w:eastAsia="es-ES"/>
        </w:rPr>
        <w:t>de dos mil veinticinco</w:t>
      </w:r>
      <w:r w:rsidR="00BF362A" w:rsidRPr="00C13683">
        <w:rPr>
          <w:rFonts w:eastAsia="Times New Roman" w:cs="Tahoma"/>
          <w:lang w:eastAsia="es-ES"/>
        </w:rPr>
        <w:t xml:space="preserve">, </w:t>
      </w:r>
      <w:r w:rsidR="00E22EA8" w:rsidRPr="00C13683">
        <w:rPr>
          <w:rFonts w:eastAsia="Times New Roman" w:cs="Tahoma"/>
          <w:lang w:eastAsia="es-ES"/>
        </w:rPr>
        <w:t>el Particular presentó una solicitud de acceso a la información pública, a través del Sistema de Acceso a la Información Mexiquense (SAIMEX), ante</w:t>
      </w:r>
      <w:r w:rsidR="000B3C56" w:rsidRPr="00C13683">
        <w:rPr>
          <w:rFonts w:eastAsia="Times New Roman" w:cs="Tahoma"/>
          <w:lang w:eastAsia="es-ES"/>
        </w:rPr>
        <w:t xml:space="preserve"> </w:t>
      </w:r>
      <w:r w:rsidR="00DC175C" w:rsidRPr="00C13683">
        <w:rPr>
          <w:rFonts w:eastAsia="Times New Roman" w:cs="Tahoma"/>
          <w:lang w:eastAsia="es-ES"/>
        </w:rPr>
        <w:t>el</w:t>
      </w:r>
      <w:r w:rsidR="008246F7" w:rsidRPr="00C13683">
        <w:t xml:space="preserve"> Ayuntamiento de </w:t>
      </w:r>
      <w:r w:rsidR="007E7797" w:rsidRPr="00C13683">
        <w:t>Ecatepec de Morelos</w:t>
      </w:r>
      <w:r w:rsidR="008E0DC4" w:rsidRPr="00C13683">
        <w:rPr>
          <w:rFonts w:eastAsia="Calibri" w:cs="Times New Roman"/>
          <w:color w:val="000000"/>
        </w:rPr>
        <w:t>,</w:t>
      </w:r>
      <w:r w:rsidR="00DC175C" w:rsidRPr="00C13683">
        <w:rPr>
          <w:rFonts w:eastAsia="Calibri" w:cs="Tahoma"/>
        </w:rPr>
        <w:t xml:space="preserve"> </w:t>
      </w:r>
      <w:r w:rsidR="00E22EA8" w:rsidRPr="00C13683">
        <w:rPr>
          <w:rFonts w:eastAsia="Calibri" w:cs="Tahoma"/>
        </w:rPr>
        <w:t xml:space="preserve">en los siguientes términos: </w:t>
      </w:r>
    </w:p>
    <w:p w14:paraId="2B959865" w14:textId="77777777" w:rsidR="00E22EA8" w:rsidRPr="00C13683" w:rsidRDefault="00E22EA8" w:rsidP="001162C4">
      <w:pPr>
        <w:spacing w:after="0" w:line="360" w:lineRule="auto"/>
        <w:rPr>
          <w:rFonts w:eastAsia="Calibri" w:cs="Tahoma"/>
        </w:rPr>
      </w:pPr>
    </w:p>
    <w:p w14:paraId="3FBC9D66" w14:textId="0F26255C" w:rsidR="00A41789" w:rsidRPr="00C13683" w:rsidRDefault="00125F26" w:rsidP="001162C4">
      <w:pPr>
        <w:tabs>
          <w:tab w:val="left" w:pos="4667"/>
        </w:tabs>
        <w:spacing w:after="0" w:line="360" w:lineRule="auto"/>
        <w:ind w:left="567" w:right="567"/>
        <w:rPr>
          <w:rFonts w:eastAsia="Times New Roman" w:cs="Tahoma"/>
          <w:b/>
          <w:i/>
          <w:iCs/>
          <w:sz w:val="20"/>
          <w:szCs w:val="20"/>
          <w:lang w:eastAsia="es-ES"/>
        </w:rPr>
      </w:pPr>
      <w:r w:rsidRPr="00C13683">
        <w:rPr>
          <w:rFonts w:eastAsia="Times New Roman" w:cs="Tahoma"/>
          <w:b/>
          <w:i/>
          <w:iCs/>
          <w:sz w:val="20"/>
          <w:szCs w:val="20"/>
          <w:lang w:eastAsia="es-ES"/>
        </w:rPr>
        <w:t>“</w:t>
      </w:r>
      <w:r w:rsidR="00E22EA8" w:rsidRPr="00C13683">
        <w:rPr>
          <w:rFonts w:eastAsia="Times New Roman" w:cs="Tahoma"/>
          <w:b/>
          <w:i/>
          <w:iCs/>
          <w:sz w:val="20"/>
          <w:szCs w:val="20"/>
          <w:lang w:eastAsia="es-ES"/>
        </w:rPr>
        <w:t>DESCRIPCIÓN CLARA Y PRECI</w:t>
      </w:r>
      <w:r w:rsidR="0084143D" w:rsidRPr="00C13683">
        <w:rPr>
          <w:rFonts w:eastAsia="Times New Roman" w:cs="Tahoma"/>
          <w:b/>
          <w:i/>
          <w:iCs/>
          <w:sz w:val="20"/>
          <w:szCs w:val="20"/>
          <w:lang w:eastAsia="es-ES"/>
        </w:rPr>
        <w:t xml:space="preserve">SA DE LA </w:t>
      </w:r>
      <w:r w:rsidR="00A41789" w:rsidRPr="00C13683">
        <w:rPr>
          <w:rFonts w:eastAsia="Times New Roman" w:cs="Tahoma"/>
          <w:b/>
          <w:i/>
          <w:iCs/>
          <w:sz w:val="20"/>
          <w:szCs w:val="20"/>
          <w:lang w:eastAsia="es-ES"/>
        </w:rPr>
        <w:t>INFORMACIÓN SOLICITADA</w:t>
      </w:r>
    </w:p>
    <w:p w14:paraId="2C6BC213" w14:textId="59531690" w:rsidR="00E22EA8" w:rsidRPr="00C13683" w:rsidRDefault="007E7797" w:rsidP="001162C4">
      <w:pPr>
        <w:tabs>
          <w:tab w:val="left" w:pos="4667"/>
        </w:tabs>
        <w:spacing w:after="0" w:line="360" w:lineRule="auto"/>
        <w:ind w:left="567" w:right="567"/>
        <w:rPr>
          <w:rFonts w:eastAsia="Times New Roman" w:cs="Tahoma"/>
          <w:bCs/>
          <w:i/>
          <w:iCs/>
          <w:sz w:val="20"/>
          <w:szCs w:val="20"/>
          <w:lang w:eastAsia="es-ES"/>
        </w:rPr>
      </w:pPr>
      <w:proofErr w:type="gramStart"/>
      <w:r w:rsidRPr="00C13683">
        <w:rPr>
          <w:i/>
          <w:iCs/>
          <w:sz w:val="20"/>
          <w:szCs w:val="20"/>
        </w:rPr>
        <w:t>solicito</w:t>
      </w:r>
      <w:proofErr w:type="gramEnd"/>
      <w:r w:rsidRPr="00C13683">
        <w:rPr>
          <w:i/>
          <w:iCs/>
          <w:sz w:val="20"/>
          <w:szCs w:val="20"/>
        </w:rPr>
        <w:t xml:space="preserve"> copia simple digitalizada a través del sistema electrónico </w:t>
      </w:r>
      <w:proofErr w:type="spellStart"/>
      <w:r w:rsidRPr="00C13683">
        <w:rPr>
          <w:i/>
          <w:iCs/>
          <w:sz w:val="20"/>
          <w:szCs w:val="20"/>
        </w:rPr>
        <w:t>saimex</w:t>
      </w:r>
      <w:proofErr w:type="spellEnd"/>
      <w:r w:rsidRPr="00C13683">
        <w:rPr>
          <w:i/>
          <w:iCs/>
          <w:sz w:val="20"/>
          <w:szCs w:val="20"/>
        </w:rPr>
        <w:t xml:space="preserve"> de los comprobantes de TODOS los pagos realizados por la </w:t>
      </w:r>
      <w:proofErr w:type="spellStart"/>
      <w:r w:rsidRPr="00C13683">
        <w:rPr>
          <w:i/>
          <w:iCs/>
          <w:sz w:val="20"/>
          <w:szCs w:val="20"/>
        </w:rPr>
        <w:t>tesoreria</w:t>
      </w:r>
      <w:proofErr w:type="spellEnd"/>
      <w:r w:rsidRPr="00C13683">
        <w:rPr>
          <w:i/>
          <w:iCs/>
          <w:sz w:val="20"/>
          <w:szCs w:val="20"/>
        </w:rPr>
        <w:t xml:space="preserve"> municipal mediante transferencia electrónica o cheque durante el mes de julio de 2025.</w:t>
      </w:r>
      <w:r w:rsidR="009215C2" w:rsidRPr="00C13683">
        <w:rPr>
          <w:i/>
          <w:iCs/>
          <w:sz w:val="20"/>
          <w:szCs w:val="20"/>
        </w:rPr>
        <w:t>”</w:t>
      </w:r>
      <w:r w:rsidR="00857C17" w:rsidRPr="00C13683">
        <w:rPr>
          <w:i/>
          <w:iCs/>
          <w:sz w:val="20"/>
          <w:szCs w:val="20"/>
        </w:rPr>
        <w:t xml:space="preserve"> (Sic.)</w:t>
      </w:r>
    </w:p>
    <w:p w14:paraId="5E88ED39" w14:textId="77777777" w:rsidR="00BF362A" w:rsidRPr="00C13683"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C13683" w:rsidRDefault="00125F26" w:rsidP="001162C4">
      <w:pPr>
        <w:tabs>
          <w:tab w:val="left" w:pos="4667"/>
        </w:tabs>
        <w:spacing w:after="0" w:line="360" w:lineRule="auto"/>
        <w:ind w:left="567" w:right="567"/>
        <w:rPr>
          <w:rFonts w:eastAsia="Times New Roman" w:cs="Tahoma"/>
          <w:b/>
          <w:bCs/>
          <w:i/>
          <w:iCs/>
          <w:sz w:val="20"/>
          <w:lang w:eastAsia="es-ES"/>
        </w:rPr>
      </w:pPr>
      <w:r w:rsidRPr="00C13683">
        <w:rPr>
          <w:rFonts w:eastAsia="Times New Roman" w:cs="Tahoma"/>
          <w:b/>
          <w:bCs/>
          <w:i/>
          <w:iCs/>
          <w:sz w:val="20"/>
          <w:lang w:eastAsia="es-ES"/>
        </w:rPr>
        <w:t>“</w:t>
      </w:r>
      <w:r w:rsidR="00E22EA8" w:rsidRPr="00C13683">
        <w:rPr>
          <w:rFonts w:eastAsia="Times New Roman" w:cs="Tahoma"/>
          <w:b/>
          <w:bCs/>
          <w:i/>
          <w:iCs/>
          <w:sz w:val="20"/>
          <w:lang w:eastAsia="es-ES"/>
        </w:rPr>
        <w:t>MODALIDAD DE ENTREGA</w:t>
      </w:r>
    </w:p>
    <w:p w14:paraId="3CA8F82F" w14:textId="1B5A8200" w:rsidR="00EB386A" w:rsidRPr="00C13683" w:rsidRDefault="00BB6693" w:rsidP="001162C4">
      <w:pPr>
        <w:spacing w:after="0" w:line="360" w:lineRule="auto"/>
        <w:ind w:left="567" w:right="567"/>
        <w:rPr>
          <w:rFonts w:eastAsia="Times New Roman" w:cs="Arial"/>
          <w:bCs/>
          <w:i/>
          <w:iCs/>
          <w:sz w:val="20"/>
          <w:lang w:eastAsia="es-ES"/>
        </w:rPr>
      </w:pPr>
      <w:r w:rsidRPr="00C13683">
        <w:rPr>
          <w:rFonts w:eastAsia="Times New Roman" w:cs="Arial"/>
          <w:bCs/>
          <w:i/>
          <w:iCs/>
          <w:sz w:val="20"/>
          <w:lang w:eastAsia="es-ES"/>
        </w:rPr>
        <w:t>A través del SAIMEX</w:t>
      </w:r>
      <w:r w:rsidR="00E22EA8" w:rsidRPr="00C13683">
        <w:rPr>
          <w:rFonts w:eastAsia="Times New Roman" w:cs="Arial"/>
          <w:bCs/>
          <w:i/>
          <w:iCs/>
          <w:sz w:val="20"/>
          <w:lang w:eastAsia="es-ES"/>
        </w:rPr>
        <w:t>”</w:t>
      </w:r>
    </w:p>
    <w:p w14:paraId="4373CC46" w14:textId="77777777" w:rsidR="00F30312" w:rsidRPr="00C13683" w:rsidRDefault="00F30312" w:rsidP="00F30312">
      <w:pPr>
        <w:spacing w:after="0" w:line="360" w:lineRule="auto"/>
        <w:ind w:right="567"/>
        <w:rPr>
          <w:rFonts w:eastAsia="Calibri" w:cs="Tahoma"/>
          <w:bCs/>
          <w:color w:val="000000"/>
          <w:lang w:eastAsia="en-US"/>
        </w:rPr>
      </w:pPr>
    </w:p>
    <w:p w14:paraId="0A604AAC" w14:textId="2F3D7533" w:rsidR="00E22EA8" w:rsidRPr="00C13683" w:rsidRDefault="00F30312" w:rsidP="001162C4">
      <w:pPr>
        <w:pStyle w:val="Ttulo2"/>
        <w:spacing w:before="0" w:after="0" w:line="360" w:lineRule="auto"/>
        <w:rPr>
          <w:sz w:val="22"/>
          <w:szCs w:val="22"/>
        </w:rPr>
      </w:pPr>
      <w:bookmarkStart w:id="3" w:name="_Toc219289822"/>
      <w:r w:rsidRPr="00C13683">
        <w:rPr>
          <w:rFonts w:cs="Tahoma"/>
          <w:sz w:val="22"/>
          <w:szCs w:val="22"/>
        </w:rPr>
        <w:t>I</w:t>
      </w:r>
      <w:r w:rsidR="00720A55" w:rsidRPr="00C13683">
        <w:rPr>
          <w:rFonts w:cs="Tahoma"/>
          <w:sz w:val="22"/>
          <w:szCs w:val="22"/>
        </w:rPr>
        <w:t>I</w:t>
      </w:r>
      <w:r w:rsidR="00E22EA8" w:rsidRPr="00C13683">
        <w:rPr>
          <w:rFonts w:cs="Tahoma"/>
          <w:sz w:val="22"/>
          <w:szCs w:val="22"/>
        </w:rPr>
        <w:t>.</w:t>
      </w:r>
      <w:r w:rsidR="00E22EA8" w:rsidRPr="00C13683">
        <w:rPr>
          <w:sz w:val="22"/>
          <w:szCs w:val="22"/>
        </w:rPr>
        <w:t xml:space="preserve"> Respuesta del Sujeto Obligado</w:t>
      </w:r>
      <w:bookmarkEnd w:id="3"/>
    </w:p>
    <w:p w14:paraId="10CE94A9" w14:textId="77777777" w:rsidR="00C06004" w:rsidRPr="00C13683" w:rsidRDefault="00C06004" w:rsidP="001162C4">
      <w:pPr>
        <w:autoSpaceDE w:val="0"/>
        <w:autoSpaceDN w:val="0"/>
        <w:adjustRightInd w:val="0"/>
        <w:spacing w:after="0" w:line="360" w:lineRule="auto"/>
        <w:rPr>
          <w:b/>
          <w:bCs/>
        </w:rPr>
      </w:pPr>
    </w:p>
    <w:p w14:paraId="612A158B" w14:textId="588F99E6" w:rsidR="00D27B88" w:rsidRPr="00C13683" w:rsidRDefault="007E7797" w:rsidP="001162C4">
      <w:pPr>
        <w:spacing w:after="0" w:line="360" w:lineRule="auto"/>
      </w:pPr>
      <w:r w:rsidRPr="00C13683">
        <w:t xml:space="preserve">El veintinueve </w:t>
      </w:r>
      <w:r w:rsidR="00765317" w:rsidRPr="00C13683">
        <w:t>de agosto</w:t>
      </w:r>
      <w:r w:rsidR="00CD4DE8" w:rsidRPr="00C13683">
        <w:t xml:space="preserve"> de dos mil veinticinco</w:t>
      </w:r>
      <w:r w:rsidR="00E22EA8" w:rsidRPr="00C13683">
        <w:t xml:space="preserve">, el Sujeto Obligado notificó, a través del Sistema de Acceso a la Información Mexiquense (SAIMEX), la respuesta a la solicitud de acceso a la información pública, </w:t>
      </w:r>
      <w:r w:rsidR="005454D5" w:rsidRPr="00C13683">
        <w:t>a través de</w:t>
      </w:r>
      <w:r w:rsidR="00D27B88" w:rsidRPr="00C13683">
        <w:t>l oficio número TM/ECA/CA/5523/2025, del veintiocho de agosto de dos mil veinticinco, suscrito por el Tesorero Municipal y dirigido a la Titular de la Unidad de Transparencia, por medio del cual mencionó lo siguiente:</w:t>
      </w:r>
    </w:p>
    <w:p w14:paraId="180FF289" w14:textId="77777777" w:rsidR="00D27B88" w:rsidRPr="00C13683" w:rsidRDefault="00D27B88" w:rsidP="001162C4">
      <w:pPr>
        <w:spacing w:after="0" w:line="360" w:lineRule="auto"/>
      </w:pPr>
    </w:p>
    <w:p w14:paraId="39F127CF" w14:textId="5F6B31C4" w:rsidR="00D27B88" w:rsidRPr="00C13683" w:rsidRDefault="00D27B88" w:rsidP="004F29F4">
      <w:pPr>
        <w:spacing w:after="0" w:line="360" w:lineRule="auto"/>
        <w:ind w:left="720"/>
        <w:rPr>
          <w:i/>
          <w:sz w:val="20"/>
        </w:rPr>
      </w:pPr>
      <w:r w:rsidRPr="00C13683">
        <w:rPr>
          <w:i/>
          <w:sz w:val="20"/>
        </w:rPr>
        <w:t xml:space="preserve">“…hago de su conocimiento que esta Tesorería advierte que la información de los pagos realizados en el periodo de julio, de conformidad con lo dispuesto en el artículo 40 fracción II, 115 párrafo primero y tercero de la Ley General de Transparencia y Acceso a la información Pública; articulo 3 fracciones XX y XXI, 49 fracciones </w:t>
      </w:r>
      <w:proofErr w:type="spellStart"/>
      <w:r w:rsidRPr="00C13683">
        <w:rPr>
          <w:i/>
          <w:sz w:val="20"/>
        </w:rPr>
        <w:t>Il</w:t>
      </w:r>
      <w:proofErr w:type="spellEnd"/>
      <w:r w:rsidRPr="00C13683">
        <w:rPr>
          <w:i/>
          <w:sz w:val="20"/>
        </w:rPr>
        <w:t xml:space="preserve"> y VIII, 132 fracción I, 143 fracción I, </w:t>
      </w:r>
      <w:proofErr w:type="spellStart"/>
      <w:r w:rsidRPr="00C13683">
        <w:rPr>
          <w:i/>
          <w:sz w:val="20"/>
        </w:rPr>
        <w:t>Il</w:t>
      </w:r>
      <w:proofErr w:type="spellEnd"/>
      <w:r w:rsidRPr="00C13683">
        <w:rPr>
          <w:i/>
          <w:sz w:val="20"/>
        </w:rPr>
        <w:t>, y 149 de la Ley de General de Transparencia y Acceso a la Información Pública del Estado de México y Municipios, en los que se establecen los límites y excepciones a la divulgación de la información relacionada con los aspectos financieros y bancarios.</w:t>
      </w:r>
    </w:p>
    <w:p w14:paraId="2E611913" w14:textId="77777777" w:rsidR="00D27B88" w:rsidRPr="00C13683" w:rsidRDefault="00D27B88" w:rsidP="004F29F4">
      <w:pPr>
        <w:spacing w:after="0" w:line="360" w:lineRule="auto"/>
        <w:ind w:left="720"/>
        <w:rPr>
          <w:i/>
          <w:sz w:val="20"/>
        </w:rPr>
      </w:pPr>
    </w:p>
    <w:p w14:paraId="36D82D6A" w14:textId="4F938551" w:rsidR="00D27B88" w:rsidRPr="00C13683" w:rsidRDefault="00D27B88" w:rsidP="004F29F4">
      <w:pPr>
        <w:spacing w:after="0" w:line="360" w:lineRule="auto"/>
        <w:ind w:left="720"/>
        <w:rPr>
          <w:i/>
          <w:sz w:val="20"/>
        </w:rPr>
      </w:pPr>
      <w:r w:rsidRPr="00C13683">
        <w:rPr>
          <w:i/>
          <w:sz w:val="20"/>
        </w:rPr>
        <w:t>No omito señalar que, la información propuesta a clasificar no obra en una fuente de acceso público, sino en los expedientes que se generan en la Tesorería de este H. Ayuntamiento de Ecatepec de Morelos, los cuales son para uso exclusivo del personal adscrito a las unidades administrativas con atribuciones para consultarlos y hacer uso de ellos.</w:t>
      </w:r>
    </w:p>
    <w:p w14:paraId="498F036D" w14:textId="53A585E8" w:rsidR="00D27B88" w:rsidRPr="00C13683" w:rsidRDefault="00D27B88" w:rsidP="004F29F4">
      <w:pPr>
        <w:spacing w:after="0" w:line="360" w:lineRule="auto"/>
        <w:ind w:left="720"/>
        <w:rPr>
          <w:i/>
          <w:sz w:val="20"/>
        </w:rPr>
      </w:pPr>
      <w:r w:rsidRPr="00C13683">
        <w:rPr>
          <w:i/>
          <w:sz w:val="20"/>
        </w:rPr>
        <w:t>…</w:t>
      </w:r>
    </w:p>
    <w:p w14:paraId="100F0288" w14:textId="66DC5212" w:rsidR="00D27B88" w:rsidRPr="00C13683" w:rsidRDefault="00D27B88" w:rsidP="004F29F4">
      <w:pPr>
        <w:spacing w:after="0" w:line="360" w:lineRule="auto"/>
        <w:ind w:left="720"/>
        <w:rPr>
          <w:i/>
          <w:sz w:val="20"/>
        </w:rPr>
      </w:pPr>
      <w:r w:rsidRPr="00C13683">
        <w:rPr>
          <w:i/>
          <w:sz w:val="20"/>
        </w:rPr>
        <w:t xml:space="preserve">Conforme a lo anterior, este Sujeto Obligado, de acuerdo a sus facultades, adquiere la convicción plena de que la información relativas a los comprobantes de pago expedidos por la Tesorería Municipal con las que se auxilia para el desempeño de sus funciones, es susceptible a ser clasificada como reservada con fundamento en el </w:t>
      </w:r>
      <w:r w:rsidR="004F29F4" w:rsidRPr="00C13683">
        <w:rPr>
          <w:i/>
          <w:sz w:val="20"/>
        </w:rPr>
        <w:t>artículo 140 fracciones VI</w:t>
      </w:r>
      <w:r w:rsidRPr="00C13683">
        <w:rPr>
          <w:i/>
          <w:sz w:val="20"/>
        </w:rPr>
        <w:t xml:space="preserve"> y X de la Ley de Transpar</w:t>
      </w:r>
      <w:r w:rsidR="004F29F4" w:rsidRPr="00C13683">
        <w:rPr>
          <w:i/>
          <w:sz w:val="20"/>
        </w:rPr>
        <w:t xml:space="preserve">encia y Acceso a la Información </w:t>
      </w:r>
      <w:r w:rsidRPr="00C13683">
        <w:rPr>
          <w:i/>
          <w:sz w:val="20"/>
        </w:rPr>
        <w:t>Pública de</w:t>
      </w:r>
      <w:r w:rsidR="004F29F4" w:rsidRPr="00C13683">
        <w:rPr>
          <w:i/>
          <w:sz w:val="20"/>
        </w:rPr>
        <w:t>l Estado de México y Municipios…</w:t>
      </w:r>
    </w:p>
    <w:p w14:paraId="2D455C86" w14:textId="39AB9722" w:rsidR="004F29F4" w:rsidRPr="00C13683" w:rsidRDefault="004F29F4" w:rsidP="004F29F4">
      <w:pPr>
        <w:spacing w:after="0" w:line="360" w:lineRule="auto"/>
        <w:ind w:left="720"/>
        <w:rPr>
          <w:i/>
          <w:sz w:val="20"/>
        </w:rPr>
      </w:pPr>
      <w:r w:rsidRPr="00C13683">
        <w:rPr>
          <w:i/>
          <w:sz w:val="20"/>
        </w:rPr>
        <w:lastRenderedPageBreak/>
        <w:t>…</w:t>
      </w:r>
    </w:p>
    <w:p w14:paraId="2C44EBA6" w14:textId="77777777" w:rsidR="004F29F4" w:rsidRPr="00C13683" w:rsidRDefault="004F29F4" w:rsidP="004F29F4">
      <w:pPr>
        <w:spacing w:after="0" w:line="360" w:lineRule="auto"/>
        <w:ind w:left="720"/>
        <w:rPr>
          <w:i/>
          <w:sz w:val="20"/>
        </w:rPr>
      </w:pPr>
      <w:r w:rsidRPr="00C13683">
        <w:rPr>
          <w:i/>
          <w:sz w:val="20"/>
        </w:rPr>
        <w:t>Lo anterior en virtud de que:</w:t>
      </w:r>
    </w:p>
    <w:p w14:paraId="41F4D297" w14:textId="77777777" w:rsidR="004F29F4" w:rsidRPr="00C13683" w:rsidRDefault="004F29F4" w:rsidP="004F29F4">
      <w:pPr>
        <w:spacing w:after="0" w:line="360" w:lineRule="auto"/>
        <w:ind w:left="720"/>
        <w:rPr>
          <w:i/>
          <w:sz w:val="20"/>
        </w:rPr>
      </w:pPr>
    </w:p>
    <w:p w14:paraId="20E40129" w14:textId="77777777" w:rsidR="004F29F4" w:rsidRPr="00C13683" w:rsidRDefault="004F29F4" w:rsidP="004F29F4">
      <w:pPr>
        <w:spacing w:after="0" w:line="360" w:lineRule="auto"/>
        <w:ind w:left="720"/>
        <w:rPr>
          <w:i/>
          <w:sz w:val="20"/>
        </w:rPr>
      </w:pPr>
      <w:r w:rsidRPr="00C13683">
        <w:rPr>
          <w:i/>
          <w:sz w:val="20"/>
        </w:rPr>
        <w:t>-El número de cuenta bancario se trata de una clave que otorgan los bancos a sus usuarios, con el único fin de identificar las transferencias que se realizan por parte del titular de una cuenta.</w:t>
      </w:r>
    </w:p>
    <w:p w14:paraId="6BE3B695" w14:textId="6A6B74D8" w:rsidR="004F29F4" w:rsidRPr="00C13683" w:rsidRDefault="004F29F4" w:rsidP="004F29F4">
      <w:pPr>
        <w:spacing w:after="0" w:line="360" w:lineRule="auto"/>
        <w:ind w:left="720"/>
        <w:rPr>
          <w:i/>
          <w:sz w:val="20"/>
        </w:rPr>
      </w:pPr>
      <w:r w:rsidRPr="00C13683">
        <w:rPr>
          <w:i/>
          <w:sz w:val="20"/>
        </w:rPr>
        <w:t xml:space="preserve">-El número de cuenta, es un dato imprescindible para realizar transferencias o acceso en </w:t>
      </w:r>
      <w:proofErr w:type="spellStart"/>
      <w:r w:rsidRPr="00C13683">
        <w:rPr>
          <w:i/>
          <w:sz w:val="20"/>
        </w:rPr>
        <w:t>Unea</w:t>
      </w:r>
      <w:proofErr w:type="spellEnd"/>
      <w:r w:rsidRPr="00C13683">
        <w:rPr>
          <w:i/>
          <w:sz w:val="20"/>
        </w:rPr>
        <w:t xml:space="preserve"> a las cuentas bancarias: por lo que, únicamente es útil para su titular y las personas que realizan movimientos de depósito o retiro de esa cuenta.</w:t>
      </w:r>
    </w:p>
    <w:p w14:paraId="75D59BA9" w14:textId="234D6013" w:rsidR="004F29F4" w:rsidRPr="00C13683" w:rsidRDefault="004F29F4" w:rsidP="004F29F4">
      <w:pPr>
        <w:spacing w:after="0" w:line="360" w:lineRule="auto"/>
        <w:ind w:left="720"/>
        <w:rPr>
          <w:i/>
          <w:sz w:val="20"/>
        </w:rPr>
      </w:pPr>
      <w:r w:rsidRPr="00C13683">
        <w:rPr>
          <w:i/>
          <w:sz w:val="20"/>
        </w:rPr>
        <w:t>-El comprobante de pago tiene información confidencial de terceros como cuenta clave, además de la Clave de rastreo con la que se pudiera hacer uso indebido de la información.</w:t>
      </w:r>
    </w:p>
    <w:p w14:paraId="0C42C89A" w14:textId="77777777" w:rsidR="004F29F4" w:rsidRPr="00C13683" w:rsidRDefault="004F29F4" w:rsidP="004F29F4">
      <w:pPr>
        <w:spacing w:after="0" w:line="360" w:lineRule="auto"/>
        <w:ind w:left="720"/>
        <w:rPr>
          <w:i/>
          <w:sz w:val="20"/>
        </w:rPr>
      </w:pPr>
    </w:p>
    <w:p w14:paraId="06D1D463" w14:textId="0A2017EE" w:rsidR="004F29F4" w:rsidRPr="00C13683" w:rsidRDefault="004F29F4" w:rsidP="004F29F4">
      <w:pPr>
        <w:spacing w:after="0" w:line="360" w:lineRule="auto"/>
        <w:ind w:left="720"/>
        <w:rPr>
          <w:i/>
          <w:sz w:val="20"/>
        </w:rPr>
      </w:pPr>
      <w:r w:rsidRPr="00C13683">
        <w:rPr>
          <w:i/>
          <w:sz w:val="20"/>
        </w:rPr>
        <w:t>Con el fin de establecer medidas de seguridad que impidan el uso indebido, acceso ilegal, falsificación o alteración de los documentos bancarios del Municipio de Ecatepec de Morelos y con base en lo establecido por el artículo 20, fracción IV de la Ley de Transparencia y Acceso a la Información Pública del Estado de México у Municipios, en su parte conducente a prevención del delito, esta Tesorería solicita sea clasificado como reservada la información relativa a los comprobantes de pago, en virtud de que su difusión puede ser utilizada por terceros ajenos al municipio o por otras personas dentro de la institución o de los bancos, para cometer ilícitos en perjuicio del patrimonio.</w:t>
      </w:r>
    </w:p>
    <w:p w14:paraId="21A3FFAE" w14:textId="16A0348C" w:rsidR="004F29F4" w:rsidRPr="00C13683" w:rsidRDefault="004F29F4" w:rsidP="004F29F4">
      <w:pPr>
        <w:spacing w:after="0" w:line="360" w:lineRule="auto"/>
        <w:ind w:left="720"/>
        <w:rPr>
          <w:i/>
          <w:sz w:val="20"/>
        </w:rPr>
      </w:pPr>
      <w:r w:rsidRPr="00C13683">
        <w:rPr>
          <w:i/>
          <w:sz w:val="20"/>
        </w:rPr>
        <w:t>…</w:t>
      </w:r>
    </w:p>
    <w:p w14:paraId="1B0C9E7A" w14:textId="7C00AAD5" w:rsidR="004F29F4" w:rsidRPr="00C13683" w:rsidRDefault="004F29F4" w:rsidP="004F29F4">
      <w:pPr>
        <w:spacing w:after="0" w:line="360" w:lineRule="auto"/>
        <w:ind w:left="720"/>
        <w:rPr>
          <w:i/>
          <w:sz w:val="20"/>
        </w:rPr>
      </w:pPr>
      <w:r w:rsidRPr="00C13683">
        <w:rPr>
          <w:i/>
          <w:sz w:val="20"/>
        </w:rPr>
        <w:t>En este sentido, proporcionar los comprobantes de pago que identifican las cuentas bancarias, generaría el riesgo latente de que personas con experiencia en el manejo de equipos de cómputo pueda acceder a las cuentas bancarias del Municipio, con el simple hecho de poseer datos mínimos como nombre del titular de la cuenta, el nombre de la institución bancaria, más el número de cuenta en donde se tengan depósitos.</w:t>
      </w:r>
    </w:p>
    <w:p w14:paraId="40A6AD48" w14:textId="06BCBCDE" w:rsidR="004F29F4" w:rsidRPr="00C13683" w:rsidRDefault="004F29F4" w:rsidP="004F29F4">
      <w:pPr>
        <w:spacing w:after="0" w:line="360" w:lineRule="auto"/>
        <w:ind w:left="720"/>
        <w:rPr>
          <w:i/>
          <w:sz w:val="20"/>
        </w:rPr>
      </w:pPr>
      <w:r w:rsidRPr="00C13683">
        <w:rPr>
          <w:i/>
          <w:sz w:val="20"/>
        </w:rPr>
        <w:t>…”</w:t>
      </w:r>
    </w:p>
    <w:p w14:paraId="6F64C010" w14:textId="77777777" w:rsidR="00790E31" w:rsidRPr="00C13683" w:rsidRDefault="00790E31" w:rsidP="00D27B88">
      <w:pPr>
        <w:spacing w:after="0" w:line="360" w:lineRule="auto"/>
        <w:rPr>
          <w:i/>
          <w:sz w:val="20"/>
        </w:rPr>
      </w:pPr>
    </w:p>
    <w:p w14:paraId="7E7FBB31" w14:textId="2D71FF5C" w:rsidR="00E22EA8" w:rsidRPr="00C13683" w:rsidRDefault="00720A55" w:rsidP="001162C4">
      <w:pPr>
        <w:pStyle w:val="Ttulo2"/>
        <w:spacing w:before="0" w:after="0" w:line="360" w:lineRule="auto"/>
        <w:rPr>
          <w:sz w:val="22"/>
          <w:szCs w:val="22"/>
        </w:rPr>
      </w:pPr>
      <w:bookmarkStart w:id="4" w:name="_Toc219289823"/>
      <w:r w:rsidRPr="00C13683">
        <w:rPr>
          <w:sz w:val="22"/>
          <w:szCs w:val="22"/>
        </w:rPr>
        <w:t>I</w:t>
      </w:r>
      <w:r w:rsidR="00D252F7" w:rsidRPr="00C13683">
        <w:rPr>
          <w:sz w:val="22"/>
          <w:szCs w:val="22"/>
        </w:rPr>
        <w:t>II</w:t>
      </w:r>
      <w:r w:rsidR="00E22EA8" w:rsidRPr="00C13683">
        <w:rPr>
          <w:sz w:val="22"/>
          <w:szCs w:val="22"/>
        </w:rPr>
        <w:t>. Interposición del Recurso de Revisión</w:t>
      </w:r>
      <w:bookmarkEnd w:id="4"/>
    </w:p>
    <w:p w14:paraId="053D45CF" w14:textId="77777777" w:rsidR="00E22EA8" w:rsidRPr="00C13683" w:rsidRDefault="00E22EA8" w:rsidP="001162C4">
      <w:pPr>
        <w:spacing w:after="0" w:line="360" w:lineRule="auto"/>
        <w:rPr>
          <w:b/>
        </w:rPr>
      </w:pPr>
    </w:p>
    <w:p w14:paraId="355C8CC6" w14:textId="50C57189" w:rsidR="009C5A71" w:rsidRPr="00C13683" w:rsidRDefault="00083169" w:rsidP="001162C4">
      <w:pPr>
        <w:spacing w:after="0" w:line="360" w:lineRule="auto"/>
        <w:rPr>
          <w:bCs/>
        </w:rPr>
      </w:pPr>
      <w:r w:rsidRPr="00C13683">
        <w:rPr>
          <w:bCs/>
        </w:rPr>
        <w:lastRenderedPageBreak/>
        <w:t>El</w:t>
      </w:r>
      <w:r w:rsidR="008E5E71" w:rsidRPr="00C13683">
        <w:rPr>
          <w:bCs/>
        </w:rPr>
        <w:t xml:space="preserve"> </w:t>
      </w:r>
      <w:r w:rsidR="00F16ADD" w:rsidRPr="00C13683">
        <w:t>dos de septiembre</w:t>
      </w:r>
      <w:r w:rsidR="00C2045C" w:rsidRPr="00C13683">
        <w:t xml:space="preserve"> </w:t>
      </w:r>
      <w:r w:rsidR="008E5E71" w:rsidRPr="00C13683">
        <w:t>de dos mil veinticinco</w:t>
      </w:r>
      <w:r w:rsidR="00E22EA8" w:rsidRPr="00C13683">
        <w:rPr>
          <w:bCs/>
        </w:rPr>
        <w:t xml:space="preserve">, se recibió en este Instituto, a través del </w:t>
      </w:r>
      <w:r w:rsidR="00E22EA8" w:rsidRPr="00C13683">
        <w:rPr>
          <w:bCs/>
          <w:lang w:val="es-ES"/>
        </w:rPr>
        <w:t>Sistema de Acceso a la Información Mexiquense (SAIMEX)</w:t>
      </w:r>
      <w:r w:rsidR="00E22EA8" w:rsidRPr="00C13683">
        <w:rPr>
          <w:bCs/>
        </w:rPr>
        <w:t xml:space="preserve">, </w:t>
      </w:r>
      <w:r w:rsidR="009019A8" w:rsidRPr="00C13683">
        <w:rPr>
          <w:bCs/>
        </w:rPr>
        <w:t xml:space="preserve">el </w:t>
      </w:r>
      <w:r w:rsidR="00E22EA8" w:rsidRPr="00C13683">
        <w:rPr>
          <w:bCs/>
        </w:rPr>
        <w:t>Recurso de Revisión interpuesto por la p</w:t>
      </w:r>
      <w:r w:rsidRPr="00C13683">
        <w:rPr>
          <w:bCs/>
        </w:rPr>
        <w:t>ersona</w:t>
      </w:r>
      <w:r w:rsidR="00E22EA8" w:rsidRPr="00C13683">
        <w:rPr>
          <w:bCs/>
        </w:rPr>
        <w:t xml:space="preserve"> Recurrente, en contra de la respuesta por el Sujeto Obligado, a la solicitud de información</w:t>
      </w:r>
      <w:r w:rsidR="00F43789" w:rsidRPr="00C13683">
        <w:rPr>
          <w:rFonts w:eastAsia="Calibri" w:cs="Times New Roman"/>
        </w:rPr>
        <w:t xml:space="preserve">, </w:t>
      </w:r>
      <w:r w:rsidR="00E22EA8" w:rsidRPr="00C13683">
        <w:rPr>
          <w:bCs/>
        </w:rPr>
        <w:t>en los siguientes términos:</w:t>
      </w:r>
    </w:p>
    <w:p w14:paraId="1DFB5451" w14:textId="77777777" w:rsidR="001B6E39" w:rsidRPr="00C13683" w:rsidRDefault="001B6E39" w:rsidP="001162C4">
      <w:pPr>
        <w:spacing w:after="0" w:line="360" w:lineRule="auto"/>
        <w:rPr>
          <w:bCs/>
        </w:rPr>
      </w:pPr>
    </w:p>
    <w:p w14:paraId="1B2CCD45" w14:textId="1F34B3A9" w:rsidR="00E22EA8" w:rsidRPr="00C13683" w:rsidRDefault="00E12804" w:rsidP="001162C4">
      <w:pPr>
        <w:spacing w:after="0" w:line="360" w:lineRule="auto"/>
        <w:ind w:left="567" w:right="567"/>
        <w:rPr>
          <w:bCs/>
          <w:i/>
          <w:sz w:val="20"/>
          <w:szCs w:val="20"/>
        </w:rPr>
      </w:pPr>
      <w:r w:rsidRPr="00C13683">
        <w:rPr>
          <w:b/>
          <w:bCs/>
          <w:i/>
          <w:sz w:val="20"/>
          <w:szCs w:val="20"/>
        </w:rPr>
        <w:t>‘’</w:t>
      </w:r>
      <w:r w:rsidR="00E22EA8" w:rsidRPr="00C13683">
        <w:rPr>
          <w:b/>
          <w:bCs/>
          <w:i/>
          <w:sz w:val="20"/>
          <w:szCs w:val="20"/>
        </w:rPr>
        <w:t>ACTO IMPUGNADO</w:t>
      </w:r>
    </w:p>
    <w:p w14:paraId="20CB87D1" w14:textId="3439892E" w:rsidR="00E22EA8" w:rsidRPr="00C13683" w:rsidRDefault="00F16ADD" w:rsidP="001162C4">
      <w:pPr>
        <w:spacing w:after="0" w:line="360" w:lineRule="auto"/>
        <w:ind w:left="567" w:right="567"/>
        <w:rPr>
          <w:i/>
          <w:sz w:val="20"/>
          <w:szCs w:val="20"/>
        </w:rPr>
      </w:pPr>
      <w:r w:rsidRPr="00C13683">
        <w:rPr>
          <w:i/>
          <w:iCs/>
          <w:sz w:val="20"/>
          <w:szCs w:val="20"/>
        </w:rPr>
        <w:t>RESPUESTA A LA SOLICITUD 00657/ECATEPEC/IP/2025</w:t>
      </w:r>
      <w:r w:rsidR="00E22EA8" w:rsidRPr="00C13683">
        <w:rPr>
          <w:i/>
          <w:iCs/>
          <w:sz w:val="20"/>
          <w:szCs w:val="20"/>
        </w:rPr>
        <w:t>”</w:t>
      </w:r>
      <w:r w:rsidR="002D6CA6" w:rsidRPr="00C13683">
        <w:rPr>
          <w:i/>
          <w:iCs/>
          <w:sz w:val="20"/>
          <w:szCs w:val="20"/>
        </w:rPr>
        <w:t xml:space="preserve"> (Sic.)</w:t>
      </w:r>
    </w:p>
    <w:p w14:paraId="3B2615CC" w14:textId="77777777" w:rsidR="00E22EA8" w:rsidRPr="00C13683" w:rsidRDefault="00E22EA8" w:rsidP="001162C4">
      <w:pPr>
        <w:spacing w:after="0" w:line="360" w:lineRule="auto"/>
        <w:ind w:left="567" w:right="567"/>
        <w:rPr>
          <w:i/>
          <w:sz w:val="20"/>
          <w:szCs w:val="20"/>
        </w:rPr>
      </w:pPr>
    </w:p>
    <w:p w14:paraId="3F1F07C7" w14:textId="49F2AE96" w:rsidR="00E22EA8" w:rsidRPr="00C13683" w:rsidRDefault="00E12804" w:rsidP="001162C4">
      <w:pPr>
        <w:spacing w:after="0" w:line="360" w:lineRule="auto"/>
        <w:ind w:left="567" w:right="567"/>
        <w:rPr>
          <w:b/>
          <w:i/>
          <w:sz w:val="20"/>
          <w:szCs w:val="20"/>
        </w:rPr>
      </w:pPr>
      <w:r w:rsidRPr="00C13683">
        <w:rPr>
          <w:b/>
          <w:i/>
          <w:sz w:val="20"/>
          <w:szCs w:val="20"/>
        </w:rPr>
        <w:t>‘’</w:t>
      </w:r>
      <w:r w:rsidR="00E22EA8" w:rsidRPr="00C13683">
        <w:rPr>
          <w:b/>
          <w:i/>
          <w:sz w:val="20"/>
          <w:szCs w:val="20"/>
        </w:rPr>
        <w:t>RAZONES O MOTIVOS DE LA INCONFORMIDAD</w:t>
      </w:r>
    </w:p>
    <w:p w14:paraId="31B716B5" w14:textId="6CFBBF9F" w:rsidR="00E12804" w:rsidRPr="00C13683" w:rsidRDefault="00F16ADD" w:rsidP="001162C4">
      <w:pPr>
        <w:spacing w:after="0" w:line="360" w:lineRule="auto"/>
        <w:ind w:left="567" w:right="567"/>
        <w:rPr>
          <w:i/>
          <w:iCs/>
          <w:sz w:val="20"/>
          <w:szCs w:val="20"/>
        </w:rPr>
      </w:pPr>
      <w:r w:rsidRPr="00C13683">
        <w:rPr>
          <w:i/>
          <w:iCs/>
          <w:sz w:val="20"/>
          <w:szCs w:val="20"/>
        </w:rPr>
        <w:t>EN LA RESPUESTA A LA PRESENTE SOLICITUD SE ANEXA UN OFICIO SIGNADO POR EL TESORERO MUNICIPAL, EN ESTE CASO SERVIDOR PÚBLICO HABILITADO, EN EL QUE SEÑALA QUE: "SE CONSIDERA LA RESERVA TOTAL POR UN PERIODO DE CICNO AÑOS" DE LA INFORMACIÓN SOLICITADA. A LO ANTERIOR CABE SEÑALAR LO SIGUIENTE: 1.- EL SERVIDOR PÚBLICO MENCIONADO CARECE DE FACULTADES Y ATRIBUCIONES PARA CLASIFICAR CUALQUIER TIPO DE INFORMACIÓN PÚBLICA. 2.- NO SE ANEXA NINGUN ACTA DEL COMITÉ DE TRANSPARENCIA DONDE HAYA SIDO APROBADA DICHA CLASIFICACIÓN. 3.- BAJO CUALQUIER ESCENARIO DICHA CLASIFICACIÓN RESULTA ILEGAL. 4.- LOS COMPROBANTES DE PAGO CON RECURSOS PÚBLICOS SON CONSIDERADOS COMO INFORMACIÓN PÚBLICA 5.- LOS DATOS PERSONALES CONTENIDOS EN LOS COMPROBANTES DE PAGO PUEDEN SER CLASIFICADOS Y TESTADOS, PERO DE NINGUNA MANERA CONSTITUYEN UN IMPEDIMENTO PARA LA ENTREGA DE LA DOCUMENTACIÓN SOLICITADA. POR LO ANTERIOR, SOLICITO SE REVOQUE LA RESPUESTA DEL SUJETO OBLIGADO Y SE ORDENE A LOS SERVIDORE4S PÚBLICOS HABILITADOS LA ENTREGA DE LA INFORMACIÓN QUE LES FUE REQUERIDA EN LOS TÉRMINOS EXPUESTOS EN LA PRESENTE SOLICITUD.</w:t>
      </w:r>
      <w:r w:rsidR="003C5F59" w:rsidRPr="00C13683">
        <w:rPr>
          <w:i/>
          <w:iCs/>
          <w:sz w:val="20"/>
          <w:szCs w:val="20"/>
        </w:rPr>
        <w:t>”</w:t>
      </w:r>
      <w:r w:rsidR="002D6CA6" w:rsidRPr="00C13683">
        <w:rPr>
          <w:i/>
          <w:iCs/>
          <w:sz w:val="20"/>
          <w:szCs w:val="20"/>
        </w:rPr>
        <w:t xml:space="preserve"> (Sic.)</w:t>
      </w:r>
    </w:p>
    <w:p w14:paraId="1DB4737B" w14:textId="77777777" w:rsidR="00F41361" w:rsidRPr="00C13683" w:rsidRDefault="00F41361" w:rsidP="001162C4">
      <w:pPr>
        <w:spacing w:after="0" w:line="360" w:lineRule="auto"/>
        <w:ind w:left="567" w:right="567"/>
        <w:rPr>
          <w:i/>
          <w:sz w:val="20"/>
          <w:szCs w:val="20"/>
        </w:rPr>
      </w:pPr>
    </w:p>
    <w:p w14:paraId="009DB65C" w14:textId="095E43F1" w:rsidR="00E22EA8" w:rsidRPr="00C13683" w:rsidRDefault="00D252F7" w:rsidP="001162C4">
      <w:pPr>
        <w:pStyle w:val="Ttulo2"/>
        <w:spacing w:before="0" w:after="0" w:line="360" w:lineRule="auto"/>
        <w:rPr>
          <w:sz w:val="22"/>
          <w:szCs w:val="22"/>
        </w:rPr>
      </w:pPr>
      <w:bookmarkStart w:id="5" w:name="_Toc219289824"/>
      <w:r w:rsidRPr="00C13683">
        <w:rPr>
          <w:sz w:val="22"/>
          <w:szCs w:val="22"/>
        </w:rPr>
        <w:lastRenderedPageBreak/>
        <w:t>I</w:t>
      </w:r>
      <w:r w:rsidR="00E22EA8" w:rsidRPr="00C13683">
        <w:rPr>
          <w:sz w:val="22"/>
          <w:szCs w:val="22"/>
        </w:rPr>
        <w:t>V. Trámite del Recurso de Revisión ante este Instituto</w:t>
      </w:r>
      <w:bookmarkEnd w:id="5"/>
    </w:p>
    <w:p w14:paraId="5C9B63F8" w14:textId="77777777" w:rsidR="009B2DAB" w:rsidRPr="00C13683" w:rsidRDefault="009B2DAB" w:rsidP="001162C4">
      <w:pPr>
        <w:spacing w:after="0" w:line="360" w:lineRule="auto"/>
        <w:rPr>
          <w:b/>
          <w:bCs/>
        </w:rPr>
      </w:pPr>
    </w:p>
    <w:p w14:paraId="173768ED" w14:textId="1264BA51" w:rsidR="00E22EA8" w:rsidRPr="00C13683" w:rsidRDefault="00E22EA8" w:rsidP="001162C4">
      <w:pPr>
        <w:spacing w:after="0" w:line="360" w:lineRule="auto"/>
        <w:rPr>
          <w:bCs/>
        </w:rPr>
      </w:pPr>
      <w:r w:rsidRPr="00C13683">
        <w:rPr>
          <w:b/>
          <w:bCs/>
        </w:rPr>
        <w:t>a) Turno del Medio de Impugnación.</w:t>
      </w:r>
      <w:r w:rsidR="000A706F" w:rsidRPr="00C13683">
        <w:rPr>
          <w:bCs/>
        </w:rPr>
        <w:t xml:space="preserve"> </w:t>
      </w:r>
      <w:r w:rsidR="003C5F59" w:rsidRPr="00C13683">
        <w:rPr>
          <w:bCs/>
        </w:rPr>
        <w:t xml:space="preserve">El </w:t>
      </w:r>
      <w:r w:rsidR="00F16ADD" w:rsidRPr="00C13683">
        <w:rPr>
          <w:bCs/>
        </w:rPr>
        <w:t>dos de septiembre</w:t>
      </w:r>
      <w:r w:rsidR="00E64E18" w:rsidRPr="00C13683">
        <w:t xml:space="preserve"> de dos mil veinticinco</w:t>
      </w:r>
      <w:r w:rsidRPr="00C13683">
        <w:rPr>
          <w:bCs/>
        </w:rPr>
        <w:t xml:space="preserve">, el </w:t>
      </w:r>
      <w:r w:rsidRPr="00C13683">
        <w:rPr>
          <w:lang w:val="es-ES"/>
        </w:rPr>
        <w:t>Sistema de Acceso a la Información Mexiquense (SAIMEX),</w:t>
      </w:r>
      <w:r w:rsidRPr="00C13683">
        <w:rPr>
          <w:bCs/>
        </w:rPr>
        <w:t xml:space="preserve"> asignó el número de expediente </w:t>
      </w:r>
      <w:r w:rsidR="00F16ADD" w:rsidRPr="00C13683">
        <w:rPr>
          <w:b/>
          <w:bCs/>
        </w:rPr>
        <w:t>10326</w:t>
      </w:r>
      <w:r w:rsidR="000D392E" w:rsidRPr="00C13683">
        <w:rPr>
          <w:b/>
          <w:bCs/>
        </w:rPr>
        <w:t>/INFOEM/IP/RR/2025</w:t>
      </w:r>
      <w:r w:rsidRPr="00C13683">
        <w:rPr>
          <w:bCs/>
        </w:rPr>
        <w:t xml:space="preserve">, al medio de impugnación que nos ocupa, con base en el sistema aprobado por el Pleno de este </w:t>
      </w:r>
      <w:r w:rsidR="00B65BCA" w:rsidRPr="00C13683">
        <w:rPr>
          <w:bCs/>
        </w:rPr>
        <w:t>Organismo</w:t>
      </w:r>
      <w:r w:rsidRPr="00C1368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13683" w:rsidRDefault="005914EE" w:rsidP="001162C4">
      <w:pPr>
        <w:spacing w:after="0" w:line="360" w:lineRule="auto"/>
        <w:rPr>
          <w:b/>
          <w:bCs/>
        </w:rPr>
      </w:pPr>
    </w:p>
    <w:p w14:paraId="61891480" w14:textId="38BFAC09" w:rsidR="00E22EA8" w:rsidRPr="00C13683" w:rsidRDefault="00E22EA8" w:rsidP="001162C4">
      <w:pPr>
        <w:spacing w:after="0" w:line="360" w:lineRule="auto"/>
      </w:pPr>
      <w:r w:rsidRPr="00C13683">
        <w:rPr>
          <w:b/>
          <w:bCs/>
        </w:rPr>
        <w:t>b) Admisión del Recurso de Revisión</w:t>
      </w:r>
      <w:r w:rsidRPr="00C13683">
        <w:rPr>
          <w:b/>
          <w:bCs/>
          <w:lang w:val="es-ES_tradnl"/>
        </w:rPr>
        <w:t xml:space="preserve">. </w:t>
      </w:r>
      <w:r w:rsidR="003C5F59" w:rsidRPr="00C13683">
        <w:t xml:space="preserve">El </w:t>
      </w:r>
      <w:r w:rsidR="00F16ADD" w:rsidRPr="00C13683">
        <w:t>cinco de septiembre</w:t>
      </w:r>
      <w:r w:rsidR="00E64E18" w:rsidRPr="00C13683">
        <w:t xml:space="preserve"> de dos mil veinticinco</w:t>
      </w:r>
      <w:r w:rsidRPr="00C13683">
        <w:rPr>
          <w:bCs/>
          <w:lang w:val="es-ES_tradnl"/>
        </w:rPr>
        <w:t xml:space="preserve">, se acordó la admisión del Recurso de Revisión interpuesto por </w:t>
      </w:r>
      <w:r w:rsidR="00261B92" w:rsidRPr="00C13683">
        <w:rPr>
          <w:bCs/>
          <w:lang w:val="es-ES_tradnl"/>
        </w:rPr>
        <w:t>la persona</w:t>
      </w:r>
      <w:r w:rsidRPr="00C1368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13683">
        <w:rPr>
          <w:bCs/>
          <w:lang w:val="es-ES_tradnl"/>
        </w:rPr>
        <w:t>el</w:t>
      </w:r>
      <w:r w:rsidR="007C4D4E" w:rsidRPr="00C13683">
        <w:rPr>
          <w:bCs/>
          <w:lang w:val="es-ES_tradnl"/>
        </w:rPr>
        <w:t xml:space="preserve"> mismo día</w:t>
      </w:r>
      <w:r w:rsidRPr="00C1368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13683" w:rsidRDefault="00E22EA8" w:rsidP="001162C4">
      <w:pPr>
        <w:spacing w:after="0" w:line="360" w:lineRule="auto"/>
        <w:rPr>
          <w:rFonts w:cs="Tahoma"/>
          <w:lang w:val="es-ES_tradnl"/>
        </w:rPr>
      </w:pPr>
    </w:p>
    <w:p w14:paraId="0BDB2657" w14:textId="16F8B0A9" w:rsidR="000C48DB" w:rsidRPr="00C13683" w:rsidRDefault="000410E6" w:rsidP="000C48DB">
      <w:pPr>
        <w:spacing w:after="0" w:line="360" w:lineRule="auto"/>
      </w:pPr>
      <w:r w:rsidRPr="00C13683">
        <w:rPr>
          <w:b/>
        </w:rPr>
        <w:t>c) Informe Justificado</w:t>
      </w:r>
      <w:r w:rsidR="000C48DB" w:rsidRPr="00C13683">
        <w:rPr>
          <w:b/>
        </w:rPr>
        <w:t xml:space="preserve">. </w:t>
      </w:r>
      <w:r w:rsidR="00F16ADD" w:rsidRPr="00C13683">
        <w:t>El diecinueve y veintiséis</w:t>
      </w:r>
      <w:r w:rsidR="00FE2415" w:rsidRPr="00C13683">
        <w:t xml:space="preserve"> de septiembre</w:t>
      </w:r>
      <w:r w:rsidR="000C48DB" w:rsidRPr="00C13683">
        <w:t xml:space="preserve"> de dos mil veinticinco, se recibió, a través del Sistema de Acceso a la Información Mexiquense (SAIMEX), el Informe Justificado del Sujeto Obligado, a través de los documentos siguientes:</w:t>
      </w:r>
      <w:r w:rsidR="00483F95" w:rsidRPr="00C13683">
        <w:t xml:space="preserve"> </w:t>
      </w:r>
    </w:p>
    <w:p w14:paraId="1F8EAAF0" w14:textId="77777777" w:rsidR="00483F95" w:rsidRPr="00C13683" w:rsidRDefault="00483F95" w:rsidP="000C48DB">
      <w:pPr>
        <w:spacing w:after="0" w:line="360" w:lineRule="auto"/>
      </w:pPr>
    </w:p>
    <w:p w14:paraId="73B4C2A4" w14:textId="07D10C7C" w:rsidR="000F7C1F" w:rsidRPr="00C13683" w:rsidRDefault="00483F95" w:rsidP="000C48DB">
      <w:pPr>
        <w:spacing w:after="0" w:line="360" w:lineRule="auto"/>
      </w:pPr>
      <w:r w:rsidRPr="00C13683">
        <w:t xml:space="preserve">i. </w:t>
      </w:r>
      <w:r w:rsidR="003405F5" w:rsidRPr="00C13683">
        <w:t xml:space="preserve">Oficio número </w:t>
      </w:r>
      <w:r w:rsidR="00863215" w:rsidRPr="00C13683">
        <w:t>TM/ECA/CA/5861/2025, del nueve de septiembre de dos mil veinticinco, suscrito por el Tesorero Municipal y dirigido a la Titular de la Unidad de Transparencia, por medio del cual ratifico su respuesta.</w:t>
      </w:r>
    </w:p>
    <w:p w14:paraId="79D8A7BE" w14:textId="77777777" w:rsidR="00863215" w:rsidRPr="00C13683" w:rsidRDefault="00863215" w:rsidP="000C48DB">
      <w:pPr>
        <w:spacing w:after="0" w:line="360" w:lineRule="auto"/>
      </w:pPr>
    </w:p>
    <w:p w14:paraId="52F6C1A9" w14:textId="5FF7B7CE" w:rsidR="00863215" w:rsidRPr="00C13683" w:rsidRDefault="00863215" w:rsidP="000C48DB">
      <w:pPr>
        <w:spacing w:after="0" w:line="360" w:lineRule="auto"/>
      </w:pPr>
      <w:r w:rsidRPr="00C13683">
        <w:lastRenderedPageBreak/>
        <w:t>ii. Acta número ACT/ECA/CT/EXT/28ª/2025, de la Vigésima Octava Sesión Extraordinaria del Comité de Transparencia, por medio de la cual confirma la clasificación de la información como reservada.</w:t>
      </w:r>
    </w:p>
    <w:p w14:paraId="2DB31F91" w14:textId="77777777" w:rsidR="007420C0" w:rsidRPr="00C13683" w:rsidRDefault="007420C0" w:rsidP="000C48DB">
      <w:pPr>
        <w:spacing w:after="0" w:line="360" w:lineRule="auto"/>
      </w:pPr>
    </w:p>
    <w:p w14:paraId="4BCEDB8F" w14:textId="758287F9" w:rsidR="007420C0" w:rsidRPr="00C13683" w:rsidRDefault="007420C0" w:rsidP="000C48DB">
      <w:pPr>
        <w:spacing w:after="0" w:line="360" w:lineRule="auto"/>
      </w:pPr>
      <w:r w:rsidRPr="00C13683">
        <w:t>iii. Oficio número CU/UT/ECA/1112/2025, del dieciocho de septiembre de dos mil veinticinco, suscrito por la Titular de la Unidad de Transparencia y dirigido al Comisionado Ponente, por medio del cual ratifica la respuesta.</w:t>
      </w:r>
    </w:p>
    <w:p w14:paraId="107241AD" w14:textId="77777777" w:rsidR="0076162A" w:rsidRPr="00C13683" w:rsidRDefault="0076162A" w:rsidP="001162C4">
      <w:pPr>
        <w:spacing w:after="0" w:line="360" w:lineRule="auto"/>
        <w:rPr>
          <w:rFonts w:cs="Tahoma"/>
        </w:rPr>
      </w:pPr>
    </w:p>
    <w:p w14:paraId="715A7EF1" w14:textId="4ED2BE5E" w:rsidR="000C48DB" w:rsidRPr="00C13683" w:rsidRDefault="000C48DB" w:rsidP="001162C4">
      <w:pPr>
        <w:spacing w:after="0" w:line="360" w:lineRule="auto"/>
        <w:rPr>
          <w:rFonts w:cs="Tahoma"/>
        </w:rPr>
      </w:pPr>
      <w:r w:rsidRPr="00C13683">
        <w:rPr>
          <w:b/>
        </w:rPr>
        <w:t>d) Vista del Informe Justificado.</w:t>
      </w:r>
      <w:r w:rsidRPr="00C13683">
        <w:t xml:space="preserve"> El </w:t>
      </w:r>
      <w:r w:rsidR="00F16ADD" w:rsidRPr="00C13683">
        <w:t>catorce</w:t>
      </w:r>
      <w:r w:rsidR="00FE2415" w:rsidRPr="00C13683">
        <w:t xml:space="preserve"> de enero de dos mil veintiséis</w:t>
      </w:r>
      <w:r w:rsidRPr="00C13683">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11E50A5" w14:textId="77777777" w:rsidR="00A87D25" w:rsidRPr="00C13683" w:rsidRDefault="00A87D25" w:rsidP="001162C4">
      <w:pPr>
        <w:spacing w:after="0" w:line="360" w:lineRule="auto"/>
        <w:rPr>
          <w:rFonts w:cs="Tahoma"/>
        </w:rPr>
      </w:pPr>
    </w:p>
    <w:p w14:paraId="2CAFAFAD" w14:textId="60DD4D36" w:rsidR="00A87D25" w:rsidRPr="00C13683" w:rsidRDefault="000C48DB" w:rsidP="00A87D25">
      <w:pPr>
        <w:spacing w:after="0" w:line="360" w:lineRule="auto"/>
        <w:rPr>
          <w:rFonts w:cs="Tahoma"/>
        </w:rPr>
      </w:pPr>
      <w:bookmarkStart w:id="6" w:name="_Hlk182976945"/>
      <w:r w:rsidRPr="00C13683">
        <w:rPr>
          <w:b/>
        </w:rPr>
        <w:t>e</w:t>
      </w:r>
      <w:r w:rsidR="00A87D25" w:rsidRPr="00C13683">
        <w:rPr>
          <w:b/>
        </w:rPr>
        <w:t>) Ampliación de plazo para resolver.</w:t>
      </w:r>
      <w:r w:rsidR="00A87D25" w:rsidRPr="00C13683">
        <w:t xml:space="preserve"> El</w:t>
      </w:r>
      <w:r w:rsidR="00FE2415" w:rsidRPr="00C13683">
        <w:t xml:space="preserve"> </w:t>
      </w:r>
      <w:r w:rsidR="00F16ADD" w:rsidRPr="00C13683">
        <w:t>catorce</w:t>
      </w:r>
      <w:r w:rsidR="00FE2415" w:rsidRPr="00C13683">
        <w:t xml:space="preserve"> de enero de dos mil veintiséis</w:t>
      </w:r>
      <w:r w:rsidR="00A87D25" w:rsidRPr="00C13683">
        <w:t xml:space="preserve">, el Comisionado Ponente, con fundamento en lo dispuesto por el artículo 181, párrafo tercero, de la Ley de Transparencia y Acceso a la Información Pública del Estado de México y Municipios, acordó ampliar por un </w:t>
      </w:r>
      <w:r w:rsidR="00A87D25" w:rsidRPr="00C13683">
        <w:rPr>
          <w:b/>
          <w:bCs/>
        </w:rPr>
        <w:t>periodo</w:t>
      </w:r>
      <w:r w:rsidR="00A168FA" w:rsidRPr="00C13683">
        <w:rPr>
          <w:b/>
          <w:bCs/>
        </w:rPr>
        <w:t xml:space="preserve"> razonable</w:t>
      </w:r>
      <w:r w:rsidR="00A87D25" w:rsidRPr="00C13683">
        <w:t>, el plazo para resolver el Recurso de Revisión que nos ocupa; acto que fue notificado a las partes el mismo día, mediante el Sistema de Acceso a la Información Mexiquense (SAIMEX).</w:t>
      </w:r>
    </w:p>
    <w:p w14:paraId="01DA4C8E" w14:textId="77777777" w:rsidR="00A87D25" w:rsidRPr="00C13683" w:rsidRDefault="00A87D25" w:rsidP="001162C4">
      <w:pPr>
        <w:spacing w:after="0" w:line="360" w:lineRule="auto"/>
        <w:rPr>
          <w:b/>
          <w:color w:val="000000"/>
        </w:rPr>
      </w:pPr>
    </w:p>
    <w:p w14:paraId="1220E37C" w14:textId="45E7A90B" w:rsidR="003C5FE0" w:rsidRPr="00C13683" w:rsidRDefault="000C48DB" w:rsidP="001162C4">
      <w:pPr>
        <w:spacing w:after="0" w:line="360" w:lineRule="auto"/>
        <w:contextualSpacing/>
      </w:pPr>
      <w:r w:rsidRPr="00C13683">
        <w:rPr>
          <w:rFonts w:eastAsia="Batang" w:cs="Tahoma"/>
          <w:b/>
        </w:rPr>
        <w:t>f</w:t>
      </w:r>
      <w:r w:rsidR="003C5FE0" w:rsidRPr="00C13683">
        <w:rPr>
          <w:rFonts w:eastAsia="Batang" w:cs="Tahoma"/>
          <w:b/>
        </w:rPr>
        <w:t xml:space="preserve">) </w:t>
      </w:r>
      <w:r w:rsidR="00002B20" w:rsidRPr="00C13683">
        <w:rPr>
          <w:rFonts w:eastAsia="Times New Roman" w:cs="Tahoma"/>
          <w:b/>
          <w:szCs w:val="24"/>
          <w:lang w:eastAsia="es-ES"/>
        </w:rPr>
        <w:t>Cierre de instrucción.</w:t>
      </w:r>
      <w:r w:rsidR="00C06C06" w:rsidRPr="00C13683">
        <w:rPr>
          <w:rFonts w:eastAsia="Times New Roman" w:cs="Tahoma"/>
          <w:szCs w:val="24"/>
          <w:lang w:eastAsia="es-ES"/>
        </w:rPr>
        <w:t xml:space="preserve"> El</w:t>
      </w:r>
      <w:r w:rsidR="00FE2415" w:rsidRPr="00C13683">
        <w:rPr>
          <w:rFonts w:eastAsia="Times New Roman" w:cs="Tahoma"/>
          <w:szCs w:val="24"/>
          <w:lang w:eastAsia="es-ES"/>
        </w:rPr>
        <w:t xml:space="preserve"> veinte de enero de dos mil veintiséis</w:t>
      </w:r>
      <w:r w:rsidR="00002B20" w:rsidRPr="00C13683">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02B20" w:rsidRPr="00C13683">
        <w:rPr>
          <w:rFonts w:eastAsia="Times New Roman" w:cs="Tahoma"/>
          <w:szCs w:val="24"/>
          <w:lang w:eastAsia="es-ES"/>
        </w:rPr>
        <w:lastRenderedPageBreak/>
        <w:t xml:space="preserve">Pública del Estado de México y Municipios, </w:t>
      </w:r>
      <w:r w:rsidR="00002B20" w:rsidRPr="00C13683">
        <w:rPr>
          <w:lang w:val="es-ES"/>
        </w:rPr>
        <w:t>acto que fue notificado a las partes, mediante el Sistema de Acceso a la Información Mexiquense (SAIMEX), el mismo día.</w:t>
      </w:r>
    </w:p>
    <w:bookmarkEnd w:id="6"/>
    <w:p w14:paraId="08D98E1D" w14:textId="77777777" w:rsidR="000410E6" w:rsidRPr="00C13683" w:rsidRDefault="000410E6" w:rsidP="001162C4">
      <w:pPr>
        <w:spacing w:after="0" w:line="360" w:lineRule="auto"/>
        <w:rPr>
          <w:b/>
          <w:bCs/>
          <w:lang w:val="es-ES"/>
        </w:rPr>
      </w:pPr>
    </w:p>
    <w:p w14:paraId="1D2DAFCD" w14:textId="77777777" w:rsidR="000410E6" w:rsidRPr="00C13683" w:rsidRDefault="000410E6" w:rsidP="001162C4">
      <w:pPr>
        <w:spacing w:after="0" w:line="360" w:lineRule="auto"/>
        <w:rPr>
          <w:color w:val="000000"/>
        </w:rPr>
      </w:pPr>
      <w:r w:rsidRPr="00C1368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13683" w:rsidRDefault="00674DAF" w:rsidP="001162C4">
      <w:pPr>
        <w:spacing w:after="0" w:line="360" w:lineRule="auto"/>
        <w:rPr>
          <w:color w:val="000000"/>
        </w:rPr>
      </w:pPr>
    </w:p>
    <w:p w14:paraId="250F6589" w14:textId="3F880C72" w:rsidR="005C690F" w:rsidRPr="00C13683" w:rsidRDefault="00CD6238" w:rsidP="001162C4">
      <w:pPr>
        <w:pStyle w:val="Ttulo1"/>
        <w:spacing w:before="0" w:after="0" w:line="360" w:lineRule="auto"/>
        <w:jc w:val="center"/>
        <w:rPr>
          <w:sz w:val="22"/>
          <w:szCs w:val="22"/>
        </w:rPr>
      </w:pPr>
      <w:bookmarkStart w:id="7" w:name="_Toc219289825"/>
      <w:r w:rsidRPr="00C13683">
        <w:rPr>
          <w:sz w:val="22"/>
          <w:szCs w:val="22"/>
        </w:rPr>
        <w:t>C O N S I D E R A N D O S</w:t>
      </w:r>
      <w:bookmarkEnd w:id="7"/>
    </w:p>
    <w:p w14:paraId="5AB6ED71" w14:textId="77777777" w:rsidR="005C690F" w:rsidRPr="00C13683" w:rsidRDefault="005C690F" w:rsidP="001162C4">
      <w:pPr>
        <w:spacing w:after="0" w:line="360" w:lineRule="auto"/>
        <w:jc w:val="center"/>
        <w:rPr>
          <w:b/>
          <w:color w:val="000000"/>
        </w:rPr>
      </w:pPr>
    </w:p>
    <w:p w14:paraId="36BFFC7E" w14:textId="2F0F17EA" w:rsidR="005C690F" w:rsidRPr="00C13683" w:rsidRDefault="007D6307" w:rsidP="001162C4">
      <w:pPr>
        <w:pStyle w:val="Ttulo2"/>
        <w:spacing w:before="0" w:after="0" w:line="360" w:lineRule="auto"/>
        <w:rPr>
          <w:sz w:val="22"/>
          <w:szCs w:val="22"/>
        </w:rPr>
      </w:pPr>
      <w:bookmarkStart w:id="8" w:name="_Toc219289826"/>
      <w:r w:rsidRPr="00C13683">
        <w:rPr>
          <w:sz w:val="22"/>
          <w:szCs w:val="22"/>
        </w:rPr>
        <w:t xml:space="preserve">PRIMERO. </w:t>
      </w:r>
      <w:r w:rsidR="00CD6238" w:rsidRPr="00C13683">
        <w:rPr>
          <w:sz w:val="22"/>
          <w:szCs w:val="22"/>
        </w:rPr>
        <w:t>Competencia</w:t>
      </w:r>
      <w:bookmarkEnd w:id="8"/>
    </w:p>
    <w:p w14:paraId="2F02418E" w14:textId="77777777" w:rsidR="00156343" w:rsidRPr="00C13683" w:rsidRDefault="00156343" w:rsidP="001162C4">
      <w:pPr>
        <w:spacing w:after="0" w:line="360" w:lineRule="auto"/>
        <w:contextualSpacing/>
        <w:rPr>
          <w:rFonts w:eastAsia="Times New Roman" w:cs="Tahoma"/>
          <w:bCs/>
          <w:lang w:eastAsia="es-ES"/>
        </w:rPr>
      </w:pPr>
      <w:bookmarkStart w:id="9" w:name="_heading=h.30j0zll" w:colFirst="0" w:colLast="0"/>
      <w:bookmarkEnd w:id="9"/>
    </w:p>
    <w:p w14:paraId="0499B104" w14:textId="5BDA861D" w:rsidR="00156343" w:rsidRPr="00C13683" w:rsidRDefault="00156343" w:rsidP="001162C4">
      <w:pPr>
        <w:spacing w:after="0" w:line="360" w:lineRule="auto"/>
        <w:contextualSpacing/>
        <w:rPr>
          <w:rFonts w:eastAsia="Times New Roman" w:cs="Tahoma"/>
          <w:bCs/>
          <w:lang w:eastAsia="es-ES"/>
        </w:rPr>
      </w:pPr>
      <w:r w:rsidRPr="00C13683">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13683" w:rsidRDefault="005C690F" w:rsidP="001162C4">
      <w:pPr>
        <w:spacing w:after="0" w:line="360" w:lineRule="auto"/>
        <w:rPr>
          <w:b/>
          <w:color w:val="000000"/>
        </w:rPr>
      </w:pPr>
    </w:p>
    <w:p w14:paraId="46691DD5" w14:textId="4C1C70AD" w:rsidR="005C690F" w:rsidRPr="00C13683" w:rsidRDefault="007D6307" w:rsidP="001162C4">
      <w:pPr>
        <w:pStyle w:val="Ttulo2"/>
        <w:spacing w:before="0" w:after="0" w:line="360" w:lineRule="auto"/>
        <w:rPr>
          <w:sz w:val="22"/>
          <w:szCs w:val="22"/>
        </w:rPr>
      </w:pPr>
      <w:bookmarkStart w:id="10" w:name="_Toc219289827"/>
      <w:r w:rsidRPr="00C13683">
        <w:rPr>
          <w:sz w:val="22"/>
          <w:szCs w:val="22"/>
        </w:rPr>
        <w:t>SEGUNDO. Causales de</w:t>
      </w:r>
      <w:r w:rsidR="00CD6238" w:rsidRPr="00C13683">
        <w:rPr>
          <w:sz w:val="22"/>
          <w:szCs w:val="22"/>
        </w:rPr>
        <w:t xml:space="preserve"> improcedencia y sobreseimiento</w:t>
      </w:r>
      <w:bookmarkEnd w:id="10"/>
    </w:p>
    <w:p w14:paraId="49AA4CDE" w14:textId="77777777" w:rsidR="005C690F" w:rsidRPr="00C13683" w:rsidRDefault="005C690F" w:rsidP="001162C4">
      <w:pPr>
        <w:spacing w:after="0" w:line="360" w:lineRule="auto"/>
        <w:rPr>
          <w:color w:val="000000"/>
        </w:rPr>
      </w:pPr>
    </w:p>
    <w:p w14:paraId="2553CE58" w14:textId="77777777" w:rsidR="005C690F" w:rsidRPr="00C13683" w:rsidRDefault="007D6307" w:rsidP="001162C4">
      <w:pPr>
        <w:spacing w:after="0" w:line="360" w:lineRule="auto"/>
        <w:rPr>
          <w:color w:val="000000"/>
        </w:rPr>
      </w:pPr>
      <w:r w:rsidRPr="00C13683">
        <w:rPr>
          <w:color w:val="000000"/>
        </w:rPr>
        <w:lastRenderedPageBreak/>
        <w:t xml:space="preserve">De las constancias que forma parte del Recurso de Revisión que se analiza, se advierte que previo al estudio del fondo de la </w:t>
      </w:r>
      <w:proofErr w:type="spellStart"/>
      <w:r w:rsidRPr="00C13683">
        <w:rPr>
          <w:i/>
          <w:color w:val="000000"/>
        </w:rPr>
        <w:t>litis</w:t>
      </w:r>
      <w:proofErr w:type="spellEnd"/>
      <w:r w:rsidRPr="00C13683">
        <w:rPr>
          <w:color w:val="000000"/>
        </w:rPr>
        <w:t>, es necesario estudiar las causales de improcedencia y sobreseimiento que se adviertan, para determinar lo que en Derecho proceda.</w:t>
      </w:r>
    </w:p>
    <w:p w14:paraId="35A30074" w14:textId="77777777" w:rsidR="009B2DAB" w:rsidRPr="00C13683" w:rsidRDefault="009B2DAB" w:rsidP="001162C4">
      <w:pPr>
        <w:spacing w:after="0" w:line="360" w:lineRule="auto"/>
        <w:rPr>
          <w:color w:val="000000"/>
        </w:rPr>
      </w:pPr>
    </w:p>
    <w:p w14:paraId="3066DF0C" w14:textId="77777777" w:rsidR="005C690F" w:rsidRPr="00C13683" w:rsidRDefault="007D6307" w:rsidP="001162C4">
      <w:pPr>
        <w:spacing w:after="0" w:line="360" w:lineRule="auto"/>
        <w:rPr>
          <w:b/>
        </w:rPr>
      </w:pPr>
      <w:r w:rsidRPr="00C13683">
        <w:rPr>
          <w:b/>
        </w:rPr>
        <w:t>Causales de improcedencia</w:t>
      </w:r>
    </w:p>
    <w:p w14:paraId="706394D4" w14:textId="77777777" w:rsidR="00304DE6" w:rsidRPr="00C13683" w:rsidRDefault="00304DE6" w:rsidP="001162C4">
      <w:pPr>
        <w:spacing w:after="0" w:line="360" w:lineRule="auto"/>
        <w:rPr>
          <w:b/>
        </w:rPr>
      </w:pPr>
    </w:p>
    <w:p w14:paraId="6C56CA88" w14:textId="77777777" w:rsidR="005C690F" w:rsidRPr="00C13683" w:rsidRDefault="007D6307" w:rsidP="001162C4">
      <w:pPr>
        <w:spacing w:after="0" w:line="360" w:lineRule="auto"/>
        <w:rPr>
          <w:color w:val="000000"/>
        </w:rPr>
      </w:pPr>
      <w:r w:rsidRPr="00C1368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13683" w:rsidRDefault="005C690F" w:rsidP="001162C4">
      <w:pPr>
        <w:spacing w:after="0" w:line="360" w:lineRule="auto"/>
        <w:rPr>
          <w:color w:val="000000"/>
        </w:rPr>
      </w:pPr>
    </w:p>
    <w:p w14:paraId="22563DDB" w14:textId="33D3D011" w:rsidR="008D3B3F" w:rsidRPr="00C13683" w:rsidRDefault="007D6307" w:rsidP="001162C4">
      <w:pPr>
        <w:spacing w:after="0" w:line="360" w:lineRule="auto"/>
        <w:rPr>
          <w:color w:val="000000"/>
        </w:rPr>
      </w:pPr>
      <w:r w:rsidRPr="00C13683">
        <w:rPr>
          <w:color w:val="000000"/>
        </w:rPr>
        <w:t>En el presente caso, </w:t>
      </w:r>
      <w:r w:rsidRPr="00C13683">
        <w:rPr>
          <w:b/>
          <w:color w:val="000000"/>
        </w:rPr>
        <w:t>no se actualiza ninguna de las causales de improcedencia</w:t>
      </w:r>
      <w:r w:rsidRPr="00C13683">
        <w:rPr>
          <w:color w:val="000000"/>
        </w:rPr>
        <w:t> establecidas en el ordenamiento jurídico previamente señalado, toda vez que: este Instituto no tiene conocimiento de que se encuentre en trámite algún medio de defensa presentado por la</w:t>
      </w:r>
      <w:r w:rsidR="00261B92" w:rsidRPr="00C13683">
        <w:rPr>
          <w:color w:val="000000"/>
        </w:rPr>
        <w:t xml:space="preserve"> persona</w:t>
      </w:r>
      <w:r w:rsidRPr="00C1368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13683" w:rsidRDefault="00874D8A" w:rsidP="001162C4">
      <w:pPr>
        <w:spacing w:after="0" w:line="360" w:lineRule="auto"/>
        <w:rPr>
          <w:color w:val="000000"/>
        </w:rPr>
      </w:pPr>
    </w:p>
    <w:p w14:paraId="1C21859B" w14:textId="108C4224" w:rsidR="00E14735" w:rsidRPr="00C13683" w:rsidRDefault="007D6307" w:rsidP="00E14735">
      <w:pPr>
        <w:spacing w:after="0" w:line="360" w:lineRule="auto"/>
      </w:pPr>
      <w:r w:rsidRPr="00C13683">
        <w:t>Por lo cual, se actualiza la causal de procedencia del Recurso de Revisión señal</w:t>
      </w:r>
      <w:r w:rsidR="00261DF6" w:rsidRPr="00C13683">
        <w:t>ada en el artículo 179, fracci</w:t>
      </w:r>
      <w:r w:rsidR="007F0CD0" w:rsidRPr="00C13683">
        <w:t>ón I</w:t>
      </w:r>
      <w:r w:rsidR="00740736" w:rsidRPr="00C13683">
        <w:t>I</w:t>
      </w:r>
      <w:r w:rsidRPr="00C13683">
        <w:t>, de la Ley en cita, pues la p</w:t>
      </w:r>
      <w:r w:rsidR="00261B92" w:rsidRPr="00C13683">
        <w:t>ersona</w:t>
      </w:r>
      <w:r w:rsidRPr="00C13683">
        <w:t xml:space="preserve"> Recurrente se inconformó </w:t>
      </w:r>
      <w:r w:rsidR="00E14735" w:rsidRPr="00C13683">
        <w:t>de</w:t>
      </w:r>
      <w:r w:rsidR="00D47418" w:rsidRPr="00C13683">
        <w:t xml:space="preserve"> la </w:t>
      </w:r>
      <w:r w:rsidR="007F0CD0" w:rsidRPr="00C13683">
        <w:t>clasificación de la información.</w:t>
      </w:r>
    </w:p>
    <w:p w14:paraId="6E155DDA" w14:textId="77777777" w:rsidR="008E5041" w:rsidRPr="00C13683" w:rsidRDefault="008E5041" w:rsidP="00E14735">
      <w:pPr>
        <w:spacing w:after="0" w:line="360" w:lineRule="auto"/>
      </w:pPr>
    </w:p>
    <w:p w14:paraId="55FF691A" w14:textId="6D373E30" w:rsidR="005C690F" w:rsidRPr="00C13683" w:rsidRDefault="007D6307" w:rsidP="001162C4">
      <w:pPr>
        <w:spacing w:after="0" w:line="360" w:lineRule="auto"/>
        <w:rPr>
          <w:color w:val="0D0D0D"/>
        </w:rPr>
      </w:pPr>
      <w:r w:rsidRPr="00C13683">
        <w:rPr>
          <w:b/>
          <w:color w:val="0D0D0D"/>
        </w:rPr>
        <w:lastRenderedPageBreak/>
        <w:t>Ca</w:t>
      </w:r>
      <w:r w:rsidR="00CD6238" w:rsidRPr="00C13683">
        <w:rPr>
          <w:b/>
          <w:color w:val="0D0D0D"/>
        </w:rPr>
        <w:t>usales de sobreseimiento</w:t>
      </w:r>
    </w:p>
    <w:p w14:paraId="426FEE7A" w14:textId="77777777" w:rsidR="005C690F" w:rsidRPr="00C13683" w:rsidRDefault="005C690F" w:rsidP="001162C4">
      <w:pPr>
        <w:spacing w:after="0" w:line="360" w:lineRule="auto"/>
        <w:rPr>
          <w:color w:val="0D0D0D"/>
        </w:rPr>
      </w:pPr>
    </w:p>
    <w:p w14:paraId="5B1C849A" w14:textId="77777777" w:rsidR="005C690F" w:rsidRPr="00C13683" w:rsidRDefault="007D6307" w:rsidP="001162C4">
      <w:pPr>
        <w:spacing w:after="0" w:line="360" w:lineRule="auto"/>
        <w:rPr>
          <w:color w:val="0D0D0D"/>
        </w:rPr>
      </w:pPr>
      <w:r w:rsidRPr="00C13683">
        <w:rPr>
          <w:color w:val="0D0D0D"/>
        </w:rPr>
        <w:t>Por ser de previo y especial pronunciamiento, este Instituto analiza si se actualiza alguna causal de sobreseimiento.</w:t>
      </w:r>
    </w:p>
    <w:p w14:paraId="6229FBE8" w14:textId="77777777" w:rsidR="00FE2415" w:rsidRPr="00C13683" w:rsidRDefault="00FE2415" w:rsidP="001162C4">
      <w:pPr>
        <w:spacing w:after="0" w:line="360" w:lineRule="auto"/>
        <w:rPr>
          <w:color w:val="0D0D0D"/>
        </w:rPr>
      </w:pPr>
    </w:p>
    <w:p w14:paraId="766AB72D" w14:textId="77777777" w:rsidR="00BC038B" w:rsidRPr="00C13683" w:rsidRDefault="00BC038B" w:rsidP="001162C4">
      <w:pPr>
        <w:spacing w:after="0" w:line="360" w:lineRule="auto"/>
        <w:rPr>
          <w:color w:val="000000"/>
        </w:rPr>
      </w:pPr>
      <w:r w:rsidRPr="00C13683">
        <w:rPr>
          <w:color w:val="0D0D0D"/>
        </w:rPr>
        <w:t>Sobre el tema, e</w:t>
      </w:r>
      <w:r w:rsidRPr="00C13683">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13683" w:rsidRDefault="00BC038B" w:rsidP="001162C4">
      <w:pPr>
        <w:spacing w:after="0" w:line="360" w:lineRule="auto"/>
        <w:rPr>
          <w:color w:val="000000"/>
        </w:rPr>
      </w:pPr>
    </w:p>
    <w:p w14:paraId="5BDF3BB4" w14:textId="2A80B251" w:rsidR="00BC038B" w:rsidRPr="00C13683" w:rsidRDefault="00BC038B" w:rsidP="001162C4">
      <w:pPr>
        <w:spacing w:after="0" w:line="360" w:lineRule="auto"/>
        <w:rPr>
          <w:color w:val="0D0D0D"/>
        </w:rPr>
      </w:pPr>
      <w:r w:rsidRPr="00C13683">
        <w:rPr>
          <w:color w:val="0D0D0D"/>
        </w:rPr>
        <w:t>Por tales motivos, se considera procedente entrar al fondo del presente asunto.</w:t>
      </w:r>
    </w:p>
    <w:p w14:paraId="275D3AA1" w14:textId="77777777" w:rsidR="001A44D1" w:rsidRPr="00C13683" w:rsidRDefault="001A44D1" w:rsidP="001162C4">
      <w:pPr>
        <w:spacing w:after="0" w:line="360" w:lineRule="auto"/>
        <w:rPr>
          <w:b/>
          <w:color w:val="000000"/>
        </w:rPr>
      </w:pPr>
    </w:p>
    <w:p w14:paraId="0A6A0BAE" w14:textId="184EF292" w:rsidR="005C690F" w:rsidRPr="00C13683" w:rsidRDefault="007D6307" w:rsidP="001162C4">
      <w:pPr>
        <w:pStyle w:val="Ttulo2"/>
        <w:spacing w:before="0" w:after="0" w:line="360" w:lineRule="auto"/>
        <w:rPr>
          <w:sz w:val="22"/>
          <w:szCs w:val="22"/>
        </w:rPr>
      </w:pPr>
      <w:bookmarkStart w:id="11" w:name="_Toc219289828"/>
      <w:r w:rsidRPr="00C13683">
        <w:rPr>
          <w:sz w:val="22"/>
          <w:szCs w:val="22"/>
        </w:rPr>
        <w:t>TERCERO. De</w:t>
      </w:r>
      <w:r w:rsidR="00CD6238" w:rsidRPr="00C13683">
        <w:rPr>
          <w:sz w:val="22"/>
          <w:szCs w:val="22"/>
        </w:rPr>
        <w:t>terminación de la Controversia</w:t>
      </w:r>
      <w:bookmarkEnd w:id="11"/>
    </w:p>
    <w:p w14:paraId="4A0739CB" w14:textId="77777777" w:rsidR="00897A05" w:rsidRPr="00C13683" w:rsidRDefault="00897A05" w:rsidP="001162C4">
      <w:pPr>
        <w:spacing w:after="0" w:line="360" w:lineRule="auto"/>
        <w:rPr>
          <w:b/>
          <w:color w:val="000000"/>
        </w:rPr>
      </w:pPr>
    </w:p>
    <w:p w14:paraId="25A3F334" w14:textId="6B8A8E8E" w:rsidR="00FE2415" w:rsidRPr="00C13683" w:rsidRDefault="007C7BAF" w:rsidP="00FE2415">
      <w:pPr>
        <w:spacing w:after="0" w:line="360" w:lineRule="auto"/>
        <w:rPr>
          <w:rFonts w:cs="Tahoma"/>
        </w:rPr>
      </w:pPr>
      <w:r w:rsidRPr="00C13683">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C13683">
        <w:rPr>
          <w:rFonts w:cs="Tahoma"/>
        </w:rPr>
        <w:t>requirió,</w:t>
      </w:r>
      <w:r w:rsidR="00FE2415" w:rsidRPr="00C13683">
        <w:rPr>
          <w:rFonts w:cs="Tahoma"/>
        </w:rPr>
        <w:t xml:space="preserve"> </w:t>
      </w:r>
      <w:r w:rsidR="007F0CD0" w:rsidRPr="00C13683">
        <w:rPr>
          <w:rFonts w:cs="Tahoma"/>
        </w:rPr>
        <w:t>copia de los comprobantes de pagos realizados por transferencia electrónica o cheque por la Tesorería Municipal, del primero al treinta y uno de julio de dos mil veinticinco.</w:t>
      </w:r>
    </w:p>
    <w:p w14:paraId="6486E5A9" w14:textId="77777777" w:rsidR="00A85CE4" w:rsidRPr="00C13683" w:rsidRDefault="00A85CE4" w:rsidP="001162C4">
      <w:pPr>
        <w:spacing w:after="0" w:line="360" w:lineRule="auto"/>
        <w:rPr>
          <w:rFonts w:cs="Tahoma"/>
        </w:rPr>
      </w:pPr>
    </w:p>
    <w:p w14:paraId="0781F441" w14:textId="19371798" w:rsidR="008F2D7A" w:rsidRPr="00C13683" w:rsidRDefault="007C7BAF" w:rsidP="001162C4">
      <w:pPr>
        <w:spacing w:after="0" w:line="360" w:lineRule="auto"/>
        <w:rPr>
          <w:rFonts w:cs="Tahoma"/>
          <w:lang w:val="es-ES"/>
        </w:rPr>
      </w:pPr>
      <w:r w:rsidRPr="00C13683">
        <w:rPr>
          <w:color w:val="000000"/>
        </w:rPr>
        <w:t>En respuesta, el Sujeto Obligado,</w:t>
      </w:r>
      <w:r w:rsidR="00644832" w:rsidRPr="00C13683">
        <w:rPr>
          <w:color w:val="000000"/>
        </w:rPr>
        <w:t xml:space="preserve"> </w:t>
      </w:r>
      <w:r w:rsidR="00C672CD" w:rsidRPr="00C13683">
        <w:rPr>
          <w:color w:val="000000"/>
        </w:rPr>
        <w:t>a través de</w:t>
      </w:r>
      <w:r w:rsidR="00E645AB" w:rsidRPr="00C13683">
        <w:rPr>
          <w:color w:val="000000"/>
        </w:rPr>
        <w:t xml:space="preserve"> </w:t>
      </w:r>
      <w:r w:rsidR="00D47418" w:rsidRPr="00C13683">
        <w:rPr>
          <w:color w:val="000000"/>
        </w:rPr>
        <w:t xml:space="preserve">la </w:t>
      </w:r>
      <w:r w:rsidR="007F0CD0" w:rsidRPr="00C13683">
        <w:rPr>
          <w:color w:val="000000"/>
        </w:rPr>
        <w:t xml:space="preserve">Tesorería Municipal mencionó que la información solicitada es susceptible de ser clasificada como reservada con fundamento en </w:t>
      </w:r>
      <w:r w:rsidR="00B87D9A" w:rsidRPr="00C13683">
        <w:rPr>
          <w:color w:val="000000"/>
        </w:rPr>
        <w:lastRenderedPageBreak/>
        <w:t>el artículo 140 fracción V</w:t>
      </w:r>
      <w:r w:rsidR="007F0CD0" w:rsidRPr="00C13683">
        <w:rPr>
          <w:color w:val="000000"/>
        </w:rPr>
        <w:t xml:space="preserve"> de la Ley Transparencia y Acceso a la Información Pública del Estado de México y Municipios, en virtud de que contiene el número de cuenta bancario, el número de cuenta y datos confidenciales de personas terceras y su difusión puede ser utilizada </w:t>
      </w:r>
      <w:r w:rsidR="0021242D" w:rsidRPr="00C13683">
        <w:rPr>
          <w:color w:val="000000"/>
        </w:rPr>
        <w:t xml:space="preserve">por terceros ajenos al municipio o por otras personas dentro de la institución o de los bancos, para cometer ilícitos en perjuicio del patrimonio; </w:t>
      </w:r>
      <w:r w:rsidRPr="00C13683">
        <w:rPr>
          <w:rFonts w:cs="Tahoma"/>
          <w:lang w:val="es-ES"/>
        </w:rPr>
        <w:t>ante dicha circunstancia, el Particular se inconformó</w:t>
      </w:r>
      <w:r w:rsidR="00644832" w:rsidRPr="00C13683">
        <w:rPr>
          <w:rFonts w:cs="Tahoma"/>
          <w:lang w:val="es-ES"/>
        </w:rPr>
        <w:t xml:space="preserve"> </w:t>
      </w:r>
      <w:r w:rsidR="00EC4902" w:rsidRPr="00C13683">
        <w:rPr>
          <w:rFonts w:cs="Tahoma"/>
          <w:lang w:val="es-ES"/>
        </w:rPr>
        <w:t>de</w:t>
      </w:r>
      <w:r w:rsidR="0021242D" w:rsidRPr="00C13683">
        <w:rPr>
          <w:rFonts w:cs="Tahoma"/>
          <w:lang w:val="es-ES"/>
        </w:rPr>
        <w:t xml:space="preserve"> la clasificación de la información</w:t>
      </w:r>
      <w:r w:rsidR="00FB628E" w:rsidRPr="00C13683">
        <w:rPr>
          <w:rFonts w:cs="Tahoma"/>
          <w:lang w:val="es-ES"/>
        </w:rPr>
        <w:t>, al mencionar que</w:t>
      </w:r>
      <w:r w:rsidR="00FE2415" w:rsidRPr="00C13683">
        <w:rPr>
          <w:rFonts w:cs="Tahoma"/>
          <w:lang w:val="es-ES"/>
        </w:rPr>
        <w:t xml:space="preserve"> </w:t>
      </w:r>
      <w:r w:rsidR="0021242D" w:rsidRPr="00C13683">
        <w:rPr>
          <w:rFonts w:cs="Tahoma"/>
          <w:lang w:val="es-ES"/>
        </w:rPr>
        <w:t>no se puede clasificar la información, al mencionar que los comprobantes de pago es información pública con su debido testado en caso de tener datos confidenciales, y además no entregó el Acta del Comité de Transparencia donde se confirme la clasificación</w:t>
      </w:r>
      <w:r w:rsidR="001A7F04" w:rsidRPr="00C13683">
        <w:rPr>
          <w:rFonts w:cs="Tahoma"/>
          <w:lang w:val="es-ES"/>
        </w:rPr>
        <w:t xml:space="preserve">, </w:t>
      </w:r>
      <w:r w:rsidRPr="00C13683">
        <w:rPr>
          <w:rFonts w:cs="Tahoma"/>
          <w:lang w:val="es-ES"/>
        </w:rPr>
        <w:t xml:space="preserve">lo cual </w:t>
      </w:r>
      <w:r w:rsidRPr="00C13683">
        <w:rPr>
          <w:rFonts w:eastAsia="Calibri" w:cs="Tahoma"/>
        </w:rPr>
        <w:t>actualiza la causal de proce</w:t>
      </w:r>
      <w:r w:rsidR="00413093" w:rsidRPr="00C13683">
        <w:rPr>
          <w:rFonts w:eastAsia="Calibri" w:cs="Tahoma"/>
        </w:rPr>
        <w:t xml:space="preserve">dencia prevista en la fracción </w:t>
      </w:r>
      <w:r w:rsidR="0021242D" w:rsidRPr="00C13683">
        <w:rPr>
          <w:rFonts w:eastAsia="Calibri" w:cs="Tahoma"/>
        </w:rPr>
        <w:t>I</w:t>
      </w:r>
      <w:r w:rsidR="00C175A7" w:rsidRPr="00C13683">
        <w:rPr>
          <w:rFonts w:eastAsia="Calibri" w:cs="Tahoma"/>
        </w:rPr>
        <w:t>I</w:t>
      </w:r>
      <w:r w:rsidRPr="00C13683">
        <w:rPr>
          <w:rFonts w:eastAsia="Calibri" w:cs="Tahoma"/>
        </w:rPr>
        <w:t>, del artículo 179 de la Ley de Transparencia y Acceso a la Información Pública del Estado de México y Municipios</w:t>
      </w:r>
      <w:r w:rsidRPr="00C13683">
        <w:rPr>
          <w:color w:val="0D0D0D"/>
        </w:rPr>
        <w:t xml:space="preserve">. </w:t>
      </w:r>
      <w:r w:rsidRPr="00C13683">
        <w:rPr>
          <w:rFonts w:eastAsia="Calibri" w:cs="Tahoma"/>
        </w:rPr>
        <w:t>Así, las cosas, una vez admitido y notificado el Recurso de Revisión</w:t>
      </w:r>
      <w:r w:rsidR="00522A47" w:rsidRPr="00C13683">
        <w:rPr>
          <w:rFonts w:eastAsia="Calibri" w:cs="Tahoma"/>
        </w:rPr>
        <w:t xml:space="preserve"> a las partes,</w:t>
      </w:r>
      <w:r w:rsidR="00D93A2A" w:rsidRPr="00C13683">
        <w:rPr>
          <w:rFonts w:eastAsia="Calibri" w:cs="Tahoma"/>
        </w:rPr>
        <w:t xml:space="preserve"> </w:t>
      </w:r>
      <w:r w:rsidR="00C175A7" w:rsidRPr="00C13683">
        <w:rPr>
          <w:rFonts w:eastAsia="Calibri" w:cs="Tahoma"/>
        </w:rPr>
        <w:t xml:space="preserve">el Sujeto Obligado </w:t>
      </w:r>
      <w:r w:rsidR="0021242D" w:rsidRPr="00C13683">
        <w:rPr>
          <w:rFonts w:eastAsia="Calibri" w:cs="Tahoma"/>
        </w:rPr>
        <w:t xml:space="preserve">a través de la Tesorería Municipal </w:t>
      </w:r>
      <w:r w:rsidR="00B37415" w:rsidRPr="00C13683">
        <w:rPr>
          <w:rFonts w:eastAsia="Calibri" w:cs="Tahoma"/>
        </w:rPr>
        <w:t>ratificó</w:t>
      </w:r>
      <w:r w:rsidR="0021242D" w:rsidRPr="00C13683">
        <w:rPr>
          <w:rFonts w:eastAsia="Calibri" w:cs="Tahoma"/>
        </w:rPr>
        <w:t xml:space="preserve"> su respuesta y adjuntó el Acta número ACT/ECA/CT/EXT/28ª/2025, de la Vigésima Octava Sesión Extraordinaria del Comité de Transparencia, por medio de la cual confirma la clasificación de la información como reservada.</w:t>
      </w:r>
    </w:p>
    <w:p w14:paraId="5B0BE6AE" w14:textId="77777777" w:rsidR="008F2D7A" w:rsidRPr="00C13683" w:rsidRDefault="008F2D7A" w:rsidP="001162C4">
      <w:pPr>
        <w:tabs>
          <w:tab w:val="left" w:pos="4962"/>
        </w:tabs>
        <w:spacing w:after="0" w:line="360" w:lineRule="auto"/>
        <w:rPr>
          <w:rFonts w:eastAsia="Calibri" w:cs="Tahoma"/>
        </w:rPr>
      </w:pPr>
    </w:p>
    <w:p w14:paraId="22C5958E" w14:textId="0CF3AE30" w:rsidR="007C7BAF" w:rsidRPr="00C13683" w:rsidRDefault="007C7BAF" w:rsidP="001162C4">
      <w:pPr>
        <w:tabs>
          <w:tab w:val="left" w:pos="4962"/>
        </w:tabs>
        <w:spacing w:after="0" w:line="360" w:lineRule="auto"/>
        <w:rPr>
          <w:rFonts w:eastAsia="Calibri" w:cs="Tahoma"/>
          <w:bCs/>
        </w:rPr>
      </w:pPr>
      <w:r w:rsidRPr="00C13683">
        <w:rPr>
          <w:rFonts w:eastAsia="Calibri" w:cs="Tahoma"/>
          <w:iCs/>
          <w:lang w:val="es-ES" w:eastAsia="es-ES_tradnl"/>
        </w:rPr>
        <w:t>Lo anterior, se desprende de las documentales que obran en el expediente de referencia, materia de la presente resolución, consistente en: la solic</w:t>
      </w:r>
      <w:r w:rsidR="00BB3F28" w:rsidRPr="00C13683">
        <w:rPr>
          <w:rFonts w:eastAsia="Calibri" w:cs="Tahoma"/>
          <w:iCs/>
          <w:lang w:val="es-ES" w:eastAsia="es-ES_tradnl"/>
        </w:rPr>
        <w:t>i</w:t>
      </w:r>
      <w:r w:rsidR="0076190F" w:rsidRPr="00C13683">
        <w:rPr>
          <w:rFonts w:eastAsia="Calibri" w:cs="Tahoma"/>
          <w:iCs/>
          <w:lang w:val="es-ES" w:eastAsia="es-ES_tradnl"/>
        </w:rPr>
        <w:t xml:space="preserve">tud de acceso a </w:t>
      </w:r>
      <w:r w:rsidR="00B7669B" w:rsidRPr="00C13683">
        <w:rPr>
          <w:rFonts w:eastAsia="Calibri" w:cs="Tahoma"/>
          <w:iCs/>
          <w:lang w:val="es-ES" w:eastAsia="es-ES_tradnl"/>
        </w:rPr>
        <w:t xml:space="preserve">la información, </w:t>
      </w:r>
      <w:r w:rsidR="006E6B82" w:rsidRPr="00C13683">
        <w:rPr>
          <w:rFonts w:eastAsia="Calibri" w:cs="Tahoma"/>
          <w:iCs/>
          <w:lang w:eastAsia="es-ES_tradnl"/>
        </w:rPr>
        <w:t xml:space="preserve">el escrito </w:t>
      </w:r>
      <w:proofErr w:type="spellStart"/>
      <w:r w:rsidR="006E6B82" w:rsidRPr="00C13683">
        <w:rPr>
          <w:rFonts w:eastAsia="Calibri" w:cs="Tahoma"/>
          <w:iCs/>
          <w:lang w:eastAsia="es-ES_tradnl"/>
        </w:rPr>
        <w:t>recursal</w:t>
      </w:r>
      <w:proofErr w:type="spellEnd"/>
      <w:r w:rsidR="00B7669B" w:rsidRPr="00C13683">
        <w:rPr>
          <w:rFonts w:eastAsia="Calibri" w:cs="Tahoma"/>
          <w:iCs/>
          <w:lang w:eastAsia="es-ES_tradnl"/>
        </w:rPr>
        <w:t xml:space="preserve"> y el Informe Justificado</w:t>
      </w:r>
      <w:r w:rsidRPr="00C13683">
        <w:rPr>
          <w:rFonts w:eastAsia="Calibri" w:cs="Tahoma"/>
          <w:iCs/>
          <w:lang w:eastAsia="es-ES_tradnl"/>
        </w:rPr>
        <w:t xml:space="preserve">; </w:t>
      </w:r>
      <w:r w:rsidRPr="00C1368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C13683" w:rsidRDefault="00C672CD" w:rsidP="001162C4">
      <w:pPr>
        <w:pStyle w:val="Ttulo2"/>
        <w:spacing w:before="0" w:after="0" w:line="360" w:lineRule="auto"/>
        <w:rPr>
          <w:sz w:val="22"/>
          <w:szCs w:val="22"/>
        </w:rPr>
      </w:pPr>
    </w:p>
    <w:p w14:paraId="36DCBD9D" w14:textId="0AA8912A" w:rsidR="005C690F" w:rsidRPr="00C13683" w:rsidRDefault="007D6307" w:rsidP="001162C4">
      <w:pPr>
        <w:pStyle w:val="Ttulo2"/>
        <w:spacing w:before="0" w:after="0" w:line="360" w:lineRule="auto"/>
        <w:rPr>
          <w:sz w:val="22"/>
          <w:szCs w:val="22"/>
        </w:rPr>
      </w:pPr>
      <w:bookmarkStart w:id="12" w:name="_Toc219289829"/>
      <w:r w:rsidRPr="00C13683">
        <w:rPr>
          <w:sz w:val="22"/>
          <w:szCs w:val="22"/>
        </w:rPr>
        <w:t xml:space="preserve">CUARTO. Marco normativo aplicable en materia de transparencia y </w:t>
      </w:r>
      <w:r w:rsidR="00CD6238" w:rsidRPr="00C13683">
        <w:rPr>
          <w:sz w:val="22"/>
          <w:szCs w:val="22"/>
        </w:rPr>
        <w:t>acceso a la información pública</w:t>
      </w:r>
      <w:bookmarkEnd w:id="12"/>
    </w:p>
    <w:p w14:paraId="4D62F8F1" w14:textId="77777777" w:rsidR="005C690F" w:rsidRPr="00C13683" w:rsidRDefault="005C690F" w:rsidP="001162C4">
      <w:pPr>
        <w:spacing w:after="0" w:line="360" w:lineRule="auto"/>
        <w:rPr>
          <w:color w:val="000000"/>
        </w:rPr>
      </w:pPr>
    </w:p>
    <w:p w14:paraId="68F50546" w14:textId="77777777" w:rsidR="005C690F" w:rsidRPr="00C13683" w:rsidRDefault="007D6307" w:rsidP="001162C4">
      <w:pPr>
        <w:spacing w:after="0" w:line="360" w:lineRule="auto"/>
        <w:rPr>
          <w:color w:val="000000"/>
        </w:rPr>
      </w:pPr>
      <w:r w:rsidRPr="00C13683">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13683" w:rsidRDefault="005C690F" w:rsidP="001162C4">
      <w:pPr>
        <w:spacing w:after="0" w:line="360" w:lineRule="auto"/>
        <w:rPr>
          <w:color w:val="000000"/>
        </w:rPr>
      </w:pPr>
    </w:p>
    <w:p w14:paraId="69458899" w14:textId="77777777" w:rsidR="005C690F" w:rsidRPr="00C13683" w:rsidRDefault="007D6307" w:rsidP="001162C4">
      <w:pPr>
        <w:spacing w:after="0" w:line="360" w:lineRule="auto"/>
        <w:rPr>
          <w:color w:val="000000"/>
        </w:rPr>
      </w:pPr>
      <w:r w:rsidRPr="00C13683">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13683" w:rsidRDefault="005C690F" w:rsidP="001162C4">
      <w:pPr>
        <w:spacing w:after="0" w:line="360" w:lineRule="auto"/>
        <w:rPr>
          <w:color w:val="000000"/>
        </w:rPr>
      </w:pPr>
    </w:p>
    <w:p w14:paraId="3D8EBDEC" w14:textId="77777777" w:rsidR="005C690F" w:rsidRPr="00C13683" w:rsidRDefault="007D6307" w:rsidP="001162C4">
      <w:pPr>
        <w:spacing w:after="0" w:line="360" w:lineRule="auto"/>
        <w:rPr>
          <w:color w:val="000000"/>
        </w:rPr>
      </w:pPr>
      <w:r w:rsidRPr="00C13683">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13683" w:rsidRDefault="005C690F" w:rsidP="001162C4">
      <w:pPr>
        <w:spacing w:after="0" w:line="360" w:lineRule="auto"/>
        <w:rPr>
          <w:color w:val="000000"/>
        </w:rPr>
      </w:pPr>
    </w:p>
    <w:p w14:paraId="5BD9CB2E" w14:textId="77777777" w:rsidR="005C690F" w:rsidRPr="00C13683" w:rsidRDefault="007D6307" w:rsidP="001162C4">
      <w:pPr>
        <w:spacing w:after="0" w:line="360" w:lineRule="auto"/>
        <w:rPr>
          <w:color w:val="000000"/>
        </w:rPr>
      </w:pPr>
      <w:r w:rsidRPr="00C13683">
        <w:rPr>
          <w:color w:val="000000"/>
        </w:rPr>
        <w:t>El artículo 12, que, quienes generen, recopilen, administren, manejen, procesen, archiven o conserven información pública serán responsables de la misma.</w:t>
      </w:r>
    </w:p>
    <w:p w14:paraId="6BD1FFBB" w14:textId="77777777" w:rsidR="007C02D1" w:rsidRPr="00C13683" w:rsidRDefault="007C02D1" w:rsidP="001162C4">
      <w:pPr>
        <w:spacing w:after="0" w:line="360" w:lineRule="auto"/>
        <w:rPr>
          <w:color w:val="000000"/>
        </w:rPr>
      </w:pPr>
    </w:p>
    <w:p w14:paraId="3D899A16" w14:textId="77777777" w:rsidR="005C690F" w:rsidRPr="00C13683" w:rsidRDefault="007D6307" w:rsidP="001162C4">
      <w:pPr>
        <w:widowControl w:val="0"/>
        <w:spacing w:after="0" w:line="360" w:lineRule="auto"/>
        <w:rPr>
          <w:color w:val="000000"/>
        </w:rPr>
      </w:pPr>
      <w:r w:rsidRPr="00C1368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13683" w:rsidRDefault="00B153FA" w:rsidP="001162C4">
      <w:pPr>
        <w:widowControl w:val="0"/>
        <w:spacing w:after="0" w:line="360" w:lineRule="auto"/>
        <w:rPr>
          <w:color w:val="000000"/>
        </w:rPr>
      </w:pPr>
    </w:p>
    <w:p w14:paraId="70E5B643" w14:textId="378E2A57" w:rsidR="00B04A35" w:rsidRPr="00C13683" w:rsidRDefault="007D6307" w:rsidP="001162C4">
      <w:pPr>
        <w:spacing w:after="0" w:line="360" w:lineRule="auto"/>
        <w:rPr>
          <w:color w:val="000000"/>
        </w:rPr>
      </w:pPr>
      <w:r w:rsidRPr="00C1368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13683" w:rsidRDefault="005C690F" w:rsidP="001162C4">
      <w:pPr>
        <w:spacing w:after="0" w:line="360" w:lineRule="auto"/>
      </w:pPr>
    </w:p>
    <w:p w14:paraId="3AF871E5" w14:textId="6FEB966D" w:rsidR="005C690F" w:rsidRPr="00C13683" w:rsidRDefault="00CD6238" w:rsidP="001162C4">
      <w:pPr>
        <w:pStyle w:val="Ttulo2"/>
        <w:spacing w:before="0" w:after="0" w:line="360" w:lineRule="auto"/>
        <w:rPr>
          <w:sz w:val="22"/>
          <w:szCs w:val="22"/>
        </w:rPr>
      </w:pPr>
      <w:bookmarkStart w:id="13" w:name="_Toc219289830"/>
      <w:r w:rsidRPr="00C13683">
        <w:rPr>
          <w:sz w:val="22"/>
          <w:szCs w:val="22"/>
        </w:rPr>
        <w:lastRenderedPageBreak/>
        <w:t>Q</w:t>
      </w:r>
      <w:r w:rsidR="0044017B" w:rsidRPr="00C13683">
        <w:rPr>
          <w:sz w:val="22"/>
          <w:szCs w:val="22"/>
        </w:rPr>
        <w:t>UINTO</w:t>
      </w:r>
      <w:r w:rsidRPr="00C13683">
        <w:rPr>
          <w:sz w:val="22"/>
          <w:szCs w:val="22"/>
        </w:rPr>
        <w:t>. Estudio de Fondo</w:t>
      </w:r>
      <w:bookmarkEnd w:id="13"/>
    </w:p>
    <w:p w14:paraId="2596B212" w14:textId="77777777" w:rsidR="00A56228" w:rsidRPr="00C13683" w:rsidRDefault="00A56228" w:rsidP="001162C4">
      <w:pPr>
        <w:spacing w:after="0" w:line="360" w:lineRule="auto"/>
        <w:rPr>
          <w:b/>
          <w:color w:val="000000"/>
        </w:rPr>
      </w:pPr>
    </w:p>
    <w:p w14:paraId="63BCC1E3" w14:textId="100FCE1F" w:rsidR="00A6674B" w:rsidRPr="00C13683" w:rsidRDefault="0064067B" w:rsidP="001162C4">
      <w:pPr>
        <w:spacing w:after="0" w:line="360" w:lineRule="auto"/>
        <w:rPr>
          <w:rFonts w:eastAsia="Times New Roman" w:cs="Tahoma"/>
          <w:bCs/>
          <w:iCs/>
          <w:lang w:eastAsia="es-ES"/>
        </w:rPr>
      </w:pPr>
      <w:r w:rsidRPr="00C13683">
        <w:rPr>
          <w:color w:val="000000"/>
        </w:rPr>
        <w:t>Expuestas las posturas de las partes, se procede al análisis de los agravios hechos valer por la persona Recurrente</w:t>
      </w:r>
      <w:r w:rsidR="00731FB9" w:rsidRPr="00C13683">
        <w:t xml:space="preserve">, </w:t>
      </w:r>
      <w:r w:rsidR="007F4407" w:rsidRPr="00C13683">
        <w:rPr>
          <w:rFonts w:eastAsia="Times New Roman" w:cs="Tahoma"/>
          <w:bCs/>
          <w:iCs/>
          <w:lang w:eastAsia="es-ES"/>
        </w:rPr>
        <w:t>por lo que, en principio es necesario contextualizar la solicitud de información</w:t>
      </w:r>
      <w:r w:rsidR="00A6674B" w:rsidRPr="00C13683">
        <w:rPr>
          <w:rFonts w:eastAsia="Times New Roman" w:cs="Tahoma"/>
          <w:bCs/>
          <w:iCs/>
          <w:lang w:eastAsia="es-ES"/>
        </w:rPr>
        <w:t>.</w:t>
      </w:r>
    </w:p>
    <w:p w14:paraId="0B4CA164" w14:textId="77777777" w:rsidR="00B24697" w:rsidRPr="00C13683" w:rsidRDefault="00B24697" w:rsidP="001162C4">
      <w:pPr>
        <w:spacing w:after="0" w:line="360" w:lineRule="auto"/>
        <w:rPr>
          <w:rFonts w:eastAsia="Times New Roman" w:cs="Tahoma"/>
          <w:bCs/>
          <w:iCs/>
          <w:lang w:eastAsia="es-ES"/>
        </w:rPr>
      </w:pPr>
    </w:p>
    <w:p w14:paraId="076C0862" w14:textId="77777777" w:rsidR="00B24697" w:rsidRPr="00C13683" w:rsidRDefault="00B24697" w:rsidP="00B24697">
      <w:pPr>
        <w:spacing w:after="0" w:line="360" w:lineRule="auto"/>
      </w:pPr>
      <w:r w:rsidRPr="00C13683">
        <w:t xml:space="preserve">Al respecto, el artículo 4°, fracción XVIII, de la Ley General de Contabilidad Gubernamental, establece que </w:t>
      </w:r>
      <w:r w:rsidRPr="00C13683">
        <w:rPr>
          <w:b/>
          <w:bCs/>
        </w:rPr>
        <w:t>la información financiera consiste en información presupuestaria y contable que se expresa en unidades monetarias las transacciones que realiza un ente público y los eventos económicos identificables y cuantificable</w:t>
      </w:r>
      <w:r w:rsidRPr="00C13683">
        <w:t xml:space="preserve"> la cual puede representarse por reportes, informes, estados y notas que expresan su situación financiera, los resultados de su operación y los cambios en su patrimonio.</w:t>
      </w:r>
    </w:p>
    <w:p w14:paraId="568A4EF9" w14:textId="77777777" w:rsidR="00B24697" w:rsidRPr="00C13683" w:rsidRDefault="00B24697" w:rsidP="00B24697">
      <w:pPr>
        <w:spacing w:after="0" w:line="360" w:lineRule="auto"/>
      </w:pPr>
    </w:p>
    <w:p w14:paraId="13048937" w14:textId="77777777" w:rsidR="00B24697" w:rsidRPr="00C13683" w:rsidRDefault="00B24697" w:rsidP="00B24697">
      <w:pPr>
        <w:spacing w:after="0" w:line="360" w:lineRule="auto"/>
      </w:pPr>
      <w:r w:rsidRPr="00C13683">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3010C5E5" w14:textId="77777777" w:rsidR="00B24697" w:rsidRPr="00C13683" w:rsidRDefault="00B24697" w:rsidP="00B24697">
      <w:pPr>
        <w:spacing w:after="0" w:line="360" w:lineRule="auto"/>
      </w:pPr>
    </w:p>
    <w:p w14:paraId="0E849D8A" w14:textId="77777777" w:rsidR="00B24697" w:rsidRPr="00C13683" w:rsidRDefault="00B24697" w:rsidP="00B24697">
      <w:pPr>
        <w:spacing w:after="0" w:line="360" w:lineRule="auto"/>
      </w:pPr>
      <w:r w:rsidRPr="00C13683">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109C6538" w14:textId="77777777" w:rsidR="00B24697" w:rsidRPr="00C13683" w:rsidRDefault="00B24697" w:rsidP="00B24697">
      <w:pPr>
        <w:spacing w:after="0" w:line="360" w:lineRule="auto"/>
      </w:pPr>
    </w:p>
    <w:p w14:paraId="5AE3BDA7" w14:textId="77777777" w:rsidR="00B24697" w:rsidRPr="00C13683" w:rsidRDefault="00B24697" w:rsidP="00B24697">
      <w:pPr>
        <w:spacing w:after="0" w:line="360" w:lineRule="auto"/>
      </w:pPr>
      <w:r w:rsidRPr="00C13683">
        <w:lastRenderedPageBreak/>
        <w:t>En ese contexto, los Sujetos Obligados deben generar pólizas contables que corresponden a un documento en el que se asientan las operaciones desarrolladas por las Entidades Públicas, con toda la información necesaria para su identificación; además, dichas pólizas se dividen en las siguientes:</w:t>
      </w:r>
    </w:p>
    <w:p w14:paraId="6DEFA53A" w14:textId="77777777" w:rsidR="00B24697" w:rsidRPr="00C13683" w:rsidRDefault="00B24697" w:rsidP="00B24697">
      <w:pPr>
        <w:spacing w:after="0" w:line="360" w:lineRule="auto"/>
      </w:pPr>
    </w:p>
    <w:p w14:paraId="1DA2A20D" w14:textId="77777777" w:rsidR="00B24697" w:rsidRPr="00C13683" w:rsidRDefault="00B24697" w:rsidP="00A05A26">
      <w:pPr>
        <w:numPr>
          <w:ilvl w:val="0"/>
          <w:numId w:val="6"/>
        </w:numPr>
        <w:spacing w:after="0" w:line="360" w:lineRule="auto"/>
        <w:contextualSpacing/>
        <w:rPr>
          <w:rFonts w:eastAsia="Times New Roman" w:cs="Times New Roman"/>
          <w:szCs w:val="24"/>
          <w:lang w:eastAsia="es-ES"/>
        </w:rPr>
      </w:pPr>
      <w:r w:rsidRPr="00C13683">
        <w:rPr>
          <w:rFonts w:eastAsia="Times New Roman" w:cs="Times New Roman"/>
          <w:b/>
          <w:bCs/>
          <w:szCs w:val="24"/>
          <w:lang w:eastAsia="es-ES"/>
        </w:rPr>
        <w:t>Póliza de Egresos:</w:t>
      </w:r>
      <w:r w:rsidRPr="00C13683">
        <w:rPr>
          <w:rFonts w:eastAsia="Times New Roman" w:cs="Times New Roman"/>
          <w:szCs w:val="24"/>
          <w:lang w:eastAsia="es-ES"/>
        </w:rPr>
        <w:t xml:space="preserve"> Corresponde a aquella donde se anotan las operaciones que implique egresos, es decir, la salida de dinero, en efectivo o transferencia, para el municipio. </w:t>
      </w:r>
    </w:p>
    <w:p w14:paraId="032F897E" w14:textId="77777777" w:rsidR="00B24697" w:rsidRPr="00C13683" w:rsidRDefault="00B24697" w:rsidP="00B24697">
      <w:pPr>
        <w:spacing w:after="0" w:line="360" w:lineRule="auto"/>
        <w:ind w:left="720"/>
        <w:contextualSpacing/>
        <w:rPr>
          <w:rFonts w:eastAsia="Times New Roman" w:cs="Times New Roman"/>
          <w:szCs w:val="24"/>
          <w:lang w:eastAsia="es-ES"/>
        </w:rPr>
      </w:pPr>
    </w:p>
    <w:p w14:paraId="51BA6629" w14:textId="77777777" w:rsidR="00B24697" w:rsidRPr="00C13683" w:rsidRDefault="00B24697" w:rsidP="00A05A26">
      <w:pPr>
        <w:numPr>
          <w:ilvl w:val="0"/>
          <w:numId w:val="6"/>
        </w:numPr>
        <w:spacing w:after="0" w:line="360" w:lineRule="auto"/>
        <w:contextualSpacing/>
        <w:rPr>
          <w:rFonts w:eastAsia="Times New Roman" w:cs="Times New Roman"/>
          <w:szCs w:val="24"/>
          <w:lang w:eastAsia="es-ES"/>
        </w:rPr>
      </w:pPr>
      <w:r w:rsidRPr="00C13683">
        <w:rPr>
          <w:rFonts w:eastAsia="Times New Roman" w:cs="Times New Roman"/>
          <w:b/>
          <w:bCs/>
          <w:szCs w:val="24"/>
          <w:lang w:eastAsia="es-ES"/>
        </w:rPr>
        <w:t>Póliza Cheque:</w:t>
      </w:r>
      <w:r w:rsidRPr="00C13683">
        <w:rPr>
          <w:rFonts w:eastAsia="Times New Roman" w:cs="Times New Roman"/>
          <w:szCs w:val="24"/>
          <w:lang w:eastAsia="es-ES"/>
        </w:rPr>
        <w:t xml:space="preserve"> Es la que se elabora cuando la operación implique una salida de dinero del municipio, a través de un cheque.</w:t>
      </w:r>
    </w:p>
    <w:p w14:paraId="76EE265C" w14:textId="77777777" w:rsidR="00B24697" w:rsidRPr="00C13683" w:rsidRDefault="00B24697" w:rsidP="00B24697">
      <w:pPr>
        <w:spacing w:after="0" w:line="360" w:lineRule="auto"/>
        <w:contextualSpacing/>
      </w:pPr>
    </w:p>
    <w:p w14:paraId="346CF36D" w14:textId="1E6BE38C" w:rsidR="00B24697" w:rsidRPr="00C13683" w:rsidRDefault="00264CB3" w:rsidP="001162C4">
      <w:pPr>
        <w:spacing w:after="0" w:line="360" w:lineRule="auto"/>
        <w:rPr>
          <w:rFonts w:eastAsia="Times New Roman" w:cs="Tahoma"/>
          <w:bCs/>
          <w:iCs/>
          <w:lang w:eastAsia="es-ES"/>
        </w:rPr>
      </w:pPr>
      <w:r w:rsidRPr="00C13683">
        <w:t>Por lo que</w:t>
      </w:r>
      <w:r w:rsidR="00B24697" w:rsidRPr="00C13683">
        <w:rPr>
          <w:rFonts w:eastAsia="Times New Roman" w:cs="Tahoma"/>
          <w:bCs/>
          <w:iCs/>
          <w:lang w:eastAsia="es-ES"/>
        </w:rPr>
        <w:t xml:space="preserve">, </w:t>
      </w:r>
      <w:r w:rsidRPr="00C13683">
        <w:rPr>
          <w:rFonts w:eastAsia="Times New Roman" w:cs="Tahoma"/>
          <w:bCs/>
          <w:iCs/>
          <w:lang w:eastAsia="es-ES"/>
        </w:rPr>
        <w:t xml:space="preserve">de conformidad con </w:t>
      </w:r>
      <w:r w:rsidR="00B24697" w:rsidRPr="00C13683">
        <w:rPr>
          <w:rFonts w:eastAsia="Times New Roman" w:cs="Tahoma"/>
          <w:bCs/>
          <w:iCs/>
          <w:lang w:eastAsia="es-ES"/>
        </w:rPr>
        <w:t>los Lineamientos para la integración y presentación de los Informes Trimestrales Estatales y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2E95504A" w14:textId="77777777" w:rsidR="00264CB3" w:rsidRPr="00C13683" w:rsidRDefault="00264CB3" w:rsidP="001162C4">
      <w:pPr>
        <w:spacing w:after="0" w:line="360" w:lineRule="auto"/>
        <w:rPr>
          <w:rFonts w:eastAsia="Times New Roman" w:cs="Tahoma"/>
          <w:bCs/>
          <w:iCs/>
          <w:lang w:eastAsia="es-ES"/>
        </w:rPr>
      </w:pPr>
    </w:p>
    <w:p w14:paraId="6A1BE8B3" w14:textId="69F91970" w:rsidR="00B24697" w:rsidRPr="00C13683" w:rsidRDefault="00264CB3" w:rsidP="001162C4">
      <w:pPr>
        <w:spacing w:after="0" w:line="360" w:lineRule="auto"/>
        <w:rPr>
          <w:rFonts w:eastAsia="Times New Roman" w:cs="Tahoma"/>
          <w:bCs/>
          <w:iCs/>
          <w:lang w:eastAsia="es-ES"/>
        </w:rPr>
      </w:pPr>
      <w:r w:rsidRPr="00C13683">
        <w:rPr>
          <w:rFonts w:eastAsia="Times New Roman" w:cs="Tahoma"/>
          <w:bCs/>
          <w:iCs/>
          <w:lang w:eastAsia="es-ES"/>
        </w:rPr>
        <w:t xml:space="preserve">Ahora bien, los artículos 44 y 47, del Bando Municipal de Ecatepec de Morelos, dos mil veinticinco, precisa que, para el ejercicio de sus atribuciones, tanto el H. Ayuntamiento como la Presidenta Municipal, se auxiliarán de una Tesorería Municipal encargada de la recaudación de los ingresos municipales y la administración de la Hacienda Pública Municipal, responsable de realizar y verificar las erogaciones y funciones requeridas por el </w:t>
      </w:r>
      <w:r w:rsidRPr="00C13683">
        <w:rPr>
          <w:rFonts w:eastAsia="Times New Roman" w:cs="Tahoma"/>
          <w:bCs/>
          <w:iCs/>
          <w:lang w:eastAsia="es-ES"/>
        </w:rPr>
        <w:lastRenderedPageBreak/>
        <w:t>H. Ayuntamiento, la Presidenta Municipal Constitucional y demás dependencias de la Administración Pública Municipal.</w:t>
      </w:r>
    </w:p>
    <w:p w14:paraId="72FCF3DB" w14:textId="77777777" w:rsidR="009E6A6D" w:rsidRPr="00C13683" w:rsidRDefault="009E6A6D" w:rsidP="00EC4902">
      <w:pPr>
        <w:spacing w:after="0" w:line="360" w:lineRule="auto"/>
        <w:rPr>
          <w:rFonts w:eastAsia="Times New Roman" w:cs="Tahoma"/>
          <w:bCs/>
          <w:iCs/>
          <w:lang w:eastAsia="es-ES"/>
        </w:rPr>
      </w:pPr>
    </w:p>
    <w:p w14:paraId="52668C09" w14:textId="3C464D0F" w:rsidR="0070242C" w:rsidRPr="00C13683" w:rsidRDefault="00EC4902" w:rsidP="00DF08D7">
      <w:pPr>
        <w:spacing w:after="0" w:line="360" w:lineRule="auto"/>
        <w:rPr>
          <w:rFonts w:cs="Tahoma"/>
        </w:rPr>
      </w:pPr>
      <w:r w:rsidRPr="00C13683">
        <w:rPr>
          <w:rFonts w:eastAsia="Times New Roman" w:cs="Tahoma"/>
          <w:bCs/>
          <w:iCs/>
          <w:lang w:eastAsia="es-ES"/>
        </w:rPr>
        <w:t xml:space="preserve">Conforme a lo anterior, se logra vislumbrar que </w:t>
      </w:r>
      <w:r w:rsidR="00EE0F64" w:rsidRPr="00C13683">
        <w:rPr>
          <w:rFonts w:eastAsia="Times New Roman" w:cs="Tahoma"/>
          <w:bCs/>
          <w:iCs/>
          <w:lang w:eastAsia="es-ES"/>
        </w:rPr>
        <w:t xml:space="preserve">la pretensión de la persona Recurrente es obtener, </w:t>
      </w:r>
      <w:r w:rsidR="00264CB3" w:rsidRPr="00C13683">
        <w:rPr>
          <w:rFonts w:eastAsia="Times New Roman" w:cs="Tahoma"/>
          <w:bCs/>
          <w:iCs/>
          <w:lang w:eastAsia="es-ES"/>
        </w:rPr>
        <w:t>los comprobantes de pagos realizados por transferencia electrónica o cheque, del primero al treinta y uno de julio de dos mil veinticinco.</w:t>
      </w:r>
    </w:p>
    <w:p w14:paraId="030749B8" w14:textId="77777777" w:rsidR="00C968FF" w:rsidRPr="00C13683" w:rsidRDefault="00C968FF" w:rsidP="001162C4">
      <w:pPr>
        <w:spacing w:after="0" w:line="360" w:lineRule="auto"/>
        <w:rPr>
          <w:rFonts w:eastAsia="Times New Roman" w:cs="Tahoma"/>
          <w:bCs/>
          <w:iCs/>
          <w:lang w:eastAsia="es-ES"/>
        </w:rPr>
      </w:pPr>
    </w:p>
    <w:p w14:paraId="70511778" w14:textId="235122B2" w:rsidR="00B0601E" w:rsidRPr="00C13683" w:rsidRDefault="00B0601E" w:rsidP="001162C4">
      <w:pPr>
        <w:spacing w:after="0" w:line="360" w:lineRule="auto"/>
        <w:rPr>
          <w:rFonts w:eastAsia="Times New Roman" w:cs="Tahoma"/>
          <w:bCs/>
          <w:iCs/>
          <w:lang w:eastAsia="es-ES"/>
        </w:rPr>
      </w:pPr>
      <w:r w:rsidRPr="00C13683">
        <w:rPr>
          <w:rFonts w:eastAsia="Times New Roman" w:cs="Tahoma"/>
          <w:bCs/>
          <w:iCs/>
          <w:lang w:eastAsia="es-ES"/>
        </w:rPr>
        <w:t>Establecida dicha circunstancia, de las constancias que obran en el expediente electrónico, se advierte que el Sujeto Obligado</w:t>
      </w:r>
      <w:r w:rsidR="0007157F" w:rsidRPr="00C13683">
        <w:rPr>
          <w:rFonts w:eastAsia="Times New Roman" w:cs="Tahoma"/>
          <w:bCs/>
          <w:iCs/>
          <w:lang w:eastAsia="es-ES"/>
        </w:rPr>
        <w:t xml:space="preserve"> turno la solicitud de información a la</w:t>
      </w:r>
      <w:r w:rsidR="00264CB3" w:rsidRPr="00C13683">
        <w:rPr>
          <w:rFonts w:eastAsia="Times New Roman" w:cs="Tahoma"/>
          <w:bCs/>
          <w:iCs/>
          <w:lang w:eastAsia="es-ES"/>
        </w:rPr>
        <w:t xml:space="preserve"> Tesorería Municipal</w:t>
      </w:r>
      <w:r w:rsidRPr="00C13683">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C13683" w:rsidRDefault="00B0601E" w:rsidP="001162C4">
      <w:pPr>
        <w:spacing w:after="0" w:line="360" w:lineRule="auto"/>
        <w:rPr>
          <w:rFonts w:eastAsia="Times New Roman" w:cs="Tahoma"/>
          <w:bCs/>
          <w:iCs/>
          <w:lang w:eastAsia="es-ES"/>
        </w:rPr>
      </w:pPr>
    </w:p>
    <w:p w14:paraId="7A783851" w14:textId="5222C1B7" w:rsidR="00DF08D7" w:rsidRPr="00C13683" w:rsidRDefault="00B0601E" w:rsidP="001162C4">
      <w:pPr>
        <w:spacing w:after="0" w:line="360" w:lineRule="auto"/>
        <w:rPr>
          <w:rFonts w:eastAsia="Times New Roman" w:cs="Tahoma"/>
          <w:bCs/>
          <w:iCs/>
          <w:lang w:eastAsia="es-ES"/>
        </w:rPr>
      </w:pPr>
      <w:r w:rsidRPr="00C13683">
        <w:rPr>
          <w:rFonts w:eastAsia="Times New Roman" w:cs="Tahoma"/>
          <w:bCs/>
          <w:iCs/>
          <w:lang w:eastAsia="es-ES"/>
        </w:rPr>
        <w:t>Así y de lo plasmado en párrafos anteriores, se logra colegir que el Sujeto Obligado cumplió con el procedimiento de búsqueda establecido en el artículo 162 de la Ley de Transparencia y Acceso a la Información Pública del Estado de</w:t>
      </w:r>
      <w:r w:rsidR="008A519E" w:rsidRPr="00C13683">
        <w:rPr>
          <w:rFonts w:eastAsia="Times New Roman" w:cs="Tahoma"/>
          <w:bCs/>
          <w:iCs/>
          <w:lang w:eastAsia="es-ES"/>
        </w:rPr>
        <w:t xml:space="preserve"> Méxic</w:t>
      </w:r>
      <w:r w:rsidR="0007157F" w:rsidRPr="00C13683">
        <w:rPr>
          <w:rFonts w:eastAsia="Times New Roman" w:cs="Tahoma"/>
          <w:bCs/>
          <w:iCs/>
          <w:lang w:eastAsia="es-ES"/>
        </w:rPr>
        <w:t xml:space="preserve">o y Municipios, toda vez que </w:t>
      </w:r>
      <w:r w:rsidR="008A519E" w:rsidRPr="00C13683">
        <w:rPr>
          <w:rFonts w:eastAsia="Times New Roman" w:cs="Tahoma"/>
          <w:bCs/>
          <w:iCs/>
          <w:lang w:eastAsia="es-ES"/>
        </w:rPr>
        <w:t>turno</w:t>
      </w:r>
      <w:r w:rsidR="0007157F" w:rsidRPr="00C13683">
        <w:rPr>
          <w:rFonts w:eastAsia="Times New Roman" w:cs="Tahoma"/>
          <w:bCs/>
          <w:iCs/>
          <w:lang w:eastAsia="es-ES"/>
        </w:rPr>
        <w:t xml:space="preserve"> la solicitud de información al área competente </w:t>
      </w:r>
      <w:r w:rsidR="00750CF0" w:rsidRPr="00C13683">
        <w:rPr>
          <w:rFonts w:eastAsia="Times New Roman" w:cs="Tahoma"/>
          <w:bCs/>
          <w:iCs/>
          <w:lang w:eastAsia="es-ES"/>
        </w:rPr>
        <w:t>de</w:t>
      </w:r>
      <w:r w:rsidR="00F317D5" w:rsidRPr="00C13683">
        <w:rPr>
          <w:rFonts w:eastAsia="Times New Roman" w:cs="Tahoma"/>
          <w:bCs/>
          <w:iCs/>
          <w:lang w:eastAsia="es-ES"/>
        </w:rPr>
        <w:t xml:space="preserve"> conocer </w:t>
      </w:r>
      <w:r w:rsidR="00DF08D7" w:rsidRPr="00C13683">
        <w:rPr>
          <w:rFonts w:eastAsia="Times New Roman" w:cs="Tahoma"/>
          <w:bCs/>
          <w:iCs/>
          <w:lang w:eastAsia="es-ES"/>
        </w:rPr>
        <w:t>de</w:t>
      </w:r>
      <w:r w:rsidR="00264CB3" w:rsidRPr="00C13683">
        <w:rPr>
          <w:rFonts w:eastAsia="Times New Roman" w:cs="Tahoma"/>
          <w:bCs/>
          <w:iCs/>
          <w:lang w:eastAsia="es-ES"/>
        </w:rPr>
        <w:t xml:space="preserve"> los comprobantes de pago</w:t>
      </w:r>
      <w:r w:rsidR="00DF08D7" w:rsidRPr="00C13683">
        <w:rPr>
          <w:rFonts w:eastAsia="Times New Roman" w:cs="Tahoma"/>
          <w:bCs/>
          <w:iCs/>
          <w:lang w:eastAsia="es-ES"/>
        </w:rPr>
        <w:t>.</w:t>
      </w:r>
    </w:p>
    <w:p w14:paraId="52F1D1B3" w14:textId="77777777" w:rsidR="00DF08D7" w:rsidRPr="00C13683" w:rsidRDefault="00DF08D7" w:rsidP="001162C4">
      <w:pPr>
        <w:spacing w:after="0" w:line="360" w:lineRule="auto"/>
        <w:rPr>
          <w:rFonts w:eastAsia="Times New Roman" w:cs="Tahoma"/>
          <w:bCs/>
          <w:iCs/>
          <w:lang w:eastAsia="es-ES"/>
        </w:rPr>
      </w:pPr>
    </w:p>
    <w:p w14:paraId="61A13A4A" w14:textId="72A1EF30" w:rsidR="006A2051" w:rsidRPr="00C13683" w:rsidRDefault="00DF08D7" w:rsidP="006A2051">
      <w:pPr>
        <w:spacing w:after="0" w:line="360" w:lineRule="auto"/>
        <w:rPr>
          <w:rFonts w:eastAsia="Times New Roman" w:cs="Tahoma"/>
          <w:bCs/>
          <w:iCs/>
          <w:lang w:eastAsia="es-ES"/>
        </w:rPr>
      </w:pPr>
      <w:r w:rsidRPr="00C13683">
        <w:rPr>
          <w:rFonts w:eastAsia="Times New Roman" w:cs="Tahoma"/>
          <w:bCs/>
          <w:iCs/>
          <w:lang w:eastAsia="es-ES"/>
        </w:rPr>
        <w:t>Ahora bien, en respuesta</w:t>
      </w:r>
      <w:r w:rsidR="00D27D4B" w:rsidRPr="00C13683">
        <w:rPr>
          <w:rFonts w:eastAsia="Times New Roman" w:cs="Tahoma"/>
          <w:bCs/>
          <w:iCs/>
          <w:lang w:eastAsia="es-ES"/>
        </w:rPr>
        <w:t xml:space="preserve">, la </w:t>
      </w:r>
      <w:r w:rsidR="00264CB3" w:rsidRPr="00C13683">
        <w:rPr>
          <w:rFonts w:eastAsia="Times New Roman" w:cs="Tahoma"/>
          <w:bCs/>
          <w:iCs/>
          <w:lang w:eastAsia="es-ES"/>
        </w:rPr>
        <w:t>Tesorería Municipal mencionó que la información solicitada es susceptible de ser clasificada como reservada con fundamento en el artículo 140 fra</w:t>
      </w:r>
      <w:r w:rsidR="00B87D9A" w:rsidRPr="00C13683">
        <w:rPr>
          <w:rFonts w:eastAsia="Times New Roman" w:cs="Tahoma"/>
          <w:bCs/>
          <w:iCs/>
          <w:lang w:eastAsia="es-ES"/>
        </w:rPr>
        <w:t>cción V</w:t>
      </w:r>
      <w:r w:rsidR="00264CB3" w:rsidRPr="00C13683">
        <w:rPr>
          <w:rFonts w:eastAsia="Times New Roman" w:cs="Tahoma"/>
          <w:bCs/>
          <w:iCs/>
          <w:lang w:eastAsia="es-ES"/>
        </w:rPr>
        <w:t xml:space="preserve"> de la Ley Transparencia y Acceso a la Información Pública del Estado de México y </w:t>
      </w:r>
      <w:r w:rsidR="00264CB3" w:rsidRPr="00C13683">
        <w:rPr>
          <w:rFonts w:eastAsia="Times New Roman" w:cs="Tahoma"/>
          <w:bCs/>
          <w:iCs/>
          <w:lang w:eastAsia="es-ES"/>
        </w:rPr>
        <w:lastRenderedPageBreak/>
        <w:t>Municipios, en virtud de que contiene el número de cuenta bancario, el número de cuenta y datos confidenciales de personas terceras y su difusión puede ser utilizada por terceros ajenos al municipio o por otras personas dentro de la institución o de los bancos, para cometer ilícitos en perjuicio del patrimonio</w:t>
      </w:r>
      <w:r w:rsidR="006A2051" w:rsidRPr="00C13683">
        <w:rPr>
          <w:rFonts w:eastAsia="Times New Roman" w:cs="Tahoma"/>
          <w:bCs/>
          <w:iCs/>
          <w:lang w:eastAsia="es-ES"/>
        </w:rPr>
        <w:t xml:space="preserve">; </w:t>
      </w:r>
      <w:r w:rsidR="006A2051" w:rsidRPr="00C13683">
        <w:t xml:space="preserve">sobre el tema, según Trujillo, Humberto (2019), en el “Diccionario de Transparencia y Acceso a la Información Pública” (p. 201), </w:t>
      </w:r>
      <w:r w:rsidR="006A2051" w:rsidRPr="00C13683">
        <w:rPr>
          <w:b/>
          <w:bCs/>
        </w:rPr>
        <w:t>la negativa de acceso a la información</w:t>
      </w:r>
      <w:r w:rsidR="006A2051" w:rsidRPr="00C13683">
        <w:t xml:space="preserve"> ocurre cuanto de manera fundada y motivada, una autoridad la niega o la limita, por alguna de las siguientes razones:</w:t>
      </w:r>
    </w:p>
    <w:p w14:paraId="014600A1" w14:textId="77777777" w:rsidR="006A2051" w:rsidRPr="00C13683" w:rsidRDefault="006A2051" w:rsidP="006A2051">
      <w:pPr>
        <w:spacing w:after="0" w:line="360" w:lineRule="auto"/>
        <w:rPr>
          <w:rFonts w:eastAsia="Times New Roman" w:cs="Tahoma"/>
          <w:iCs/>
          <w:color w:val="FF0000"/>
          <w:lang w:eastAsia="es-ES"/>
        </w:rPr>
      </w:pPr>
    </w:p>
    <w:p w14:paraId="7592C87F" w14:textId="77777777" w:rsidR="006A2051" w:rsidRPr="00C13683" w:rsidRDefault="006A2051" w:rsidP="00A05A26">
      <w:pPr>
        <w:numPr>
          <w:ilvl w:val="0"/>
          <w:numId w:val="7"/>
        </w:numPr>
        <w:spacing w:after="0" w:line="360" w:lineRule="auto"/>
        <w:contextualSpacing/>
        <w:rPr>
          <w:rFonts w:eastAsia="Times New Roman" w:cs="Times New Roman"/>
          <w:szCs w:val="24"/>
          <w:lang w:eastAsia="es-ES"/>
        </w:rPr>
      </w:pPr>
      <w:r w:rsidRPr="00C13683">
        <w:rPr>
          <w:rFonts w:eastAsia="Times New Roman" w:cs="Times New Roman"/>
          <w:b/>
          <w:bCs/>
          <w:szCs w:val="24"/>
          <w:lang w:eastAsia="es-ES"/>
        </w:rPr>
        <w:t>La inexistencia de la información (p. 171):</w:t>
      </w:r>
      <w:r w:rsidRPr="00C13683">
        <w:rPr>
          <w:rFonts w:eastAsia="Times New Roman" w:cs="Times New Roman"/>
          <w:szCs w:val="24"/>
          <w:lang w:eastAsia="es-ES"/>
        </w:rPr>
        <w:t xml:space="preserve"> Sucede cuando la información solicitada no se encuentra en los archivos públicos o clasificados de los entes sujetos a las Leyes de Transparencia.</w:t>
      </w:r>
    </w:p>
    <w:p w14:paraId="1B22B031" w14:textId="77777777" w:rsidR="006A2051" w:rsidRPr="00C13683" w:rsidRDefault="006A2051" w:rsidP="006A2051">
      <w:pPr>
        <w:spacing w:after="0" w:line="360" w:lineRule="auto"/>
      </w:pPr>
    </w:p>
    <w:p w14:paraId="1CCE1727" w14:textId="77777777" w:rsidR="006A2051" w:rsidRPr="00C13683" w:rsidRDefault="006A2051" w:rsidP="00A05A26">
      <w:pPr>
        <w:numPr>
          <w:ilvl w:val="0"/>
          <w:numId w:val="7"/>
        </w:numPr>
        <w:spacing w:after="0" w:line="360" w:lineRule="auto"/>
        <w:contextualSpacing/>
        <w:rPr>
          <w:rFonts w:eastAsia="Times New Roman" w:cs="Times New Roman"/>
          <w:szCs w:val="24"/>
          <w:lang w:eastAsia="es-ES"/>
        </w:rPr>
      </w:pPr>
      <w:r w:rsidRPr="00C13683">
        <w:rPr>
          <w:rFonts w:eastAsia="Times New Roman" w:cs="Times New Roman"/>
          <w:b/>
          <w:bCs/>
          <w:szCs w:val="24"/>
          <w:lang w:eastAsia="es-ES"/>
        </w:rPr>
        <w:t>La incompetencia del Sujeto Obligado (p. 171):</w:t>
      </w:r>
      <w:r w:rsidRPr="00C13683">
        <w:rPr>
          <w:rFonts w:eastAsia="Times New Roman" w:cs="Times New Roman"/>
          <w:szCs w:val="24"/>
          <w:lang w:eastAsia="es-ES"/>
        </w:rPr>
        <w:t xml:space="preserve"> Ocurre cuando el Sujeto Obligado carece de atribuciones para poseer la información peticionada.</w:t>
      </w:r>
    </w:p>
    <w:p w14:paraId="295AF45B" w14:textId="77777777" w:rsidR="006A2051" w:rsidRPr="00C13683" w:rsidRDefault="006A2051" w:rsidP="006A2051">
      <w:pPr>
        <w:spacing w:after="0" w:line="360" w:lineRule="auto"/>
      </w:pPr>
    </w:p>
    <w:p w14:paraId="215D21F3" w14:textId="77777777" w:rsidR="006A2051" w:rsidRPr="00C13683" w:rsidRDefault="006A2051" w:rsidP="00A05A26">
      <w:pPr>
        <w:numPr>
          <w:ilvl w:val="0"/>
          <w:numId w:val="7"/>
        </w:numPr>
        <w:spacing w:after="0" w:line="360" w:lineRule="auto"/>
        <w:contextualSpacing/>
        <w:rPr>
          <w:rFonts w:eastAsia="Times New Roman" w:cs="Tahoma"/>
          <w:iCs/>
          <w:szCs w:val="24"/>
          <w:lang w:eastAsia="es-ES"/>
        </w:rPr>
      </w:pPr>
      <w:r w:rsidRPr="00C13683">
        <w:rPr>
          <w:rFonts w:eastAsia="Times New Roman" w:cs="Times New Roman"/>
          <w:b/>
          <w:bCs/>
          <w:szCs w:val="24"/>
          <w:lang w:eastAsia="es-ES"/>
        </w:rPr>
        <w:t>La clasificación de la información (p. 70):</w:t>
      </w:r>
      <w:r w:rsidRPr="00C13683">
        <w:rPr>
          <w:rFonts w:eastAsia="Times New Roman" w:cs="Times New Roman"/>
          <w:szCs w:val="24"/>
          <w:lang w:eastAsia="es-E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0CEC276B" w14:textId="77777777" w:rsidR="006A2051" w:rsidRPr="00C13683" w:rsidRDefault="006A2051" w:rsidP="006A2051">
      <w:pPr>
        <w:spacing w:after="0" w:line="360" w:lineRule="auto"/>
      </w:pPr>
    </w:p>
    <w:p w14:paraId="5AB0F9EE" w14:textId="77777777" w:rsidR="006A2051" w:rsidRPr="00C13683" w:rsidRDefault="006A2051" w:rsidP="006A2051">
      <w:pPr>
        <w:spacing w:after="0" w:line="360" w:lineRule="auto"/>
        <w:rPr>
          <w:b/>
          <w:bCs/>
        </w:rPr>
      </w:pPr>
      <w:r w:rsidRPr="00C13683">
        <w:t xml:space="preserve">Así, es de señalar que las excepciones al derecho de acceso a la información, consisten en que </w:t>
      </w:r>
      <w:r w:rsidRPr="00C13683">
        <w:rPr>
          <w:b/>
          <w:bCs/>
        </w:rPr>
        <w:t>la documentación sea inexistente, obre en los archivos, pero se encuentre clasificada, o bien, el Sujeto Obligado sea incompetente</w:t>
      </w:r>
      <w:r w:rsidRPr="00C13683">
        <w:t xml:space="preserve"> para contar con esta; esto es, la negativa de acceso a la información, recae cuando la documentación no se encuentre en los archivos del sujeto obligado, o bien exista, pero no pueda proporcionarse por contener datos </w:t>
      </w:r>
      <w:r w:rsidRPr="00C13683">
        <w:rPr>
          <w:b/>
          <w:bCs/>
        </w:rPr>
        <w:t>confidenciales o reservados.</w:t>
      </w:r>
    </w:p>
    <w:p w14:paraId="5270F2EE" w14:textId="77777777" w:rsidR="006A2051" w:rsidRPr="00C13683" w:rsidRDefault="006A2051" w:rsidP="006A2051">
      <w:pPr>
        <w:spacing w:after="0" w:line="360" w:lineRule="auto"/>
      </w:pPr>
    </w:p>
    <w:p w14:paraId="52247BA3" w14:textId="77777777" w:rsidR="006A2051" w:rsidRPr="00C13683" w:rsidRDefault="006A2051" w:rsidP="006A2051">
      <w:pPr>
        <w:spacing w:after="0" w:line="360" w:lineRule="auto"/>
      </w:pPr>
      <w:r w:rsidRPr="00C13683">
        <w:t xml:space="preserve">En ese contexto, es de referir que el Sujeto Obligado, precisó que no podía entregar la información al contener información confidencial, es decir, aludió a una clasificación;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C13683">
        <w:rPr>
          <w:b/>
          <w:bCs/>
        </w:rPr>
        <w:t>reserva o confidencialidad</w:t>
      </w:r>
      <w:r w:rsidRPr="00C13683">
        <w:t>. Además, que dichos entes deberán aplicar de manera restrictiva y limitada, las excepciones al derecho de acceso a la información, por lo que, tendrán que acreditar la procedencia.</w:t>
      </w:r>
    </w:p>
    <w:p w14:paraId="5CA7FAA0" w14:textId="77777777" w:rsidR="006A2051" w:rsidRPr="00C13683" w:rsidRDefault="006A2051" w:rsidP="006A2051">
      <w:pPr>
        <w:spacing w:after="0" w:line="360" w:lineRule="auto"/>
      </w:pPr>
    </w:p>
    <w:p w14:paraId="3346A0DF" w14:textId="77777777" w:rsidR="006A2051" w:rsidRPr="00C13683" w:rsidRDefault="006A2051" w:rsidP="006A2051">
      <w:pPr>
        <w:spacing w:after="0" w:line="360" w:lineRule="auto"/>
      </w:pPr>
      <w:r w:rsidRPr="00C13683">
        <w:t xml:space="preserve">Por lo cual, en los casos en que se niegue el acceso a la información, por actualizarse alguno de los supuestos de clasificación, </w:t>
      </w:r>
      <w:r w:rsidRPr="00C13683">
        <w:rPr>
          <w:b/>
          <w:bCs/>
        </w:rPr>
        <w:t>el Comité de Transparencia deberá confirmar, modificar o revocar la decisión;</w:t>
      </w:r>
      <w:r w:rsidRPr="00C13683">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72636CB" w14:textId="77777777" w:rsidR="00AF78AA" w:rsidRPr="00C13683" w:rsidRDefault="00AF78AA" w:rsidP="006A2051">
      <w:pPr>
        <w:spacing w:after="0" w:line="360" w:lineRule="auto"/>
      </w:pPr>
    </w:p>
    <w:p w14:paraId="0672A16B" w14:textId="77777777" w:rsidR="00AF78AA" w:rsidRPr="00C13683" w:rsidRDefault="00AF78AA" w:rsidP="00AF78AA">
      <w:pPr>
        <w:spacing w:after="0" w:line="360" w:lineRule="auto"/>
        <w:rPr>
          <w:color w:val="auto"/>
        </w:rPr>
      </w:pPr>
      <w:r w:rsidRPr="00C13683">
        <w:rPr>
          <w:color w:val="auto"/>
        </w:rPr>
        <w:t>En el caso que nos ocupa, el Sujeto Obligado argumentó que la información se encontraba reservada por actualizar el supuesto previsto en el artículo 140 fracción V, de la Ley de Transparencia y Acceso a la Información Pública del Estado de México y Municipios, que a la letra precisa:</w:t>
      </w:r>
    </w:p>
    <w:p w14:paraId="76A73EBD" w14:textId="77777777" w:rsidR="00AF78AA" w:rsidRPr="00C13683" w:rsidRDefault="00AF78AA" w:rsidP="00AF78AA">
      <w:pPr>
        <w:spacing w:after="0" w:line="360" w:lineRule="auto"/>
        <w:rPr>
          <w:color w:val="auto"/>
        </w:rPr>
      </w:pPr>
    </w:p>
    <w:p w14:paraId="091ED3B2"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“Artículo 140. El acceso a la información pública será restringido excepcionalmente, cuando por razones de interés público, ésta sea clasificada como reservada, conforme a los criterios siguientes:</w:t>
      </w:r>
    </w:p>
    <w:p w14:paraId="7EAC1107"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w:t>
      </w:r>
    </w:p>
    <w:p w14:paraId="2A1630AE"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 xml:space="preserve">V. Aquella cuya divulgación obstruya o pueda causar un serio perjuicio a: </w:t>
      </w:r>
    </w:p>
    <w:p w14:paraId="305655DC"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lastRenderedPageBreak/>
        <w:t xml:space="preserve">1. Las actividades de fiscalización, verificación, inspección, comprobación y auditoría sobre el cumplimiento de las Leyes; o </w:t>
      </w:r>
    </w:p>
    <w:p w14:paraId="7B2899CE"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2. La recaudación de las contribuciones.</w:t>
      </w:r>
    </w:p>
    <w:p w14:paraId="5FA17F93"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w:t>
      </w:r>
    </w:p>
    <w:p w14:paraId="51A82176" w14:textId="77777777" w:rsidR="00AF78AA" w:rsidRPr="00C13683" w:rsidRDefault="00AF78AA" w:rsidP="00AF78AA">
      <w:pPr>
        <w:spacing w:after="0" w:line="360" w:lineRule="auto"/>
        <w:rPr>
          <w:color w:val="auto"/>
        </w:rPr>
      </w:pPr>
    </w:p>
    <w:p w14:paraId="3A189DC2" w14:textId="77777777" w:rsidR="00AF78AA" w:rsidRPr="00C13683" w:rsidRDefault="00AF78AA" w:rsidP="00AF78AA">
      <w:pPr>
        <w:spacing w:after="0" w:line="360" w:lineRule="auto"/>
        <w:ind w:right="-93"/>
        <w:rPr>
          <w:color w:val="auto"/>
        </w:rPr>
      </w:pPr>
      <w:r w:rsidRPr="00C13683">
        <w:rPr>
          <w:color w:val="auto"/>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5D68F8E9" w14:textId="77777777" w:rsidR="00AF78AA" w:rsidRPr="00C13683" w:rsidRDefault="00AF78AA" w:rsidP="00AF78AA">
      <w:pPr>
        <w:spacing w:after="0" w:line="360" w:lineRule="auto"/>
        <w:rPr>
          <w:color w:val="auto"/>
        </w:rPr>
      </w:pPr>
    </w:p>
    <w:p w14:paraId="1F21EFE4" w14:textId="77777777" w:rsidR="00AF78AA" w:rsidRPr="00C13683" w:rsidRDefault="00AF78AA" w:rsidP="00AF78AA">
      <w:pPr>
        <w:spacing w:after="0" w:line="360" w:lineRule="auto"/>
        <w:rPr>
          <w:color w:val="auto"/>
        </w:rPr>
      </w:pPr>
      <w:r w:rsidRPr="00C13683">
        <w:rPr>
          <w:b/>
          <w:bCs/>
          <w:color w:val="auto"/>
        </w:rPr>
        <w:t>Respecto al artículo 140, fracción V, numeral 1 de la Ley de Transparencia Local</w:t>
      </w:r>
      <w:r w:rsidRPr="00C13683">
        <w:rPr>
          <w:color w:val="auto"/>
        </w:rPr>
        <w:t>, el artículo Vigésimo Cuarto de los Lineamientos Generales en Materia de Clasificación y Desclasificación de la Información, así como para la Elaboración de Versiones Públicas –Lineamientos Generales; prevé lo siguiente:</w:t>
      </w:r>
    </w:p>
    <w:p w14:paraId="73FCD138" w14:textId="77777777" w:rsidR="00AF78AA" w:rsidRPr="00C13683" w:rsidRDefault="00AF78AA" w:rsidP="00AF78AA">
      <w:pPr>
        <w:spacing w:after="0" w:line="360" w:lineRule="auto"/>
        <w:rPr>
          <w:color w:val="auto"/>
        </w:rPr>
      </w:pPr>
    </w:p>
    <w:p w14:paraId="44F357EA" w14:textId="77777777" w:rsidR="00AF78AA" w:rsidRPr="00C13683" w:rsidRDefault="00AF78AA" w:rsidP="00AF78AA">
      <w:pPr>
        <w:spacing w:after="0" w:line="360" w:lineRule="auto"/>
        <w:ind w:left="567" w:right="709"/>
        <w:rPr>
          <w:i/>
          <w:iCs/>
          <w:color w:val="auto"/>
          <w:sz w:val="20"/>
          <w:szCs w:val="20"/>
        </w:rPr>
      </w:pPr>
      <w:r w:rsidRPr="00C13683">
        <w:rPr>
          <w:b/>
          <w:bCs/>
          <w:i/>
          <w:iCs/>
          <w:color w:val="auto"/>
          <w:sz w:val="20"/>
          <w:szCs w:val="20"/>
        </w:rPr>
        <w:t>“Vigésimo cuarto.</w:t>
      </w:r>
      <w:r w:rsidRPr="00C13683">
        <w:rPr>
          <w:i/>
          <w:iCs/>
          <w:color w:val="auto"/>
          <w:sz w:val="20"/>
          <w:szCs w:val="20"/>
        </w:rPr>
        <w:t xml:space="preserve"> De conformidad con el artículo 113, fracción VI de la Ley General, podrá considerarse como reservada, aquella información que obstruya las actividades de verificación, inspección y auditoría relativas al cumplimiento de las leyes, cuando se actualicen los siguientes elementos: </w:t>
      </w:r>
    </w:p>
    <w:p w14:paraId="46808E8A"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 xml:space="preserve">I. La existencia de un procedimiento de verificación del cumplimiento de las leyes; </w:t>
      </w:r>
    </w:p>
    <w:p w14:paraId="4CE91880"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 xml:space="preserve">II. Que el procedimiento se encuentre en trámite; </w:t>
      </w:r>
    </w:p>
    <w:p w14:paraId="255DD492"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 xml:space="preserve">III. La vinculación directa con las actividades que realiza la autoridad en el procedimiento de verificación del cumplimiento de las leyes, y </w:t>
      </w:r>
    </w:p>
    <w:p w14:paraId="1BB0B85D" w14:textId="77777777" w:rsidR="00AF78AA" w:rsidRPr="00C13683" w:rsidRDefault="00AF78AA" w:rsidP="00AF78AA">
      <w:pPr>
        <w:spacing w:after="0" w:line="360" w:lineRule="auto"/>
        <w:ind w:left="567" w:right="709"/>
        <w:rPr>
          <w:i/>
          <w:iCs/>
          <w:color w:val="auto"/>
          <w:sz w:val="20"/>
          <w:szCs w:val="20"/>
        </w:rPr>
      </w:pPr>
      <w:r w:rsidRPr="00C13683">
        <w:rPr>
          <w:i/>
          <w:iCs/>
          <w:color w:val="auto"/>
          <w:sz w:val="20"/>
          <w:szCs w:val="20"/>
        </w:rPr>
        <w:t>IV. Que la difusión de la información impida u obstaculice las actividades de inspección, supervisión o vigilancia que realicen las autoridades en el procedimiento de verificación del cumplimiento de las leyes.”</w:t>
      </w:r>
    </w:p>
    <w:p w14:paraId="659D7AA9" w14:textId="77777777" w:rsidR="00AF78AA" w:rsidRPr="00C13683" w:rsidRDefault="00AF78AA" w:rsidP="00AF78AA">
      <w:pPr>
        <w:spacing w:after="0" w:line="360" w:lineRule="auto"/>
        <w:ind w:right="-93"/>
        <w:rPr>
          <w:color w:val="auto"/>
        </w:rPr>
      </w:pPr>
      <w:r w:rsidRPr="00C13683">
        <w:rPr>
          <w:color w:val="auto"/>
        </w:rPr>
        <w:lastRenderedPageBreak/>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65778C0B" w14:textId="77777777" w:rsidR="00AF78AA" w:rsidRPr="00C13683" w:rsidRDefault="00AF78AA" w:rsidP="00AF78AA">
      <w:pPr>
        <w:spacing w:after="0" w:line="360" w:lineRule="auto"/>
        <w:ind w:right="-93"/>
        <w:rPr>
          <w:color w:val="auto"/>
        </w:rPr>
      </w:pPr>
    </w:p>
    <w:p w14:paraId="36447C5B" w14:textId="77777777" w:rsidR="00AF78AA" w:rsidRPr="00C13683" w:rsidRDefault="00AF78AA" w:rsidP="00AF78AA">
      <w:pPr>
        <w:spacing w:after="0" w:line="360" w:lineRule="auto"/>
        <w:ind w:right="-93"/>
        <w:rPr>
          <w:color w:val="auto"/>
        </w:rPr>
      </w:pPr>
      <w:r w:rsidRPr="00C13683">
        <w:rPr>
          <w:color w:val="auto"/>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7C637A49" w14:textId="77777777" w:rsidR="00AF78AA" w:rsidRPr="00C13683" w:rsidRDefault="00AF78AA" w:rsidP="00AF78AA">
      <w:pPr>
        <w:spacing w:after="0" w:line="360" w:lineRule="auto"/>
        <w:rPr>
          <w:color w:val="auto"/>
        </w:rPr>
      </w:pPr>
    </w:p>
    <w:p w14:paraId="0F572A73" w14:textId="77777777" w:rsidR="00AF78AA" w:rsidRPr="00C13683" w:rsidRDefault="00AF78AA" w:rsidP="00AF78AA">
      <w:pPr>
        <w:spacing w:after="0" w:line="360" w:lineRule="auto"/>
        <w:rPr>
          <w:color w:val="auto"/>
        </w:rPr>
      </w:pPr>
      <w:r w:rsidRPr="00C13683">
        <w:rPr>
          <w:color w:val="auto"/>
        </w:rPr>
        <w:t>Así pues, para el caso que nos ocupa, el Sujeto Obligado debió tomar en consideración el artículo en cita de los Lineamientos a fin de que, en la redacción de los motivos que fundamenten la reserva de la información debió acreditar los elementos antes citados; sin embargo, del acuerdo entregado en respuesta destaca lo siguiente:</w:t>
      </w:r>
    </w:p>
    <w:p w14:paraId="1E042EDC" w14:textId="77777777" w:rsidR="00AF78AA" w:rsidRPr="00C13683" w:rsidRDefault="00AF78AA" w:rsidP="00AF78AA">
      <w:pPr>
        <w:spacing w:after="0" w:line="360" w:lineRule="auto"/>
        <w:rPr>
          <w:color w:val="auto"/>
        </w:rPr>
      </w:pPr>
    </w:p>
    <w:p w14:paraId="2186606D" w14:textId="77777777" w:rsidR="00AF78AA" w:rsidRPr="00C13683" w:rsidRDefault="00AF78AA" w:rsidP="00A05A26">
      <w:pPr>
        <w:numPr>
          <w:ilvl w:val="0"/>
          <w:numId w:val="10"/>
        </w:numPr>
        <w:pBdr>
          <w:top w:val="nil"/>
          <w:left w:val="nil"/>
          <w:bottom w:val="nil"/>
          <w:right w:val="nil"/>
          <w:between w:val="nil"/>
        </w:pBdr>
        <w:spacing w:after="0" w:line="360" w:lineRule="auto"/>
        <w:rPr>
          <w:color w:val="000000"/>
        </w:rPr>
      </w:pPr>
      <w:r w:rsidRPr="00C13683">
        <w:rPr>
          <w:color w:val="000000"/>
        </w:rPr>
        <w:t>No se expresó, ni se acreditó algún procedimiento de verificación de cumplimiento de las leyes o bien de auditoría, inspección o equivalente.</w:t>
      </w:r>
    </w:p>
    <w:p w14:paraId="3B2DF969" w14:textId="77777777" w:rsidR="00AF78AA" w:rsidRPr="00C13683" w:rsidRDefault="00AF78AA" w:rsidP="00A05A26">
      <w:pPr>
        <w:numPr>
          <w:ilvl w:val="0"/>
          <w:numId w:val="10"/>
        </w:numPr>
        <w:pBdr>
          <w:top w:val="nil"/>
          <w:left w:val="nil"/>
          <w:bottom w:val="nil"/>
          <w:right w:val="nil"/>
          <w:between w:val="nil"/>
        </w:pBdr>
        <w:spacing w:after="0" w:line="360" w:lineRule="auto"/>
        <w:rPr>
          <w:color w:val="000000"/>
        </w:rPr>
      </w:pPr>
      <w:r w:rsidRPr="00C13683">
        <w:rPr>
          <w:color w:val="000000"/>
        </w:rPr>
        <w:t>No se señaló, ni se acreditó que dicho procedimiento se encontrará en trámite.</w:t>
      </w:r>
    </w:p>
    <w:p w14:paraId="6DC5F361" w14:textId="77777777" w:rsidR="00AF78AA" w:rsidRPr="00C13683" w:rsidRDefault="00AF78AA" w:rsidP="00A05A26">
      <w:pPr>
        <w:numPr>
          <w:ilvl w:val="0"/>
          <w:numId w:val="10"/>
        </w:numPr>
        <w:pBdr>
          <w:top w:val="nil"/>
          <w:left w:val="nil"/>
          <w:bottom w:val="nil"/>
          <w:right w:val="nil"/>
          <w:between w:val="nil"/>
        </w:pBdr>
        <w:spacing w:after="0" w:line="360" w:lineRule="auto"/>
        <w:rPr>
          <w:color w:val="000000"/>
        </w:rPr>
      </w:pPr>
      <w:r w:rsidRPr="00C13683">
        <w:rPr>
          <w:color w:val="000000"/>
        </w:rPr>
        <w:t>No se vinculó la información con las actividades que realiza la autoridad en el procedimiento de verificación, inspección, auditoría o equivalente.</w:t>
      </w:r>
    </w:p>
    <w:p w14:paraId="5E16BFF4" w14:textId="77777777" w:rsidR="00AF78AA" w:rsidRPr="00C13683" w:rsidRDefault="00AF78AA" w:rsidP="00A05A26">
      <w:pPr>
        <w:numPr>
          <w:ilvl w:val="0"/>
          <w:numId w:val="10"/>
        </w:numPr>
        <w:pBdr>
          <w:top w:val="nil"/>
          <w:left w:val="nil"/>
          <w:bottom w:val="nil"/>
          <w:right w:val="nil"/>
          <w:between w:val="nil"/>
        </w:pBdr>
        <w:spacing w:after="0" w:line="360" w:lineRule="auto"/>
        <w:rPr>
          <w:color w:val="000000"/>
        </w:rPr>
      </w:pPr>
      <w:r w:rsidRPr="00C13683">
        <w:rPr>
          <w:color w:val="000000"/>
        </w:rPr>
        <w:t>No se expusieron los motivos que permitan advertir que la difusión de la información impida u obstaculice las actividades de inspección supervisión o vigilancia que realicen las autoridades en el procedimiento de verificación del cumplimiento de las leyes.</w:t>
      </w:r>
    </w:p>
    <w:p w14:paraId="29CEED40" w14:textId="77777777" w:rsidR="00AF78AA" w:rsidRPr="00C13683" w:rsidRDefault="00AF78AA" w:rsidP="00AF78AA">
      <w:pPr>
        <w:spacing w:after="0" w:line="360" w:lineRule="auto"/>
        <w:rPr>
          <w:color w:val="auto"/>
        </w:rPr>
      </w:pPr>
    </w:p>
    <w:p w14:paraId="02708286" w14:textId="77777777" w:rsidR="00AF78AA" w:rsidRPr="00C13683" w:rsidRDefault="00AF78AA" w:rsidP="00AF78AA">
      <w:pPr>
        <w:spacing w:after="0" w:line="360" w:lineRule="auto"/>
        <w:rPr>
          <w:color w:val="auto"/>
        </w:rPr>
      </w:pPr>
      <w:r w:rsidRPr="00C13683">
        <w:rPr>
          <w:color w:val="auto"/>
        </w:rPr>
        <w:lastRenderedPageBreak/>
        <w:t xml:space="preserve">Por lo que se advierte que, en el acuerdo entregado en respuesta, </w:t>
      </w:r>
      <w:r w:rsidRPr="00C13683">
        <w:rPr>
          <w:b/>
          <w:bCs/>
          <w:color w:val="auto"/>
        </w:rPr>
        <w:t>no se acreditó,</w:t>
      </w:r>
      <w:r w:rsidRPr="00C13683">
        <w:rPr>
          <w:color w:val="auto"/>
        </w:rPr>
        <w:t xml:space="preserve"> que se actualiza el supuesto previsto en el artículo 140 fracción V, numeral 1 de la Ley de Transparencia Estatal, por tanto, no acreditaron las circunstancias de clasificación. </w:t>
      </w:r>
    </w:p>
    <w:p w14:paraId="314C1317" w14:textId="77777777" w:rsidR="00AF78AA" w:rsidRPr="00C13683" w:rsidRDefault="00AF78AA" w:rsidP="00AF78AA">
      <w:pPr>
        <w:spacing w:after="0" w:line="360" w:lineRule="auto"/>
        <w:rPr>
          <w:color w:val="auto"/>
        </w:rPr>
      </w:pPr>
    </w:p>
    <w:p w14:paraId="4E852CFA" w14:textId="77777777" w:rsidR="00AF78AA" w:rsidRPr="00C13683" w:rsidRDefault="00AF78AA" w:rsidP="00AF78AA">
      <w:pPr>
        <w:spacing w:after="0" w:line="360" w:lineRule="auto"/>
        <w:rPr>
          <w:color w:val="auto"/>
        </w:rPr>
      </w:pPr>
      <w:r w:rsidRPr="00C13683">
        <w:rPr>
          <w:b/>
          <w:bCs/>
          <w:color w:val="auto"/>
        </w:rPr>
        <w:t xml:space="preserve">Respecto al artículo 140, fracción V, numeral 2 de la Ley de Transparencia Local, </w:t>
      </w:r>
      <w:r w:rsidRPr="00C13683">
        <w:rPr>
          <w:color w:val="auto"/>
        </w:rPr>
        <w:t>los Lineamientos Generales establecen lo siguiente:</w:t>
      </w:r>
    </w:p>
    <w:p w14:paraId="661B5892" w14:textId="77777777" w:rsidR="00AF78AA" w:rsidRPr="00C13683" w:rsidRDefault="00AF78AA" w:rsidP="00AF78AA">
      <w:pPr>
        <w:spacing w:after="0" w:line="360" w:lineRule="auto"/>
        <w:rPr>
          <w:color w:val="auto"/>
        </w:rPr>
      </w:pPr>
    </w:p>
    <w:p w14:paraId="4221CC81" w14:textId="77777777" w:rsidR="00AF78AA" w:rsidRPr="00C13683" w:rsidRDefault="00AF78AA" w:rsidP="00AF78AA">
      <w:pPr>
        <w:spacing w:after="0" w:line="360" w:lineRule="auto"/>
        <w:ind w:left="567" w:right="567"/>
        <w:rPr>
          <w:i/>
          <w:iCs/>
          <w:color w:val="auto"/>
          <w:sz w:val="20"/>
          <w:szCs w:val="20"/>
        </w:rPr>
      </w:pPr>
      <w:r w:rsidRPr="00C13683">
        <w:rPr>
          <w:b/>
          <w:bCs/>
          <w:i/>
          <w:iCs/>
          <w:color w:val="auto"/>
          <w:sz w:val="20"/>
          <w:szCs w:val="20"/>
        </w:rPr>
        <w:t xml:space="preserve">“Vigésimo quinto. </w:t>
      </w:r>
      <w:r w:rsidRPr="00C13683">
        <w:rPr>
          <w:i/>
          <w:iCs/>
          <w:color w:val="auto"/>
          <w:sz w:val="20"/>
          <w:szCs w:val="20"/>
        </w:rPr>
        <w:t>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25AF472F" w14:textId="77777777" w:rsidR="00AF78AA" w:rsidRPr="00C13683" w:rsidRDefault="00AF78AA" w:rsidP="00AF78AA">
      <w:pPr>
        <w:spacing w:after="0" w:line="360" w:lineRule="auto"/>
        <w:rPr>
          <w:b/>
          <w:bCs/>
          <w:color w:val="auto"/>
        </w:rPr>
      </w:pPr>
    </w:p>
    <w:p w14:paraId="504A9324" w14:textId="77777777" w:rsidR="00AF78AA" w:rsidRPr="00C13683" w:rsidRDefault="00AF78AA" w:rsidP="00AF78AA">
      <w:pPr>
        <w:spacing w:after="0" w:line="360" w:lineRule="auto"/>
        <w:rPr>
          <w:color w:val="auto"/>
        </w:rPr>
      </w:pPr>
      <w:r w:rsidRPr="00C13683">
        <w:rPr>
          <w:color w:val="auto"/>
        </w:rPr>
        <w:t>Del lineamiento en cita, se colige que se trata de información reservada, aquella que cuya difusión pueda obstruir o impedir el ejercicio de las facultades de recaudación y comprobación del cumplimiento de obligaciones fiscales por parte del Municipio.</w:t>
      </w:r>
    </w:p>
    <w:p w14:paraId="57FBA757" w14:textId="77777777" w:rsidR="00AF78AA" w:rsidRPr="00C13683" w:rsidRDefault="00AF78AA" w:rsidP="00AF78AA">
      <w:pPr>
        <w:spacing w:after="0" w:line="360" w:lineRule="auto"/>
        <w:rPr>
          <w:b/>
          <w:bCs/>
          <w:color w:val="auto"/>
        </w:rPr>
      </w:pPr>
    </w:p>
    <w:p w14:paraId="6C4F9795" w14:textId="77777777" w:rsidR="00AF78AA" w:rsidRPr="00C13683" w:rsidRDefault="00AF78AA" w:rsidP="00AF78AA">
      <w:pPr>
        <w:spacing w:after="0" w:line="360" w:lineRule="auto"/>
        <w:rPr>
          <w:color w:val="auto"/>
        </w:rPr>
      </w:pPr>
      <w:r w:rsidRPr="00C13683">
        <w:rPr>
          <w:color w:val="auto"/>
        </w:rPr>
        <w:t>Al respecto, los artículos 115, fracción IV, de la Constitución Política de los Estados Unidos Mexicanos y 125, fracciones I a III, de la Constitución Política de los Estado Libre y Soberano de México, precisan que los Municipios administrarán libremente su hacienda, la cual se formará de los rendimientos de los bienes que les pertenezcan, así como de las contribuciones y otros ingresos tengan, conforme a lo siguiente:</w:t>
      </w:r>
    </w:p>
    <w:p w14:paraId="44772D4F" w14:textId="77777777" w:rsidR="00AF78AA" w:rsidRPr="00C13683" w:rsidRDefault="00AF78AA" w:rsidP="00AF78AA">
      <w:pPr>
        <w:spacing w:after="0" w:line="360" w:lineRule="auto"/>
        <w:rPr>
          <w:color w:val="auto"/>
        </w:rPr>
      </w:pPr>
    </w:p>
    <w:p w14:paraId="2B12050B" w14:textId="77777777" w:rsidR="00AF78AA" w:rsidRPr="00C13683" w:rsidRDefault="00AF78AA" w:rsidP="00A05A26">
      <w:pPr>
        <w:numPr>
          <w:ilvl w:val="0"/>
          <w:numId w:val="11"/>
        </w:numPr>
        <w:spacing w:after="0" w:line="360" w:lineRule="auto"/>
        <w:jc w:val="left"/>
        <w:rPr>
          <w:color w:val="auto"/>
        </w:rPr>
      </w:pPr>
      <w:r w:rsidRPr="00C13683">
        <w:rPr>
          <w:color w:val="auto"/>
        </w:rPr>
        <w:t>Podrán percibir contribuciones que establezcan los Estados sobre la propiedad inmobiliaria, de su fraccionamiento, división, consolidación, traslación y mejora;</w:t>
      </w:r>
    </w:p>
    <w:p w14:paraId="6D584C90" w14:textId="77777777" w:rsidR="00AF78AA" w:rsidRPr="00C13683" w:rsidRDefault="00AF78AA" w:rsidP="00A05A26">
      <w:pPr>
        <w:numPr>
          <w:ilvl w:val="0"/>
          <w:numId w:val="11"/>
        </w:numPr>
        <w:spacing w:after="0" w:line="360" w:lineRule="auto"/>
        <w:jc w:val="left"/>
        <w:rPr>
          <w:color w:val="auto"/>
        </w:rPr>
      </w:pPr>
      <w:r w:rsidRPr="00C13683">
        <w:rPr>
          <w:color w:val="auto"/>
        </w:rPr>
        <w:t>Las participaciones federales, y</w:t>
      </w:r>
    </w:p>
    <w:p w14:paraId="6F7E1AC8" w14:textId="77777777" w:rsidR="00AF78AA" w:rsidRPr="00C13683" w:rsidRDefault="00AF78AA" w:rsidP="00A05A26">
      <w:pPr>
        <w:numPr>
          <w:ilvl w:val="0"/>
          <w:numId w:val="11"/>
        </w:numPr>
        <w:spacing w:after="0" w:line="360" w:lineRule="auto"/>
        <w:jc w:val="left"/>
        <w:rPr>
          <w:color w:val="auto"/>
        </w:rPr>
      </w:pPr>
      <w:r w:rsidRPr="00C13683">
        <w:rPr>
          <w:color w:val="auto"/>
        </w:rPr>
        <w:lastRenderedPageBreak/>
        <w:t>Los ingresos derivados de la prestación de servicios públicos.</w:t>
      </w:r>
    </w:p>
    <w:p w14:paraId="53D66F34" w14:textId="77777777" w:rsidR="00AF78AA" w:rsidRPr="00C13683" w:rsidRDefault="00AF78AA" w:rsidP="00AF78AA">
      <w:pPr>
        <w:spacing w:after="0" w:line="360" w:lineRule="auto"/>
        <w:ind w:left="720"/>
        <w:jc w:val="left"/>
        <w:rPr>
          <w:color w:val="auto"/>
        </w:rPr>
      </w:pPr>
    </w:p>
    <w:p w14:paraId="6475042A" w14:textId="0D96A0B8" w:rsidR="00AF78AA" w:rsidRPr="00C13683" w:rsidRDefault="00AF78AA" w:rsidP="00AF78AA">
      <w:pPr>
        <w:spacing w:after="0" w:line="360" w:lineRule="auto"/>
        <w:rPr>
          <w:color w:val="auto"/>
        </w:rPr>
      </w:pPr>
      <w:r w:rsidRPr="00C13683">
        <w:rPr>
          <w:color w:val="auto"/>
        </w:rPr>
        <w:t>Conforme a lo expuesto, se colige que el Ayuntamiento de Ecatepec de Morelos es una autoridad fiscal, encargada de recabar diversos derechos, contribuciones, entre otros y, por lo tanto, cuenta en sus archivos información que puede obstruir o impedir el ejercicio de sus facultades que lleva como autoridad competente para recaudar, fiscalizar y comprobar el cumplimiento de las obligaciones fiscales.</w:t>
      </w:r>
    </w:p>
    <w:p w14:paraId="782DBD22" w14:textId="77777777" w:rsidR="00AF78AA" w:rsidRPr="00C13683" w:rsidRDefault="00AF78AA" w:rsidP="00AF78AA">
      <w:pPr>
        <w:spacing w:after="0" w:line="360" w:lineRule="auto"/>
        <w:rPr>
          <w:color w:val="auto"/>
        </w:rPr>
      </w:pPr>
    </w:p>
    <w:p w14:paraId="0DBDC78D" w14:textId="77777777" w:rsidR="00AF78AA" w:rsidRPr="00C13683" w:rsidRDefault="00AF78AA" w:rsidP="00AF78AA">
      <w:pPr>
        <w:spacing w:after="0" w:line="360" w:lineRule="auto"/>
        <w:rPr>
          <w:color w:val="auto"/>
        </w:rPr>
      </w:pPr>
      <w:r w:rsidRPr="00C13683">
        <w:rPr>
          <w:color w:val="auto"/>
        </w:rPr>
        <w:t xml:space="preserve">Sin embargo, en el presente caso el Sujeto Obligado no acreditó que la información solicitada pueda impedir u obstruir el ejercicio de las facultades para recaudar, fiscalizar y comprobar el cumplimiento de obligaciones fiscales. </w:t>
      </w:r>
    </w:p>
    <w:p w14:paraId="449D2BFD" w14:textId="77777777" w:rsidR="00AF78AA" w:rsidRPr="00C13683" w:rsidRDefault="00AF78AA" w:rsidP="00AF78AA">
      <w:pPr>
        <w:spacing w:after="0" w:line="360" w:lineRule="auto"/>
        <w:rPr>
          <w:color w:val="auto"/>
        </w:rPr>
      </w:pPr>
    </w:p>
    <w:p w14:paraId="5CAD527D" w14:textId="77777777" w:rsidR="00AF78AA" w:rsidRPr="00C13683" w:rsidRDefault="00AF78AA" w:rsidP="00AF78AA">
      <w:pPr>
        <w:spacing w:after="0" w:line="360" w:lineRule="auto"/>
        <w:rPr>
          <w:color w:val="auto"/>
        </w:rPr>
      </w:pPr>
      <w:r w:rsidRPr="00C13683">
        <w:rPr>
          <w:color w:val="auto"/>
        </w:rPr>
        <w:t xml:space="preserve">Por lo que se advierte que, en el acuerdo entregado en respuesta, </w:t>
      </w:r>
      <w:r w:rsidRPr="00C13683">
        <w:rPr>
          <w:b/>
          <w:bCs/>
          <w:color w:val="auto"/>
        </w:rPr>
        <w:t>no se acreditó, que se actualiza el supuesto previsto en el artículo 140 fracción V, numeral 2 de la Ley de Transparencia Estatal</w:t>
      </w:r>
      <w:r w:rsidRPr="00C13683">
        <w:rPr>
          <w:color w:val="auto"/>
        </w:rPr>
        <w:t xml:space="preserve">, por tanto, no acreditaron las circunstancias de clasificación. </w:t>
      </w:r>
    </w:p>
    <w:p w14:paraId="37964F33" w14:textId="77777777" w:rsidR="006A2051" w:rsidRPr="00C13683" w:rsidRDefault="006A2051" w:rsidP="006A2051">
      <w:pPr>
        <w:spacing w:after="0" w:line="360" w:lineRule="auto"/>
      </w:pPr>
    </w:p>
    <w:p w14:paraId="1C69163F" w14:textId="77777777" w:rsidR="006A2051" w:rsidRPr="00C13683" w:rsidRDefault="006A2051" w:rsidP="006A2051">
      <w:pPr>
        <w:spacing w:after="0" w:line="360" w:lineRule="auto"/>
        <w:rPr>
          <w:b/>
          <w:bCs/>
        </w:rPr>
      </w:pPr>
      <w:r w:rsidRPr="00C13683">
        <w:t xml:space="preserve">En ese contexto, de la interpretación del artículo 134 de la Ley de Transparencia y Acceso a la Información Pública del Estado de México y Municipios, se logra observar que </w:t>
      </w:r>
      <w:r w:rsidRPr="00C13683">
        <w:rPr>
          <w:b/>
          <w:bCs/>
        </w:rPr>
        <w:t>la clasificación depende del contenido de los documentos, pues de su análisis se establece si corresponde a una clasificación total o parcial.</w:t>
      </w:r>
    </w:p>
    <w:p w14:paraId="764914E5" w14:textId="77777777" w:rsidR="006A2051" w:rsidRPr="00C13683" w:rsidRDefault="006A2051" w:rsidP="006A2051">
      <w:pPr>
        <w:spacing w:after="0" w:line="360" w:lineRule="auto"/>
        <w:rPr>
          <w:b/>
          <w:bCs/>
        </w:rPr>
      </w:pPr>
    </w:p>
    <w:p w14:paraId="6CB38E0C" w14:textId="2B6C8EEB" w:rsidR="006A2051" w:rsidRPr="00C13683" w:rsidRDefault="006A2051" w:rsidP="006A2051">
      <w:pPr>
        <w:spacing w:after="0" w:line="360" w:lineRule="auto"/>
        <w:rPr>
          <w:rFonts w:cs="Tahoma"/>
          <w:b/>
          <w:bCs/>
          <w:iCs/>
        </w:rPr>
      </w:pPr>
      <w:r w:rsidRPr="00C13683">
        <w:t xml:space="preserve">Además, conforme al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13683">
        <w:rPr>
          <w:b/>
          <w:bCs/>
        </w:rPr>
        <w:t>análisis caso por caso.</w:t>
      </w:r>
    </w:p>
    <w:p w14:paraId="3F5D621D" w14:textId="77777777" w:rsidR="006A2051" w:rsidRPr="00C13683" w:rsidRDefault="006A2051" w:rsidP="006A2051">
      <w:pPr>
        <w:spacing w:after="0" w:line="360" w:lineRule="auto"/>
      </w:pPr>
    </w:p>
    <w:p w14:paraId="7C89C0D5" w14:textId="77777777" w:rsidR="006A2051" w:rsidRPr="00C13683" w:rsidRDefault="006A2051" w:rsidP="006A2051">
      <w:pPr>
        <w:spacing w:after="0" w:line="360" w:lineRule="auto"/>
      </w:pPr>
      <w:r w:rsidRPr="00C13683">
        <w:t>Sobre lo anterior, el artículo 131 de la Ley referida, así como el Quinto de los Lineamientos Generales, establecen que los sujetos obligados deberán fundar y motivar debidamente la clasificación de la información.</w:t>
      </w:r>
    </w:p>
    <w:p w14:paraId="4BB7A476" w14:textId="77777777" w:rsidR="006A2051" w:rsidRPr="00C13683" w:rsidRDefault="006A2051" w:rsidP="006A2051">
      <w:pPr>
        <w:spacing w:after="0" w:line="360" w:lineRule="auto"/>
      </w:pPr>
    </w:p>
    <w:p w14:paraId="5F2D3116" w14:textId="77777777" w:rsidR="006A2051" w:rsidRPr="00C13683" w:rsidRDefault="006A2051" w:rsidP="006A2051">
      <w:pPr>
        <w:spacing w:after="0" w:line="360" w:lineRule="auto"/>
      </w:pPr>
      <w:r w:rsidRPr="00C13683">
        <w:t>Al respecto, el Octavo de los Lineamientos Generales, precisa lo siguiente:</w:t>
      </w:r>
    </w:p>
    <w:p w14:paraId="63C0FA3F" w14:textId="77777777" w:rsidR="006A2051" w:rsidRPr="00C13683" w:rsidRDefault="006A2051" w:rsidP="006A2051">
      <w:pPr>
        <w:spacing w:after="0" w:line="360" w:lineRule="auto"/>
      </w:pPr>
    </w:p>
    <w:p w14:paraId="7D4D3A3E" w14:textId="77777777" w:rsidR="006A2051" w:rsidRPr="00C13683" w:rsidRDefault="006A2051" w:rsidP="00A05A26">
      <w:pPr>
        <w:numPr>
          <w:ilvl w:val="0"/>
          <w:numId w:val="8"/>
        </w:numPr>
        <w:spacing w:after="0" w:line="360" w:lineRule="auto"/>
        <w:contextualSpacing/>
        <w:rPr>
          <w:rFonts w:eastAsia="Times New Roman" w:cs="Times New Roman"/>
          <w:szCs w:val="24"/>
          <w:u w:val="single"/>
          <w:lang w:eastAsia="es-ES"/>
        </w:rPr>
      </w:pPr>
      <w:r w:rsidRPr="00C13683">
        <w:rPr>
          <w:rFonts w:eastAsia="Times New Roman" w:cs="Times New Roman"/>
          <w:b/>
          <w:bCs/>
          <w:szCs w:val="24"/>
          <w:lang w:eastAsia="es-ES"/>
        </w:rPr>
        <w:t>Para fundar la clasificación</w:t>
      </w:r>
      <w:r w:rsidRPr="00C13683">
        <w:rPr>
          <w:rFonts w:eastAsia="Times New Roman" w:cs="Times New Roman"/>
          <w:szCs w:val="24"/>
          <w:lang w:eastAsia="es-ES"/>
        </w:rPr>
        <w:t xml:space="preserve"> de la información se deberán </w:t>
      </w:r>
      <w:r w:rsidRPr="00C13683">
        <w:rPr>
          <w:rFonts w:eastAsia="Times New Roman" w:cs="Times New Roman"/>
          <w:szCs w:val="24"/>
          <w:u w:val="single"/>
          <w:lang w:eastAsia="es-ES"/>
        </w:rPr>
        <w:t>señalar el artículo, fracción, inciso, párrafo o numeral de la Ley aplicable.</w:t>
      </w:r>
    </w:p>
    <w:p w14:paraId="16C06A4A" w14:textId="77777777" w:rsidR="006A2051" w:rsidRPr="00C13683" w:rsidRDefault="006A2051" w:rsidP="006A2051">
      <w:pPr>
        <w:spacing w:after="0" w:line="360" w:lineRule="auto"/>
        <w:ind w:left="720"/>
        <w:contextualSpacing/>
        <w:rPr>
          <w:rFonts w:eastAsia="Times New Roman" w:cs="Times New Roman"/>
          <w:szCs w:val="24"/>
          <w:u w:val="single"/>
          <w:lang w:eastAsia="es-ES"/>
        </w:rPr>
      </w:pPr>
    </w:p>
    <w:p w14:paraId="6EBA65D5" w14:textId="77777777" w:rsidR="006A2051" w:rsidRPr="00C13683" w:rsidRDefault="006A2051" w:rsidP="00A05A26">
      <w:pPr>
        <w:numPr>
          <w:ilvl w:val="0"/>
          <w:numId w:val="8"/>
        </w:numPr>
        <w:spacing w:after="0" w:line="360" w:lineRule="auto"/>
        <w:contextualSpacing/>
        <w:rPr>
          <w:rFonts w:eastAsia="Times New Roman" w:cs="Tahoma"/>
          <w:iCs/>
          <w:szCs w:val="24"/>
          <w:lang w:eastAsia="es-ES"/>
        </w:rPr>
      </w:pPr>
      <w:r w:rsidRPr="00C13683">
        <w:rPr>
          <w:rFonts w:eastAsia="Times New Roman" w:cs="Times New Roman"/>
          <w:b/>
          <w:bCs/>
          <w:szCs w:val="24"/>
          <w:lang w:eastAsia="es-ES"/>
        </w:rPr>
        <w:t>Para motivar la clasificación</w:t>
      </w:r>
      <w:r w:rsidRPr="00C13683">
        <w:rPr>
          <w:rFonts w:eastAsia="Times New Roman" w:cs="Times New Roman"/>
          <w:szCs w:val="24"/>
          <w:lang w:eastAsia="es-ES"/>
        </w:rPr>
        <w:t xml:space="preserve"> se deberán </w:t>
      </w:r>
      <w:r w:rsidRPr="00C13683">
        <w:rPr>
          <w:rFonts w:eastAsia="Times New Roman" w:cs="Times New Roman"/>
          <w:szCs w:val="24"/>
          <w:u w:val="single"/>
          <w:lang w:eastAsia="es-ES"/>
        </w:rPr>
        <w:t>indicar las razones y circunstancias</w:t>
      </w:r>
      <w:r w:rsidRPr="00C13683">
        <w:rPr>
          <w:rFonts w:eastAsia="Times New Roman" w:cs="Times New Roman"/>
          <w:szCs w:val="24"/>
          <w:lang w:eastAsia="es-ES"/>
        </w:rPr>
        <w:t xml:space="preserve"> especiales que lo llevaron a concluir que el caso particular se ajusta al supuesto previsto por la norma legal invocada.</w:t>
      </w:r>
    </w:p>
    <w:p w14:paraId="7FE18B1F" w14:textId="77777777" w:rsidR="006A2051" w:rsidRPr="00C13683" w:rsidRDefault="006A2051" w:rsidP="006A2051">
      <w:pPr>
        <w:spacing w:after="0" w:line="360" w:lineRule="auto"/>
        <w:ind w:left="720"/>
        <w:contextualSpacing/>
        <w:rPr>
          <w:rFonts w:ascii="Times New Roman" w:eastAsia="Times New Roman" w:hAnsi="Times New Roman" w:cs="Tahoma"/>
          <w:iCs/>
          <w:szCs w:val="24"/>
          <w:lang w:eastAsia="es-ES"/>
        </w:rPr>
      </w:pPr>
    </w:p>
    <w:p w14:paraId="0AA31016" w14:textId="77777777" w:rsidR="006A2051" w:rsidRPr="00C13683" w:rsidRDefault="006A2051" w:rsidP="006A2051">
      <w:pPr>
        <w:spacing w:after="0" w:line="360" w:lineRule="auto"/>
      </w:pPr>
      <w:r w:rsidRPr="00C13683">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2CACDE28" w14:textId="77777777" w:rsidR="006A2051" w:rsidRPr="00C13683" w:rsidRDefault="006A2051" w:rsidP="006A2051">
      <w:pPr>
        <w:spacing w:after="0" w:line="360" w:lineRule="auto"/>
      </w:pPr>
    </w:p>
    <w:p w14:paraId="7ED366EA" w14:textId="77777777" w:rsidR="006A2051" w:rsidRPr="00C13683" w:rsidRDefault="006A2051" w:rsidP="006A2051">
      <w:pPr>
        <w:spacing w:after="0" w:line="360" w:lineRule="auto"/>
        <w:ind w:left="567" w:right="567"/>
        <w:rPr>
          <w:i/>
          <w:iCs/>
          <w:sz w:val="20"/>
          <w:szCs w:val="20"/>
        </w:rPr>
      </w:pPr>
      <w:r w:rsidRPr="00C13683">
        <w:rPr>
          <w:b/>
          <w:bCs/>
          <w:i/>
          <w:iCs/>
          <w:sz w:val="20"/>
          <w:szCs w:val="20"/>
        </w:rPr>
        <w:t>“FUNDAMENTACION Y MOTIVACION, CONCEPTO DE.</w:t>
      </w:r>
      <w:r w:rsidRPr="00C13683">
        <w:rPr>
          <w:i/>
          <w:iCs/>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w:t>
      </w:r>
      <w:r w:rsidRPr="00C13683">
        <w:rPr>
          <w:i/>
          <w:iCs/>
          <w:sz w:val="20"/>
          <w:szCs w:val="20"/>
        </w:rPr>
        <w:lastRenderedPageBreak/>
        <w:t>determinación adoptada; y por lo segundo, que exprese una serie de razonamientos lógico-jurídicos sobre el por qué consideró que el caso concreto se ajusta a la hipótesis normativa.”</w:t>
      </w:r>
    </w:p>
    <w:p w14:paraId="0F201CAA" w14:textId="77777777" w:rsidR="006A2051" w:rsidRPr="00C13683" w:rsidRDefault="006A2051" w:rsidP="006A2051">
      <w:pPr>
        <w:spacing w:after="0" w:line="360" w:lineRule="auto"/>
        <w:rPr>
          <w:rFonts w:cs="Tahoma"/>
          <w:iCs/>
        </w:rPr>
      </w:pPr>
    </w:p>
    <w:p w14:paraId="5DF870C2" w14:textId="77777777" w:rsidR="006A2051" w:rsidRPr="00C13683" w:rsidRDefault="006A2051" w:rsidP="006A2051">
      <w:pPr>
        <w:spacing w:after="0" w:line="360" w:lineRule="auto"/>
      </w:pPr>
      <w:r w:rsidRPr="00C13683">
        <w:t>Conforme a lo anterior, se advierte lo siguiente:</w:t>
      </w:r>
    </w:p>
    <w:p w14:paraId="1F0ABBDD" w14:textId="77777777" w:rsidR="006A2051" w:rsidRPr="00C13683" w:rsidRDefault="006A2051" w:rsidP="006A2051">
      <w:pPr>
        <w:spacing w:after="0" w:line="360" w:lineRule="auto"/>
      </w:pPr>
    </w:p>
    <w:p w14:paraId="79D5CAA6" w14:textId="77777777" w:rsidR="006A2051" w:rsidRPr="00C13683" w:rsidRDefault="006A2051" w:rsidP="00A05A26">
      <w:pPr>
        <w:numPr>
          <w:ilvl w:val="0"/>
          <w:numId w:val="9"/>
        </w:numPr>
        <w:spacing w:after="0" w:line="360" w:lineRule="auto"/>
        <w:contextualSpacing/>
        <w:rPr>
          <w:rFonts w:eastAsia="Times New Roman" w:cs="Times New Roman"/>
          <w:szCs w:val="24"/>
          <w:lang w:eastAsia="es-ES"/>
        </w:rPr>
      </w:pPr>
      <w:r w:rsidRPr="00C13683">
        <w:rPr>
          <w:rFonts w:eastAsia="Times New Roman" w:cs="Times New Roman"/>
          <w:b/>
          <w:bCs/>
          <w:szCs w:val="24"/>
          <w:lang w:eastAsia="es-ES"/>
        </w:rPr>
        <w:t>Fundamentación:</w:t>
      </w:r>
      <w:r w:rsidRPr="00C13683">
        <w:rPr>
          <w:rFonts w:eastAsia="Times New Roman" w:cs="Times New Roman"/>
          <w:szCs w:val="24"/>
          <w:lang w:eastAsia="es-ES"/>
        </w:rPr>
        <w:t xml:space="preserve"> Obligación de la autoridad que emite un acto, para citar los preceptos legales, sustantivos y adjetivos, en que se apoye para la determinación tomada. </w:t>
      </w:r>
    </w:p>
    <w:p w14:paraId="19CC3971" w14:textId="77777777" w:rsidR="006A2051" w:rsidRPr="00C13683" w:rsidRDefault="006A2051" w:rsidP="00A05A26">
      <w:pPr>
        <w:numPr>
          <w:ilvl w:val="0"/>
          <w:numId w:val="9"/>
        </w:numPr>
        <w:spacing w:after="0" w:line="360" w:lineRule="auto"/>
        <w:contextualSpacing/>
        <w:rPr>
          <w:rFonts w:eastAsia="Times New Roman" w:cs="Times New Roman"/>
          <w:szCs w:val="24"/>
          <w:lang w:eastAsia="es-ES"/>
        </w:rPr>
      </w:pPr>
      <w:r w:rsidRPr="00C13683">
        <w:rPr>
          <w:rFonts w:eastAsia="Times New Roman" w:cs="Times New Roman"/>
          <w:b/>
          <w:bCs/>
          <w:szCs w:val="24"/>
          <w:lang w:eastAsia="es-ES"/>
        </w:rPr>
        <w:t>Motivación:</w:t>
      </w:r>
      <w:r w:rsidRPr="00C13683">
        <w:rPr>
          <w:rFonts w:eastAsia="Times New Roman" w:cs="Times New Roman"/>
          <w:szCs w:val="24"/>
          <w:lang w:eastAsia="es-ES"/>
        </w:rPr>
        <w:t xml:space="preserve"> Razonamientos lógico-jurídicos sobre porque se consideró en el caso en concreto, que se ajusta a la hipótesis normativa.</w:t>
      </w:r>
    </w:p>
    <w:p w14:paraId="6E0A71EA" w14:textId="77777777" w:rsidR="006A2051" w:rsidRPr="00C13683" w:rsidRDefault="006A2051" w:rsidP="006A2051">
      <w:pPr>
        <w:spacing w:after="0" w:line="360" w:lineRule="auto"/>
      </w:pPr>
    </w:p>
    <w:p w14:paraId="21C10363" w14:textId="1698EEDE" w:rsidR="006A2051" w:rsidRPr="00C13683" w:rsidRDefault="006A2051" w:rsidP="006A2051">
      <w:pPr>
        <w:spacing w:after="0" w:line="360" w:lineRule="auto"/>
        <w:rPr>
          <w:rFonts w:eastAsia="Times New Roman" w:cs="Arial"/>
          <w:lang w:val="x-none" w:eastAsia="es-ES"/>
        </w:rPr>
      </w:pPr>
      <w:r w:rsidRPr="00C13683">
        <w:t xml:space="preserve">Además, se considera que los documentos </w:t>
      </w:r>
      <w:r w:rsidR="005F1A02" w:rsidRPr="00C13683">
        <w:t xml:space="preserve">solicitados </w:t>
      </w:r>
      <w:r w:rsidRPr="00C13683">
        <w:t xml:space="preserve">rinden cuentas </w:t>
      </w:r>
      <w:r w:rsidRPr="00C13683">
        <w:rPr>
          <w:rFonts w:eastAsia="Calibri" w:cs="Tahoma"/>
          <w:bCs/>
        </w:rPr>
        <w:t>de la forma en que utiliza el Ayuntamiento los recursos públicos</w:t>
      </w:r>
      <w:r w:rsidRPr="00C13683">
        <w:rPr>
          <w:rFonts w:eastAsia="Times New Roman" w:cs="Tahoma"/>
          <w:bCs/>
          <w:iCs/>
          <w:lang w:val="es-ES_tradnl" w:eastAsia="es-ES"/>
        </w:rPr>
        <w:t>; sobre</w:t>
      </w:r>
      <w:r w:rsidRPr="00C13683">
        <w:rPr>
          <w:rFonts w:eastAsia="Times New Roman" w:cs="Tahoma"/>
          <w:lang w:val="es-ES" w:eastAsia="es-ES"/>
        </w:rPr>
        <w:t xml:space="preserve"> el tema, </w:t>
      </w:r>
      <w:r w:rsidRPr="00C13683">
        <w:rPr>
          <w:rFonts w:eastAsia="Times New Roman" w:cs="Arial"/>
          <w:bCs/>
          <w:lang w:eastAsia="es-ES"/>
        </w:rPr>
        <w:t xml:space="preserve">según Arizmendi, Guillermo (2016), en la “Ley General de Transparencia y Acceso a la Información Pública Comentada” (p. 240 y 241), los recursos públicos, deber ser administrado con responsabilidad y transparencia. </w:t>
      </w:r>
      <w:r w:rsidRPr="00C13683">
        <w:rPr>
          <w:rFonts w:eastAsia="Times New Roman" w:cs="Tahoma"/>
          <w:lang w:val="es-ES" w:eastAsia="es-ES"/>
        </w:rPr>
        <w:t xml:space="preserve">En ese orden de ideas, según Trujillo, Humberto (2019), en el “Diccionario de Transparencia y Acceso a la Información Pública” (p. 276), </w:t>
      </w:r>
      <w:r w:rsidRPr="00C13683">
        <w:rPr>
          <w:rFonts w:eastAsia="Times New Roman" w:cs="Tahoma"/>
          <w:b/>
          <w:lang w:val="es-ES" w:eastAsia="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04ABBDAB" w14:textId="77777777" w:rsidR="006A2051" w:rsidRPr="00C13683" w:rsidRDefault="006A2051" w:rsidP="006A2051">
      <w:pPr>
        <w:spacing w:after="0" w:line="360" w:lineRule="auto"/>
        <w:rPr>
          <w:rFonts w:eastAsia="Times New Roman" w:cs="Tahoma"/>
          <w:b/>
          <w:lang w:val="es-ES" w:eastAsia="es-ES"/>
        </w:rPr>
      </w:pPr>
    </w:p>
    <w:p w14:paraId="4B97EE49" w14:textId="77777777" w:rsidR="006A2051" w:rsidRPr="00C13683" w:rsidRDefault="006A2051" w:rsidP="006A2051">
      <w:pPr>
        <w:spacing w:after="0" w:line="360" w:lineRule="auto"/>
        <w:rPr>
          <w:rFonts w:eastAsia="Times New Roman" w:cs="Tahoma"/>
          <w:lang w:eastAsia="es-ES"/>
        </w:rPr>
      </w:pPr>
      <w:r w:rsidRPr="00C13683">
        <w:rPr>
          <w:rFonts w:eastAsia="Times New Roman" w:cs="Tahoma"/>
          <w:lang w:val="es-ES" w:eastAsia="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C13683">
        <w:rPr>
          <w:rFonts w:eastAsia="Times New Roman" w:cs="Tahoma"/>
          <w:b/>
          <w:lang w:val="es-ES" w:eastAsia="es-ES"/>
        </w:rPr>
        <w:t xml:space="preserve">transparencia </w:t>
      </w:r>
      <w:r w:rsidRPr="00C13683">
        <w:rPr>
          <w:rFonts w:eastAsia="Times New Roman" w:cs="Tahoma"/>
          <w:lang w:val="es-ES" w:eastAsia="es-ES"/>
        </w:rPr>
        <w:t xml:space="preserve">y honradez; sobre lo referido,  </w:t>
      </w:r>
      <w:r w:rsidRPr="00C13683">
        <w:rPr>
          <w:rFonts w:eastAsia="Times New Roman" w:cs="Tahoma"/>
          <w:lang w:eastAsia="es-ES"/>
        </w:rPr>
        <w:t xml:space="preserve">la Tesis número </w:t>
      </w:r>
      <w:r w:rsidRPr="00C13683">
        <w:rPr>
          <w:rFonts w:eastAsia="Times New Roman" w:cs="Tahoma"/>
          <w:lang w:eastAsia="es-ES"/>
        </w:rPr>
        <w:lastRenderedPageBreak/>
        <w:t>1a.CXLV/2009, Novena Época, publicada en el Semanario Judicial de la Federación, Tomo XXX, de septiembre de dos mil nueve, (p. 2712), establece lo siguiente:</w:t>
      </w:r>
    </w:p>
    <w:p w14:paraId="1E9D43F5" w14:textId="77777777" w:rsidR="006A2051" w:rsidRPr="00C13683" w:rsidRDefault="006A2051" w:rsidP="006A2051">
      <w:pPr>
        <w:spacing w:after="0" w:line="360" w:lineRule="auto"/>
        <w:rPr>
          <w:rFonts w:eastAsia="Times New Roman" w:cs="Tahoma"/>
          <w:lang w:val="es-ES" w:eastAsia="es-ES"/>
        </w:rPr>
      </w:pPr>
    </w:p>
    <w:p w14:paraId="1244D4E4" w14:textId="77777777" w:rsidR="006A2051" w:rsidRPr="00C13683" w:rsidRDefault="006A2051" w:rsidP="006A2051">
      <w:pPr>
        <w:spacing w:after="0" w:line="360" w:lineRule="auto"/>
        <w:ind w:left="567" w:right="567"/>
        <w:rPr>
          <w:rFonts w:eastAsia="Times New Roman" w:cs="Tahoma"/>
          <w:bCs/>
          <w:i/>
          <w:iCs/>
          <w:sz w:val="20"/>
          <w:szCs w:val="20"/>
          <w:lang w:val="es-ES" w:eastAsia="es-ES"/>
        </w:rPr>
      </w:pPr>
      <w:r w:rsidRPr="00C13683">
        <w:rPr>
          <w:rFonts w:eastAsia="Times New Roman" w:cs="Tahoma"/>
          <w:b/>
          <w:bCs/>
          <w:i/>
          <w:iCs/>
          <w:sz w:val="20"/>
          <w:szCs w:val="20"/>
          <w:lang w:val="es-ES" w:eastAsia="es-ES"/>
        </w:rPr>
        <w:t>“</w:t>
      </w:r>
      <w:r w:rsidRPr="00C13683">
        <w:rPr>
          <w:rFonts w:eastAsia="Times New Roman" w:cs="Tahoma"/>
          <w:b/>
          <w:bCs/>
          <w:i/>
          <w:iCs/>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sidRPr="00C13683">
        <w:rPr>
          <w:rFonts w:eastAsia="Times New Roman" w:cs="Tahoma"/>
          <w:bCs/>
          <w:i/>
          <w:iCs/>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C13683">
        <w:rPr>
          <w:rFonts w:eastAsia="Times New Roman" w:cs="Tahoma"/>
          <w:bCs/>
          <w:i/>
          <w:iCs/>
          <w:sz w:val="20"/>
          <w:szCs w:val="20"/>
          <w:lang w:val="es-ES" w:eastAsia="es-ES"/>
        </w:rPr>
        <w:t>”</w:t>
      </w:r>
    </w:p>
    <w:p w14:paraId="75A7DBDB" w14:textId="77777777" w:rsidR="006A2051" w:rsidRPr="00C13683" w:rsidRDefault="006A2051" w:rsidP="006A2051">
      <w:pPr>
        <w:spacing w:after="0" w:line="360" w:lineRule="auto"/>
        <w:rPr>
          <w:rFonts w:eastAsia="Times New Roman" w:cs="Tahoma"/>
          <w:bCs/>
          <w:iCs/>
          <w:lang w:val="es-ES" w:eastAsia="es-ES"/>
        </w:rPr>
      </w:pPr>
    </w:p>
    <w:p w14:paraId="43AA6721" w14:textId="77777777" w:rsidR="006A2051" w:rsidRPr="00C13683" w:rsidRDefault="006A2051" w:rsidP="006A2051">
      <w:pPr>
        <w:spacing w:after="0" w:line="360" w:lineRule="auto"/>
        <w:rPr>
          <w:rFonts w:eastAsia="Times New Roman" w:cs="Tahoma"/>
          <w:bCs/>
          <w:iCs/>
          <w:lang w:val="es-ES" w:eastAsia="es-ES"/>
        </w:rPr>
      </w:pPr>
      <w:r w:rsidRPr="00C13683">
        <w:rPr>
          <w:rFonts w:eastAsia="Times New Roman" w:cs="Tahoma"/>
          <w:bCs/>
          <w:iCs/>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7B433F84" w14:textId="77777777" w:rsidR="006A2051" w:rsidRPr="00C13683" w:rsidRDefault="006A2051" w:rsidP="006A2051">
      <w:pPr>
        <w:spacing w:after="0" w:line="360" w:lineRule="auto"/>
        <w:rPr>
          <w:rFonts w:eastAsia="Times New Roman" w:cs="Tahoma"/>
          <w:bCs/>
          <w:iCs/>
          <w:lang w:val="es-ES" w:eastAsia="es-ES"/>
        </w:rPr>
      </w:pPr>
    </w:p>
    <w:p w14:paraId="5DE8A5AF" w14:textId="77777777" w:rsidR="006A2051" w:rsidRPr="00C13683" w:rsidRDefault="006A2051" w:rsidP="006A2051">
      <w:pPr>
        <w:spacing w:after="0" w:line="360" w:lineRule="auto"/>
        <w:rPr>
          <w:rFonts w:eastAsia="Times New Roman" w:cs="Tahoma"/>
          <w:lang w:val="es-ES" w:eastAsia="es-ES"/>
        </w:rPr>
      </w:pPr>
      <w:r w:rsidRPr="00C13683">
        <w:rPr>
          <w:rFonts w:eastAsia="Times New Roman" w:cs="Tahoma"/>
          <w:bCs/>
          <w:iCs/>
          <w:lang w:val="es-ES" w:eastAsia="es-ES"/>
        </w:rPr>
        <w:t xml:space="preserve">Al respecto, </w:t>
      </w:r>
      <w:r w:rsidRPr="00C13683">
        <w:rPr>
          <w:rFonts w:eastAsia="Times New Roman" w:cs="Tahoma"/>
          <w:lang w:val="es-ES" w:eastAsia="es-ES"/>
        </w:rPr>
        <w:t xml:space="preserve">según Merino, Mauricio (2019), en el “Diccionario de Transparencia y Acceso a la Información Pública” (p. 276), </w:t>
      </w:r>
      <w:r w:rsidRPr="00C13683">
        <w:rPr>
          <w:rFonts w:eastAsia="Times New Roman" w:cs="Tahoma"/>
          <w:b/>
          <w:lang w:val="es-ES" w:eastAsia="es-ES"/>
        </w:rPr>
        <w:t xml:space="preserve">la rendición de cuentas, </w:t>
      </w:r>
      <w:r w:rsidRPr="00C13683">
        <w:rPr>
          <w:rFonts w:eastAsia="Times New Roman" w:cs="Tahoma"/>
          <w:lang w:val="es-ES" w:eastAsia="es-ES"/>
        </w:rPr>
        <w:t xml:space="preserve">es un ejercicio de transparencia e </w:t>
      </w:r>
      <w:r w:rsidRPr="00C13683">
        <w:rPr>
          <w:rFonts w:eastAsia="Times New Roman" w:cs="Tahoma"/>
          <w:lang w:val="es-ES" w:eastAsia="es-ES"/>
        </w:rPr>
        <w:lastRenderedPageBreak/>
        <w:t xml:space="preserve">información pública; es un medio a través del cual los gobiernos informan al público de sus actividades, </w:t>
      </w:r>
      <w:r w:rsidRPr="00C13683">
        <w:rPr>
          <w:rFonts w:eastAsia="Times New Roman" w:cs="Tahoma"/>
          <w:b/>
          <w:lang w:val="es-ES" w:eastAsia="es-ES"/>
        </w:rPr>
        <w:t>de los recursos que han ejercido</w:t>
      </w:r>
      <w:r w:rsidRPr="00C13683">
        <w:rPr>
          <w:rFonts w:eastAsia="Times New Roman" w:cs="Tahoma"/>
          <w:lang w:val="es-ES" w:eastAsia="es-ES"/>
        </w:rPr>
        <w:t xml:space="preserve"> y de los resultados obtenidos.</w:t>
      </w:r>
    </w:p>
    <w:p w14:paraId="412918CB" w14:textId="77777777" w:rsidR="006A2051" w:rsidRPr="00C13683" w:rsidRDefault="006A2051" w:rsidP="006A2051">
      <w:pPr>
        <w:spacing w:after="0" w:line="360" w:lineRule="auto"/>
        <w:rPr>
          <w:rFonts w:eastAsia="Times New Roman" w:cs="Tahoma"/>
          <w:lang w:val="es-ES" w:eastAsia="es-ES"/>
        </w:rPr>
      </w:pPr>
    </w:p>
    <w:p w14:paraId="60A90500" w14:textId="77777777" w:rsidR="006A2051" w:rsidRPr="00C13683" w:rsidRDefault="006A2051" w:rsidP="006A2051">
      <w:pPr>
        <w:spacing w:after="0" w:line="360" w:lineRule="auto"/>
        <w:rPr>
          <w:rFonts w:eastAsia="Times New Roman" w:cs="Tahoma"/>
          <w:bCs/>
          <w:iCs/>
          <w:lang w:val="es-ES" w:eastAsia="es-ES"/>
        </w:rPr>
      </w:pPr>
      <w:r w:rsidRPr="00C13683">
        <w:rPr>
          <w:rFonts w:eastAsia="Times New Roman" w:cs="Tahoma"/>
          <w:bCs/>
          <w:iCs/>
          <w:lang w:val="es-ES" w:eastAsia="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4F31C85C" w14:textId="77777777" w:rsidR="006A2051" w:rsidRPr="00C13683" w:rsidRDefault="006A2051" w:rsidP="006A2051">
      <w:pPr>
        <w:spacing w:after="0" w:line="360" w:lineRule="auto"/>
        <w:rPr>
          <w:rFonts w:eastAsia="Times New Roman" w:cs="Tahoma"/>
          <w:bCs/>
          <w:iCs/>
          <w:lang w:val="es-ES" w:eastAsia="es-ES"/>
        </w:rPr>
      </w:pPr>
    </w:p>
    <w:p w14:paraId="43E058D3" w14:textId="77777777" w:rsidR="006A2051" w:rsidRPr="00C13683" w:rsidRDefault="006A2051" w:rsidP="006A2051">
      <w:pPr>
        <w:spacing w:after="0" w:line="360" w:lineRule="auto"/>
        <w:rPr>
          <w:rFonts w:eastAsia="Times New Roman" w:cs="Tahoma"/>
          <w:bCs/>
          <w:iCs/>
          <w:lang w:val="es-ES" w:eastAsia="es-ES"/>
        </w:rPr>
      </w:pPr>
      <w:r w:rsidRPr="00C13683">
        <w:rPr>
          <w:rFonts w:eastAsia="Times New Roman" w:cs="Tahoma"/>
          <w:bCs/>
          <w:iCs/>
          <w:lang w:val="es-ES" w:eastAsia="es-ES"/>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10BC639B" w14:textId="77777777" w:rsidR="006A2051" w:rsidRPr="00C13683" w:rsidRDefault="006A2051" w:rsidP="006A2051">
      <w:pPr>
        <w:spacing w:after="0" w:line="360" w:lineRule="auto"/>
        <w:rPr>
          <w:rFonts w:eastAsia="Times New Roman" w:cs="Tahoma"/>
          <w:bCs/>
          <w:iCs/>
          <w:lang w:val="es-ES" w:eastAsia="es-ES"/>
        </w:rPr>
      </w:pPr>
    </w:p>
    <w:p w14:paraId="2645F9B1" w14:textId="4702B6A0" w:rsidR="006A2051" w:rsidRPr="00C13683" w:rsidRDefault="006A2051" w:rsidP="006A2051">
      <w:pPr>
        <w:spacing w:after="0" w:line="360" w:lineRule="auto"/>
        <w:rPr>
          <w:rFonts w:eastAsia="Times New Roman" w:cs="Tahoma"/>
          <w:iCs/>
          <w:lang w:eastAsia="es-ES"/>
        </w:rPr>
      </w:pPr>
      <w:r w:rsidRPr="00C13683">
        <w:rPr>
          <w:rFonts w:eastAsia="Times New Roman" w:cs="Tahoma"/>
          <w:bCs/>
          <w:iCs/>
          <w:lang w:eastAsia="es-ES"/>
        </w:rPr>
        <w:t>Conforme a lo anterior, se logra vislumbrar que, en el presente caso, la información solicitada, rinde cuentas de la forma de utilización de los recursos públicos con los que contaba el Sujeto Obligado</w:t>
      </w:r>
      <w:r w:rsidR="005F1A02" w:rsidRPr="00C13683">
        <w:rPr>
          <w:rFonts w:eastAsia="Times New Roman" w:cs="Tahoma"/>
          <w:bCs/>
          <w:iCs/>
          <w:lang w:eastAsia="es-ES"/>
        </w:rPr>
        <w:t>, además de que, no acreditó la reserva de la información pues solo se limitó a mencionar que los comprobantes de pago contienen datos confidenciales</w:t>
      </w:r>
      <w:r w:rsidRPr="00C13683">
        <w:rPr>
          <w:rFonts w:eastAsia="Times New Roman" w:cs="Tahoma"/>
          <w:bCs/>
          <w:iCs/>
          <w:lang w:eastAsia="es-ES"/>
        </w:rPr>
        <w:t xml:space="preserve">; por lo que, no procede su clasificación en su totalidad, lo cual da como resultado que el agravio sea </w:t>
      </w:r>
      <w:r w:rsidR="005F1A02" w:rsidRPr="00C13683">
        <w:rPr>
          <w:rFonts w:eastAsia="Times New Roman" w:cs="Tahoma"/>
          <w:b/>
          <w:iCs/>
          <w:lang w:eastAsia="es-ES"/>
        </w:rPr>
        <w:t xml:space="preserve">FUNDADO; </w:t>
      </w:r>
      <w:r w:rsidR="005F1A02" w:rsidRPr="00C13683">
        <w:rPr>
          <w:rFonts w:eastAsia="Times New Roman" w:cs="Tahoma"/>
          <w:iCs/>
          <w:lang w:eastAsia="es-ES"/>
        </w:rPr>
        <w:t xml:space="preserve">no obstante, durante la sustanciación  del Recurso de Revisión, el Sujeto Obligado adjuntó el Acta número ACT/ECA/CT/EXT/28ª/2025, de la Vigésima Octava Sesión </w:t>
      </w:r>
      <w:r w:rsidR="005F1A02" w:rsidRPr="00C13683">
        <w:rPr>
          <w:rFonts w:eastAsia="Times New Roman" w:cs="Tahoma"/>
          <w:iCs/>
          <w:lang w:eastAsia="es-ES"/>
        </w:rPr>
        <w:lastRenderedPageBreak/>
        <w:t>Extraordinaria del Comité de Transparencia, por medio de la cual confirma la clasificación de la información como reservada.</w:t>
      </w:r>
    </w:p>
    <w:p w14:paraId="7A3E0415" w14:textId="77777777" w:rsidR="005F1A02" w:rsidRPr="00C13683" w:rsidRDefault="005F1A02" w:rsidP="006A2051">
      <w:pPr>
        <w:spacing w:after="0" w:line="360" w:lineRule="auto"/>
        <w:rPr>
          <w:rFonts w:eastAsia="Times New Roman" w:cs="Tahoma"/>
          <w:iCs/>
          <w:lang w:eastAsia="es-ES"/>
        </w:rPr>
      </w:pPr>
    </w:p>
    <w:p w14:paraId="1256CB07" w14:textId="77777777" w:rsidR="005F1A02" w:rsidRPr="00C13683" w:rsidRDefault="005F1A02" w:rsidP="005F1A02">
      <w:pPr>
        <w:spacing w:after="0" w:line="360" w:lineRule="auto"/>
        <w:rPr>
          <w:color w:val="auto"/>
        </w:rPr>
      </w:pPr>
      <w:r w:rsidRPr="00C13683">
        <w:rPr>
          <w:color w:val="auto"/>
        </w:rPr>
        <w:t>En ese orden de ideas, el Trigésimo tercero de los Lineamientos Generales, establece la forma en que se debe fundamentar y motivar la reserva de la información, es decir, a través de los siguientes pasos:</w:t>
      </w:r>
    </w:p>
    <w:p w14:paraId="26B787F0" w14:textId="77777777" w:rsidR="005F1A02" w:rsidRPr="00C13683" w:rsidRDefault="005F1A02" w:rsidP="005F1A02">
      <w:pPr>
        <w:spacing w:after="0" w:line="360" w:lineRule="auto"/>
        <w:rPr>
          <w:color w:val="auto"/>
        </w:rPr>
      </w:pPr>
    </w:p>
    <w:p w14:paraId="69E6C519" w14:textId="77777777" w:rsidR="005F1A02" w:rsidRPr="00C13683" w:rsidRDefault="005F1A02" w:rsidP="005F1A02">
      <w:pPr>
        <w:numPr>
          <w:ilvl w:val="0"/>
          <w:numId w:val="12"/>
        </w:numPr>
        <w:spacing w:after="0" w:line="360" w:lineRule="auto"/>
        <w:rPr>
          <w:color w:val="auto"/>
        </w:rPr>
      </w:pPr>
      <w:r w:rsidRPr="00C13683">
        <w:rPr>
          <w:color w:val="auto"/>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552431CA" w14:textId="77777777" w:rsidR="005F1A02" w:rsidRPr="00C13683" w:rsidRDefault="005F1A02" w:rsidP="005F1A02">
      <w:pPr>
        <w:spacing w:after="0" w:line="360" w:lineRule="auto"/>
        <w:rPr>
          <w:color w:val="auto"/>
        </w:rPr>
      </w:pPr>
    </w:p>
    <w:p w14:paraId="6896E6D3" w14:textId="77777777" w:rsidR="005F1A02" w:rsidRPr="00C13683" w:rsidRDefault="005F1A02" w:rsidP="005F1A02">
      <w:pPr>
        <w:numPr>
          <w:ilvl w:val="0"/>
          <w:numId w:val="12"/>
        </w:numPr>
        <w:spacing w:after="0" w:line="360" w:lineRule="auto"/>
        <w:rPr>
          <w:color w:val="auto"/>
        </w:rPr>
      </w:pPr>
      <w:r w:rsidRPr="00C13683">
        <w:rPr>
          <w:color w:val="auto"/>
        </w:rPr>
        <w:t>Se deberá demostrar que la publicidad de la información generaría un riesgo de perjuicio, que rebasa el interés público;</w:t>
      </w:r>
    </w:p>
    <w:p w14:paraId="002221B2" w14:textId="77777777" w:rsidR="005F1A02" w:rsidRPr="00C13683" w:rsidRDefault="005F1A02" w:rsidP="005F1A02">
      <w:pPr>
        <w:spacing w:after="0" w:line="360" w:lineRule="auto"/>
        <w:rPr>
          <w:color w:val="auto"/>
        </w:rPr>
      </w:pPr>
    </w:p>
    <w:p w14:paraId="38735280" w14:textId="77777777" w:rsidR="005F1A02" w:rsidRPr="00C13683" w:rsidRDefault="005F1A02" w:rsidP="005F1A02">
      <w:pPr>
        <w:numPr>
          <w:ilvl w:val="0"/>
          <w:numId w:val="12"/>
        </w:numPr>
        <w:spacing w:after="0" w:line="360" w:lineRule="auto"/>
        <w:rPr>
          <w:color w:val="auto"/>
        </w:rPr>
      </w:pPr>
      <w:r w:rsidRPr="00C13683">
        <w:rPr>
          <w:color w:val="auto"/>
        </w:rPr>
        <w:t>Se acreditará el vínculo entre la difusión de la información y la afectación del interés jurídico tutelado;</w:t>
      </w:r>
    </w:p>
    <w:p w14:paraId="3B30D21E" w14:textId="77777777" w:rsidR="005F1A02" w:rsidRPr="00C13683" w:rsidRDefault="005F1A02" w:rsidP="005F1A02">
      <w:pPr>
        <w:spacing w:after="0" w:line="360" w:lineRule="auto"/>
        <w:rPr>
          <w:color w:val="auto"/>
        </w:rPr>
      </w:pPr>
    </w:p>
    <w:p w14:paraId="5AF9940D" w14:textId="77777777" w:rsidR="005F1A02" w:rsidRPr="00C13683" w:rsidRDefault="005F1A02" w:rsidP="005F1A02">
      <w:pPr>
        <w:numPr>
          <w:ilvl w:val="0"/>
          <w:numId w:val="12"/>
        </w:numPr>
        <w:spacing w:after="0" w:line="360" w:lineRule="auto"/>
        <w:rPr>
          <w:color w:val="auto"/>
        </w:rPr>
      </w:pPr>
      <w:r w:rsidRPr="00C13683">
        <w:rPr>
          <w:color w:val="auto"/>
        </w:rPr>
        <w:t>Se precisará las razones objetivas por las que la apertura de la información generaría una afectación, por medio del riesgo real, demostrable e identificable;</w:t>
      </w:r>
    </w:p>
    <w:p w14:paraId="33B197AE" w14:textId="77777777" w:rsidR="005F1A02" w:rsidRPr="00C13683" w:rsidRDefault="005F1A02" w:rsidP="005F1A02">
      <w:pPr>
        <w:spacing w:after="0" w:line="360" w:lineRule="auto"/>
        <w:rPr>
          <w:color w:val="auto"/>
        </w:rPr>
      </w:pPr>
    </w:p>
    <w:p w14:paraId="3F14C9B3" w14:textId="77777777" w:rsidR="005F1A02" w:rsidRPr="00C13683" w:rsidRDefault="005F1A02" w:rsidP="005F1A02">
      <w:pPr>
        <w:numPr>
          <w:ilvl w:val="0"/>
          <w:numId w:val="12"/>
        </w:numPr>
        <w:spacing w:after="0" w:line="360" w:lineRule="auto"/>
        <w:rPr>
          <w:color w:val="auto"/>
        </w:rPr>
      </w:pPr>
      <w:r w:rsidRPr="00C13683">
        <w:rPr>
          <w:color w:val="auto"/>
        </w:rPr>
        <w:t>Se deberán señalar las circunstancias de modo, tiempo y lugar del daño, y</w:t>
      </w:r>
    </w:p>
    <w:p w14:paraId="1B8AA98D" w14:textId="77777777" w:rsidR="005F1A02" w:rsidRPr="00C13683" w:rsidRDefault="005F1A02" w:rsidP="005F1A02">
      <w:pPr>
        <w:spacing w:after="0" w:line="360" w:lineRule="auto"/>
        <w:rPr>
          <w:color w:val="auto"/>
        </w:rPr>
      </w:pPr>
    </w:p>
    <w:p w14:paraId="319751AD" w14:textId="77777777" w:rsidR="005F1A02" w:rsidRPr="00C13683" w:rsidRDefault="005F1A02" w:rsidP="005F1A02">
      <w:pPr>
        <w:numPr>
          <w:ilvl w:val="0"/>
          <w:numId w:val="12"/>
        </w:numPr>
        <w:spacing w:after="0" w:line="360" w:lineRule="auto"/>
        <w:rPr>
          <w:color w:val="auto"/>
        </w:rPr>
      </w:pPr>
      <w:r w:rsidRPr="00C13683">
        <w:rPr>
          <w:color w:val="auto"/>
        </w:rPr>
        <w:t>Se elegirá la opción de excepción al acceso a la información que menos restrinja, la cual será adecuada y proporcional para la protección del interés público.</w:t>
      </w:r>
    </w:p>
    <w:p w14:paraId="15253051" w14:textId="77777777" w:rsidR="005F1A02" w:rsidRPr="00C13683" w:rsidRDefault="005F1A02" w:rsidP="005F1A02">
      <w:pPr>
        <w:spacing w:after="0" w:line="360" w:lineRule="auto"/>
        <w:rPr>
          <w:color w:val="auto"/>
        </w:rPr>
      </w:pPr>
    </w:p>
    <w:p w14:paraId="4EBB5E6E" w14:textId="77777777" w:rsidR="005F1A02" w:rsidRPr="00C13683" w:rsidRDefault="005F1A02" w:rsidP="005F1A02">
      <w:pPr>
        <w:spacing w:after="0" w:line="360" w:lineRule="auto"/>
        <w:rPr>
          <w:color w:val="auto"/>
        </w:rPr>
      </w:pPr>
      <w:r w:rsidRPr="00C13683">
        <w:rPr>
          <w:color w:val="auto"/>
        </w:rPr>
        <w:lastRenderedPageBreak/>
        <w:t>Conforme lo anterior, de las formalidades previstas por la Ley de la Materia y de los Lineamientos Generales, así como del análisis de las constancias se logra advertir que el Sujeto Obligado no fundamentó, ni motivó la clasificación de la información, por las siguientes consideraciones:</w:t>
      </w:r>
    </w:p>
    <w:p w14:paraId="7F3975C7" w14:textId="77777777" w:rsidR="005F1A02" w:rsidRPr="00C13683" w:rsidRDefault="005F1A02" w:rsidP="005F1A02">
      <w:pPr>
        <w:pBdr>
          <w:top w:val="nil"/>
          <w:left w:val="nil"/>
          <w:bottom w:val="nil"/>
          <w:right w:val="nil"/>
          <w:between w:val="nil"/>
        </w:pBdr>
        <w:spacing w:after="0" w:line="360" w:lineRule="auto"/>
        <w:rPr>
          <w:color w:val="000000"/>
        </w:rPr>
      </w:pPr>
    </w:p>
    <w:p w14:paraId="5A684C27" w14:textId="77777777"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El acuerdo no se encuentra completo, dado que se advierten ideas cortadas;</w:t>
      </w:r>
    </w:p>
    <w:p w14:paraId="6E3E4D8E" w14:textId="77777777" w:rsidR="005F1A02" w:rsidRPr="00C13683" w:rsidRDefault="005F1A02" w:rsidP="005F1A02">
      <w:pPr>
        <w:spacing w:after="0" w:line="360" w:lineRule="auto"/>
        <w:rPr>
          <w:color w:val="auto"/>
        </w:rPr>
      </w:pPr>
    </w:p>
    <w:p w14:paraId="6732352C" w14:textId="5828D14F"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No se especifica el caso concreto por el que, dar publicidad a la información de que los comprobantes de pago generan un riesgo que rebase al interés público;</w:t>
      </w:r>
    </w:p>
    <w:p w14:paraId="0C2ECB1B" w14:textId="77777777" w:rsidR="005F1A02" w:rsidRPr="00C13683" w:rsidRDefault="005F1A02" w:rsidP="005F1A02">
      <w:pPr>
        <w:spacing w:after="0" w:line="360" w:lineRule="auto"/>
        <w:rPr>
          <w:color w:val="auto"/>
        </w:rPr>
      </w:pPr>
    </w:p>
    <w:p w14:paraId="7A32706B" w14:textId="77777777"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 xml:space="preserve">No se acreditó un vínculo entre la información y las actividades de fiscalización, verificación, inspección, comprobación y </w:t>
      </w:r>
      <w:r w:rsidRPr="00C13683">
        <w:rPr>
          <w:color w:val="auto"/>
        </w:rPr>
        <w:t>auditoría</w:t>
      </w:r>
      <w:r w:rsidRPr="00C13683">
        <w:rPr>
          <w:color w:val="000000"/>
        </w:rPr>
        <w:t xml:space="preserve"> o la recaudación de contribuciones; </w:t>
      </w:r>
    </w:p>
    <w:p w14:paraId="7C0FC01D" w14:textId="77777777" w:rsidR="005F1A02" w:rsidRPr="00C13683" w:rsidRDefault="005F1A02" w:rsidP="005F1A02">
      <w:pPr>
        <w:spacing w:after="0" w:line="360" w:lineRule="auto"/>
        <w:rPr>
          <w:color w:val="auto"/>
        </w:rPr>
      </w:pPr>
    </w:p>
    <w:p w14:paraId="034A137F" w14:textId="77777777"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No se expresaron las razones objetivas por las que la apertura de la información puede generar una afectación, por medio del riesgo real, demostrable e identificable;</w:t>
      </w:r>
    </w:p>
    <w:p w14:paraId="4BDAA576" w14:textId="77777777" w:rsidR="005F1A02" w:rsidRPr="00C13683" w:rsidRDefault="005F1A02" w:rsidP="005F1A02">
      <w:pPr>
        <w:spacing w:after="0" w:line="360" w:lineRule="auto"/>
        <w:rPr>
          <w:color w:val="auto"/>
        </w:rPr>
      </w:pPr>
    </w:p>
    <w:p w14:paraId="1E0A6DCC" w14:textId="68DA0E8D"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 xml:space="preserve">No se expresaron las circunstancias de modo, tiempo y lugar del daño; </w:t>
      </w:r>
    </w:p>
    <w:p w14:paraId="1122F1FF" w14:textId="77777777" w:rsidR="005F1A02" w:rsidRPr="00C13683" w:rsidRDefault="005F1A02" w:rsidP="005F1A02">
      <w:pPr>
        <w:spacing w:after="0" w:line="360" w:lineRule="auto"/>
        <w:rPr>
          <w:color w:val="auto"/>
        </w:rPr>
      </w:pPr>
    </w:p>
    <w:p w14:paraId="04AA70AC" w14:textId="38308140"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No se especificó si se eligió la opción de excepción al acceso a la información que menos restrinja y que resulta proporcional para la protección del interés público, y</w:t>
      </w:r>
    </w:p>
    <w:p w14:paraId="6F9DE493" w14:textId="77777777" w:rsidR="005F1A02" w:rsidRPr="00C13683" w:rsidRDefault="005F1A02" w:rsidP="005F1A02">
      <w:pPr>
        <w:pStyle w:val="Prrafodelista"/>
        <w:rPr>
          <w:color w:val="000000"/>
        </w:rPr>
      </w:pPr>
    </w:p>
    <w:p w14:paraId="37DB3570" w14:textId="1BA25835" w:rsidR="005F1A02" w:rsidRPr="00C13683" w:rsidRDefault="005F1A02" w:rsidP="005F1A02">
      <w:pPr>
        <w:numPr>
          <w:ilvl w:val="0"/>
          <w:numId w:val="12"/>
        </w:numPr>
        <w:pBdr>
          <w:top w:val="nil"/>
          <w:left w:val="nil"/>
          <w:bottom w:val="nil"/>
          <w:right w:val="nil"/>
          <w:between w:val="nil"/>
        </w:pBdr>
        <w:spacing w:after="0" w:line="360" w:lineRule="auto"/>
        <w:rPr>
          <w:color w:val="000000"/>
        </w:rPr>
      </w:pPr>
      <w:r w:rsidRPr="00C13683">
        <w:rPr>
          <w:color w:val="000000"/>
        </w:rPr>
        <w:t>Solo se mencionó que los comprobantes de pago no podían ser entregados por contener datos clasificados como confidenciales.</w:t>
      </w:r>
    </w:p>
    <w:p w14:paraId="19B13055" w14:textId="77777777" w:rsidR="005F1A02" w:rsidRPr="00C13683" w:rsidRDefault="005F1A02" w:rsidP="005F1A02">
      <w:pPr>
        <w:spacing w:after="0" w:line="360" w:lineRule="auto"/>
        <w:rPr>
          <w:color w:val="auto"/>
        </w:rPr>
      </w:pPr>
    </w:p>
    <w:p w14:paraId="3D97E90C" w14:textId="179C0781" w:rsidR="005F1A02" w:rsidRPr="00C13683" w:rsidRDefault="005F1A02" w:rsidP="005F1A02">
      <w:pPr>
        <w:spacing w:after="0" w:line="360" w:lineRule="auto"/>
        <w:rPr>
          <w:color w:val="000000"/>
        </w:rPr>
      </w:pPr>
      <w:r w:rsidRPr="00C13683">
        <w:rPr>
          <w:color w:val="000000"/>
        </w:rPr>
        <w:lastRenderedPageBreak/>
        <w:t>En consecuencia, de lo anterior, es dable considerar que el acuerdo entregado no se encuentra debidamente fundado y motivado, asimismo, no se acreditó la existencia de alguna causal de procedencia de la clasificación de la información o de act</w:t>
      </w:r>
      <w:r w:rsidR="001E394F" w:rsidRPr="00C13683">
        <w:rPr>
          <w:color w:val="000000"/>
        </w:rPr>
        <w:t>ualización del supuesto en cita</w:t>
      </w:r>
      <w:r w:rsidRPr="00C13683">
        <w:rPr>
          <w:color w:val="000000"/>
        </w:rPr>
        <w:t xml:space="preserve">, por tanto, la información debe ser pública y atender a su entrega en versión pública. </w:t>
      </w:r>
    </w:p>
    <w:p w14:paraId="112549FD" w14:textId="77777777" w:rsidR="006A2051" w:rsidRPr="00C13683" w:rsidRDefault="006A2051" w:rsidP="006A2051">
      <w:pPr>
        <w:spacing w:after="0" w:line="360" w:lineRule="auto"/>
      </w:pPr>
    </w:p>
    <w:p w14:paraId="5E941AF7" w14:textId="3FFDCD9F" w:rsidR="006A2051" w:rsidRPr="00C13683" w:rsidRDefault="006A2051" w:rsidP="006A2051">
      <w:pPr>
        <w:spacing w:after="0" w:line="360" w:lineRule="auto"/>
      </w:pPr>
      <w:r w:rsidRPr="00C13683">
        <w:t xml:space="preserve">Así, este Instituto considera que para atender el requerimiento de información, el Sujeto Obligado deberá realizar una búsqueda exhaustiva y razonable en la </w:t>
      </w:r>
      <w:r w:rsidRPr="00C13683">
        <w:rPr>
          <w:bCs/>
        </w:rPr>
        <w:t>Tesorería Municipal</w:t>
      </w:r>
      <w:r w:rsidRPr="00C13683">
        <w:rPr>
          <w:b/>
          <w:bCs/>
        </w:rPr>
        <w:t xml:space="preserve">, </w:t>
      </w:r>
      <w:r w:rsidRPr="00C13683">
        <w:t>a efecto de que proporcione los comprobantes de pago solicitados;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2DB6E70" w14:textId="77777777" w:rsidR="006A2051" w:rsidRPr="00C13683" w:rsidRDefault="006A2051" w:rsidP="006A2051">
      <w:pPr>
        <w:spacing w:after="0" w:line="360" w:lineRule="auto"/>
      </w:pPr>
    </w:p>
    <w:p w14:paraId="6728B06D" w14:textId="77777777" w:rsidR="006A2051" w:rsidRPr="00C13683" w:rsidRDefault="006A2051" w:rsidP="006A2051">
      <w:pPr>
        <w:spacing w:after="0" w:line="360" w:lineRule="auto"/>
      </w:pPr>
      <w:r w:rsidRPr="00C13683">
        <w:t xml:space="preserve">De esta manera, el derecho de acceso a la información pública se satisface en aquellos casos en que se entregue el soporte documental en el que conste la información solicitada, sin necesidad de elaborar documentos </w:t>
      </w:r>
      <w:r w:rsidRPr="00C13683">
        <w:rPr>
          <w:i/>
          <w:iCs/>
        </w:rPr>
        <w:t>ad hoc</w:t>
      </w:r>
      <w:r w:rsidRPr="00C13683">
        <w:t>; lo cual, de conformidad con en el artículo 160 de la Ley de Transparencia y Acceso a la Información Pública del Estado de México y Municipios, el cual refiere que los sujetos obligados deberán entregar la información que obre en sus archivos.</w:t>
      </w:r>
    </w:p>
    <w:p w14:paraId="1F053B9D" w14:textId="77777777" w:rsidR="006A2051" w:rsidRPr="00C13683" w:rsidRDefault="006A2051" w:rsidP="006A2051">
      <w:pPr>
        <w:spacing w:after="0" w:line="360" w:lineRule="auto"/>
      </w:pPr>
    </w:p>
    <w:p w14:paraId="26CCACBC" w14:textId="4369FF49" w:rsidR="006A2051" w:rsidRPr="00C13683" w:rsidRDefault="006A2051" w:rsidP="006A2051">
      <w:pPr>
        <w:spacing w:after="0" w:line="360" w:lineRule="auto"/>
      </w:pPr>
      <w:r w:rsidRPr="00C13683">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w:t>
      </w:r>
      <w:r w:rsidR="003F3CC3" w:rsidRPr="00C13683">
        <w:t>resente caso, deberá entregar los comprobantes de pago</w:t>
      </w:r>
      <w:r w:rsidRPr="00C13683">
        <w:t>.</w:t>
      </w:r>
    </w:p>
    <w:p w14:paraId="54737C7E" w14:textId="77777777" w:rsidR="003F3CC3" w:rsidRPr="00C13683" w:rsidRDefault="003F3CC3" w:rsidP="006A2051">
      <w:pPr>
        <w:spacing w:after="0" w:line="360" w:lineRule="auto"/>
      </w:pPr>
    </w:p>
    <w:p w14:paraId="6B43CB9F" w14:textId="25409648" w:rsidR="003F3CC3" w:rsidRPr="00C13683" w:rsidRDefault="003F3CC3" w:rsidP="003F3CC3">
      <w:pPr>
        <w:tabs>
          <w:tab w:val="left" w:pos="4962"/>
        </w:tabs>
        <w:spacing w:after="0" w:line="360" w:lineRule="auto"/>
        <w:rPr>
          <w:rFonts w:eastAsia="Calibri" w:cs="Arial"/>
          <w:color w:val="000000"/>
          <w:lang w:eastAsia="en-US"/>
        </w:rPr>
      </w:pPr>
      <w:r w:rsidRPr="00C13683">
        <w:rPr>
          <w:rFonts w:eastAsia="Calibri" w:cs="Arial"/>
          <w:color w:val="000000"/>
          <w:lang w:eastAsia="en-US"/>
        </w:rPr>
        <w:lastRenderedPageBreak/>
        <w:t>Ahora bien, de la respuesta se considera que los documentos de pago contienen los siguientes datos:</w:t>
      </w:r>
    </w:p>
    <w:p w14:paraId="22E795D0" w14:textId="77777777" w:rsidR="003F3CC3" w:rsidRPr="00C13683" w:rsidRDefault="003F3CC3" w:rsidP="003F3CC3">
      <w:pPr>
        <w:tabs>
          <w:tab w:val="left" w:pos="4962"/>
        </w:tabs>
        <w:spacing w:after="0" w:line="360" w:lineRule="auto"/>
        <w:rPr>
          <w:rFonts w:eastAsia="Calibri" w:cs="Arial"/>
          <w:color w:val="000000"/>
          <w:lang w:eastAsia="en-US"/>
        </w:rPr>
      </w:pPr>
    </w:p>
    <w:p w14:paraId="296B1A91" w14:textId="77777777" w:rsidR="003F3CC3" w:rsidRPr="00C13683" w:rsidRDefault="003F3CC3" w:rsidP="003F3CC3">
      <w:pPr>
        <w:numPr>
          <w:ilvl w:val="0"/>
          <w:numId w:val="13"/>
        </w:numPr>
        <w:spacing w:after="0" w:line="360" w:lineRule="auto"/>
        <w:contextualSpacing/>
        <w:rPr>
          <w:rFonts w:eastAsia="Times New Roman" w:cs="Times New Roman"/>
          <w:color w:val="000000"/>
          <w:szCs w:val="24"/>
          <w:lang w:eastAsia="es-ES"/>
        </w:rPr>
      </w:pPr>
      <w:r w:rsidRPr="00C13683">
        <w:rPr>
          <w:rFonts w:eastAsia="Times New Roman" w:cs="Times New Roman"/>
          <w:color w:val="000000"/>
          <w:szCs w:val="24"/>
          <w:lang w:eastAsia="es-ES"/>
        </w:rPr>
        <w:t>Nombre de persona física o Razón social;</w:t>
      </w:r>
    </w:p>
    <w:p w14:paraId="0CE6E387" w14:textId="77777777" w:rsidR="003F3CC3" w:rsidRPr="00C13683" w:rsidRDefault="003F3CC3" w:rsidP="003F3CC3">
      <w:pPr>
        <w:numPr>
          <w:ilvl w:val="0"/>
          <w:numId w:val="13"/>
        </w:numPr>
        <w:spacing w:after="0" w:line="360" w:lineRule="auto"/>
        <w:contextualSpacing/>
        <w:rPr>
          <w:rFonts w:eastAsia="Times New Roman" w:cs="Times New Roman"/>
          <w:color w:val="000000"/>
          <w:szCs w:val="24"/>
          <w:lang w:eastAsia="es-ES"/>
        </w:rPr>
      </w:pPr>
      <w:r w:rsidRPr="00C13683">
        <w:rPr>
          <w:rFonts w:eastAsia="Times New Roman" w:cs="Times New Roman"/>
          <w:color w:val="000000"/>
          <w:szCs w:val="24"/>
          <w:lang w:eastAsia="es-ES"/>
        </w:rPr>
        <w:t>Número de cuenta bancaria o clave interbancaria;</w:t>
      </w:r>
    </w:p>
    <w:p w14:paraId="10B36406" w14:textId="77777777" w:rsidR="003F3CC3" w:rsidRPr="00C13683" w:rsidRDefault="003F3CC3" w:rsidP="003F3CC3">
      <w:pPr>
        <w:numPr>
          <w:ilvl w:val="0"/>
          <w:numId w:val="13"/>
        </w:numPr>
        <w:spacing w:after="0" w:line="360" w:lineRule="auto"/>
        <w:contextualSpacing/>
        <w:rPr>
          <w:rFonts w:eastAsia="Times New Roman" w:cs="Times New Roman"/>
          <w:color w:val="000000"/>
          <w:szCs w:val="24"/>
          <w:lang w:eastAsia="es-ES"/>
        </w:rPr>
      </w:pPr>
      <w:r w:rsidRPr="00C13683">
        <w:rPr>
          <w:rFonts w:eastAsia="Calibri" w:cs="Tahoma"/>
          <w:bCs/>
          <w:iCs/>
          <w:color w:val="000000"/>
          <w:szCs w:val="24"/>
          <w:lang w:val="es-ES" w:eastAsia="es-ES"/>
        </w:rPr>
        <w:t>Nombre de institución bancaria, y</w:t>
      </w:r>
    </w:p>
    <w:p w14:paraId="4D10F393" w14:textId="77777777" w:rsidR="003F3CC3" w:rsidRPr="00C13683" w:rsidRDefault="003F3CC3" w:rsidP="003F3CC3">
      <w:pPr>
        <w:widowControl w:val="0"/>
        <w:numPr>
          <w:ilvl w:val="0"/>
          <w:numId w:val="13"/>
        </w:numPr>
        <w:tabs>
          <w:tab w:val="center" w:pos="4522"/>
        </w:tabs>
        <w:spacing w:after="0" w:line="360" w:lineRule="auto"/>
        <w:contextualSpacing/>
        <w:rPr>
          <w:rFonts w:eastAsia="Calibri" w:cs="Tahoma"/>
          <w:color w:val="000000"/>
          <w:szCs w:val="24"/>
          <w:lang w:val="es-ES" w:eastAsia="es-ES"/>
        </w:rPr>
      </w:pPr>
      <w:r w:rsidRPr="00C13683">
        <w:rPr>
          <w:rFonts w:eastAsia="Calibri" w:cs="Tahoma"/>
          <w:color w:val="000000"/>
          <w:szCs w:val="24"/>
          <w:lang w:val="es-ES" w:eastAsia="es-ES"/>
        </w:rPr>
        <w:t>Registro Federal de Contribuyentes.</w:t>
      </w:r>
    </w:p>
    <w:p w14:paraId="6D7BD9F8" w14:textId="77777777" w:rsidR="003F3CC3" w:rsidRPr="00C13683" w:rsidRDefault="003F3CC3" w:rsidP="006A2051">
      <w:pPr>
        <w:spacing w:after="0" w:line="360" w:lineRule="auto"/>
      </w:pPr>
    </w:p>
    <w:p w14:paraId="077756E3" w14:textId="77777777" w:rsidR="003F3CC3" w:rsidRPr="00C13683" w:rsidRDefault="003F3CC3" w:rsidP="003F3CC3">
      <w:pPr>
        <w:spacing w:after="0" w:line="360" w:lineRule="auto"/>
        <w:ind w:right="142"/>
        <w:rPr>
          <w:color w:val="000000"/>
        </w:rPr>
      </w:pPr>
      <w:r w:rsidRPr="00C13683">
        <w:rPr>
          <w:color w:val="000000"/>
        </w:rPr>
        <w:t>El artículo 143, fracción I, de la Ley de Transparencia Local, establece que la información privada y los datos personales, concernientes a una persona física o jurídica colectiva identificada o identificable son confidenciales.</w:t>
      </w:r>
    </w:p>
    <w:p w14:paraId="084CF831" w14:textId="77777777" w:rsidR="003F3CC3" w:rsidRPr="00C13683" w:rsidRDefault="003F3CC3" w:rsidP="003F3CC3">
      <w:pPr>
        <w:spacing w:after="0" w:line="360" w:lineRule="auto"/>
        <w:ind w:right="142"/>
        <w:rPr>
          <w:color w:val="000000"/>
        </w:rPr>
      </w:pPr>
    </w:p>
    <w:p w14:paraId="0BDA2C59" w14:textId="77777777" w:rsidR="003F3CC3" w:rsidRPr="00C13683" w:rsidRDefault="003F3CC3" w:rsidP="003F3CC3">
      <w:pPr>
        <w:spacing w:after="0" w:line="360" w:lineRule="auto"/>
        <w:ind w:right="-28"/>
        <w:contextualSpacing/>
        <w:rPr>
          <w:rFonts w:eastAsia="Times New Roman" w:cs="Times New Roman"/>
          <w:color w:val="auto"/>
          <w:lang w:eastAsia="es-ES"/>
        </w:rPr>
      </w:pPr>
      <w:r w:rsidRPr="00C13683">
        <w:rPr>
          <w:rFonts w:eastAsia="Times New Roman" w:cs="Times New Roman"/>
          <w:color w:val="auto"/>
          <w:lang w:eastAsia="es-ES"/>
        </w:rPr>
        <w:t>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BE3FCD1" w14:textId="77777777" w:rsidR="003F3CC3" w:rsidRPr="00C13683" w:rsidRDefault="003F3CC3" w:rsidP="003F3CC3">
      <w:pPr>
        <w:spacing w:after="0" w:line="360" w:lineRule="auto"/>
        <w:ind w:right="-28"/>
        <w:contextualSpacing/>
        <w:rPr>
          <w:rFonts w:eastAsia="Times New Roman" w:cs="Times New Roman"/>
          <w:color w:val="auto"/>
          <w:lang w:eastAsia="es-ES"/>
        </w:rPr>
      </w:pPr>
    </w:p>
    <w:p w14:paraId="0466B765" w14:textId="77777777" w:rsidR="003F3CC3" w:rsidRPr="00C13683" w:rsidRDefault="003F3CC3" w:rsidP="003F3CC3">
      <w:pPr>
        <w:spacing w:after="0" w:line="360" w:lineRule="auto"/>
        <w:ind w:right="-28"/>
        <w:contextualSpacing/>
        <w:rPr>
          <w:rFonts w:eastAsia="Times New Roman" w:cs="Times New Roman"/>
          <w:color w:val="auto"/>
          <w:lang w:eastAsia="es-ES"/>
        </w:rPr>
      </w:pPr>
      <w:r w:rsidRPr="00C13683">
        <w:rPr>
          <w:rFonts w:eastAsia="Times New Roman" w:cs="Times New Roman"/>
          <w:color w:val="auto"/>
          <w:lang w:eastAsia="es-ES"/>
        </w:rPr>
        <w:t>En términos de lo expuesto, la documentación y aquellos datos que se consideren confidenciales, serán una limitante del derecho de acceso a la información, siempre y cuando:</w:t>
      </w:r>
    </w:p>
    <w:p w14:paraId="73964C85" w14:textId="77777777" w:rsidR="003F3CC3" w:rsidRPr="00C13683" w:rsidRDefault="003F3CC3" w:rsidP="003F3CC3">
      <w:pPr>
        <w:spacing w:after="0" w:line="360" w:lineRule="auto"/>
        <w:ind w:right="-28"/>
        <w:contextualSpacing/>
        <w:rPr>
          <w:rFonts w:eastAsia="Times New Roman" w:cs="Times New Roman"/>
          <w:color w:val="auto"/>
          <w:lang w:eastAsia="es-ES"/>
        </w:rPr>
      </w:pPr>
    </w:p>
    <w:p w14:paraId="6802784F" w14:textId="77777777" w:rsidR="003F3CC3" w:rsidRPr="00C13683" w:rsidRDefault="003F3CC3" w:rsidP="003F3CC3">
      <w:pPr>
        <w:numPr>
          <w:ilvl w:val="0"/>
          <w:numId w:val="15"/>
        </w:numPr>
        <w:spacing w:after="0" w:line="360" w:lineRule="auto"/>
        <w:ind w:right="-28"/>
        <w:contextualSpacing/>
        <w:rPr>
          <w:rFonts w:eastAsia="Times New Roman" w:cs="Times New Roman"/>
          <w:color w:val="auto"/>
          <w:szCs w:val="24"/>
          <w:lang w:eastAsia="es-ES"/>
        </w:rPr>
      </w:pPr>
      <w:r w:rsidRPr="00C13683">
        <w:rPr>
          <w:rFonts w:eastAsia="Times New Roman" w:cs="Times New Roman"/>
          <w:color w:val="auto"/>
          <w:szCs w:val="24"/>
          <w:lang w:eastAsia="es-ES"/>
        </w:rPr>
        <w:t xml:space="preserve">Se trate de datos personales o información privada; esto es, información concerniente a una persona física o jurídico colectiva y que esta sea identificada o identificable. </w:t>
      </w:r>
    </w:p>
    <w:p w14:paraId="41CE616A" w14:textId="77777777" w:rsidR="003F3CC3" w:rsidRPr="00C13683" w:rsidRDefault="003F3CC3" w:rsidP="003F3CC3">
      <w:pPr>
        <w:numPr>
          <w:ilvl w:val="0"/>
          <w:numId w:val="15"/>
        </w:numPr>
        <w:spacing w:after="0" w:line="360" w:lineRule="auto"/>
        <w:ind w:right="-28"/>
        <w:contextualSpacing/>
        <w:rPr>
          <w:rFonts w:eastAsia="Times New Roman" w:cs="Times New Roman"/>
          <w:color w:val="auto"/>
          <w:szCs w:val="24"/>
          <w:lang w:eastAsia="es-ES"/>
        </w:rPr>
      </w:pPr>
      <w:r w:rsidRPr="00C13683">
        <w:rPr>
          <w:rFonts w:eastAsia="Times New Roman" w:cs="Times New Roman"/>
          <w:color w:val="auto"/>
          <w:szCs w:val="24"/>
          <w:lang w:eastAsia="es-ES"/>
        </w:rPr>
        <w:lastRenderedPageBreak/>
        <w:t xml:space="preserve">Para la difusión de los datos, se requiera el consentimiento del titular. </w:t>
      </w:r>
    </w:p>
    <w:p w14:paraId="257BFCDF" w14:textId="77777777" w:rsidR="003F3CC3" w:rsidRPr="00C13683" w:rsidRDefault="003F3CC3" w:rsidP="003F3CC3">
      <w:pPr>
        <w:spacing w:after="0" w:line="360" w:lineRule="auto"/>
        <w:ind w:right="-28"/>
        <w:contextualSpacing/>
        <w:rPr>
          <w:rFonts w:eastAsia="Times New Roman" w:cs="Times New Roman"/>
          <w:color w:val="auto"/>
          <w:lang w:eastAsia="es-ES"/>
        </w:rPr>
      </w:pPr>
    </w:p>
    <w:p w14:paraId="20A0B6EE" w14:textId="77777777" w:rsidR="003F3CC3" w:rsidRPr="00C13683" w:rsidRDefault="003F3CC3" w:rsidP="003F3CC3">
      <w:pPr>
        <w:spacing w:after="0" w:line="360" w:lineRule="auto"/>
        <w:ind w:right="-28"/>
        <w:contextualSpacing/>
        <w:rPr>
          <w:rFonts w:eastAsia="Times New Roman" w:cs="Times New Roman"/>
          <w:color w:val="auto"/>
          <w:lang w:eastAsia="es-ES"/>
        </w:rPr>
      </w:pPr>
      <w:r w:rsidRPr="00C13683">
        <w:rPr>
          <w:rFonts w:eastAsia="Times New Roman" w:cs="Times New Roman"/>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096799D" w14:textId="77777777" w:rsidR="003F3CC3" w:rsidRPr="00C13683" w:rsidRDefault="003F3CC3" w:rsidP="003F3CC3">
      <w:pPr>
        <w:spacing w:after="0" w:line="360" w:lineRule="auto"/>
        <w:ind w:right="-28"/>
        <w:contextualSpacing/>
        <w:rPr>
          <w:rFonts w:eastAsia="Times New Roman" w:cs="Times New Roman"/>
          <w:color w:val="auto"/>
          <w:lang w:eastAsia="es-ES"/>
        </w:rPr>
      </w:pPr>
    </w:p>
    <w:p w14:paraId="37C45BDF" w14:textId="77777777" w:rsidR="003F3CC3" w:rsidRPr="00C13683" w:rsidRDefault="003F3CC3" w:rsidP="003F3CC3">
      <w:pPr>
        <w:spacing w:after="0" w:line="360" w:lineRule="auto"/>
        <w:ind w:right="-28"/>
        <w:contextualSpacing/>
        <w:rPr>
          <w:rFonts w:eastAsia="Times New Roman" w:cs="Times New Roman"/>
          <w:color w:val="auto"/>
          <w:lang w:eastAsia="es-ES"/>
        </w:rPr>
      </w:pPr>
      <w:r w:rsidRPr="00C13683">
        <w:rPr>
          <w:rFonts w:eastAsia="Times New Roman" w:cs="Times New Roman"/>
          <w:color w:val="auto"/>
          <w:lang w:eastAsia="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30539B4" w14:textId="77777777" w:rsidR="003F3CC3" w:rsidRPr="00C13683" w:rsidRDefault="003F3CC3" w:rsidP="003F3CC3">
      <w:pPr>
        <w:spacing w:after="0" w:line="360" w:lineRule="auto"/>
        <w:ind w:right="-28"/>
        <w:contextualSpacing/>
        <w:rPr>
          <w:rFonts w:eastAsia="Times New Roman" w:cs="Times New Roman"/>
          <w:color w:val="auto"/>
          <w:lang w:eastAsia="es-ES"/>
        </w:rPr>
      </w:pPr>
    </w:p>
    <w:p w14:paraId="726BD190" w14:textId="77777777" w:rsidR="00112494" w:rsidRPr="00C13683" w:rsidRDefault="00112494" w:rsidP="00112494">
      <w:pPr>
        <w:numPr>
          <w:ilvl w:val="0"/>
          <w:numId w:val="22"/>
        </w:numPr>
        <w:spacing w:after="0" w:line="360" w:lineRule="auto"/>
        <w:contextualSpacing/>
        <w:rPr>
          <w:rFonts w:eastAsia="Times New Roman" w:cs="Times New Roman"/>
          <w:b/>
          <w:color w:val="0D0D0D"/>
          <w:szCs w:val="24"/>
          <w:lang w:eastAsia="es-ES"/>
        </w:rPr>
      </w:pPr>
      <w:r w:rsidRPr="00C13683">
        <w:rPr>
          <w:rFonts w:eastAsia="Times New Roman" w:cs="Times New Roman"/>
          <w:b/>
          <w:color w:val="0D0D0D"/>
          <w:szCs w:val="24"/>
          <w:lang w:eastAsia="es-ES"/>
        </w:rPr>
        <w:t>Nombre de personas físicas empleados, proveedores, contratistas y que recibieron recursos públicos por cualquier motivo (beneficiarios).</w:t>
      </w:r>
    </w:p>
    <w:p w14:paraId="2D537AEC" w14:textId="77777777" w:rsidR="00112494" w:rsidRPr="00C13683" w:rsidRDefault="00112494" w:rsidP="00112494">
      <w:pPr>
        <w:spacing w:after="0" w:line="360" w:lineRule="auto"/>
        <w:rPr>
          <w:color w:val="0D0D0D"/>
        </w:rPr>
      </w:pPr>
    </w:p>
    <w:p w14:paraId="769F8214" w14:textId="77777777" w:rsidR="00112494" w:rsidRPr="00C13683" w:rsidRDefault="00112494" w:rsidP="00112494">
      <w:pPr>
        <w:spacing w:after="0" w:line="360" w:lineRule="auto"/>
        <w:rPr>
          <w:color w:val="0D0D0D"/>
        </w:rPr>
      </w:pPr>
      <w:r w:rsidRPr="00C13683">
        <w:rPr>
          <w:color w:val="0D0D0D"/>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604E2B01" w14:textId="77777777" w:rsidR="00112494" w:rsidRPr="00C13683" w:rsidRDefault="00112494" w:rsidP="00112494">
      <w:pPr>
        <w:spacing w:after="0" w:line="360" w:lineRule="auto"/>
        <w:rPr>
          <w:color w:val="0D0D0D"/>
        </w:rPr>
      </w:pPr>
    </w:p>
    <w:p w14:paraId="31D4BB60" w14:textId="77777777" w:rsidR="00112494" w:rsidRPr="00C13683" w:rsidRDefault="00112494" w:rsidP="00112494">
      <w:pPr>
        <w:spacing w:after="0" w:line="360" w:lineRule="auto"/>
        <w:rPr>
          <w:color w:val="0D0D0D"/>
        </w:rPr>
      </w:pPr>
      <w:r w:rsidRPr="00C13683">
        <w:rPr>
          <w:color w:val="0D0D0D"/>
        </w:rPr>
        <w:lastRenderedPageBreak/>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49252EF0" w14:textId="77777777" w:rsidR="00112494" w:rsidRPr="00C13683" w:rsidRDefault="00112494" w:rsidP="00112494">
      <w:pPr>
        <w:spacing w:after="0" w:line="360" w:lineRule="auto"/>
        <w:rPr>
          <w:color w:val="0D0D0D"/>
        </w:rPr>
      </w:pPr>
    </w:p>
    <w:p w14:paraId="32867798" w14:textId="77777777" w:rsidR="00112494" w:rsidRPr="00C13683" w:rsidRDefault="00112494" w:rsidP="00112494">
      <w:pPr>
        <w:spacing w:after="0" w:line="360" w:lineRule="auto"/>
        <w:rPr>
          <w:color w:val="0D0D0D"/>
        </w:rPr>
      </w:pPr>
      <w:r w:rsidRPr="00C13683">
        <w:rPr>
          <w:color w:val="0D0D0D"/>
        </w:rPr>
        <w:t>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el nombre del servidor público; así como, el Padrón de proveedores y contratistas y el listado de personas físicas o jurídico-colectivas, que por cualquier motivo se les asignaron recursos públicos.</w:t>
      </w:r>
    </w:p>
    <w:p w14:paraId="6BA6C3DB" w14:textId="77777777" w:rsidR="00112494" w:rsidRPr="00C13683" w:rsidRDefault="00112494" w:rsidP="00112494">
      <w:pPr>
        <w:spacing w:after="0" w:line="360" w:lineRule="auto"/>
        <w:rPr>
          <w:color w:val="0D0D0D"/>
        </w:rPr>
      </w:pPr>
    </w:p>
    <w:p w14:paraId="77B486E4" w14:textId="77777777" w:rsidR="00112494" w:rsidRPr="00C13683" w:rsidRDefault="00112494" w:rsidP="00112494">
      <w:pPr>
        <w:spacing w:after="0" w:line="360" w:lineRule="auto"/>
        <w:rPr>
          <w:color w:val="0D0D0D"/>
        </w:rPr>
      </w:pPr>
      <w:r w:rsidRPr="00C13683">
        <w:rPr>
          <w:color w:val="0D0D0D"/>
        </w:rPr>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63A7CD0A" w14:textId="77777777" w:rsidR="00112494" w:rsidRPr="00C13683" w:rsidRDefault="00112494" w:rsidP="00112494">
      <w:pPr>
        <w:spacing w:after="0" w:line="360" w:lineRule="auto"/>
        <w:rPr>
          <w:color w:val="0D0D0D"/>
        </w:rPr>
      </w:pPr>
    </w:p>
    <w:p w14:paraId="3771EE59" w14:textId="77777777" w:rsidR="00112494" w:rsidRPr="00C13683" w:rsidRDefault="00112494" w:rsidP="00112494">
      <w:pPr>
        <w:spacing w:after="0" w:line="360" w:lineRule="auto"/>
        <w:jc w:val="center"/>
        <w:rPr>
          <w:color w:val="0D0D0D"/>
        </w:rPr>
      </w:pPr>
      <w:r w:rsidRPr="00C13683">
        <w:rPr>
          <w:noProof/>
        </w:rPr>
        <w:lastRenderedPageBreak/>
        <w:drawing>
          <wp:inline distT="0" distB="0" distL="0" distR="0" wp14:anchorId="7030A038" wp14:editId="147F6BAC">
            <wp:extent cx="5353050" cy="1123950"/>
            <wp:effectExtent l="0" t="0" r="0" b="0"/>
            <wp:docPr id="5"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4538"/>
                    <a:stretch>
                      <a:fillRect/>
                    </a:stretch>
                  </pic:blipFill>
                  <pic:spPr bwMode="auto">
                    <a:xfrm>
                      <a:off x="0" y="0"/>
                      <a:ext cx="5353050" cy="1123950"/>
                    </a:xfrm>
                    <a:prstGeom prst="rect">
                      <a:avLst/>
                    </a:prstGeom>
                    <a:noFill/>
                    <a:ln>
                      <a:noFill/>
                    </a:ln>
                  </pic:spPr>
                </pic:pic>
              </a:graphicData>
            </a:graphic>
          </wp:inline>
        </w:drawing>
      </w:r>
    </w:p>
    <w:p w14:paraId="28D18D85" w14:textId="77777777" w:rsidR="00112494" w:rsidRPr="00C13683" w:rsidRDefault="00112494" w:rsidP="00112494">
      <w:pPr>
        <w:spacing w:after="0" w:line="360" w:lineRule="auto"/>
        <w:rPr>
          <w:color w:val="0D0D0D"/>
        </w:rPr>
      </w:pPr>
    </w:p>
    <w:p w14:paraId="0A2F0235" w14:textId="77777777" w:rsidR="00112494" w:rsidRPr="00C13683" w:rsidRDefault="00112494" w:rsidP="00112494">
      <w:pPr>
        <w:spacing w:after="0" w:line="360" w:lineRule="auto"/>
        <w:jc w:val="center"/>
        <w:rPr>
          <w:color w:val="0D0D0D"/>
        </w:rPr>
      </w:pPr>
      <w:r w:rsidRPr="00C13683">
        <w:rPr>
          <w:noProof/>
        </w:rPr>
        <w:drawing>
          <wp:inline distT="0" distB="0" distL="0" distR="0" wp14:anchorId="77526B8A" wp14:editId="2FF486F8">
            <wp:extent cx="5486400" cy="714375"/>
            <wp:effectExtent l="0" t="0" r="0"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b="84505"/>
                    <a:stretch>
                      <a:fillRect/>
                    </a:stretch>
                  </pic:blipFill>
                  <pic:spPr bwMode="auto">
                    <a:xfrm>
                      <a:off x="0" y="0"/>
                      <a:ext cx="5486400" cy="714375"/>
                    </a:xfrm>
                    <a:prstGeom prst="rect">
                      <a:avLst/>
                    </a:prstGeom>
                    <a:noFill/>
                    <a:ln>
                      <a:noFill/>
                    </a:ln>
                  </pic:spPr>
                </pic:pic>
              </a:graphicData>
            </a:graphic>
          </wp:inline>
        </w:drawing>
      </w:r>
    </w:p>
    <w:p w14:paraId="48746B64" w14:textId="77777777" w:rsidR="00112494" w:rsidRPr="00C13683" w:rsidRDefault="00112494" w:rsidP="00112494">
      <w:pPr>
        <w:spacing w:after="0" w:line="360" w:lineRule="auto"/>
        <w:jc w:val="center"/>
        <w:rPr>
          <w:color w:val="0D0D0D"/>
        </w:rPr>
      </w:pPr>
      <w:r w:rsidRPr="00C13683">
        <w:rPr>
          <w:noProof/>
        </w:rPr>
        <w:drawing>
          <wp:inline distT="0" distB="0" distL="0" distR="0" wp14:anchorId="52EA990E" wp14:editId="0CFE9A70">
            <wp:extent cx="5400675" cy="466725"/>
            <wp:effectExtent l="0" t="0" r="9525" b="9525"/>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t="89838" b="-38"/>
                    <a:stretch>
                      <a:fillRect/>
                    </a:stretch>
                  </pic:blipFill>
                  <pic:spPr bwMode="auto">
                    <a:xfrm>
                      <a:off x="0" y="0"/>
                      <a:ext cx="5400675" cy="466725"/>
                    </a:xfrm>
                    <a:prstGeom prst="rect">
                      <a:avLst/>
                    </a:prstGeom>
                    <a:noFill/>
                    <a:ln>
                      <a:noFill/>
                    </a:ln>
                  </pic:spPr>
                </pic:pic>
              </a:graphicData>
            </a:graphic>
          </wp:inline>
        </w:drawing>
      </w:r>
    </w:p>
    <w:p w14:paraId="3548C7C0" w14:textId="77777777" w:rsidR="00112494" w:rsidRPr="00C13683" w:rsidRDefault="00112494" w:rsidP="00112494">
      <w:pPr>
        <w:spacing w:after="0" w:line="360" w:lineRule="auto"/>
        <w:rPr>
          <w:color w:val="0D0D0D"/>
        </w:rPr>
      </w:pPr>
    </w:p>
    <w:p w14:paraId="4423E438" w14:textId="77777777" w:rsidR="00112494" w:rsidRPr="00C13683" w:rsidRDefault="00112494" w:rsidP="00112494">
      <w:pPr>
        <w:spacing w:after="0" w:line="360" w:lineRule="auto"/>
        <w:jc w:val="center"/>
        <w:rPr>
          <w:color w:val="0D0D0D"/>
        </w:rPr>
      </w:pPr>
      <w:r w:rsidRPr="00C13683">
        <w:rPr>
          <w:noProof/>
        </w:rPr>
        <w:drawing>
          <wp:inline distT="0" distB="0" distL="0" distR="0" wp14:anchorId="1E7760D4" wp14:editId="64CA69F3">
            <wp:extent cx="5372100" cy="1590675"/>
            <wp:effectExtent l="0" t="0" r="0" b="9525"/>
            <wp:docPr id="8"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1590675"/>
                    </a:xfrm>
                    <a:prstGeom prst="rect">
                      <a:avLst/>
                    </a:prstGeom>
                    <a:noFill/>
                    <a:ln>
                      <a:noFill/>
                    </a:ln>
                  </pic:spPr>
                </pic:pic>
              </a:graphicData>
            </a:graphic>
          </wp:inline>
        </w:drawing>
      </w:r>
    </w:p>
    <w:p w14:paraId="2FF71F85" w14:textId="77777777" w:rsidR="00112494" w:rsidRPr="00C13683" w:rsidRDefault="00112494" w:rsidP="00112494">
      <w:pPr>
        <w:spacing w:after="0" w:line="360" w:lineRule="auto"/>
        <w:rPr>
          <w:color w:val="0D0D0D"/>
        </w:rPr>
      </w:pPr>
      <w:r w:rsidRPr="00C13683">
        <w:rPr>
          <w:color w:val="0D0D0D"/>
        </w:rPr>
        <w:t xml:space="preserve"> </w:t>
      </w:r>
    </w:p>
    <w:p w14:paraId="36810FBA" w14:textId="77777777" w:rsidR="00112494" w:rsidRPr="00C13683" w:rsidRDefault="00112494" w:rsidP="00112494">
      <w:pPr>
        <w:spacing w:after="0" w:line="360" w:lineRule="auto"/>
        <w:rPr>
          <w:color w:val="0D0D0D"/>
        </w:rPr>
      </w:pPr>
      <w:r w:rsidRPr="00C13683">
        <w:rPr>
          <w:color w:val="0D0D0D"/>
        </w:rPr>
        <w:t>Por lo tanto, la Ley de Transparencia y Acceso a la Información Pública del Estado de México y Municipios, considera que los datos de servidores públicos y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10452751" w14:textId="77777777" w:rsidR="00112494" w:rsidRPr="00C13683" w:rsidRDefault="00112494" w:rsidP="00112494">
      <w:pPr>
        <w:spacing w:after="0" w:line="360" w:lineRule="auto"/>
        <w:rPr>
          <w:color w:val="0D0D0D"/>
        </w:rPr>
      </w:pPr>
    </w:p>
    <w:p w14:paraId="4802129C" w14:textId="77777777" w:rsidR="00112494" w:rsidRPr="00C13683" w:rsidRDefault="00112494" w:rsidP="00112494">
      <w:pPr>
        <w:spacing w:after="0" w:line="360" w:lineRule="auto"/>
        <w:rPr>
          <w:color w:val="0D0D0D"/>
        </w:rPr>
      </w:pPr>
      <w:r w:rsidRPr="00C13683">
        <w:rPr>
          <w:color w:val="0D0D0D"/>
        </w:rPr>
        <w:lastRenderedPageBreak/>
        <w:t>Por lo que, se considera que no procede la clasificación del nombre de los proveedores, contratistas, empleados y personas que recibieron recursos públicos (beneficiarios), en términos del artículo 143, fracción I de la Ley de Transparencia y Acceso a la Información Pública del Estado de México y Municipios.</w:t>
      </w:r>
    </w:p>
    <w:p w14:paraId="1290CFC1" w14:textId="77777777" w:rsidR="00112494" w:rsidRPr="00C13683" w:rsidRDefault="00112494" w:rsidP="00112494">
      <w:pPr>
        <w:spacing w:after="0" w:line="360" w:lineRule="auto"/>
        <w:rPr>
          <w:color w:val="0D0D0D"/>
        </w:rPr>
      </w:pPr>
    </w:p>
    <w:p w14:paraId="587ED3DD" w14:textId="77777777" w:rsidR="00112494" w:rsidRPr="00C13683" w:rsidRDefault="00112494" w:rsidP="00112494">
      <w:pPr>
        <w:numPr>
          <w:ilvl w:val="0"/>
          <w:numId w:val="23"/>
        </w:numPr>
        <w:spacing w:after="0" w:line="360" w:lineRule="auto"/>
        <w:contextualSpacing/>
        <w:rPr>
          <w:rFonts w:eastAsia="Times New Roman" w:cs="Times New Roman"/>
          <w:b/>
          <w:color w:val="0D0D0D"/>
          <w:szCs w:val="24"/>
          <w:lang w:eastAsia="es-ES"/>
        </w:rPr>
      </w:pPr>
      <w:r w:rsidRPr="00C13683">
        <w:rPr>
          <w:rFonts w:eastAsia="Times New Roman" w:cs="Times New Roman"/>
          <w:b/>
          <w:color w:val="0D0D0D"/>
          <w:szCs w:val="24"/>
          <w:lang w:eastAsia="es-ES"/>
        </w:rPr>
        <w:t>Cuenta bancaria y clave interbancaria de personas físicas o morales (particulares, servidores públicos, proveedores, contratistas, entre otros)</w:t>
      </w:r>
    </w:p>
    <w:p w14:paraId="14929A55" w14:textId="77777777" w:rsidR="00112494" w:rsidRPr="00C13683" w:rsidRDefault="00112494" w:rsidP="00112494">
      <w:pPr>
        <w:spacing w:after="0" w:line="360" w:lineRule="auto"/>
        <w:rPr>
          <w:color w:val="0D0D0D"/>
        </w:rPr>
      </w:pPr>
    </w:p>
    <w:p w14:paraId="57376893" w14:textId="77777777" w:rsidR="00112494" w:rsidRPr="00C13683" w:rsidRDefault="00112494" w:rsidP="00112494">
      <w:pPr>
        <w:spacing w:after="0" w:line="360" w:lineRule="auto"/>
        <w:rPr>
          <w:color w:val="0D0D0D"/>
        </w:rPr>
      </w:pPr>
      <w:r w:rsidRPr="00C13683">
        <w:rPr>
          <w:color w:val="0D0D0D"/>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3B3A400" w14:textId="77777777" w:rsidR="00112494" w:rsidRPr="00C13683" w:rsidRDefault="00112494" w:rsidP="00112494">
      <w:pPr>
        <w:spacing w:after="0" w:line="360" w:lineRule="auto"/>
        <w:rPr>
          <w:color w:val="0D0D0D"/>
        </w:rPr>
      </w:pPr>
      <w:r w:rsidRPr="00C13683">
        <w:rPr>
          <w:color w:val="0D0D0D"/>
        </w:rPr>
        <w:t xml:space="preserve"> </w:t>
      </w:r>
    </w:p>
    <w:p w14:paraId="1DA74A40" w14:textId="77777777" w:rsidR="00112494" w:rsidRPr="00C13683" w:rsidRDefault="00112494" w:rsidP="00112494">
      <w:pPr>
        <w:spacing w:after="0" w:line="360" w:lineRule="auto"/>
        <w:rPr>
          <w:color w:val="0D0D0D"/>
        </w:rPr>
      </w:pPr>
      <w:r w:rsidRPr="00C13683">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35D84035" w14:textId="77777777" w:rsidR="00112494" w:rsidRPr="00C13683" w:rsidRDefault="00112494" w:rsidP="00112494">
      <w:pPr>
        <w:spacing w:after="0" w:line="360" w:lineRule="auto"/>
        <w:rPr>
          <w:b/>
          <w:bCs/>
          <w:color w:val="0D0D0D"/>
        </w:rPr>
      </w:pPr>
    </w:p>
    <w:p w14:paraId="44240B9E" w14:textId="77777777" w:rsidR="00112494" w:rsidRPr="00C13683" w:rsidRDefault="00112494" w:rsidP="00112494">
      <w:pPr>
        <w:spacing w:after="0" w:line="360" w:lineRule="auto"/>
        <w:ind w:left="720"/>
        <w:rPr>
          <w:i/>
          <w:color w:val="0D0D0D"/>
          <w:sz w:val="20"/>
        </w:rPr>
      </w:pPr>
      <w:r w:rsidRPr="00C13683">
        <w:rPr>
          <w:b/>
          <w:bCs/>
          <w:i/>
          <w:color w:val="0D0D0D"/>
          <w:sz w:val="20"/>
        </w:rPr>
        <w:t>“Cuentas bancarias y/o CLABE interbancaria de personas físicas y morales privadas.</w:t>
      </w:r>
      <w:r w:rsidRPr="00C13683">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w:t>
      </w:r>
      <w:r w:rsidRPr="00C13683">
        <w:rPr>
          <w:i/>
          <w:color w:val="0D0D0D"/>
          <w:sz w:val="20"/>
        </w:rPr>
        <w:lastRenderedPageBreak/>
        <w:t>fundamento en los artículos 116 de la Ley General de Transparencia y Acceso a la Información Pública y 113 de la Ley Federal de Transparencia y Acceso a la Información Pública.”</w:t>
      </w:r>
    </w:p>
    <w:p w14:paraId="35DE887C" w14:textId="77777777" w:rsidR="00112494" w:rsidRPr="00C13683" w:rsidRDefault="00112494" w:rsidP="00112494">
      <w:pPr>
        <w:spacing w:after="0" w:line="360" w:lineRule="auto"/>
        <w:rPr>
          <w:color w:val="0D0D0D"/>
        </w:rPr>
      </w:pPr>
      <w:r w:rsidRPr="00C13683">
        <w:rPr>
          <w:color w:val="0D0D0D"/>
        </w:rPr>
        <w:t xml:space="preserve"> </w:t>
      </w:r>
    </w:p>
    <w:p w14:paraId="3526DFF4" w14:textId="77777777" w:rsidR="00112494" w:rsidRPr="00C13683" w:rsidRDefault="00112494" w:rsidP="00112494">
      <w:pPr>
        <w:spacing w:after="0" w:line="360" w:lineRule="auto"/>
        <w:rPr>
          <w:color w:val="0D0D0D"/>
        </w:rPr>
      </w:pPr>
      <w:r w:rsidRPr="00C13683">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2F6A647D" w14:textId="77777777" w:rsidR="00112494" w:rsidRPr="00C13683" w:rsidRDefault="00112494" w:rsidP="00112494">
      <w:pPr>
        <w:spacing w:after="0" w:line="360" w:lineRule="auto"/>
        <w:rPr>
          <w:color w:val="0D0D0D"/>
        </w:rPr>
      </w:pPr>
    </w:p>
    <w:p w14:paraId="1F9DE8E0" w14:textId="77777777" w:rsidR="00112494" w:rsidRPr="00C13683" w:rsidRDefault="00112494" w:rsidP="00112494">
      <w:pPr>
        <w:numPr>
          <w:ilvl w:val="0"/>
          <w:numId w:val="23"/>
        </w:numPr>
        <w:spacing w:after="0" w:line="360" w:lineRule="auto"/>
        <w:contextualSpacing/>
        <w:rPr>
          <w:rFonts w:eastAsia="Times New Roman" w:cs="Times New Roman"/>
          <w:b/>
          <w:color w:val="0D0D0D"/>
          <w:szCs w:val="24"/>
          <w:lang w:eastAsia="es-ES"/>
        </w:rPr>
      </w:pPr>
      <w:r w:rsidRPr="00C13683">
        <w:rPr>
          <w:rFonts w:eastAsia="Times New Roman" w:cs="Times New Roman"/>
          <w:b/>
          <w:color w:val="0D0D0D"/>
          <w:szCs w:val="24"/>
          <w:lang w:eastAsia="es-ES"/>
        </w:rPr>
        <w:t>Cuenta bancaria y clave interbancaria de instituciones públicas</w:t>
      </w:r>
    </w:p>
    <w:p w14:paraId="07FBAE92" w14:textId="77777777" w:rsidR="00112494" w:rsidRPr="00C13683" w:rsidRDefault="00112494" w:rsidP="00112494">
      <w:pPr>
        <w:spacing w:after="0" w:line="360" w:lineRule="auto"/>
        <w:ind w:right="-28"/>
      </w:pPr>
    </w:p>
    <w:p w14:paraId="5D64DEAB" w14:textId="77777777" w:rsidR="00112494" w:rsidRPr="00C13683" w:rsidRDefault="00112494" w:rsidP="00112494">
      <w:pPr>
        <w:spacing w:line="360" w:lineRule="auto"/>
        <w:contextualSpacing/>
        <w:rPr>
          <w:rFonts w:eastAsia="Calibri" w:cs="Tahoma"/>
          <w:bCs/>
          <w:lang w:eastAsia="es-ES"/>
        </w:rPr>
      </w:pPr>
      <w:r w:rsidRPr="00C13683">
        <w:rPr>
          <w:rFonts w:eastAsia="Calibri" w:cs="Tahoma"/>
          <w:bCs/>
          <w:lang w:eastAsia="es-ES"/>
        </w:rPr>
        <w:t>En relación con el número de cuenta de instituciones públicas,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01BF38D7" w14:textId="77777777" w:rsidR="00112494" w:rsidRPr="00C13683" w:rsidRDefault="00112494" w:rsidP="00112494">
      <w:pPr>
        <w:spacing w:line="360" w:lineRule="auto"/>
        <w:contextualSpacing/>
        <w:rPr>
          <w:rFonts w:eastAsia="Calibri" w:cs="Tahoma"/>
          <w:bCs/>
          <w:i/>
          <w:lang w:eastAsia="es-ES"/>
        </w:rPr>
      </w:pPr>
    </w:p>
    <w:p w14:paraId="1FF4471B" w14:textId="77777777" w:rsidR="00112494" w:rsidRPr="00C13683" w:rsidRDefault="00112494" w:rsidP="00112494">
      <w:pPr>
        <w:spacing w:after="0" w:line="360" w:lineRule="auto"/>
        <w:ind w:left="567" w:right="567"/>
        <w:contextualSpacing/>
        <w:rPr>
          <w:rFonts w:eastAsia="Calibri" w:cs="Tahoma"/>
          <w:bCs/>
          <w:i/>
          <w:sz w:val="20"/>
          <w:szCs w:val="20"/>
          <w:lang w:eastAsia="es-ES"/>
        </w:rPr>
      </w:pPr>
      <w:r w:rsidRPr="00C13683">
        <w:rPr>
          <w:rFonts w:eastAsia="Calibri" w:cs="Tahoma"/>
          <w:b/>
          <w:bCs/>
          <w:i/>
          <w:sz w:val="20"/>
          <w:szCs w:val="20"/>
          <w:lang w:eastAsia="es-ES"/>
        </w:rPr>
        <w:t>“Cuentas bancarias y/o CLABE interbancaria de sujetos obligados que reciben y/o transfieren recursos públicos, son información pública.</w:t>
      </w:r>
      <w:r w:rsidRPr="00C13683">
        <w:rPr>
          <w:rFonts w:eastAsia="Calibri" w:cs="Tahoma"/>
          <w:bCs/>
          <w:i/>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C13683">
        <w:rPr>
          <w:rFonts w:eastAsia="Calibri" w:cs="Tahoma"/>
          <w:bCs/>
          <w:i/>
          <w:sz w:val="20"/>
          <w:szCs w:val="20"/>
          <w:u w:val="single"/>
          <w:lang w:eastAsia="es-ES"/>
        </w:rPr>
        <w:t>razón por la cual no pueden considerarse como información clasificada.</w:t>
      </w:r>
      <w:r w:rsidRPr="00C13683">
        <w:rPr>
          <w:rFonts w:eastAsia="Calibri" w:cs="Tahoma"/>
          <w:bCs/>
          <w:i/>
          <w:sz w:val="20"/>
          <w:szCs w:val="20"/>
          <w:lang w:eastAsia="es-ES"/>
        </w:rPr>
        <w:t>”</w:t>
      </w:r>
    </w:p>
    <w:p w14:paraId="795896B9" w14:textId="77777777" w:rsidR="00112494" w:rsidRPr="00C13683" w:rsidRDefault="00112494" w:rsidP="00112494">
      <w:pPr>
        <w:spacing w:line="360" w:lineRule="auto"/>
        <w:contextualSpacing/>
        <w:rPr>
          <w:rFonts w:eastAsia="Calibri" w:cs="Tahoma"/>
          <w:b/>
          <w:bCs/>
          <w:lang w:eastAsia="es-ES"/>
        </w:rPr>
      </w:pPr>
    </w:p>
    <w:p w14:paraId="569B25BA" w14:textId="77777777" w:rsidR="00112494" w:rsidRPr="00C13683" w:rsidRDefault="00112494" w:rsidP="00112494">
      <w:pPr>
        <w:spacing w:line="360" w:lineRule="auto"/>
        <w:contextualSpacing/>
        <w:rPr>
          <w:rFonts w:eastAsia="Calibri" w:cs="Tahoma"/>
          <w:bCs/>
          <w:lang w:eastAsia="es-ES"/>
        </w:rPr>
      </w:pPr>
      <w:r w:rsidRPr="00C13683">
        <w:rPr>
          <w:rFonts w:eastAsia="Calibri" w:cs="Tahoma"/>
          <w:bCs/>
          <w:lang w:eastAsia="es-ES"/>
        </w:rPr>
        <w:lastRenderedPageBreak/>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1903276A" w14:textId="77777777" w:rsidR="00112494" w:rsidRPr="00C13683" w:rsidRDefault="00112494" w:rsidP="00112494">
      <w:pPr>
        <w:spacing w:after="0" w:line="360" w:lineRule="auto"/>
        <w:rPr>
          <w:color w:val="000000"/>
        </w:rPr>
      </w:pPr>
    </w:p>
    <w:p w14:paraId="290BD4FE" w14:textId="77777777" w:rsidR="00112494" w:rsidRPr="00C13683" w:rsidRDefault="00112494" w:rsidP="00112494">
      <w:pPr>
        <w:numPr>
          <w:ilvl w:val="0"/>
          <w:numId w:val="23"/>
        </w:numPr>
        <w:spacing w:after="0" w:line="360" w:lineRule="auto"/>
        <w:contextualSpacing/>
        <w:rPr>
          <w:b/>
          <w:color w:val="000000"/>
        </w:rPr>
      </w:pPr>
      <w:r w:rsidRPr="00C13683">
        <w:rPr>
          <w:b/>
          <w:color w:val="000000"/>
        </w:rPr>
        <w:t xml:space="preserve">Registro Federal de Contribuyentes </w:t>
      </w:r>
    </w:p>
    <w:p w14:paraId="45F6D2B0" w14:textId="77777777" w:rsidR="00112494" w:rsidRPr="00C13683" w:rsidRDefault="00112494" w:rsidP="00112494">
      <w:pPr>
        <w:spacing w:after="0" w:line="360" w:lineRule="auto"/>
        <w:rPr>
          <w:color w:val="000000"/>
        </w:rPr>
      </w:pPr>
    </w:p>
    <w:p w14:paraId="28FD8F8B" w14:textId="77777777" w:rsidR="00112494" w:rsidRPr="00C13683" w:rsidRDefault="00112494" w:rsidP="00112494">
      <w:pPr>
        <w:spacing w:after="0" w:line="360" w:lineRule="auto"/>
        <w:rPr>
          <w:b/>
          <w:color w:val="000000"/>
        </w:rPr>
      </w:pPr>
      <w:r w:rsidRPr="00C13683">
        <w:rPr>
          <w:b/>
          <w:color w:val="000000"/>
        </w:rPr>
        <w:t>Persona física (servidor público, proveedor o contratista)</w:t>
      </w:r>
    </w:p>
    <w:p w14:paraId="227886AA" w14:textId="77777777" w:rsidR="00112494" w:rsidRPr="00C13683" w:rsidRDefault="00112494" w:rsidP="00112494">
      <w:pPr>
        <w:spacing w:after="0" w:line="360" w:lineRule="auto"/>
        <w:rPr>
          <w:color w:val="000000"/>
        </w:rPr>
      </w:pPr>
    </w:p>
    <w:p w14:paraId="04D2DFF5" w14:textId="77777777" w:rsidR="00112494" w:rsidRPr="00C13683" w:rsidRDefault="00112494" w:rsidP="00112494">
      <w:pPr>
        <w:spacing w:after="0" w:line="360" w:lineRule="auto"/>
        <w:rPr>
          <w:color w:val="000000"/>
        </w:rPr>
      </w:pPr>
      <w:r w:rsidRPr="00C13683">
        <w:rPr>
          <w:color w:val="000000"/>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28E67653" w14:textId="77777777" w:rsidR="00112494" w:rsidRPr="00C13683" w:rsidRDefault="00112494" w:rsidP="00112494">
      <w:pPr>
        <w:spacing w:after="0" w:line="360" w:lineRule="auto"/>
        <w:rPr>
          <w:color w:val="000000"/>
        </w:rPr>
      </w:pPr>
    </w:p>
    <w:p w14:paraId="2C560A19" w14:textId="77777777" w:rsidR="00112494" w:rsidRPr="00C13683" w:rsidRDefault="00112494" w:rsidP="00112494">
      <w:pPr>
        <w:spacing w:after="0" w:line="360" w:lineRule="auto"/>
        <w:rPr>
          <w:color w:val="000000"/>
        </w:rPr>
      </w:pPr>
      <w:r w:rsidRPr="00C13683">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7BCE208B" w14:textId="77777777" w:rsidR="00112494" w:rsidRPr="00C13683" w:rsidRDefault="00112494" w:rsidP="00112494">
      <w:pPr>
        <w:spacing w:after="0" w:line="360" w:lineRule="auto"/>
        <w:rPr>
          <w:color w:val="000000"/>
        </w:rPr>
      </w:pPr>
    </w:p>
    <w:p w14:paraId="2DC36EEE" w14:textId="77777777" w:rsidR="00112494" w:rsidRPr="00C13683" w:rsidRDefault="00112494" w:rsidP="00112494">
      <w:pPr>
        <w:spacing w:after="0" w:line="360" w:lineRule="auto"/>
        <w:rPr>
          <w:color w:val="000000"/>
        </w:rPr>
      </w:pPr>
      <w:r w:rsidRPr="00C13683">
        <w:rPr>
          <w:color w:val="000000"/>
        </w:rPr>
        <w:t xml:space="preserve">En ese contexto, entregar el Registro Federal de Contribuyentes aún de personas físicas cuando son proveedores de instituciones públicas, propiciaría la rendición de cuentas, al </w:t>
      </w:r>
      <w:r w:rsidRPr="00C13683">
        <w:rPr>
          <w:color w:val="000000"/>
        </w:rPr>
        <w:lastRenderedPageBreak/>
        <w:t>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D8372CF" w14:textId="77777777" w:rsidR="00112494" w:rsidRPr="00C13683" w:rsidRDefault="00112494" w:rsidP="00112494">
      <w:pPr>
        <w:spacing w:after="0" w:line="360" w:lineRule="auto"/>
        <w:rPr>
          <w:color w:val="000000"/>
        </w:rPr>
      </w:pPr>
    </w:p>
    <w:p w14:paraId="76D83A93" w14:textId="77777777" w:rsidR="00112494" w:rsidRPr="00C13683" w:rsidRDefault="00112494" w:rsidP="00112494">
      <w:pPr>
        <w:tabs>
          <w:tab w:val="center" w:pos="4522"/>
        </w:tabs>
        <w:spacing w:after="0" w:line="360" w:lineRule="auto"/>
        <w:rPr>
          <w:color w:val="000000"/>
        </w:rPr>
      </w:pPr>
      <w:r w:rsidRPr="00C13683">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604C0F43" w14:textId="77777777" w:rsidR="00112494" w:rsidRPr="00C13683" w:rsidRDefault="00112494" w:rsidP="00112494">
      <w:pPr>
        <w:tabs>
          <w:tab w:val="center" w:pos="4522"/>
        </w:tabs>
        <w:spacing w:after="0" w:line="360" w:lineRule="auto"/>
        <w:rPr>
          <w:color w:val="000000"/>
        </w:rPr>
      </w:pPr>
    </w:p>
    <w:p w14:paraId="60F272E7" w14:textId="77777777" w:rsidR="00112494" w:rsidRPr="00C13683" w:rsidRDefault="00112494" w:rsidP="00112494">
      <w:pPr>
        <w:tabs>
          <w:tab w:val="center" w:pos="4522"/>
        </w:tabs>
        <w:spacing w:after="0" w:line="360" w:lineRule="auto"/>
        <w:ind w:left="567" w:right="567"/>
        <w:rPr>
          <w:i/>
          <w:color w:val="000000"/>
          <w:sz w:val="20"/>
          <w:szCs w:val="20"/>
        </w:rPr>
      </w:pPr>
      <w:r w:rsidRPr="00C13683">
        <w:rPr>
          <w:b/>
          <w:i/>
          <w:color w:val="000000"/>
          <w:sz w:val="20"/>
          <w:szCs w:val="20"/>
        </w:rPr>
        <w:t xml:space="preserve">“Registro Federal de Contribuyentes (RFC) de personas físicas proveedores o contratistas. </w:t>
      </w:r>
      <w:r w:rsidRPr="00C13683">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02EE188" w14:textId="77777777" w:rsidR="00112494" w:rsidRPr="00C13683" w:rsidRDefault="00112494" w:rsidP="00112494">
      <w:pPr>
        <w:tabs>
          <w:tab w:val="center" w:pos="4522"/>
        </w:tabs>
        <w:spacing w:after="0" w:line="360" w:lineRule="auto"/>
        <w:rPr>
          <w:color w:val="000000"/>
        </w:rPr>
      </w:pPr>
    </w:p>
    <w:p w14:paraId="318F018A" w14:textId="77777777" w:rsidR="00112494" w:rsidRPr="00C13683" w:rsidRDefault="00112494" w:rsidP="00112494">
      <w:pPr>
        <w:tabs>
          <w:tab w:val="center" w:pos="4522"/>
        </w:tabs>
        <w:spacing w:after="0" w:line="360" w:lineRule="auto"/>
        <w:rPr>
          <w:b/>
          <w:color w:val="000000"/>
          <w:u w:val="single"/>
        </w:rPr>
      </w:pPr>
      <w:r w:rsidRPr="00C13683">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563ACA85" w14:textId="77777777" w:rsidR="00112494" w:rsidRPr="00C13683" w:rsidRDefault="00112494" w:rsidP="00112494">
      <w:pPr>
        <w:tabs>
          <w:tab w:val="center" w:pos="4522"/>
        </w:tabs>
        <w:spacing w:after="0" w:line="360" w:lineRule="auto"/>
        <w:rPr>
          <w:b/>
          <w:color w:val="000000"/>
        </w:rPr>
      </w:pPr>
    </w:p>
    <w:p w14:paraId="287843C8" w14:textId="77777777" w:rsidR="00112494" w:rsidRPr="00C13683" w:rsidRDefault="00112494" w:rsidP="00112494">
      <w:pPr>
        <w:tabs>
          <w:tab w:val="center" w:pos="4522"/>
        </w:tabs>
        <w:spacing w:after="0" w:line="360" w:lineRule="auto"/>
        <w:rPr>
          <w:b/>
          <w:color w:val="000000"/>
        </w:rPr>
      </w:pPr>
      <w:r w:rsidRPr="00C13683">
        <w:rPr>
          <w:b/>
          <w:color w:val="000000"/>
        </w:rPr>
        <w:t>Persona Moral</w:t>
      </w:r>
    </w:p>
    <w:p w14:paraId="28CD25FA" w14:textId="77777777" w:rsidR="00112494" w:rsidRPr="00C13683" w:rsidRDefault="00112494" w:rsidP="00112494">
      <w:pPr>
        <w:tabs>
          <w:tab w:val="center" w:pos="4522"/>
        </w:tabs>
        <w:spacing w:after="0" w:line="360" w:lineRule="auto"/>
        <w:rPr>
          <w:color w:val="000000"/>
        </w:rPr>
      </w:pPr>
    </w:p>
    <w:p w14:paraId="6136A4E3" w14:textId="77777777" w:rsidR="00112494" w:rsidRPr="00C13683" w:rsidRDefault="00112494" w:rsidP="00112494">
      <w:pPr>
        <w:tabs>
          <w:tab w:val="center" w:pos="4522"/>
        </w:tabs>
        <w:spacing w:after="0" w:line="360" w:lineRule="auto"/>
        <w:rPr>
          <w:color w:val="000000"/>
        </w:rPr>
      </w:pPr>
      <w:r w:rsidRPr="00C13683">
        <w:rPr>
          <w:color w:val="000000"/>
        </w:rPr>
        <w:lastRenderedPageBreak/>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086073BB" w14:textId="77777777" w:rsidR="00112494" w:rsidRPr="00C13683" w:rsidRDefault="00112494" w:rsidP="00112494">
      <w:pPr>
        <w:tabs>
          <w:tab w:val="center" w:pos="4522"/>
        </w:tabs>
        <w:spacing w:after="0" w:line="360" w:lineRule="auto"/>
        <w:rPr>
          <w:color w:val="000000"/>
        </w:rPr>
      </w:pPr>
    </w:p>
    <w:p w14:paraId="7744898C" w14:textId="77777777" w:rsidR="00112494" w:rsidRPr="00C13683" w:rsidRDefault="00112494" w:rsidP="00112494">
      <w:pPr>
        <w:tabs>
          <w:tab w:val="center" w:pos="4522"/>
        </w:tabs>
        <w:spacing w:after="0" w:line="360" w:lineRule="auto"/>
        <w:rPr>
          <w:color w:val="000000"/>
        </w:rPr>
      </w:pPr>
      <w:r w:rsidRPr="00C13683">
        <w:rPr>
          <w:color w:val="000000"/>
        </w:rPr>
        <w:t>Por ende, la información correspondiente al Registro Federal de Contribuyentes de una persona moral da cuenta del cumplimiento o no en sus obligaciones fiscales; por tanto, no se actualiza su clasificación como confidencial.</w:t>
      </w:r>
    </w:p>
    <w:p w14:paraId="1B5DBE0B" w14:textId="77777777" w:rsidR="00112494" w:rsidRPr="00C13683" w:rsidRDefault="00112494" w:rsidP="00112494">
      <w:pPr>
        <w:tabs>
          <w:tab w:val="center" w:pos="4522"/>
        </w:tabs>
        <w:spacing w:after="0" w:line="360" w:lineRule="auto"/>
        <w:rPr>
          <w:color w:val="000000"/>
        </w:rPr>
      </w:pPr>
    </w:p>
    <w:p w14:paraId="76505AF9" w14:textId="77777777" w:rsidR="00112494" w:rsidRPr="00C13683" w:rsidRDefault="00112494" w:rsidP="00112494">
      <w:pPr>
        <w:tabs>
          <w:tab w:val="center" w:pos="4522"/>
        </w:tabs>
        <w:spacing w:after="0" w:line="360" w:lineRule="auto"/>
        <w:rPr>
          <w:color w:val="000000"/>
        </w:rPr>
      </w:pPr>
      <w:r w:rsidRPr="00C13683">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03BEFE64" w14:textId="77777777" w:rsidR="00112494" w:rsidRPr="00C13683" w:rsidRDefault="00112494" w:rsidP="00112494">
      <w:pPr>
        <w:tabs>
          <w:tab w:val="center" w:pos="4522"/>
        </w:tabs>
        <w:spacing w:after="0" w:line="360" w:lineRule="auto"/>
        <w:rPr>
          <w:color w:val="000000"/>
        </w:rPr>
      </w:pPr>
      <w:r w:rsidRPr="00C13683">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51320696" w14:textId="77777777" w:rsidR="00112494" w:rsidRPr="00C13683" w:rsidRDefault="00112494" w:rsidP="00112494">
      <w:pPr>
        <w:spacing w:after="0" w:line="360" w:lineRule="auto"/>
        <w:jc w:val="left"/>
        <w:rPr>
          <w:b/>
          <w:color w:val="000000"/>
        </w:rPr>
      </w:pPr>
    </w:p>
    <w:p w14:paraId="0733948B" w14:textId="77777777" w:rsidR="00112494" w:rsidRPr="00C13683" w:rsidRDefault="00112494" w:rsidP="00112494">
      <w:pPr>
        <w:numPr>
          <w:ilvl w:val="0"/>
          <w:numId w:val="23"/>
        </w:numPr>
        <w:spacing w:after="0" w:line="360" w:lineRule="auto"/>
        <w:contextualSpacing/>
        <w:rPr>
          <w:b/>
          <w:color w:val="000000"/>
        </w:rPr>
      </w:pPr>
      <w:r w:rsidRPr="00C13683">
        <w:rPr>
          <w:b/>
          <w:color w:val="000000"/>
        </w:rPr>
        <w:lastRenderedPageBreak/>
        <w:t>Número de teléfono y correo electrónico de proveedor o contratista</w:t>
      </w:r>
    </w:p>
    <w:p w14:paraId="60D6491F" w14:textId="77777777" w:rsidR="00112494" w:rsidRPr="00C13683" w:rsidRDefault="00112494" w:rsidP="00112494">
      <w:pPr>
        <w:tabs>
          <w:tab w:val="center" w:pos="4522"/>
        </w:tabs>
        <w:spacing w:after="0" w:line="360" w:lineRule="auto"/>
        <w:rPr>
          <w:b/>
          <w:color w:val="000000"/>
        </w:rPr>
      </w:pPr>
    </w:p>
    <w:p w14:paraId="17C0260C" w14:textId="77777777" w:rsidR="00112494" w:rsidRPr="00C13683" w:rsidRDefault="00112494" w:rsidP="00112494">
      <w:pPr>
        <w:tabs>
          <w:tab w:val="center" w:pos="4522"/>
        </w:tabs>
        <w:spacing w:after="0" w:line="360" w:lineRule="auto"/>
        <w:rPr>
          <w:color w:val="000000"/>
        </w:rPr>
      </w:pPr>
      <w:r w:rsidRPr="00C13683">
        <w:rPr>
          <w:color w:val="000000"/>
        </w:rPr>
        <w:t>El número asignado a un teléfono, permite localizar, en el presente caso, de un proveedor, ya sea a través de un dispositivo móvil o bien, en un lugar como el domicilio; mientras que correo electrónico es un sistema de transmisión de mensajes por computadora a través de redes informáticas. Dicho dato se puede asimilar al teléfono o domicilio, toda vez que es un medio para comunicarse con un proveedor, en el presente caso.</w:t>
      </w:r>
    </w:p>
    <w:p w14:paraId="41805088" w14:textId="77777777" w:rsidR="00112494" w:rsidRPr="00C13683" w:rsidRDefault="00112494" w:rsidP="00112494">
      <w:pPr>
        <w:tabs>
          <w:tab w:val="center" w:pos="4522"/>
        </w:tabs>
        <w:spacing w:after="0" w:line="360" w:lineRule="auto"/>
        <w:rPr>
          <w:color w:val="000000"/>
        </w:rPr>
      </w:pPr>
    </w:p>
    <w:p w14:paraId="729E57C1" w14:textId="77777777" w:rsidR="00112494" w:rsidRPr="00C13683" w:rsidRDefault="00112494" w:rsidP="00112494">
      <w:pPr>
        <w:tabs>
          <w:tab w:val="center" w:pos="4522"/>
        </w:tabs>
        <w:spacing w:after="0" w:line="360" w:lineRule="auto"/>
        <w:rPr>
          <w:color w:val="000000"/>
        </w:rPr>
      </w:pPr>
      <w:r w:rsidRPr="00C13683">
        <w:rPr>
          <w:color w:val="000000"/>
        </w:rPr>
        <w:t>Como se refirió, en el presente caso, los datos en comento, se tratan de los medios de contacto de los proveedores que tiene la Secretaría de Cultura y Turismo, los cuales, si bien hacen identificable a una persona, en el presente caso, se trata de una persona proveedora que recibe recursos públicos, derivado de los contratos celebrados con la Dependencia y, por lo tanto, dichos datos guardan la naturaleza de públicos.</w:t>
      </w:r>
    </w:p>
    <w:p w14:paraId="3F998BF6" w14:textId="77777777" w:rsidR="00112494" w:rsidRPr="00C13683" w:rsidRDefault="00112494" w:rsidP="00112494">
      <w:pPr>
        <w:tabs>
          <w:tab w:val="center" w:pos="4522"/>
        </w:tabs>
        <w:spacing w:after="0" w:line="360" w:lineRule="auto"/>
        <w:rPr>
          <w:color w:val="000000"/>
        </w:rPr>
      </w:pPr>
    </w:p>
    <w:p w14:paraId="009B3829" w14:textId="77777777" w:rsidR="00112494" w:rsidRPr="00C13683" w:rsidRDefault="00112494" w:rsidP="00112494">
      <w:pPr>
        <w:tabs>
          <w:tab w:val="center" w:pos="4522"/>
        </w:tabs>
        <w:spacing w:after="0" w:line="360" w:lineRule="auto"/>
        <w:rPr>
          <w:color w:val="000000"/>
        </w:rPr>
      </w:pPr>
      <w:r w:rsidRPr="00C13683">
        <w:rPr>
          <w:color w:val="000000"/>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5DC61D90" w14:textId="77777777" w:rsidR="00112494" w:rsidRPr="00C13683" w:rsidRDefault="00112494" w:rsidP="00112494">
      <w:pPr>
        <w:numPr>
          <w:ilvl w:val="0"/>
          <w:numId w:val="23"/>
        </w:numPr>
        <w:spacing w:after="0" w:line="360" w:lineRule="auto"/>
        <w:contextualSpacing/>
        <w:rPr>
          <w:color w:val="000000"/>
        </w:rPr>
      </w:pPr>
      <w:r w:rsidRPr="00C13683">
        <w:rPr>
          <w:b/>
          <w:color w:val="000000"/>
        </w:rPr>
        <w:t>Firma del proveedor, contratista o representante legal</w:t>
      </w:r>
    </w:p>
    <w:p w14:paraId="1468FEA6" w14:textId="77777777" w:rsidR="00112494" w:rsidRPr="00C13683" w:rsidRDefault="00112494" w:rsidP="00112494">
      <w:pPr>
        <w:spacing w:after="0" w:line="360" w:lineRule="auto"/>
        <w:jc w:val="left"/>
        <w:rPr>
          <w:color w:val="000000"/>
        </w:rPr>
      </w:pPr>
    </w:p>
    <w:p w14:paraId="1AFDE360" w14:textId="77777777" w:rsidR="00112494" w:rsidRPr="00C13683" w:rsidRDefault="00112494" w:rsidP="00112494">
      <w:pPr>
        <w:spacing w:after="0" w:line="360" w:lineRule="auto"/>
        <w:rPr>
          <w:color w:val="000000"/>
        </w:rPr>
      </w:pPr>
      <w:r w:rsidRPr="00C13683">
        <w:rPr>
          <w:color w:val="000000"/>
        </w:rPr>
        <w:t xml:space="preserve">Al respecto, la firma es considerada un dato personal, al tratarse de información gráfica a través de la cual su titular exterioriza su voluntad en actos públicos y privados; dicho dato exterioriza la voluntad en un acto público y que lo realiza una persona física identificada o identificable, en su calidad de proveedor o representante legal, por lo que, expresa el consentimiento del contratista para realizar o recibir ciertas obligaciones; además, que le </w:t>
      </w:r>
      <w:r w:rsidRPr="00C13683">
        <w:rPr>
          <w:color w:val="000000"/>
        </w:rPr>
        <w:lastRenderedPageBreak/>
        <w:t>otorga validez al instrumento jurídico, en el presente caso, la celebración de contratos para la adquisición o arrendamiento de bienes y servicios.</w:t>
      </w:r>
    </w:p>
    <w:p w14:paraId="19088EC7" w14:textId="77777777" w:rsidR="00112494" w:rsidRPr="00C13683" w:rsidRDefault="00112494" w:rsidP="00112494">
      <w:pPr>
        <w:spacing w:after="0" w:line="360" w:lineRule="auto"/>
        <w:jc w:val="left"/>
        <w:rPr>
          <w:color w:val="000000"/>
        </w:rPr>
      </w:pPr>
    </w:p>
    <w:p w14:paraId="785A24E8" w14:textId="77777777" w:rsidR="00112494" w:rsidRPr="00C13683" w:rsidRDefault="00112494" w:rsidP="00112494">
      <w:pPr>
        <w:spacing w:after="0" w:line="360" w:lineRule="auto"/>
        <w:rPr>
          <w:color w:val="000000"/>
        </w:rPr>
      </w:pPr>
      <w:r w:rsidRPr="00C13683">
        <w:rPr>
          <w:color w:val="000000"/>
        </w:rPr>
        <w:t>Conforme a lo anterior, no procede la clasificación de la firma del proveedor o representante legal, localizados en los documentos que den cuenta de la información solicitada, en términos del artículo 143, fracción I de la Ley de Transparencia y Acceso a la Información Pública del Estado de México y Municipios.</w:t>
      </w:r>
    </w:p>
    <w:p w14:paraId="3546D676" w14:textId="77777777" w:rsidR="00112494" w:rsidRPr="00C13683" w:rsidRDefault="00112494" w:rsidP="00112494">
      <w:pPr>
        <w:spacing w:after="0" w:line="360" w:lineRule="auto"/>
        <w:jc w:val="left"/>
        <w:rPr>
          <w:b/>
          <w:color w:val="000000"/>
        </w:rPr>
      </w:pPr>
    </w:p>
    <w:p w14:paraId="799E4235" w14:textId="77777777" w:rsidR="00112494" w:rsidRPr="00C13683" w:rsidRDefault="00112494" w:rsidP="00112494">
      <w:pPr>
        <w:numPr>
          <w:ilvl w:val="0"/>
          <w:numId w:val="23"/>
        </w:numPr>
        <w:spacing w:after="0" w:line="360" w:lineRule="auto"/>
        <w:contextualSpacing/>
        <w:rPr>
          <w:b/>
          <w:color w:val="000000"/>
        </w:rPr>
      </w:pPr>
      <w:r w:rsidRPr="00C13683">
        <w:rPr>
          <w:b/>
          <w:color w:val="000000"/>
        </w:rPr>
        <w:t>Domicilio Fiscal o legal para recibir y oír notificaciones (proveedor o contratista persona física o moral).</w:t>
      </w:r>
    </w:p>
    <w:p w14:paraId="475EE72F" w14:textId="77777777" w:rsidR="00112494" w:rsidRPr="00C13683" w:rsidRDefault="00112494" w:rsidP="00112494">
      <w:pPr>
        <w:tabs>
          <w:tab w:val="center" w:pos="4522"/>
        </w:tabs>
        <w:spacing w:after="0" w:line="360" w:lineRule="auto"/>
        <w:rPr>
          <w:color w:val="000000"/>
        </w:rPr>
      </w:pPr>
    </w:p>
    <w:p w14:paraId="1ED7E0B3" w14:textId="77777777" w:rsidR="00112494" w:rsidRPr="00C13683" w:rsidRDefault="00112494" w:rsidP="00112494">
      <w:pPr>
        <w:tabs>
          <w:tab w:val="center" w:pos="4522"/>
        </w:tabs>
        <w:spacing w:after="0" w:line="360" w:lineRule="auto"/>
        <w:rPr>
          <w:color w:val="000000"/>
        </w:rPr>
      </w:pPr>
      <w:r w:rsidRPr="00C13683">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AD3F8B6" w14:textId="77777777" w:rsidR="00112494" w:rsidRPr="00C13683" w:rsidRDefault="00112494" w:rsidP="00112494">
      <w:pPr>
        <w:tabs>
          <w:tab w:val="center" w:pos="4522"/>
        </w:tabs>
        <w:spacing w:after="0" w:line="360" w:lineRule="auto"/>
        <w:rPr>
          <w:color w:val="000000"/>
        </w:rPr>
      </w:pPr>
    </w:p>
    <w:p w14:paraId="10F9351D" w14:textId="77777777" w:rsidR="00112494" w:rsidRPr="00C13683" w:rsidRDefault="00112494" w:rsidP="00112494">
      <w:pPr>
        <w:tabs>
          <w:tab w:val="center" w:pos="4522"/>
        </w:tabs>
        <w:spacing w:after="0" w:line="360" w:lineRule="auto"/>
        <w:rPr>
          <w:color w:val="000000"/>
        </w:rPr>
      </w:pPr>
      <w:r w:rsidRPr="00C13683">
        <w:rPr>
          <w:color w:val="000000"/>
        </w:rPr>
        <w:t>De la misma manera, lo establece los diversos 29 y 33 del Código Civil Federal, al precisar que el domicilio de personas físicas</w:t>
      </w:r>
      <w:r w:rsidRPr="00C13683">
        <w:rPr>
          <w:b/>
          <w:color w:val="000000"/>
        </w:rPr>
        <w:t xml:space="preserve">, es el lugar donde residen habitualmente, el lugar del centro principal de sus negocios, donde residan o el lugar donde se encuentren; </w:t>
      </w:r>
      <w:r w:rsidRPr="00C13683">
        <w:rPr>
          <w:color w:val="000000"/>
        </w:rPr>
        <w:t>mientras que, de las personas morales, aquel donde se halle su administración.</w:t>
      </w:r>
    </w:p>
    <w:p w14:paraId="43774897" w14:textId="77777777" w:rsidR="00112494" w:rsidRPr="00C13683" w:rsidRDefault="00112494" w:rsidP="00112494">
      <w:pPr>
        <w:tabs>
          <w:tab w:val="center" w:pos="4522"/>
        </w:tabs>
        <w:spacing w:after="0" w:line="360" w:lineRule="auto"/>
        <w:rPr>
          <w:b/>
          <w:color w:val="000000"/>
        </w:rPr>
      </w:pPr>
    </w:p>
    <w:p w14:paraId="5228A564" w14:textId="77777777" w:rsidR="00112494" w:rsidRPr="00C13683" w:rsidRDefault="00112494" w:rsidP="00112494">
      <w:pPr>
        <w:tabs>
          <w:tab w:val="center" w:pos="4522"/>
        </w:tabs>
        <w:spacing w:after="0" w:line="360" w:lineRule="auto"/>
        <w:rPr>
          <w:color w:val="000000"/>
        </w:rPr>
      </w:pPr>
      <w:r w:rsidRPr="00C13683">
        <w:rPr>
          <w:color w:val="000000"/>
        </w:rPr>
        <w:t>Además, respecto al domicilio fiscal, resulta necesario traer el artículo 10 del Código Fiscal de la Federación, que establece que, tratándose de personas físicas, corresponderá dicho dato:</w:t>
      </w:r>
    </w:p>
    <w:p w14:paraId="7C5DD3AD" w14:textId="77777777" w:rsidR="00112494" w:rsidRPr="00C13683" w:rsidRDefault="00112494" w:rsidP="00112494">
      <w:pPr>
        <w:tabs>
          <w:tab w:val="center" w:pos="4522"/>
        </w:tabs>
        <w:spacing w:after="0" w:line="360" w:lineRule="auto"/>
        <w:rPr>
          <w:color w:val="000000"/>
        </w:rPr>
      </w:pPr>
    </w:p>
    <w:p w14:paraId="368E98B2" w14:textId="77777777" w:rsidR="00112494" w:rsidRPr="00C13683" w:rsidRDefault="00112494" w:rsidP="00112494">
      <w:pPr>
        <w:numPr>
          <w:ilvl w:val="0"/>
          <w:numId w:val="21"/>
        </w:numPr>
        <w:pBdr>
          <w:top w:val="nil"/>
          <w:left w:val="nil"/>
          <w:bottom w:val="nil"/>
          <w:right w:val="nil"/>
          <w:between w:val="nil"/>
        </w:pBdr>
        <w:tabs>
          <w:tab w:val="center" w:pos="4522"/>
        </w:tabs>
        <w:spacing w:after="0" w:line="360" w:lineRule="auto"/>
        <w:jc w:val="left"/>
        <w:rPr>
          <w:color w:val="000000"/>
        </w:rPr>
      </w:pPr>
      <w:r w:rsidRPr="00C13683">
        <w:rPr>
          <w:color w:val="000000"/>
        </w:rPr>
        <w:t>El lugar donde realizan actividades empresariales, el local, en que se encuentre el principal asiente de sus negocios, y</w:t>
      </w:r>
    </w:p>
    <w:p w14:paraId="1784C074" w14:textId="77777777" w:rsidR="00112494" w:rsidRPr="00C13683" w:rsidRDefault="00112494" w:rsidP="00112494">
      <w:pPr>
        <w:tabs>
          <w:tab w:val="center" w:pos="4522"/>
        </w:tabs>
        <w:spacing w:after="0" w:line="360" w:lineRule="auto"/>
        <w:rPr>
          <w:color w:val="000000"/>
        </w:rPr>
      </w:pPr>
    </w:p>
    <w:p w14:paraId="5AD7E92C" w14:textId="77777777" w:rsidR="00112494" w:rsidRPr="00C13683" w:rsidRDefault="00112494" w:rsidP="00112494">
      <w:pPr>
        <w:numPr>
          <w:ilvl w:val="0"/>
          <w:numId w:val="21"/>
        </w:numPr>
        <w:pBdr>
          <w:top w:val="nil"/>
          <w:left w:val="nil"/>
          <w:bottom w:val="nil"/>
          <w:right w:val="nil"/>
          <w:between w:val="nil"/>
        </w:pBdr>
        <w:tabs>
          <w:tab w:val="center" w:pos="4522"/>
        </w:tabs>
        <w:spacing w:after="0" w:line="360" w:lineRule="auto"/>
        <w:jc w:val="left"/>
        <w:rPr>
          <w:color w:val="000000"/>
        </w:rPr>
      </w:pPr>
      <w:r w:rsidRPr="00C13683">
        <w:rPr>
          <w:color w:val="000000"/>
        </w:rPr>
        <w:t>La casa habitación, cuando no cuenta con un local o lugar donde realice las acciones previamente señaladas.</w:t>
      </w:r>
    </w:p>
    <w:p w14:paraId="28191E51" w14:textId="77777777" w:rsidR="00112494" w:rsidRPr="00C13683" w:rsidRDefault="00112494" w:rsidP="00112494">
      <w:pPr>
        <w:tabs>
          <w:tab w:val="center" w:pos="4522"/>
        </w:tabs>
        <w:spacing w:after="0" w:line="360" w:lineRule="auto"/>
        <w:rPr>
          <w:color w:val="000000"/>
        </w:rPr>
      </w:pPr>
    </w:p>
    <w:p w14:paraId="66ACE164" w14:textId="77777777" w:rsidR="00112494" w:rsidRPr="00C13683" w:rsidRDefault="00112494" w:rsidP="00112494">
      <w:pPr>
        <w:tabs>
          <w:tab w:val="center" w:pos="4522"/>
        </w:tabs>
        <w:spacing w:after="0" w:line="360" w:lineRule="auto"/>
        <w:rPr>
          <w:color w:val="000000"/>
        </w:rPr>
      </w:pPr>
      <w:r w:rsidRPr="00C13683">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114F9C9C" w14:textId="77777777" w:rsidR="00112494" w:rsidRPr="00C13683" w:rsidRDefault="00112494" w:rsidP="00112494">
      <w:pPr>
        <w:tabs>
          <w:tab w:val="center" w:pos="4522"/>
        </w:tabs>
        <w:spacing w:after="0" w:line="360" w:lineRule="auto"/>
        <w:rPr>
          <w:color w:val="000000"/>
        </w:rPr>
      </w:pPr>
    </w:p>
    <w:p w14:paraId="3637DA00" w14:textId="77777777" w:rsidR="00112494" w:rsidRPr="00C13683" w:rsidRDefault="00112494" w:rsidP="00112494">
      <w:pPr>
        <w:tabs>
          <w:tab w:val="center" w:pos="4522"/>
        </w:tabs>
        <w:spacing w:after="0" w:line="360" w:lineRule="auto"/>
        <w:rPr>
          <w:color w:val="000000"/>
        </w:rPr>
      </w:pPr>
      <w:r w:rsidRPr="00C13683">
        <w:rPr>
          <w:color w:val="000000"/>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17B2F6DD" w14:textId="77777777" w:rsidR="00112494" w:rsidRPr="00C13683" w:rsidRDefault="00112494" w:rsidP="00112494">
      <w:pPr>
        <w:tabs>
          <w:tab w:val="center" w:pos="4522"/>
        </w:tabs>
        <w:spacing w:after="0" w:line="360" w:lineRule="auto"/>
        <w:rPr>
          <w:color w:val="000000"/>
        </w:rPr>
      </w:pPr>
    </w:p>
    <w:p w14:paraId="47B52CFD" w14:textId="77777777" w:rsidR="00112494" w:rsidRPr="00C13683" w:rsidRDefault="00112494" w:rsidP="00112494">
      <w:pPr>
        <w:tabs>
          <w:tab w:val="center" w:pos="4522"/>
        </w:tabs>
        <w:spacing w:after="0" w:line="360" w:lineRule="auto"/>
        <w:rPr>
          <w:color w:val="000000"/>
        </w:rPr>
      </w:pPr>
      <w:r w:rsidRPr="00C13683">
        <w:rPr>
          <w:color w:val="000000"/>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0C8BC24D" w14:textId="77777777" w:rsidR="00112494" w:rsidRPr="00C13683" w:rsidRDefault="00112494" w:rsidP="00112494">
      <w:pPr>
        <w:tabs>
          <w:tab w:val="center" w:pos="4522"/>
        </w:tabs>
        <w:spacing w:after="0" w:line="360" w:lineRule="auto"/>
        <w:rPr>
          <w:color w:val="000000"/>
        </w:rPr>
      </w:pPr>
    </w:p>
    <w:p w14:paraId="68A9B606" w14:textId="77777777" w:rsidR="00112494" w:rsidRPr="00C13683" w:rsidRDefault="00112494" w:rsidP="00112494">
      <w:pPr>
        <w:tabs>
          <w:tab w:val="center" w:pos="4522"/>
        </w:tabs>
        <w:spacing w:after="0" w:line="360" w:lineRule="auto"/>
        <w:rPr>
          <w:color w:val="000000"/>
        </w:rPr>
      </w:pPr>
      <w:r w:rsidRPr="00C13683">
        <w:rPr>
          <w:color w:val="000000"/>
        </w:rPr>
        <w:t xml:space="preserve">De tal suerte que, tratándose de proveedores (personas físicas o jurídico-colectivas), el domicilio fiscal, no actualiza la causal de clasificación, establecida en el artículo 143, fracción </w:t>
      </w:r>
      <w:r w:rsidRPr="00C13683">
        <w:rPr>
          <w:color w:val="000000"/>
        </w:rPr>
        <w:lastRenderedPageBreak/>
        <w:t>I de la Ley de Transparencia y Acceso a la Información Pública del Estado de México y Municipios.</w:t>
      </w:r>
    </w:p>
    <w:p w14:paraId="51B8EAE8" w14:textId="77777777" w:rsidR="00112494" w:rsidRPr="00C13683" w:rsidRDefault="00112494" w:rsidP="00112494">
      <w:pPr>
        <w:tabs>
          <w:tab w:val="center" w:pos="4522"/>
        </w:tabs>
        <w:spacing w:after="0" w:line="360" w:lineRule="auto"/>
        <w:rPr>
          <w:color w:val="000000"/>
        </w:rPr>
      </w:pPr>
    </w:p>
    <w:p w14:paraId="3E18A13F" w14:textId="77777777" w:rsidR="00112494" w:rsidRPr="00C13683" w:rsidRDefault="00112494" w:rsidP="00112494">
      <w:pPr>
        <w:numPr>
          <w:ilvl w:val="0"/>
          <w:numId w:val="23"/>
        </w:numPr>
        <w:spacing w:after="0" w:line="360" w:lineRule="auto"/>
        <w:contextualSpacing/>
        <w:rPr>
          <w:b/>
          <w:color w:val="000000"/>
        </w:rPr>
      </w:pPr>
      <w:r w:rsidRPr="00C13683">
        <w:rPr>
          <w:b/>
          <w:color w:val="000000"/>
        </w:rPr>
        <w:t>Nombre de institución bancaria</w:t>
      </w:r>
    </w:p>
    <w:p w14:paraId="51EEB4FE" w14:textId="77777777" w:rsidR="00112494" w:rsidRPr="00C13683" w:rsidRDefault="00112494" w:rsidP="00112494">
      <w:pPr>
        <w:tabs>
          <w:tab w:val="center" w:pos="4522"/>
        </w:tabs>
        <w:spacing w:after="0" w:line="360" w:lineRule="auto"/>
        <w:rPr>
          <w:color w:val="000000"/>
        </w:rPr>
      </w:pPr>
    </w:p>
    <w:p w14:paraId="4DA25C93" w14:textId="77777777" w:rsidR="00112494" w:rsidRPr="00C13683" w:rsidRDefault="00112494" w:rsidP="00112494">
      <w:pPr>
        <w:tabs>
          <w:tab w:val="center" w:pos="4522"/>
        </w:tabs>
        <w:spacing w:after="0" w:line="360" w:lineRule="auto"/>
        <w:rPr>
          <w:color w:val="000000"/>
        </w:rPr>
      </w:pPr>
      <w:r w:rsidRPr="00C13683">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68C6473F" w14:textId="77777777" w:rsidR="00112494" w:rsidRPr="00C13683" w:rsidRDefault="00112494" w:rsidP="00112494">
      <w:pPr>
        <w:tabs>
          <w:tab w:val="center" w:pos="4522"/>
        </w:tabs>
        <w:spacing w:after="0" w:line="360" w:lineRule="auto"/>
        <w:rPr>
          <w:color w:val="000000"/>
        </w:rPr>
      </w:pPr>
    </w:p>
    <w:p w14:paraId="19A81F8B" w14:textId="77777777" w:rsidR="00112494" w:rsidRPr="00C13683" w:rsidRDefault="00112494" w:rsidP="00112494">
      <w:pPr>
        <w:tabs>
          <w:tab w:val="center" w:pos="4522"/>
        </w:tabs>
        <w:spacing w:after="0" w:line="360" w:lineRule="auto"/>
        <w:rPr>
          <w:color w:val="000000"/>
        </w:rPr>
      </w:pPr>
      <w:r w:rsidRPr="00C13683">
        <w:rPr>
          <w:color w:val="000000"/>
        </w:rPr>
        <w:t xml:space="preserve">En ese orden de ideas, en el portal de la Comisión Nacional para la Protección y Defensa de los Usuarios de Servicios Financieros (consultadas el dieciocho de enero de dos mil veintitrés), en </w:t>
      </w:r>
      <w:hyperlink r:id="rId12">
        <w:r w:rsidRPr="00C13683">
          <w:rPr>
            <w:color w:val="0000FF"/>
            <w:u w:val="single"/>
          </w:rPr>
          <w:t>https://www.condusef.gob.mx/Revista/index.php/usuario-inteligente/condusef-responde/777-la-condusef-te-puede-ayudar</w:t>
        </w:r>
      </w:hyperlink>
      <w:r w:rsidRPr="00C13683">
        <w:rPr>
          <w:color w:val="000000"/>
        </w:rPr>
        <w:t>), se establece que los bancos son instituciones financieras; conforme a lo anterior, se puede advertir que las instituciones bancarias, son personas morales.</w:t>
      </w:r>
    </w:p>
    <w:p w14:paraId="61CEE14C" w14:textId="77777777" w:rsidR="00112494" w:rsidRPr="00C13683" w:rsidRDefault="00112494" w:rsidP="00112494">
      <w:pPr>
        <w:tabs>
          <w:tab w:val="center" w:pos="4522"/>
        </w:tabs>
        <w:spacing w:after="0" w:line="360" w:lineRule="auto"/>
        <w:rPr>
          <w:color w:val="000000"/>
        </w:rPr>
      </w:pPr>
    </w:p>
    <w:p w14:paraId="58A61D97" w14:textId="77777777" w:rsidR="00112494" w:rsidRPr="00C13683" w:rsidRDefault="00112494" w:rsidP="00112494">
      <w:pPr>
        <w:tabs>
          <w:tab w:val="center" w:pos="4522"/>
        </w:tabs>
        <w:spacing w:after="0" w:line="360" w:lineRule="auto"/>
        <w:rPr>
          <w:color w:val="000000"/>
        </w:rPr>
      </w:pPr>
      <w:r w:rsidRPr="00C13683">
        <w:rPr>
          <w:color w:val="000000"/>
        </w:rPr>
        <w:lastRenderedPageBreak/>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77CA02CB" w14:textId="77777777" w:rsidR="00112494" w:rsidRPr="00C13683" w:rsidRDefault="00112494" w:rsidP="00112494">
      <w:pPr>
        <w:tabs>
          <w:tab w:val="center" w:pos="4522"/>
        </w:tabs>
        <w:spacing w:after="0" w:line="360" w:lineRule="auto"/>
        <w:rPr>
          <w:color w:val="000000"/>
        </w:rPr>
      </w:pPr>
    </w:p>
    <w:p w14:paraId="1BDA16E4" w14:textId="77777777" w:rsidR="00112494" w:rsidRPr="00C13683" w:rsidRDefault="00112494" w:rsidP="00112494">
      <w:pPr>
        <w:tabs>
          <w:tab w:val="center" w:pos="4522"/>
        </w:tabs>
        <w:spacing w:after="0" w:line="360" w:lineRule="auto"/>
        <w:rPr>
          <w:color w:val="000000"/>
        </w:rPr>
      </w:pPr>
      <w:r w:rsidRPr="00C13683">
        <w:rPr>
          <w:color w:val="000000"/>
        </w:rPr>
        <w:t xml:space="preserve">Lo anterior, se robustece con el hecho de que existe el Sistema de Registro de Prestadores de Servicios Financieros (consultadas el dieciocho de enero de dos mil veintitrés), a las trece horas, en la liga </w:t>
      </w:r>
      <w:hyperlink r:id="rId13">
        <w:r w:rsidRPr="00C13683">
          <w:rPr>
            <w:color w:val="0000FF"/>
            <w:u w:val="single"/>
          </w:rPr>
          <w:t>https://webapps.condusef.gob.mx/SIPRES/jsp/pub/index.jsp</w:t>
        </w:r>
      </w:hyperlink>
      <w:r w:rsidRPr="00C13683">
        <w:rPr>
          <w:color w:val="000000"/>
        </w:rPr>
        <w:t xml:space="preserve">), que es un registro de </w:t>
      </w:r>
      <w:r w:rsidRPr="00C13683">
        <w:rPr>
          <w:b/>
          <w:color w:val="000000"/>
        </w:rPr>
        <w:t xml:space="preserve">carácter público, </w:t>
      </w:r>
      <w:r w:rsidRPr="00C13683">
        <w:rPr>
          <w:color w:val="000000"/>
        </w:rPr>
        <w:t>cuyo objetivo principal, consiste en proporcionar información corporativa y general de las instituciones financieras</w:t>
      </w:r>
      <w:r w:rsidRPr="00C13683">
        <w:rPr>
          <w:b/>
          <w:color w:val="000000"/>
        </w:rPr>
        <w:t xml:space="preserve">; además, que permite conocer al público general, información de dichos entes, </w:t>
      </w:r>
      <w:r w:rsidRPr="00C13683">
        <w:rPr>
          <w:color w:val="000000"/>
        </w:rPr>
        <w:t xml:space="preserve">se muestra un ejemplo a continuación: </w:t>
      </w:r>
    </w:p>
    <w:p w14:paraId="18ACE719" w14:textId="77777777" w:rsidR="00112494" w:rsidRPr="00C13683" w:rsidRDefault="00112494" w:rsidP="00112494">
      <w:pPr>
        <w:tabs>
          <w:tab w:val="center" w:pos="4522"/>
        </w:tabs>
        <w:spacing w:after="0" w:line="360" w:lineRule="auto"/>
        <w:rPr>
          <w:color w:val="000000"/>
        </w:rPr>
      </w:pPr>
    </w:p>
    <w:p w14:paraId="3C2A5B63" w14:textId="77777777" w:rsidR="00112494" w:rsidRPr="00C13683" w:rsidRDefault="00112494" w:rsidP="00112494">
      <w:pPr>
        <w:tabs>
          <w:tab w:val="center" w:pos="4522"/>
        </w:tabs>
        <w:spacing w:after="0" w:line="360" w:lineRule="auto"/>
        <w:jc w:val="center"/>
        <w:rPr>
          <w:color w:val="000000"/>
        </w:rPr>
      </w:pPr>
      <w:r w:rsidRPr="00C13683">
        <w:rPr>
          <w:noProof/>
          <w:color w:val="000000"/>
        </w:rPr>
        <w:drawing>
          <wp:inline distT="0" distB="0" distL="0" distR="0" wp14:anchorId="444F6D50" wp14:editId="36216E54">
            <wp:extent cx="4777740" cy="2476500"/>
            <wp:effectExtent l="0" t="0" r="0" b="0"/>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4"/>
                    <a:srcRect t="2" b="379"/>
                    <a:stretch>
                      <a:fillRect/>
                    </a:stretch>
                  </pic:blipFill>
                  <pic:spPr>
                    <a:xfrm>
                      <a:off x="0" y="0"/>
                      <a:ext cx="4777740" cy="2476500"/>
                    </a:xfrm>
                    <a:prstGeom prst="rect">
                      <a:avLst/>
                    </a:prstGeom>
                    <a:ln/>
                  </pic:spPr>
                </pic:pic>
              </a:graphicData>
            </a:graphic>
          </wp:inline>
        </w:drawing>
      </w:r>
    </w:p>
    <w:p w14:paraId="4000AC5F" w14:textId="77777777" w:rsidR="00112494" w:rsidRPr="00C13683" w:rsidRDefault="00112494" w:rsidP="00112494">
      <w:pPr>
        <w:tabs>
          <w:tab w:val="center" w:pos="4522"/>
        </w:tabs>
        <w:spacing w:after="0" w:line="360" w:lineRule="auto"/>
        <w:rPr>
          <w:color w:val="000000"/>
        </w:rPr>
      </w:pPr>
    </w:p>
    <w:p w14:paraId="74E19652" w14:textId="77777777" w:rsidR="00112494" w:rsidRPr="00C13683" w:rsidRDefault="00112494" w:rsidP="00112494">
      <w:pPr>
        <w:tabs>
          <w:tab w:val="center" w:pos="4522"/>
        </w:tabs>
        <w:spacing w:after="0" w:line="360" w:lineRule="auto"/>
        <w:rPr>
          <w:color w:val="000000"/>
        </w:rPr>
      </w:pPr>
      <w:r w:rsidRPr="00C13683">
        <w:rPr>
          <w:color w:val="000000"/>
        </w:rPr>
        <w:t xml:space="preserve">Conforme a lo anterior, se logra vislumbrar que el nombre de las instituciones bancarias en primera instancia es de naturaleza pública; sin embargo, en el presente caso, se relacionada con el hecho de que corresponde al banco en el cual un proveedor o contratista decidió recibir </w:t>
      </w:r>
      <w:r w:rsidRPr="00C13683">
        <w:rPr>
          <w:color w:val="000000"/>
        </w:rPr>
        <w:lastRenderedPageBreak/>
        <w:t>el pago de sus servicios; es decir, daría cuenta de la decisión voluntaria de recibir el pago de sus servicios en una determinada institución; lo cual se relaciona con la cuenta y clave interbancaria, mismos que son confidenciales.</w:t>
      </w:r>
    </w:p>
    <w:p w14:paraId="0D50B184" w14:textId="77777777" w:rsidR="00112494" w:rsidRPr="00C13683" w:rsidRDefault="00112494" w:rsidP="00112494">
      <w:pPr>
        <w:tabs>
          <w:tab w:val="center" w:pos="4522"/>
        </w:tabs>
        <w:spacing w:after="0" w:line="360" w:lineRule="auto"/>
        <w:rPr>
          <w:color w:val="000000"/>
        </w:rPr>
      </w:pPr>
    </w:p>
    <w:p w14:paraId="6BB6D3D1" w14:textId="77777777" w:rsidR="00112494" w:rsidRPr="00C13683" w:rsidRDefault="00112494" w:rsidP="00112494">
      <w:pPr>
        <w:tabs>
          <w:tab w:val="center" w:pos="4522"/>
        </w:tabs>
        <w:spacing w:after="0" w:line="360" w:lineRule="auto"/>
        <w:rPr>
          <w:color w:val="000000"/>
        </w:rPr>
      </w:pPr>
      <w:r w:rsidRPr="00C13683">
        <w:rPr>
          <w:color w:val="000000"/>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5FE8E1F9" w14:textId="77777777" w:rsidR="00112494" w:rsidRPr="00C13683" w:rsidRDefault="00112494" w:rsidP="00112494">
      <w:pPr>
        <w:tabs>
          <w:tab w:val="center" w:pos="4522"/>
        </w:tabs>
        <w:spacing w:after="0" w:line="360" w:lineRule="auto"/>
        <w:rPr>
          <w:color w:val="000000"/>
        </w:rPr>
      </w:pPr>
    </w:p>
    <w:p w14:paraId="043200C7" w14:textId="62C762A1"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Ahora bien, se procede analizar de manera oficiosa, si procede la clasificación del nombre de los elementos operativos adscritos a la </w:t>
      </w:r>
      <w:r w:rsidR="00E17649" w:rsidRPr="00C13683">
        <w:t>Dirección General de Seguridad Ciudadana y Tránsito Municipal</w:t>
      </w:r>
      <w:r w:rsidRPr="00C13683">
        <w:t>;</w:t>
      </w:r>
      <w:r w:rsidRPr="00C13683">
        <w:rPr>
          <w:rFonts w:eastAsia="Calibri" w:cs="Times New Roman"/>
          <w:color w:val="000000"/>
          <w:lang w:eastAsia="en-US"/>
        </w:rPr>
        <w:t xml:space="preserve"> por lo que, el artículo 140, fracción IV, de la Ley de Transparencia y Acceso a la Información Pública del Estado de México y Municipios, prevé lo siguiente:</w:t>
      </w:r>
    </w:p>
    <w:p w14:paraId="0D547450" w14:textId="77777777" w:rsidR="00112494" w:rsidRPr="00C13683" w:rsidRDefault="00112494" w:rsidP="00112494">
      <w:pPr>
        <w:spacing w:after="0" w:line="360" w:lineRule="auto"/>
        <w:rPr>
          <w:rFonts w:eastAsia="Calibri" w:cs="Times New Roman"/>
          <w:color w:val="000000"/>
          <w:lang w:eastAsia="en-US"/>
        </w:rPr>
      </w:pPr>
    </w:p>
    <w:p w14:paraId="7BFEE65E" w14:textId="77777777" w:rsidR="00112494" w:rsidRPr="00C13683" w:rsidRDefault="00112494" w:rsidP="00112494">
      <w:pPr>
        <w:tabs>
          <w:tab w:val="left" w:pos="4962"/>
        </w:tabs>
        <w:spacing w:after="0" w:line="360" w:lineRule="auto"/>
        <w:ind w:left="567" w:right="567"/>
        <w:rPr>
          <w:rFonts w:eastAsia="Calibri" w:cs="Times New Roman"/>
          <w:i/>
          <w:color w:val="000000"/>
          <w:sz w:val="20"/>
          <w:szCs w:val="20"/>
          <w:lang w:eastAsia="en-US"/>
        </w:rPr>
      </w:pPr>
      <w:r w:rsidRPr="00C13683">
        <w:rPr>
          <w:rFonts w:eastAsia="Calibri" w:cs="Times New Roman"/>
          <w:i/>
          <w:color w:val="000000"/>
          <w:sz w:val="20"/>
          <w:szCs w:val="20"/>
          <w:lang w:eastAsia="en-US"/>
        </w:rPr>
        <w:t>“</w:t>
      </w:r>
      <w:r w:rsidRPr="00C13683">
        <w:rPr>
          <w:rFonts w:eastAsia="Calibri" w:cs="Times New Roman"/>
          <w:b/>
          <w:i/>
          <w:color w:val="000000"/>
          <w:sz w:val="20"/>
          <w:szCs w:val="20"/>
          <w:lang w:eastAsia="en-US"/>
        </w:rPr>
        <w:t>Artículo 140.</w:t>
      </w:r>
      <w:r w:rsidRPr="00C13683">
        <w:rPr>
          <w:rFonts w:eastAsia="Calibri" w:cs="Times New Roman"/>
          <w:i/>
          <w:color w:val="000000"/>
          <w:sz w:val="20"/>
          <w:szCs w:val="20"/>
          <w:lang w:eastAsia="en-US"/>
        </w:rPr>
        <w:t xml:space="preserve"> El acceso a la información pública será restringido excepcionalmente, cuando por razones de interés público, ésta sea clasificada como reservada, conforme a los criterios siguientes: </w:t>
      </w:r>
    </w:p>
    <w:p w14:paraId="7CD8A506" w14:textId="77777777" w:rsidR="00112494" w:rsidRPr="00C13683" w:rsidRDefault="00112494" w:rsidP="00112494">
      <w:pPr>
        <w:tabs>
          <w:tab w:val="left" w:pos="4962"/>
        </w:tabs>
        <w:spacing w:after="0" w:line="360" w:lineRule="auto"/>
        <w:ind w:left="567" w:right="567"/>
        <w:rPr>
          <w:rFonts w:eastAsia="Calibri" w:cs="Times New Roman"/>
          <w:i/>
          <w:color w:val="000000"/>
          <w:sz w:val="20"/>
          <w:szCs w:val="20"/>
          <w:lang w:eastAsia="en-US"/>
        </w:rPr>
      </w:pPr>
      <w:r w:rsidRPr="00C13683">
        <w:rPr>
          <w:rFonts w:eastAsia="Calibri" w:cs="Times New Roman"/>
          <w:i/>
          <w:color w:val="000000"/>
          <w:sz w:val="20"/>
          <w:szCs w:val="20"/>
          <w:lang w:eastAsia="en-US"/>
        </w:rPr>
        <w:t>…</w:t>
      </w:r>
    </w:p>
    <w:p w14:paraId="1E3FC135" w14:textId="77777777" w:rsidR="00112494" w:rsidRPr="00C13683" w:rsidRDefault="00112494" w:rsidP="00112494">
      <w:pPr>
        <w:tabs>
          <w:tab w:val="left" w:pos="4962"/>
        </w:tabs>
        <w:spacing w:after="0" w:line="360" w:lineRule="auto"/>
        <w:ind w:left="567" w:right="567"/>
        <w:rPr>
          <w:rFonts w:eastAsia="Calibri" w:cs="Times New Roman"/>
          <w:i/>
          <w:color w:val="000000"/>
          <w:sz w:val="20"/>
          <w:szCs w:val="20"/>
          <w:lang w:eastAsia="en-US"/>
        </w:rPr>
      </w:pPr>
      <w:r w:rsidRPr="00C13683">
        <w:rPr>
          <w:rFonts w:eastAsia="Calibri" w:cs="Times New Roman"/>
          <w:i/>
          <w:color w:val="000000"/>
          <w:sz w:val="20"/>
          <w:szCs w:val="20"/>
          <w:lang w:eastAsia="en-US"/>
        </w:rPr>
        <w:t>IV. Ponga en riesgo la vida, la seguridad o la salud de una persona física;</w:t>
      </w:r>
    </w:p>
    <w:p w14:paraId="0EE3C2A2" w14:textId="77777777" w:rsidR="00112494" w:rsidRPr="00C13683" w:rsidRDefault="00112494" w:rsidP="00112494">
      <w:pPr>
        <w:tabs>
          <w:tab w:val="left" w:pos="4962"/>
        </w:tabs>
        <w:spacing w:after="0" w:line="360" w:lineRule="auto"/>
        <w:ind w:left="567" w:right="567"/>
        <w:rPr>
          <w:rFonts w:eastAsia="Calibri" w:cs="Times New Roman"/>
          <w:i/>
          <w:color w:val="000000"/>
          <w:sz w:val="20"/>
          <w:szCs w:val="20"/>
          <w:lang w:eastAsia="en-US"/>
        </w:rPr>
      </w:pPr>
      <w:r w:rsidRPr="00C13683">
        <w:rPr>
          <w:rFonts w:eastAsia="Calibri" w:cs="Times New Roman"/>
          <w:i/>
          <w:color w:val="000000"/>
          <w:sz w:val="20"/>
          <w:szCs w:val="20"/>
          <w:lang w:eastAsia="en-US"/>
        </w:rPr>
        <w:t xml:space="preserve">…” </w:t>
      </w:r>
    </w:p>
    <w:p w14:paraId="52AE730D" w14:textId="77777777" w:rsidR="00112494" w:rsidRPr="00C13683" w:rsidRDefault="00112494" w:rsidP="00112494">
      <w:pPr>
        <w:spacing w:after="0" w:line="360" w:lineRule="auto"/>
        <w:rPr>
          <w:rFonts w:eastAsia="Calibri" w:cs="Times New Roman"/>
          <w:color w:val="000000"/>
          <w:lang w:eastAsia="en-US"/>
        </w:rPr>
      </w:pPr>
    </w:p>
    <w:p w14:paraId="0980AE64"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28AEDEB0" w14:textId="77777777" w:rsidR="00112494" w:rsidRPr="00C13683" w:rsidRDefault="00112494" w:rsidP="00112494">
      <w:pPr>
        <w:spacing w:after="0" w:line="360" w:lineRule="auto"/>
        <w:rPr>
          <w:rFonts w:eastAsia="Calibri" w:cs="Times New Roman"/>
          <w:color w:val="000000"/>
          <w:lang w:eastAsia="en-US"/>
        </w:rPr>
      </w:pPr>
    </w:p>
    <w:p w14:paraId="57A1CDCB" w14:textId="77777777" w:rsidR="00112494" w:rsidRPr="00C13683" w:rsidRDefault="00112494" w:rsidP="00112494">
      <w:pPr>
        <w:spacing w:after="0" w:line="360" w:lineRule="auto"/>
        <w:ind w:left="567" w:right="567"/>
        <w:rPr>
          <w:rFonts w:eastAsia="Calibri" w:cs="Times New Roman"/>
          <w:i/>
          <w:color w:val="000000"/>
          <w:sz w:val="20"/>
          <w:szCs w:val="20"/>
          <w:lang w:eastAsia="en-US"/>
        </w:rPr>
      </w:pPr>
      <w:r w:rsidRPr="00C13683">
        <w:rPr>
          <w:rFonts w:eastAsia="Calibri" w:cs="Times New Roman"/>
          <w:b/>
          <w:i/>
          <w:color w:val="000000"/>
          <w:sz w:val="20"/>
          <w:szCs w:val="20"/>
          <w:lang w:eastAsia="en-US"/>
        </w:rPr>
        <w:lastRenderedPageBreak/>
        <w:t xml:space="preserve">“Vigésimo tercero. </w:t>
      </w:r>
      <w:r w:rsidRPr="00C13683">
        <w:rPr>
          <w:rFonts w:eastAsia="Calibri" w:cs="Times New Roman"/>
          <w:i/>
          <w:color w:val="000000"/>
          <w:sz w:val="20"/>
          <w:szCs w:val="20"/>
          <w:lang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7560C600" w14:textId="77777777" w:rsidR="00112494" w:rsidRPr="00C13683" w:rsidRDefault="00112494" w:rsidP="00112494">
      <w:pPr>
        <w:spacing w:after="0" w:line="360" w:lineRule="auto"/>
        <w:ind w:left="567" w:right="567"/>
        <w:rPr>
          <w:rFonts w:eastAsia="Calibri" w:cs="Times New Roman"/>
          <w:i/>
          <w:color w:val="000000"/>
          <w:lang w:eastAsia="en-US"/>
        </w:rPr>
      </w:pPr>
    </w:p>
    <w:p w14:paraId="1C98E55D"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w:t>
      </w:r>
    </w:p>
    <w:p w14:paraId="30A3E1E6" w14:textId="77777777" w:rsidR="00112494" w:rsidRPr="00C13683" w:rsidRDefault="00112494" w:rsidP="00112494">
      <w:pPr>
        <w:spacing w:after="0" w:line="360" w:lineRule="auto"/>
        <w:rPr>
          <w:rFonts w:eastAsia="Calibri" w:cs="Times New Roman"/>
          <w:color w:val="000000"/>
          <w:lang w:eastAsia="en-US"/>
        </w:rPr>
      </w:pPr>
    </w:p>
    <w:p w14:paraId="1A1E087A"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D37F495" w14:textId="77777777" w:rsidR="00112494" w:rsidRPr="00C13683" w:rsidRDefault="00112494" w:rsidP="00112494">
      <w:pPr>
        <w:spacing w:after="0" w:line="360" w:lineRule="auto"/>
        <w:rPr>
          <w:rFonts w:eastAsia="Calibri" w:cs="Times New Roman"/>
          <w:color w:val="000000"/>
          <w:lang w:eastAsia="en-US"/>
        </w:rPr>
      </w:pPr>
    </w:p>
    <w:p w14:paraId="36AEBDD0"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8B4AB8D" w14:textId="77777777" w:rsidR="00112494" w:rsidRPr="00C13683" w:rsidRDefault="00112494" w:rsidP="00112494">
      <w:pPr>
        <w:spacing w:after="0" w:line="360" w:lineRule="auto"/>
        <w:rPr>
          <w:rFonts w:eastAsia="Calibri" w:cs="Times New Roman"/>
          <w:color w:val="000000"/>
          <w:lang w:eastAsia="en-US"/>
        </w:rPr>
      </w:pPr>
    </w:p>
    <w:p w14:paraId="76263C00"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También, resulta necesario traer a colación por analogía, el Criterio Orientador,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14:paraId="33D8CEE7" w14:textId="77777777" w:rsidR="00112494" w:rsidRPr="00C13683" w:rsidRDefault="00112494" w:rsidP="00112494">
      <w:pPr>
        <w:spacing w:after="0" w:line="360" w:lineRule="auto"/>
        <w:rPr>
          <w:rFonts w:eastAsia="Calibri" w:cs="Times New Roman"/>
          <w:i/>
          <w:color w:val="000000"/>
          <w:lang w:eastAsia="en-US"/>
        </w:rPr>
      </w:pPr>
    </w:p>
    <w:p w14:paraId="1F8633FC" w14:textId="77777777" w:rsidR="00112494" w:rsidRPr="00C13683" w:rsidRDefault="00112494" w:rsidP="00112494">
      <w:pPr>
        <w:tabs>
          <w:tab w:val="left" w:pos="4962"/>
        </w:tabs>
        <w:spacing w:after="0" w:line="360" w:lineRule="auto"/>
        <w:ind w:left="567" w:right="567"/>
        <w:rPr>
          <w:rFonts w:eastAsia="Calibri" w:cs="Times New Roman"/>
          <w:i/>
          <w:color w:val="000000"/>
          <w:sz w:val="20"/>
          <w:szCs w:val="20"/>
          <w:lang w:eastAsia="en-US"/>
        </w:rPr>
      </w:pPr>
      <w:r w:rsidRPr="00C13683">
        <w:rPr>
          <w:rFonts w:eastAsia="Calibri" w:cs="Times New Roman"/>
          <w:b/>
          <w:i/>
          <w:color w:val="000000"/>
          <w:sz w:val="20"/>
          <w:szCs w:val="20"/>
          <w:lang w:eastAsia="en-US"/>
        </w:rPr>
        <w:lastRenderedPageBreak/>
        <w:t>“Nombres de servidores públicos dedicados a actividades en materia de seguridad, por excepción pueden considerarse información reservada.</w:t>
      </w:r>
      <w:r w:rsidRPr="00C13683">
        <w:rPr>
          <w:rFonts w:eastAsia="Calibri" w:cs="Times New Roman"/>
          <w:i/>
          <w:color w:val="000000"/>
          <w:sz w:val="20"/>
          <w:szCs w:val="20"/>
          <w:lang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A8509A2" w14:textId="77777777" w:rsidR="00112494" w:rsidRPr="00C13683" w:rsidRDefault="00112494" w:rsidP="00112494">
      <w:pPr>
        <w:spacing w:after="0" w:line="360" w:lineRule="auto"/>
        <w:rPr>
          <w:rFonts w:eastAsia="Calibri" w:cs="Times New Roman"/>
          <w:color w:val="000000"/>
          <w:lang w:eastAsia="en-US"/>
        </w:rPr>
      </w:pPr>
    </w:p>
    <w:p w14:paraId="5CCF89CE"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0E68AB7" w14:textId="77777777" w:rsidR="00112494" w:rsidRPr="00C13683" w:rsidRDefault="00112494" w:rsidP="00112494">
      <w:pPr>
        <w:spacing w:after="0" w:line="360" w:lineRule="auto"/>
        <w:rPr>
          <w:rFonts w:eastAsia="Calibri" w:cs="Times New Roman"/>
          <w:color w:val="000000"/>
          <w:lang w:eastAsia="en-US"/>
        </w:rPr>
      </w:pPr>
    </w:p>
    <w:p w14:paraId="47645104"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lastRenderedPageBreak/>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6E84EBAE" w14:textId="77777777" w:rsidR="00112494" w:rsidRPr="00C13683" w:rsidRDefault="00112494" w:rsidP="00112494">
      <w:pPr>
        <w:spacing w:after="0" w:line="360" w:lineRule="auto"/>
        <w:rPr>
          <w:rFonts w:eastAsia="Calibri" w:cs="Times New Roman"/>
          <w:color w:val="000000"/>
          <w:lang w:eastAsia="en-US"/>
        </w:rPr>
      </w:pPr>
    </w:p>
    <w:p w14:paraId="7C525B42"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En ese orden de ideas, si bien por regla general los nombres de los trabajadores gubernamentales son información pública de oficio, existe una excepción relativa a </w:t>
      </w:r>
      <w:r w:rsidRPr="00C13683">
        <w:rPr>
          <w:rFonts w:eastAsia="Calibri" w:cs="Times New Roman"/>
          <w:b/>
          <w:color w:val="000000"/>
          <w:lang w:eastAsia="en-US"/>
        </w:rPr>
        <w:t>aquellos que realicen actividades operativas en materia de seguridad,</w:t>
      </w:r>
      <w:r w:rsidRPr="00C13683">
        <w:rPr>
          <w:rFonts w:eastAsia="Calibri" w:cs="Times New Roman"/>
          <w:color w:val="000000"/>
          <w:lang w:eastAsia="en-US"/>
        </w:rPr>
        <w:t xml:space="preserve"> como es el caso de los elementos operativos y la policía municipal.</w:t>
      </w:r>
    </w:p>
    <w:p w14:paraId="7E83E64A" w14:textId="77777777" w:rsidR="00112494" w:rsidRPr="00C13683" w:rsidRDefault="00112494" w:rsidP="00112494">
      <w:pPr>
        <w:spacing w:after="0" w:line="360" w:lineRule="auto"/>
        <w:rPr>
          <w:rFonts w:eastAsia="Calibri" w:cs="Times New Roman"/>
          <w:color w:val="000000"/>
          <w:lang w:eastAsia="en-US"/>
        </w:rPr>
      </w:pPr>
    </w:p>
    <w:p w14:paraId="252693B4"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3FD2CBE" w14:textId="77777777" w:rsidR="00112494" w:rsidRPr="00C13683" w:rsidRDefault="00112494" w:rsidP="00112494">
      <w:pPr>
        <w:spacing w:after="0" w:line="360" w:lineRule="auto"/>
        <w:rPr>
          <w:rFonts w:eastAsia="Calibri" w:cs="Times New Roman"/>
          <w:color w:val="000000"/>
          <w:lang w:eastAsia="en-US"/>
        </w:rPr>
      </w:pPr>
    </w:p>
    <w:p w14:paraId="32AA5263"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En ese contexto, el artículo 6°, fracciones XI y XII de dicho ordenamiento jurídico, establece los siguientes conceptos:</w:t>
      </w:r>
    </w:p>
    <w:p w14:paraId="4B275FE1" w14:textId="77777777" w:rsidR="00112494" w:rsidRPr="00C13683" w:rsidRDefault="00112494" w:rsidP="00112494">
      <w:pPr>
        <w:spacing w:after="0" w:line="360" w:lineRule="auto"/>
        <w:rPr>
          <w:rFonts w:eastAsia="Calibri" w:cs="Times New Roman"/>
          <w:color w:val="000000"/>
          <w:lang w:eastAsia="en-US"/>
        </w:rPr>
      </w:pPr>
    </w:p>
    <w:p w14:paraId="40961241" w14:textId="77777777" w:rsidR="00112494" w:rsidRPr="00C13683" w:rsidRDefault="00112494" w:rsidP="00112494">
      <w:pPr>
        <w:numPr>
          <w:ilvl w:val="0"/>
          <w:numId w:val="24"/>
        </w:numPr>
        <w:spacing w:after="0" w:line="360" w:lineRule="auto"/>
        <w:rPr>
          <w:rFonts w:eastAsia="Calibri" w:cs="Times New Roman"/>
          <w:b/>
          <w:color w:val="000000"/>
          <w:lang w:eastAsia="en-US"/>
        </w:rPr>
      </w:pPr>
      <w:r w:rsidRPr="00C13683">
        <w:rPr>
          <w:rFonts w:eastAsia="Calibri" w:cs="Times New Roman"/>
          <w:b/>
          <w:color w:val="000000"/>
          <w:lang w:eastAsia="en-US"/>
        </w:rPr>
        <w:t xml:space="preserve">Instituciones Policiales: </w:t>
      </w:r>
      <w:r w:rsidRPr="00C13683">
        <w:rPr>
          <w:rFonts w:eastAsia="Calibri" w:cs="Times New Roman"/>
          <w:color w:val="000000"/>
          <w:lang w:eastAsia="en-US"/>
        </w:rPr>
        <w:t xml:space="preserve">Son los cuerpos de policía, de vigilancia y custodia de los establecimientos penitenciarios, detención preventiva, centros de arraigo y en general, </w:t>
      </w:r>
      <w:r w:rsidRPr="00C13683">
        <w:rPr>
          <w:rFonts w:eastAsia="Calibri" w:cs="Times New Roman"/>
          <w:b/>
          <w:color w:val="000000"/>
          <w:lang w:eastAsia="en-US"/>
        </w:rPr>
        <w:t>todas las dependencias encargadas de la seguridad pública a nivel</w:t>
      </w:r>
      <w:r w:rsidRPr="00C13683">
        <w:rPr>
          <w:rFonts w:eastAsia="Calibri" w:cs="Times New Roman"/>
          <w:color w:val="000000"/>
          <w:lang w:eastAsia="en-US"/>
        </w:rPr>
        <w:t xml:space="preserve"> estatal y </w:t>
      </w:r>
      <w:r w:rsidRPr="00C13683">
        <w:rPr>
          <w:rFonts w:eastAsia="Calibri" w:cs="Times New Roman"/>
          <w:b/>
          <w:color w:val="000000"/>
          <w:lang w:eastAsia="en-US"/>
        </w:rPr>
        <w:t>municipal.</w:t>
      </w:r>
    </w:p>
    <w:p w14:paraId="58472772" w14:textId="77777777" w:rsidR="00112494" w:rsidRPr="00C13683" w:rsidRDefault="00112494" w:rsidP="00112494">
      <w:pPr>
        <w:spacing w:after="0" w:line="360" w:lineRule="auto"/>
        <w:ind w:left="720"/>
        <w:rPr>
          <w:rFonts w:eastAsia="Calibri" w:cs="Times New Roman"/>
          <w:color w:val="000000"/>
          <w:lang w:eastAsia="en-US"/>
        </w:rPr>
      </w:pPr>
    </w:p>
    <w:p w14:paraId="3CC12678" w14:textId="77777777" w:rsidR="00112494" w:rsidRPr="00C13683" w:rsidRDefault="00112494" w:rsidP="00112494">
      <w:pPr>
        <w:numPr>
          <w:ilvl w:val="0"/>
          <w:numId w:val="24"/>
        </w:numPr>
        <w:spacing w:after="0" w:line="360" w:lineRule="auto"/>
        <w:rPr>
          <w:rFonts w:eastAsia="Calibri" w:cs="Times New Roman"/>
          <w:b/>
          <w:color w:val="000000"/>
          <w:lang w:eastAsia="en-US"/>
        </w:rPr>
      </w:pPr>
      <w:r w:rsidRPr="00C13683">
        <w:rPr>
          <w:rFonts w:eastAsia="Calibri" w:cs="Times New Roman"/>
          <w:b/>
          <w:color w:val="000000"/>
          <w:lang w:eastAsia="en-US"/>
        </w:rPr>
        <w:t xml:space="preserve">Instituciones de Seguridad Pública: </w:t>
      </w:r>
      <w:r w:rsidRPr="00C13683">
        <w:rPr>
          <w:rFonts w:eastAsia="Calibri" w:cs="Times New Roman"/>
          <w:color w:val="000000"/>
          <w:lang w:eastAsia="en-US"/>
        </w:rPr>
        <w:t xml:space="preserve">Instituciones Policiales, Procuración de Justicia, Sistema Penitenciario y </w:t>
      </w:r>
      <w:r w:rsidRPr="00C13683">
        <w:rPr>
          <w:rFonts w:eastAsia="Calibri" w:cs="Times New Roman"/>
          <w:b/>
          <w:color w:val="000000"/>
          <w:lang w:eastAsia="en-US"/>
        </w:rPr>
        <w:t xml:space="preserve">dependencias encargadas de la seguridad pública a nivel </w:t>
      </w:r>
      <w:r w:rsidRPr="00C13683">
        <w:rPr>
          <w:rFonts w:eastAsia="Calibri" w:cs="Times New Roman"/>
          <w:color w:val="000000"/>
          <w:lang w:eastAsia="en-US"/>
        </w:rPr>
        <w:t xml:space="preserve">estatal y </w:t>
      </w:r>
      <w:r w:rsidRPr="00C13683">
        <w:rPr>
          <w:rFonts w:eastAsia="Calibri" w:cs="Times New Roman"/>
          <w:b/>
          <w:color w:val="000000"/>
          <w:lang w:eastAsia="en-US"/>
        </w:rPr>
        <w:t>municipal.</w:t>
      </w:r>
    </w:p>
    <w:p w14:paraId="58ED8C34" w14:textId="77777777" w:rsidR="00112494" w:rsidRPr="00C13683" w:rsidRDefault="00112494" w:rsidP="00112494">
      <w:pPr>
        <w:spacing w:after="0" w:line="360" w:lineRule="auto"/>
        <w:ind w:left="720"/>
        <w:rPr>
          <w:rFonts w:eastAsia="Calibri" w:cs="Times New Roman"/>
          <w:b/>
          <w:color w:val="000000"/>
          <w:lang w:eastAsia="en-US"/>
        </w:rPr>
      </w:pPr>
    </w:p>
    <w:p w14:paraId="2C289317" w14:textId="425116FE"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Conforme a lo anterior, se puede deducir que la </w:t>
      </w:r>
      <w:r w:rsidR="00E17649" w:rsidRPr="00C13683">
        <w:t>Dirección General de Seguridad Ciudadana y Tránsito Municipal</w:t>
      </w:r>
      <w:r w:rsidRPr="00C13683">
        <w:rPr>
          <w:rFonts w:eastAsia="Calibri" w:cs="Times New Roman"/>
          <w:color w:val="000000"/>
          <w:lang w:eastAsia="en-US"/>
        </w:rPr>
        <w:t>, es una institución de seguridad pública, pues tiene como atribución principal, la prevención de delitos y proteger a las personas, sus propiedades, posesiones y derechos.</w:t>
      </w:r>
    </w:p>
    <w:p w14:paraId="2B9F97EC" w14:textId="77777777" w:rsidR="00112494" w:rsidRPr="00C13683" w:rsidRDefault="00112494" w:rsidP="00112494">
      <w:pPr>
        <w:spacing w:after="0" w:line="360" w:lineRule="auto"/>
        <w:rPr>
          <w:rFonts w:eastAsia="Calibri" w:cs="Times New Roman"/>
          <w:color w:val="000000"/>
          <w:lang w:eastAsia="en-US"/>
        </w:rPr>
      </w:pPr>
    </w:p>
    <w:p w14:paraId="249405EA" w14:textId="77777777" w:rsidR="00112494" w:rsidRPr="00C13683" w:rsidRDefault="00112494" w:rsidP="00112494">
      <w:pPr>
        <w:spacing w:after="0" w:line="360" w:lineRule="auto"/>
        <w:rPr>
          <w:rFonts w:eastAsia="Calibri" w:cs="Times New Roman"/>
          <w:b/>
          <w:color w:val="000000"/>
          <w:lang w:eastAsia="en-US"/>
        </w:rPr>
      </w:pPr>
      <w:r w:rsidRPr="00C13683">
        <w:rPr>
          <w:rFonts w:eastAsia="Calibri" w:cs="Times New Roman"/>
          <w:color w:val="000000"/>
          <w:lang w:eastAsia="en-US"/>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C13683">
        <w:rPr>
          <w:rFonts w:eastAsia="Calibri" w:cs="Times New Roman"/>
          <w:b/>
          <w:color w:val="000000"/>
          <w:lang w:eastAsia="en-US"/>
        </w:rPr>
        <w:t>desempeña funciones de mando</w:t>
      </w:r>
      <w:r w:rsidRPr="00C13683">
        <w:rPr>
          <w:rFonts w:eastAsia="Calibri" w:cs="Times New Roman"/>
          <w:color w:val="000000"/>
          <w:lang w:eastAsia="en-US"/>
        </w:rPr>
        <w:t xml:space="preserve">), entre los cuales, se encuentra la </w:t>
      </w:r>
      <w:r w:rsidRPr="00C13683">
        <w:rPr>
          <w:rFonts w:eastAsia="Calibri" w:cs="Times New Roman"/>
          <w:b/>
          <w:color w:val="000000"/>
          <w:lang w:eastAsia="en-US"/>
        </w:rPr>
        <w:t>Policía Municipal.</w:t>
      </w:r>
    </w:p>
    <w:p w14:paraId="5DB398EE" w14:textId="77777777" w:rsidR="00112494" w:rsidRPr="00C13683" w:rsidRDefault="00112494" w:rsidP="00112494">
      <w:pPr>
        <w:tabs>
          <w:tab w:val="left" w:pos="4962"/>
        </w:tabs>
        <w:spacing w:after="0" w:line="360" w:lineRule="auto"/>
        <w:ind w:right="-28"/>
        <w:rPr>
          <w:rFonts w:eastAsia="Calibri" w:cs="Times New Roman"/>
          <w:color w:val="000000"/>
          <w:lang w:eastAsia="en-US"/>
        </w:rPr>
      </w:pPr>
    </w:p>
    <w:p w14:paraId="4DFEC1C5"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Asimismo, se advierte que las Instituciones Policiales, se conforman del personal </w:t>
      </w:r>
      <w:r w:rsidRPr="00C13683">
        <w:rPr>
          <w:rFonts w:eastAsia="Calibri" w:cs="Times New Roman"/>
          <w:b/>
          <w:color w:val="000000"/>
          <w:lang w:eastAsia="en-US"/>
        </w:rPr>
        <w:t>administrativo,</w:t>
      </w:r>
      <w:r w:rsidRPr="00C13683">
        <w:rPr>
          <w:rFonts w:eastAsia="Calibri" w:cs="Times New Roman"/>
          <w:color w:val="000000"/>
          <w:lang w:eastAsia="en-US"/>
        </w:rPr>
        <w:t xml:space="preserve"> que son los trabajadores de apoyo (chofer, personal de mantenimiento, servicios generales y área secretaria); </w:t>
      </w:r>
      <w:r w:rsidRPr="00C13683">
        <w:rPr>
          <w:rFonts w:eastAsia="Calibri" w:cs="Times New Roman"/>
          <w:b/>
          <w:color w:val="000000"/>
          <w:lang w:eastAsia="en-US"/>
        </w:rPr>
        <w:t>así como, el personal de mando</w:t>
      </w:r>
      <w:r w:rsidRPr="00C13683">
        <w:rPr>
          <w:rFonts w:eastAsia="Calibri" w:cs="Times New Roman"/>
          <w:color w:val="000000"/>
          <w:lang w:eastAsia="en-US"/>
        </w:rPr>
        <w:t xml:space="preserve"> (alto, medio y superior), que es aquel que realiza funciones de dirección, coordinación y supervisión, por lo cual, corresponde a aquel que tenga trabajadores a su cargo.</w:t>
      </w:r>
    </w:p>
    <w:p w14:paraId="415C7E34" w14:textId="77777777" w:rsidR="00112494" w:rsidRPr="00C13683" w:rsidRDefault="00112494" w:rsidP="00112494">
      <w:pPr>
        <w:tabs>
          <w:tab w:val="left" w:pos="4962"/>
        </w:tabs>
        <w:spacing w:after="0" w:line="360" w:lineRule="auto"/>
        <w:ind w:right="-28"/>
        <w:rPr>
          <w:rFonts w:eastAsia="Calibri" w:cs="Times New Roman"/>
          <w:color w:val="000000"/>
          <w:lang w:eastAsia="en-US"/>
        </w:rPr>
      </w:pPr>
    </w:p>
    <w:p w14:paraId="1462705A" w14:textId="76F6782D"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De tales circunstancias, se puede observar que la </w:t>
      </w:r>
      <w:r w:rsidR="00E17649" w:rsidRPr="00C13683">
        <w:t>Dirección General de Seguridad Ciudadana y Tránsito Municipal</w:t>
      </w:r>
      <w:r w:rsidRPr="00C13683">
        <w:rPr>
          <w:rFonts w:eastAsia="Calibri" w:cs="Times New Roman"/>
          <w:color w:val="000000"/>
          <w:lang w:eastAsia="en-US"/>
        </w:rPr>
        <w:t>, tiene dos clases de servidores públicos, por una parte, los operativos (policía municipal) y por otra, los administrativos, de apoyo y personal de mando, los cuales no realizan funciones operativas.</w:t>
      </w:r>
    </w:p>
    <w:p w14:paraId="1F7CEFE9" w14:textId="77777777" w:rsidR="00112494" w:rsidRPr="00C13683" w:rsidRDefault="00112494" w:rsidP="00112494">
      <w:pPr>
        <w:spacing w:after="0" w:line="360" w:lineRule="auto"/>
        <w:rPr>
          <w:rFonts w:eastAsia="Calibri" w:cs="Times New Roman"/>
          <w:color w:val="000000"/>
          <w:lang w:eastAsia="en-US"/>
        </w:rPr>
      </w:pPr>
    </w:p>
    <w:p w14:paraId="170C6E80"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2F7E876" w14:textId="77777777" w:rsidR="00112494" w:rsidRPr="00C13683" w:rsidRDefault="00112494" w:rsidP="00112494">
      <w:pPr>
        <w:tabs>
          <w:tab w:val="left" w:pos="4962"/>
        </w:tabs>
        <w:spacing w:after="0" w:line="360" w:lineRule="auto"/>
        <w:ind w:right="-28"/>
        <w:rPr>
          <w:rFonts w:eastAsia="Calibri" w:cs="Times New Roman"/>
          <w:color w:val="000000"/>
          <w:lang w:eastAsia="en-US"/>
        </w:rPr>
      </w:pPr>
    </w:p>
    <w:p w14:paraId="0B9DC70B"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3EE9B21C" w14:textId="77777777" w:rsidR="00112494" w:rsidRPr="00C13683" w:rsidRDefault="00112494" w:rsidP="00112494">
      <w:pPr>
        <w:tabs>
          <w:tab w:val="left" w:pos="4962"/>
        </w:tabs>
        <w:spacing w:after="0" w:line="360" w:lineRule="auto"/>
        <w:ind w:right="-28"/>
        <w:rPr>
          <w:rFonts w:eastAsia="Calibri" w:cs="Times New Roman"/>
          <w:color w:val="000000"/>
          <w:lang w:eastAsia="en-US"/>
        </w:rPr>
      </w:pPr>
    </w:p>
    <w:p w14:paraId="2662B018"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De tal situación, se considera que dar a conocer el nombre de los elementos operativos,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30A4CFB" w14:textId="77777777" w:rsidR="00112494" w:rsidRPr="00C13683" w:rsidRDefault="00112494" w:rsidP="00112494">
      <w:pPr>
        <w:spacing w:after="0" w:line="360" w:lineRule="auto"/>
        <w:rPr>
          <w:rFonts w:eastAsia="Calibri" w:cs="Times New Roman"/>
          <w:color w:val="000000"/>
          <w:lang w:eastAsia="en-US"/>
        </w:rPr>
      </w:pPr>
    </w:p>
    <w:p w14:paraId="2D37FEDE" w14:textId="77777777"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Lo anterior toma relevancia pues los individuos con pretensiones delictivas pudieran promover algún vínculo o relación directa con los elementos operativos, que incluye a la </w:t>
      </w:r>
      <w:r w:rsidRPr="00C13683">
        <w:rPr>
          <w:rFonts w:eastAsia="Calibri" w:cs="Times New Roman"/>
          <w:color w:val="000000"/>
          <w:lang w:eastAsia="en-US"/>
        </w:rPr>
        <w:lastRenderedPageBreak/>
        <w:t>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583961A4" w14:textId="77777777" w:rsidR="00112494" w:rsidRPr="00C13683" w:rsidRDefault="00112494" w:rsidP="00112494">
      <w:pPr>
        <w:spacing w:after="0" w:line="360" w:lineRule="auto"/>
        <w:ind w:left="720"/>
        <w:rPr>
          <w:rFonts w:eastAsia="Calibri" w:cs="Times New Roman"/>
          <w:color w:val="000000"/>
          <w:lang w:eastAsia="en-US"/>
        </w:rPr>
      </w:pPr>
    </w:p>
    <w:p w14:paraId="2C63A5FF" w14:textId="47BFEC93"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Por tales consideraciones, resulta procedente la reserva del nombre de los elementos operativos de la </w:t>
      </w:r>
      <w:r w:rsidRPr="00C13683">
        <w:t xml:space="preserve">Dirección </w:t>
      </w:r>
      <w:r w:rsidR="00E17649" w:rsidRPr="00C13683">
        <w:t>General de Seguridad Ciudadana y Tránsito Municipal</w:t>
      </w:r>
      <w:r w:rsidRPr="00C13683">
        <w:rPr>
          <w:rFonts w:eastAsia="Calibri" w:cs="Times New Roman"/>
          <w:color w:val="000000"/>
          <w:lang w:eastAsia="en-US"/>
        </w:rPr>
        <w:t>, lo cual incluye a los policías municipales, en términos del artículo 140, fracción IV, de la Ley de Transparencia y Acceso a la Información Pública del Estado de México y Municipios.</w:t>
      </w:r>
    </w:p>
    <w:p w14:paraId="05E4042D" w14:textId="77777777" w:rsidR="00112494" w:rsidRPr="00C13683" w:rsidRDefault="00112494" w:rsidP="00112494">
      <w:pPr>
        <w:spacing w:after="0" w:line="360" w:lineRule="auto"/>
        <w:rPr>
          <w:rFonts w:eastAsia="Calibri" w:cs="Times New Roman"/>
          <w:color w:val="000000"/>
          <w:lang w:eastAsia="en-US"/>
        </w:rPr>
      </w:pPr>
    </w:p>
    <w:p w14:paraId="1780F257" w14:textId="77777777" w:rsidR="00112494" w:rsidRPr="00C13683" w:rsidRDefault="00112494" w:rsidP="00112494">
      <w:pPr>
        <w:tabs>
          <w:tab w:val="left" w:pos="4962"/>
        </w:tabs>
        <w:spacing w:after="0" w:line="360" w:lineRule="auto"/>
        <w:rPr>
          <w:rFonts w:eastAsia="Calibri" w:cs="Times New Roman"/>
          <w:color w:val="000000"/>
          <w:lang w:eastAsia="en-US"/>
        </w:rPr>
      </w:pPr>
      <w:r w:rsidRPr="00C13683">
        <w:rPr>
          <w:rFonts w:eastAsia="Calibri" w:cs="Times New Roman"/>
          <w:color w:val="000000"/>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8DDABBA" w14:textId="77777777" w:rsidR="00112494" w:rsidRPr="00C13683" w:rsidRDefault="00112494" w:rsidP="00112494">
      <w:pPr>
        <w:tabs>
          <w:tab w:val="left" w:pos="4962"/>
        </w:tabs>
        <w:spacing w:after="0" w:line="360" w:lineRule="auto"/>
        <w:rPr>
          <w:rFonts w:eastAsia="Calibri" w:cs="Times New Roman"/>
          <w:color w:val="000000"/>
          <w:lang w:eastAsia="en-US"/>
        </w:rPr>
      </w:pPr>
    </w:p>
    <w:p w14:paraId="7B11DA47" w14:textId="77777777" w:rsidR="00112494" w:rsidRPr="00C13683" w:rsidRDefault="00112494" w:rsidP="00112494">
      <w:pPr>
        <w:numPr>
          <w:ilvl w:val="0"/>
          <w:numId w:val="25"/>
        </w:numPr>
        <w:tabs>
          <w:tab w:val="left" w:pos="4962"/>
        </w:tabs>
        <w:spacing w:after="0" w:line="360" w:lineRule="auto"/>
        <w:ind w:left="709" w:hanging="436"/>
        <w:rPr>
          <w:rFonts w:eastAsia="Calibri" w:cs="Times New Roman"/>
          <w:color w:val="000000"/>
          <w:lang w:eastAsia="en-US"/>
        </w:rPr>
      </w:pPr>
      <w:r w:rsidRPr="00C13683">
        <w:rPr>
          <w:rFonts w:eastAsia="Calibri" w:cs="Times New Roman"/>
          <w:color w:val="000000"/>
          <w:lang w:eastAsia="en-US"/>
        </w:rPr>
        <w:t>La divulgación de la información representa un riesgo real, demostrable e identificable de perjuicio significativo al interés público o a la seguridad nacional.</w:t>
      </w:r>
    </w:p>
    <w:p w14:paraId="76EFE295" w14:textId="77777777" w:rsidR="00112494" w:rsidRPr="00C13683" w:rsidRDefault="00112494" w:rsidP="00112494">
      <w:pPr>
        <w:tabs>
          <w:tab w:val="left" w:pos="4962"/>
        </w:tabs>
        <w:spacing w:after="0" w:line="360" w:lineRule="auto"/>
        <w:ind w:left="709" w:hanging="436"/>
        <w:rPr>
          <w:rFonts w:eastAsia="Calibri" w:cs="Times New Roman"/>
          <w:color w:val="000000"/>
          <w:lang w:eastAsia="en-US"/>
        </w:rPr>
      </w:pPr>
    </w:p>
    <w:p w14:paraId="6BD453A8" w14:textId="77777777" w:rsidR="00112494" w:rsidRPr="00C13683" w:rsidRDefault="00112494" w:rsidP="00112494">
      <w:pPr>
        <w:numPr>
          <w:ilvl w:val="0"/>
          <w:numId w:val="25"/>
        </w:numPr>
        <w:tabs>
          <w:tab w:val="left" w:pos="4962"/>
        </w:tabs>
        <w:spacing w:after="0" w:line="360" w:lineRule="auto"/>
        <w:ind w:left="709" w:hanging="436"/>
        <w:jc w:val="left"/>
        <w:rPr>
          <w:rFonts w:eastAsia="Calibri" w:cs="Times New Roman"/>
          <w:color w:val="000000"/>
          <w:lang w:eastAsia="en-US"/>
        </w:rPr>
      </w:pPr>
      <w:r w:rsidRPr="00C13683">
        <w:rPr>
          <w:rFonts w:eastAsia="Calibri" w:cs="Times New Roman"/>
          <w:color w:val="000000"/>
          <w:lang w:eastAsia="en-US"/>
        </w:rPr>
        <w:t>El riesgo de perjuicio supera el interés público general de que se difunda.</w:t>
      </w:r>
    </w:p>
    <w:p w14:paraId="4B9A32AA" w14:textId="77777777" w:rsidR="00112494" w:rsidRPr="00C13683" w:rsidRDefault="00112494" w:rsidP="00112494">
      <w:pPr>
        <w:tabs>
          <w:tab w:val="left" w:pos="4962"/>
        </w:tabs>
        <w:spacing w:after="0" w:line="360" w:lineRule="auto"/>
        <w:ind w:left="709" w:hanging="436"/>
        <w:rPr>
          <w:rFonts w:eastAsia="Calibri" w:cs="Times New Roman"/>
          <w:color w:val="000000"/>
          <w:lang w:eastAsia="en-US"/>
        </w:rPr>
      </w:pPr>
    </w:p>
    <w:p w14:paraId="75968D7B" w14:textId="77777777" w:rsidR="00112494" w:rsidRPr="00C13683" w:rsidRDefault="00112494" w:rsidP="00112494">
      <w:pPr>
        <w:numPr>
          <w:ilvl w:val="0"/>
          <w:numId w:val="25"/>
        </w:numPr>
        <w:tabs>
          <w:tab w:val="left" w:pos="4962"/>
        </w:tabs>
        <w:spacing w:after="0" w:line="360" w:lineRule="auto"/>
        <w:ind w:left="709" w:hanging="436"/>
        <w:rPr>
          <w:rFonts w:eastAsia="Calibri" w:cs="Times New Roman"/>
          <w:color w:val="000000"/>
          <w:lang w:eastAsia="en-US"/>
        </w:rPr>
      </w:pPr>
      <w:r w:rsidRPr="00C13683">
        <w:rPr>
          <w:rFonts w:eastAsia="Calibri" w:cs="Times New Roman"/>
          <w:color w:val="000000"/>
          <w:lang w:eastAsia="en-US"/>
        </w:rPr>
        <w:t>Que la limitación se adecua al principio de proporcionalidad y representa el medio menos restrictivo disponible para evitar el perjuicio.</w:t>
      </w:r>
    </w:p>
    <w:p w14:paraId="2BBE8CD7" w14:textId="77777777" w:rsidR="00112494" w:rsidRPr="00C13683" w:rsidRDefault="00112494" w:rsidP="00112494">
      <w:pPr>
        <w:spacing w:after="0" w:line="360" w:lineRule="auto"/>
        <w:jc w:val="left"/>
        <w:rPr>
          <w:rFonts w:eastAsia="Calibri" w:cs="Times New Roman"/>
          <w:color w:val="000000"/>
          <w:lang w:eastAsia="en-US"/>
        </w:rPr>
      </w:pPr>
    </w:p>
    <w:p w14:paraId="482DCFF9" w14:textId="37D250AB" w:rsidR="00112494" w:rsidRPr="00C13683" w:rsidRDefault="00112494" w:rsidP="00112494">
      <w:pPr>
        <w:spacing w:after="0" w:line="360" w:lineRule="auto"/>
        <w:rPr>
          <w:rFonts w:eastAsia="Calibri" w:cs="Times New Roman"/>
          <w:color w:val="000000"/>
          <w:lang w:eastAsia="en-US"/>
        </w:rPr>
      </w:pPr>
      <w:r w:rsidRPr="00C13683">
        <w:rPr>
          <w:rFonts w:eastAsia="Calibri" w:cs="Times New Roman"/>
          <w:color w:val="000000"/>
          <w:lang w:eastAsia="en-US"/>
        </w:rPr>
        <w:t xml:space="preserve">Además, el artículo 125 de la Ley de la materia, establece que la información clasificada como reservada según el artículo 140 de la Ley de Transparencia y Acceso a la Información Pública </w:t>
      </w:r>
      <w:r w:rsidRPr="00C13683">
        <w:rPr>
          <w:rFonts w:eastAsia="Calibri" w:cs="Times New Roman"/>
          <w:color w:val="000000"/>
          <w:lang w:eastAsia="en-US"/>
        </w:rPr>
        <w:lastRenderedPageBreak/>
        <w:t xml:space="preserve">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w:t>
      </w:r>
      <w:r w:rsidR="00E17649" w:rsidRPr="00C13683">
        <w:t>Dirección General de Seguridad Ciudadana y Tránsito Municipal</w:t>
      </w:r>
      <w:r w:rsidRPr="00C13683">
        <w:rPr>
          <w:rFonts w:eastAsia="Calibri" w:cs="Times New Roman"/>
          <w:color w:val="000000"/>
          <w:lang w:eastAsia="en-US"/>
        </w:rPr>
        <w:t>, de manera fundada y motivada, mediante la respectiva prueba de daño.</w:t>
      </w:r>
    </w:p>
    <w:p w14:paraId="20906252" w14:textId="77777777" w:rsidR="00112494" w:rsidRPr="00C13683" w:rsidRDefault="00112494" w:rsidP="00112494">
      <w:pPr>
        <w:tabs>
          <w:tab w:val="center" w:pos="4522"/>
        </w:tabs>
        <w:spacing w:after="0" w:line="360" w:lineRule="auto"/>
        <w:rPr>
          <w:rFonts w:eastAsia="Calibri" w:cs="Times New Roman"/>
          <w:color w:val="000000"/>
          <w:lang w:eastAsia="en-US"/>
        </w:rPr>
      </w:pPr>
    </w:p>
    <w:p w14:paraId="5E18959D" w14:textId="77777777" w:rsidR="00112494" w:rsidRPr="00C13683" w:rsidRDefault="00112494" w:rsidP="00112494">
      <w:pPr>
        <w:spacing w:after="0" w:line="360" w:lineRule="auto"/>
        <w:ind w:right="-28"/>
        <w:rPr>
          <w:rFonts w:eastAsia="Calibri" w:cs="Times New Roman"/>
          <w:color w:val="000000"/>
          <w:lang w:eastAsia="en-US"/>
        </w:rPr>
      </w:pPr>
      <w:r w:rsidRPr="00C13683">
        <w:rPr>
          <w:rFonts w:eastAsia="Calibri" w:cs="Times New Roman"/>
          <w:color w:val="000000"/>
          <w:lang w:eastAsia="en-U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B3F2FAE" w14:textId="77777777" w:rsidR="00112494" w:rsidRPr="00C13683" w:rsidRDefault="00112494" w:rsidP="001162C4">
      <w:pPr>
        <w:pStyle w:val="Ttulo2"/>
        <w:spacing w:before="0" w:after="0" w:line="360" w:lineRule="auto"/>
        <w:rPr>
          <w:sz w:val="22"/>
          <w:szCs w:val="22"/>
        </w:rPr>
      </w:pPr>
      <w:bookmarkStart w:id="14" w:name="_Toc219289831"/>
    </w:p>
    <w:p w14:paraId="0CCF70E8" w14:textId="5E5057A5" w:rsidR="00D1318A" w:rsidRPr="00C13683" w:rsidRDefault="00D1318A" w:rsidP="001162C4">
      <w:pPr>
        <w:pStyle w:val="Ttulo2"/>
        <w:spacing w:before="0" w:after="0" w:line="360" w:lineRule="auto"/>
        <w:rPr>
          <w:sz w:val="22"/>
          <w:szCs w:val="22"/>
        </w:rPr>
      </w:pPr>
      <w:r w:rsidRPr="00C13683">
        <w:rPr>
          <w:sz w:val="22"/>
          <w:szCs w:val="22"/>
        </w:rPr>
        <w:t>SEXTO. Decisión</w:t>
      </w:r>
      <w:bookmarkEnd w:id="14"/>
    </w:p>
    <w:p w14:paraId="0D2B29DC" w14:textId="77777777" w:rsidR="00D1318A" w:rsidRPr="00C13683" w:rsidRDefault="00D1318A" w:rsidP="001162C4">
      <w:pPr>
        <w:spacing w:after="0" w:line="360" w:lineRule="auto"/>
        <w:contextualSpacing/>
        <w:rPr>
          <w:rFonts w:eastAsia="Calibri" w:cs="Tahoma"/>
          <w:b/>
        </w:rPr>
      </w:pPr>
    </w:p>
    <w:p w14:paraId="4BF18B87" w14:textId="21A58B0D" w:rsidR="00D1318A" w:rsidRPr="00C13683" w:rsidRDefault="00D1318A" w:rsidP="001162C4">
      <w:pPr>
        <w:spacing w:after="0" w:line="360" w:lineRule="auto"/>
      </w:pPr>
      <w:r w:rsidRPr="00C13683">
        <w:t xml:space="preserve">De acuerdo con lo expuesto y, con fundamento en el artículo 186, fracción III, de la Ley de Transparencia y Acceso a la Información Pública del Estado de México y Municipios, este Instituto considera procedente </w:t>
      </w:r>
      <w:r w:rsidR="00BF460D" w:rsidRPr="00C13683">
        <w:rPr>
          <w:b/>
        </w:rPr>
        <w:t>REVOCAR</w:t>
      </w:r>
      <w:r w:rsidRPr="00C13683">
        <w:rPr>
          <w:b/>
        </w:rPr>
        <w:t xml:space="preserve"> </w:t>
      </w:r>
      <w:r w:rsidRPr="00C13683">
        <w:t>la resp</w:t>
      </w:r>
      <w:r w:rsidR="00655068" w:rsidRPr="00C13683">
        <w:t>uesta del</w:t>
      </w:r>
      <w:r w:rsidR="00F66940" w:rsidRPr="00C13683">
        <w:t xml:space="preserve"> Ayu</w:t>
      </w:r>
      <w:r w:rsidR="0060286E" w:rsidRPr="00C13683">
        <w:t xml:space="preserve">ntamiento de </w:t>
      </w:r>
      <w:r w:rsidR="003F3CC3" w:rsidRPr="00C13683">
        <w:t>Ecatepec de Morelos</w:t>
      </w:r>
      <w:r w:rsidRPr="00C13683">
        <w:rPr>
          <w:b/>
        </w:rPr>
        <w:t xml:space="preserve">, </w:t>
      </w:r>
      <w:r w:rsidRPr="00C13683">
        <w:t xml:space="preserve">a efecto de que </w:t>
      </w:r>
      <w:r w:rsidR="004076BD" w:rsidRPr="00C13683">
        <w:t>entregue</w:t>
      </w:r>
      <w:r w:rsidR="00287797" w:rsidRPr="00C13683">
        <w:t xml:space="preserve"> la información solicitada</w:t>
      </w:r>
      <w:r w:rsidR="001C6B7A" w:rsidRPr="00C13683">
        <w:t>.</w:t>
      </w:r>
    </w:p>
    <w:p w14:paraId="2D21EE22" w14:textId="77777777" w:rsidR="002C080E" w:rsidRPr="00C13683" w:rsidRDefault="002C080E" w:rsidP="001162C4">
      <w:pPr>
        <w:spacing w:after="0" w:line="360" w:lineRule="auto"/>
      </w:pPr>
    </w:p>
    <w:p w14:paraId="0C829323" w14:textId="77777777" w:rsidR="00D1318A" w:rsidRPr="00C13683" w:rsidRDefault="00D1318A" w:rsidP="001162C4">
      <w:pPr>
        <w:spacing w:after="0" w:line="360" w:lineRule="auto"/>
        <w:contextualSpacing/>
        <w:rPr>
          <w:rFonts w:eastAsia="Calibri" w:cs="Tahoma"/>
          <w:b/>
          <w:bCs/>
        </w:rPr>
      </w:pPr>
      <w:r w:rsidRPr="00C13683">
        <w:rPr>
          <w:rFonts w:eastAsia="Calibri" w:cs="Tahoma"/>
          <w:b/>
          <w:bCs/>
        </w:rPr>
        <w:lastRenderedPageBreak/>
        <w:t>Términos de la Resolución para conocimiento del Particular</w:t>
      </w:r>
    </w:p>
    <w:p w14:paraId="1E2E8060" w14:textId="77777777" w:rsidR="00795C86" w:rsidRPr="00C13683" w:rsidRDefault="00795C86" w:rsidP="001162C4">
      <w:pPr>
        <w:spacing w:after="0" w:line="360" w:lineRule="auto"/>
        <w:contextualSpacing/>
        <w:rPr>
          <w:rFonts w:eastAsia="Calibri" w:cs="Tahoma"/>
          <w:b/>
          <w:bCs/>
        </w:rPr>
      </w:pPr>
    </w:p>
    <w:p w14:paraId="07A7416D" w14:textId="77777777" w:rsidR="00E17649" w:rsidRPr="00C13683" w:rsidRDefault="00D1318A" w:rsidP="001162C4">
      <w:pPr>
        <w:spacing w:after="0" w:line="360" w:lineRule="auto"/>
      </w:pPr>
      <w:r w:rsidRPr="00C13683">
        <w:t xml:space="preserve">Se le hace del conocimiento a la persona Recurrente que, en el presente asunto, se le da la razón, pues </w:t>
      </w:r>
      <w:r w:rsidR="00715343" w:rsidRPr="00C13683">
        <w:t xml:space="preserve">si bien </w:t>
      </w:r>
      <w:r w:rsidR="004076BD" w:rsidRPr="00C13683">
        <w:t>el Sujeto Obligado</w:t>
      </w:r>
      <w:r w:rsidR="00BF460D" w:rsidRPr="00C13683">
        <w:t xml:space="preserve"> dio respuesta</w:t>
      </w:r>
      <w:r w:rsidR="00D44453" w:rsidRPr="00C13683">
        <w:t xml:space="preserve">, </w:t>
      </w:r>
      <w:r w:rsidR="003F3CC3" w:rsidRPr="00C13683">
        <w:t>no acreditó la clasificación de la información como reservada</w:t>
      </w:r>
      <w:r w:rsidR="00795C86" w:rsidRPr="00C13683">
        <w:t xml:space="preserve">, </w:t>
      </w:r>
      <w:r w:rsidR="00AE7A85" w:rsidRPr="00C13683">
        <w:t xml:space="preserve">por lo que, </w:t>
      </w:r>
      <w:r w:rsidRPr="00C13683">
        <w:t>deberá entre</w:t>
      </w:r>
      <w:r w:rsidR="00655068" w:rsidRPr="00C13683">
        <w:t>ga</w:t>
      </w:r>
      <w:r w:rsidR="00AE7A85" w:rsidRPr="00C13683">
        <w:t>r</w:t>
      </w:r>
      <w:r w:rsidR="00287797" w:rsidRPr="00C13683">
        <w:t xml:space="preserve"> la información</w:t>
      </w:r>
      <w:r w:rsidR="00795C86" w:rsidRPr="00C13683">
        <w:t xml:space="preserve"> solicitada</w:t>
      </w:r>
      <w:r w:rsidR="003F3CC3" w:rsidRPr="00C13683">
        <w:t xml:space="preserve"> en versión pública</w:t>
      </w:r>
      <w:r w:rsidR="00E17649" w:rsidRPr="00C13683">
        <w:t xml:space="preserve">. </w:t>
      </w:r>
    </w:p>
    <w:p w14:paraId="3F60C2A9" w14:textId="77777777" w:rsidR="00E17649" w:rsidRPr="00C13683" w:rsidRDefault="00E17649" w:rsidP="001162C4">
      <w:pPr>
        <w:spacing w:after="0" w:line="360" w:lineRule="auto"/>
      </w:pPr>
    </w:p>
    <w:p w14:paraId="3B668E85" w14:textId="14F0E229" w:rsidR="00D1318A" w:rsidRPr="00C13683" w:rsidRDefault="00E17649" w:rsidP="001162C4">
      <w:pPr>
        <w:spacing w:after="0" w:line="360" w:lineRule="auto"/>
      </w:pPr>
      <w:r w:rsidRPr="00C13683">
        <w:rPr>
          <w:color w:val="000000"/>
        </w:rPr>
        <w:t>L</w:t>
      </w:r>
      <w:r w:rsidR="00D1318A" w:rsidRPr="00C13683">
        <w:rPr>
          <w:color w:val="000000"/>
        </w:rPr>
        <w:t>a labor del Instituto es apoyar a la población a acceder a la información pública y garantizar la protección de sus datos personales.</w:t>
      </w:r>
    </w:p>
    <w:p w14:paraId="51AD938A" w14:textId="77777777" w:rsidR="00E50794" w:rsidRPr="00C13683" w:rsidRDefault="00E50794" w:rsidP="001162C4">
      <w:pPr>
        <w:spacing w:after="0" w:line="360" w:lineRule="auto"/>
      </w:pPr>
    </w:p>
    <w:p w14:paraId="1C805ED0" w14:textId="77777777" w:rsidR="00D1318A" w:rsidRPr="00C13683" w:rsidRDefault="00D1318A" w:rsidP="001162C4">
      <w:pPr>
        <w:spacing w:after="0" w:line="360" w:lineRule="auto"/>
        <w:contextualSpacing/>
        <w:rPr>
          <w:rFonts w:eastAsia="Calibri"/>
        </w:rPr>
      </w:pPr>
      <w:r w:rsidRPr="00C13683">
        <w:rPr>
          <w:rFonts w:eastAsia="Calibri"/>
        </w:rPr>
        <w:t>Por lo expuesto y fundado, este Pleno:</w:t>
      </w:r>
    </w:p>
    <w:p w14:paraId="7E4B6E8F" w14:textId="77777777" w:rsidR="00057905" w:rsidRPr="00C13683" w:rsidRDefault="00057905" w:rsidP="001162C4">
      <w:pPr>
        <w:spacing w:after="0" w:line="360" w:lineRule="auto"/>
        <w:contextualSpacing/>
        <w:rPr>
          <w:rFonts w:eastAsia="Calibri"/>
        </w:rPr>
      </w:pPr>
    </w:p>
    <w:p w14:paraId="4969F2B6" w14:textId="77777777" w:rsidR="00D1318A" w:rsidRPr="00C13683" w:rsidRDefault="00D1318A" w:rsidP="001162C4">
      <w:pPr>
        <w:pStyle w:val="Ttulo1"/>
        <w:spacing w:before="0" w:after="0" w:line="360" w:lineRule="auto"/>
        <w:jc w:val="center"/>
        <w:rPr>
          <w:sz w:val="22"/>
          <w:szCs w:val="22"/>
        </w:rPr>
      </w:pPr>
      <w:bookmarkStart w:id="15" w:name="_Toc219289832"/>
      <w:r w:rsidRPr="00C13683">
        <w:rPr>
          <w:sz w:val="22"/>
          <w:szCs w:val="22"/>
        </w:rPr>
        <w:t>R E S U E L V E</w:t>
      </w:r>
      <w:bookmarkEnd w:id="15"/>
    </w:p>
    <w:p w14:paraId="00911B7E" w14:textId="77777777" w:rsidR="00D1318A" w:rsidRPr="00C13683" w:rsidRDefault="00D1318A" w:rsidP="001162C4">
      <w:pPr>
        <w:spacing w:after="0" w:line="360" w:lineRule="auto"/>
        <w:contextualSpacing/>
        <w:rPr>
          <w:rFonts w:eastAsia="Calibri"/>
          <w:b/>
          <w:bCs/>
        </w:rPr>
      </w:pPr>
    </w:p>
    <w:p w14:paraId="59D86F6A" w14:textId="56B1F098" w:rsidR="00D1318A" w:rsidRPr="00C13683" w:rsidRDefault="00D1318A" w:rsidP="001162C4">
      <w:pPr>
        <w:spacing w:after="0" w:line="360" w:lineRule="auto"/>
        <w:contextualSpacing/>
        <w:rPr>
          <w:bCs/>
        </w:rPr>
      </w:pPr>
      <w:r w:rsidRPr="00C13683">
        <w:rPr>
          <w:rFonts w:cs="Tahoma"/>
          <w:b/>
          <w:bCs/>
        </w:rPr>
        <w:t xml:space="preserve">PRIMERO. </w:t>
      </w:r>
      <w:r w:rsidRPr="00C13683">
        <w:rPr>
          <w:rFonts w:cs="Tahoma"/>
          <w:bCs/>
        </w:rPr>
        <w:t xml:space="preserve">Se </w:t>
      </w:r>
      <w:r w:rsidR="00BF460D" w:rsidRPr="00C13683">
        <w:rPr>
          <w:rFonts w:cs="Tahoma"/>
          <w:b/>
          <w:bCs/>
        </w:rPr>
        <w:t>REVOCA</w:t>
      </w:r>
      <w:r w:rsidRPr="00C13683">
        <w:rPr>
          <w:rFonts w:cs="Tahoma"/>
          <w:b/>
          <w:bCs/>
        </w:rPr>
        <w:t xml:space="preserve"> </w:t>
      </w:r>
      <w:r w:rsidRPr="00C13683">
        <w:rPr>
          <w:rFonts w:cs="Tahoma"/>
          <w:bCs/>
        </w:rPr>
        <w:t>la respuesta entrega</w:t>
      </w:r>
      <w:r w:rsidR="00655068" w:rsidRPr="00C13683">
        <w:rPr>
          <w:rFonts w:cs="Tahoma"/>
          <w:bCs/>
        </w:rPr>
        <w:t>da por el</w:t>
      </w:r>
      <w:r w:rsidR="004076BD" w:rsidRPr="00C13683">
        <w:rPr>
          <w:rFonts w:cs="Tahoma"/>
          <w:bCs/>
        </w:rPr>
        <w:t xml:space="preserve"> Ayuntamiento de </w:t>
      </w:r>
      <w:r w:rsidR="003F3CC3" w:rsidRPr="00C13683">
        <w:rPr>
          <w:rFonts w:cs="Tahoma"/>
          <w:bCs/>
        </w:rPr>
        <w:t>Ecatepec de Morelos</w:t>
      </w:r>
      <w:r w:rsidRPr="00C13683">
        <w:rPr>
          <w:rFonts w:cs="Tahoma"/>
          <w:bCs/>
        </w:rPr>
        <w:t>, a la solicitud de información</w:t>
      </w:r>
      <w:r w:rsidR="00655068" w:rsidRPr="00C13683">
        <w:t xml:space="preserve"> </w:t>
      </w:r>
      <w:r w:rsidR="004068E7" w:rsidRPr="00C13683">
        <w:t>0</w:t>
      </w:r>
      <w:r w:rsidR="003F3CC3" w:rsidRPr="00C13683">
        <w:t>0657</w:t>
      </w:r>
      <w:r w:rsidR="004068E7" w:rsidRPr="00C13683">
        <w:t>/</w:t>
      </w:r>
      <w:r w:rsidR="003F3CC3" w:rsidRPr="00C13683">
        <w:t>ECATEPEC</w:t>
      </w:r>
      <w:r w:rsidR="000D392E" w:rsidRPr="00C13683">
        <w:t>/IP/2025</w:t>
      </w:r>
      <w:r w:rsidRPr="00C13683">
        <w:rPr>
          <w:bCs/>
        </w:rPr>
        <w:t xml:space="preserve">, por resultar </w:t>
      </w:r>
      <w:r w:rsidRPr="00C13683">
        <w:rPr>
          <w:b/>
          <w:bCs/>
        </w:rPr>
        <w:t>FUNDADAS</w:t>
      </w:r>
      <w:r w:rsidRPr="00C13683">
        <w:rPr>
          <w:rFonts w:cs="Tahoma"/>
          <w:b/>
          <w:bCs/>
        </w:rPr>
        <w:t xml:space="preserve"> </w:t>
      </w:r>
      <w:r w:rsidRPr="00C13683">
        <w:rPr>
          <w:rFonts w:eastAsia="Calibri" w:cs="Tahoma"/>
          <w:bCs/>
        </w:rPr>
        <w:t>las razones o motivos de inconformidad hechos valer por el Recurrente</w:t>
      </w:r>
      <w:r w:rsidRPr="00C13683">
        <w:rPr>
          <w:rFonts w:cs="Tahoma"/>
          <w:bCs/>
        </w:rPr>
        <w:t xml:space="preserve">, </w:t>
      </w:r>
      <w:r w:rsidRPr="00C13683">
        <w:rPr>
          <w:rFonts w:eastAsia="Calibri" w:cs="Tahoma"/>
          <w:bCs/>
        </w:rPr>
        <w:t>en términos de los considerandos QUINTO y SEXTO de la presente Resolución.</w:t>
      </w:r>
    </w:p>
    <w:p w14:paraId="5F3709A7" w14:textId="77777777" w:rsidR="00D1318A" w:rsidRPr="00C13683" w:rsidRDefault="00D1318A" w:rsidP="001162C4">
      <w:pPr>
        <w:spacing w:after="0" w:line="360" w:lineRule="auto"/>
        <w:contextualSpacing/>
        <w:rPr>
          <w:rFonts w:eastAsia="Times New Roman" w:cs="Tahoma"/>
          <w:bCs/>
          <w:lang w:eastAsia="es-ES"/>
        </w:rPr>
      </w:pPr>
    </w:p>
    <w:p w14:paraId="0248B568" w14:textId="14DC5204" w:rsidR="00704B45" w:rsidRPr="00C13683" w:rsidRDefault="00D1318A" w:rsidP="007D131F">
      <w:pPr>
        <w:spacing w:after="0" w:line="360" w:lineRule="auto"/>
        <w:rPr>
          <w:rFonts w:cs="Tahoma"/>
        </w:rPr>
      </w:pPr>
      <w:r w:rsidRPr="00C13683">
        <w:rPr>
          <w:rFonts w:cs="Tahoma"/>
          <w:b/>
          <w:bCs/>
        </w:rPr>
        <w:t xml:space="preserve">SEGUNDO. </w:t>
      </w:r>
      <w:r w:rsidRPr="00C13683">
        <w:t xml:space="preserve">Se </w:t>
      </w:r>
      <w:r w:rsidRPr="00C13683">
        <w:rPr>
          <w:b/>
        </w:rPr>
        <w:t>ORDENA</w:t>
      </w:r>
      <w:r w:rsidRPr="00C13683">
        <w:t xml:space="preserve"> al Ente Recurrido</w:t>
      </w:r>
      <w:r w:rsidRPr="00C13683">
        <w:rPr>
          <w:b/>
        </w:rPr>
        <w:t xml:space="preserve">, </w:t>
      </w:r>
      <w:r w:rsidR="004068E7" w:rsidRPr="00C13683">
        <w:t>a efecto de que</w:t>
      </w:r>
      <w:r w:rsidR="00287797" w:rsidRPr="00C13683">
        <w:t xml:space="preserve"> previa búsqueda exhaustiva</w:t>
      </w:r>
      <w:r w:rsidR="004068E7" w:rsidRPr="00C13683">
        <w:t xml:space="preserve"> </w:t>
      </w:r>
      <w:r w:rsidRPr="00C13683">
        <w:t>entregue</w:t>
      </w:r>
      <w:r w:rsidR="001C6B7A" w:rsidRPr="00C13683">
        <w:t xml:space="preserve">, </w:t>
      </w:r>
      <w:r w:rsidRPr="00C13683">
        <w:t>a través del Sistema de Acceso a la I</w:t>
      </w:r>
      <w:r w:rsidR="00715343" w:rsidRPr="00C13683">
        <w:t>nformación Mexiquense (SAIMEX)</w:t>
      </w:r>
      <w:r w:rsidR="00795C86" w:rsidRPr="00C13683">
        <w:t xml:space="preserve">, en </w:t>
      </w:r>
      <w:r w:rsidR="00B17B55" w:rsidRPr="00C13683">
        <w:t>versión</w:t>
      </w:r>
      <w:r w:rsidR="0015197F" w:rsidRPr="00C13683">
        <w:t xml:space="preserve"> pública</w:t>
      </w:r>
      <w:r w:rsidR="00B17B55" w:rsidRPr="00C13683">
        <w:t xml:space="preserve">, </w:t>
      </w:r>
      <w:r w:rsidR="007D131F" w:rsidRPr="00C13683">
        <w:rPr>
          <w:rFonts w:cs="Tahoma"/>
        </w:rPr>
        <w:t>lo siguiente:</w:t>
      </w:r>
    </w:p>
    <w:p w14:paraId="46D3B4EE" w14:textId="275EC0C8" w:rsidR="007D131F" w:rsidRPr="00C13683" w:rsidRDefault="007D131F" w:rsidP="003F3CC3">
      <w:pPr>
        <w:tabs>
          <w:tab w:val="center" w:pos="4522"/>
        </w:tabs>
        <w:spacing w:line="360" w:lineRule="auto"/>
        <w:rPr>
          <w:rFonts w:cs="Tahoma"/>
        </w:rPr>
      </w:pPr>
    </w:p>
    <w:p w14:paraId="0B582C65" w14:textId="57432B05" w:rsidR="003F3CC3" w:rsidRPr="00C13683" w:rsidRDefault="00112494" w:rsidP="00112494">
      <w:pPr>
        <w:pStyle w:val="Prrafodelista"/>
        <w:numPr>
          <w:ilvl w:val="0"/>
          <w:numId w:val="20"/>
        </w:numPr>
        <w:tabs>
          <w:tab w:val="center" w:pos="4522"/>
        </w:tabs>
        <w:spacing w:line="360" w:lineRule="auto"/>
        <w:rPr>
          <w:rFonts w:eastAsia="Calibri"/>
          <w:color w:val="000000"/>
        </w:rPr>
      </w:pPr>
      <w:r w:rsidRPr="00C13683">
        <w:rPr>
          <w:color w:val="000000"/>
        </w:rPr>
        <w:t>Los comprobantes de pago (transferencia o cheque) realizados por la Tesorería Municipal,</w:t>
      </w:r>
      <w:r w:rsidR="003F3CC3" w:rsidRPr="00C13683">
        <w:rPr>
          <w:rFonts w:eastAsia="Calibri"/>
          <w:color w:val="000000"/>
        </w:rPr>
        <w:t xml:space="preserve"> del primero al treinta y uno de julio de dos mil veinticinco.</w:t>
      </w:r>
    </w:p>
    <w:p w14:paraId="50740520" w14:textId="5DE8F7FC" w:rsidR="00112494" w:rsidRPr="00C13683" w:rsidRDefault="00112494" w:rsidP="00112494">
      <w:pPr>
        <w:spacing w:after="0" w:line="360" w:lineRule="auto"/>
        <w:rPr>
          <w:color w:val="000000"/>
        </w:rPr>
      </w:pPr>
      <w:r w:rsidRPr="00C13683">
        <w:rPr>
          <w:color w:val="000000"/>
        </w:rPr>
        <w:lastRenderedPageBreak/>
        <w:t>Además,</w:t>
      </w:r>
      <w:r w:rsidR="00E17649" w:rsidRPr="00C13683">
        <w:rPr>
          <w:color w:val="000000"/>
        </w:rPr>
        <w:t xml:space="preserve"> </w:t>
      </w:r>
      <w:r w:rsidRPr="00C13683">
        <w:rPr>
          <w:color w:val="000000"/>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5B5340" w14:textId="77777777" w:rsidR="0015197F" w:rsidRPr="00C13683" w:rsidRDefault="0015197F" w:rsidP="001162C4">
      <w:pPr>
        <w:spacing w:after="0" w:line="360" w:lineRule="auto"/>
        <w:ind w:right="-28"/>
        <w:contextualSpacing/>
      </w:pPr>
    </w:p>
    <w:p w14:paraId="2AE4964B" w14:textId="77777777" w:rsidR="002C080E" w:rsidRPr="00C13683" w:rsidRDefault="00D1318A" w:rsidP="001162C4">
      <w:pPr>
        <w:spacing w:after="0" w:line="360" w:lineRule="auto"/>
        <w:ind w:right="-28"/>
        <w:contextualSpacing/>
        <w:rPr>
          <w:rFonts w:cs="Tahoma"/>
          <w:bCs/>
          <w:iCs/>
        </w:rPr>
      </w:pPr>
      <w:r w:rsidRPr="00C13683">
        <w:rPr>
          <w:rFonts w:eastAsia="Calibri" w:cs="Tahoma"/>
          <w:b/>
          <w:bCs/>
        </w:rPr>
        <w:t xml:space="preserve">TERCERO. </w:t>
      </w:r>
      <w:r w:rsidRPr="00C13683">
        <w:rPr>
          <w:rFonts w:cs="Tahoma"/>
          <w:b/>
          <w:bCs/>
          <w:iCs/>
        </w:rPr>
        <w:t xml:space="preserve">NOTIFÍQUESE POR SAIMEX </w:t>
      </w:r>
      <w:r w:rsidRPr="00C13683">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C13683">
        <w:rPr>
          <w:rFonts w:cs="Tahoma"/>
          <w:bCs/>
          <w:iCs/>
        </w:rPr>
        <w:t xml:space="preserve">Ley </w:t>
      </w:r>
      <w:r w:rsidR="00C968FF" w:rsidRPr="00C13683">
        <w:rPr>
          <w:rFonts w:cs="Tahoma"/>
          <w:bCs/>
          <w:iCs/>
        </w:rPr>
        <w:t xml:space="preserve">referida. </w:t>
      </w:r>
    </w:p>
    <w:p w14:paraId="5BFFF1E0" w14:textId="77777777" w:rsidR="002C080E" w:rsidRPr="00C13683" w:rsidRDefault="002C080E" w:rsidP="001162C4">
      <w:pPr>
        <w:spacing w:after="0" w:line="360" w:lineRule="auto"/>
        <w:ind w:right="-28"/>
        <w:contextualSpacing/>
        <w:rPr>
          <w:rFonts w:cs="Tahoma"/>
          <w:bCs/>
          <w:iCs/>
        </w:rPr>
      </w:pPr>
    </w:p>
    <w:p w14:paraId="3EAE0142" w14:textId="1E66776A" w:rsidR="00D1318A" w:rsidRPr="00C13683" w:rsidRDefault="00D1318A" w:rsidP="001162C4">
      <w:pPr>
        <w:spacing w:after="0" w:line="360" w:lineRule="auto"/>
        <w:ind w:right="-28"/>
        <w:contextualSpacing/>
        <w:rPr>
          <w:rFonts w:cs="Tahoma"/>
          <w:bCs/>
          <w:iCs/>
        </w:rPr>
      </w:pPr>
      <w:r w:rsidRPr="00C13683">
        <w:rPr>
          <w:rFonts w:eastAsia="Calibri" w:cs="Tahoma"/>
          <w:iCs/>
          <w:color w:val="000000"/>
        </w:rPr>
        <w:t xml:space="preserve">De conformidad con el artículo 198 de la </w:t>
      </w:r>
      <w:r w:rsidR="00C968FF" w:rsidRPr="00C13683">
        <w:rPr>
          <w:rFonts w:cs="Tahoma"/>
          <w:bCs/>
          <w:iCs/>
        </w:rPr>
        <w:t>Ley de la materia</w:t>
      </w:r>
      <w:r w:rsidRPr="00C13683">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C13683" w:rsidRDefault="00D1318A" w:rsidP="001162C4">
      <w:pPr>
        <w:spacing w:after="0" w:line="360" w:lineRule="auto"/>
        <w:contextualSpacing/>
        <w:rPr>
          <w:rFonts w:eastAsia="Calibri" w:cs="Tahoma"/>
          <w:color w:val="000000"/>
          <w:lang w:val="es-ES"/>
        </w:rPr>
      </w:pPr>
    </w:p>
    <w:p w14:paraId="3F59EFC7" w14:textId="77777777" w:rsidR="00D1318A" w:rsidRPr="00C13683" w:rsidRDefault="00D1318A" w:rsidP="001162C4">
      <w:pPr>
        <w:spacing w:after="0" w:line="360" w:lineRule="auto"/>
        <w:contextualSpacing/>
        <w:rPr>
          <w:rFonts w:cs="Tahoma"/>
        </w:rPr>
      </w:pPr>
      <w:r w:rsidRPr="00C13683">
        <w:rPr>
          <w:rFonts w:eastAsia="Calibri" w:cs="Tahoma"/>
          <w:b/>
        </w:rPr>
        <w:t>CUARTO</w:t>
      </w:r>
      <w:r w:rsidRPr="00C13683">
        <w:rPr>
          <w:rFonts w:eastAsia="Calibri" w:cs="Tahoma"/>
          <w:b/>
          <w:bCs/>
        </w:rPr>
        <w:t xml:space="preserve">. </w:t>
      </w:r>
      <w:r w:rsidRPr="00C13683">
        <w:rPr>
          <w:rFonts w:cs="Tahoma"/>
          <w:b/>
        </w:rPr>
        <w:t>NOTIFÍQUESE POR SAIMEX</w:t>
      </w:r>
      <w:r w:rsidRPr="00C1368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13683" w:rsidRDefault="00D1318A" w:rsidP="001162C4">
      <w:pPr>
        <w:spacing w:after="0" w:line="360" w:lineRule="auto"/>
        <w:contextualSpacing/>
        <w:rPr>
          <w:rFonts w:cs="Arial"/>
          <w:b/>
          <w:bCs/>
        </w:rPr>
      </w:pPr>
    </w:p>
    <w:p w14:paraId="440D22CF" w14:textId="7BBA055E" w:rsidR="00D1318A" w:rsidRDefault="00D1318A" w:rsidP="001162C4">
      <w:pPr>
        <w:spacing w:after="0" w:line="360" w:lineRule="auto"/>
        <w:contextualSpacing/>
        <w:rPr>
          <w:rFonts w:cs="Tahoma"/>
          <w:b/>
          <w:bCs/>
        </w:rPr>
      </w:pPr>
      <w:r w:rsidRPr="00C13683">
        <w:rPr>
          <w:rFonts w:eastAsia="Calibri" w:cs="Tahoma"/>
          <w:bCs/>
        </w:rPr>
        <w:t>ASÍ LO RESUELVE, POR </w:t>
      </w:r>
      <w:r w:rsidRPr="00C13683">
        <w:rPr>
          <w:rFonts w:eastAsia="Calibri" w:cs="Tahoma"/>
          <w:b/>
          <w:bCs/>
        </w:rPr>
        <w:t>UNANIMIDAD</w:t>
      </w:r>
      <w:r w:rsidRPr="00C13683">
        <w:rPr>
          <w:rFonts w:eastAsia="Calibri" w:cs="Tahoma"/>
          <w:bCs/>
        </w:rPr>
        <w:t xml:space="preserve"> DE VOTOS EL PLENO DEL INSTITUTO DE TRANSPARENCIA, ACCESO A LA INFORMACIÓN PÚBLICA Y PROTECCIÓN DE </w:t>
      </w:r>
      <w:r w:rsidRPr="00C13683">
        <w:rPr>
          <w:rFonts w:eastAsia="Calibri" w:cs="Tahoma"/>
          <w:bCs/>
        </w:rPr>
        <w:lastRenderedPageBreak/>
        <w:t>DATOS PERSONALES DEL ESTADO DE MÉXICO Y MUNICIPIOS, CONFORMADO POR LOS COMISIONADOS JOSÉ MARTÍNEZ VILCHIS, MARÍA DEL ROSARIO MEJÍA AYALA, SHARON CRISTINA MORALES MARTÍNEZ, LUIS GUSTAVO PARRA NORIEGA Y GUADALUPE RAMÍREZ PEÑA</w:t>
      </w:r>
      <w:r w:rsidR="00CF7AA5" w:rsidRPr="00C13683">
        <w:rPr>
          <w:rFonts w:eastAsia="Calibri" w:cs="Tahoma"/>
          <w:bCs/>
        </w:rPr>
        <w:t xml:space="preserve">, EN LA </w:t>
      </w:r>
      <w:r w:rsidR="00B92D10" w:rsidRPr="00C13683">
        <w:rPr>
          <w:rFonts w:eastAsia="Calibri" w:cs="Tahoma"/>
          <w:bCs/>
        </w:rPr>
        <w:t xml:space="preserve">SEGUNDA </w:t>
      </w:r>
      <w:r w:rsidRPr="00C13683">
        <w:rPr>
          <w:rFonts w:eastAsia="Calibri" w:cs="Tahoma"/>
          <w:bCs/>
        </w:rPr>
        <w:t>SESIÓN ORDINA</w:t>
      </w:r>
      <w:r w:rsidR="00715343" w:rsidRPr="00C13683">
        <w:rPr>
          <w:rFonts w:eastAsia="Calibri" w:cs="Tahoma"/>
          <w:bCs/>
        </w:rPr>
        <w:t>RIA, C</w:t>
      </w:r>
      <w:r w:rsidR="0052714E" w:rsidRPr="00C13683">
        <w:rPr>
          <w:rFonts w:eastAsia="Calibri" w:cs="Tahoma"/>
          <w:bCs/>
        </w:rPr>
        <w:t>ELEBRADA EL</w:t>
      </w:r>
      <w:r w:rsidR="00B92D10" w:rsidRPr="00C13683">
        <w:rPr>
          <w:rFonts w:eastAsia="Calibri" w:cs="Tahoma"/>
          <w:bCs/>
        </w:rPr>
        <w:t xml:space="preserve"> VEINTIUNO DE ENERO DE DOS MIL VEINTISÉIS</w:t>
      </w:r>
      <w:r w:rsidRPr="00C13683">
        <w:rPr>
          <w:rFonts w:eastAsia="Calibri" w:cs="Tahoma"/>
          <w:bCs/>
        </w:rPr>
        <w:t>,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75397E7C" w14:textId="77777777" w:rsidR="006F37FB" w:rsidRDefault="006F37FB" w:rsidP="001162C4">
      <w:pPr>
        <w:spacing w:after="0" w:line="360" w:lineRule="auto"/>
      </w:pPr>
    </w:p>
    <w:p w14:paraId="39B64452" w14:textId="77777777" w:rsidR="006F37FB" w:rsidRDefault="006F37FB" w:rsidP="001162C4">
      <w:pPr>
        <w:spacing w:after="0" w:line="360" w:lineRule="auto"/>
      </w:pPr>
    </w:p>
    <w:p w14:paraId="2067DF93" w14:textId="77777777" w:rsidR="006F37FB" w:rsidRDefault="006F37FB" w:rsidP="001162C4">
      <w:pPr>
        <w:spacing w:after="0" w:line="360" w:lineRule="auto"/>
      </w:pPr>
    </w:p>
    <w:p w14:paraId="4BF8BF74" w14:textId="77777777" w:rsidR="006F37FB" w:rsidRDefault="006F37FB" w:rsidP="001162C4">
      <w:pPr>
        <w:spacing w:after="0" w:line="360" w:lineRule="auto"/>
      </w:pPr>
    </w:p>
    <w:p w14:paraId="20D58FB2" w14:textId="77777777" w:rsidR="006F37FB" w:rsidRDefault="006F37FB" w:rsidP="001162C4">
      <w:pPr>
        <w:spacing w:after="0" w:line="360" w:lineRule="auto"/>
      </w:pPr>
    </w:p>
    <w:p w14:paraId="3BF66F3D" w14:textId="77777777" w:rsidR="006F37FB" w:rsidRDefault="006F37FB" w:rsidP="001162C4">
      <w:pPr>
        <w:spacing w:after="0" w:line="360" w:lineRule="auto"/>
      </w:pPr>
    </w:p>
    <w:p w14:paraId="78164D40" w14:textId="77777777" w:rsidR="006F37FB" w:rsidRDefault="006F37FB" w:rsidP="001162C4">
      <w:pPr>
        <w:spacing w:after="0" w:line="360" w:lineRule="auto"/>
      </w:pPr>
    </w:p>
    <w:p w14:paraId="0A9E8524" w14:textId="77777777" w:rsidR="006F37FB" w:rsidRDefault="006F37FB"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1BFE0" w14:textId="77777777" w:rsidR="00FD6404" w:rsidRDefault="00FD6404">
      <w:pPr>
        <w:spacing w:after="0" w:line="240" w:lineRule="auto"/>
      </w:pPr>
      <w:r>
        <w:separator/>
      </w:r>
    </w:p>
  </w:endnote>
  <w:endnote w:type="continuationSeparator" w:id="0">
    <w:p w14:paraId="221FAFAF" w14:textId="77777777" w:rsidR="00FD6404" w:rsidRDefault="00FD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F1A02" w:rsidRDefault="005F1A0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F09B6">
      <w:rPr>
        <w:b/>
        <w:noProof/>
        <w:color w:val="000000"/>
        <w:sz w:val="24"/>
        <w:szCs w:val="24"/>
      </w:rPr>
      <w:t>54</w:t>
    </w:r>
    <w:r>
      <w:rPr>
        <w:b/>
        <w:color w:val="000000"/>
        <w:sz w:val="24"/>
        <w:szCs w:val="24"/>
      </w:rPr>
      <w:fldChar w:fldCharType="end"/>
    </w:r>
  </w:p>
  <w:p w14:paraId="7EB9860B" w14:textId="77777777" w:rsidR="005F1A02" w:rsidRDefault="005F1A0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F1A02" w:rsidRDefault="005F1A0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34A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34AF">
      <w:rPr>
        <w:b/>
        <w:noProof/>
        <w:color w:val="000000"/>
        <w:sz w:val="24"/>
        <w:szCs w:val="24"/>
      </w:rPr>
      <w:t>54</w:t>
    </w:r>
    <w:r>
      <w:rPr>
        <w:b/>
        <w:color w:val="000000"/>
        <w:sz w:val="24"/>
        <w:szCs w:val="24"/>
      </w:rPr>
      <w:fldChar w:fldCharType="end"/>
    </w:r>
  </w:p>
  <w:p w14:paraId="0D7FA8D9" w14:textId="77777777" w:rsidR="005F1A02" w:rsidRDefault="005F1A0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F1A02" w:rsidRDefault="005F1A0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34A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34AF">
      <w:rPr>
        <w:b/>
        <w:noProof/>
        <w:color w:val="000000"/>
        <w:sz w:val="24"/>
        <w:szCs w:val="24"/>
      </w:rPr>
      <w:t>54</w:t>
    </w:r>
    <w:r>
      <w:rPr>
        <w:b/>
        <w:color w:val="000000"/>
        <w:sz w:val="24"/>
        <w:szCs w:val="24"/>
      </w:rPr>
      <w:fldChar w:fldCharType="end"/>
    </w:r>
  </w:p>
  <w:p w14:paraId="6796AF5F" w14:textId="77777777" w:rsidR="005F1A02" w:rsidRDefault="005F1A0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3DD87" w14:textId="77777777" w:rsidR="00FD6404" w:rsidRDefault="00FD6404">
      <w:pPr>
        <w:spacing w:after="0" w:line="240" w:lineRule="auto"/>
      </w:pPr>
      <w:r>
        <w:separator/>
      </w:r>
    </w:p>
  </w:footnote>
  <w:footnote w:type="continuationSeparator" w:id="0">
    <w:p w14:paraId="78AB398C" w14:textId="77777777" w:rsidR="00FD6404" w:rsidRDefault="00FD6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F1A02" w:rsidRDefault="005F1A02">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F1A02" w14:paraId="10C29E94" w14:textId="77777777">
      <w:trPr>
        <w:trHeight w:val="132"/>
      </w:trPr>
      <w:tc>
        <w:tcPr>
          <w:tcW w:w="2691" w:type="dxa"/>
        </w:tcPr>
        <w:p w14:paraId="7D85A4B8" w14:textId="77777777" w:rsidR="005F1A02" w:rsidRDefault="005F1A02">
          <w:pPr>
            <w:tabs>
              <w:tab w:val="right" w:pos="8838"/>
            </w:tabs>
            <w:ind w:right="-105"/>
            <w:rPr>
              <w:b/>
            </w:rPr>
          </w:pPr>
          <w:r>
            <w:rPr>
              <w:b/>
            </w:rPr>
            <w:t>Recurso de Revisión:</w:t>
          </w:r>
        </w:p>
      </w:tc>
      <w:tc>
        <w:tcPr>
          <w:tcW w:w="3405" w:type="dxa"/>
        </w:tcPr>
        <w:p w14:paraId="0B0D1A9D" w14:textId="77777777" w:rsidR="005F1A02" w:rsidRDefault="005F1A02">
          <w:pPr>
            <w:tabs>
              <w:tab w:val="right" w:pos="8838"/>
            </w:tabs>
            <w:ind w:left="-28" w:right="-32"/>
          </w:pPr>
          <w:r>
            <w:t>03846/INFOEM/IP/RR/2020</w:t>
          </w:r>
        </w:p>
      </w:tc>
    </w:tr>
    <w:tr w:rsidR="005F1A02" w14:paraId="2F47AC72" w14:textId="77777777">
      <w:trPr>
        <w:trHeight w:val="261"/>
      </w:trPr>
      <w:tc>
        <w:tcPr>
          <w:tcW w:w="2691" w:type="dxa"/>
        </w:tcPr>
        <w:p w14:paraId="154A4752" w14:textId="77777777" w:rsidR="005F1A02" w:rsidRDefault="005F1A02">
          <w:pPr>
            <w:tabs>
              <w:tab w:val="right" w:pos="8838"/>
            </w:tabs>
            <w:ind w:right="-105"/>
            <w:rPr>
              <w:b/>
            </w:rPr>
          </w:pPr>
          <w:r>
            <w:rPr>
              <w:b/>
            </w:rPr>
            <w:t>Sujeto Obligado:</w:t>
          </w:r>
        </w:p>
      </w:tc>
      <w:tc>
        <w:tcPr>
          <w:tcW w:w="3405" w:type="dxa"/>
        </w:tcPr>
        <w:p w14:paraId="5D9EC711" w14:textId="77777777" w:rsidR="005F1A02" w:rsidRDefault="005F1A02">
          <w:pPr>
            <w:tabs>
              <w:tab w:val="right" w:pos="8838"/>
            </w:tabs>
            <w:ind w:right="-32"/>
          </w:pPr>
          <w:r>
            <w:t xml:space="preserve">Ayuntamiento de </w:t>
          </w:r>
          <w:proofErr w:type="spellStart"/>
          <w:r>
            <w:t>Temascalcingo</w:t>
          </w:r>
          <w:proofErr w:type="spellEnd"/>
        </w:p>
      </w:tc>
    </w:tr>
    <w:tr w:rsidR="005F1A02" w14:paraId="11FBB450" w14:textId="77777777">
      <w:trPr>
        <w:trHeight w:val="261"/>
      </w:trPr>
      <w:tc>
        <w:tcPr>
          <w:tcW w:w="2691" w:type="dxa"/>
        </w:tcPr>
        <w:p w14:paraId="6BAF6003" w14:textId="77777777" w:rsidR="005F1A02" w:rsidRDefault="005F1A02">
          <w:pPr>
            <w:tabs>
              <w:tab w:val="right" w:pos="8838"/>
            </w:tabs>
            <w:ind w:right="-105"/>
            <w:rPr>
              <w:b/>
            </w:rPr>
          </w:pPr>
          <w:r>
            <w:rPr>
              <w:b/>
            </w:rPr>
            <w:t>Comisionado Ponente:</w:t>
          </w:r>
        </w:p>
      </w:tc>
      <w:tc>
        <w:tcPr>
          <w:tcW w:w="3405" w:type="dxa"/>
        </w:tcPr>
        <w:p w14:paraId="420341AF" w14:textId="77777777" w:rsidR="005F1A02" w:rsidRDefault="005F1A02">
          <w:pPr>
            <w:tabs>
              <w:tab w:val="right" w:pos="8838"/>
            </w:tabs>
            <w:ind w:right="-32"/>
            <w:rPr>
              <w:b/>
            </w:rPr>
          </w:pPr>
          <w:r>
            <w:t>Luis Gustavo Parra Noriega</w:t>
          </w:r>
        </w:p>
      </w:tc>
    </w:tr>
  </w:tbl>
  <w:p w14:paraId="00411D75" w14:textId="77777777" w:rsidR="005F1A02" w:rsidRDefault="00CC34AF">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F1A02" w:rsidRDefault="00CC34AF">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5F1A02" w14:paraId="40D5D5A3" w14:textId="77777777" w:rsidTr="007E7797">
      <w:trPr>
        <w:trHeight w:val="138"/>
      </w:trPr>
      <w:tc>
        <w:tcPr>
          <w:tcW w:w="2693" w:type="dxa"/>
          <w:vAlign w:val="center"/>
        </w:tcPr>
        <w:p w14:paraId="43377EBE" w14:textId="77777777" w:rsidR="005F1A02" w:rsidRDefault="005F1A02" w:rsidP="008C266D">
          <w:pPr>
            <w:tabs>
              <w:tab w:val="right" w:pos="8838"/>
            </w:tabs>
            <w:ind w:left="-108" w:right="-105"/>
            <w:jc w:val="left"/>
            <w:rPr>
              <w:b/>
            </w:rPr>
          </w:pPr>
        </w:p>
        <w:p w14:paraId="1DB5C8D0" w14:textId="7E98B3D2" w:rsidR="005F1A02" w:rsidRDefault="005F1A02" w:rsidP="008C266D">
          <w:pPr>
            <w:tabs>
              <w:tab w:val="right" w:pos="8838"/>
            </w:tabs>
            <w:ind w:left="-108" w:right="-105"/>
            <w:jc w:val="left"/>
            <w:rPr>
              <w:b/>
            </w:rPr>
          </w:pPr>
          <w:r>
            <w:rPr>
              <w:b/>
            </w:rPr>
            <w:t>Recurso de Revisión:</w:t>
          </w:r>
        </w:p>
      </w:tc>
      <w:tc>
        <w:tcPr>
          <w:tcW w:w="3969" w:type="dxa"/>
        </w:tcPr>
        <w:p w14:paraId="5BCC69C4" w14:textId="77777777" w:rsidR="005F1A02" w:rsidRPr="00EF0C39" w:rsidRDefault="005F1A02" w:rsidP="008C266D">
          <w:pPr>
            <w:tabs>
              <w:tab w:val="right" w:pos="8838"/>
            </w:tabs>
            <w:ind w:right="57"/>
          </w:pPr>
        </w:p>
        <w:p w14:paraId="61E59D71" w14:textId="472F8450" w:rsidR="005F1A02" w:rsidRPr="00EF0C39" w:rsidRDefault="005F1A02" w:rsidP="008C266D">
          <w:pPr>
            <w:tabs>
              <w:tab w:val="right" w:pos="8838"/>
            </w:tabs>
            <w:ind w:right="57"/>
          </w:pPr>
          <w:r>
            <w:t>10326/INFOEM/IP/RR/2025</w:t>
          </w:r>
        </w:p>
      </w:tc>
    </w:tr>
    <w:tr w:rsidR="005F1A02" w14:paraId="7A281F30" w14:textId="77777777" w:rsidTr="007E7797">
      <w:trPr>
        <w:trHeight w:val="273"/>
      </w:trPr>
      <w:tc>
        <w:tcPr>
          <w:tcW w:w="2693" w:type="dxa"/>
        </w:tcPr>
        <w:p w14:paraId="6671A308" w14:textId="77777777" w:rsidR="005F1A02" w:rsidRDefault="005F1A02" w:rsidP="008C266D">
          <w:pPr>
            <w:tabs>
              <w:tab w:val="right" w:pos="8838"/>
            </w:tabs>
            <w:ind w:left="-108" w:right="-105"/>
            <w:rPr>
              <w:b/>
            </w:rPr>
          </w:pPr>
          <w:r>
            <w:rPr>
              <w:b/>
            </w:rPr>
            <w:t>Sujeto Obligado:</w:t>
          </w:r>
        </w:p>
      </w:tc>
      <w:tc>
        <w:tcPr>
          <w:tcW w:w="3969" w:type="dxa"/>
        </w:tcPr>
        <w:p w14:paraId="30885B6D" w14:textId="2546DF17" w:rsidR="005F1A02" w:rsidRPr="00EF0C39" w:rsidRDefault="005F1A02" w:rsidP="007E7797">
          <w:pPr>
            <w:tabs>
              <w:tab w:val="right" w:pos="8838"/>
            </w:tabs>
            <w:ind w:right="742"/>
          </w:pPr>
          <w:r>
            <w:t>Ayuntamiento de Ecatepec de Morelos</w:t>
          </w:r>
        </w:p>
      </w:tc>
    </w:tr>
    <w:tr w:rsidR="005F1A02" w14:paraId="00C22F2F" w14:textId="77777777" w:rsidTr="007E7797">
      <w:trPr>
        <w:trHeight w:val="273"/>
      </w:trPr>
      <w:tc>
        <w:tcPr>
          <w:tcW w:w="2693" w:type="dxa"/>
        </w:tcPr>
        <w:p w14:paraId="70417649" w14:textId="77777777" w:rsidR="005F1A02" w:rsidRDefault="005F1A02" w:rsidP="008C266D">
          <w:pPr>
            <w:tabs>
              <w:tab w:val="right" w:pos="8838"/>
            </w:tabs>
            <w:ind w:left="-108" w:right="-105"/>
            <w:rPr>
              <w:b/>
            </w:rPr>
          </w:pPr>
          <w:r>
            <w:rPr>
              <w:b/>
            </w:rPr>
            <w:t>Comisionado Ponente:</w:t>
          </w:r>
        </w:p>
      </w:tc>
      <w:tc>
        <w:tcPr>
          <w:tcW w:w="3969" w:type="dxa"/>
        </w:tcPr>
        <w:p w14:paraId="5E6EB38B" w14:textId="77777777" w:rsidR="005F1A02" w:rsidRPr="00EF0C39" w:rsidRDefault="005F1A02" w:rsidP="008C266D">
          <w:pPr>
            <w:tabs>
              <w:tab w:val="right" w:pos="8838"/>
            </w:tabs>
            <w:ind w:right="-170"/>
          </w:pPr>
          <w:r w:rsidRPr="00EF0C39">
            <w:t>Luis Gustavo Parra Noriega</w:t>
          </w:r>
        </w:p>
        <w:p w14:paraId="1A63C67B" w14:textId="77777777" w:rsidR="005F1A02" w:rsidRPr="00EF0C39" w:rsidRDefault="005F1A02" w:rsidP="008C266D">
          <w:pPr>
            <w:tabs>
              <w:tab w:val="right" w:pos="8838"/>
            </w:tabs>
            <w:ind w:right="-170"/>
            <w:rPr>
              <w:b/>
            </w:rPr>
          </w:pPr>
        </w:p>
      </w:tc>
    </w:tr>
  </w:tbl>
  <w:p w14:paraId="3498D107" w14:textId="7E17876C" w:rsidR="005F1A02" w:rsidRDefault="005F1A02"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EC88BA7" w:rsidR="005F1A02" w:rsidRDefault="00CC34AF">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F1A02" w14:paraId="6B3232BD" w14:textId="77777777" w:rsidTr="007E7797">
      <w:trPr>
        <w:trHeight w:val="132"/>
      </w:trPr>
      <w:tc>
        <w:tcPr>
          <w:tcW w:w="2551" w:type="dxa"/>
        </w:tcPr>
        <w:p w14:paraId="38F16E2F" w14:textId="77777777" w:rsidR="005F1A02" w:rsidRDefault="005F1A02">
          <w:pPr>
            <w:tabs>
              <w:tab w:val="right" w:pos="8838"/>
            </w:tabs>
            <w:ind w:right="-105"/>
            <w:rPr>
              <w:b/>
            </w:rPr>
          </w:pPr>
          <w:r>
            <w:rPr>
              <w:b/>
            </w:rPr>
            <w:t>Recurso de Revisión:</w:t>
          </w:r>
        </w:p>
      </w:tc>
      <w:tc>
        <w:tcPr>
          <w:tcW w:w="4253" w:type="dxa"/>
        </w:tcPr>
        <w:p w14:paraId="211CDC0A" w14:textId="72AAA0CF" w:rsidR="005F1A02" w:rsidRPr="00026C6B" w:rsidRDefault="005F1A02" w:rsidP="00026C6B">
          <w:r>
            <w:t>10326/INFOEM/IP/RR/2025</w:t>
          </w:r>
        </w:p>
      </w:tc>
    </w:tr>
    <w:tr w:rsidR="005F1A02" w14:paraId="6AA3CC58" w14:textId="77777777" w:rsidTr="007E7797">
      <w:trPr>
        <w:trHeight w:val="132"/>
      </w:trPr>
      <w:tc>
        <w:tcPr>
          <w:tcW w:w="2551" w:type="dxa"/>
        </w:tcPr>
        <w:p w14:paraId="7FD164F5" w14:textId="77777777" w:rsidR="005F1A02" w:rsidRDefault="005F1A02">
          <w:pPr>
            <w:tabs>
              <w:tab w:val="left" w:pos="1875"/>
            </w:tabs>
            <w:ind w:right="-105"/>
            <w:rPr>
              <w:b/>
            </w:rPr>
          </w:pPr>
          <w:r>
            <w:rPr>
              <w:b/>
            </w:rPr>
            <w:t>Recurrente:</w:t>
          </w:r>
          <w:r>
            <w:rPr>
              <w:b/>
            </w:rPr>
            <w:tab/>
          </w:r>
        </w:p>
      </w:tc>
      <w:tc>
        <w:tcPr>
          <w:tcW w:w="4253" w:type="dxa"/>
        </w:tcPr>
        <w:p w14:paraId="1F1B0537" w14:textId="36B74CEC" w:rsidR="005F1A02" w:rsidRPr="00EF0C39" w:rsidRDefault="00CC34AF" w:rsidP="006D7FDA">
          <w:pPr>
            <w:tabs>
              <w:tab w:val="right" w:pos="8838"/>
            </w:tabs>
            <w:ind w:right="-250"/>
          </w:pPr>
          <w:r>
            <w:t xml:space="preserve"> </w:t>
          </w:r>
          <w:r w:rsidRPr="00CC34AF">
            <w:rPr>
              <w:highlight w:val="black"/>
            </w:rPr>
            <w:t>XXXXXXXXXXXXXXX</w:t>
          </w:r>
        </w:p>
      </w:tc>
    </w:tr>
    <w:tr w:rsidR="005F1A02" w14:paraId="5113CAA6" w14:textId="77777777" w:rsidTr="007E7797">
      <w:trPr>
        <w:trHeight w:val="261"/>
      </w:trPr>
      <w:tc>
        <w:tcPr>
          <w:tcW w:w="2551" w:type="dxa"/>
        </w:tcPr>
        <w:p w14:paraId="28E3431B" w14:textId="30EC7C18" w:rsidR="005F1A02" w:rsidRDefault="005F1A02">
          <w:pPr>
            <w:tabs>
              <w:tab w:val="right" w:pos="8838"/>
            </w:tabs>
            <w:ind w:right="-105"/>
            <w:rPr>
              <w:b/>
            </w:rPr>
          </w:pPr>
          <w:r>
            <w:rPr>
              <w:b/>
            </w:rPr>
            <w:t>Sujeto Obligado:</w:t>
          </w:r>
        </w:p>
      </w:tc>
      <w:tc>
        <w:tcPr>
          <w:tcW w:w="4253" w:type="dxa"/>
        </w:tcPr>
        <w:p w14:paraId="3192354E" w14:textId="75A57534" w:rsidR="005F1A02" w:rsidRPr="00026C6B" w:rsidRDefault="005F1A02" w:rsidP="007E7797">
          <w:pPr>
            <w:ind w:right="1026"/>
          </w:pPr>
          <w:r>
            <w:t>Ayuntamiento de Ecatepec de Morelos</w:t>
          </w:r>
        </w:p>
      </w:tc>
    </w:tr>
    <w:tr w:rsidR="005F1A02" w14:paraId="5D4C2A35" w14:textId="77777777" w:rsidTr="007E7797">
      <w:trPr>
        <w:trHeight w:val="261"/>
      </w:trPr>
      <w:tc>
        <w:tcPr>
          <w:tcW w:w="2551" w:type="dxa"/>
        </w:tcPr>
        <w:p w14:paraId="7F522FEC" w14:textId="77777777" w:rsidR="005F1A02" w:rsidRDefault="005F1A02">
          <w:pPr>
            <w:tabs>
              <w:tab w:val="right" w:pos="8838"/>
            </w:tabs>
            <w:ind w:right="-105"/>
            <w:rPr>
              <w:b/>
            </w:rPr>
          </w:pPr>
          <w:r>
            <w:rPr>
              <w:b/>
            </w:rPr>
            <w:t>Comisionado Ponente:</w:t>
          </w:r>
        </w:p>
      </w:tc>
      <w:tc>
        <w:tcPr>
          <w:tcW w:w="4253" w:type="dxa"/>
        </w:tcPr>
        <w:p w14:paraId="0F0566F9" w14:textId="77777777" w:rsidR="005F1A02" w:rsidRPr="00EF0C39" w:rsidRDefault="005F1A02" w:rsidP="00C46A25">
          <w:pPr>
            <w:tabs>
              <w:tab w:val="right" w:pos="8838"/>
            </w:tabs>
            <w:ind w:right="-32"/>
            <w:rPr>
              <w:b/>
            </w:rPr>
          </w:pPr>
          <w:r w:rsidRPr="00EF0C39">
            <w:t>Luis Gustavo Parra Noriega</w:t>
          </w:r>
        </w:p>
      </w:tc>
    </w:tr>
  </w:tbl>
  <w:p w14:paraId="4DFC2598" w14:textId="74A87CCC" w:rsidR="005F1A02" w:rsidRDefault="005F1A02">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24D3"/>
    <w:multiLevelType w:val="hybridMultilevel"/>
    <w:tmpl w:val="BE10E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46E0391"/>
    <w:multiLevelType w:val="hybridMultilevel"/>
    <w:tmpl w:val="E6E45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E22EEF"/>
    <w:multiLevelType w:val="multilevel"/>
    <w:tmpl w:val="92E28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AB6DDC"/>
    <w:multiLevelType w:val="hybridMultilevel"/>
    <w:tmpl w:val="E0BC1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DF6985"/>
    <w:multiLevelType w:val="multilevel"/>
    <w:tmpl w:val="C3FA0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9044ECE"/>
    <w:multiLevelType w:val="multilevel"/>
    <w:tmpl w:val="00BA56C8"/>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156CA5"/>
    <w:multiLevelType w:val="hybridMultilevel"/>
    <w:tmpl w:val="9F10CDB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5"/>
  </w:num>
  <w:num w:numId="6">
    <w:abstractNumId w:val="20"/>
  </w:num>
  <w:num w:numId="7">
    <w:abstractNumId w:val="8"/>
  </w:num>
  <w:num w:numId="8">
    <w:abstractNumId w:val="11"/>
  </w:num>
  <w:num w:numId="9">
    <w:abstractNumId w:val="7"/>
  </w:num>
  <w:num w:numId="10">
    <w:abstractNumId w:val="23"/>
  </w:num>
  <w:num w:numId="11">
    <w:abstractNumId w:val="16"/>
  </w:num>
  <w:num w:numId="12">
    <w:abstractNumId w:val="19"/>
  </w:num>
  <w:num w:numId="13">
    <w:abstractNumId w:val="13"/>
  </w:num>
  <w:num w:numId="14">
    <w:abstractNumId w:val="5"/>
  </w:num>
  <w:num w:numId="15">
    <w:abstractNumId w:val="9"/>
  </w:num>
  <w:num w:numId="16">
    <w:abstractNumId w:val="22"/>
  </w:num>
  <w:num w:numId="17">
    <w:abstractNumId w:val="21"/>
  </w:num>
  <w:num w:numId="18">
    <w:abstractNumId w:val="24"/>
  </w:num>
  <w:num w:numId="19">
    <w:abstractNumId w:val="17"/>
  </w:num>
  <w:num w:numId="20">
    <w:abstractNumId w:val="0"/>
  </w:num>
  <w:num w:numId="21">
    <w:abstractNumId w:val="4"/>
  </w:num>
  <w:num w:numId="22">
    <w:abstractNumId w:val="12"/>
  </w:num>
  <w:num w:numId="23">
    <w:abstractNumId w:val="14"/>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1A65"/>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2494"/>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6E39"/>
    <w:rsid w:val="001B7EFB"/>
    <w:rsid w:val="001C4DF4"/>
    <w:rsid w:val="001C638A"/>
    <w:rsid w:val="001C6B7A"/>
    <w:rsid w:val="001D1635"/>
    <w:rsid w:val="001D24CD"/>
    <w:rsid w:val="001D3FB9"/>
    <w:rsid w:val="001D4F21"/>
    <w:rsid w:val="001D5DBE"/>
    <w:rsid w:val="001D7D0E"/>
    <w:rsid w:val="001D7F0C"/>
    <w:rsid w:val="001E394F"/>
    <w:rsid w:val="001E4284"/>
    <w:rsid w:val="001E4ECA"/>
    <w:rsid w:val="001E5FDF"/>
    <w:rsid w:val="001E6077"/>
    <w:rsid w:val="001E6891"/>
    <w:rsid w:val="001F285F"/>
    <w:rsid w:val="001F2F42"/>
    <w:rsid w:val="001F3444"/>
    <w:rsid w:val="001F38E7"/>
    <w:rsid w:val="001F5043"/>
    <w:rsid w:val="001F5610"/>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242D"/>
    <w:rsid w:val="00215D49"/>
    <w:rsid w:val="002207FA"/>
    <w:rsid w:val="002217AE"/>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4CB3"/>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3CC3"/>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F95"/>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9F4"/>
    <w:rsid w:val="004F2DE2"/>
    <w:rsid w:val="004F525F"/>
    <w:rsid w:val="004F56D3"/>
    <w:rsid w:val="004F59FB"/>
    <w:rsid w:val="004F7451"/>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C67"/>
    <w:rsid w:val="005569DD"/>
    <w:rsid w:val="00556A90"/>
    <w:rsid w:val="00562D89"/>
    <w:rsid w:val="0056443F"/>
    <w:rsid w:val="00565861"/>
    <w:rsid w:val="005673D1"/>
    <w:rsid w:val="0057076C"/>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1A02"/>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48F"/>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2051"/>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37FB"/>
    <w:rsid w:val="006F4CC9"/>
    <w:rsid w:val="006F60D5"/>
    <w:rsid w:val="006F79F1"/>
    <w:rsid w:val="006F7CBF"/>
    <w:rsid w:val="007001B2"/>
    <w:rsid w:val="00700D00"/>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0C0"/>
    <w:rsid w:val="007428C7"/>
    <w:rsid w:val="00743915"/>
    <w:rsid w:val="0074523A"/>
    <w:rsid w:val="00747CDF"/>
    <w:rsid w:val="00750CF0"/>
    <w:rsid w:val="00751A94"/>
    <w:rsid w:val="00754B31"/>
    <w:rsid w:val="0076162A"/>
    <w:rsid w:val="0076190F"/>
    <w:rsid w:val="00762A7C"/>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131F"/>
    <w:rsid w:val="007D354B"/>
    <w:rsid w:val="007D6307"/>
    <w:rsid w:val="007D658D"/>
    <w:rsid w:val="007D7439"/>
    <w:rsid w:val="007E0603"/>
    <w:rsid w:val="007E172B"/>
    <w:rsid w:val="007E1EF5"/>
    <w:rsid w:val="007E25E4"/>
    <w:rsid w:val="007E56C0"/>
    <w:rsid w:val="007E5FB2"/>
    <w:rsid w:val="007E6087"/>
    <w:rsid w:val="007E6354"/>
    <w:rsid w:val="007E64DE"/>
    <w:rsid w:val="007E6532"/>
    <w:rsid w:val="007E65E1"/>
    <w:rsid w:val="007E7797"/>
    <w:rsid w:val="007E79A0"/>
    <w:rsid w:val="007E7B3F"/>
    <w:rsid w:val="007E7D61"/>
    <w:rsid w:val="007F09B6"/>
    <w:rsid w:val="007F0CD0"/>
    <w:rsid w:val="007F43EE"/>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215"/>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690"/>
    <w:rsid w:val="00945CB8"/>
    <w:rsid w:val="009502F9"/>
    <w:rsid w:val="00950D76"/>
    <w:rsid w:val="00950ED4"/>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87BA7"/>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9E8"/>
    <w:rsid w:val="009E2E2A"/>
    <w:rsid w:val="009E4128"/>
    <w:rsid w:val="009E4A04"/>
    <w:rsid w:val="009E6A6D"/>
    <w:rsid w:val="009F2202"/>
    <w:rsid w:val="009F3790"/>
    <w:rsid w:val="009F39DF"/>
    <w:rsid w:val="009F41F4"/>
    <w:rsid w:val="009F445E"/>
    <w:rsid w:val="009F6813"/>
    <w:rsid w:val="00A02DDB"/>
    <w:rsid w:val="00A03F8F"/>
    <w:rsid w:val="00A042BC"/>
    <w:rsid w:val="00A045F2"/>
    <w:rsid w:val="00A04F3B"/>
    <w:rsid w:val="00A05A26"/>
    <w:rsid w:val="00A065C8"/>
    <w:rsid w:val="00A071E9"/>
    <w:rsid w:val="00A10DA3"/>
    <w:rsid w:val="00A1369B"/>
    <w:rsid w:val="00A1415D"/>
    <w:rsid w:val="00A15402"/>
    <w:rsid w:val="00A168FA"/>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CE4"/>
    <w:rsid w:val="00A85D07"/>
    <w:rsid w:val="00A87D25"/>
    <w:rsid w:val="00A87E91"/>
    <w:rsid w:val="00A915DD"/>
    <w:rsid w:val="00A9286C"/>
    <w:rsid w:val="00A92DF7"/>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AF78AA"/>
    <w:rsid w:val="00B0019F"/>
    <w:rsid w:val="00B00C4E"/>
    <w:rsid w:val="00B02499"/>
    <w:rsid w:val="00B02773"/>
    <w:rsid w:val="00B02796"/>
    <w:rsid w:val="00B02A3F"/>
    <w:rsid w:val="00B03235"/>
    <w:rsid w:val="00B03A57"/>
    <w:rsid w:val="00B04A35"/>
    <w:rsid w:val="00B04BE1"/>
    <w:rsid w:val="00B050D9"/>
    <w:rsid w:val="00B0601E"/>
    <w:rsid w:val="00B12145"/>
    <w:rsid w:val="00B123FB"/>
    <w:rsid w:val="00B1247F"/>
    <w:rsid w:val="00B153FA"/>
    <w:rsid w:val="00B15D1C"/>
    <w:rsid w:val="00B179C3"/>
    <w:rsid w:val="00B17B55"/>
    <w:rsid w:val="00B20814"/>
    <w:rsid w:val="00B22A17"/>
    <w:rsid w:val="00B22B9F"/>
    <w:rsid w:val="00B22F78"/>
    <w:rsid w:val="00B24697"/>
    <w:rsid w:val="00B247CD"/>
    <w:rsid w:val="00B2667E"/>
    <w:rsid w:val="00B27131"/>
    <w:rsid w:val="00B27951"/>
    <w:rsid w:val="00B31892"/>
    <w:rsid w:val="00B32602"/>
    <w:rsid w:val="00B32689"/>
    <w:rsid w:val="00B331EC"/>
    <w:rsid w:val="00B35DA2"/>
    <w:rsid w:val="00B35F83"/>
    <w:rsid w:val="00B36A30"/>
    <w:rsid w:val="00B37415"/>
    <w:rsid w:val="00B37803"/>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87D9A"/>
    <w:rsid w:val="00B901B7"/>
    <w:rsid w:val="00B90713"/>
    <w:rsid w:val="00B92069"/>
    <w:rsid w:val="00B92D10"/>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3C86"/>
    <w:rsid w:val="00BD6505"/>
    <w:rsid w:val="00BE288A"/>
    <w:rsid w:val="00BE314D"/>
    <w:rsid w:val="00BE53BB"/>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683"/>
    <w:rsid w:val="00C13A67"/>
    <w:rsid w:val="00C13CD5"/>
    <w:rsid w:val="00C14481"/>
    <w:rsid w:val="00C157A7"/>
    <w:rsid w:val="00C16735"/>
    <w:rsid w:val="00C175A7"/>
    <w:rsid w:val="00C2045C"/>
    <w:rsid w:val="00C218B8"/>
    <w:rsid w:val="00C231AA"/>
    <w:rsid w:val="00C231EB"/>
    <w:rsid w:val="00C24DAF"/>
    <w:rsid w:val="00C25F9F"/>
    <w:rsid w:val="00C264AA"/>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C7A"/>
    <w:rsid w:val="00CA7EAE"/>
    <w:rsid w:val="00CA7F1D"/>
    <w:rsid w:val="00CB1204"/>
    <w:rsid w:val="00CB19C6"/>
    <w:rsid w:val="00CB5C38"/>
    <w:rsid w:val="00CC1C87"/>
    <w:rsid w:val="00CC1F8C"/>
    <w:rsid w:val="00CC29B3"/>
    <w:rsid w:val="00CC2EA8"/>
    <w:rsid w:val="00CC34AF"/>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2D95"/>
    <w:rsid w:val="00D1305D"/>
    <w:rsid w:val="00D1318A"/>
    <w:rsid w:val="00D131F8"/>
    <w:rsid w:val="00D13CEA"/>
    <w:rsid w:val="00D13F20"/>
    <w:rsid w:val="00D144B1"/>
    <w:rsid w:val="00D15014"/>
    <w:rsid w:val="00D15AA1"/>
    <w:rsid w:val="00D164BC"/>
    <w:rsid w:val="00D17468"/>
    <w:rsid w:val="00D203E4"/>
    <w:rsid w:val="00D21713"/>
    <w:rsid w:val="00D23481"/>
    <w:rsid w:val="00D252F7"/>
    <w:rsid w:val="00D25C63"/>
    <w:rsid w:val="00D279F0"/>
    <w:rsid w:val="00D27B88"/>
    <w:rsid w:val="00D27D4B"/>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08D7"/>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1764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4D06"/>
    <w:rsid w:val="00E46240"/>
    <w:rsid w:val="00E47AB2"/>
    <w:rsid w:val="00E50794"/>
    <w:rsid w:val="00E50ABD"/>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CE1"/>
    <w:rsid w:val="00F028A5"/>
    <w:rsid w:val="00F02ACE"/>
    <w:rsid w:val="00F03463"/>
    <w:rsid w:val="00F03E2D"/>
    <w:rsid w:val="00F05082"/>
    <w:rsid w:val="00F056AD"/>
    <w:rsid w:val="00F06AF6"/>
    <w:rsid w:val="00F104DF"/>
    <w:rsid w:val="00F10AC0"/>
    <w:rsid w:val="00F1255F"/>
    <w:rsid w:val="00F1561E"/>
    <w:rsid w:val="00F16ADD"/>
    <w:rsid w:val="00F16F36"/>
    <w:rsid w:val="00F17142"/>
    <w:rsid w:val="00F20567"/>
    <w:rsid w:val="00F21BA6"/>
    <w:rsid w:val="00F25709"/>
    <w:rsid w:val="00F26C65"/>
    <w:rsid w:val="00F30312"/>
    <w:rsid w:val="00F316B5"/>
    <w:rsid w:val="00F317D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19"/>
    <w:rsid w:val="00FB1BAA"/>
    <w:rsid w:val="00FB1BCD"/>
    <w:rsid w:val="00FB1D33"/>
    <w:rsid w:val="00FB628E"/>
    <w:rsid w:val="00FB7C3A"/>
    <w:rsid w:val="00FC01D5"/>
    <w:rsid w:val="00FC2034"/>
    <w:rsid w:val="00FC387F"/>
    <w:rsid w:val="00FC48F9"/>
    <w:rsid w:val="00FC6F1F"/>
    <w:rsid w:val="00FC7236"/>
    <w:rsid w:val="00FC74A2"/>
    <w:rsid w:val="00FD06A0"/>
    <w:rsid w:val="00FD34DC"/>
    <w:rsid w:val="00FD3D7D"/>
    <w:rsid w:val="00FD5141"/>
    <w:rsid w:val="00FD5CCF"/>
    <w:rsid w:val="00FD6404"/>
    <w:rsid w:val="00FD667D"/>
    <w:rsid w:val="00FE2415"/>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31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74021626">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pps.condusef.gob.mx/SIPRES/jsp/pub/index.js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dusef.gob.mx/Revista/index.php/usuario-inteligente/condusef-responde/777-la-condusef-te-puede-ayud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3A7D24-65C6-4DDD-ABDC-232A8076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13283</Words>
  <Characters>73062</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2026-01-23T16:57:00Z</cp:lastPrinted>
  <dcterms:created xsi:type="dcterms:W3CDTF">2026-01-23T16:57:00Z</dcterms:created>
  <dcterms:modified xsi:type="dcterms:W3CDTF">2026-02-12T19:59:00Z</dcterms:modified>
</cp:coreProperties>
</file>