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0729" w:rsidRPr="00AD22F4" w:rsidRDefault="00270729" w:rsidP="00270729">
      <w:pPr>
        <w:spacing w:line="360" w:lineRule="auto"/>
        <w:jc w:val="both"/>
        <w:rPr>
          <w:rFonts w:ascii="Palatino Linotype" w:hAnsi="Palatino Linotype"/>
        </w:rPr>
      </w:pPr>
      <w:r w:rsidRPr="00AD22F4">
        <w:rPr>
          <w:rFonts w:ascii="Palatino Linotype" w:hAnsi="Palatino Linotype"/>
        </w:rPr>
        <w:t xml:space="preserve">Resolución del Pleno del Instituto de Transparencia, Acceso a la Información Pública y Protección de Datos Personales del Estado de México y Municipios, con domicilio en Metepec, Estado de México, a </w:t>
      </w:r>
      <w:r w:rsidR="005B6B80" w:rsidRPr="00AD22F4">
        <w:rPr>
          <w:rFonts w:ascii="Palatino Linotype" w:hAnsi="Palatino Linotype"/>
        </w:rPr>
        <w:t>quince de abril</w:t>
      </w:r>
      <w:r w:rsidRPr="00AD22F4">
        <w:rPr>
          <w:rFonts w:ascii="Palatino Linotype" w:hAnsi="Palatino Linotype"/>
        </w:rPr>
        <w:t xml:space="preserve"> de </w:t>
      </w:r>
      <w:r w:rsidR="005B6B80" w:rsidRPr="00AD22F4">
        <w:rPr>
          <w:rFonts w:ascii="Palatino Linotype" w:hAnsi="Palatino Linotype"/>
        </w:rPr>
        <w:t>dos mil veintiséis</w:t>
      </w:r>
      <w:r w:rsidRPr="00AD22F4">
        <w:rPr>
          <w:rFonts w:ascii="Palatino Linotype" w:hAnsi="Palatino Linotype"/>
        </w:rPr>
        <w:t>.</w:t>
      </w:r>
    </w:p>
    <w:p w:rsidR="00270729" w:rsidRPr="00AD22F4" w:rsidRDefault="00270729" w:rsidP="00270729">
      <w:pPr>
        <w:spacing w:line="360" w:lineRule="auto"/>
        <w:jc w:val="both"/>
        <w:rPr>
          <w:rFonts w:ascii="Palatino Linotype" w:hAnsi="Palatino Linotype"/>
        </w:rPr>
      </w:pPr>
    </w:p>
    <w:p w:rsidR="00270729" w:rsidRPr="00AD22F4" w:rsidRDefault="00270729" w:rsidP="00270729">
      <w:pPr>
        <w:tabs>
          <w:tab w:val="left" w:pos="1701"/>
        </w:tabs>
        <w:spacing w:before="240" w:line="360" w:lineRule="auto"/>
        <w:jc w:val="both"/>
        <w:rPr>
          <w:rFonts w:ascii="Palatino Linotype" w:hAnsi="Palatino Linotype" w:cs="Arial"/>
          <w:sz w:val="28"/>
        </w:rPr>
      </w:pPr>
      <w:r w:rsidRPr="00AD22F4">
        <w:rPr>
          <w:rFonts w:ascii="Palatino Linotype" w:hAnsi="Palatino Linotype" w:cs="Arial"/>
          <w:b/>
        </w:rPr>
        <w:t>VISTO</w:t>
      </w:r>
      <w:r w:rsidRPr="00AD22F4">
        <w:rPr>
          <w:rFonts w:ascii="Palatino Linotype" w:hAnsi="Palatino Linotype" w:cs="Arial"/>
        </w:rPr>
        <w:t xml:space="preserve"> el expediente electrónico formado con motivo del recurso de revisión número</w:t>
      </w:r>
      <w:r w:rsidRPr="00AD22F4">
        <w:rPr>
          <w:rFonts w:ascii="Palatino Linotype" w:hAnsi="Palatino Linotype" w:cs="Arial"/>
          <w:b/>
        </w:rPr>
        <w:t xml:space="preserve"> </w:t>
      </w:r>
      <w:bookmarkStart w:id="0" w:name="_GoBack"/>
      <w:r w:rsidR="005B6B80" w:rsidRPr="00AD22F4">
        <w:rPr>
          <w:rFonts w:ascii="Palatino Linotype" w:hAnsi="Palatino Linotype" w:cs="Arial"/>
          <w:b/>
          <w:bCs/>
          <w:lang w:eastAsia="es-MX"/>
        </w:rPr>
        <w:t>1620/</w:t>
      </w:r>
      <w:r w:rsidRPr="00AD22F4">
        <w:rPr>
          <w:rFonts w:ascii="Palatino Linotype" w:hAnsi="Palatino Linotype" w:cs="Arial"/>
          <w:b/>
          <w:bCs/>
          <w:lang w:eastAsia="es-MX"/>
        </w:rPr>
        <w:t>INFOEM/IP/RR/</w:t>
      </w:r>
      <w:r w:rsidR="005B6B80" w:rsidRPr="00AD22F4">
        <w:rPr>
          <w:rFonts w:ascii="Palatino Linotype" w:hAnsi="Palatino Linotype" w:cs="Arial"/>
          <w:b/>
          <w:bCs/>
          <w:lang w:eastAsia="es-MX"/>
        </w:rPr>
        <w:t>2026</w:t>
      </w:r>
      <w:bookmarkEnd w:id="0"/>
      <w:r w:rsidRPr="00AD22F4">
        <w:rPr>
          <w:rFonts w:ascii="Palatino Linotype" w:hAnsi="Palatino Linotype" w:cs="Arial"/>
          <w:b/>
          <w:bCs/>
          <w:lang w:eastAsia="es-MX"/>
        </w:rPr>
        <w:t xml:space="preserve">, </w:t>
      </w:r>
      <w:r w:rsidRPr="00AD22F4">
        <w:rPr>
          <w:rFonts w:ascii="Palatino Linotype" w:hAnsi="Palatino Linotype"/>
        </w:rPr>
        <w:t xml:space="preserve">interpuesto por un particular que no proporcionó nombre o seudónimo, en lo sucesivo la parte </w:t>
      </w:r>
      <w:r w:rsidRPr="00AD22F4">
        <w:rPr>
          <w:rFonts w:ascii="Palatino Linotype" w:hAnsi="Palatino Linotype"/>
          <w:b/>
        </w:rPr>
        <w:t>Recurrente</w:t>
      </w:r>
      <w:r w:rsidRPr="00AD22F4">
        <w:rPr>
          <w:rFonts w:ascii="Palatino Linotype" w:hAnsi="Palatino Linotype"/>
        </w:rPr>
        <w:t xml:space="preserve">, en contra de la respuesta del </w:t>
      </w:r>
      <w:r w:rsidR="005B6B80" w:rsidRPr="00AD22F4">
        <w:rPr>
          <w:rFonts w:ascii="Palatino Linotype" w:hAnsi="Palatino Linotype"/>
          <w:b/>
        </w:rPr>
        <w:t>Ayuntamiento de Toluca</w:t>
      </w:r>
      <w:r w:rsidRPr="00AD22F4">
        <w:rPr>
          <w:rFonts w:ascii="Palatino Linotype" w:hAnsi="Palatino Linotype"/>
        </w:rPr>
        <w:t xml:space="preserve">, en lo subsecuente el </w:t>
      </w:r>
      <w:r w:rsidRPr="00AD22F4">
        <w:rPr>
          <w:rFonts w:ascii="Palatino Linotype" w:hAnsi="Palatino Linotype"/>
          <w:b/>
        </w:rPr>
        <w:t>Sujeto Obligado</w:t>
      </w:r>
      <w:r w:rsidRPr="00AD22F4">
        <w:rPr>
          <w:rFonts w:ascii="Palatino Linotype" w:hAnsi="Palatino Linotype"/>
        </w:rPr>
        <w:t>, se procede a dictar la presente resolución.</w:t>
      </w:r>
    </w:p>
    <w:p w:rsidR="00270729" w:rsidRPr="00AD22F4" w:rsidRDefault="00270729" w:rsidP="00270729">
      <w:pPr>
        <w:pStyle w:val="infoemcitas"/>
        <w:jc w:val="center"/>
        <w:rPr>
          <w:b/>
          <w:bCs/>
          <w:i w:val="0"/>
          <w:iCs/>
          <w:sz w:val="28"/>
          <w:szCs w:val="28"/>
        </w:rPr>
      </w:pPr>
    </w:p>
    <w:p w:rsidR="00270729" w:rsidRPr="00AD22F4" w:rsidRDefault="00270729" w:rsidP="00270729">
      <w:pPr>
        <w:pStyle w:val="infoemcitas"/>
        <w:jc w:val="center"/>
        <w:rPr>
          <w:b/>
          <w:bCs/>
          <w:i w:val="0"/>
          <w:iCs/>
          <w:sz w:val="28"/>
          <w:szCs w:val="28"/>
        </w:rPr>
      </w:pPr>
      <w:r w:rsidRPr="00AD22F4">
        <w:rPr>
          <w:b/>
          <w:bCs/>
          <w:i w:val="0"/>
          <w:iCs/>
          <w:sz w:val="28"/>
          <w:szCs w:val="28"/>
        </w:rPr>
        <w:t>A N T E C E D E N T E S   D E L   A S U N T O</w:t>
      </w:r>
    </w:p>
    <w:p w:rsidR="00270729" w:rsidRPr="00AD22F4" w:rsidRDefault="00270729" w:rsidP="00270729">
      <w:pPr>
        <w:pStyle w:val="infoemcitas"/>
        <w:jc w:val="center"/>
        <w:rPr>
          <w:b/>
          <w:bCs/>
          <w:i w:val="0"/>
          <w:iCs/>
          <w:sz w:val="28"/>
          <w:szCs w:val="28"/>
        </w:rPr>
      </w:pPr>
    </w:p>
    <w:p w:rsidR="00270729" w:rsidRPr="00AD22F4" w:rsidRDefault="00270729" w:rsidP="00270729">
      <w:pPr>
        <w:spacing w:before="240" w:after="240" w:line="360" w:lineRule="auto"/>
        <w:jc w:val="both"/>
        <w:rPr>
          <w:rFonts w:ascii="Palatino Linotype" w:hAnsi="Palatino Linotype"/>
        </w:rPr>
      </w:pPr>
      <w:r w:rsidRPr="00AD22F4">
        <w:rPr>
          <w:rFonts w:ascii="Palatino Linotype" w:hAnsi="Palatino Linotype" w:cs="Arial"/>
          <w:b/>
          <w:sz w:val="28"/>
        </w:rPr>
        <w:t>PRIMERO.</w:t>
      </w:r>
      <w:r w:rsidRPr="00AD22F4">
        <w:rPr>
          <w:rFonts w:ascii="Palatino Linotype" w:hAnsi="Palatino Linotype" w:cs="Arial"/>
        </w:rPr>
        <w:t xml:space="preserve"> </w:t>
      </w:r>
      <w:r w:rsidRPr="00AD22F4">
        <w:rPr>
          <w:rFonts w:ascii="Palatino Linotype" w:hAnsi="Palatino Linotype"/>
          <w:b/>
          <w:sz w:val="28"/>
          <w:szCs w:val="28"/>
        </w:rPr>
        <w:t>De la Solicitud de Información.</w:t>
      </w:r>
    </w:p>
    <w:p w:rsidR="00270729" w:rsidRPr="00AD22F4" w:rsidRDefault="00270729" w:rsidP="00270729">
      <w:pPr>
        <w:spacing w:before="240" w:line="360" w:lineRule="auto"/>
        <w:jc w:val="both"/>
        <w:rPr>
          <w:rFonts w:ascii="Palatino Linotype" w:hAnsi="Palatino Linotype" w:cs="Arial"/>
        </w:rPr>
      </w:pPr>
      <w:r w:rsidRPr="00AD22F4">
        <w:rPr>
          <w:rFonts w:ascii="Palatino Linotype" w:hAnsi="Palatino Linotype" w:cs="Arial"/>
        </w:rPr>
        <w:t xml:space="preserve">Con fecha </w:t>
      </w:r>
      <w:r w:rsidR="00090414" w:rsidRPr="00AD22F4">
        <w:rPr>
          <w:rFonts w:ascii="Palatino Linotype" w:hAnsi="Palatino Linotype" w:cs="Arial"/>
          <w:b/>
        </w:rPr>
        <w:t>doce</w:t>
      </w:r>
      <w:r w:rsidRPr="00AD22F4">
        <w:rPr>
          <w:rFonts w:ascii="Palatino Linotype" w:hAnsi="Palatino Linotype" w:cs="Arial"/>
          <w:b/>
        </w:rPr>
        <w:t xml:space="preserve"> de enero de </w:t>
      </w:r>
      <w:r w:rsidR="005B6B80" w:rsidRPr="00AD22F4">
        <w:rPr>
          <w:rFonts w:ascii="Palatino Linotype" w:hAnsi="Palatino Linotype" w:cs="Arial"/>
          <w:b/>
        </w:rPr>
        <w:t>dos mil veintiséis</w:t>
      </w:r>
      <w:r w:rsidRPr="00AD22F4">
        <w:rPr>
          <w:rFonts w:ascii="Palatino Linotype" w:hAnsi="Palatino Linotype" w:cs="Arial"/>
        </w:rPr>
        <w:t>, la parte</w:t>
      </w:r>
      <w:r w:rsidRPr="00AD22F4">
        <w:rPr>
          <w:rFonts w:ascii="Palatino Linotype" w:hAnsi="Palatino Linotype" w:cs="Arial"/>
          <w:b/>
        </w:rPr>
        <w:t xml:space="preserve"> Recurrente </w:t>
      </w:r>
      <w:r w:rsidRPr="00AD22F4">
        <w:rPr>
          <w:rFonts w:ascii="Palatino Linotype" w:hAnsi="Palatino Linotype" w:cs="Arial"/>
        </w:rPr>
        <w:t>presentó a través del Sistema de Acceso a la Información Mexiquense (</w:t>
      </w:r>
      <w:r w:rsidRPr="00AD22F4">
        <w:rPr>
          <w:rFonts w:ascii="Palatino Linotype" w:hAnsi="Palatino Linotype" w:cs="Arial"/>
          <w:b/>
        </w:rPr>
        <w:t>SAIMEX)</w:t>
      </w:r>
      <w:r w:rsidRPr="00AD22F4">
        <w:rPr>
          <w:rFonts w:ascii="Palatino Linotype" w:hAnsi="Palatino Linotype" w:cs="Arial"/>
        </w:rPr>
        <w:t xml:space="preserve"> ante </w:t>
      </w:r>
      <w:r w:rsidRPr="00AD22F4">
        <w:rPr>
          <w:rFonts w:ascii="Palatino Linotype" w:hAnsi="Palatino Linotype" w:cs="Arial"/>
          <w:b/>
        </w:rPr>
        <w:t>El Sujeto Obligado</w:t>
      </w:r>
      <w:r w:rsidRPr="00AD22F4">
        <w:rPr>
          <w:rFonts w:ascii="Palatino Linotype" w:hAnsi="Palatino Linotype" w:cs="Arial"/>
        </w:rPr>
        <w:t xml:space="preserve">, solicitud de acceso a la información pública, registrada bajo el número de expediente </w:t>
      </w:r>
      <w:r w:rsidR="00090414" w:rsidRPr="00AD22F4">
        <w:rPr>
          <w:rFonts w:ascii="Palatino Linotype" w:hAnsi="Palatino Linotype" w:cs="Arial"/>
          <w:b/>
        </w:rPr>
        <w:t>00175/TOLUCA/IP/2026</w:t>
      </w:r>
      <w:r w:rsidRPr="00AD22F4">
        <w:rPr>
          <w:rFonts w:ascii="Palatino Linotype" w:hAnsi="Palatino Linotype" w:cs="Arial"/>
          <w:b/>
        </w:rPr>
        <w:t xml:space="preserve">, </w:t>
      </w:r>
      <w:r w:rsidRPr="00AD22F4">
        <w:rPr>
          <w:rFonts w:ascii="Palatino Linotype" w:hAnsi="Palatino Linotype" w:cs="Arial"/>
        </w:rPr>
        <w:t>mediante la cual solicitó información en el tenor siguiente:</w:t>
      </w:r>
    </w:p>
    <w:p w:rsidR="00270729" w:rsidRPr="00AD22F4" w:rsidRDefault="00270729" w:rsidP="00270729">
      <w:pPr>
        <w:pStyle w:val="INFOEM"/>
        <w:rPr>
          <w:lang w:val="es-ES_tradnl" w:eastAsia="es-ES"/>
        </w:rPr>
      </w:pPr>
      <w:r w:rsidRPr="00AD22F4">
        <w:rPr>
          <w:lang w:val="es-ES_tradnl" w:eastAsia="es-ES"/>
        </w:rPr>
        <w:t>“</w:t>
      </w:r>
      <w:r w:rsidR="00090414" w:rsidRPr="00AD22F4">
        <w:rPr>
          <w:lang w:val="es-ES" w:eastAsia="es-ES"/>
        </w:rPr>
        <w:t>se solicitan todos los oficios que se recibieron y lo que se emitieron en el mes de febrero 2025 en Defensoría Municipal de Derechos Humanos</w:t>
      </w:r>
      <w:r w:rsidRPr="00AD22F4">
        <w:rPr>
          <w:lang w:val="es-ES_tradnl" w:eastAsia="es-ES"/>
        </w:rPr>
        <w:t>” (Sic)</w:t>
      </w:r>
    </w:p>
    <w:p w:rsidR="00270729" w:rsidRPr="00AD22F4" w:rsidRDefault="00270729" w:rsidP="00270729">
      <w:pPr>
        <w:spacing w:before="240" w:line="360" w:lineRule="auto"/>
        <w:jc w:val="both"/>
        <w:rPr>
          <w:rFonts w:ascii="Palatino Linotype" w:hAnsi="Palatino Linotype"/>
          <w:lang w:val="es-ES_tradnl"/>
        </w:rPr>
      </w:pPr>
      <w:r w:rsidRPr="00AD22F4">
        <w:rPr>
          <w:rFonts w:ascii="Palatino Linotype" w:hAnsi="Palatino Linotype"/>
          <w:b/>
          <w:lang w:val="es-ES_tradnl"/>
        </w:rPr>
        <w:lastRenderedPageBreak/>
        <w:t>Modalidad de entrega:</w:t>
      </w:r>
      <w:r w:rsidRPr="00AD22F4">
        <w:rPr>
          <w:rFonts w:ascii="Palatino Linotype" w:hAnsi="Palatino Linotype"/>
          <w:lang w:val="es-ES_tradnl"/>
        </w:rPr>
        <w:t xml:space="preserve"> A través del SAIMEX.</w:t>
      </w:r>
    </w:p>
    <w:p w:rsidR="00270729" w:rsidRPr="00AD22F4" w:rsidRDefault="00270729" w:rsidP="00270729">
      <w:pPr>
        <w:spacing w:before="240" w:line="360" w:lineRule="auto"/>
        <w:jc w:val="both"/>
        <w:rPr>
          <w:rFonts w:ascii="Palatino Linotype" w:hAnsi="Palatino Linotype" w:cs="Arial"/>
          <w:b/>
          <w:sz w:val="28"/>
        </w:rPr>
      </w:pPr>
    </w:p>
    <w:p w:rsidR="00270729" w:rsidRPr="00AD22F4" w:rsidRDefault="00270729" w:rsidP="00270729">
      <w:pPr>
        <w:spacing w:before="240" w:line="360" w:lineRule="auto"/>
        <w:jc w:val="both"/>
        <w:rPr>
          <w:rFonts w:ascii="Palatino Linotype" w:hAnsi="Palatino Linotype" w:cs="Arial"/>
          <w:b/>
          <w:sz w:val="28"/>
        </w:rPr>
      </w:pPr>
      <w:r w:rsidRPr="00AD22F4">
        <w:rPr>
          <w:rFonts w:ascii="Palatino Linotype" w:hAnsi="Palatino Linotype" w:cs="Arial"/>
          <w:b/>
          <w:sz w:val="28"/>
        </w:rPr>
        <w:t xml:space="preserve">SEGUNDO. </w:t>
      </w:r>
      <w:r w:rsidRPr="00AD22F4">
        <w:rPr>
          <w:rFonts w:ascii="Palatino Linotype" w:hAnsi="Palatino Linotype" w:cs="Arial"/>
          <w:b/>
          <w:sz w:val="28"/>
          <w:szCs w:val="20"/>
        </w:rPr>
        <w:t>De la respuesta o entrega de la información.</w:t>
      </w:r>
    </w:p>
    <w:p w:rsidR="00270729" w:rsidRPr="00AD22F4" w:rsidRDefault="00270729" w:rsidP="00270729">
      <w:pPr>
        <w:pStyle w:val="Sinespaciado"/>
        <w:spacing w:line="360" w:lineRule="auto"/>
        <w:jc w:val="both"/>
        <w:rPr>
          <w:rFonts w:ascii="Palatino Linotype" w:hAnsi="Palatino Linotype" w:cs="Arial"/>
          <w:b/>
          <w:sz w:val="24"/>
        </w:rPr>
      </w:pPr>
      <w:r w:rsidRPr="00AD22F4">
        <w:rPr>
          <w:rFonts w:ascii="Palatino Linotype" w:hAnsi="Palatino Linotype"/>
          <w:sz w:val="24"/>
        </w:rPr>
        <w:t xml:space="preserve">De las constancias que obran en el expediente electrónico, se advierte que el </w:t>
      </w:r>
      <w:r w:rsidRPr="00AD22F4">
        <w:rPr>
          <w:rFonts w:ascii="Palatino Linotype" w:hAnsi="Palatino Linotype" w:cs="Arial"/>
          <w:sz w:val="24"/>
        </w:rPr>
        <w:t xml:space="preserve">día </w:t>
      </w:r>
      <w:r w:rsidR="00090414" w:rsidRPr="00AD22F4">
        <w:rPr>
          <w:rFonts w:ascii="Palatino Linotype" w:hAnsi="Palatino Linotype" w:cs="Arial"/>
          <w:b/>
          <w:sz w:val="24"/>
        </w:rPr>
        <w:t xml:space="preserve">tres </w:t>
      </w:r>
      <w:r w:rsidRPr="00AD22F4">
        <w:rPr>
          <w:rFonts w:ascii="Palatino Linotype" w:hAnsi="Palatino Linotype" w:cs="Arial"/>
          <w:b/>
          <w:sz w:val="24"/>
        </w:rPr>
        <w:t xml:space="preserve">de febrero de </w:t>
      </w:r>
      <w:r w:rsidR="005B6B80" w:rsidRPr="00AD22F4">
        <w:rPr>
          <w:rFonts w:ascii="Palatino Linotype" w:hAnsi="Palatino Linotype" w:cs="Arial"/>
          <w:b/>
          <w:sz w:val="24"/>
        </w:rPr>
        <w:t>dos mil veintiséis</w:t>
      </w:r>
      <w:r w:rsidRPr="00AD22F4">
        <w:rPr>
          <w:rFonts w:ascii="Palatino Linotype" w:hAnsi="Palatino Linotype" w:cs="Arial"/>
          <w:sz w:val="24"/>
        </w:rPr>
        <w:t xml:space="preserve">, el </w:t>
      </w:r>
      <w:r w:rsidRPr="00AD22F4">
        <w:rPr>
          <w:rFonts w:ascii="Palatino Linotype" w:hAnsi="Palatino Linotype" w:cs="Arial"/>
          <w:b/>
          <w:sz w:val="24"/>
        </w:rPr>
        <w:t>Sujeto Obligado</w:t>
      </w:r>
      <w:r w:rsidRPr="00AD22F4">
        <w:rPr>
          <w:rFonts w:ascii="Palatino Linotype" w:hAnsi="Palatino Linotype" w:cs="Arial"/>
          <w:sz w:val="24"/>
        </w:rPr>
        <w:t xml:space="preserve"> dio respuesta a la solicitud de información en los siguientes términos: </w:t>
      </w:r>
    </w:p>
    <w:p w:rsidR="00270729" w:rsidRPr="00AD22F4" w:rsidRDefault="00270729" w:rsidP="00270729">
      <w:pPr>
        <w:spacing w:line="360" w:lineRule="auto"/>
        <w:jc w:val="both"/>
        <w:rPr>
          <w:rFonts w:ascii="Palatino Linotype" w:hAnsi="Palatino Linotype" w:cs="Arial"/>
        </w:rPr>
      </w:pPr>
    </w:p>
    <w:p w:rsidR="00090414" w:rsidRPr="00AD22F4" w:rsidRDefault="00270729" w:rsidP="00090414">
      <w:pPr>
        <w:ind w:left="567" w:right="567"/>
        <w:jc w:val="both"/>
        <w:rPr>
          <w:rFonts w:ascii="Palatino Linotype" w:hAnsi="Palatino Linotype" w:cs="Arial"/>
          <w:i/>
        </w:rPr>
      </w:pPr>
      <w:r w:rsidRPr="00AD22F4">
        <w:rPr>
          <w:rFonts w:ascii="Palatino Linotype" w:hAnsi="Palatino Linotype" w:cs="Arial"/>
          <w:i/>
        </w:rPr>
        <w:t>“</w:t>
      </w:r>
      <w:r w:rsidR="00090414" w:rsidRPr="00AD22F4">
        <w:rPr>
          <w:rFonts w:ascii="Palatino Linotype" w:hAnsi="Palatino Linotype" w:cs="Arial"/>
          <w:i/>
        </w:rPr>
        <w:t>En respuesta a la solicitud recibida, nos permitimos hacer de su conocimiento que con fundamento en el artículo 53, Fracciones: II, V y VI de la Ley de Transparencia y Acceso a la Información Pública del Estado de México y Municipios, le contestamos que:</w:t>
      </w:r>
    </w:p>
    <w:p w:rsidR="00270729" w:rsidRPr="00AD22F4" w:rsidRDefault="00090414" w:rsidP="00090414">
      <w:pPr>
        <w:ind w:left="567" w:right="567"/>
        <w:jc w:val="both"/>
        <w:rPr>
          <w:rFonts w:ascii="Palatino Linotype" w:hAnsi="Palatino Linotype" w:cs="Arial"/>
          <w:i/>
        </w:rPr>
      </w:pPr>
      <w:r w:rsidRPr="00AD22F4">
        <w:rPr>
          <w:rFonts w:ascii="Palatino Linotype" w:hAnsi="Palatino Linotype" w:cs="Arial"/>
          <w:i/>
        </w:rPr>
        <w:t xml:space="preserve">En atención a la solicitud con folio 00175/TOLUCA/IP/2026, me permito adjuntar al presente la respuesta correspondiente, Sin más por el momento, reciba un saludo. </w:t>
      </w:r>
      <w:r w:rsidR="00270729" w:rsidRPr="00AD22F4">
        <w:rPr>
          <w:rFonts w:ascii="Palatino Linotype" w:hAnsi="Palatino Linotype" w:cs="Arial"/>
          <w:i/>
        </w:rPr>
        <w:t>“(Sic).</w:t>
      </w:r>
    </w:p>
    <w:p w:rsidR="00270729" w:rsidRPr="00AD22F4" w:rsidRDefault="00270729" w:rsidP="00270729">
      <w:pPr>
        <w:spacing w:line="360" w:lineRule="auto"/>
        <w:ind w:right="567"/>
        <w:jc w:val="both"/>
        <w:rPr>
          <w:rFonts w:ascii="Palatino Linotype" w:hAnsi="Palatino Linotype" w:cs="Arial"/>
        </w:rPr>
      </w:pPr>
    </w:p>
    <w:p w:rsidR="00270729" w:rsidRPr="00AD22F4" w:rsidRDefault="00270729" w:rsidP="00270729">
      <w:pPr>
        <w:spacing w:line="360" w:lineRule="auto"/>
        <w:jc w:val="both"/>
        <w:rPr>
          <w:rFonts w:ascii="Palatino Linotype" w:hAnsi="Palatino Linotype" w:cs="Arial"/>
        </w:rPr>
      </w:pPr>
      <w:r w:rsidRPr="00AD22F4">
        <w:rPr>
          <w:rFonts w:ascii="Palatino Linotype" w:hAnsi="Palatino Linotype" w:cs="Arial"/>
        </w:rPr>
        <w:t xml:space="preserve">Adicionalmente, el </w:t>
      </w:r>
      <w:r w:rsidRPr="00AD22F4">
        <w:rPr>
          <w:rFonts w:ascii="Palatino Linotype" w:hAnsi="Palatino Linotype" w:cs="Arial"/>
          <w:b/>
        </w:rPr>
        <w:t>Sujeto Obligado</w:t>
      </w:r>
      <w:r w:rsidRPr="00AD22F4">
        <w:rPr>
          <w:rFonts w:ascii="Palatino Linotype" w:hAnsi="Palatino Linotype" w:cs="Arial"/>
        </w:rPr>
        <w:t xml:space="preserve"> adjuntó los archivos electrónicos denominados “</w:t>
      </w:r>
      <w:r w:rsidR="00090414" w:rsidRPr="00AD22F4">
        <w:rPr>
          <w:rFonts w:ascii="Palatino Linotype" w:hAnsi="Palatino Linotype" w:cs="Arial"/>
          <w:b/>
          <w:i/>
        </w:rPr>
        <w:t>Respuesta solicitud 00175-TOLUCA-IP-2026.pdf</w:t>
      </w:r>
      <w:r w:rsidRPr="00AD22F4">
        <w:rPr>
          <w:rFonts w:ascii="Palatino Linotype" w:hAnsi="Palatino Linotype" w:cs="Arial"/>
          <w:b/>
          <w:i/>
        </w:rPr>
        <w:t>” y “</w:t>
      </w:r>
      <w:r w:rsidR="00090414" w:rsidRPr="00AD22F4">
        <w:rPr>
          <w:rFonts w:ascii="Palatino Linotype" w:hAnsi="Palatino Linotype" w:cs="Arial"/>
          <w:b/>
          <w:i/>
        </w:rPr>
        <w:t>2 Anexo solicitud 00175-TOLUCA-IP-2026 oficios febrero 2025.pdf</w:t>
      </w:r>
      <w:r w:rsidRPr="00AD22F4">
        <w:rPr>
          <w:rFonts w:ascii="Palatino Linotype" w:hAnsi="Palatino Linotype" w:cs="Arial"/>
          <w:b/>
          <w:i/>
        </w:rPr>
        <w:t xml:space="preserve">”, </w:t>
      </w:r>
      <w:r w:rsidRPr="00AD22F4">
        <w:rPr>
          <w:rFonts w:ascii="Palatino Linotype" w:hAnsi="Palatino Linotype" w:cs="Arial"/>
        </w:rPr>
        <w:t xml:space="preserve">mismos que no se reproducen por ser del conocimiento de las partes, sin embargo, serán materia de estudio en el considerando respectivo. </w:t>
      </w:r>
    </w:p>
    <w:p w:rsidR="00270729" w:rsidRPr="00AD22F4" w:rsidRDefault="00270729" w:rsidP="00270729">
      <w:pPr>
        <w:spacing w:line="360" w:lineRule="auto"/>
        <w:jc w:val="both"/>
        <w:rPr>
          <w:rFonts w:ascii="Palatino Linotype" w:hAnsi="Palatino Linotype" w:cs="Arial"/>
        </w:rPr>
      </w:pPr>
    </w:p>
    <w:p w:rsidR="00270729" w:rsidRPr="00AD22F4" w:rsidRDefault="00270729" w:rsidP="00270729">
      <w:pPr>
        <w:spacing w:before="240" w:line="360" w:lineRule="auto"/>
        <w:jc w:val="both"/>
        <w:rPr>
          <w:rFonts w:ascii="Palatino Linotype" w:hAnsi="Palatino Linotype" w:cs="Arial"/>
          <w:b/>
          <w:sz w:val="28"/>
        </w:rPr>
      </w:pPr>
      <w:r w:rsidRPr="00AD22F4">
        <w:rPr>
          <w:rFonts w:ascii="Palatino Linotype" w:hAnsi="Palatino Linotype" w:cs="Arial"/>
          <w:b/>
          <w:sz w:val="28"/>
        </w:rPr>
        <w:t xml:space="preserve">TERCERO. </w:t>
      </w:r>
      <w:r w:rsidRPr="00AD22F4">
        <w:rPr>
          <w:rFonts w:ascii="Palatino Linotype" w:hAnsi="Palatino Linotype"/>
          <w:b/>
          <w:sz w:val="28"/>
        </w:rPr>
        <w:t>Del recurso de revisión.</w:t>
      </w:r>
    </w:p>
    <w:p w:rsidR="00270729" w:rsidRPr="00AD22F4" w:rsidRDefault="00270729" w:rsidP="00270729">
      <w:pPr>
        <w:spacing w:before="240" w:line="360" w:lineRule="auto"/>
        <w:jc w:val="both"/>
        <w:rPr>
          <w:rFonts w:ascii="Palatino Linotype" w:hAnsi="Palatino Linotype" w:cs="Arial"/>
        </w:rPr>
      </w:pPr>
      <w:r w:rsidRPr="00AD22F4">
        <w:rPr>
          <w:rFonts w:ascii="Palatino Linotype" w:hAnsi="Palatino Linotype" w:cs="Arial"/>
        </w:rPr>
        <w:t xml:space="preserve">Inconforme con la respuesta notificada por </w:t>
      </w:r>
      <w:r w:rsidRPr="00AD22F4">
        <w:rPr>
          <w:rFonts w:ascii="Palatino Linotype" w:hAnsi="Palatino Linotype" w:cs="Arial"/>
          <w:b/>
        </w:rPr>
        <w:t xml:space="preserve">El Sujeto Obligado, </w:t>
      </w:r>
      <w:r w:rsidRPr="00AD22F4">
        <w:rPr>
          <w:rFonts w:ascii="Palatino Linotype" w:hAnsi="Palatino Linotype" w:cs="Arial"/>
        </w:rPr>
        <w:t>el</w:t>
      </w:r>
      <w:r w:rsidRPr="00AD22F4">
        <w:rPr>
          <w:rFonts w:ascii="Palatino Linotype" w:hAnsi="Palatino Linotype" w:cs="Arial"/>
          <w:b/>
        </w:rPr>
        <w:t xml:space="preserve"> Recurrente </w:t>
      </w:r>
      <w:r w:rsidRPr="00AD22F4">
        <w:rPr>
          <w:rFonts w:ascii="Palatino Linotype" w:hAnsi="Palatino Linotype" w:cs="Arial"/>
        </w:rPr>
        <w:t xml:space="preserve">interpuso recurso de revisión, en fecha </w:t>
      </w:r>
      <w:r w:rsidR="00090414" w:rsidRPr="00AD22F4">
        <w:rPr>
          <w:rFonts w:ascii="Palatino Linotype" w:hAnsi="Palatino Linotype" w:cs="Arial"/>
          <w:b/>
        </w:rPr>
        <w:t>cinco</w:t>
      </w:r>
      <w:r w:rsidRPr="00AD22F4">
        <w:rPr>
          <w:rFonts w:ascii="Palatino Linotype" w:hAnsi="Palatino Linotype" w:cs="Arial"/>
          <w:b/>
        </w:rPr>
        <w:t xml:space="preserve"> de febrero de </w:t>
      </w:r>
      <w:r w:rsidR="005B6B80" w:rsidRPr="00AD22F4">
        <w:rPr>
          <w:rFonts w:ascii="Palatino Linotype" w:hAnsi="Palatino Linotype" w:cs="Arial"/>
          <w:b/>
        </w:rPr>
        <w:t>dos mil veintiséis</w:t>
      </w:r>
      <w:r w:rsidRPr="00AD22F4">
        <w:rPr>
          <w:rFonts w:ascii="Palatino Linotype" w:hAnsi="Palatino Linotype" w:cs="Arial"/>
        </w:rPr>
        <w:t xml:space="preserve">, el cual </w:t>
      </w:r>
      <w:r w:rsidRPr="00AD22F4">
        <w:rPr>
          <w:rFonts w:ascii="Palatino Linotype" w:hAnsi="Palatino Linotype" w:cs="Arial"/>
        </w:rPr>
        <w:lastRenderedPageBreak/>
        <w:t xml:space="preserve">fue registrado en el sistema electrónico con el expediente número </w:t>
      </w:r>
      <w:r w:rsidRPr="00AD22F4">
        <w:rPr>
          <w:rFonts w:ascii="Palatino Linotype" w:hAnsi="Palatino Linotype" w:cs="Arial"/>
          <w:b/>
        </w:rPr>
        <w:t>01705/INFOEM/IP/RR/</w:t>
      </w:r>
      <w:r w:rsidR="005B6B80" w:rsidRPr="00AD22F4">
        <w:rPr>
          <w:rFonts w:ascii="Palatino Linotype" w:hAnsi="Palatino Linotype" w:cs="Arial"/>
          <w:b/>
        </w:rPr>
        <w:t>2026</w:t>
      </w:r>
      <w:r w:rsidRPr="00AD22F4">
        <w:rPr>
          <w:rFonts w:ascii="Palatino Linotype" w:hAnsi="Palatino Linotype" w:cs="Arial"/>
          <w:b/>
        </w:rPr>
        <w:t xml:space="preserve">; </w:t>
      </w:r>
      <w:r w:rsidRPr="00AD22F4">
        <w:rPr>
          <w:rFonts w:ascii="Palatino Linotype" w:hAnsi="Palatino Linotype" w:cs="Arial"/>
        </w:rPr>
        <w:t>en los cuales arguye las siguientes manifestaciones:</w:t>
      </w:r>
    </w:p>
    <w:p w:rsidR="00270729" w:rsidRPr="00AD22F4" w:rsidRDefault="00270729" w:rsidP="00270729">
      <w:pPr>
        <w:pStyle w:val="Prrafodelista"/>
        <w:numPr>
          <w:ilvl w:val="0"/>
          <w:numId w:val="2"/>
        </w:numPr>
        <w:spacing w:before="240" w:line="360" w:lineRule="auto"/>
        <w:ind w:left="142" w:firstLine="0"/>
        <w:jc w:val="both"/>
        <w:rPr>
          <w:rFonts w:ascii="Palatino Linotype" w:hAnsi="Palatino Linotype" w:cs="Arial"/>
          <w:b/>
          <w:i/>
        </w:rPr>
      </w:pPr>
      <w:r w:rsidRPr="00AD22F4">
        <w:rPr>
          <w:rFonts w:ascii="Palatino Linotype" w:hAnsi="Palatino Linotype" w:cs="Arial"/>
          <w:b/>
          <w:i/>
        </w:rPr>
        <w:t xml:space="preserve">Acto impugnado </w:t>
      </w:r>
      <w:r w:rsidR="00090414" w:rsidRPr="00AD22F4">
        <w:rPr>
          <w:rFonts w:ascii="Palatino Linotype" w:hAnsi="Palatino Linotype" w:cs="Arial"/>
          <w:b/>
          <w:i/>
        </w:rPr>
        <w:t>y Razones o motivos de inconformidad:</w:t>
      </w:r>
    </w:p>
    <w:p w:rsidR="00270729" w:rsidRPr="00AD22F4" w:rsidRDefault="00270729" w:rsidP="00270729">
      <w:pPr>
        <w:pStyle w:val="INFOEM"/>
        <w:ind w:left="720"/>
      </w:pPr>
      <w:r w:rsidRPr="00AD22F4">
        <w:t>“</w:t>
      </w:r>
      <w:r w:rsidR="00090414" w:rsidRPr="00AD22F4">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r w:rsidRPr="00AD22F4">
        <w:t>” (sic)</w:t>
      </w:r>
    </w:p>
    <w:p w:rsidR="00270729" w:rsidRPr="00AD22F4" w:rsidRDefault="00270729" w:rsidP="00270729">
      <w:pPr>
        <w:spacing w:line="360" w:lineRule="auto"/>
        <w:jc w:val="both"/>
        <w:rPr>
          <w:rFonts w:ascii="Palatino Linotype" w:hAnsi="Palatino Linotype" w:cs="Arial"/>
        </w:rPr>
      </w:pPr>
    </w:p>
    <w:p w:rsidR="00270729" w:rsidRPr="00AD22F4" w:rsidRDefault="00270729" w:rsidP="00270729">
      <w:pPr>
        <w:spacing w:before="240" w:line="360" w:lineRule="auto"/>
        <w:jc w:val="both"/>
        <w:rPr>
          <w:rFonts w:ascii="Palatino Linotype" w:hAnsi="Palatino Linotype" w:cs="Arial"/>
          <w:b/>
        </w:rPr>
      </w:pPr>
      <w:r w:rsidRPr="00AD22F4">
        <w:rPr>
          <w:rFonts w:ascii="Palatino Linotype" w:hAnsi="Palatino Linotype" w:cs="Arial"/>
          <w:b/>
          <w:sz w:val="28"/>
        </w:rPr>
        <w:t>CUARTO</w:t>
      </w:r>
      <w:r w:rsidRPr="00AD22F4">
        <w:rPr>
          <w:rFonts w:ascii="Palatino Linotype" w:hAnsi="Palatino Linotype" w:cs="Arial"/>
          <w:b/>
        </w:rPr>
        <w:t xml:space="preserve">. </w:t>
      </w:r>
      <w:r w:rsidRPr="00AD22F4">
        <w:rPr>
          <w:rFonts w:ascii="Palatino Linotype" w:hAnsi="Palatino Linotype" w:cs="Arial"/>
          <w:b/>
          <w:sz w:val="28"/>
          <w:szCs w:val="28"/>
        </w:rPr>
        <w:t>Del turno y admisión del recurso de revisión.</w:t>
      </w:r>
    </w:p>
    <w:p w:rsidR="00270729" w:rsidRPr="00AD22F4" w:rsidRDefault="00270729" w:rsidP="00270729">
      <w:pPr>
        <w:spacing w:before="240" w:line="360" w:lineRule="auto"/>
        <w:jc w:val="both"/>
        <w:rPr>
          <w:rFonts w:ascii="Palatino Linotype" w:hAnsi="Palatino Linotype" w:cs="Arial"/>
          <w:sz w:val="28"/>
        </w:rPr>
      </w:pPr>
      <w:r w:rsidRPr="00AD22F4">
        <w:rPr>
          <w:rFonts w:ascii="Palatino Linotype" w:hAnsi="Palatino Linotype"/>
        </w:rPr>
        <w:t xml:space="preserve">El medio de impugnación fue turnado al Comisionado Presidente </w:t>
      </w:r>
      <w:r w:rsidRPr="00AD22F4">
        <w:rPr>
          <w:rFonts w:ascii="Palatino Linotype" w:hAnsi="Palatino Linotype"/>
          <w:b/>
        </w:rPr>
        <w:t>José Martínez Vilchis,</w:t>
      </w:r>
      <w:r w:rsidRPr="00AD22F4">
        <w:rPr>
          <w:rFonts w:ascii="Palatino Linotype" w:hAnsi="Palatino Linotype"/>
        </w:rPr>
        <w:t xml:space="preserve"> por medio del sistema electrónico SAIMEX, en términos del artículo 185, fracción I, de la Ley de Transparencia y Acceso a la información Pública del Estado de México y Municipios, del cual recayó acuerdo de </w:t>
      </w:r>
      <w:r w:rsidRPr="00AD22F4">
        <w:rPr>
          <w:rFonts w:ascii="Palatino Linotype" w:hAnsi="Palatino Linotype"/>
          <w:b/>
        </w:rPr>
        <w:t>admisión</w:t>
      </w:r>
      <w:r w:rsidRPr="00AD22F4">
        <w:rPr>
          <w:rFonts w:ascii="Palatino Linotype" w:hAnsi="Palatino Linotype"/>
        </w:rPr>
        <w:t xml:space="preserve"> en fecha </w:t>
      </w:r>
      <w:r w:rsidR="00090414" w:rsidRPr="00AD22F4">
        <w:rPr>
          <w:rFonts w:ascii="Palatino Linotype" w:hAnsi="Palatino Linotype"/>
          <w:b/>
        </w:rPr>
        <w:t>nueve</w:t>
      </w:r>
      <w:r w:rsidRPr="00AD22F4">
        <w:rPr>
          <w:rFonts w:ascii="Palatino Linotype" w:hAnsi="Palatino Linotype"/>
          <w:b/>
        </w:rPr>
        <w:t xml:space="preserve"> de febrero de </w:t>
      </w:r>
      <w:r w:rsidR="005B6B80" w:rsidRPr="00AD22F4">
        <w:rPr>
          <w:rFonts w:ascii="Palatino Linotype" w:hAnsi="Palatino Linotype"/>
          <w:b/>
        </w:rPr>
        <w:t>dos mil veintiséis</w:t>
      </w:r>
      <w:r w:rsidRPr="00AD22F4">
        <w:rPr>
          <w:rFonts w:ascii="Palatino Linotype" w:hAnsi="Palatino Linotype"/>
        </w:rPr>
        <w:t>, determinándose en ellos, un plazo de siete días para que las partes manifestaran lo que a su derecho corresponda en términos del numeral ya citado.</w:t>
      </w:r>
    </w:p>
    <w:p w:rsidR="00270729" w:rsidRPr="00AD22F4" w:rsidRDefault="00270729" w:rsidP="00270729">
      <w:pPr>
        <w:spacing w:before="240" w:line="360" w:lineRule="auto"/>
        <w:jc w:val="both"/>
        <w:rPr>
          <w:rFonts w:ascii="Palatino Linotype" w:hAnsi="Palatino Linotype" w:cs="Arial"/>
          <w:sz w:val="28"/>
        </w:rPr>
      </w:pPr>
    </w:p>
    <w:p w:rsidR="00270729" w:rsidRPr="00AD22F4" w:rsidRDefault="00270729" w:rsidP="00270729">
      <w:pPr>
        <w:pStyle w:val="Prrafodelista"/>
        <w:spacing w:line="360" w:lineRule="auto"/>
        <w:ind w:left="0"/>
        <w:jc w:val="both"/>
        <w:rPr>
          <w:rFonts w:ascii="Palatino Linotype" w:hAnsi="Palatino Linotype" w:cs="Arial"/>
          <w:b/>
          <w:sz w:val="28"/>
          <w:szCs w:val="28"/>
        </w:rPr>
      </w:pPr>
      <w:r w:rsidRPr="00AD22F4">
        <w:rPr>
          <w:rFonts w:ascii="Palatino Linotype" w:hAnsi="Palatino Linotype" w:cs="Arial"/>
          <w:b/>
          <w:sz w:val="28"/>
        </w:rPr>
        <w:t>QUINTO</w:t>
      </w:r>
      <w:r w:rsidRPr="00AD22F4">
        <w:rPr>
          <w:rFonts w:ascii="Palatino Linotype" w:hAnsi="Palatino Linotype" w:cs="Arial"/>
          <w:b/>
          <w:sz w:val="28"/>
          <w:szCs w:val="28"/>
        </w:rPr>
        <w:t>. De la etapa de instrucción.</w:t>
      </w:r>
    </w:p>
    <w:p w:rsidR="00270729" w:rsidRPr="00AD22F4" w:rsidRDefault="00270729" w:rsidP="00270729">
      <w:pPr>
        <w:spacing w:line="360" w:lineRule="auto"/>
        <w:jc w:val="both"/>
        <w:rPr>
          <w:rFonts w:ascii="Palatino Linotype" w:hAnsi="Palatino Linotype"/>
        </w:rPr>
      </w:pPr>
      <w:r w:rsidRPr="00AD22F4">
        <w:rPr>
          <w:rFonts w:ascii="Palatino Linotype" w:hAnsi="Palatino Linotype" w:cs="Arial"/>
        </w:rPr>
        <w:lastRenderedPageBreak/>
        <w:t xml:space="preserve">De las constancias que obran en el expediente electrónico del SAIMEX, se advierte que el </w:t>
      </w:r>
      <w:r w:rsidRPr="00AD22F4">
        <w:rPr>
          <w:rFonts w:ascii="Palatino Linotype" w:hAnsi="Palatino Linotype" w:cs="Arial"/>
          <w:b/>
        </w:rPr>
        <w:t>Sujeto Obligado</w:t>
      </w:r>
      <w:r w:rsidRPr="00AD22F4">
        <w:rPr>
          <w:rFonts w:ascii="Palatino Linotype" w:hAnsi="Palatino Linotype" w:cs="Arial"/>
        </w:rPr>
        <w:t xml:space="preserve"> rindió su informe justificado</w:t>
      </w:r>
      <w:r w:rsidR="008F2C42" w:rsidRPr="00AD22F4">
        <w:rPr>
          <w:rFonts w:ascii="Palatino Linotype" w:hAnsi="Palatino Linotype" w:cs="Arial"/>
        </w:rPr>
        <w:t>, en el que ratifica su re</w:t>
      </w:r>
      <w:r w:rsidR="00BB1887" w:rsidRPr="00AD22F4">
        <w:rPr>
          <w:rFonts w:ascii="Palatino Linotype" w:hAnsi="Palatino Linotype" w:cs="Arial"/>
        </w:rPr>
        <w:t>s</w:t>
      </w:r>
      <w:r w:rsidR="008F2C42" w:rsidRPr="00AD22F4">
        <w:rPr>
          <w:rFonts w:ascii="Palatino Linotype" w:hAnsi="Palatino Linotype" w:cs="Arial"/>
        </w:rPr>
        <w:t>p</w:t>
      </w:r>
      <w:r w:rsidR="00BB1887" w:rsidRPr="00AD22F4">
        <w:rPr>
          <w:rFonts w:ascii="Palatino Linotype" w:hAnsi="Palatino Linotype" w:cs="Arial"/>
        </w:rPr>
        <w:t>uesta,</w:t>
      </w:r>
      <w:r w:rsidRPr="00AD22F4">
        <w:rPr>
          <w:rFonts w:ascii="Palatino Linotype" w:hAnsi="Palatino Linotype" w:cs="Arial"/>
        </w:rPr>
        <w:t xml:space="preserve"> en fecha </w:t>
      </w:r>
      <w:r w:rsidR="00090414" w:rsidRPr="00AD22F4">
        <w:rPr>
          <w:rFonts w:ascii="Palatino Linotype" w:hAnsi="Palatino Linotype" w:cs="Arial"/>
        </w:rPr>
        <w:t>dieciocho de febrero</w:t>
      </w:r>
      <w:r w:rsidRPr="00AD22F4">
        <w:rPr>
          <w:rFonts w:ascii="Palatino Linotype" w:hAnsi="Palatino Linotype" w:cs="Arial"/>
        </w:rPr>
        <w:t xml:space="preserve"> de </w:t>
      </w:r>
      <w:r w:rsidR="005B6B80" w:rsidRPr="00AD22F4">
        <w:rPr>
          <w:rFonts w:ascii="Palatino Linotype" w:hAnsi="Palatino Linotype" w:cs="Arial"/>
        </w:rPr>
        <w:t>dos mil veintiséis</w:t>
      </w:r>
      <w:r w:rsidRPr="00AD22F4">
        <w:rPr>
          <w:rFonts w:ascii="Palatino Linotype" w:hAnsi="Palatino Linotype" w:cs="Arial"/>
        </w:rPr>
        <w:t>, por medio de</w:t>
      </w:r>
      <w:r w:rsidR="00BB1887" w:rsidRPr="00AD22F4">
        <w:rPr>
          <w:rFonts w:ascii="Palatino Linotype" w:hAnsi="Palatino Linotype" w:cs="Arial"/>
        </w:rPr>
        <w:t xml:space="preserve"> </w:t>
      </w:r>
      <w:r w:rsidRPr="00AD22F4">
        <w:rPr>
          <w:rFonts w:ascii="Palatino Linotype" w:hAnsi="Palatino Linotype" w:cs="Arial"/>
        </w:rPr>
        <w:t>l</w:t>
      </w:r>
      <w:r w:rsidR="00BB1887" w:rsidRPr="00AD22F4">
        <w:rPr>
          <w:rFonts w:ascii="Palatino Linotype" w:hAnsi="Palatino Linotype" w:cs="Arial"/>
        </w:rPr>
        <w:t>os</w:t>
      </w:r>
      <w:r w:rsidRPr="00AD22F4">
        <w:rPr>
          <w:rFonts w:ascii="Palatino Linotype" w:hAnsi="Palatino Linotype" w:cs="Arial"/>
        </w:rPr>
        <w:t xml:space="preserve"> archivo</w:t>
      </w:r>
      <w:r w:rsidR="00BB1887" w:rsidRPr="00AD22F4">
        <w:rPr>
          <w:rFonts w:ascii="Palatino Linotype" w:hAnsi="Palatino Linotype" w:cs="Arial"/>
        </w:rPr>
        <w:t>s</w:t>
      </w:r>
      <w:r w:rsidRPr="00AD22F4">
        <w:rPr>
          <w:rFonts w:ascii="Palatino Linotype" w:hAnsi="Palatino Linotype" w:cs="Arial"/>
        </w:rPr>
        <w:t xml:space="preserve"> electrónico</w:t>
      </w:r>
      <w:r w:rsidR="00BB1887" w:rsidRPr="00AD22F4">
        <w:rPr>
          <w:rFonts w:ascii="Palatino Linotype" w:hAnsi="Palatino Linotype" w:cs="Arial"/>
        </w:rPr>
        <w:t>s</w:t>
      </w:r>
      <w:r w:rsidRPr="00AD22F4">
        <w:rPr>
          <w:rFonts w:ascii="Palatino Linotype" w:hAnsi="Palatino Linotype" w:cs="Arial"/>
        </w:rPr>
        <w:t xml:space="preserve"> “</w:t>
      </w:r>
      <w:r w:rsidR="00090414" w:rsidRPr="00AD22F4">
        <w:rPr>
          <w:rFonts w:ascii="Palatino Linotype" w:hAnsi="Palatino Linotype" w:cs="Arial"/>
          <w:b/>
          <w:i/>
        </w:rPr>
        <w:t>1620-ANEXOS-2026-DDHH.pdf</w:t>
      </w:r>
      <w:r w:rsidRPr="00AD22F4">
        <w:rPr>
          <w:rFonts w:ascii="Palatino Linotype" w:hAnsi="Palatino Linotype" w:cs="Arial"/>
          <w:b/>
          <w:i/>
        </w:rPr>
        <w:t>” y “</w:t>
      </w:r>
      <w:r w:rsidR="00090414" w:rsidRPr="00AD22F4">
        <w:rPr>
          <w:rFonts w:ascii="Palatino Linotype" w:hAnsi="Palatino Linotype" w:cs="Arial"/>
          <w:b/>
          <w:i/>
        </w:rPr>
        <w:t>1620 Ratificación.pdf</w:t>
      </w:r>
      <w:r w:rsidRPr="00AD22F4">
        <w:rPr>
          <w:rFonts w:ascii="Palatino Linotype" w:hAnsi="Palatino Linotype" w:cs="Arial"/>
          <w:b/>
          <w:i/>
        </w:rPr>
        <w:t>”</w:t>
      </w:r>
      <w:r w:rsidRPr="00AD22F4">
        <w:rPr>
          <w:rFonts w:ascii="Palatino Linotype" w:hAnsi="Palatino Linotype" w:cs="Arial"/>
        </w:rPr>
        <w:t xml:space="preserve">, mismos que fueron puestos a la vista del Recurrente en fecha </w:t>
      </w:r>
      <w:r w:rsidR="00090414" w:rsidRPr="00AD22F4">
        <w:rPr>
          <w:rFonts w:ascii="Palatino Linotype" w:hAnsi="Palatino Linotype" w:cs="Arial"/>
        </w:rPr>
        <w:t>seis de abril</w:t>
      </w:r>
      <w:r w:rsidRPr="00AD22F4">
        <w:rPr>
          <w:rFonts w:ascii="Palatino Linotype" w:hAnsi="Palatino Linotype" w:cs="Arial"/>
        </w:rPr>
        <w:t xml:space="preserve"> de </w:t>
      </w:r>
      <w:r w:rsidR="005B6B80" w:rsidRPr="00AD22F4">
        <w:rPr>
          <w:rFonts w:ascii="Palatino Linotype" w:hAnsi="Palatino Linotype" w:cs="Arial"/>
        </w:rPr>
        <w:t>dos mil veintiséis</w:t>
      </w:r>
      <w:r w:rsidRPr="00AD22F4">
        <w:rPr>
          <w:rFonts w:ascii="Palatino Linotype" w:hAnsi="Palatino Linotype" w:cs="Arial"/>
          <w:b/>
          <w:i/>
        </w:rPr>
        <w:t>.</w:t>
      </w:r>
    </w:p>
    <w:p w:rsidR="00270729" w:rsidRPr="00AD22F4" w:rsidRDefault="00270729" w:rsidP="00270729">
      <w:pPr>
        <w:spacing w:line="360" w:lineRule="auto"/>
        <w:jc w:val="both"/>
        <w:rPr>
          <w:rFonts w:ascii="Palatino Linotype" w:hAnsi="Palatino Linotype"/>
        </w:rPr>
      </w:pPr>
    </w:p>
    <w:p w:rsidR="00270729" w:rsidRPr="00AD22F4" w:rsidRDefault="00270729" w:rsidP="00270729">
      <w:pPr>
        <w:spacing w:line="360" w:lineRule="auto"/>
        <w:jc w:val="both"/>
        <w:rPr>
          <w:rFonts w:ascii="Palatino Linotype" w:hAnsi="Palatino Linotype" w:cs="Arial"/>
        </w:rPr>
      </w:pPr>
      <w:r w:rsidRPr="00AD22F4">
        <w:rPr>
          <w:rFonts w:ascii="Palatino Linotype" w:hAnsi="Palatino Linotype" w:cs="Arial"/>
        </w:rPr>
        <w:t xml:space="preserve">Así mismo, se aprecia que no se llevaron a cabo audiencias durante la sustanciación del recurso de revisión, ni se ofrecieron pruebas por parte del </w:t>
      </w:r>
      <w:r w:rsidRPr="00AD22F4">
        <w:rPr>
          <w:rFonts w:ascii="Palatino Linotype" w:hAnsi="Palatino Linotype" w:cs="Arial"/>
          <w:b/>
        </w:rPr>
        <w:t>Recurrente</w:t>
      </w:r>
      <w:r w:rsidRPr="00AD22F4">
        <w:rPr>
          <w:rFonts w:ascii="Palatino Linotype" w:hAnsi="Palatino Linotype" w:cs="Arial"/>
        </w:rPr>
        <w:t>; todo lo anterior en términos de los artículos 185 fracciones II y IV, y 195 de la Ley de Transparencia y Acceso a la Información Pública del Estado de México y Municipios.</w:t>
      </w:r>
    </w:p>
    <w:p w:rsidR="00270729" w:rsidRPr="00AD22F4" w:rsidRDefault="00270729" w:rsidP="00270729">
      <w:pPr>
        <w:spacing w:line="360" w:lineRule="auto"/>
        <w:jc w:val="both"/>
        <w:rPr>
          <w:rFonts w:ascii="Palatino Linotype" w:hAnsi="Palatino Linotype" w:cs="Arial"/>
          <w:b/>
          <w:sz w:val="28"/>
          <w:szCs w:val="28"/>
        </w:rPr>
      </w:pPr>
    </w:p>
    <w:p w:rsidR="00090414" w:rsidRPr="00AD22F4" w:rsidRDefault="00090414" w:rsidP="00090414">
      <w:pPr>
        <w:spacing w:line="360" w:lineRule="auto"/>
        <w:jc w:val="both"/>
        <w:rPr>
          <w:rFonts w:ascii="Palatino Linotype" w:hAnsi="Palatino Linotype" w:cs="Arial"/>
          <w:b/>
          <w:sz w:val="28"/>
          <w:lang w:val="es-ES_tradnl"/>
        </w:rPr>
      </w:pPr>
      <w:r w:rsidRPr="00AD22F4">
        <w:rPr>
          <w:rFonts w:ascii="Palatino Linotype" w:hAnsi="Palatino Linotype" w:cs="Arial"/>
          <w:b/>
          <w:sz w:val="28"/>
          <w:szCs w:val="28"/>
        </w:rPr>
        <w:t xml:space="preserve">SEXTO. </w:t>
      </w:r>
      <w:r w:rsidRPr="00AD22F4">
        <w:rPr>
          <w:rFonts w:ascii="Palatino Linotype" w:hAnsi="Palatino Linotype" w:cs="Arial"/>
          <w:b/>
          <w:sz w:val="28"/>
          <w:lang w:val="es-ES_tradnl"/>
        </w:rPr>
        <w:t>De la ampliación del término para resolver.</w:t>
      </w:r>
    </w:p>
    <w:p w:rsidR="00090414" w:rsidRPr="00AD22F4" w:rsidRDefault="00090414" w:rsidP="00090414">
      <w:pPr>
        <w:spacing w:line="360" w:lineRule="auto"/>
        <w:jc w:val="both"/>
        <w:rPr>
          <w:rFonts w:ascii="Palatino Linotype" w:hAnsi="Palatino Linotype" w:cs="Arial"/>
        </w:rPr>
      </w:pPr>
      <w:r w:rsidRPr="00AD22F4">
        <w:rPr>
          <w:rFonts w:ascii="Palatino Linotype" w:hAnsi="Palatino Linotype" w:cs="Arial"/>
        </w:rPr>
        <w:t xml:space="preserve">De las constancias que integran el expediente electrónico, se advierte que han transcurrido los términos de Ley, para la emisión de la resolución en el presente recurso de revisión, por lo que en fecha </w:t>
      </w:r>
      <w:r w:rsidRPr="00AD22F4">
        <w:rPr>
          <w:rFonts w:ascii="Palatino Linotype" w:hAnsi="Palatino Linotype" w:cs="Arial"/>
          <w:b/>
        </w:rPr>
        <w:t>seis de abril de dos mil veintiséis</w:t>
      </w:r>
      <w:r w:rsidRPr="00AD22F4">
        <w:rPr>
          <w:rFonts w:ascii="Palatino Linotype" w:hAnsi="Palatino Linotype" w:cs="Arial"/>
        </w:rPr>
        <w:t>,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rsidR="00090414" w:rsidRPr="00AD22F4" w:rsidRDefault="00090414" w:rsidP="00090414">
      <w:pPr>
        <w:spacing w:line="360" w:lineRule="auto"/>
        <w:jc w:val="both"/>
        <w:rPr>
          <w:rFonts w:ascii="Palatino Linotype" w:hAnsi="Palatino Linotype" w:cs="Arial"/>
        </w:rPr>
      </w:pPr>
    </w:p>
    <w:p w:rsidR="00090414" w:rsidRPr="00AD22F4" w:rsidRDefault="00090414" w:rsidP="00090414">
      <w:pPr>
        <w:spacing w:line="360" w:lineRule="auto"/>
        <w:jc w:val="both"/>
        <w:rPr>
          <w:rFonts w:ascii="Palatino Linotype" w:hAnsi="Palatino Linotype" w:cs="Arial"/>
          <w:b/>
          <w:sz w:val="28"/>
          <w:szCs w:val="28"/>
        </w:rPr>
      </w:pPr>
      <w:r w:rsidRPr="00AD22F4">
        <w:rPr>
          <w:rFonts w:ascii="Palatino Linotype" w:hAnsi="Palatino Linotype" w:cs="Arial"/>
          <w:b/>
          <w:sz w:val="28"/>
          <w:lang w:val="es-ES_tradnl"/>
        </w:rPr>
        <w:t>SÉPTIMO</w:t>
      </w:r>
      <w:r w:rsidRPr="00AD22F4">
        <w:rPr>
          <w:rFonts w:ascii="Palatino Linotype" w:hAnsi="Palatino Linotype" w:cs="Arial"/>
          <w:b/>
          <w:sz w:val="28"/>
          <w:szCs w:val="28"/>
        </w:rPr>
        <w:t>.</w:t>
      </w:r>
      <w:r w:rsidRPr="00AD22F4">
        <w:rPr>
          <w:rFonts w:ascii="Palatino Linotype" w:hAnsi="Palatino Linotype" w:cs="Arial"/>
          <w:b/>
          <w:sz w:val="28"/>
          <w:lang w:val="es-ES_tradnl"/>
        </w:rPr>
        <w:t xml:space="preserve"> </w:t>
      </w:r>
      <w:r w:rsidRPr="00AD22F4">
        <w:rPr>
          <w:rFonts w:ascii="Palatino Linotype" w:hAnsi="Palatino Linotype" w:cs="Arial"/>
          <w:b/>
          <w:sz w:val="28"/>
          <w:szCs w:val="28"/>
        </w:rPr>
        <w:t>Del Cierre de Instrucción.</w:t>
      </w:r>
    </w:p>
    <w:p w:rsidR="00090414" w:rsidRPr="00AD22F4" w:rsidRDefault="00090414" w:rsidP="00090414">
      <w:pPr>
        <w:spacing w:line="360" w:lineRule="auto"/>
        <w:jc w:val="both"/>
        <w:rPr>
          <w:rFonts w:ascii="Palatino Linotype" w:hAnsi="Palatino Linotype" w:cs="Arial"/>
        </w:rPr>
      </w:pPr>
      <w:r w:rsidRPr="00AD22F4">
        <w:rPr>
          <w:rFonts w:ascii="Palatino Linotype" w:hAnsi="Palatino Linotype" w:cs="Arial"/>
        </w:rPr>
        <w:t xml:space="preserve">Por lo que una vez transcurrido el periodo otorgado a las partes de siete días hábiles para realizar sus manifestaciones en el acuerdo de admisión, y no habiendo prueba pendiente por desahogar, ni que documentos que integrar al expediente electrónico, se </w:t>
      </w:r>
      <w:r w:rsidRPr="00AD22F4">
        <w:rPr>
          <w:rFonts w:ascii="Palatino Linotype" w:hAnsi="Palatino Linotype" w:cs="Arial"/>
        </w:rPr>
        <w:lastRenderedPageBreak/>
        <w:t xml:space="preserve">decretó el cierre de instrucción en fecha </w:t>
      </w:r>
      <w:r w:rsidRPr="00AD22F4">
        <w:rPr>
          <w:rFonts w:ascii="Palatino Linotype" w:hAnsi="Palatino Linotype" w:cs="Arial"/>
          <w:b/>
        </w:rPr>
        <w:t>trece de abril de dos mil veintiséis</w:t>
      </w:r>
      <w:r w:rsidRPr="00AD22F4">
        <w:rPr>
          <w:rFonts w:ascii="Palatino Linotype" w:hAnsi="Palatino Linotype" w:cs="Arial"/>
        </w:rPr>
        <w:t>, en términos del artículo 185 fracción VI de la Ley de Transparencia y Acceso a la Información Pública del Estado de México y Municipios, ordenándose turnar el expediente a la resolución que en derecho proceda.</w:t>
      </w:r>
    </w:p>
    <w:p w:rsidR="00270729" w:rsidRPr="00AD22F4" w:rsidRDefault="00270729" w:rsidP="00270729">
      <w:pPr>
        <w:spacing w:line="360" w:lineRule="auto"/>
        <w:jc w:val="both"/>
        <w:rPr>
          <w:rFonts w:ascii="Palatino Linotype" w:hAnsi="Palatino Linotype" w:cs="Arial"/>
          <w:b/>
          <w:sz w:val="28"/>
          <w:szCs w:val="28"/>
        </w:rPr>
      </w:pPr>
    </w:p>
    <w:p w:rsidR="00270729" w:rsidRPr="00AD22F4" w:rsidRDefault="00270729" w:rsidP="00270729">
      <w:pPr>
        <w:spacing w:line="360" w:lineRule="auto"/>
        <w:jc w:val="center"/>
        <w:rPr>
          <w:rFonts w:ascii="Palatino Linotype" w:hAnsi="Palatino Linotype"/>
          <w:b/>
          <w:bCs/>
          <w:spacing w:val="60"/>
          <w:sz w:val="28"/>
          <w:lang w:val="es-ES_tradnl"/>
        </w:rPr>
      </w:pPr>
      <w:r w:rsidRPr="00AD22F4">
        <w:rPr>
          <w:rFonts w:ascii="Palatino Linotype" w:hAnsi="Palatino Linotype"/>
          <w:b/>
          <w:bCs/>
          <w:spacing w:val="60"/>
          <w:sz w:val="28"/>
          <w:lang w:val="es-ES_tradnl"/>
        </w:rPr>
        <w:t>CONSIDERANDO</w:t>
      </w:r>
    </w:p>
    <w:p w:rsidR="00270729" w:rsidRPr="00AD22F4" w:rsidRDefault="00270729" w:rsidP="00270729">
      <w:pPr>
        <w:spacing w:line="360" w:lineRule="auto"/>
        <w:ind w:right="49"/>
        <w:jc w:val="both"/>
        <w:rPr>
          <w:rFonts w:ascii="Palatino Linotype" w:hAnsi="Palatino Linotype"/>
          <w:szCs w:val="28"/>
        </w:rPr>
      </w:pPr>
    </w:p>
    <w:p w:rsidR="00270729" w:rsidRPr="00AD22F4" w:rsidRDefault="00270729" w:rsidP="00270729">
      <w:pPr>
        <w:spacing w:before="240" w:line="360" w:lineRule="auto"/>
        <w:jc w:val="both"/>
        <w:rPr>
          <w:rFonts w:ascii="Palatino Linotype" w:hAnsi="Palatino Linotype" w:cs="Arial"/>
          <w:sz w:val="28"/>
          <w:szCs w:val="28"/>
        </w:rPr>
      </w:pPr>
      <w:r w:rsidRPr="00AD22F4">
        <w:rPr>
          <w:rFonts w:ascii="Palatino Linotype" w:hAnsi="Palatino Linotype" w:cs="Arial"/>
          <w:b/>
          <w:sz w:val="28"/>
        </w:rPr>
        <w:t>PRIMERO.</w:t>
      </w:r>
      <w:r w:rsidRPr="00AD22F4">
        <w:rPr>
          <w:rFonts w:ascii="Palatino Linotype" w:hAnsi="Palatino Linotype" w:cs="Arial"/>
          <w:b/>
        </w:rPr>
        <w:t xml:space="preserve"> </w:t>
      </w:r>
      <w:r w:rsidRPr="00AD22F4">
        <w:rPr>
          <w:rFonts w:ascii="Palatino Linotype" w:hAnsi="Palatino Linotype" w:cs="Arial"/>
          <w:b/>
          <w:sz w:val="28"/>
          <w:szCs w:val="28"/>
        </w:rPr>
        <w:t>De la competencia</w:t>
      </w:r>
      <w:r w:rsidRPr="00AD22F4">
        <w:rPr>
          <w:rFonts w:ascii="Palatino Linotype" w:hAnsi="Palatino Linotype" w:cs="Arial"/>
          <w:sz w:val="28"/>
          <w:szCs w:val="28"/>
        </w:rPr>
        <w:t>.</w:t>
      </w:r>
    </w:p>
    <w:p w:rsidR="00270729" w:rsidRPr="00AD22F4" w:rsidRDefault="00270729" w:rsidP="00270729">
      <w:pPr>
        <w:tabs>
          <w:tab w:val="left" w:pos="3402"/>
        </w:tabs>
        <w:spacing w:line="360" w:lineRule="auto"/>
        <w:jc w:val="both"/>
        <w:rPr>
          <w:rFonts w:ascii="Palatino Linotype" w:hAnsi="Palatino Linotype"/>
        </w:rPr>
      </w:pPr>
      <w:r w:rsidRPr="00AD22F4">
        <w:rPr>
          <w:rFonts w:ascii="Palatino Linotype" w:hAnsi="Palatino Linotype"/>
        </w:rPr>
        <w:t>Este Instituto de Transparencia, Acceso a la Información Pública y Protección de Datos Personales del Estado de México, es competente para conocer y resolver el presente recurso de revisión interpuesto por el Recurrente conforme a lo dispuesto en los artículos 6, apartado A, fracción IV de la Constitución Política de los Estados Unidos Mexicanos; 5, párrafos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270729" w:rsidRPr="00AD22F4" w:rsidRDefault="00270729" w:rsidP="00270729">
      <w:pPr>
        <w:spacing w:before="240" w:line="360" w:lineRule="auto"/>
        <w:jc w:val="both"/>
        <w:rPr>
          <w:rFonts w:ascii="Palatino Linotype" w:eastAsia="Calibri" w:hAnsi="Palatino Linotype"/>
          <w:b/>
          <w:color w:val="000000" w:themeColor="text1"/>
        </w:rPr>
      </w:pPr>
    </w:p>
    <w:p w:rsidR="00270729" w:rsidRPr="00AD22F4" w:rsidRDefault="00270729" w:rsidP="00270729">
      <w:pPr>
        <w:pStyle w:val="Prrafodelista"/>
        <w:autoSpaceDE w:val="0"/>
        <w:autoSpaceDN w:val="0"/>
        <w:adjustRightInd w:val="0"/>
        <w:spacing w:before="240" w:after="160" w:line="360" w:lineRule="auto"/>
        <w:ind w:left="0"/>
        <w:jc w:val="both"/>
        <w:rPr>
          <w:rFonts w:ascii="Palatino Linotype" w:hAnsi="Palatino Linotype" w:cs="Arial"/>
          <w:b/>
        </w:rPr>
      </w:pPr>
      <w:r w:rsidRPr="00AD22F4">
        <w:rPr>
          <w:rFonts w:ascii="Palatino Linotype" w:hAnsi="Palatino Linotype" w:cs="Arial"/>
          <w:b/>
          <w:sz w:val="28"/>
        </w:rPr>
        <w:t>SEGUNDO</w:t>
      </w:r>
      <w:r w:rsidRPr="00AD22F4">
        <w:rPr>
          <w:rFonts w:ascii="Palatino Linotype" w:hAnsi="Palatino Linotype" w:cs="Arial"/>
          <w:b/>
        </w:rPr>
        <w:t xml:space="preserve">. </w:t>
      </w:r>
      <w:r w:rsidRPr="00AD22F4">
        <w:rPr>
          <w:rFonts w:ascii="Palatino Linotype" w:hAnsi="Palatino Linotype" w:cs="Arial"/>
          <w:b/>
          <w:sz w:val="28"/>
          <w:szCs w:val="28"/>
        </w:rPr>
        <w:t>Sobre los alcances del recurso de revisión.</w:t>
      </w:r>
      <w:r w:rsidRPr="00AD22F4">
        <w:rPr>
          <w:rFonts w:ascii="Palatino Linotype" w:hAnsi="Palatino Linotype" w:cs="Arial"/>
          <w:b/>
        </w:rPr>
        <w:t xml:space="preserve"> </w:t>
      </w:r>
    </w:p>
    <w:p w:rsidR="00270729" w:rsidRPr="00AD22F4" w:rsidRDefault="00270729" w:rsidP="00270729">
      <w:pPr>
        <w:pStyle w:val="Prrafodelista"/>
        <w:autoSpaceDE w:val="0"/>
        <w:autoSpaceDN w:val="0"/>
        <w:adjustRightInd w:val="0"/>
        <w:spacing w:before="240" w:after="160" w:line="360" w:lineRule="auto"/>
        <w:ind w:left="0"/>
        <w:jc w:val="both"/>
        <w:rPr>
          <w:rFonts w:ascii="Palatino Linotype" w:hAnsi="Palatino Linotype" w:cs="Arial"/>
        </w:rPr>
      </w:pPr>
      <w:r w:rsidRPr="00AD22F4">
        <w:rPr>
          <w:rFonts w:ascii="Palatino Linotype" w:hAnsi="Palatino Linotype" w:cs="Arial"/>
        </w:rPr>
        <w:lastRenderedPageBreak/>
        <w:t>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rsidR="00270729" w:rsidRPr="00AD22F4" w:rsidRDefault="00270729" w:rsidP="00270729">
      <w:pPr>
        <w:autoSpaceDE w:val="0"/>
        <w:autoSpaceDN w:val="0"/>
        <w:adjustRightInd w:val="0"/>
        <w:spacing w:before="240" w:line="360" w:lineRule="auto"/>
        <w:jc w:val="both"/>
        <w:rPr>
          <w:rFonts w:ascii="Palatino Linotype" w:hAnsi="Palatino Linotype" w:cs="Arial"/>
        </w:rPr>
      </w:pPr>
      <w:r w:rsidRPr="00AD22F4">
        <w:rPr>
          <w:rFonts w:ascii="Palatino Linotype" w:hAnsi="Palatino Linotype" w:cs="Arial"/>
        </w:rPr>
        <w:t>El Recurso de Revisión en estudio contiene los elementos normativos de validez exigidos en la Ley de Transparencia y Acceso a la Información Pública del Estado de México y Municipios, establecidos en el artículo 180 que enuncia:</w:t>
      </w:r>
    </w:p>
    <w:p w:rsidR="00270729" w:rsidRPr="00AD22F4" w:rsidRDefault="00270729" w:rsidP="00270729">
      <w:pPr>
        <w:autoSpaceDE w:val="0"/>
        <w:autoSpaceDN w:val="0"/>
        <w:adjustRightInd w:val="0"/>
        <w:spacing w:before="240" w:line="360" w:lineRule="auto"/>
        <w:ind w:left="1134"/>
        <w:jc w:val="both"/>
        <w:rPr>
          <w:rFonts w:ascii="Palatino Linotype" w:hAnsi="Palatino Linotype" w:cs="Arial"/>
          <w:i/>
        </w:rPr>
      </w:pPr>
      <w:r w:rsidRPr="00AD22F4">
        <w:rPr>
          <w:rFonts w:ascii="Palatino Linotype" w:hAnsi="Palatino Linotype" w:cs="Arial"/>
          <w:i/>
        </w:rPr>
        <w:t xml:space="preserve">“Artículo 180. El recurso de revisión contendrá: </w:t>
      </w:r>
    </w:p>
    <w:p w:rsidR="00270729" w:rsidRPr="00AD22F4" w:rsidRDefault="00270729" w:rsidP="00270729">
      <w:pPr>
        <w:autoSpaceDE w:val="0"/>
        <w:autoSpaceDN w:val="0"/>
        <w:adjustRightInd w:val="0"/>
        <w:ind w:left="1134"/>
        <w:jc w:val="both"/>
        <w:rPr>
          <w:rFonts w:ascii="Palatino Linotype" w:hAnsi="Palatino Linotype" w:cs="Arial"/>
          <w:i/>
          <w:lang w:val="es-ES_tradnl"/>
        </w:rPr>
      </w:pPr>
      <w:r w:rsidRPr="00AD22F4">
        <w:rPr>
          <w:rFonts w:ascii="Palatino Linotype" w:hAnsi="Palatino Linotype" w:cs="Arial"/>
          <w:i/>
          <w:lang w:val="es-ES_tradnl"/>
        </w:rPr>
        <w:t xml:space="preserve">I. El sujeto obligado ante la cual se presentó la solicitud; </w:t>
      </w:r>
    </w:p>
    <w:p w:rsidR="00270729" w:rsidRPr="00AD22F4" w:rsidRDefault="00270729" w:rsidP="00270729">
      <w:pPr>
        <w:autoSpaceDE w:val="0"/>
        <w:autoSpaceDN w:val="0"/>
        <w:adjustRightInd w:val="0"/>
        <w:ind w:left="1134" w:right="567"/>
        <w:jc w:val="both"/>
        <w:rPr>
          <w:rFonts w:ascii="Palatino Linotype" w:hAnsi="Palatino Linotype" w:cs="Arial"/>
          <w:i/>
          <w:lang w:val="es-ES_tradnl"/>
        </w:rPr>
      </w:pPr>
      <w:r w:rsidRPr="00AD22F4">
        <w:rPr>
          <w:rFonts w:ascii="Palatino Linotype" w:hAnsi="Palatino Linotype" w:cs="Arial"/>
          <w:b/>
          <w:i/>
          <w:lang w:val="es-ES_tradnl"/>
        </w:rPr>
        <w:t>II. El nombre del solicitante que recurre</w:t>
      </w:r>
      <w:r w:rsidRPr="00AD22F4">
        <w:rPr>
          <w:rFonts w:ascii="Palatino Linotype" w:hAnsi="Palatino Linotype" w:cs="Arial"/>
          <w:i/>
          <w:lang w:val="es-ES_tradnl"/>
        </w:rPr>
        <w:t xml:space="preserve"> o de su representante y, en su caso, del tercero interesado, así como la dirección o medio que señale para recibir notificaciones;</w:t>
      </w:r>
    </w:p>
    <w:p w:rsidR="00270729" w:rsidRPr="00AD22F4" w:rsidRDefault="00270729" w:rsidP="00270729">
      <w:pPr>
        <w:autoSpaceDE w:val="0"/>
        <w:autoSpaceDN w:val="0"/>
        <w:adjustRightInd w:val="0"/>
        <w:ind w:left="1134"/>
        <w:jc w:val="both"/>
        <w:rPr>
          <w:rFonts w:ascii="Palatino Linotype" w:hAnsi="Palatino Linotype" w:cs="Arial"/>
          <w:i/>
          <w:lang w:val="es-ES_tradnl"/>
        </w:rPr>
      </w:pPr>
      <w:r w:rsidRPr="00AD22F4">
        <w:rPr>
          <w:rFonts w:ascii="Palatino Linotype" w:hAnsi="Palatino Linotype" w:cs="Arial"/>
          <w:i/>
          <w:lang w:val="es-ES_tradnl"/>
        </w:rPr>
        <w:t>III. El número de folio de respuesta de la solicitud de acceso;</w:t>
      </w:r>
    </w:p>
    <w:p w:rsidR="00270729" w:rsidRPr="00AD22F4" w:rsidRDefault="00270729" w:rsidP="00270729">
      <w:pPr>
        <w:autoSpaceDE w:val="0"/>
        <w:autoSpaceDN w:val="0"/>
        <w:adjustRightInd w:val="0"/>
        <w:ind w:left="1134" w:right="567"/>
        <w:jc w:val="both"/>
        <w:rPr>
          <w:rFonts w:ascii="Palatino Linotype" w:hAnsi="Palatino Linotype" w:cs="Arial"/>
          <w:i/>
          <w:lang w:val="es-ES_tradnl"/>
        </w:rPr>
      </w:pPr>
      <w:r w:rsidRPr="00AD22F4">
        <w:rPr>
          <w:rFonts w:ascii="Palatino Linotype" w:hAnsi="Palatino Linotype" w:cs="Arial"/>
          <w:i/>
          <w:lang w:val="es-ES_tradnl"/>
        </w:rPr>
        <w:t>IV. La fecha en que fue notificada la respuesta al solicitante o tuvo conocimiento del acto reclamado, o de presentación de la solicitud, en caso de falta de respuesta;</w:t>
      </w:r>
    </w:p>
    <w:p w:rsidR="00270729" w:rsidRPr="00AD22F4" w:rsidRDefault="00270729" w:rsidP="00270729">
      <w:pPr>
        <w:autoSpaceDE w:val="0"/>
        <w:autoSpaceDN w:val="0"/>
        <w:adjustRightInd w:val="0"/>
        <w:ind w:left="1134" w:right="567"/>
        <w:jc w:val="both"/>
        <w:rPr>
          <w:rFonts w:ascii="Palatino Linotype" w:hAnsi="Palatino Linotype" w:cs="Arial"/>
          <w:i/>
          <w:lang w:val="es-ES_tradnl"/>
        </w:rPr>
      </w:pPr>
      <w:r w:rsidRPr="00AD22F4">
        <w:rPr>
          <w:rFonts w:ascii="Palatino Linotype" w:hAnsi="Palatino Linotype" w:cs="Arial"/>
          <w:i/>
          <w:lang w:val="es-ES_tradnl"/>
        </w:rPr>
        <w:t>V. El acto que se recurre;</w:t>
      </w:r>
    </w:p>
    <w:p w:rsidR="00270729" w:rsidRPr="00AD22F4" w:rsidRDefault="00270729" w:rsidP="00270729">
      <w:pPr>
        <w:autoSpaceDE w:val="0"/>
        <w:autoSpaceDN w:val="0"/>
        <w:adjustRightInd w:val="0"/>
        <w:ind w:left="1134"/>
        <w:jc w:val="both"/>
        <w:rPr>
          <w:rFonts w:ascii="Palatino Linotype" w:hAnsi="Palatino Linotype" w:cs="Arial"/>
          <w:i/>
          <w:lang w:val="es-ES_tradnl"/>
        </w:rPr>
      </w:pPr>
      <w:r w:rsidRPr="00AD22F4">
        <w:rPr>
          <w:rFonts w:ascii="Palatino Linotype" w:hAnsi="Palatino Linotype" w:cs="Arial"/>
          <w:i/>
          <w:lang w:val="es-ES_tradnl"/>
        </w:rPr>
        <w:t>VI. Las razones o motivos de inconformidad;</w:t>
      </w:r>
    </w:p>
    <w:p w:rsidR="00270729" w:rsidRPr="00AD22F4" w:rsidRDefault="00270729" w:rsidP="00270729">
      <w:pPr>
        <w:autoSpaceDE w:val="0"/>
        <w:autoSpaceDN w:val="0"/>
        <w:adjustRightInd w:val="0"/>
        <w:ind w:left="1134" w:right="567"/>
        <w:jc w:val="both"/>
        <w:rPr>
          <w:rFonts w:ascii="Palatino Linotype" w:hAnsi="Palatino Linotype" w:cs="Arial"/>
          <w:i/>
          <w:lang w:val="es-ES_tradnl"/>
        </w:rPr>
      </w:pPr>
      <w:r w:rsidRPr="00AD22F4">
        <w:rPr>
          <w:rFonts w:ascii="Palatino Linotype" w:hAnsi="Palatino Linotype" w:cs="Arial"/>
          <w:i/>
          <w:lang w:val="es-ES_tradnl"/>
        </w:rPr>
        <w:t xml:space="preserve">VII. La copia de la respuesta que se impugna y, en su caso, de la notificación correspondiente, en el caso de respuesta de la solicitud; y </w:t>
      </w:r>
    </w:p>
    <w:p w:rsidR="00270729" w:rsidRPr="00AD22F4" w:rsidRDefault="00270729" w:rsidP="00270729">
      <w:pPr>
        <w:autoSpaceDE w:val="0"/>
        <w:autoSpaceDN w:val="0"/>
        <w:adjustRightInd w:val="0"/>
        <w:ind w:left="1134" w:right="567"/>
        <w:jc w:val="both"/>
        <w:rPr>
          <w:rFonts w:ascii="Palatino Linotype" w:hAnsi="Palatino Linotype" w:cs="Arial"/>
          <w:i/>
          <w:lang w:val="es-ES_tradnl"/>
        </w:rPr>
      </w:pPr>
      <w:r w:rsidRPr="00AD22F4">
        <w:rPr>
          <w:rFonts w:ascii="Palatino Linotype" w:hAnsi="Palatino Linotype" w:cs="Arial"/>
          <w:i/>
          <w:lang w:val="es-ES_tradnl"/>
        </w:rPr>
        <w:t xml:space="preserve">VIII. Firma del recurrente, en su caso, cuando se presente por escrito, requisito sin el cual se dará trámite al recurso. </w:t>
      </w:r>
    </w:p>
    <w:p w:rsidR="00270729" w:rsidRPr="00AD22F4" w:rsidRDefault="00270729" w:rsidP="00270729">
      <w:pPr>
        <w:autoSpaceDE w:val="0"/>
        <w:autoSpaceDN w:val="0"/>
        <w:adjustRightInd w:val="0"/>
        <w:spacing w:before="240" w:line="276" w:lineRule="auto"/>
        <w:ind w:left="1134" w:right="567"/>
        <w:jc w:val="both"/>
        <w:rPr>
          <w:rFonts w:ascii="Palatino Linotype" w:hAnsi="Palatino Linotype" w:cs="Arial"/>
          <w:i/>
          <w:lang w:val="es-ES_tradnl"/>
        </w:rPr>
      </w:pPr>
      <w:r w:rsidRPr="00AD22F4">
        <w:rPr>
          <w:rFonts w:ascii="Palatino Linotype" w:hAnsi="Palatino Linotype" w:cs="Arial"/>
          <w:i/>
          <w:lang w:val="es-ES_tradnl"/>
        </w:rPr>
        <w:t xml:space="preserve">Adicionalmente, se podrán anexar las pruebas y demás elementos que considere procedentes someter a juicio del Instituto. </w:t>
      </w:r>
    </w:p>
    <w:p w:rsidR="00270729" w:rsidRPr="00AD22F4" w:rsidRDefault="00270729" w:rsidP="00270729">
      <w:pPr>
        <w:autoSpaceDE w:val="0"/>
        <w:autoSpaceDN w:val="0"/>
        <w:adjustRightInd w:val="0"/>
        <w:spacing w:before="240" w:line="276" w:lineRule="auto"/>
        <w:ind w:left="1134" w:right="567"/>
        <w:jc w:val="both"/>
        <w:rPr>
          <w:rFonts w:ascii="Palatino Linotype" w:hAnsi="Palatino Linotype" w:cs="Arial"/>
          <w:i/>
          <w:lang w:val="es-ES_tradnl"/>
        </w:rPr>
      </w:pPr>
      <w:r w:rsidRPr="00AD22F4">
        <w:rPr>
          <w:rFonts w:ascii="Palatino Linotype" w:hAnsi="Palatino Linotype" w:cs="Arial"/>
          <w:i/>
          <w:lang w:val="es-ES_tradnl"/>
        </w:rPr>
        <w:lastRenderedPageBreak/>
        <w:t xml:space="preserve">En ningún caso será necesario que el particular ratifique el recurso de revisión interpuesto. </w:t>
      </w:r>
    </w:p>
    <w:p w:rsidR="00270729" w:rsidRPr="00AD22F4" w:rsidRDefault="00270729" w:rsidP="00270729">
      <w:pPr>
        <w:autoSpaceDE w:val="0"/>
        <w:autoSpaceDN w:val="0"/>
        <w:adjustRightInd w:val="0"/>
        <w:spacing w:before="240" w:line="360" w:lineRule="auto"/>
        <w:ind w:left="1134" w:right="567"/>
        <w:jc w:val="both"/>
        <w:rPr>
          <w:rFonts w:ascii="Palatino Linotype" w:hAnsi="Palatino Linotype" w:cs="Arial"/>
        </w:rPr>
      </w:pPr>
      <w:r w:rsidRPr="00AD22F4">
        <w:rPr>
          <w:rFonts w:ascii="Palatino Linotype" w:eastAsia="Calibri" w:hAnsi="Palatino Linotype" w:cs="Arial"/>
          <w:b/>
          <w:i/>
        </w:rPr>
        <w:t>En caso de que el recurso se interponga de manera electrónica no será indispensable que contengan los requisitos establecidos en las fracciones II, IV, VII y VIII.”</w:t>
      </w:r>
    </w:p>
    <w:p w:rsidR="00270729" w:rsidRPr="00AD22F4" w:rsidRDefault="00270729" w:rsidP="00270729">
      <w:pPr>
        <w:autoSpaceDE w:val="0"/>
        <w:autoSpaceDN w:val="0"/>
        <w:adjustRightInd w:val="0"/>
        <w:spacing w:before="240" w:line="360" w:lineRule="auto"/>
        <w:jc w:val="both"/>
        <w:rPr>
          <w:rFonts w:ascii="Palatino Linotype" w:hAnsi="Palatino Linotype"/>
        </w:rPr>
      </w:pPr>
    </w:p>
    <w:p w:rsidR="00270729" w:rsidRPr="00AD22F4" w:rsidRDefault="00270729" w:rsidP="00270729">
      <w:pPr>
        <w:autoSpaceDE w:val="0"/>
        <w:autoSpaceDN w:val="0"/>
        <w:adjustRightInd w:val="0"/>
        <w:spacing w:before="240" w:line="360" w:lineRule="auto"/>
        <w:jc w:val="both"/>
        <w:rPr>
          <w:rFonts w:ascii="Palatino Linotype" w:hAnsi="Palatino Linotype"/>
        </w:rPr>
      </w:pPr>
      <w:r w:rsidRPr="00AD22F4">
        <w:rPr>
          <w:rFonts w:ascii="Palatino Linotype" w:hAnsi="Palatino Linotype"/>
        </w:rPr>
        <w:t>Cabe señalar que El Recurrente ejerció de manera anónima su derecho de acceso a la información pública, sin embargo, no es motivo para desechar las solicitudes de acceso a la información pública conforme a lo previsto en el artículo 155, penúltimo párrafo de la Ley de Transparencia y Acceso a la Información Pública del Estado de México y Municipios que señala lo siguiente:</w:t>
      </w:r>
    </w:p>
    <w:tbl>
      <w:tblPr>
        <w:tblStyle w:val="Tablaconcuadrcula1"/>
        <w:tblW w:w="0" w:type="auto"/>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82"/>
      </w:tblGrid>
      <w:tr w:rsidR="00270729" w:rsidRPr="00AD22F4" w:rsidTr="001B72E4">
        <w:trPr>
          <w:trHeight w:val="1360"/>
        </w:trPr>
        <w:tc>
          <w:tcPr>
            <w:tcW w:w="7982" w:type="dxa"/>
          </w:tcPr>
          <w:p w:rsidR="00270729" w:rsidRPr="00AD22F4" w:rsidRDefault="00270729" w:rsidP="001B72E4">
            <w:pPr>
              <w:autoSpaceDE w:val="0"/>
              <w:autoSpaceDN w:val="0"/>
              <w:adjustRightInd w:val="0"/>
              <w:spacing w:before="240" w:line="360" w:lineRule="auto"/>
              <w:jc w:val="both"/>
              <w:rPr>
                <w:rFonts w:ascii="Palatino Linotype" w:hAnsi="Palatino Linotype"/>
                <w:i/>
              </w:rPr>
            </w:pPr>
            <w:r w:rsidRPr="00AD22F4">
              <w:rPr>
                <w:rFonts w:ascii="Palatino Linotype" w:hAnsi="Palatino Linotype"/>
                <w:i/>
              </w:rPr>
              <w:t xml:space="preserve">“Las solicitudes anónimas, con nombre incompleto o seudónimo serán procedentes para su trámite por parte del sujeto obligado ante quien se presente. No podrá requerirse información adicional con motivo del nombre proporcionado por el solicitante.” </w:t>
            </w:r>
          </w:p>
        </w:tc>
      </w:tr>
    </w:tbl>
    <w:p w:rsidR="00270729" w:rsidRPr="00AD22F4" w:rsidRDefault="00270729" w:rsidP="00270729">
      <w:pPr>
        <w:autoSpaceDE w:val="0"/>
        <w:autoSpaceDN w:val="0"/>
        <w:adjustRightInd w:val="0"/>
        <w:spacing w:before="240" w:line="360" w:lineRule="auto"/>
        <w:jc w:val="both"/>
        <w:rPr>
          <w:rFonts w:ascii="Palatino Linotype" w:hAnsi="Palatino Linotype"/>
        </w:rPr>
      </w:pPr>
      <w:r w:rsidRPr="00AD22F4">
        <w:rPr>
          <w:rFonts w:ascii="Palatino Linotype" w:hAnsi="Palatino Linotype"/>
        </w:rPr>
        <w:t>Robusteciendo lo anterior se encuentra lo dispuesto en los artículos 6, Apartado A, fracciones III y IV, de la Constitución Política de los Estados Unidos Mexicanos y 5 párrafos vigésimo, vigésimo primero y vigésimo segundo, de la Constitución Política del Estado Libre y Soberano de México, se establece lo siguiente:</w:t>
      </w: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tblGrid>
      <w:tr w:rsidR="00270729" w:rsidRPr="00AD22F4" w:rsidTr="001B72E4">
        <w:trPr>
          <w:jc w:val="center"/>
        </w:trPr>
        <w:tc>
          <w:tcPr>
            <w:tcW w:w="8075" w:type="dxa"/>
          </w:tcPr>
          <w:p w:rsidR="00270729" w:rsidRPr="00AD22F4" w:rsidRDefault="00270729" w:rsidP="001B72E4">
            <w:pPr>
              <w:autoSpaceDE w:val="0"/>
              <w:autoSpaceDN w:val="0"/>
              <w:adjustRightInd w:val="0"/>
              <w:spacing w:before="240" w:line="360" w:lineRule="auto"/>
              <w:jc w:val="center"/>
              <w:rPr>
                <w:rFonts w:ascii="Palatino Linotype" w:hAnsi="Palatino Linotype"/>
                <w:b/>
                <w:i/>
              </w:rPr>
            </w:pPr>
            <w:r w:rsidRPr="00AD22F4">
              <w:rPr>
                <w:rFonts w:ascii="Palatino Linotype" w:hAnsi="Palatino Linotype"/>
                <w:b/>
                <w:i/>
              </w:rPr>
              <w:t xml:space="preserve">Constitución Política de los Estados Unidos Mexicanos </w:t>
            </w:r>
          </w:p>
          <w:p w:rsidR="00270729" w:rsidRPr="00AD22F4" w:rsidRDefault="00270729" w:rsidP="001B72E4">
            <w:pPr>
              <w:autoSpaceDE w:val="0"/>
              <w:autoSpaceDN w:val="0"/>
              <w:adjustRightInd w:val="0"/>
              <w:spacing w:before="240" w:line="360" w:lineRule="auto"/>
              <w:jc w:val="both"/>
              <w:rPr>
                <w:rFonts w:ascii="Palatino Linotype" w:hAnsi="Palatino Linotype"/>
                <w:i/>
              </w:rPr>
            </w:pPr>
            <w:r w:rsidRPr="00AD22F4">
              <w:rPr>
                <w:rFonts w:ascii="Palatino Linotype" w:hAnsi="Palatino Linotype"/>
                <w:i/>
              </w:rPr>
              <w:t xml:space="preserve">“Artículo 6°.- La manifestación de las ideas no será objeto de ninguna inquisición judicial o administrativa, sino en el caso de que ataque a la moral, la vida privada </w:t>
            </w:r>
            <w:r w:rsidRPr="00AD22F4">
              <w:rPr>
                <w:rFonts w:ascii="Palatino Linotype" w:hAnsi="Palatino Linotype"/>
                <w:i/>
              </w:rPr>
              <w:lastRenderedPageBreak/>
              <w:t xml:space="preserve">o los derechos de terceros, provoque algún delito, o perturbe el orden público; el derecho de réplica será ejercido en los términos dispuestos por la ley. El derecho a la información será garantizado por el Estado. </w:t>
            </w:r>
          </w:p>
          <w:p w:rsidR="00270729" w:rsidRPr="00AD22F4" w:rsidRDefault="00270729" w:rsidP="001B72E4">
            <w:pPr>
              <w:autoSpaceDE w:val="0"/>
              <w:autoSpaceDN w:val="0"/>
              <w:adjustRightInd w:val="0"/>
              <w:spacing w:before="240" w:line="360" w:lineRule="auto"/>
              <w:jc w:val="both"/>
              <w:rPr>
                <w:rFonts w:ascii="Palatino Linotype" w:hAnsi="Palatino Linotype"/>
                <w:i/>
              </w:rPr>
            </w:pPr>
            <w:r w:rsidRPr="00AD22F4">
              <w:rPr>
                <w:rFonts w:ascii="Palatino Linotype" w:hAnsi="Palatino Linotype"/>
                <w:i/>
              </w:rPr>
              <w:t xml:space="preserve">(…) </w:t>
            </w:r>
          </w:p>
          <w:p w:rsidR="00270729" w:rsidRPr="00AD22F4" w:rsidRDefault="00270729" w:rsidP="001B72E4">
            <w:pPr>
              <w:autoSpaceDE w:val="0"/>
              <w:autoSpaceDN w:val="0"/>
              <w:adjustRightInd w:val="0"/>
              <w:spacing w:before="240" w:line="360" w:lineRule="auto"/>
              <w:jc w:val="both"/>
              <w:rPr>
                <w:rFonts w:ascii="Palatino Linotype" w:hAnsi="Palatino Linotype"/>
                <w:i/>
              </w:rPr>
            </w:pPr>
            <w:r w:rsidRPr="00AD22F4">
              <w:rPr>
                <w:rFonts w:ascii="Palatino Linotype" w:hAnsi="Palatino Linotype"/>
                <w:i/>
              </w:rPr>
              <w:t>Para efectos de lo dispuesto en el presente artículo se observará lo siguiente: A. Para el ejercicio del derecho de acceso a la información, la Federación, los Estados y el Distrito Federal, en el ámbito de sus respectivas competencias, se regirán por los siguientes principios y bases:</w:t>
            </w:r>
          </w:p>
          <w:p w:rsidR="00270729" w:rsidRPr="00AD22F4" w:rsidRDefault="00270729" w:rsidP="001B72E4">
            <w:pPr>
              <w:autoSpaceDE w:val="0"/>
              <w:autoSpaceDN w:val="0"/>
              <w:adjustRightInd w:val="0"/>
              <w:spacing w:before="240" w:line="360" w:lineRule="auto"/>
              <w:jc w:val="both"/>
              <w:rPr>
                <w:rFonts w:ascii="Palatino Linotype" w:hAnsi="Palatino Linotype"/>
                <w:i/>
              </w:rPr>
            </w:pPr>
            <w:r w:rsidRPr="00AD22F4">
              <w:rPr>
                <w:rFonts w:ascii="Palatino Linotype" w:hAnsi="Palatino Linotype"/>
                <w:i/>
              </w:rPr>
              <w:t xml:space="preserve"> (…) </w:t>
            </w:r>
          </w:p>
          <w:p w:rsidR="00270729" w:rsidRPr="00AD22F4" w:rsidRDefault="00270729" w:rsidP="001B72E4">
            <w:pPr>
              <w:autoSpaceDE w:val="0"/>
              <w:autoSpaceDN w:val="0"/>
              <w:adjustRightInd w:val="0"/>
              <w:spacing w:before="240" w:line="360" w:lineRule="auto"/>
              <w:jc w:val="both"/>
              <w:rPr>
                <w:rFonts w:ascii="Palatino Linotype" w:hAnsi="Palatino Linotype"/>
                <w:i/>
              </w:rPr>
            </w:pPr>
            <w:r w:rsidRPr="00AD22F4">
              <w:rPr>
                <w:rFonts w:ascii="Palatino Linotype" w:hAnsi="Palatino Linotype"/>
                <w:i/>
              </w:rPr>
              <w:t>III. Toda persona, sin necesidad de acreditar interés alguno o justificar su utilización, tendrá acceso gratuito a la información pública, a sus datos personales o a la rectificación de éstos.</w:t>
            </w:r>
          </w:p>
          <w:p w:rsidR="00270729" w:rsidRPr="00AD22F4" w:rsidRDefault="00270729" w:rsidP="001B72E4">
            <w:pPr>
              <w:autoSpaceDE w:val="0"/>
              <w:autoSpaceDN w:val="0"/>
              <w:adjustRightInd w:val="0"/>
              <w:spacing w:before="240" w:line="360" w:lineRule="auto"/>
              <w:jc w:val="both"/>
              <w:rPr>
                <w:rFonts w:ascii="Palatino Linotype" w:hAnsi="Palatino Linotype" w:cs="Arial"/>
                <w:i/>
              </w:rPr>
            </w:pPr>
            <w:r w:rsidRPr="00AD22F4">
              <w:rPr>
                <w:rFonts w:ascii="Palatino Linotype" w:hAnsi="Palatino Linotype" w:cs="Arial"/>
                <w:i/>
              </w:rPr>
              <w:t>IV. Se establecerán mecanismos de acceso a la información y procedimientos de revisión expeditos que se sustanciarán ante los organismos autónomos especializados e imparciales que establece esta Constitución.”</w:t>
            </w:r>
          </w:p>
          <w:p w:rsidR="00270729" w:rsidRPr="00AD22F4" w:rsidRDefault="00270729" w:rsidP="001B72E4">
            <w:pPr>
              <w:autoSpaceDE w:val="0"/>
              <w:autoSpaceDN w:val="0"/>
              <w:adjustRightInd w:val="0"/>
              <w:spacing w:before="240" w:line="360" w:lineRule="auto"/>
              <w:jc w:val="both"/>
              <w:rPr>
                <w:rFonts w:ascii="Palatino Linotype" w:hAnsi="Palatino Linotype" w:cs="Arial"/>
                <w:b/>
                <w:i/>
              </w:rPr>
            </w:pPr>
            <w:r w:rsidRPr="00AD22F4">
              <w:rPr>
                <w:rFonts w:ascii="Palatino Linotype" w:hAnsi="Palatino Linotype" w:cs="Arial"/>
                <w:b/>
                <w:i/>
              </w:rPr>
              <w:t>Constitución Política del Estado Libre y Soberano de México</w:t>
            </w:r>
          </w:p>
          <w:p w:rsidR="00270729" w:rsidRPr="00AD22F4" w:rsidRDefault="00270729" w:rsidP="001B72E4">
            <w:pPr>
              <w:autoSpaceDE w:val="0"/>
              <w:autoSpaceDN w:val="0"/>
              <w:adjustRightInd w:val="0"/>
              <w:spacing w:before="240" w:line="360" w:lineRule="auto"/>
              <w:jc w:val="both"/>
              <w:rPr>
                <w:rFonts w:ascii="Palatino Linotype" w:eastAsia="Calibri" w:hAnsi="Palatino Linotype" w:cs="Arial"/>
                <w:i/>
                <w:lang w:val="es-ES_tradnl" w:eastAsia="es-MX"/>
              </w:rPr>
            </w:pPr>
            <w:r w:rsidRPr="00AD22F4">
              <w:rPr>
                <w:rFonts w:ascii="Palatino Linotype" w:eastAsia="Calibri" w:hAnsi="Palatino Linotype" w:cs="Arial"/>
                <w:i/>
                <w:lang w:val="es-ES_tradnl" w:eastAsia="es-MX"/>
              </w:rPr>
              <w:t xml:space="preserve">“Artículo 5.-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 para su protección, las cuales no podrán restringirse ni suspenderse salvo </w:t>
            </w:r>
            <w:r w:rsidRPr="00AD22F4">
              <w:rPr>
                <w:rFonts w:ascii="Palatino Linotype" w:eastAsia="Calibri" w:hAnsi="Palatino Linotype" w:cs="Arial"/>
                <w:i/>
                <w:lang w:val="es-ES_tradnl" w:eastAsia="es-MX"/>
              </w:rPr>
              <w:lastRenderedPageBreak/>
              <w:t>en los casos y bajo las condiciones que la Constitución Política de los Estados Unidos Mexicanos establece.</w:t>
            </w:r>
          </w:p>
          <w:p w:rsidR="00270729" w:rsidRPr="00AD22F4" w:rsidRDefault="00270729" w:rsidP="001B72E4">
            <w:pPr>
              <w:autoSpaceDE w:val="0"/>
              <w:autoSpaceDN w:val="0"/>
              <w:adjustRightInd w:val="0"/>
              <w:spacing w:before="240" w:line="360" w:lineRule="auto"/>
              <w:jc w:val="both"/>
              <w:rPr>
                <w:rFonts w:ascii="Palatino Linotype" w:eastAsia="Calibri" w:hAnsi="Palatino Linotype" w:cs="Arial"/>
                <w:i/>
                <w:lang w:val="es-ES_tradnl" w:eastAsia="es-MX"/>
              </w:rPr>
            </w:pPr>
            <w:r w:rsidRPr="00AD22F4">
              <w:rPr>
                <w:rFonts w:ascii="Palatino Linotype" w:eastAsia="Calibri" w:hAnsi="Palatino Linotype" w:cs="Arial"/>
                <w:i/>
                <w:lang w:val="es-ES_tradnl" w:eastAsia="es-MX"/>
              </w:rPr>
              <w:t>(…)</w:t>
            </w:r>
          </w:p>
          <w:p w:rsidR="00270729" w:rsidRPr="00AD22F4" w:rsidRDefault="00270729" w:rsidP="001B72E4">
            <w:pPr>
              <w:autoSpaceDE w:val="0"/>
              <w:autoSpaceDN w:val="0"/>
              <w:adjustRightInd w:val="0"/>
              <w:spacing w:before="240" w:line="360" w:lineRule="auto"/>
              <w:jc w:val="both"/>
              <w:rPr>
                <w:rFonts w:ascii="Palatino Linotype" w:eastAsia="Calibri" w:hAnsi="Palatino Linotype" w:cs="Arial"/>
                <w:i/>
                <w:lang w:val="es-ES_tradnl" w:eastAsia="es-MX"/>
              </w:rPr>
            </w:pPr>
            <w:r w:rsidRPr="00AD22F4">
              <w:rPr>
                <w:rFonts w:ascii="Palatino Linotype" w:eastAsia="Calibri" w:hAnsi="Palatino Linotype" w:cs="Arial"/>
                <w:i/>
                <w:lang w:val="es-ES_tradnl" w:eastAsia="es-MX"/>
              </w:rPr>
              <w:t>Toda persona en el Estado de México, tiene derecho al libre acceso a la información plural y oportuna, así como a buscar recibir y difundir información e ideas de toda índole por cualquier medio de expresión.</w:t>
            </w:r>
          </w:p>
          <w:p w:rsidR="00270729" w:rsidRPr="00AD22F4" w:rsidRDefault="00270729" w:rsidP="001B72E4">
            <w:pPr>
              <w:autoSpaceDE w:val="0"/>
              <w:autoSpaceDN w:val="0"/>
              <w:adjustRightInd w:val="0"/>
              <w:spacing w:before="240" w:line="360" w:lineRule="auto"/>
              <w:jc w:val="both"/>
              <w:rPr>
                <w:rFonts w:ascii="Palatino Linotype" w:eastAsia="Calibri" w:hAnsi="Palatino Linotype" w:cs="Arial"/>
                <w:i/>
                <w:lang w:val="es-ES_tradnl" w:eastAsia="es-MX"/>
              </w:rPr>
            </w:pPr>
            <w:r w:rsidRPr="00AD22F4">
              <w:rPr>
                <w:rFonts w:ascii="Palatino Linotype" w:eastAsia="Calibri" w:hAnsi="Palatino Linotype" w:cs="Arial"/>
                <w:i/>
                <w:lang w:val="es-ES_tradnl" w:eastAsia="es-MX"/>
              </w:rPr>
              <w:t>(…)</w:t>
            </w:r>
          </w:p>
          <w:p w:rsidR="00270729" w:rsidRPr="00AD22F4" w:rsidRDefault="00270729" w:rsidP="001B72E4">
            <w:pPr>
              <w:autoSpaceDE w:val="0"/>
              <w:autoSpaceDN w:val="0"/>
              <w:adjustRightInd w:val="0"/>
              <w:spacing w:before="240" w:line="360" w:lineRule="auto"/>
              <w:jc w:val="both"/>
              <w:rPr>
                <w:rFonts w:ascii="Palatino Linotype" w:eastAsia="Calibri" w:hAnsi="Palatino Linotype" w:cs="Arial"/>
                <w:i/>
                <w:lang w:val="es-ES_tradnl" w:eastAsia="es-MX"/>
              </w:rPr>
            </w:pPr>
            <w:r w:rsidRPr="00AD22F4">
              <w:rPr>
                <w:rFonts w:ascii="Palatino Linotype" w:eastAsia="Calibri" w:hAnsi="Palatino Linotype" w:cs="Arial"/>
                <w:i/>
                <w:lang w:val="es-ES_tradnl" w:eastAsia="es-MX"/>
              </w:rPr>
              <w:t>El derecho a la información será garantizado por el Estado. La ley establecerá las previsiones que permitan asegurar la protección, el respeto y la difusión de este derecho.</w:t>
            </w:r>
          </w:p>
          <w:p w:rsidR="00270729" w:rsidRPr="00AD22F4" w:rsidRDefault="00270729" w:rsidP="001B72E4">
            <w:pPr>
              <w:autoSpaceDE w:val="0"/>
              <w:autoSpaceDN w:val="0"/>
              <w:adjustRightInd w:val="0"/>
              <w:spacing w:before="240" w:line="360" w:lineRule="auto"/>
              <w:jc w:val="both"/>
              <w:rPr>
                <w:rFonts w:ascii="Palatino Linotype" w:eastAsia="Calibri" w:hAnsi="Palatino Linotype" w:cs="Arial"/>
                <w:i/>
                <w:lang w:val="es-ES_tradnl" w:eastAsia="es-MX"/>
              </w:rPr>
            </w:pPr>
            <w:r w:rsidRPr="00AD22F4">
              <w:rPr>
                <w:rFonts w:ascii="Palatino Linotype" w:eastAsia="Calibri" w:hAnsi="Palatino Linotype" w:cs="Arial"/>
                <w:i/>
                <w:lang w:val="es-ES_tradnl" w:eastAsia="es-MX"/>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Este derecho se regirá por los principios y bases siguientes:</w:t>
            </w:r>
          </w:p>
          <w:p w:rsidR="00270729" w:rsidRPr="00AD22F4" w:rsidRDefault="00270729" w:rsidP="001B72E4">
            <w:pPr>
              <w:autoSpaceDE w:val="0"/>
              <w:autoSpaceDN w:val="0"/>
              <w:adjustRightInd w:val="0"/>
              <w:spacing w:before="240" w:line="360" w:lineRule="auto"/>
              <w:jc w:val="both"/>
              <w:rPr>
                <w:rFonts w:ascii="Palatino Linotype" w:eastAsia="Calibri" w:hAnsi="Palatino Linotype" w:cs="Arial"/>
                <w:i/>
                <w:lang w:val="es-ES_tradnl" w:eastAsia="es-MX"/>
              </w:rPr>
            </w:pPr>
            <w:r w:rsidRPr="00AD22F4">
              <w:rPr>
                <w:rFonts w:ascii="Palatino Linotype" w:eastAsia="Calibri" w:hAnsi="Palatino Linotype" w:cs="Arial"/>
                <w:i/>
                <w:lang w:val="es-ES_tradnl" w:eastAsia="es-MX"/>
              </w:rPr>
              <w:t>III. Toda persona, sin necesidad de acreditar interés alguno o justificar su utilización, tendrá acceso gratuito a la información pública, a sus datos personales o a la rectificación de éstos;</w:t>
            </w:r>
          </w:p>
          <w:p w:rsidR="00270729" w:rsidRPr="00AD22F4" w:rsidRDefault="00270729" w:rsidP="001B72E4">
            <w:pPr>
              <w:autoSpaceDE w:val="0"/>
              <w:autoSpaceDN w:val="0"/>
              <w:adjustRightInd w:val="0"/>
              <w:spacing w:before="240" w:line="360" w:lineRule="auto"/>
              <w:jc w:val="both"/>
              <w:rPr>
                <w:rFonts w:ascii="Palatino Linotype" w:eastAsia="Calibri" w:hAnsi="Palatino Linotype" w:cs="Arial"/>
                <w:i/>
                <w:lang w:val="es-ES_tradnl" w:eastAsia="es-MX"/>
              </w:rPr>
            </w:pPr>
            <w:r w:rsidRPr="00AD22F4">
              <w:rPr>
                <w:rFonts w:ascii="Palatino Linotype" w:eastAsia="Calibri" w:hAnsi="Palatino Linotype" w:cs="Arial"/>
                <w:i/>
                <w:lang w:val="es-ES_tradnl" w:eastAsia="es-MX"/>
              </w:rPr>
              <w:t>IV. Se establecerán mecanismos de acceso a la información y procedimientos de revisión expeditos que se sustanciarán ante el organismo autónomo especializado e imparcial que establece esta Constitución.</w:t>
            </w:r>
          </w:p>
          <w:p w:rsidR="00270729" w:rsidRPr="00AD22F4" w:rsidRDefault="00270729" w:rsidP="001B72E4">
            <w:pPr>
              <w:autoSpaceDE w:val="0"/>
              <w:autoSpaceDN w:val="0"/>
              <w:adjustRightInd w:val="0"/>
              <w:spacing w:before="240" w:line="360" w:lineRule="auto"/>
              <w:jc w:val="both"/>
              <w:rPr>
                <w:rFonts w:ascii="Palatino Linotype" w:hAnsi="Palatino Linotype" w:cs="Arial"/>
                <w:i/>
              </w:rPr>
            </w:pPr>
            <w:r w:rsidRPr="00AD22F4">
              <w:rPr>
                <w:rFonts w:ascii="Palatino Linotype" w:hAnsi="Palatino Linotype" w:cs="Arial"/>
                <w:i/>
              </w:rPr>
              <w:lastRenderedPageBreak/>
              <w:t>(…)</w:t>
            </w:r>
          </w:p>
          <w:p w:rsidR="00270729" w:rsidRPr="00AD22F4" w:rsidRDefault="00270729" w:rsidP="001B72E4">
            <w:pPr>
              <w:autoSpaceDE w:val="0"/>
              <w:autoSpaceDN w:val="0"/>
              <w:adjustRightInd w:val="0"/>
              <w:spacing w:before="240" w:line="360" w:lineRule="auto"/>
              <w:jc w:val="both"/>
              <w:rPr>
                <w:rFonts w:ascii="Palatino Linotype" w:hAnsi="Palatino Linotype" w:cs="Arial"/>
                <w:i/>
              </w:rPr>
            </w:pPr>
            <w:r w:rsidRPr="00AD22F4">
              <w:rPr>
                <w:rFonts w:ascii="Palatino Linotype" w:hAnsi="Palatino Linotype" w:cs="Arial"/>
                <w:i/>
              </w:rPr>
              <w:t>VIII.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w:t>
            </w:r>
          </w:p>
        </w:tc>
      </w:tr>
    </w:tbl>
    <w:p w:rsidR="00270729" w:rsidRPr="00AD22F4" w:rsidRDefault="00270729" w:rsidP="00270729">
      <w:pPr>
        <w:autoSpaceDE w:val="0"/>
        <w:autoSpaceDN w:val="0"/>
        <w:adjustRightInd w:val="0"/>
        <w:spacing w:before="240" w:line="360" w:lineRule="auto"/>
        <w:jc w:val="both"/>
        <w:rPr>
          <w:rFonts w:ascii="Palatino Linotype" w:hAnsi="Palatino Linotype"/>
        </w:rPr>
      </w:pPr>
      <w:r w:rsidRPr="00AD22F4">
        <w:rPr>
          <w:rFonts w:ascii="Palatino Linotype" w:hAnsi="Palatino Linotype"/>
        </w:rPr>
        <w:lastRenderedPageBreak/>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AD22F4">
        <w:rPr>
          <w:rFonts w:ascii="Palatino Linotype" w:hAnsi="Palatino Linotype"/>
          <w:b/>
          <w:u w:val="single"/>
        </w:rPr>
        <w:t>incluso, la solicitud de acceso a la información pueda ser anónima o no contener un nombre que identifique al solicitante o que permita tener certeza sobre su identidad</w:t>
      </w:r>
      <w:r w:rsidRPr="00AD22F4">
        <w:rPr>
          <w:rFonts w:ascii="Palatino Linotype" w:hAnsi="Palatino Linotype"/>
        </w:rPr>
        <w:t xml:space="preserve">. </w:t>
      </w:r>
    </w:p>
    <w:p w:rsidR="00270729" w:rsidRPr="00AD22F4" w:rsidRDefault="00270729" w:rsidP="00270729">
      <w:pPr>
        <w:autoSpaceDE w:val="0"/>
        <w:autoSpaceDN w:val="0"/>
        <w:adjustRightInd w:val="0"/>
        <w:spacing w:before="240" w:line="360" w:lineRule="auto"/>
        <w:jc w:val="both"/>
        <w:rPr>
          <w:rFonts w:ascii="Palatino Linotype" w:hAnsi="Palatino Linotype"/>
        </w:rPr>
      </w:pPr>
      <w:r w:rsidRPr="00AD22F4">
        <w:rPr>
          <w:rFonts w:ascii="Palatino Linotype" w:hAnsi="Palatino Linotype"/>
        </w:rPr>
        <w:t>En conclusión, se cubrieron los requisitos de procedencia y procedibilidad y conforme a las constancias que obran en el expediente.</w:t>
      </w:r>
    </w:p>
    <w:p w:rsidR="00270729" w:rsidRPr="00AD22F4" w:rsidRDefault="00270729" w:rsidP="00270729">
      <w:pPr>
        <w:pStyle w:val="Prrafodelista"/>
        <w:autoSpaceDE w:val="0"/>
        <w:autoSpaceDN w:val="0"/>
        <w:adjustRightInd w:val="0"/>
        <w:spacing w:before="240" w:after="160" w:line="360" w:lineRule="auto"/>
        <w:ind w:left="0"/>
        <w:jc w:val="both"/>
        <w:rPr>
          <w:rFonts w:ascii="Palatino Linotype" w:hAnsi="Palatino Linotype" w:cs="Arial"/>
        </w:rPr>
      </w:pPr>
    </w:p>
    <w:p w:rsidR="00270729" w:rsidRPr="00AD22F4" w:rsidRDefault="00270729" w:rsidP="00270729">
      <w:pPr>
        <w:pStyle w:val="Prrafodelista"/>
        <w:autoSpaceDE w:val="0"/>
        <w:autoSpaceDN w:val="0"/>
        <w:adjustRightInd w:val="0"/>
        <w:spacing w:before="240" w:after="160" w:line="360" w:lineRule="auto"/>
        <w:ind w:left="0"/>
        <w:jc w:val="both"/>
        <w:rPr>
          <w:rFonts w:ascii="Palatino Linotype" w:hAnsi="Palatino Linotype" w:cs="Arial"/>
          <w:b/>
          <w:sz w:val="28"/>
          <w:szCs w:val="28"/>
        </w:rPr>
      </w:pPr>
      <w:r w:rsidRPr="00AD22F4">
        <w:rPr>
          <w:rFonts w:ascii="Palatino Linotype" w:hAnsi="Palatino Linotype" w:cs="Arial"/>
          <w:b/>
          <w:sz w:val="28"/>
        </w:rPr>
        <w:t>TERCERO</w:t>
      </w:r>
      <w:r w:rsidRPr="00AD22F4">
        <w:rPr>
          <w:rFonts w:ascii="Palatino Linotype" w:hAnsi="Palatino Linotype" w:cs="Arial"/>
          <w:b/>
        </w:rPr>
        <w:t xml:space="preserve">. </w:t>
      </w:r>
      <w:r w:rsidRPr="00AD22F4">
        <w:rPr>
          <w:rFonts w:ascii="Palatino Linotype" w:hAnsi="Palatino Linotype" w:cs="Arial"/>
          <w:b/>
          <w:sz w:val="28"/>
          <w:szCs w:val="28"/>
        </w:rPr>
        <w:t>Del estudio de las causas de improcedencia y sobreseimiento</w:t>
      </w:r>
    </w:p>
    <w:p w:rsidR="00270729" w:rsidRPr="00AD22F4" w:rsidRDefault="00270729" w:rsidP="00270729">
      <w:pPr>
        <w:pStyle w:val="Prrafodelista"/>
        <w:autoSpaceDE w:val="0"/>
        <w:autoSpaceDN w:val="0"/>
        <w:adjustRightInd w:val="0"/>
        <w:spacing w:line="360" w:lineRule="auto"/>
        <w:ind w:left="0"/>
        <w:jc w:val="both"/>
        <w:rPr>
          <w:rFonts w:ascii="Palatino Linotype" w:hAnsi="Palatino Linotype" w:cs="Arial"/>
        </w:rPr>
      </w:pPr>
      <w:r w:rsidRPr="00AD22F4">
        <w:rPr>
          <w:rFonts w:ascii="Palatino Linotype" w:hAnsi="Palatino Linotype" w:cs="Arial"/>
        </w:rPr>
        <w:lastRenderedPageBreak/>
        <w:t>Es menester resaltar que en el procedimiento de acceso a la información pública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rsidR="00270729" w:rsidRPr="00AD22F4" w:rsidRDefault="00270729" w:rsidP="00270729">
      <w:pPr>
        <w:pStyle w:val="Prrafodelista"/>
        <w:autoSpaceDE w:val="0"/>
        <w:autoSpaceDN w:val="0"/>
        <w:adjustRightInd w:val="0"/>
        <w:spacing w:line="360" w:lineRule="auto"/>
        <w:ind w:left="0"/>
        <w:jc w:val="both"/>
        <w:rPr>
          <w:rFonts w:ascii="Palatino Linotype" w:hAnsi="Palatino Linotype" w:cs="Arial"/>
        </w:rPr>
      </w:pPr>
    </w:p>
    <w:p w:rsidR="00270729" w:rsidRPr="00AD22F4" w:rsidRDefault="00270729" w:rsidP="00270729">
      <w:pPr>
        <w:pStyle w:val="Prrafodelista"/>
        <w:autoSpaceDE w:val="0"/>
        <w:autoSpaceDN w:val="0"/>
        <w:adjustRightInd w:val="0"/>
        <w:spacing w:line="360" w:lineRule="auto"/>
        <w:ind w:left="0"/>
        <w:jc w:val="both"/>
        <w:rPr>
          <w:rFonts w:ascii="Palatino Linotype" w:hAnsi="Palatino Linotype" w:cs="Arial"/>
        </w:rPr>
      </w:pPr>
      <w:r w:rsidRPr="00AD22F4">
        <w:rPr>
          <w:rFonts w:ascii="Palatino Linotype" w:hAnsi="Palatino Linotype" w:cs="Arial"/>
        </w:rPr>
        <w:t>Siendo una facultad legal entrar al estudio de las causas de improcedencia que hagan valer las partes o que se adviertan de oficio por este Resolutor; presupuestos procesales de inicio o trámite de un proceso que dotan de seguridad jurídica las resoluciones emitidas por este organismo colegiado, máxime que se trata de una figura procesal adoptada en la ley de la materia, la cual permite dilucidar alguna causal que impida el estudio y resolución de un asunto en su fondo, cuando una vez admitido el recurso de revisión se advierta una causa de improcedencia que permita sobreseerlo.</w:t>
      </w:r>
    </w:p>
    <w:p w:rsidR="00270729" w:rsidRPr="00AD22F4" w:rsidRDefault="00270729" w:rsidP="00270729">
      <w:pPr>
        <w:pStyle w:val="Prrafodelista"/>
        <w:autoSpaceDE w:val="0"/>
        <w:autoSpaceDN w:val="0"/>
        <w:adjustRightInd w:val="0"/>
        <w:spacing w:line="360" w:lineRule="auto"/>
        <w:ind w:left="0"/>
        <w:jc w:val="both"/>
        <w:rPr>
          <w:rFonts w:ascii="Palatino Linotype" w:hAnsi="Palatino Linotype" w:cs="Arial"/>
        </w:rPr>
      </w:pPr>
      <w:r w:rsidRPr="00AD22F4">
        <w:rPr>
          <w:rFonts w:ascii="Palatino Linotype" w:hAnsi="Palatino Linotype" w:cs="Arial"/>
        </w:rPr>
        <w:t>Estudio de causales de improcedencia que no son incompatibles con el derecho de acceso a la justicia, ya que éste no se coarta por regular causas de improcedencia y sobreseimiento con tales fines</w:t>
      </w:r>
      <w:r w:rsidRPr="00AD22F4">
        <w:rPr>
          <w:rStyle w:val="Refdenotaalpie"/>
          <w:rFonts w:ascii="Palatino Linotype" w:eastAsiaTheme="minorEastAsia" w:hAnsi="Palatino Linotype" w:cs="Arial"/>
        </w:rPr>
        <w:footnoteReference w:id="1"/>
      </w:r>
      <w:r w:rsidRPr="00AD22F4">
        <w:rPr>
          <w:rFonts w:ascii="Palatino Linotype" w:hAnsi="Palatino Linotype" w:cs="Arial"/>
        </w:rPr>
        <w:t>.</w:t>
      </w:r>
    </w:p>
    <w:p w:rsidR="00270729" w:rsidRPr="00AD22F4" w:rsidRDefault="00270729" w:rsidP="00270729">
      <w:pPr>
        <w:pStyle w:val="Prrafodelista"/>
        <w:autoSpaceDE w:val="0"/>
        <w:autoSpaceDN w:val="0"/>
        <w:adjustRightInd w:val="0"/>
        <w:spacing w:line="360" w:lineRule="auto"/>
        <w:ind w:left="0"/>
        <w:jc w:val="both"/>
        <w:rPr>
          <w:rFonts w:ascii="Palatino Linotype" w:hAnsi="Palatino Linotype" w:cs="Arial"/>
        </w:rPr>
      </w:pPr>
    </w:p>
    <w:p w:rsidR="00270729" w:rsidRPr="00AD22F4" w:rsidRDefault="00270729" w:rsidP="00270729">
      <w:pPr>
        <w:autoSpaceDE w:val="0"/>
        <w:autoSpaceDN w:val="0"/>
        <w:adjustRightInd w:val="0"/>
        <w:spacing w:line="360" w:lineRule="auto"/>
        <w:jc w:val="both"/>
        <w:rPr>
          <w:rFonts w:ascii="Palatino Linotype" w:hAnsi="Palatino Linotype" w:cs="Arial"/>
        </w:rPr>
      </w:pPr>
      <w:r w:rsidRPr="00AD22F4">
        <w:rPr>
          <w:rFonts w:ascii="Palatino Linotype" w:hAnsi="Palatino Linotype" w:cs="Arial"/>
        </w:rPr>
        <w:lastRenderedPageBreak/>
        <w:t>En primer término es necesario hacer alusión a la solicitud de información ya que de ellas deriva por un lado al procedimiento de acceso a la información ante el sujeto obligado, y por otro lado la materia sobre la que versara el recurso de revisión ante este Órgano Garante; se resalta la innegable necesidad de interpretar el texto de las solicitudes, porque no se podría entender el derecho de acceso a la información sin la existencia de solicitudes de información a la luz de su interpretación ya que ésta es la fuente de la materia objeto de la transparencia específica en cada recurso de revisión; es decir, no podemos establecer una materia o un tema como objeto de derecho de acceso a la información, si de la solicitud no se entiende o no se precisan temas o materias objetivas; por ello es de notoria importancia el trabajo de interpretación que se le dé a las solicitudes de información, ya que el sujeto obligado puede considerar una circunstancia en particular diversa a la que el particular objetivamente requiere.</w:t>
      </w:r>
    </w:p>
    <w:p w:rsidR="00270729" w:rsidRPr="00AD22F4" w:rsidRDefault="00270729" w:rsidP="00270729">
      <w:pPr>
        <w:pStyle w:val="Prrafodelista"/>
        <w:autoSpaceDE w:val="0"/>
        <w:autoSpaceDN w:val="0"/>
        <w:adjustRightInd w:val="0"/>
        <w:spacing w:line="360" w:lineRule="auto"/>
        <w:ind w:left="0"/>
        <w:jc w:val="both"/>
        <w:rPr>
          <w:rFonts w:ascii="Palatino Linotype" w:hAnsi="Palatino Linotype" w:cs="Arial"/>
        </w:rPr>
      </w:pPr>
    </w:p>
    <w:p w:rsidR="00270729" w:rsidRPr="00AD22F4" w:rsidRDefault="00270729" w:rsidP="00270729">
      <w:pPr>
        <w:pStyle w:val="Prrafodelista"/>
        <w:autoSpaceDE w:val="0"/>
        <w:autoSpaceDN w:val="0"/>
        <w:adjustRightInd w:val="0"/>
        <w:spacing w:line="360" w:lineRule="auto"/>
        <w:ind w:left="0"/>
        <w:jc w:val="both"/>
        <w:rPr>
          <w:rFonts w:ascii="Palatino Linotype" w:hAnsi="Palatino Linotype" w:cs="Arial"/>
        </w:rPr>
      </w:pPr>
      <w:r w:rsidRPr="00AD22F4">
        <w:rPr>
          <w:rFonts w:ascii="Palatino Linotype" w:hAnsi="Palatino Linotype" w:cs="Arial"/>
        </w:rPr>
        <w:t>Ya que el planteamiento del problema es de toral importancia, a efecto de determinar la intención o voluntad del Recurrente a la luz de la interpretación de las solicitudes de información, y que puede generar de forma objetiva y material el sujeto obligado que se relacione con esa intención, respecto del presente asunto se realiza a continuación.</w:t>
      </w:r>
    </w:p>
    <w:p w:rsidR="00270729" w:rsidRPr="00AD22F4" w:rsidRDefault="00270729" w:rsidP="00270729">
      <w:pPr>
        <w:pStyle w:val="Prrafodelista"/>
        <w:autoSpaceDE w:val="0"/>
        <w:autoSpaceDN w:val="0"/>
        <w:adjustRightInd w:val="0"/>
        <w:spacing w:before="240" w:after="160" w:line="360" w:lineRule="auto"/>
        <w:ind w:left="0"/>
        <w:jc w:val="both"/>
        <w:rPr>
          <w:rFonts w:ascii="Palatino Linotype" w:hAnsi="Palatino Linotype" w:cs="Arial"/>
        </w:rPr>
      </w:pPr>
      <w:r w:rsidRPr="00AD22F4">
        <w:rPr>
          <w:rFonts w:ascii="Palatino Linotype" w:hAnsi="Palatino Linotype" w:cs="Arial"/>
        </w:rPr>
        <w:t xml:space="preserve">Ahora bien, se procede al análisis del presente recurso, así como al contenido íntegro de las actuaciones que obran en el expediente electrónico, para así estar en posibilidad este Órgano Colegiado de dictar el fallo correspondiente conforme a derecho, tomando en consideración los elementos aportados por las partes y apegándose en todo momento al principio de máxima publicidad consagrado en nuestra Constitución Federal, Local y demás leyes aplicables en la materia, así como en los tratados internacionales en los que el Estado Mexicano sea parte, en concordancia con el párrafo </w:t>
      </w:r>
      <w:r w:rsidRPr="00AD22F4">
        <w:rPr>
          <w:rFonts w:ascii="Palatino Linotype" w:hAnsi="Palatino Linotype" w:cs="Arial"/>
        </w:rPr>
        <w:lastRenderedPageBreak/>
        <w:t>tercero del artículo 1, de la Constitución Federal y el diverso 8, de la Ley de Transparencia local.</w:t>
      </w:r>
    </w:p>
    <w:p w:rsidR="00270729" w:rsidRPr="00AD22F4" w:rsidRDefault="00270729" w:rsidP="00270729">
      <w:pPr>
        <w:tabs>
          <w:tab w:val="left" w:pos="709"/>
        </w:tabs>
        <w:spacing w:line="360" w:lineRule="auto"/>
        <w:jc w:val="both"/>
        <w:rPr>
          <w:rFonts w:ascii="Palatino Linotype" w:hAnsi="Palatino Linotype" w:cs="Arial"/>
        </w:rPr>
      </w:pPr>
    </w:p>
    <w:p w:rsidR="00270729" w:rsidRPr="00AD22F4" w:rsidRDefault="00270729" w:rsidP="00270729">
      <w:pPr>
        <w:tabs>
          <w:tab w:val="left" w:pos="709"/>
        </w:tabs>
        <w:spacing w:line="360" w:lineRule="auto"/>
        <w:jc w:val="both"/>
        <w:rPr>
          <w:rFonts w:ascii="Palatino Linotype" w:hAnsi="Palatino Linotype" w:cs="Arial"/>
        </w:rPr>
      </w:pPr>
      <w:r w:rsidRPr="00AD22F4">
        <w:rPr>
          <w:rFonts w:ascii="Palatino Linotype" w:hAnsi="Palatino Linotype" w:cs="Arial"/>
        </w:rPr>
        <w:t xml:space="preserve">La Ley de Transparencia de la entidad, en su artículo 192, contempla la figura jurídica del sobreseimiento, y específicamente en sus hipótesis inmersas en las fracciones III y IV, refieren que se sobreseerá el asunto cuando </w:t>
      </w:r>
      <w:r w:rsidRPr="00AD22F4">
        <w:rPr>
          <w:rFonts w:ascii="Palatino Linotype" w:hAnsi="Palatino Linotype" w:cs="Arial"/>
          <w:b/>
        </w:rPr>
        <w:t>El Sujeto Obligado</w:t>
      </w:r>
      <w:r w:rsidRPr="00AD22F4">
        <w:rPr>
          <w:rFonts w:ascii="Palatino Linotype" w:hAnsi="Palatino Linotype" w:cs="Arial"/>
        </w:rPr>
        <w:t xml:space="preserve"> responsable del acto lo modifique o revoque de tal manera que el recurso de revisión quede sin materia o admitido el recurso de revisión, aparezca alguna causal de improcedencia en los términos de la presente Ley.</w:t>
      </w:r>
    </w:p>
    <w:p w:rsidR="00270729" w:rsidRPr="00AD22F4" w:rsidRDefault="00270729" w:rsidP="00270729">
      <w:pPr>
        <w:tabs>
          <w:tab w:val="left" w:pos="709"/>
        </w:tabs>
        <w:spacing w:line="360" w:lineRule="auto"/>
        <w:jc w:val="both"/>
        <w:rPr>
          <w:rFonts w:ascii="Palatino Linotype" w:hAnsi="Palatino Linotype" w:cs="Arial"/>
        </w:rPr>
      </w:pPr>
    </w:p>
    <w:p w:rsidR="00270729" w:rsidRPr="00AD22F4" w:rsidRDefault="00270729" w:rsidP="00270729">
      <w:pPr>
        <w:tabs>
          <w:tab w:val="left" w:pos="709"/>
        </w:tabs>
        <w:spacing w:line="360" w:lineRule="auto"/>
        <w:jc w:val="both"/>
        <w:rPr>
          <w:rFonts w:ascii="Palatino Linotype" w:hAnsi="Palatino Linotype" w:cs="Arial"/>
        </w:rPr>
      </w:pPr>
      <w:r w:rsidRPr="00AD22F4">
        <w:rPr>
          <w:rFonts w:ascii="Palatino Linotype" w:hAnsi="Palatino Linotype" w:cs="Arial"/>
        </w:rPr>
        <w:t xml:space="preserve">Bajo esa línea, con la finalidad de determinar si se modificó o revocó el acto u omisión del </w:t>
      </w:r>
      <w:r w:rsidRPr="00AD22F4">
        <w:rPr>
          <w:rFonts w:ascii="Palatino Linotype" w:hAnsi="Palatino Linotype" w:cs="Arial"/>
          <w:b/>
        </w:rPr>
        <w:t>Sujeto Obligado</w:t>
      </w:r>
      <w:r w:rsidRPr="00AD22F4">
        <w:rPr>
          <w:rFonts w:ascii="Palatino Linotype" w:hAnsi="Palatino Linotype" w:cs="Arial"/>
        </w:rPr>
        <w:t xml:space="preserve"> o</w:t>
      </w:r>
      <w:r w:rsidRPr="00AD22F4">
        <w:t xml:space="preserve"> </w:t>
      </w:r>
      <w:r w:rsidRPr="00AD22F4">
        <w:rPr>
          <w:rFonts w:ascii="Palatino Linotype" w:hAnsi="Palatino Linotype" w:cs="Arial"/>
        </w:rPr>
        <w:t>admitido el recurso de revisión, aparezca alguna causal de improcedencia para el efecto de que quede sin materia el recurso de revisión, es necesario realizar una valoración de la información solicitada, así como la remitida y determinar si dicha consecuencia se subsume en el presupuesto procesal que establecen la fracción IV, del artículo 192, de la Ley de Transparencia y Acceso a la Información Pública del Estado de México y Municipios, a efecto de generar certeza jurídica sobre la satisfacción del derecho de acceso a la información accionado por el particular, sirviendo para tales efectos las siguientes líneas argumentativas.</w:t>
      </w:r>
    </w:p>
    <w:p w:rsidR="00270729" w:rsidRPr="00AD22F4" w:rsidRDefault="00270729" w:rsidP="00270729">
      <w:pPr>
        <w:tabs>
          <w:tab w:val="left" w:pos="709"/>
        </w:tabs>
        <w:spacing w:line="360" w:lineRule="auto"/>
        <w:jc w:val="both"/>
        <w:rPr>
          <w:rFonts w:ascii="Palatino Linotype" w:hAnsi="Palatino Linotype" w:cs="Arial"/>
        </w:rPr>
      </w:pPr>
    </w:p>
    <w:p w:rsidR="00270729" w:rsidRPr="00AD22F4" w:rsidRDefault="00270729" w:rsidP="00270729">
      <w:pPr>
        <w:tabs>
          <w:tab w:val="left" w:pos="709"/>
        </w:tabs>
        <w:spacing w:line="360" w:lineRule="auto"/>
        <w:jc w:val="both"/>
        <w:rPr>
          <w:rFonts w:ascii="Palatino Linotype" w:hAnsi="Palatino Linotype" w:cs="Arial"/>
        </w:rPr>
      </w:pPr>
      <w:r w:rsidRPr="00AD22F4">
        <w:rPr>
          <w:rFonts w:ascii="Palatino Linotype" w:hAnsi="Palatino Linotype" w:cs="Arial"/>
        </w:rPr>
        <w:t>Inicialmente se destaca que la Primera Sala de la Suprema Corte de Justicia de la Nación ha señalado que el estudio de causales de improcedencia deberá de hacerse de manera preferencial y oficiosa. Lo anterior, mediante la jurisprudencia con número de registro 194697, visible en la foja 13 del Semanario Judicial de la Federación, Tomo IX, enero de 1999, Materia Común, cuyo rubro y texto disponen a la literalidad lo siguiente:</w:t>
      </w:r>
    </w:p>
    <w:p w:rsidR="00270729" w:rsidRPr="00AD22F4" w:rsidRDefault="00270729" w:rsidP="00270729">
      <w:pPr>
        <w:pStyle w:val="Citas"/>
        <w:rPr>
          <w:b/>
          <w:bCs/>
        </w:rPr>
      </w:pPr>
      <w:r w:rsidRPr="00AD22F4">
        <w:rPr>
          <w:b/>
          <w:bCs/>
        </w:rPr>
        <w:lastRenderedPageBreak/>
        <w:t>“IMPROCEDENCIA. ESTUDIO PREFERENCIAL DE LAS CAUSALES PREVISTAS EN EL ARTÍCULO 73 DE LA LEY DE AMPARO.</w:t>
      </w:r>
    </w:p>
    <w:p w:rsidR="00270729" w:rsidRPr="00AD22F4" w:rsidRDefault="00270729" w:rsidP="00270729">
      <w:pPr>
        <w:pStyle w:val="Citas"/>
      </w:pPr>
      <w:r w:rsidRPr="00AD22F4">
        <w:t>De conformidad con lo dispuesto en el último párrafo del artículo </w:t>
      </w:r>
      <w:hyperlink r:id="rId7" w:history="1">
        <w:r w:rsidRPr="00AD22F4">
          <w:t>73 de la Ley de Amparo</w:t>
        </w:r>
      </w:hyperlink>
      <w:r w:rsidRPr="00AD22F4">
        <w:t> las causales de improcedencia deben ser examinadas de oficio y debe abordarse en cualquier instancia en que el juicio se encuentre; de tal manera que si en la revisión se advierte que existen otras causas de estudio preferente a la invocada por el Juez para sobreseer, habrán de analizarse, sin atender razonamiento alguno expresado por el recurrente. Esto es así porque si bien el artículo 73 prevé diversas causas de improcedencia y todas ellas conducen a decretar el sobreseimiento en el juicio, sin analizar el fondo del asunto, de entre ellas existen algunas cuyo orden de importancia amerita que se estudien de forma preferente. Una de estas causas es la inobservancia al principio de definitividad que rige en el juicio de garantías, porque si, efectivamente, no se atendió a ese principio, la acción en sí misma es improcedente, pues se entiende que no es éste el momento de ejercitarla; y la actualización de este motivo conduce al sobreseimiento total en el juicio. Así, si el Juez de Distrito para sobreseer atendió a la causal propuesta por las responsables en el sentido de que se consintió la ley reclamada y, por su parte, consideró de oficio que respecto de los restantes actos había dejado de existir su objeto o materia; pero en revisión se advierte que existe otra de estudio preferente (inobservancia al principio de definitividad) que daría lugar al sobreseimiento total en el juicio y que, por ello, resultarían inatendibles los agravios que se hubieren hecho valer, lo procedente es invocar tal motivo de sobreseimiento y con base en él confirmar la sentencia, aun cuando por diversos motivos, al sustentado por el referido Juez de Distrito.</w:t>
      </w:r>
    </w:p>
    <w:p w:rsidR="00270729" w:rsidRPr="00AD22F4" w:rsidRDefault="00270729" w:rsidP="00270729">
      <w:pPr>
        <w:pStyle w:val="Citas"/>
      </w:pPr>
      <w:r w:rsidRPr="00AD22F4">
        <w:t>Amparo en revisión 355/98. Raúl Salinas de Gortari. 1o. de abril de 1998. Cinco votos. Ponente: José de Jesús Gudiño Pelayo. Secretario: Mario Flores García.</w:t>
      </w:r>
    </w:p>
    <w:p w:rsidR="00270729" w:rsidRPr="00AD22F4" w:rsidRDefault="00270729" w:rsidP="00270729">
      <w:pPr>
        <w:pStyle w:val="Citas"/>
      </w:pPr>
      <w:r w:rsidRPr="00AD22F4">
        <w:lastRenderedPageBreak/>
        <w:t>Amparo en revisión 807/98. Byron Jackson Co., S.A. de C.V. 24 de junio de 1998. Cinco votos. Ponente: José de Jesús Gudiño Pelayo. Secretario: Miguel Ángel Ramírez González.</w:t>
      </w:r>
    </w:p>
    <w:p w:rsidR="00270729" w:rsidRPr="00AD22F4" w:rsidRDefault="00270729" w:rsidP="00270729">
      <w:pPr>
        <w:pStyle w:val="Citas"/>
      </w:pPr>
      <w:r w:rsidRPr="00AD22F4">
        <w:t>Amparo en revisión 2257/97. Servicios Hoteleros Presidente San José del Cabo, S.A. de C.V. 4 de noviembre de 1998. Unanimidad de cuatro votos. Ausente: Juan N. Silva Meza. Ponente: Humberto Román Palacios. Secretario: Álvaro Tovilla León.</w:t>
      </w:r>
    </w:p>
    <w:p w:rsidR="00270729" w:rsidRPr="00AD22F4" w:rsidRDefault="00270729" w:rsidP="00270729">
      <w:pPr>
        <w:pStyle w:val="Citas"/>
      </w:pPr>
      <w:r w:rsidRPr="00AD22F4">
        <w:t>Amparo en revisión 1753/98. Seguros Comercial América, S.A. de C.V. 11 de noviembre de 1998. Unanimidad de cuatro votos. Ausente: José de Jesús Gudiño Pelayo. Ponente: José de Jesús Gudiño Pelayo; en su ausencia hizo suyo el asunto el Ministro Juan N. Silva Meza. Secretario: Mario Flores García.</w:t>
      </w:r>
    </w:p>
    <w:p w:rsidR="00270729" w:rsidRPr="00AD22F4" w:rsidRDefault="00270729" w:rsidP="00270729">
      <w:pPr>
        <w:pStyle w:val="Citas"/>
      </w:pPr>
      <w:r w:rsidRPr="00AD22F4">
        <w:t>Amparo en revisión 2447/98. José Virgilio Hernández. 18 de noviembre de 1998. Unanimidad de cuatro votos. Ausente: José de Jesús Gudiño Pelayo. Ponente: Humberto Román Palacios. Secretario: Urbano Martínez Hernández.</w:t>
      </w:r>
    </w:p>
    <w:p w:rsidR="00270729" w:rsidRPr="00AD22F4" w:rsidRDefault="00270729" w:rsidP="00270729">
      <w:pPr>
        <w:pStyle w:val="Citas"/>
        <w:rPr>
          <w:b/>
          <w:bCs/>
        </w:rPr>
      </w:pPr>
      <w:r w:rsidRPr="00AD22F4">
        <w:t xml:space="preserve">Tesis de jurisprudencia 3/99. Aprobada por la Primera Sala de esta Suprema Corte de Justicia de la Nación, en sesión de trece de enero de mil novecientos noventa y nueve, por unanimidad de cinco votos de los señores Ministros: presidente Humberto Román Palacios, Juventino V. Castro y Castro, José de Jesús Gudiño Pelayo, Juan N. Silva Meza y Olga Sánchez Cordero de García Villegas” </w:t>
      </w:r>
      <w:r w:rsidRPr="00AD22F4">
        <w:rPr>
          <w:b/>
          <w:bCs/>
        </w:rPr>
        <w:t>(Sic)</w:t>
      </w:r>
    </w:p>
    <w:p w:rsidR="00270729" w:rsidRPr="00AD22F4" w:rsidRDefault="00270729" w:rsidP="00270729">
      <w:pPr>
        <w:tabs>
          <w:tab w:val="left" w:pos="709"/>
        </w:tabs>
        <w:spacing w:line="360" w:lineRule="auto"/>
        <w:jc w:val="both"/>
        <w:rPr>
          <w:rFonts w:ascii="Palatino Linotype" w:hAnsi="Palatino Linotype" w:cs="Arial"/>
        </w:rPr>
      </w:pPr>
    </w:p>
    <w:p w:rsidR="00270729" w:rsidRPr="00AD22F4" w:rsidRDefault="00270729" w:rsidP="00270729">
      <w:pPr>
        <w:spacing w:line="360" w:lineRule="auto"/>
        <w:jc w:val="both"/>
        <w:rPr>
          <w:rFonts w:ascii="Palatino Linotype" w:hAnsi="Palatino Linotype" w:cs="Arial"/>
        </w:rPr>
      </w:pPr>
      <w:r w:rsidRPr="00AD22F4">
        <w:rPr>
          <w:rFonts w:ascii="Palatino Linotype" w:hAnsi="Palatino Linotype" w:cs="Arial"/>
        </w:rPr>
        <w:t xml:space="preserve">Así, tenemos en un primer plano de estudio el texto de la solicitud de información, plasmada por </w:t>
      </w:r>
      <w:r w:rsidRPr="00AD22F4">
        <w:rPr>
          <w:rFonts w:ascii="Palatino Linotype" w:hAnsi="Palatino Linotype" w:cs="Arial"/>
          <w:b/>
          <w:bCs/>
        </w:rPr>
        <w:t>El Recurrente,</w:t>
      </w:r>
      <w:r w:rsidRPr="00AD22F4">
        <w:rPr>
          <w:rFonts w:ascii="Palatino Linotype" w:hAnsi="Palatino Linotype" w:cs="Arial"/>
        </w:rPr>
        <w:t xml:space="preserve"> ello a efecto de poder determinar la materia de la solicitud de información que nos ocupa, así el particular formuló la solicitud de información</w:t>
      </w:r>
      <w:r w:rsidRPr="00AD22F4">
        <w:rPr>
          <w:rFonts w:ascii="Palatino Linotype" w:hAnsi="Palatino Linotype" w:cs="Arial"/>
          <w:b/>
          <w:bCs/>
        </w:rPr>
        <w:t xml:space="preserve">, </w:t>
      </w:r>
      <w:r w:rsidRPr="00AD22F4">
        <w:rPr>
          <w:rFonts w:ascii="Palatino Linotype" w:hAnsi="Palatino Linotype" w:cs="Arial"/>
        </w:rPr>
        <w:t xml:space="preserve">que dispone a la literalidad lo siguiente: </w:t>
      </w:r>
    </w:p>
    <w:p w:rsidR="00270729" w:rsidRPr="00AD22F4" w:rsidRDefault="00270729" w:rsidP="00270729">
      <w:pPr>
        <w:spacing w:line="360" w:lineRule="auto"/>
        <w:jc w:val="both"/>
        <w:rPr>
          <w:rFonts w:ascii="Palatino Linotype" w:hAnsi="Palatino Linotype" w:cs="Tahoma"/>
          <w:bCs/>
        </w:rPr>
      </w:pPr>
    </w:p>
    <w:p w:rsidR="00270729" w:rsidRPr="00AD22F4" w:rsidRDefault="00090414" w:rsidP="00090414">
      <w:pPr>
        <w:pStyle w:val="Prrafodelista"/>
        <w:numPr>
          <w:ilvl w:val="0"/>
          <w:numId w:val="3"/>
        </w:numPr>
        <w:spacing w:line="360" w:lineRule="auto"/>
        <w:jc w:val="both"/>
        <w:rPr>
          <w:rFonts w:ascii="Palatino Linotype" w:hAnsi="Palatino Linotype" w:cs="Arial"/>
        </w:rPr>
      </w:pPr>
      <w:r w:rsidRPr="00AD22F4">
        <w:rPr>
          <w:rFonts w:ascii="Palatino Linotype" w:hAnsi="Palatino Linotype" w:cs="Tahoma"/>
          <w:bCs/>
        </w:rPr>
        <w:lastRenderedPageBreak/>
        <w:t>Oficios que se recibieron y lo que se emitieron en el mes de febrero 2025 en Defensoría Municipal de Derechos Humanos</w:t>
      </w:r>
      <w:r w:rsidR="00270729" w:rsidRPr="00AD22F4">
        <w:rPr>
          <w:rFonts w:ascii="Palatino Linotype" w:hAnsi="Palatino Linotype" w:cs="Tahoma"/>
          <w:bCs/>
        </w:rPr>
        <w:t>.</w:t>
      </w:r>
    </w:p>
    <w:p w:rsidR="00270729" w:rsidRPr="00AD22F4" w:rsidRDefault="00270729" w:rsidP="00270729">
      <w:pPr>
        <w:spacing w:line="360" w:lineRule="auto"/>
        <w:jc w:val="both"/>
        <w:rPr>
          <w:rFonts w:ascii="Palatino Linotype" w:hAnsi="Palatino Linotype" w:cs="Arial"/>
        </w:rPr>
      </w:pPr>
    </w:p>
    <w:p w:rsidR="00270729" w:rsidRPr="00AD22F4" w:rsidRDefault="00270729" w:rsidP="00270729">
      <w:pPr>
        <w:spacing w:line="360" w:lineRule="auto"/>
        <w:jc w:val="both"/>
        <w:rPr>
          <w:rFonts w:ascii="Palatino Linotype" w:hAnsi="Palatino Linotype" w:cs="Arial"/>
          <w:b/>
        </w:rPr>
      </w:pPr>
      <w:r w:rsidRPr="00AD22F4">
        <w:rPr>
          <w:rFonts w:ascii="Palatino Linotype" w:hAnsi="Palatino Linotype" w:cs="Arial"/>
        </w:rPr>
        <w:t xml:space="preserve">De conformidad con las constancias que obran en el expediente electrónico, se observa que el </w:t>
      </w:r>
      <w:r w:rsidRPr="00AD22F4">
        <w:rPr>
          <w:rFonts w:ascii="Palatino Linotype" w:hAnsi="Palatino Linotype" w:cs="Arial"/>
          <w:b/>
        </w:rPr>
        <w:t>Sujeto Obligado</w:t>
      </w:r>
      <w:r w:rsidRPr="00AD22F4">
        <w:rPr>
          <w:rFonts w:ascii="Palatino Linotype" w:hAnsi="Palatino Linotype" w:cs="Arial"/>
        </w:rPr>
        <w:t xml:space="preserve"> dio respuesta por medio del sistema SAIMEX, a la solicitud de información</w:t>
      </w:r>
      <w:r w:rsidRPr="00AD22F4">
        <w:rPr>
          <w:rFonts w:ascii="Palatino Linotype" w:eastAsia="Palatino Linotype" w:hAnsi="Palatino Linotype" w:cs="Palatino Linotype"/>
          <w:b/>
          <w:color w:val="000000"/>
        </w:rPr>
        <w:t xml:space="preserve"> </w:t>
      </w:r>
      <w:r w:rsidR="00090414" w:rsidRPr="00AD22F4">
        <w:rPr>
          <w:rFonts w:ascii="Palatino Linotype" w:hAnsi="Palatino Linotype" w:cs="Arial"/>
          <w:b/>
        </w:rPr>
        <w:t>00175/TOLUCA/IP/2026</w:t>
      </w:r>
      <w:r w:rsidRPr="00AD22F4">
        <w:rPr>
          <w:rFonts w:ascii="Palatino Linotype" w:hAnsi="Palatino Linotype" w:cs="Arial"/>
          <w:b/>
        </w:rPr>
        <w:t xml:space="preserve">; </w:t>
      </w:r>
      <w:r w:rsidRPr="00AD22F4">
        <w:rPr>
          <w:rFonts w:ascii="Palatino Linotype" w:hAnsi="Palatino Linotype" w:cs="Arial"/>
        </w:rPr>
        <w:t>a través de los archivos electrónicos</w:t>
      </w:r>
      <w:r w:rsidRPr="00AD22F4">
        <w:rPr>
          <w:rFonts w:ascii="Palatino Linotype" w:hAnsi="Palatino Linotype" w:cs="Arial"/>
          <w:b/>
        </w:rPr>
        <w:t>:</w:t>
      </w:r>
    </w:p>
    <w:p w:rsidR="00090414" w:rsidRPr="00AD22F4" w:rsidRDefault="00090414" w:rsidP="00090414">
      <w:pPr>
        <w:pStyle w:val="Sinespaciado"/>
        <w:numPr>
          <w:ilvl w:val="0"/>
          <w:numId w:val="1"/>
        </w:numPr>
        <w:spacing w:before="240" w:line="360" w:lineRule="auto"/>
        <w:jc w:val="both"/>
        <w:rPr>
          <w:rFonts w:ascii="Palatino Linotype" w:hAnsi="Palatino Linotype" w:cs="Arial"/>
          <w:b/>
          <w:i/>
          <w:sz w:val="24"/>
        </w:rPr>
      </w:pPr>
      <w:r w:rsidRPr="00AD22F4">
        <w:rPr>
          <w:rFonts w:ascii="Palatino Linotype" w:hAnsi="Palatino Linotype" w:cs="Arial"/>
          <w:b/>
          <w:i/>
          <w:sz w:val="24"/>
        </w:rPr>
        <w:t>Respuesta solicitud 00175-TOLUCA-IP-2026.pdf:</w:t>
      </w:r>
      <w:r w:rsidR="00AE3E69" w:rsidRPr="00AD22F4">
        <w:rPr>
          <w:rFonts w:ascii="Palatino Linotype" w:hAnsi="Palatino Linotype" w:cs="Arial"/>
          <w:b/>
          <w:i/>
          <w:sz w:val="24"/>
        </w:rPr>
        <w:t xml:space="preserve"> </w:t>
      </w:r>
      <w:r w:rsidR="00AE3E69" w:rsidRPr="00AD22F4">
        <w:rPr>
          <w:rFonts w:ascii="Palatino Linotype" w:hAnsi="Palatino Linotype" w:cs="Arial"/>
          <w:sz w:val="24"/>
        </w:rPr>
        <w:t xml:space="preserve">oficio número 200E00000/156/2026, firmado por la Defensora Municipal, en el que refiere remitir los oficios solicitados. </w:t>
      </w:r>
    </w:p>
    <w:p w:rsidR="00270729" w:rsidRPr="00AD22F4" w:rsidRDefault="00090414" w:rsidP="00090414">
      <w:pPr>
        <w:pStyle w:val="Sinespaciado"/>
        <w:numPr>
          <w:ilvl w:val="0"/>
          <w:numId w:val="1"/>
        </w:numPr>
        <w:spacing w:before="240" w:line="360" w:lineRule="auto"/>
        <w:jc w:val="both"/>
        <w:rPr>
          <w:rFonts w:ascii="Palatino Linotype" w:hAnsi="Palatino Linotype" w:cs="Arial"/>
          <w:b/>
          <w:i/>
          <w:sz w:val="24"/>
        </w:rPr>
      </w:pPr>
      <w:r w:rsidRPr="00AD22F4">
        <w:rPr>
          <w:rFonts w:ascii="Palatino Linotype" w:hAnsi="Palatino Linotype" w:cs="Arial"/>
          <w:b/>
          <w:i/>
          <w:sz w:val="24"/>
        </w:rPr>
        <w:t>2 Anexo solicitud 00175-TOLUCA-IP-2026 oficios febrero 2025.pdf</w:t>
      </w:r>
      <w:r w:rsidR="00270729" w:rsidRPr="00AD22F4">
        <w:rPr>
          <w:rFonts w:ascii="Palatino Linotype" w:hAnsi="Palatino Linotype" w:cs="Arial"/>
          <w:b/>
          <w:i/>
          <w:sz w:val="24"/>
        </w:rPr>
        <w:t xml:space="preserve">: </w:t>
      </w:r>
      <w:r w:rsidR="00AE3E69" w:rsidRPr="00AD22F4">
        <w:rPr>
          <w:rFonts w:ascii="Palatino Linotype" w:hAnsi="Palatino Linotype" w:cs="Arial"/>
          <w:sz w:val="24"/>
        </w:rPr>
        <w:t xml:space="preserve">constante de 221 páginas, con diversos oficios. </w:t>
      </w:r>
    </w:p>
    <w:p w:rsidR="00AE3E69" w:rsidRPr="00AD22F4" w:rsidRDefault="00AE3E69" w:rsidP="00270729">
      <w:pPr>
        <w:spacing w:line="360" w:lineRule="auto"/>
        <w:jc w:val="both"/>
        <w:rPr>
          <w:rFonts w:ascii="Palatino Linotype" w:hAnsi="Palatino Linotype" w:cs="Arial"/>
          <w:bCs/>
        </w:rPr>
      </w:pPr>
    </w:p>
    <w:p w:rsidR="00AE3E69" w:rsidRPr="00AD22F4" w:rsidRDefault="00AE3E69" w:rsidP="00270729">
      <w:pPr>
        <w:spacing w:line="360" w:lineRule="auto"/>
        <w:jc w:val="both"/>
        <w:rPr>
          <w:rFonts w:ascii="Palatino Linotype" w:hAnsi="Palatino Linotype" w:cs="Arial"/>
          <w:bCs/>
        </w:rPr>
      </w:pPr>
    </w:p>
    <w:p w:rsidR="00270729" w:rsidRPr="00AD22F4" w:rsidRDefault="00270729" w:rsidP="00270729">
      <w:pPr>
        <w:spacing w:line="360" w:lineRule="auto"/>
        <w:jc w:val="both"/>
        <w:rPr>
          <w:rFonts w:ascii="Palatino Linotype" w:hAnsi="Palatino Linotype"/>
          <w:i/>
        </w:rPr>
      </w:pPr>
      <w:r w:rsidRPr="00AD22F4">
        <w:rPr>
          <w:rFonts w:ascii="Palatino Linotype" w:hAnsi="Palatino Linotype" w:cs="Arial"/>
          <w:bCs/>
        </w:rPr>
        <w:t xml:space="preserve">Es así como, derivado de la respuesta emitida por </w:t>
      </w:r>
      <w:r w:rsidRPr="00AD22F4">
        <w:rPr>
          <w:rFonts w:ascii="Palatino Linotype" w:hAnsi="Palatino Linotype" w:cs="Arial"/>
          <w:b/>
          <w:bCs/>
        </w:rPr>
        <w:t>El Sujeto Obligado</w:t>
      </w:r>
      <w:r w:rsidRPr="00AD22F4">
        <w:rPr>
          <w:rFonts w:ascii="Palatino Linotype" w:hAnsi="Palatino Linotype" w:cs="Arial"/>
          <w:bCs/>
        </w:rPr>
        <w:t xml:space="preserve">, </w:t>
      </w:r>
      <w:r w:rsidRPr="00AD22F4">
        <w:rPr>
          <w:rFonts w:ascii="Palatino Linotype" w:hAnsi="Palatino Linotype" w:cs="Arial"/>
          <w:b/>
          <w:bCs/>
        </w:rPr>
        <w:t>el Recurrente</w:t>
      </w:r>
      <w:r w:rsidRPr="00AD22F4">
        <w:rPr>
          <w:rFonts w:ascii="Palatino Linotype" w:hAnsi="Palatino Linotype" w:cs="Arial"/>
          <w:bCs/>
        </w:rPr>
        <w:t>, interpuso el presente recurso de revisión, señalando sustancialmente como sus razones o motivos de inconformidad, lo siguiente:</w:t>
      </w:r>
      <w:r w:rsidRPr="00AD22F4" w:rsidDel="00107C3B">
        <w:rPr>
          <w:rFonts w:ascii="Palatino Linotype" w:hAnsi="Palatino Linotype"/>
          <w:b/>
          <w:i/>
        </w:rPr>
        <w:t xml:space="preserve"> </w:t>
      </w:r>
      <w:r w:rsidRPr="00AD22F4">
        <w:rPr>
          <w:rFonts w:ascii="Palatino Linotype" w:hAnsi="Palatino Linotype"/>
          <w:i/>
        </w:rPr>
        <w:t>“</w:t>
      </w:r>
      <w:r w:rsidR="00AE3E69" w:rsidRPr="00AD22F4">
        <w:rPr>
          <w:rFonts w:ascii="Palatino Linotype" w:hAnsi="Palatino Linotype"/>
          <w:i/>
        </w:rPr>
        <w:t>No entrega la información solicita la unidad de transparencia además de opacos se quiere hacer los chistosos e</w:t>
      </w:r>
      <w:r w:rsidR="00AE3E69" w:rsidRPr="00AD22F4">
        <w:rPr>
          <w:rFonts w:ascii="Palatino Linotype" w:hAnsi="Palatino Linotype"/>
          <w:b/>
          <w:i/>
          <w:u w:val="single"/>
        </w:rPr>
        <w:t>n el link que mandan de informe no esta toda la información que se solicita ahí solo esta el número de recurso y se pide el expediente completo</w:t>
      </w:r>
      <w:r w:rsidR="00AE3E69" w:rsidRPr="00AD22F4">
        <w:rPr>
          <w:rFonts w:ascii="Palatino Linotype" w:hAnsi="Palatino Linotype"/>
          <w:i/>
        </w:rPr>
        <w:t xml:space="preserve">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r w:rsidRPr="00AD22F4">
        <w:rPr>
          <w:rFonts w:ascii="Palatino Linotype" w:hAnsi="Palatino Linotype"/>
          <w:i/>
        </w:rPr>
        <w:t>” (Sic).</w:t>
      </w:r>
    </w:p>
    <w:p w:rsidR="00270729" w:rsidRPr="00AD22F4" w:rsidRDefault="00270729" w:rsidP="00270729">
      <w:pPr>
        <w:spacing w:line="360" w:lineRule="auto"/>
        <w:jc w:val="both"/>
        <w:rPr>
          <w:rFonts w:ascii="Palatino Linotype" w:hAnsi="Palatino Linotype"/>
          <w:i/>
        </w:rPr>
      </w:pPr>
    </w:p>
    <w:p w:rsidR="00270729" w:rsidRPr="00AD22F4" w:rsidRDefault="00270729" w:rsidP="00270729">
      <w:pPr>
        <w:spacing w:line="360" w:lineRule="auto"/>
        <w:jc w:val="both"/>
        <w:rPr>
          <w:rFonts w:ascii="Palatino Linotype" w:hAnsi="Palatino Linotype" w:cs="Arial"/>
        </w:rPr>
      </w:pPr>
      <w:r w:rsidRPr="00AD22F4">
        <w:rPr>
          <w:rFonts w:ascii="Palatino Linotype" w:hAnsi="Palatino Linotype" w:cs="Tahoma"/>
          <w:bCs/>
        </w:rPr>
        <w:lastRenderedPageBreak/>
        <w:t xml:space="preserve">Bajo estas líneas argumentativas, al retomar y delimitar los requerimientos del ahora </w:t>
      </w:r>
      <w:r w:rsidRPr="00AD22F4">
        <w:rPr>
          <w:rFonts w:ascii="Palatino Linotype" w:hAnsi="Palatino Linotype" w:cs="Tahoma"/>
          <w:b/>
          <w:bCs/>
        </w:rPr>
        <w:t>Recurrente</w:t>
      </w:r>
      <w:r w:rsidRPr="00AD22F4">
        <w:rPr>
          <w:rFonts w:ascii="Palatino Linotype" w:hAnsi="Palatino Linotype" w:cs="Tahoma"/>
          <w:bCs/>
        </w:rPr>
        <w:t>, de manera objetiva se precisa la siguiente información:</w:t>
      </w:r>
    </w:p>
    <w:p w:rsidR="00270729" w:rsidRPr="00AD22F4" w:rsidRDefault="00270729" w:rsidP="00270729">
      <w:pPr>
        <w:pStyle w:val="Prrafodelista"/>
        <w:numPr>
          <w:ilvl w:val="0"/>
          <w:numId w:val="6"/>
        </w:numPr>
        <w:spacing w:line="360" w:lineRule="auto"/>
        <w:jc w:val="both"/>
        <w:rPr>
          <w:rFonts w:ascii="Palatino Linotype" w:hAnsi="Palatino Linotype"/>
          <w:lang w:eastAsia="es-MX"/>
        </w:rPr>
      </w:pPr>
      <w:r w:rsidRPr="00AD22F4">
        <w:rPr>
          <w:rFonts w:ascii="Palatino Linotype" w:hAnsi="Palatino Linotype"/>
          <w:lang w:eastAsia="es-MX"/>
        </w:rPr>
        <w:t xml:space="preserve">El Recurrente requirió </w:t>
      </w:r>
      <w:r w:rsidR="00AE3E69" w:rsidRPr="00AD22F4">
        <w:rPr>
          <w:rFonts w:ascii="Palatino Linotype" w:hAnsi="Palatino Linotype"/>
          <w:lang w:eastAsia="es-MX"/>
        </w:rPr>
        <w:t>oficios de la Defensoría Municipal de Derechos Humanos</w:t>
      </w:r>
      <w:r w:rsidRPr="00AD22F4">
        <w:rPr>
          <w:rFonts w:ascii="Palatino Linotype" w:hAnsi="Palatino Linotype"/>
          <w:b/>
          <w:lang w:eastAsia="es-MX"/>
        </w:rPr>
        <w:t>.</w:t>
      </w:r>
    </w:p>
    <w:p w:rsidR="00270729" w:rsidRPr="00AD22F4" w:rsidRDefault="00270729" w:rsidP="00270729">
      <w:pPr>
        <w:pStyle w:val="Prrafodelista"/>
        <w:numPr>
          <w:ilvl w:val="0"/>
          <w:numId w:val="6"/>
        </w:numPr>
        <w:spacing w:line="360" w:lineRule="auto"/>
        <w:jc w:val="both"/>
        <w:rPr>
          <w:rFonts w:ascii="Palatino Linotype" w:hAnsi="Palatino Linotype"/>
          <w:lang w:eastAsia="es-MX"/>
        </w:rPr>
      </w:pPr>
      <w:r w:rsidRPr="00AD22F4">
        <w:rPr>
          <w:rFonts w:ascii="Palatino Linotype" w:hAnsi="Palatino Linotype"/>
          <w:lang w:eastAsia="es-MX"/>
        </w:rPr>
        <w:t xml:space="preserve">En respuesta el Sujeto Obligado </w:t>
      </w:r>
      <w:r w:rsidR="00AE3E69" w:rsidRPr="00AD22F4">
        <w:rPr>
          <w:rFonts w:ascii="Palatino Linotype" w:hAnsi="Palatino Linotype"/>
          <w:lang w:eastAsia="es-MX"/>
        </w:rPr>
        <w:t>remite los oficios</w:t>
      </w:r>
      <w:r w:rsidRPr="00AD22F4">
        <w:rPr>
          <w:rFonts w:ascii="Palatino Linotype" w:hAnsi="Palatino Linotype"/>
          <w:lang w:eastAsia="es-MX"/>
        </w:rPr>
        <w:t>.</w:t>
      </w:r>
    </w:p>
    <w:p w:rsidR="00270729" w:rsidRPr="00AD22F4" w:rsidRDefault="00270729" w:rsidP="00270729">
      <w:pPr>
        <w:pStyle w:val="Prrafodelista"/>
        <w:numPr>
          <w:ilvl w:val="0"/>
          <w:numId w:val="6"/>
        </w:numPr>
        <w:spacing w:line="360" w:lineRule="auto"/>
        <w:jc w:val="both"/>
        <w:rPr>
          <w:rFonts w:ascii="Palatino Linotype" w:hAnsi="Palatino Linotype"/>
          <w:lang w:eastAsia="es-MX"/>
        </w:rPr>
      </w:pPr>
      <w:r w:rsidRPr="00AD22F4">
        <w:rPr>
          <w:rFonts w:ascii="Palatino Linotype" w:hAnsi="Palatino Linotype"/>
          <w:lang w:eastAsia="es-MX"/>
        </w:rPr>
        <w:t>El Recurrente se incon</w:t>
      </w:r>
      <w:r w:rsidR="00AE3E69" w:rsidRPr="00AD22F4">
        <w:rPr>
          <w:rFonts w:ascii="Palatino Linotype" w:hAnsi="Palatino Linotype"/>
          <w:lang w:eastAsia="es-MX"/>
        </w:rPr>
        <w:t>forma porque no le fue entregado el expediente completo</w:t>
      </w:r>
      <w:r w:rsidRPr="00AD22F4">
        <w:rPr>
          <w:rFonts w:ascii="Palatino Linotype" w:hAnsi="Palatino Linotype"/>
          <w:b/>
          <w:lang w:eastAsia="es-MX"/>
        </w:rPr>
        <w:t>.</w:t>
      </w:r>
    </w:p>
    <w:p w:rsidR="00270729" w:rsidRPr="00AD22F4" w:rsidRDefault="00270729" w:rsidP="00270729">
      <w:pPr>
        <w:pStyle w:val="Prrafodelista"/>
        <w:numPr>
          <w:ilvl w:val="0"/>
          <w:numId w:val="6"/>
        </w:numPr>
        <w:tabs>
          <w:tab w:val="left" w:pos="1828"/>
        </w:tabs>
        <w:spacing w:line="360" w:lineRule="auto"/>
        <w:jc w:val="both"/>
        <w:rPr>
          <w:rFonts w:ascii="Palatino Linotype" w:hAnsi="Palatino Linotype" w:cs="Arial"/>
        </w:rPr>
      </w:pPr>
      <w:r w:rsidRPr="00AD22F4">
        <w:rPr>
          <w:rFonts w:ascii="Palatino Linotype" w:hAnsi="Palatino Linotype" w:cs="Arial"/>
        </w:rPr>
        <w:t xml:space="preserve">Es necesario hacer del conocimiento al Particular que, de la simple lectura a su Recurso de Revisión, se desprende que no actualiza ninguno de los supuestos previstos en la Ley de la materia conforme a las actuaciones que obran en el expediente electrónico formado en el Sistema de Acceso a la Información Mexiquense </w:t>
      </w:r>
      <w:r w:rsidRPr="00AD22F4">
        <w:rPr>
          <w:rFonts w:ascii="Palatino Linotype" w:hAnsi="Palatino Linotype" w:cs="Arial"/>
          <w:b/>
        </w:rPr>
        <w:t>(SAIMEX)</w:t>
      </w:r>
      <w:r w:rsidRPr="00AD22F4">
        <w:rPr>
          <w:rFonts w:ascii="Palatino Linotype" w:hAnsi="Palatino Linotype" w:cs="Arial"/>
        </w:rPr>
        <w:t>.</w:t>
      </w:r>
    </w:p>
    <w:p w:rsidR="00270729" w:rsidRPr="00AD22F4" w:rsidRDefault="00270729" w:rsidP="00270729">
      <w:pPr>
        <w:pStyle w:val="Prrafodelista"/>
        <w:numPr>
          <w:ilvl w:val="0"/>
          <w:numId w:val="6"/>
        </w:numPr>
        <w:tabs>
          <w:tab w:val="left" w:pos="1828"/>
        </w:tabs>
        <w:spacing w:line="360" w:lineRule="auto"/>
        <w:jc w:val="both"/>
        <w:rPr>
          <w:rFonts w:ascii="Palatino Linotype" w:hAnsi="Palatino Linotype" w:cs="Arial"/>
        </w:rPr>
      </w:pPr>
      <w:r w:rsidRPr="00AD22F4">
        <w:rPr>
          <w:rFonts w:ascii="Palatino Linotype" w:hAnsi="Palatino Linotype" w:cs="Arial"/>
        </w:rPr>
        <w:t xml:space="preserve">Es decir, los puntos recurridos corresponden a una solicitud diversa a la solicitud de información </w:t>
      </w:r>
      <w:r w:rsidR="00090414" w:rsidRPr="00AD22F4">
        <w:rPr>
          <w:rFonts w:ascii="Palatino Linotype" w:hAnsi="Palatino Linotype" w:cs="Arial"/>
          <w:b/>
        </w:rPr>
        <w:t>00175/TOLUCA/IP/2026</w:t>
      </w:r>
      <w:r w:rsidRPr="00AD22F4">
        <w:rPr>
          <w:rFonts w:ascii="Palatino Linotype" w:hAnsi="Palatino Linotype" w:cs="Arial"/>
          <w:b/>
        </w:rPr>
        <w:t>.</w:t>
      </w:r>
    </w:p>
    <w:p w:rsidR="00270729" w:rsidRPr="00AD22F4" w:rsidRDefault="00270729" w:rsidP="00270729">
      <w:pPr>
        <w:pStyle w:val="Prrafodelista"/>
        <w:numPr>
          <w:ilvl w:val="0"/>
          <w:numId w:val="6"/>
        </w:numPr>
        <w:tabs>
          <w:tab w:val="left" w:pos="1828"/>
        </w:tabs>
        <w:spacing w:line="360" w:lineRule="auto"/>
        <w:jc w:val="both"/>
        <w:rPr>
          <w:rFonts w:ascii="Palatino Linotype" w:hAnsi="Palatino Linotype" w:cs="Arial"/>
        </w:rPr>
      </w:pPr>
      <w:r w:rsidRPr="00AD22F4">
        <w:rPr>
          <w:rFonts w:ascii="Palatino Linotype" w:hAnsi="Palatino Linotype" w:cs="Arial"/>
        </w:rPr>
        <w:t xml:space="preserve">Por lo que, se dejan a salvo los derechos del Recurrente para que nuevamente formule solicitud de información ante el Sujeto Obligado. </w:t>
      </w:r>
    </w:p>
    <w:p w:rsidR="00270729" w:rsidRPr="00AD22F4" w:rsidRDefault="00270729" w:rsidP="00270729">
      <w:pPr>
        <w:pStyle w:val="Prrafodelista"/>
        <w:spacing w:line="360" w:lineRule="auto"/>
        <w:ind w:left="720"/>
        <w:jc w:val="both"/>
        <w:rPr>
          <w:rFonts w:ascii="Palatino Linotype" w:hAnsi="Palatino Linotype"/>
          <w:lang w:eastAsia="es-MX"/>
        </w:rPr>
      </w:pPr>
    </w:p>
    <w:p w:rsidR="00270729" w:rsidRPr="00AD22F4" w:rsidRDefault="00270729" w:rsidP="00270729">
      <w:pPr>
        <w:autoSpaceDE w:val="0"/>
        <w:autoSpaceDN w:val="0"/>
        <w:adjustRightInd w:val="0"/>
        <w:spacing w:line="360" w:lineRule="auto"/>
        <w:jc w:val="both"/>
        <w:rPr>
          <w:rFonts w:ascii="Palatino Linotype" w:hAnsi="Palatino Linotype" w:cs="Arial"/>
        </w:rPr>
      </w:pPr>
      <w:r w:rsidRPr="00AD22F4">
        <w:rPr>
          <w:rFonts w:ascii="Palatino Linotype" w:hAnsi="Palatino Linotype" w:cs="Arial"/>
        </w:rPr>
        <w:t>Al respecto, cabe traer a cuenta lo previsto por el artículo 12, párrafo segundo de la Ley de Transparencia y Acceso a la Información Pública del Estado de México y Municipios que la letra establece lo siguiente:</w:t>
      </w:r>
    </w:p>
    <w:p w:rsidR="00270729" w:rsidRPr="00AD22F4" w:rsidRDefault="00270729" w:rsidP="00270729"/>
    <w:p w:rsidR="00270729" w:rsidRPr="00AD22F4" w:rsidRDefault="00270729" w:rsidP="00270729">
      <w:pPr>
        <w:pStyle w:val="Sinespaciado"/>
        <w:rPr>
          <w:sz w:val="8"/>
        </w:rPr>
      </w:pPr>
    </w:p>
    <w:p w:rsidR="00270729" w:rsidRPr="00AD22F4" w:rsidRDefault="00270729" w:rsidP="00270729">
      <w:pPr>
        <w:ind w:left="851" w:right="851"/>
        <w:jc w:val="both"/>
        <w:rPr>
          <w:rFonts w:ascii="Palatino Linotype" w:hAnsi="Palatino Linotype" w:cs="Arial"/>
          <w:b/>
          <w:i/>
        </w:rPr>
      </w:pPr>
      <w:r w:rsidRPr="00AD22F4">
        <w:rPr>
          <w:rFonts w:ascii="Palatino Linotype" w:hAnsi="Palatino Linotype" w:cs="Arial"/>
          <w:b/>
          <w:i/>
        </w:rPr>
        <w:t>Artículo 12.</w:t>
      </w:r>
      <w:r w:rsidRPr="00AD22F4">
        <w:rPr>
          <w:rFonts w:ascii="Palatino Linotype" w:hAnsi="Palatino Linotype" w:cs="Arial"/>
          <w:i/>
        </w:rPr>
        <w:t xml:space="preserve"> …</w:t>
      </w:r>
      <w:r w:rsidRPr="00AD22F4">
        <w:rPr>
          <w:rFonts w:ascii="Palatino Linotype" w:hAnsi="Palatino Linotype" w:cs="Arial"/>
          <w:b/>
          <w:i/>
        </w:rPr>
        <w:t xml:space="preserve"> </w:t>
      </w:r>
    </w:p>
    <w:p w:rsidR="00270729" w:rsidRPr="00AD22F4" w:rsidRDefault="00270729" w:rsidP="00270729">
      <w:pPr>
        <w:ind w:left="851" w:right="851"/>
        <w:jc w:val="both"/>
        <w:rPr>
          <w:rFonts w:ascii="Palatino Linotype" w:hAnsi="Palatino Linotype" w:cs="Arial"/>
          <w:i/>
        </w:rPr>
      </w:pPr>
      <w:r w:rsidRPr="00AD22F4">
        <w:rPr>
          <w:rFonts w:ascii="Palatino Linotype" w:hAnsi="Palatino Linotype" w:cs="Arial"/>
          <w:b/>
          <w:i/>
          <w:u w:val="single"/>
        </w:rPr>
        <w:t>Los sujetos obligados sólo proporcionarán la información pública que se les requiera y que obre en sus archivos y en el estado en que ésta se encuentre</w:t>
      </w:r>
      <w:r w:rsidRPr="00AD22F4">
        <w:rPr>
          <w:rFonts w:ascii="Palatino Linotype" w:hAnsi="Palatino Linotype" w:cs="Arial"/>
          <w:i/>
        </w:rPr>
        <w:t>. La obligación de proporcionar información no comprende el procesamiento de la misma, ni el presentarla conforme al interés del solicitante; no estarán obligados a generarla, resumirla, efectuar cálculos o practicar investigaciones.</w:t>
      </w:r>
    </w:p>
    <w:p w:rsidR="00270729" w:rsidRPr="00AD22F4" w:rsidRDefault="00270729" w:rsidP="00270729">
      <w:pPr>
        <w:ind w:left="851" w:right="851"/>
        <w:jc w:val="both"/>
        <w:rPr>
          <w:rFonts w:ascii="Palatino Linotype" w:hAnsi="Palatino Linotype" w:cs="Arial"/>
          <w:b/>
          <w:i/>
        </w:rPr>
      </w:pPr>
    </w:p>
    <w:p w:rsidR="00270729" w:rsidRPr="00AD22F4" w:rsidRDefault="00270729" w:rsidP="00270729">
      <w:pPr>
        <w:spacing w:line="360" w:lineRule="auto"/>
        <w:jc w:val="both"/>
        <w:rPr>
          <w:rFonts w:ascii="Palatino Linotype" w:hAnsi="Palatino Linotype" w:cs="Arial"/>
          <w:lang w:eastAsia="es-MX"/>
        </w:rPr>
      </w:pPr>
      <w:r w:rsidRPr="00AD22F4">
        <w:rPr>
          <w:rFonts w:ascii="Palatino Linotype" w:hAnsi="Palatino Linotype" w:cs="Arial"/>
          <w:lang w:eastAsia="es-MX"/>
        </w:rPr>
        <w:t xml:space="preserve">Además, y de conformidad con lo ya establecido anteriormente en el artículo 12, de la Ley de Transparencia y Acceso a la Información Pública del Estado de México y Municipios, anteriormente invocado el </w:t>
      </w:r>
      <w:r w:rsidRPr="00AD22F4">
        <w:rPr>
          <w:rFonts w:ascii="Palatino Linotype" w:hAnsi="Palatino Linotype" w:cs="Arial"/>
          <w:b/>
          <w:lang w:eastAsia="es-MX"/>
        </w:rPr>
        <w:t>Sujeto Obligado</w:t>
      </w:r>
      <w:r w:rsidRPr="00AD22F4">
        <w:rPr>
          <w:rFonts w:ascii="Palatino Linotype" w:hAnsi="Palatino Linotype" w:cs="Arial"/>
          <w:lang w:eastAsia="es-MX"/>
        </w:rPr>
        <w:t xml:space="preserve"> sólo proporcionará la información que obra en sus archivos, lo que </w:t>
      </w:r>
      <w:r w:rsidRPr="00AD22F4">
        <w:rPr>
          <w:rFonts w:ascii="Palatino Linotype" w:hAnsi="Palatino Linotype" w:cs="Arial"/>
          <w:i/>
          <w:lang w:eastAsia="es-MX"/>
        </w:rPr>
        <w:t>a contrario sensu</w:t>
      </w:r>
      <w:r w:rsidRPr="00AD22F4">
        <w:rPr>
          <w:rFonts w:ascii="Palatino Linotype" w:hAnsi="Palatino Linotype" w:cs="Arial"/>
          <w:lang w:eastAsia="es-MX"/>
        </w:rPr>
        <w:t xml:space="preserve"> significa que no se está obligado a proporcionar lo que no obre en sus archivos.</w:t>
      </w:r>
    </w:p>
    <w:p w:rsidR="00270729" w:rsidRPr="00AD22F4" w:rsidRDefault="00270729" w:rsidP="00270729">
      <w:pPr>
        <w:spacing w:line="360" w:lineRule="auto"/>
        <w:jc w:val="both"/>
        <w:rPr>
          <w:rFonts w:ascii="Palatino Linotype" w:hAnsi="Palatino Linotype"/>
          <w:bCs/>
        </w:rPr>
      </w:pPr>
    </w:p>
    <w:p w:rsidR="00270729" w:rsidRPr="00AD22F4" w:rsidRDefault="00270729" w:rsidP="00270729">
      <w:pPr>
        <w:spacing w:line="360" w:lineRule="auto"/>
        <w:jc w:val="both"/>
        <w:rPr>
          <w:rFonts w:ascii="Palatino Linotype" w:hAnsi="Palatino Linotype"/>
          <w:bCs/>
          <w:i/>
        </w:rPr>
      </w:pPr>
      <w:r w:rsidRPr="00AD22F4">
        <w:rPr>
          <w:rFonts w:ascii="Palatino Linotype" w:hAnsi="Palatino Linotype"/>
          <w:bCs/>
        </w:rPr>
        <w:t>Ante ello se destaca que dichos señalamientos resultan improcedentes para la interposición del recurso de revisión, ello con base en la fracción III del artículo 191 de la citada Ley de Transparencia Local, que consagra:</w:t>
      </w:r>
    </w:p>
    <w:p w:rsidR="00270729" w:rsidRPr="00AD22F4" w:rsidRDefault="00270729" w:rsidP="00270729">
      <w:pPr>
        <w:spacing w:line="360" w:lineRule="auto"/>
        <w:jc w:val="both"/>
        <w:rPr>
          <w:rFonts w:ascii="Palatino Linotype" w:hAnsi="Palatino Linotype"/>
          <w:bCs/>
        </w:rPr>
      </w:pPr>
    </w:p>
    <w:p w:rsidR="00270729" w:rsidRPr="00AD22F4" w:rsidRDefault="00270729" w:rsidP="00270729">
      <w:pPr>
        <w:pStyle w:val="Citas"/>
      </w:pPr>
      <w:r w:rsidRPr="00AD22F4">
        <w:t xml:space="preserve">“Artículo 191. El recurso será desechado por improcedente cuando: </w:t>
      </w:r>
      <w:r w:rsidRPr="00AD22F4">
        <w:tab/>
      </w:r>
    </w:p>
    <w:p w:rsidR="00270729" w:rsidRPr="00AD22F4" w:rsidRDefault="00270729" w:rsidP="00270729">
      <w:pPr>
        <w:pStyle w:val="Citas"/>
        <w:numPr>
          <w:ilvl w:val="0"/>
          <w:numId w:val="4"/>
        </w:numPr>
        <w:rPr>
          <w:rFonts w:cs="Times New Roman"/>
          <w:lang w:val="es-ES" w:eastAsia="es-ES"/>
        </w:rPr>
      </w:pPr>
      <w:r w:rsidRPr="00AD22F4">
        <w:rPr>
          <w:rFonts w:cs="Times New Roman"/>
          <w:lang w:val="es-ES" w:eastAsia="es-ES"/>
        </w:rPr>
        <w:t xml:space="preserve">Sea extemporáneo por haber transcurrido el plazo establecido en la presente Ley, a partir de la respuesta; </w:t>
      </w:r>
    </w:p>
    <w:p w:rsidR="00270729" w:rsidRPr="00AD22F4" w:rsidRDefault="00270729" w:rsidP="00270729">
      <w:pPr>
        <w:pStyle w:val="Citas"/>
        <w:numPr>
          <w:ilvl w:val="0"/>
          <w:numId w:val="4"/>
        </w:numPr>
        <w:rPr>
          <w:lang w:val="es-ES" w:eastAsia="es-ES"/>
        </w:rPr>
      </w:pPr>
      <w:r w:rsidRPr="00AD22F4">
        <w:rPr>
          <w:rFonts w:cs="Times New Roman"/>
          <w:lang w:val="es-ES" w:eastAsia="es-ES"/>
        </w:rPr>
        <w:t xml:space="preserve">Se esté tramitando ante el Poder Judicial de la Federación algún recurso o medio de defensa interpuesto por el recurrente; </w:t>
      </w:r>
    </w:p>
    <w:p w:rsidR="00270729" w:rsidRPr="00AD22F4" w:rsidRDefault="00270729" w:rsidP="00270729">
      <w:pPr>
        <w:pStyle w:val="Citas"/>
        <w:numPr>
          <w:ilvl w:val="0"/>
          <w:numId w:val="4"/>
        </w:numPr>
        <w:rPr>
          <w:b/>
          <w:u w:val="single"/>
          <w:lang w:val="es-ES" w:eastAsia="es-ES"/>
        </w:rPr>
      </w:pPr>
      <w:r w:rsidRPr="00AD22F4">
        <w:rPr>
          <w:rFonts w:cs="Times New Roman"/>
          <w:b/>
          <w:u w:val="single"/>
          <w:lang w:val="es-ES" w:eastAsia="es-ES"/>
        </w:rPr>
        <w:t xml:space="preserve">No actualice alguno de los supuestos previstos en la presente Ley; </w:t>
      </w:r>
    </w:p>
    <w:p w:rsidR="00270729" w:rsidRPr="00AD22F4" w:rsidRDefault="00270729" w:rsidP="00270729">
      <w:pPr>
        <w:pStyle w:val="Citas"/>
        <w:numPr>
          <w:ilvl w:val="0"/>
          <w:numId w:val="4"/>
        </w:numPr>
        <w:rPr>
          <w:lang w:val="es-ES" w:eastAsia="es-ES"/>
        </w:rPr>
      </w:pPr>
      <w:r w:rsidRPr="00AD22F4">
        <w:rPr>
          <w:rFonts w:cs="Times New Roman"/>
          <w:lang w:val="es-ES" w:eastAsia="es-ES"/>
        </w:rPr>
        <w:t xml:space="preserve">No se haya desahogado la prevención en los términos establecidos en la presente Ley; </w:t>
      </w:r>
    </w:p>
    <w:p w:rsidR="00270729" w:rsidRPr="00AD22F4" w:rsidRDefault="00270729" w:rsidP="00270729">
      <w:pPr>
        <w:pStyle w:val="Citas"/>
        <w:numPr>
          <w:ilvl w:val="0"/>
          <w:numId w:val="4"/>
        </w:numPr>
        <w:rPr>
          <w:lang w:val="es-ES" w:eastAsia="es-ES"/>
        </w:rPr>
      </w:pPr>
      <w:r w:rsidRPr="00AD22F4">
        <w:rPr>
          <w:rFonts w:cs="Times New Roman"/>
          <w:lang w:val="es-ES" w:eastAsia="es-ES"/>
        </w:rPr>
        <w:t xml:space="preserve">Se impugne la veracidad de la información proporcionada; </w:t>
      </w:r>
    </w:p>
    <w:p w:rsidR="00270729" w:rsidRPr="00AD22F4" w:rsidRDefault="00270729" w:rsidP="00270729">
      <w:pPr>
        <w:pStyle w:val="Citas"/>
        <w:numPr>
          <w:ilvl w:val="0"/>
          <w:numId w:val="4"/>
        </w:numPr>
        <w:rPr>
          <w:bCs/>
          <w:lang w:val="es-ES" w:eastAsia="es-ES"/>
        </w:rPr>
      </w:pPr>
      <w:r w:rsidRPr="00AD22F4">
        <w:rPr>
          <w:rFonts w:cs="Times New Roman"/>
          <w:bCs/>
          <w:lang w:val="es-ES" w:eastAsia="es-ES"/>
        </w:rPr>
        <w:t xml:space="preserve">Se trate de una consulta, o trámite en específico; y </w:t>
      </w:r>
    </w:p>
    <w:p w:rsidR="00270729" w:rsidRPr="00AD22F4" w:rsidRDefault="00270729" w:rsidP="00270729">
      <w:pPr>
        <w:pStyle w:val="Citas"/>
        <w:numPr>
          <w:ilvl w:val="0"/>
          <w:numId w:val="4"/>
        </w:numPr>
        <w:rPr>
          <w:lang w:val="es-ES" w:eastAsia="es-ES"/>
        </w:rPr>
      </w:pPr>
      <w:r w:rsidRPr="00AD22F4">
        <w:rPr>
          <w:rFonts w:cs="Times New Roman"/>
          <w:lang w:val="es-ES" w:eastAsia="es-ES"/>
        </w:rPr>
        <w:lastRenderedPageBreak/>
        <w:t xml:space="preserve">El recurrente amplíe su solicitud en el recurso de revisión, únicamente respecto de los nuevos contenidos.” </w:t>
      </w:r>
      <w:r w:rsidRPr="00AD22F4">
        <w:rPr>
          <w:rFonts w:cs="Times New Roman"/>
          <w:b/>
          <w:bCs/>
          <w:lang w:val="es-ES" w:eastAsia="es-ES"/>
        </w:rPr>
        <w:t>(Sic)</w:t>
      </w:r>
    </w:p>
    <w:p w:rsidR="00270729" w:rsidRPr="00AD22F4" w:rsidRDefault="00270729" w:rsidP="00270729">
      <w:pPr>
        <w:spacing w:line="360" w:lineRule="auto"/>
        <w:jc w:val="both"/>
        <w:rPr>
          <w:rFonts w:ascii="Palatino Linotype" w:hAnsi="Palatino Linotype"/>
          <w:bCs/>
        </w:rPr>
      </w:pPr>
    </w:p>
    <w:p w:rsidR="00270729" w:rsidRPr="00AD22F4" w:rsidRDefault="00270729" w:rsidP="00270729">
      <w:pPr>
        <w:spacing w:line="360" w:lineRule="auto"/>
        <w:jc w:val="both"/>
        <w:rPr>
          <w:rFonts w:ascii="Palatino Linotype" w:hAnsi="Palatino Linotype"/>
          <w:bCs/>
        </w:rPr>
      </w:pPr>
    </w:p>
    <w:p w:rsidR="00270729" w:rsidRPr="00AD22F4" w:rsidRDefault="00270729" w:rsidP="00270729">
      <w:pPr>
        <w:spacing w:line="360" w:lineRule="auto"/>
        <w:jc w:val="both"/>
        <w:rPr>
          <w:rFonts w:ascii="Palatino Linotype" w:hAnsi="Palatino Linotype"/>
          <w:bCs/>
        </w:rPr>
      </w:pPr>
      <w:r w:rsidRPr="00AD22F4">
        <w:rPr>
          <w:rFonts w:ascii="Palatino Linotype" w:hAnsi="Palatino Linotype"/>
          <w:bCs/>
        </w:rPr>
        <w:t>Podemos concluir entonces que, en el presente asunto, se actualiza la causal de sobreseimiento prevista en la fracción IV del artículo 192, de la Ley de Transparencia y Acceso a información Pública del Estado de México y Municipios, que disponen lo siguiente:</w:t>
      </w:r>
    </w:p>
    <w:p w:rsidR="00270729" w:rsidRPr="00AD22F4" w:rsidRDefault="00270729" w:rsidP="00270729">
      <w:pPr>
        <w:spacing w:line="360" w:lineRule="auto"/>
        <w:jc w:val="both"/>
        <w:rPr>
          <w:rFonts w:ascii="Palatino Linotype" w:hAnsi="Palatino Linotype"/>
          <w:bCs/>
        </w:rPr>
      </w:pPr>
    </w:p>
    <w:p w:rsidR="00270729" w:rsidRPr="00AD22F4" w:rsidRDefault="00270729" w:rsidP="00270729">
      <w:pPr>
        <w:pStyle w:val="Citas"/>
        <w:rPr>
          <w:lang w:val="es-ES" w:eastAsia="es-ES"/>
        </w:rPr>
      </w:pPr>
      <w:r w:rsidRPr="00AD22F4">
        <w:rPr>
          <w:lang w:val="es-ES" w:eastAsia="es-ES"/>
        </w:rPr>
        <w:t xml:space="preserve"> “Artículo 192. El recurso será sobreseído, en todo o en parte, cuando una vez admitido, se actualicen alguno de los siguientes supuestos:</w:t>
      </w:r>
    </w:p>
    <w:p w:rsidR="00270729" w:rsidRPr="00AD22F4" w:rsidRDefault="00270729" w:rsidP="00270729">
      <w:pPr>
        <w:pStyle w:val="Citas"/>
        <w:numPr>
          <w:ilvl w:val="0"/>
          <w:numId w:val="5"/>
        </w:numPr>
        <w:rPr>
          <w:lang w:val="es-ES" w:eastAsia="es-ES"/>
        </w:rPr>
      </w:pPr>
      <w:r w:rsidRPr="00AD22F4">
        <w:rPr>
          <w:lang w:val="es-ES" w:eastAsia="es-ES"/>
        </w:rPr>
        <w:t xml:space="preserve">El recurrente se desista expresamente del recurso; </w:t>
      </w:r>
    </w:p>
    <w:p w:rsidR="00270729" w:rsidRPr="00AD22F4" w:rsidRDefault="00270729" w:rsidP="00270729">
      <w:pPr>
        <w:pStyle w:val="Citas"/>
        <w:numPr>
          <w:ilvl w:val="0"/>
          <w:numId w:val="5"/>
        </w:numPr>
        <w:rPr>
          <w:lang w:val="es-ES" w:eastAsia="es-ES"/>
        </w:rPr>
      </w:pPr>
      <w:r w:rsidRPr="00AD22F4">
        <w:rPr>
          <w:lang w:val="es-ES" w:eastAsia="es-ES"/>
        </w:rPr>
        <w:t xml:space="preserve">El recurrente fallezca o, tratándose de personas jurídicas colectivas, se disuelva; </w:t>
      </w:r>
    </w:p>
    <w:p w:rsidR="00270729" w:rsidRPr="00AD22F4" w:rsidRDefault="00270729" w:rsidP="00270729">
      <w:pPr>
        <w:pStyle w:val="Citas"/>
        <w:numPr>
          <w:ilvl w:val="0"/>
          <w:numId w:val="5"/>
        </w:numPr>
        <w:rPr>
          <w:lang w:val="es-ES" w:eastAsia="es-ES"/>
        </w:rPr>
      </w:pPr>
      <w:r w:rsidRPr="00AD22F4">
        <w:rPr>
          <w:lang w:val="es-ES" w:eastAsia="es-ES"/>
        </w:rPr>
        <w:t xml:space="preserve">El sujeto obligado responsable del acto lo modifique o revoque de tal manera que el recurso de revisión quede sin materia; </w:t>
      </w:r>
    </w:p>
    <w:p w:rsidR="00270729" w:rsidRPr="00AD22F4" w:rsidRDefault="00270729" w:rsidP="00270729">
      <w:pPr>
        <w:pStyle w:val="Citas"/>
        <w:numPr>
          <w:ilvl w:val="0"/>
          <w:numId w:val="5"/>
        </w:numPr>
        <w:rPr>
          <w:b/>
          <w:bCs/>
          <w:u w:val="single"/>
          <w:lang w:val="es-ES" w:eastAsia="es-ES"/>
        </w:rPr>
      </w:pPr>
      <w:r w:rsidRPr="00AD22F4">
        <w:rPr>
          <w:b/>
          <w:bCs/>
          <w:u w:val="single"/>
          <w:lang w:val="es-ES" w:eastAsia="es-ES"/>
        </w:rPr>
        <w:t xml:space="preserve">Admitido el recurso de revisión, aparezca alguna causal de improcedencia en los términos de la presente Ley; y </w:t>
      </w:r>
    </w:p>
    <w:p w:rsidR="00270729" w:rsidRPr="00AD22F4" w:rsidRDefault="00270729" w:rsidP="00270729">
      <w:pPr>
        <w:pStyle w:val="Citas"/>
        <w:numPr>
          <w:ilvl w:val="0"/>
          <w:numId w:val="5"/>
        </w:numPr>
        <w:rPr>
          <w:lang w:val="es-ES" w:eastAsia="es-ES"/>
        </w:rPr>
      </w:pPr>
      <w:r w:rsidRPr="00AD22F4">
        <w:rPr>
          <w:lang w:val="es-ES" w:eastAsia="es-ES"/>
        </w:rPr>
        <w:t xml:space="preserve">Cuando por cualquier motivo quede sin materia el recurso.” </w:t>
      </w:r>
      <w:r w:rsidRPr="00AD22F4">
        <w:rPr>
          <w:b/>
          <w:bCs/>
          <w:lang w:val="es-ES" w:eastAsia="es-ES"/>
        </w:rPr>
        <w:t>(Sic)</w:t>
      </w:r>
    </w:p>
    <w:p w:rsidR="00270729" w:rsidRPr="00AD22F4" w:rsidRDefault="00270729" w:rsidP="00270729">
      <w:pPr>
        <w:autoSpaceDE w:val="0"/>
        <w:autoSpaceDN w:val="0"/>
        <w:adjustRightInd w:val="0"/>
        <w:spacing w:line="360" w:lineRule="auto"/>
        <w:jc w:val="both"/>
        <w:rPr>
          <w:rFonts w:ascii="Palatino Linotype" w:hAnsi="Palatino Linotype" w:cs="Arial"/>
        </w:rPr>
      </w:pPr>
    </w:p>
    <w:p w:rsidR="00270729" w:rsidRPr="00AD22F4" w:rsidRDefault="00270729" w:rsidP="00270729">
      <w:pPr>
        <w:spacing w:before="240" w:after="240" w:line="360" w:lineRule="auto"/>
        <w:jc w:val="both"/>
        <w:rPr>
          <w:rFonts w:ascii="Palatino Linotype" w:hAnsi="Palatino Linotype"/>
        </w:rPr>
      </w:pPr>
      <w:r w:rsidRPr="00AD22F4">
        <w:rPr>
          <w:rFonts w:ascii="Palatino Linotype" w:hAnsi="Palatino Linotype"/>
        </w:rPr>
        <w:t xml:space="preserve">Por ello, en términos del artículo 191 fracción III de la Ley de Transparencia y Acceso a la Información Pública del Estado de México y Municipios, este Órgano Garante </w:t>
      </w:r>
      <w:r w:rsidRPr="00AD22F4">
        <w:rPr>
          <w:rFonts w:ascii="Palatino Linotype" w:hAnsi="Palatino Linotype"/>
        </w:rPr>
        <w:lastRenderedPageBreak/>
        <w:t xml:space="preserve">considera procedente </w:t>
      </w:r>
      <w:r w:rsidRPr="00AD22F4">
        <w:rPr>
          <w:rFonts w:ascii="Palatino Linotype" w:hAnsi="Palatino Linotype"/>
          <w:b/>
        </w:rPr>
        <w:t xml:space="preserve">SOBRESEER </w:t>
      </w:r>
      <w:r w:rsidRPr="00AD22F4">
        <w:rPr>
          <w:rFonts w:ascii="Palatino Linotype" w:hAnsi="Palatino Linotype"/>
        </w:rPr>
        <w:t>el presente recurso de revisión, toda vez que se actualiza la fracción IV del artículo 192 del citado ordenamiento legal.</w:t>
      </w:r>
    </w:p>
    <w:p w:rsidR="00270729" w:rsidRPr="00AD22F4" w:rsidRDefault="00270729" w:rsidP="00270729">
      <w:pPr>
        <w:autoSpaceDE w:val="0"/>
        <w:autoSpaceDN w:val="0"/>
        <w:adjustRightInd w:val="0"/>
        <w:spacing w:line="360" w:lineRule="auto"/>
        <w:jc w:val="both"/>
        <w:rPr>
          <w:rFonts w:ascii="Palatino Linotype" w:hAnsi="Palatino Linotype"/>
        </w:rPr>
      </w:pPr>
      <w:r w:rsidRPr="00AD22F4">
        <w:rPr>
          <w:rFonts w:ascii="Palatino Linotype" w:hAnsi="Palatino Linotype"/>
        </w:rPr>
        <w:t>En este orden de ideas, es conducente colegir que en el presente Recurso de Revisión, se actualizó la causal de improcedencia prevista en la fracción III, del numeral 191, de la Ley de Transparencia y Acceso a la Información Pública del Estado de México y Municipios, en virtud que no se actualizó ningún supuesto de procedencia señalado en el ordenamiento en cita, en consecuencia, toda vez que las causales de improcedencia deben ser examinadas de oficio y si de dicho examen se actualiza una causal de improcedencia, por técnica jurídica, es de estudio preferente.</w:t>
      </w:r>
    </w:p>
    <w:p w:rsidR="00270729" w:rsidRPr="00AD22F4" w:rsidRDefault="00270729" w:rsidP="00270729">
      <w:pPr>
        <w:autoSpaceDE w:val="0"/>
        <w:autoSpaceDN w:val="0"/>
        <w:adjustRightInd w:val="0"/>
        <w:spacing w:line="360" w:lineRule="auto"/>
        <w:jc w:val="both"/>
        <w:rPr>
          <w:rFonts w:ascii="Palatino Linotype" w:hAnsi="Palatino Linotype"/>
        </w:rPr>
      </w:pPr>
    </w:p>
    <w:p w:rsidR="00270729" w:rsidRPr="00AD22F4" w:rsidRDefault="00270729" w:rsidP="00270729">
      <w:pPr>
        <w:autoSpaceDE w:val="0"/>
        <w:autoSpaceDN w:val="0"/>
        <w:adjustRightInd w:val="0"/>
        <w:spacing w:line="360" w:lineRule="auto"/>
        <w:jc w:val="both"/>
        <w:rPr>
          <w:rFonts w:ascii="Palatino Linotype" w:hAnsi="Palatino Linotype"/>
        </w:rPr>
      </w:pPr>
      <w:r w:rsidRPr="00AD22F4">
        <w:rPr>
          <w:rFonts w:ascii="Palatino Linotype" w:hAnsi="Palatino Linotype"/>
        </w:rPr>
        <w:t xml:space="preserve">Es importante resaltar a manera de analogía que la Suprema Corte de Justicia de la Nación mediante el número 2, de la Serie </w:t>
      </w:r>
      <w:r w:rsidRPr="00AD22F4">
        <w:rPr>
          <w:rFonts w:ascii="Palatino Linotype" w:hAnsi="Palatino Linotype"/>
          <w:b/>
          <w:bCs/>
          <w:i/>
        </w:rPr>
        <w:t>Estudios Introductorios sobre el Juicio de Amparo</w:t>
      </w:r>
      <w:r w:rsidRPr="00AD22F4">
        <w:rPr>
          <w:rFonts w:ascii="Palatino Linotype" w:hAnsi="Palatino Linotype"/>
          <w:i/>
        </w:rPr>
        <w:t xml:space="preserve"> </w:t>
      </w:r>
      <w:r w:rsidRPr="00AD22F4">
        <w:rPr>
          <w:rFonts w:ascii="Palatino Linotype" w:hAnsi="Palatino Linotype"/>
        </w:rPr>
        <w:t xml:space="preserve">relativo a </w:t>
      </w:r>
      <w:r w:rsidRPr="00AD22F4">
        <w:rPr>
          <w:rFonts w:ascii="Palatino Linotype" w:hAnsi="Palatino Linotype"/>
          <w:b/>
          <w:bCs/>
          <w:i/>
        </w:rPr>
        <w:t>LA IMPROCEDENCIA DE LA ACCIÓN DE AMPARO</w:t>
      </w:r>
      <w:r w:rsidRPr="00AD22F4">
        <w:rPr>
          <w:rFonts w:ascii="Palatino Linotype" w:hAnsi="Palatino Linotype"/>
          <w:i/>
        </w:rPr>
        <w:t xml:space="preserve"> </w:t>
      </w:r>
      <w:r w:rsidRPr="00AD22F4">
        <w:rPr>
          <w:rFonts w:ascii="Palatino Linotype" w:hAnsi="Palatino Linotype"/>
        </w:rPr>
        <w:t xml:space="preserve">definió a la improcedencia del amparo como la institución jurídica procesal en la que, al actualizarse ciertas circunstancias previstas en la Constitución Federal, en la Ley de Amparo o en la Jurisprudencia, el órgano jurisdiccional se ve impedido para analizar y resolver el fondo del asunto y que la causa de improcedencia puede tenerse por acreditada desde el momento en que se presenta la demanda de amparo, </w:t>
      </w:r>
      <w:r w:rsidRPr="00AD22F4">
        <w:rPr>
          <w:rFonts w:ascii="Palatino Linotype" w:hAnsi="Palatino Linotype"/>
          <w:b/>
          <w:u w:val="single"/>
        </w:rPr>
        <w:t>lo que generará que la demanda sea desechada; o bien, después de admitida la demanda, lo que tendrá como consecuencia que se sobresea en el juicio.</w:t>
      </w:r>
    </w:p>
    <w:p w:rsidR="00270729" w:rsidRPr="00AD22F4" w:rsidRDefault="00270729" w:rsidP="00270729"/>
    <w:p w:rsidR="00270729" w:rsidRPr="00AD22F4" w:rsidRDefault="00270729" w:rsidP="00270729">
      <w:pPr>
        <w:spacing w:line="360" w:lineRule="auto"/>
        <w:jc w:val="both"/>
        <w:rPr>
          <w:rFonts w:ascii="Palatino Linotype" w:eastAsiaTheme="minorEastAsia" w:hAnsi="Palatino Linotype"/>
          <w:lang w:val="es-ES_tradnl"/>
        </w:rPr>
      </w:pPr>
      <w:r w:rsidRPr="00AD22F4">
        <w:rPr>
          <w:rFonts w:ascii="Palatino Linotype" w:hAnsi="Palatino Linotype"/>
          <w:bCs/>
        </w:rPr>
        <w:t xml:space="preserve">Por lo que </w:t>
      </w:r>
      <w:r w:rsidRPr="00AD22F4">
        <w:rPr>
          <w:rFonts w:ascii="Palatino Linotype" w:eastAsiaTheme="minorEastAsia" w:hAnsi="Palatino Linotype" w:cs="Arial"/>
          <w:b/>
          <w:lang w:val="es-ES_tradnl"/>
        </w:rPr>
        <w:t xml:space="preserve">con fundamento en la segunda hipótesis de la fracción I del artículo 186, </w:t>
      </w:r>
      <w:r w:rsidRPr="00AD22F4">
        <w:rPr>
          <w:rFonts w:ascii="Palatino Linotype" w:eastAsiaTheme="minorEastAsia" w:hAnsi="Palatino Linotype" w:cs="Arial"/>
          <w:lang w:val="es-ES_tradnl"/>
        </w:rPr>
        <w:t xml:space="preserve">de la Ley de Transparencia y Acceso a la Información Pública del Estado de México y Municipios, se </w:t>
      </w:r>
      <w:r w:rsidRPr="00AD22F4">
        <w:rPr>
          <w:rFonts w:ascii="Palatino Linotype" w:eastAsiaTheme="minorEastAsia" w:hAnsi="Palatino Linotype" w:cs="Arial"/>
          <w:b/>
          <w:lang w:val="es-ES_tradnl"/>
        </w:rPr>
        <w:t xml:space="preserve">SOBRESEE </w:t>
      </w:r>
      <w:r w:rsidRPr="00AD22F4">
        <w:rPr>
          <w:rFonts w:ascii="Palatino Linotype" w:eastAsiaTheme="minorEastAsia" w:hAnsi="Palatino Linotype" w:cs="Arial"/>
          <w:lang w:val="es-ES_tradnl"/>
        </w:rPr>
        <w:t xml:space="preserve">el recurso de revisión </w:t>
      </w:r>
      <w:r w:rsidR="00AD22F4" w:rsidRPr="00AD22F4">
        <w:rPr>
          <w:rFonts w:ascii="Palatino Linotype" w:hAnsi="Palatino Linotype"/>
          <w:b/>
          <w:bCs/>
        </w:rPr>
        <w:t>01620</w:t>
      </w:r>
      <w:r w:rsidRPr="00AD22F4">
        <w:rPr>
          <w:rFonts w:ascii="Palatino Linotype" w:hAnsi="Palatino Linotype"/>
          <w:b/>
          <w:bCs/>
        </w:rPr>
        <w:t>/INFOEM/IP/RR/</w:t>
      </w:r>
      <w:r w:rsidR="005B6B80" w:rsidRPr="00AD22F4">
        <w:rPr>
          <w:rFonts w:ascii="Palatino Linotype" w:hAnsi="Palatino Linotype"/>
          <w:b/>
          <w:bCs/>
        </w:rPr>
        <w:t>2026</w:t>
      </w:r>
      <w:r w:rsidRPr="00AD22F4">
        <w:rPr>
          <w:rFonts w:ascii="Palatino Linotype" w:eastAsiaTheme="minorEastAsia" w:hAnsi="Palatino Linotype" w:cs="Arial"/>
          <w:lang w:val="es-ES_tradnl"/>
        </w:rPr>
        <w:t>,</w:t>
      </w:r>
      <w:r w:rsidRPr="00AD22F4">
        <w:rPr>
          <w:rFonts w:ascii="Palatino Linotype" w:eastAsiaTheme="minorEastAsia" w:hAnsi="Palatino Linotype"/>
          <w:lang w:val="es-ES_tradnl"/>
        </w:rPr>
        <w:t xml:space="preserve"> que ha sido materia del presente fallo.</w:t>
      </w:r>
    </w:p>
    <w:p w:rsidR="00270729" w:rsidRPr="00AD22F4" w:rsidRDefault="00270729" w:rsidP="00270729">
      <w:pPr>
        <w:spacing w:line="360" w:lineRule="auto"/>
        <w:jc w:val="both"/>
        <w:rPr>
          <w:rFonts w:ascii="Palatino Linotype" w:hAnsi="Palatino Linotype"/>
          <w:lang w:val="es-ES_tradnl"/>
        </w:rPr>
      </w:pPr>
    </w:p>
    <w:p w:rsidR="00270729" w:rsidRPr="00AD22F4" w:rsidRDefault="00270729" w:rsidP="00270729">
      <w:pPr>
        <w:spacing w:line="360" w:lineRule="auto"/>
        <w:jc w:val="both"/>
        <w:rPr>
          <w:rFonts w:ascii="Palatino Linotype" w:hAnsi="Palatino Linotype"/>
        </w:rPr>
      </w:pPr>
    </w:p>
    <w:p w:rsidR="00270729" w:rsidRPr="00AD22F4" w:rsidRDefault="00270729" w:rsidP="00270729">
      <w:pPr>
        <w:spacing w:line="360" w:lineRule="auto"/>
        <w:jc w:val="both"/>
        <w:rPr>
          <w:rFonts w:ascii="Palatino Linotype" w:hAnsi="Palatino Linotype"/>
        </w:rPr>
      </w:pPr>
      <w:r w:rsidRPr="00AD22F4">
        <w:rPr>
          <w:rFonts w:ascii="Palatino Linotype" w:hAnsi="Palatino Linotype"/>
        </w:rPr>
        <w:t>Por lo antes expuesto y fundado es de resolverse y,</w:t>
      </w:r>
    </w:p>
    <w:p w:rsidR="00270729" w:rsidRPr="00AD22F4" w:rsidRDefault="00270729" w:rsidP="00270729">
      <w:pPr>
        <w:spacing w:line="360" w:lineRule="auto"/>
        <w:jc w:val="center"/>
        <w:rPr>
          <w:rFonts w:ascii="Palatino Linotype" w:hAnsi="Palatino Linotype"/>
          <w:bCs/>
          <w:spacing w:val="60"/>
          <w:lang w:val="es-ES_tradnl"/>
        </w:rPr>
      </w:pPr>
      <w:r w:rsidRPr="00AD22F4">
        <w:rPr>
          <w:rFonts w:ascii="Palatino Linotype" w:hAnsi="Palatino Linotype"/>
          <w:b/>
          <w:bCs/>
          <w:spacing w:val="60"/>
          <w:sz w:val="28"/>
          <w:lang w:val="es-ES_tradnl"/>
        </w:rPr>
        <w:t>SE    RESUELVE</w:t>
      </w:r>
    </w:p>
    <w:p w:rsidR="00270729" w:rsidRPr="00AD22F4" w:rsidRDefault="00270729" w:rsidP="00270729">
      <w:pPr>
        <w:spacing w:line="360" w:lineRule="auto"/>
        <w:jc w:val="center"/>
        <w:rPr>
          <w:rFonts w:ascii="Palatino Linotype" w:hAnsi="Palatino Linotype"/>
          <w:bCs/>
          <w:spacing w:val="60"/>
          <w:lang w:val="es-ES_tradnl"/>
        </w:rPr>
      </w:pPr>
    </w:p>
    <w:p w:rsidR="00270729" w:rsidRPr="00AD22F4" w:rsidRDefault="00270729" w:rsidP="00270729">
      <w:pPr>
        <w:spacing w:line="360" w:lineRule="auto"/>
        <w:jc w:val="both"/>
        <w:rPr>
          <w:rFonts w:ascii="Palatino Linotype" w:eastAsia="Calibri" w:hAnsi="Palatino Linotype" w:cs="Arial"/>
          <w:lang w:val="es-ES_tradnl" w:eastAsia="es-MX"/>
        </w:rPr>
      </w:pPr>
      <w:r w:rsidRPr="00AD22F4">
        <w:rPr>
          <w:rFonts w:ascii="Palatino Linotype" w:eastAsiaTheme="minorEastAsia" w:hAnsi="Palatino Linotype" w:cs="Arial"/>
          <w:b/>
          <w:sz w:val="28"/>
          <w:lang w:val="es-ES_tradnl"/>
        </w:rPr>
        <w:t>PRIMERO.</w:t>
      </w:r>
      <w:r w:rsidRPr="00AD22F4">
        <w:rPr>
          <w:rFonts w:ascii="Palatino Linotype" w:eastAsiaTheme="minorEastAsia" w:hAnsi="Palatino Linotype" w:cs="Arial"/>
          <w:lang w:val="es-ES_tradnl"/>
        </w:rPr>
        <w:t xml:space="preserve"> Se </w:t>
      </w:r>
      <w:r w:rsidRPr="00AD22F4">
        <w:rPr>
          <w:rFonts w:ascii="Palatino Linotype" w:eastAsiaTheme="minorEastAsia" w:hAnsi="Palatino Linotype" w:cs="Arial"/>
          <w:b/>
          <w:lang w:val="es-ES_tradnl"/>
        </w:rPr>
        <w:t>SOBRESEE</w:t>
      </w:r>
      <w:r w:rsidRPr="00AD22F4">
        <w:rPr>
          <w:rFonts w:ascii="Palatino Linotype" w:eastAsiaTheme="minorEastAsia" w:hAnsi="Palatino Linotype" w:cs="Arial"/>
          <w:lang w:val="es-ES_tradnl"/>
        </w:rPr>
        <w:t xml:space="preserve"> el recurso de revisión </w:t>
      </w:r>
      <w:r w:rsidR="00AD22F4" w:rsidRPr="00AD22F4">
        <w:rPr>
          <w:rFonts w:ascii="Palatino Linotype" w:eastAsiaTheme="minorEastAsia" w:hAnsi="Palatino Linotype" w:cs="Arial"/>
          <w:b/>
          <w:lang w:val="es-ES_tradnl"/>
        </w:rPr>
        <w:t>01620</w:t>
      </w:r>
      <w:r w:rsidRPr="00AD22F4">
        <w:rPr>
          <w:rFonts w:ascii="Palatino Linotype" w:eastAsiaTheme="minorEastAsia" w:hAnsi="Palatino Linotype" w:cs="Arial"/>
          <w:b/>
          <w:lang w:val="es-ES_tradnl"/>
        </w:rPr>
        <w:t>/INFOEM/IP/RR/</w:t>
      </w:r>
      <w:r w:rsidR="005B6B80" w:rsidRPr="00AD22F4">
        <w:rPr>
          <w:rFonts w:ascii="Palatino Linotype" w:eastAsiaTheme="minorEastAsia" w:hAnsi="Palatino Linotype" w:cs="Arial"/>
          <w:b/>
          <w:lang w:val="es-ES_tradnl"/>
        </w:rPr>
        <w:t>2026</w:t>
      </w:r>
      <w:r w:rsidRPr="00AD22F4">
        <w:rPr>
          <w:rFonts w:ascii="Palatino Linotype" w:eastAsiaTheme="minorEastAsia" w:hAnsi="Palatino Linotype" w:cs="Arial"/>
          <w:lang w:val="es-ES_tradnl"/>
        </w:rPr>
        <w:t xml:space="preserve">, </w:t>
      </w:r>
      <w:r w:rsidRPr="00AD22F4">
        <w:rPr>
          <w:rFonts w:ascii="Palatino Linotype" w:eastAsia="Calibri" w:hAnsi="Palatino Linotype" w:cs="Arial"/>
          <w:lang w:val="es-ES_tradnl" w:eastAsia="es-MX"/>
        </w:rPr>
        <w:t xml:space="preserve">de conformidad con el artículo 192, fracción IV por actualizarse la causal de improcedencia contenida en la fracción III, del artículo 191, ambos de la Ley de Transparencia y Acceso a la Información Pública del Estado de México y Municipios, en términos del Considerando </w:t>
      </w:r>
      <w:r w:rsidRPr="00AD22F4">
        <w:rPr>
          <w:rFonts w:ascii="Palatino Linotype" w:eastAsia="Calibri" w:hAnsi="Palatino Linotype" w:cs="Arial"/>
          <w:b/>
          <w:lang w:val="es-ES_tradnl" w:eastAsia="es-MX"/>
        </w:rPr>
        <w:t>TERCERO</w:t>
      </w:r>
      <w:r w:rsidRPr="00AD22F4">
        <w:rPr>
          <w:rFonts w:ascii="Palatino Linotype" w:eastAsia="Calibri" w:hAnsi="Palatino Linotype" w:cs="Arial"/>
          <w:lang w:val="es-ES_tradnl" w:eastAsia="es-MX"/>
        </w:rPr>
        <w:t xml:space="preserve"> de la presente resolución.</w:t>
      </w:r>
    </w:p>
    <w:p w:rsidR="00270729" w:rsidRPr="00AD22F4" w:rsidRDefault="00270729" w:rsidP="00270729">
      <w:pPr>
        <w:spacing w:line="360" w:lineRule="auto"/>
        <w:jc w:val="both"/>
        <w:rPr>
          <w:rFonts w:ascii="Palatino Linotype" w:hAnsi="Palatino Linotype" w:cs="Arial"/>
          <w:lang w:val="es-ES_tradnl"/>
        </w:rPr>
      </w:pPr>
    </w:p>
    <w:p w:rsidR="00270729" w:rsidRPr="00AD22F4" w:rsidRDefault="00270729" w:rsidP="00270729">
      <w:pPr>
        <w:spacing w:line="360" w:lineRule="auto"/>
        <w:jc w:val="both"/>
        <w:rPr>
          <w:rFonts w:ascii="Palatino Linotype" w:hAnsi="Palatino Linotype" w:cs="Palatino Linotype"/>
        </w:rPr>
      </w:pPr>
      <w:r w:rsidRPr="00AD22F4">
        <w:rPr>
          <w:rFonts w:ascii="Palatino Linotype" w:hAnsi="Palatino Linotype" w:cs="Palatino Linotype"/>
          <w:b/>
        </w:rPr>
        <w:t>SEGUNDO.</w:t>
      </w:r>
      <w:r w:rsidRPr="00AD22F4">
        <w:rPr>
          <w:rFonts w:ascii="Palatino Linotype" w:hAnsi="Palatino Linotype" w:cs="Palatino Linotype"/>
        </w:rPr>
        <w:t xml:space="preserve"> </w:t>
      </w:r>
      <w:r w:rsidRPr="00AD22F4">
        <w:rPr>
          <w:rFonts w:ascii="Palatino Linotype" w:hAnsi="Palatino Linotype" w:cs="Palatino Linotype"/>
          <w:b/>
        </w:rPr>
        <w:t>Notifíquese</w:t>
      </w:r>
      <w:r w:rsidRPr="00AD22F4">
        <w:rPr>
          <w:rFonts w:ascii="Palatino Linotype" w:hAnsi="Palatino Linotype" w:cs="Palatino Linotype"/>
        </w:rPr>
        <w:t xml:space="preserve"> la presente resolución al Titular de la Unidad de Transparencia del Sujeto Obligado mediante el Sistema de Acceso a la Información Mexiquense (SAIMEX).</w:t>
      </w:r>
    </w:p>
    <w:p w:rsidR="00270729" w:rsidRPr="00AD22F4" w:rsidRDefault="00270729" w:rsidP="00270729">
      <w:pPr>
        <w:spacing w:line="360" w:lineRule="auto"/>
        <w:jc w:val="both"/>
        <w:rPr>
          <w:rFonts w:ascii="Palatino Linotype" w:hAnsi="Palatino Linotype" w:cs="Palatino Linotype"/>
        </w:rPr>
      </w:pPr>
    </w:p>
    <w:p w:rsidR="00270729" w:rsidRPr="00AD22F4" w:rsidRDefault="00270729" w:rsidP="00270729">
      <w:pPr>
        <w:spacing w:line="360" w:lineRule="auto"/>
        <w:jc w:val="both"/>
        <w:rPr>
          <w:rFonts w:ascii="Palatino Linotype" w:hAnsi="Palatino Linotype" w:cs="Palatino Linotype"/>
        </w:rPr>
      </w:pPr>
      <w:r w:rsidRPr="00AD22F4">
        <w:rPr>
          <w:rFonts w:ascii="Palatino Linotype" w:hAnsi="Palatino Linotype" w:cs="Palatino Linotype"/>
          <w:b/>
        </w:rPr>
        <w:t>TERCERO. Notifíquese</w:t>
      </w:r>
      <w:r w:rsidRPr="00AD22F4">
        <w:rPr>
          <w:rFonts w:ascii="Palatino Linotype" w:hAnsi="Palatino Linotype" w:cs="Palatino Linotype"/>
        </w:rPr>
        <w:t xml:space="preserve"> la presente resolución al Recurrente</w:t>
      </w:r>
      <w:r w:rsidRPr="00AD22F4">
        <w:t xml:space="preserve"> </w:t>
      </w:r>
      <w:r w:rsidRPr="00AD22F4">
        <w:rPr>
          <w:rFonts w:ascii="Palatino Linotype" w:hAnsi="Palatino Linotype" w:cs="Palatino Linotype"/>
        </w:rPr>
        <w:t>a través del Sistema de Acceso a la Información Mexiquense (SAIMEX), y hágase de su conocimiento que, en caso de considerar que la misma le causa algún perjuicio, podrá promover el Juicio de Amparo en los términos de las leyes aplicables, de acuerdo a lo estipulado por el artículo 196 de la Ley de Transparencia y Acceso a la Información Pública del Estado de México y Municipios.</w:t>
      </w:r>
    </w:p>
    <w:p w:rsidR="00270729" w:rsidRPr="00AD22F4" w:rsidRDefault="00270729" w:rsidP="00270729">
      <w:pPr>
        <w:spacing w:line="360" w:lineRule="auto"/>
        <w:jc w:val="both"/>
        <w:rPr>
          <w:rFonts w:ascii="Palatino Linotype" w:hAnsi="Palatino Linotype" w:cs="Arial"/>
        </w:rPr>
      </w:pPr>
    </w:p>
    <w:p w:rsidR="00AE3E69" w:rsidRPr="00AD22F4" w:rsidRDefault="00AE3E69" w:rsidP="00270729">
      <w:pPr>
        <w:spacing w:line="360" w:lineRule="auto"/>
        <w:jc w:val="both"/>
        <w:rPr>
          <w:rFonts w:ascii="Palatino Linotype" w:hAnsi="Palatino Linotype" w:cs="Arial"/>
        </w:rPr>
      </w:pPr>
    </w:p>
    <w:p w:rsidR="00AE3E69" w:rsidRPr="00AD22F4" w:rsidRDefault="00AE3E69" w:rsidP="00270729">
      <w:pPr>
        <w:spacing w:line="360" w:lineRule="auto"/>
        <w:jc w:val="both"/>
        <w:rPr>
          <w:rFonts w:ascii="Palatino Linotype" w:hAnsi="Palatino Linotype" w:cs="Arial"/>
        </w:rPr>
      </w:pPr>
    </w:p>
    <w:p w:rsidR="00AE3E69" w:rsidRPr="00AD22F4" w:rsidRDefault="00AE3E69" w:rsidP="00270729">
      <w:pPr>
        <w:spacing w:line="360" w:lineRule="auto"/>
        <w:jc w:val="both"/>
        <w:rPr>
          <w:rFonts w:ascii="Palatino Linotype" w:hAnsi="Palatino Linotype" w:cs="Arial"/>
        </w:rPr>
      </w:pPr>
    </w:p>
    <w:p w:rsidR="00270729" w:rsidRPr="00AD22F4" w:rsidRDefault="00270729" w:rsidP="00270729">
      <w:pPr>
        <w:spacing w:line="360" w:lineRule="auto"/>
        <w:jc w:val="both"/>
        <w:rPr>
          <w:rFonts w:ascii="Palatino Linotype" w:hAnsi="Palatino Linotype" w:cs="Arial"/>
        </w:rPr>
      </w:pPr>
      <w:r w:rsidRPr="00AD22F4">
        <w:rPr>
          <w:rFonts w:ascii="Palatino Linotype" w:hAnsi="Palatino Linotype" w:cs="Arial"/>
        </w:rPr>
        <w:lastRenderedPageBreak/>
        <w:t>ASÍ LO RESUELVE, POR UNANIMIDAD DE VOTOS</w:t>
      </w:r>
      <w:r w:rsidR="00AD22F4" w:rsidRPr="00AD22F4">
        <w:rPr>
          <w:rFonts w:ascii="Palatino Linotype" w:hAnsi="Palatino Linotype" w:cs="Arial"/>
        </w:rPr>
        <w:t>,</w:t>
      </w:r>
      <w:r w:rsidRPr="00AD22F4">
        <w:rPr>
          <w:rFonts w:ascii="Palatino Linotype" w:hAnsi="Palatino Linotype" w:cs="Arial"/>
        </w:rPr>
        <w:t xml:space="preserve"> EL PLENO DEL</w:t>
      </w:r>
      <w:r w:rsidRPr="00AD22F4">
        <w:rPr>
          <w:rFonts w:ascii="Palatino Linotype" w:eastAsia="Arial Unicode MS" w:hAnsi="Palatino Linotype" w:cs="Arial"/>
        </w:rPr>
        <w:t xml:space="preserve"> INSTITUTO DE TRANSPARENCIA, ACCESO A LA INFORMACIÓN PÚBLICA Y PROTECCIÓN DE DATOS PERSONALES DEL ESTADO DE MÉXICO Y MUNICIPIOS</w:t>
      </w:r>
      <w:r w:rsidRPr="00AD22F4">
        <w:rPr>
          <w:rFonts w:ascii="Palatino Linotype" w:hAnsi="Palatino Linotype" w:cs="Arial"/>
        </w:rPr>
        <w:t>, CONFORMADO POR LOS COMISIONADOS JOSÉ MARTÍNEZ VILCHIS, MARÍA DEL ROSARIO MEJÍA AYALA, SHARON CRISTINA MORALES MARTÍNEZ, LUIS GUSTAVO PARRA NORIEGA Y GUADALUPE RAMÍREZ PEÑA, EN LA DÉCIM</w:t>
      </w:r>
      <w:r w:rsidR="00AE3E69" w:rsidRPr="00AD22F4">
        <w:rPr>
          <w:rFonts w:ascii="Palatino Linotype" w:hAnsi="Palatino Linotype" w:cs="Arial"/>
        </w:rPr>
        <w:t>A TERCERA</w:t>
      </w:r>
      <w:r w:rsidRPr="00AD22F4">
        <w:rPr>
          <w:rFonts w:ascii="Palatino Linotype" w:hAnsi="Palatino Linotype" w:cs="Arial"/>
        </w:rPr>
        <w:t xml:space="preserve"> SESIÓN ORDINARIA CELEBRADA EL </w:t>
      </w:r>
      <w:r w:rsidR="00AE3E69" w:rsidRPr="00AD22F4">
        <w:rPr>
          <w:rFonts w:ascii="Palatino Linotype" w:hAnsi="Palatino Linotype" w:cs="Arial"/>
        </w:rPr>
        <w:t>QUINCE DE ABRIL</w:t>
      </w:r>
      <w:r w:rsidRPr="00AD22F4">
        <w:rPr>
          <w:rFonts w:ascii="Palatino Linotype" w:hAnsi="Palatino Linotype" w:cs="Arial"/>
        </w:rPr>
        <w:t xml:space="preserve"> DE </w:t>
      </w:r>
      <w:r w:rsidR="005B6B80" w:rsidRPr="00AD22F4">
        <w:rPr>
          <w:rFonts w:ascii="Palatino Linotype" w:hAnsi="Palatino Linotype" w:cs="Arial"/>
        </w:rPr>
        <w:t>DOS MIL VEINTISÉIS</w:t>
      </w:r>
      <w:r w:rsidRPr="00AD22F4">
        <w:rPr>
          <w:rFonts w:ascii="Palatino Linotype" w:hAnsi="Palatino Linotype" w:cs="Arial"/>
        </w:rPr>
        <w:t>, ANTE EL SECRETARIO TÉCNICO DEL PLENO, ALEXIS TAPIA RAMÍREZ. -----------------------------------------------------------------------------------------------------------------------------------------------------------------------------------------------------------------------------------------------------------------------------------------------------------------------------------------------------------------------------------------------------------------------------------------------------------------------------------------------------------------------------------------------------------------------------------------------------------------------------------------------------------------------</w:t>
      </w:r>
      <w:r w:rsidR="007B4A92" w:rsidRPr="00AD22F4">
        <w:rPr>
          <w:rFonts w:ascii="Palatino Linotype" w:hAnsi="Palatino Linotype" w:cs="Arial"/>
        </w:rPr>
        <w:t>--------------------</w:t>
      </w:r>
    </w:p>
    <w:p w:rsidR="00270729" w:rsidRDefault="00270729" w:rsidP="00270729">
      <w:pPr>
        <w:spacing w:line="360" w:lineRule="auto"/>
        <w:jc w:val="both"/>
        <w:rPr>
          <w:rFonts w:ascii="Palatino Linotype" w:hAnsi="Palatino Linotype" w:cs="Arial"/>
          <w:sz w:val="16"/>
        </w:rPr>
      </w:pPr>
      <w:r w:rsidRPr="00AD22F4">
        <w:rPr>
          <w:rFonts w:ascii="Palatino Linotype" w:hAnsi="Palatino Linotype" w:cs="Arial"/>
        </w:rPr>
        <w:t>------------------------------------------------------------------------------------------------------------------------------------------------------------------------------------------------------------------------------------</w:t>
      </w:r>
      <w:r w:rsidRPr="00AD22F4">
        <w:rPr>
          <w:rFonts w:ascii="Palatino Linotype" w:hAnsi="Palatino Linotype" w:cs="Arial"/>
          <w:sz w:val="16"/>
        </w:rPr>
        <w:t>JMV/CCR/LMST</w:t>
      </w:r>
    </w:p>
    <w:p w:rsidR="00270729" w:rsidRDefault="00270729" w:rsidP="00270729"/>
    <w:p w:rsidR="00270729" w:rsidRDefault="00270729" w:rsidP="00270729"/>
    <w:p w:rsidR="00270729" w:rsidRDefault="00270729" w:rsidP="00270729"/>
    <w:p w:rsidR="00270729" w:rsidRDefault="00270729" w:rsidP="00270729"/>
    <w:p w:rsidR="00270729" w:rsidRDefault="00270729" w:rsidP="00270729"/>
    <w:p w:rsidR="00270729" w:rsidRDefault="00270729" w:rsidP="00270729"/>
    <w:p w:rsidR="00270729" w:rsidRDefault="00270729" w:rsidP="00270729"/>
    <w:p w:rsidR="00270729" w:rsidRDefault="00270729" w:rsidP="00270729"/>
    <w:p w:rsidR="00270729" w:rsidRDefault="00270729" w:rsidP="00270729"/>
    <w:p w:rsidR="00270729" w:rsidRDefault="00270729" w:rsidP="00270729"/>
    <w:p w:rsidR="00270729" w:rsidRDefault="00270729" w:rsidP="00270729"/>
    <w:p w:rsidR="00270729" w:rsidRDefault="00270729" w:rsidP="00270729"/>
    <w:p w:rsidR="00270729" w:rsidRDefault="00270729" w:rsidP="00270729"/>
    <w:p w:rsidR="00270729" w:rsidRDefault="00270729" w:rsidP="00270729"/>
    <w:p w:rsidR="00270729" w:rsidRDefault="00270729" w:rsidP="00270729"/>
    <w:p w:rsidR="00270729" w:rsidRDefault="00270729" w:rsidP="00270729"/>
    <w:p w:rsidR="00270729" w:rsidRDefault="00270729" w:rsidP="00270729"/>
    <w:p w:rsidR="00270729" w:rsidRDefault="00270729" w:rsidP="00270729"/>
    <w:p w:rsidR="00270729" w:rsidRDefault="00270729" w:rsidP="00270729"/>
    <w:p w:rsidR="00270729" w:rsidRDefault="00270729" w:rsidP="00270729"/>
    <w:p w:rsidR="00270729" w:rsidRDefault="00270729" w:rsidP="00270729"/>
    <w:p w:rsidR="00270729" w:rsidRDefault="00270729" w:rsidP="00270729"/>
    <w:p w:rsidR="00270729" w:rsidRDefault="00270729" w:rsidP="00270729"/>
    <w:p w:rsidR="00270729" w:rsidRDefault="00270729" w:rsidP="00270729"/>
    <w:p w:rsidR="00270729" w:rsidRDefault="00270729" w:rsidP="00270729"/>
    <w:p w:rsidR="00270729" w:rsidRDefault="00270729" w:rsidP="00270729"/>
    <w:p w:rsidR="00270729" w:rsidRDefault="00270729" w:rsidP="00270729"/>
    <w:p w:rsidR="00270729" w:rsidRDefault="00270729" w:rsidP="00270729"/>
    <w:p w:rsidR="00270729" w:rsidRDefault="00270729" w:rsidP="00270729"/>
    <w:p w:rsidR="00270729" w:rsidRDefault="00270729" w:rsidP="00270729"/>
    <w:p w:rsidR="00270729" w:rsidRDefault="00270729" w:rsidP="00270729"/>
    <w:p w:rsidR="00270729" w:rsidRDefault="00270729" w:rsidP="00270729"/>
    <w:p w:rsidR="00270729" w:rsidRDefault="00270729" w:rsidP="00270729"/>
    <w:p w:rsidR="00B82B7E" w:rsidRDefault="00B82B7E"/>
    <w:sectPr w:rsidR="00B82B7E" w:rsidSect="008C2179">
      <w:headerReference w:type="default" r:id="rId8"/>
      <w:footerReference w:type="default" r:id="rId9"/>
      <w:headerReference w:type="first" r:id="rId10"/>
      <w:footerReference w:type="first" r:id="rId11"/>
      <w:pgSz w:w="12240" w:h="15840"/>
      <w:pgMar w:top="1418" w:right="1418" w:bottom="1418" w:left="1701" w:header="709" w:footer="10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3F63" w:rsidRDefault="00E13F63" w:rsidP="00270729">
      <w:r>
        <w:separator/>
      </w:r>
    </w:p>
  </w:endnote>
  <w:endnote w:type="continuationSeparator" w:id="0">
    <w:p w:rsidR="00E13F63" w:rsidRDefault="00E13F63" w:rsidP="002707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2179" w:rsidRPr="00A2780F" w:rsidRDefault="00BB1887" w:rsidP="008C2179">
    <w:pPr>
      <w:pStyle w:val="Piedepgina"/>
      <w:jc w:val="right"/>
      <w:rPr>
        <w:rFonts w:ascii="Arial" w:hAnsi="Arial" w:cs="Arial"/>
        <w:sz w:val="20"/>
        <w:szCs w:val="20"/>
      </w:rPr>
    </w:pPr>
    <w:r>
      <w:rPr>
        <w:rFonts w:ascii="Arial" w:hAnsi="Arial" w:cs="Arial"/>
        <w:b/>
        <w:bCs/>
        <w:sz w:val="20"/>
        <w:szCs w:val="20"/>
      </w:rPr>
      <w:t xml:space="preserve">Página </w:t>
    </w:r>
    <w:r w:rsidRPr="00986599">
      <w:rPr>
        <w:rFonts w:ascii="Arial" w:hAnsi="Arial" w:cs="Arial"/>
        <w:b/>
        <w:bCs/>
        <w:sz w:val="20"/>
        <w:szCs w:val="20"/>
      </w:rPr>
      <w:fldChar w:fldCharType="begin"/>
    </w:r>
    <w:r w:rsidRPr="00986599">
      <w:rPr>
        <w:rFonts w:ascii="Arial" w:hAnsi="Arial" w:cs="Arial"/>
        <w:b/>
        <w:bCs/>
        <w:sz w:val="20"/>
        <w:szCs w:val="20"/>
      </w:rPr>
      <w:instrText>PAGE</w:instrText>
    </w:r>
    <w:r w:rsidRPr="00986599">
      <w:rPr>
        <w:rFonts w:ascii="Arial" w:hAnsi="Arial" w:cs="Arial"/>
        <w:b/>
        <w:bCs/>
        <w:sz w:val="20"/>
        <w:szCs w:val="20"/>
      </w:rPr>
      <w:fldChar w:fldCharType="separate"/>
    </w:r>
    <w:r w:rsidR="00FC2E59">
      <w:rPr>
        <w:rFonts w:ascii="Arial" w:hAnsi="Arial" w:cs="Arial"/>
        <w:b/>
        <w:bCs/>
        <w:noProof/>
        <w:sz w:val="20"/>
        <w:szCs w:val="20"/>
      </w:rPr>
      <w:t>20</w:t>
    </w:r>
    <w:r w:rsidRPr="00986599">
      <w:rPr>
        <w:rFonts w:ascii="Arial" w:hAnsi="Arial" w:cs="Arial"/>
        <w:b/>
        <w:bCs/>
        <w:sz w:val="20"/>
        <w:szCs w:val="20"/>
      </w:rPr>
      <w:fldChar w:fldCharType="end"/>
    </w:r>
    <w:r w:rsidRPr="00986599">
      <w:rPr>
        <w:rFonts w:ascii="Arial" w:hAnsi="Arial" w:cs="Arial"/>
        <w:sz w:val="20"/>
        <w:szCs w:val="20"/>
      </w:rPr>
      <w:t xml:space="preserve"> de </w:t>
    </w:r>
    <w:r w:rsidRPr="00986599">
      <w:rPr>
        <w:rFonts w:ascii="Arial" w:hAnsi="Arial" w:cs="Arial"/>
        <w:b/>
        <w:bCs/>
        <w:sz w:val="20"/>
        <w:szCs w:val="20"/>
      </w:rPr>
      <w:fldChar w:fldCharType="begin"/>
    </w:r>
    <w:r w:rsidRPr="00986599">
      <w:rPr>
        <w:rFonts w:ascii="Arial" w:hAnsi="Arial" w:cs="Arial"/>
        <w:b/>
        <w:bCs/>
        <w:sz w:val="20"/>
        <w:szCs w:val="20"/>
      </w:rPr>
      <w:instrText>NUMPAGES</w:instrText>
    </w:r>
    <w:r w:rsidRPr="00986599">
      <w:rPr>
        <w:rFonts w:ascii="Arial" w:hAnsi="Arial" w:cs="Arial"/>
        <w:b/>
        <w:bCs/>
        <w:sz w:val="20"/>
        <w:szCs w:val="20"/>
      </w:rPr>
      <w:fldChar w:fldCharType="separate"/>
    </w:r>
    <w:r w:rsidR="00FC2E59">
      <w:rPr>
        <w:rFonts w:ascii="Arial" w:hAnsi="Arial" w:cs="Arial"/>
        <w:b/>
        <w:bCs/>
        <w:noProof/>
        <w:sz w:val="20"/>
        <w:szCs w:val="20"/>
      </w:rPr>
      <w:t>23</w:t>
    </w:r>
    <w:r w:rsidRPr="00986599">
      <w:rPr>
        <w:rFonts w:ascii="Arial" w:hAnsi="Arial" w:cs="Arial"/>
        <w:b/>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2179" w:rsidRPr="00070856" w:rsidRDefault="00BB1887" w:rsidP="008C2179">
    <w:pPr>
      <w:pStyle w:val="Piedepgina"/>
      <w:jc w:val="right"/>
      <w:rPr>
        <w:rFonts w:ascii="Arial" w:hAnsi="Arial" w:cs="Arial"/>
        <w:sz w:val="20"/>
        <w:szCs w:val="20"/>
      </w:rPr>
    </w:pPr>
    <w:r>
      <w:rPr>
        <w:rFonts w:ascii="Arial" w:hAnsi="Arial" w:cs="Arial"/>
        <w:b/>
        <w:bCs/>
        <w:sz w:val="20"/>
        <w:szCs w:val="20"/>
      </w:rPr>
      <w:t xml:space="preserve">Página </w:t>
    </w:r>
    <w:r w:rsidRPr="00986599">
      <w:rPr>
        <w:rFonts w:ascii="Arial" w:hAnsi="Arial" w:cs="Arial"/>
        <w:b/>
        <w:bCs/>
        <w:sz w:val="20"/>
        <w:szCs w:val="20"/>
      </w:rPr>
      <w:fldChar w:fldCharType="begin"/>
    </w:r>
    <w:r w:rsidRPr="00986599">
      <w:rPr>
        <w:rFonts w:ascii="Arial" w:hAnsi="Arial" w:cs="Arial"/>
        <w:b/>
        <w:bCs/>
        <w:sz w:val="20"/>
        <w:szCs w:val="20"/>
      </w:rPr>
      <w:instrText>PAGE</w:instrText>
    </w:r>
    <w:r w:rsidRPr="00986599">
      <w:rPr>
        <w:rFonts w:ascii="Arial" w:hAnsi="Arial" w:cs="Arial"/>
        <w:b/>
        <w:bCs/>
        <w:sz w:val="20"/>
        <w:szCs w:val="20"/>
      </w:rPr>
      <w:fldChar w:fldCharType="separate"/>
    </w:r>
    <w:r w:rsidR="00FC2E59">
      <w:rPr>
        <w:rFonts w:ascii="Arial" w:hAnsi="Arial" w:cs="Arial"/>
        <w:b/>
        <w:bCs/>
        <w:noProof/>
        <w:sz w:val="20"/>
        <w:szCs w:val="20"/>
      </w:rPr>
      <w:t>1</w:t>
    </w:r>
    <w:r w:rsidRPr="00986599">
      <w:rPr>
        <w:rFonts w:ascii="Arial" w:hAnsi="Arial" w:cs="Arial"/>
        <w:b/>
        <w:bCs/>
        <w:sz w:val="20"/>
        <w:szCs w:val="20"/>
      </w:rPr>
      <w:fldChar w:fldCharType="end"/>
    </w:r>
    <w:r w:rsidRPr="00986599">
      <w:rPr>
        <w:rFonts w:ascii="Arial" w:hAnsi="Arial" w:cs="Arial"/>
        <w:sz w:val="20"/>
        <w:szCs w:val="20"/>
      </w:rPr>
      <w:t xml:space="preserve"> de </w:t>
    </w:r>
    <w:r w:rsidRPr="00986599">
      <w:rPr>
        <w:rFonts w:ascii="Arial" w:hAnsi="Arial" w:cs="Arial"/>
        <w:b/>
        <w:bCs/>
        <w:sz w:val="20"/>
        <w:szCs w:val="20"/>
      </w:rPr>
      <w:fldChar w:fldCharType="begin"/>
    </w:r>
    <w:r w:rsidRPr="00986599">
      <w:rPr>
        <w:rFonts w:ascii="Arial" w:hAnsi="Arial" w:cs="Arial"/>
        <w:b/>
        <w:bCs/>
        <w:sz w:val="20"/>
        <w:szCs w:val="20"/>
      </w:rPr>
      <w:instrText>NUMPAGES</w:instrText>
    </w:r>
    <w:r w:rsidRPr="00986599">
      <w:rPr>
        <w:rFonts w:ascii="Arial" w:hAnsi="Arial" w:cs="Arial"/>
        <w:b/>
        <w:bCs/>
        <w:sz w:val="20"/>
        <w:szCs w:val="20"/>
      </w:rPr>
      <w:fldChar w:fldCharType="separate"/>
    </w:r>
    <w:r w:rsidR="00FC2E59">
      <w:rPr>
        <w:rFonts w:ascii="Arial" w:hAnsi="Arial" w:cs="Arial"/>
        <w:b/>
        <w:bCs/>
        <w:noProof/>
        <w:sz w:val="20"/>
        <w:szCs w:val="20"/>
      </w:rPr>
      <w:t>23</w:t>
    </w:r>
    <w:r w:rsidRPr="00986599">
      <w:rPr>
        <w:rFonts w:ascii="Arial" w:hAnsi="Arial" w:cs="Arial"/>
        <w:b/>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3F63" w:rsidRDefault="00E13F63" w:rsidP="00270729">
      <w:r>
        <w:separator/>
      </w:r>
    </w:p>
  </w:footnote>
  <w:footnote w:type="continuationSeparator" w:id="0">
    <w:p w:rsidR="00E13F63" w:rsidRDefault="00E13F63" w:rsidP="00270729">
      <w:r>
        <w:continuationSeparator/>
      </w:r>
    </w:p>
  </w:footnote>
  <w:footnote w:id="1">
    <w:p w:rsidR="00270729" w:rsidRPr="00911081" w:rsidRDefault="00270729" w:rsidP="00270729">
      <w:pPr>
        <w:jc w:val="both"/>
        <w:rPr>
          <w:rFonts w:ascii="Palatino Linotype" w:hAnsi="Palatino Linotype"/>
          <w:b/>
          <w:bCs/>
          <w:i/>
          <w:sz w:val="16"/>
          <w:szCs w:val="16"/>
        </w:rPr>
      </w:pPr>
      <w:r>
        <w:rPr>
          <w:rStyle w:val="Refdenotaalpie"/>
          <w:rFonts w:asciiTheme="minorHAnsi" w:eastAsiaTheme="minorEastAsia" w:hAnsiTheme="minorHAnsi"/>
          <w:sz w:val="22"/>
          <w:szCs w:val="22"/>
          <w:lang w:val="es-MX" w:eastAsia="en-US"/>
        </w:rPr>
        <w:footnoteRef/>
      </w:r>
      <w:r>
        <w:t xml:space="preserve"> </w:t>
      </w:r>
      <w:r w:rsidRPr="00911081">
        <w:rPr>
          <w:rFonts w:ascii="Palatino Linotype" w:hAnsi="Palatino Linotype"/>
          <w:b/>
          <w:bCs/>
          <w:i/>
          <w:sz w:val="16"/>
          <w:szCs w:val="16"/>
        </w:rPr>
        <w:t>IMPROCEDENCIA Y SOBRESEIMIENTO EN EL JUICIO DE AMPARO. LAS CAUSAS PREVISTAS EN LOS ARTÍCULOS 73 Y 74 DE LA LEY DE LA MATERIA, RESPECTIVAMENTE, NO SON INCOMPATIBLES CON EL ARTÍCULO 25.1 DE LA CONVENCIÓN AMERICANA SOBRE DERECHOS HUMANOS.</w:t>
      </w:r>
    </w:p>
    <w:p w:rsidR="00270729" w:rsidRDefault="00270729" w:rsidP="00270729">
      <w:pPr>
        <w:jc w:val="both"/>
      </w:pPr>
      <w:r w:rsidRPr="00911081">
        <w:rPr>
          <w:rFonts w:ascii="Palatino Linotype" w:hAnsi="Palatino Linotype"/>
          <w:i/>
          <w:sz w:val="16"/>
          <w:szCs w:val="16"/>
        </w:rPr>
        <w:t>Del examen de compatibilidad de los artículos</w:t>
      </w:r>
      <w:r w:rsidRPr="00911081">
        <w:rPr>
          <w:rStyle w:val="apple-converted-space"/>
          <w:rFonts w:ascii="Palatino Linotype" w:hAnsi="Palatino Linotype"/>
          <w:i/>
          <w:sz w:val="16"/>
          <w:szCs w:val="16"/>
        </w:rPr>
        <w:t> </w:t>
      </w:r>
      <w:hyperlink r:id="rId1" w:history="1">
        <w:r w:rsidRPr="00911081">
          <w:rPr>
            <w:rStyle w:val="Hipervnculo"/>
            <w:rFonts w:ascii="Palatino Linotype" w:hAnsi="Palatino Linotype"/>
            <w:i/>
            <w:sz w:val="16"/>
            <w:szCs w:val="16"/>
          </w:rPr>
          <w:t>73 y 74 de la Ley de Amparo</w:t>
        </w:r>
      </w:hyperlink>
      <w:r w:rsidRPr="00911081">
        <w:rPr>
          <w:rStyle w:val="apple-converted-space"/>
          <w:rFonts w:ascii="Palatino Linotype" w:hAnsi="Palatino Linotype"/>
          <w:i/>
          <w:sz w:val="16"/>
          <w:szCs w:val="16"/>
        </w:rPr>
        <w:t> </w:t>
      </w:r>
      <w:r w:rsidRPr="00911081">
        <w:rPr>
          <w:rFonts w:ascii="Palatino Linotype" w:hAnsi="Palatino Linotype"/>
          <w:i/>
          <w:sz w:val="16"/>
          <w:szCs w:val="16"/>
        </w:rPr>
        <w:t>con el artículo</w:t>
      </w:r>
      <w:r w:rsidRPr="00911081">
        <w:rPr>
          <w:rStyle w:val="apple-converted-space"/>
          <w:rFonts w:ascii="Palatino Linotype" w:hAnsi="Palatino Linotype"/>
          <w:i/>
          <w:sz w:val="16"/>
          <w:szCs w:val="16"/>
        </w:rPr>
        <w:t> </w:t>
      </w:r>
      <w:hyperlink r:id="rId2" w:history="1">
        <w:r w:rsidRPr="00911081">
          <w:rPr>
            <w:rStyle w:val="Hipervnculo"/>
            <w:rFonts w:ascii="Palatino Linotype" w:hAnsi="Palatino Linotype"/>
            <w:i/>
            <w:sz w:val="16"/>
            <w:szCs w:val="16"/>
          </w:rPr>
          <w:t>25.1 de la Convención Americana sobre Derechos Humanos</w:t>
        </w:r>
      </w:hyperlink>
      <w:r w:rsidRPr="00911081">
        <w:rPr>
          <w:rStyle w:val="apple-converted-space"/>
          <w:rFonts w:ascii="Palatino Linotype" w:hAnsi="Palatino Linotype"/>
          <w:i/>
          <w:sz w:val="16"/>
          <w:szCs w:val="16"/>
        </w:rPr>
        <w:t> </w:t>
      </w:r>
      <w:r w:rsidRPr="00911081">
        <w:rPr>
          <w:rFonts w:ascii="Palatino Linotype" w:hAnsi="Palatino Linotype"/>
          <w:b/>
          <w:i/>
          <w:sz w:val="16"/>
          <w:szCs w:val="16"/>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911081">
        <w:rPr>
          <w:rFonts w:ascii="Palatino Linotype" w:hAnsi="Palatino Linotype"/>
          <w:i/>
          <w:sz w:val="16"/>
          <w:szCs w:val="16"/>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872" w:type="dxa"/>
      <w:tblInd w:w="1200" w:type="dxa"/>
      <w:tblLayout w:type="fixed"/>
      <w:tblLook w:val="04A0" w:firstRow="1" w:lastRow="0" w:firstColumn="1" w:lastColumn="0" w:noHBand="0" w:noVBand="1"/>
    </w:tblPr>
    <w:tblGrid>
      <w:gridCol w:w="3620"/>
      <w:gridCol w:w="4252"/>
    </w:tblGrid>
    <w:tr w:rsidR="008C2179" w:rsidRPr="008F2CCC" w:rsidTr="008C2179">
      <w:tc>
        <w:tcPr>
          <w:tcW w:w="3620" w:type="dxa"/>
          <w:shd w:val="clear" w:color="auto" w:fill="auto"/>
        </w:tcPr>
        <w:p w:rsidR="008C2179" w:rsidRPr="007E5FC4" w:rsidRDefault="00BB1887" w:rsidP="008C2179">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Recurso de revisión:</w:t>
          </w:r>
        </w:p>
      </w:tc>
      <w:tc>
        <w:tcPr>
          <w:tcW w:w="4252" w:type="dxa"/>
          <w:shd w:val="clear" w:color="auto" w:fill="auto"/>
          <w:vAlign w:val="center"/>
        </w:tcPr>
        <w:p w:rsidR="008C2179" w:rsidRPr="00664658" w:rsidRDefault="00BB1887" w:rsidP="005B6B80">
          <w:pPr>
            <w:spacing w:line="276" w:lineRule="auto"/>
            <w:jc w:val="right"/>
            <w:rPr>
              <w:rFonts w:ascii="Palatino Linotype" w:hAnsi="Palatino Linotype"/>
              <w:b/>
              <w:sz w:val="22"/>
              <w:szCs w:val="22"/>
              <w:lang w:val="es-ES_tradnl"/>
            </w:rPr>
          </w:pPr>
          <w:r>
            <w:rPr>
              <w:rFonts w:ascii="Palatino Linotype" w:hAnsi="Palatino Linotype"/>
              <w:b/>
              <w:sz w:val="22"/>
              <w:szCs w:val="22"/>
              <w:lang w:val="es-ES_tradnl"/>
            </w:rPr>
            <w:t>01</w:t>
          </w:r>
          <w:r w:rsidR="005B6B80">
            <w:rPr>
              <w:rFonts w:ascii="Palatino Linotype" w:hAnsi="Palatino Linotype"/>
              <w:b/>
              <w:sz w:val="22"/>
              <w:szCs w:val="22"/>
              <w:lang w:val="es-ES_tradnl"/>
            </w:rPr>
            <w:t>620</w:t>
          </w:r>
          <w:r>
            <w:rPr>
              <w:rFonts w:ascii="Palatino Linotype" w:hAnsi="Palatino Linotype"/>
              <w:b/>
              <w:sz w:val="22"/>
              <w:szCs w:val="22"/>
              <w:lang w:val="es-ES_tradnl"/>
            </w:rPr>
            <w:t>/INFOEM/IP/RR/202</w:t>
          </w:r>
          <w:r w:rsidR="005B6B80">
            <w:rPr>
              <w:rFonts w:ascii="Palatino Linotype" w:hAnsi="Palatino Linotype"/>
              <w:b/>
              <w:sz w:val="22"/>
              <w:szCs w:val="22"/>
              <w:lang w:val="es-ES_tradnl"/>
            </w:rPr>
            <w:t>6</w:t>
          </w:r>
        </w:p>
      </w:tc>
    </w:tr>
    <w:tr w:rsidR="008C2179" w:rsidRPr="008F2CCC" w:rsidTr="008C2179">
      <w:tc>
        <w:tcPr>
          <w:tcW w:w="3620" w:type="dxa"/>
          <w:shd w:val="clear" w:color="auto" w:fill="auto"/>
        </w:tcPr>
        <w:p w:rsidR="008C2179" w:rsidRPr="007E5FC4" w:rsidRDefault="00BB1887" w:rsidP="008C2179">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Sujeto Obligado:</w:t>
          </w:r>
        </w:p>
      </w:tc>
      <w:tc>
        <w:tcPr>
          <w:tcW w:w="4252" w:type="dxa"/>
          <w:shd w:val="clear" w:color="auto" w:fill="auto"/>
          <w:vAlign w:val="center"/>
        </w:tcPr>
        <w:p w:rsidR="008C2179" w:rsidRPr="00664658" w:rsidRDefault="005B6B80" w:rsidP="008C2179">
          <w:pPr>
            <w:spacing w:line="276" w:lineRule="auto"/>
            <w:jc w:val="right"/>
            <w:rPr>
              <w:rFonts w:ascii="Palatino Linotype" w:hAnsi="Palatino Linotype"/>
              <w:b/>
              <w:sz w:val="22"/>
              <w:szCs w:val="22"/>
              <w:lang w:val="es-ES_tradnl"/>
            </w:rPr>
          </w:pPr>
          <w:r w:rsidRPr="005B6B80">
            <w:rPr>
              <w:rFonts w:ascii="Palatino Linotype" w:hAnsi="Palatino Linotype"/>
              <w:b/>
              <w:sz w:val="22"/>
              <w:szCs w:val="22"/>
            </w:rPr>
            <w:t>Ayuntamiento de Toluca</w:t>
          </w:r>
        </w:p>
      </w:tc>
    </w:tr>
    <w:tr w:rsidR="008C2179" w:rsidRPr="008F2CCC" w:rsidTr="008C2179">
      <w:trPr>
        <w:trHeight w:val="228"/>
      </w:trPr>
      <w:tc>
        <w:tcPr>
          <w:tcW w:w="3620" w:type="dxa"/>
          <w:shd w:val="clear" w:color="auto" w:fill="auto"/>
        </w:tcPr>
        <w:p w:rsidR="008C2179" w:rsidRPr="007E5FC4" w:rsidRDefault="00BB1887" w:rsidP="008C2179">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Comisionado Ponente:</w:t>
          </w:r>
        </w:p>
      </w:tc>
      <w:tc>
        <w:tcPr>
          <w:tcW w:w="4252" w:type="dxa"/>
          <w:shd w:val="clear" w:color="auto" w:fill="auto"/>
        </w:tcPr>
        <w:p w:rsidR="008C2179" w:rsidRPr="00664658" w:rsidRDefault="00BB1887" w:rsidP="008C2179">
          <w:pPr>
            <w:spacing w:line="276" w:lineRule="auto"/>
            <w:jc w:val="right"/>
            <w:rPr>
              <w:rFonts w:ascii="Palatino Linotype" w:hAnsi="Palatino Linotype"/>
              <w:b/>
              <w:sz w:val="22"/>
              <w:szCs w:val="22"/>
              <w:lang w:val="es-ES_tradnl"/>
            </w:rPr>
          </w:pPr>
          <w:r>
            <w:rPr>
              <w:rFonts w:ascii="Palatino Linotype" w:hAnsi="Palatino Linotype"/>
              <w:b/>
              <w:sz w:val="22"/>
              <w:szCs w:val="22"/>
              <w:lang w:val="es-ES_tradnl"/>
            </w:rPr>
            <w:t>José Martínez Vilchis</w:t>
          </w:r>
        </w:p>
      </w:tc>
    </w:tr>
  </w:tbl>
  <w:p w:rsidR="008C2179" w:rsidRDefault="00E13F63" w:rsidP="008C2179">
    <w:pPr>
      <w:pStyle w:val="Encabezado"/>
      <w:tabs>
        <w:tab w:val="clear" w:pos="4252"/>
        <w:tab w:val="clear" w:pos="8504"/>
        <w:tab w:val="left" w:pos="2326"/>
      </w:tabs>
      <w:rPr>
        <w:rFonts w:ascii="Palatino Linotype" w:hAnsi="Palatino Linotype"/>
        <w:sz w:val="20"/>
      </w:rPr>
    </w:pPr>
  </w:p>
  <w:p w:rsidR="008C2179" w:rsidRPr="001779E0" w:rsidRDefault="00BB1887" w:rsidP="008C2179">
    <w:pPr>
      <w:pStyle w:val="Encabezado"/>
      <w:tabs>
        <w:tab w:val="clear" w:pos="4252"/>
        <w:tab w:val="clear" w:pos="8504"/>
        <w:tab w:val="left" w:pos="2326"/>
      </w:tabs>
      <w:rPr>
        <w:rFonts w:ascii="Palatino Linotype" w:hAnsi="Palatino Linotype"/>
        <w:sz w:val="20"/>
      </w:rPr>
    </w:pPr>
    <w:r>
      <w:rPr>
        <w:rFonts w:ascii="Palatino Linotype" w:hAnsi="Palatino Linotype" w:cs="Arial"/>
        <w:b/>
        <w:noProof/>
        <w:szCs w:val="20"/>
        <w:lang w:val="es-MX" w:eastAsia="es-MX"/>
      </w:rPr>
      <w:drawing>
        <wp:anchor distT="0" distB="0" distL="114300" distR="114300" simplePos="0" relativeHeight="251660288" behindDoc="1" locked="0" layoutInCell="0" allowOverlap="1" wp14:anchorId="0022046E" wp14:editId="3410A756">
          <wp:simplePos x="0" y="0"/>
          <wp:positionH relativeFrom="page">
            <wp:align>left</wp:align>
          </wp:positionH>
          <wp:positionV relativeFrom="page">
            <wp:posOffset>35560</wp:posOffset>
          </wp:positionV>
          <wp:extent cx="7705725" cy="10048875"/>
          <wp:effectExtent l="0" t="0" r="9525" b="9525"/>
          <wp:wrapNone/>
          <wp:docPr id="7" name="Imagen 7"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513" w:type="dxa"/>
      <w:tblInd w:w="1635" w:type="dxa"/>
      <w:tblLayout w:type="fixed"/>
      <w:tblLook w:val="04A0" w:firstRow="1" w:lastRow="0" w:firstColumn="1" w:lastColumn="0" w:noHBand="0" w:noVBand="1"/>
    </w:tblPr>
    <w:tblGrid>
      <w:gridCol w:w="2977"/>
      <w:gridCol w:w="4536"/>
    </w:tblGrid>
    <w:tr w:rsidR="008C2179" w:rsidRPr="008F2CCC" w:rsidTr="008C2179">
      <w:tc>
        <w:tcPr>
          <w:tcW w:w="2977" w:type="dxa"/>
          <w:shd w:val="clear" w:color="auto" w:fill="auto"/>
        </w:tcPr>
        <w:p w:rsidR="008C2179" w:rsidRPr="007E5FC4" w:rsidRDefault="00BB1887" w:rsidP="008C2179">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Recurso de revisión:</w:t>
          </w:r>
        </w:p>
      </w:tc>
      <w:tc>
        <w:tcPr>
          <w:tcW w:w="4536" w:type="dxa"/>
          <w:shd w:val="clear" w:color="auto" w:fill="auto"/>
          <w:vAlign w:val="center"/>
        </w:tcPr>
        <w:p w:rsidR="008C2179" w:rsidRPr="008F2CCC" w:rsidRDefault="00BB1887" w:rsidP="005B6B80">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0</w:t>
          </w:r>
          <w:r w:rsidR="005B6B80">
            <w:rPr>
              <w:rFonts w:ascii="Palatino Linotype" w:hAnsi="Palatino Linotype"/>
              <w:b/>
              <w:sz w:val="22"/>
              <w:szCs w:val="22"/>
              <w:lang w:val="es-ES_tradnl"/>
            </w:rPr>
            <w:t>1620</w:t>
          </w:r>
          <w:r>
            <w:rPr>
              <w:rFonts w:ascii="Palatino Linotype" w:hAnsi="Palatino Linotype"/>
              <w:b/>
              <w:sz w:val="22"/>
              <w:szCs w:val="22"/>
              <w:lang w:val="es-ES_tradnl"/>
            </w:rPr>
            <w:t>/INFOEM/IP/RR/202</w:t>
          </w:r>
          <w:r w:rsidR="005B6B80">
            <w:rPr>
              <w:rFonts w:ascii="Palatino Linotype" w:hAnsi="Palatino Linotype"/>
              <w:b/>
              <w:sz w:val="22"/>
              <w:szCs w:val="22"/>
              <w:lang w:val="es-ES_tradnl"/>
            </w:rPr>
            <w:t>6</w:t>
          </w:r>
        </w:p>
      </w:tc>
    </w:tr>
    <w:tr w:rsidR="008C2179" w:rsidRPr="008F2CCC" w:rsidTr="008C2179">
      <w:tc>
        <w:tcPr>
          <w:tcW w:w="2977" w:type="dxa"/>
          <w:shd w:val="clear" w:color="auto" w:fill="auto"/>
          <w:vAlign w:val="center"/>
        </w:tcPr>
        <w:p w:rsidR="008C2179" w:rsidRPr="007E5FC4" w:rsidRDefault="00BB1887" w:rsidP="008C2179">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Recurrente:</w:t>
          </w:r>
        </w:p>
      </w:tc>
      <w:tc>
        <w:tcPr>
          <w:tcW w:w="4536" w:type="dxa"/>
          <w:shd w:val="clear" w:color="auto" w:fill="auto"/>
          <w:vAlign w:val="center"/>
        </w:tcPr>
        <w:p w:rsidR="008C2179" w:rsidRPr="008F2CCC" w:rsidRDefault="00FC2E59" w:rsidP="008C2179">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XXXX</w:t>
          </w:r>
        </w:p>
      </w:tc>
    </w:tr>
    <w:tr w:rsidR="008C2179" w:rsidRPr="008F2CCC" w:rsidTr="008C2179">
      <w:trPr>
        <w:trHeight w:val="228"/>
      </w:trPr>
      <w:tc>
        <w:tcPr>
          <w:tcW w:w="2977" w:type="dxa"/>
          <w:shd w:val="clear" w:color="auto" w:fill="auto"/>
        </w:tcPr>
        <w:p w:rsidR="008C2179" w:rsidRPr="007E5FC4" w:rsidRDefault="00BB1887" w:rsidP="008C2179">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Sujeto Obligado:</w:t>
          </w:r>
        </w:p>
      </w:tc>
      <w:tc>
        <w:tcPr>
          <w:tcW w:w="4536" w:type="dxa"/>
          <w:shd w:val="clear" w:color="auto" w:fill="auto"/>
          <w:vAlign w:val="center"/>
        </w:tcPr>
        <w:p w:rsidR="008C2179" w:rsidRPr="00DC41C8" w:rsidRDefault="00AD22F4" w:rsidP="008C2179">
          <w:pPr>
            <w:spacing w:line="360" w:lineRule="auto"/>
            <w:jc w:val="right"/>
            <w:rPr>
              <w:rFonts w:ascii="Palatino Linotype" w:hAnsi="Palatino Linotype"/>
              <w:b/>
              <w:sz w:val="22"/>
              <w:szCs w:val="22"/>
            </w:rPr>
          </w:pPr>
          <w:r w:rsidRPr="005B6B80">
            <w:rPr>
              <w:rFonts w:ascii="Palatino Linotype" w:hAnsi="Palatino Linotype"/>
              <w:b/>
              <w:sz w:val="22"/>
              <w:szCs w:val="22"/>
              <w:lang w:val="es-ES_tradnl"/>
            </w:rPr>
            <w:t>Ayuntamiento de Toluca</w:t>
          </w:r>
        </w:p>
      </w:tc>
    </w:tr>
    <w:tr w:rsidR="008C2179" w:rsidRPr="008F2CCC" w:rsidTr="008C2179">
      <w:tc>
        <w:tcPr>
          <w:tcW w:w="2977" w:type="dxa"/>
          <w:shd w:val="clear" w:color="auto" w:fill="auto"/>
        </w:tcPr>
        <w:p w:rsidR="008C2179" w:rsidRPr="007E5FC4" w:rsidRDefault="00BB1887" w:rsidP="008C2179">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Comisionado Ponente:</w:t>
          </w:r>
        </w:p>
      </w:tc>
      <w:tc>
        <w:tcPr>
          <w:tcW w:w="4536" w:type="dxa"/>
          <w:shd w:val="clear" w:color="auto" w:fill="auto"/>
        </w:tcPr>
        <w:p w:rsidR="008C2179" w:rsidRPr="008F2CCC" w:rsidRDefault="00BB1887" w:rsidP="008C2179">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José Martínez Vilchis</w:t>
          </w:r>
        </w:p>
      </w:tc>
    </w:tr>
  </w:tbl>
  <w:p w:rsidR="008C2179" w:rsidRPr="009F1AB6" w:rsidRDefault="00BB1887">
    <w:pPr>
      <w:pStyle w:val="Encabezado"/>
      <w:rPr>
        <w:sz w:val="10"/>
      </w:rPr>
    </w:pPr>
    <w:r>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7DF04AA2" wp14:editId="066C2084">
          <wp:simplePos x="0" y="0"/>
          <wp:positionH relativeFrom="page">
            <wp:align>left</wp:align>
          </wp:positionH>
          <wp:positionV relativeFrom="page">
            <wp:align>top</wp:align>
          </wp:positionV>
          <wp:extent cx="7705725" cy="10048875"/>
          <wp:effectExtent l="0" t="0" r="9525" b="9525"/>
          <wp:wrapNone/>
          <wp:docPr id="4" name="Imagen 4"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4A1608"/>
    <w:multiLevelType w:val="hybridMultilevel"/>
    <w:tmpl w:val="E1065DF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D5243B6"/>
    <w:multiLevelType w:val="hybridMultilevel"/>
    <w:tmpl w:val="ACD6FBA0"/>
    <w:lvl w:ilvl="0" w:tplc="810ABD94">
      <w:start w:val="1"/>
      <w:numFmt w:val="upperRoman"/>
      <w:lvlText w:val="%1."/>
      <w:lvlJc w:val="left"/>
      <w:pPr>
        <w:ind w:left="1571" w:hanging="360"/>
      </w:pPr>
      <w:rPr>
        <w:rFonts w:cs="Times New Roman" w:hint="default"/>
      </w:rPr>
    </w:lvl>
    <w:lvl w:ilvl="1" w:tplc="04090019" w:tentative="1">
      <w:start w:val="1"/>
      <w:numFmt w:val="lowerLetter"/>
      <w:lvlText w:val="%2."/>
      <w:lvlJc w:val="left"/>
      <w:pPr>
        <w:ind w:left="2291" w:hanging="360"/>
      </w:pPr>
      <w:rPr>
        <w:rFonts w:cs="Times New Roman"/>
      </w:rPr>
    </w:lvl>
    <w:lvl w:ilvl="2" w:tplc="0409001B" w:tentative="1">
      <w:start w:val="1"/>
      <w:numFmt w:val="lowerRoman"/>
      <w:lvlText w:val="%3."/>
      <w:lvlJc w:val="right"/>
      <w:pPr>
        <w:ind w:left="3011" w:hanging="180"/>
      </w:pPr>
      <w:rPr>
        <w:rFonts w:cs="Times New Roman"/>
      </w:rPr>
    </w:lvl>
    <w:lvl w:ilvl="3" w:tplc="0409000F" w:tentative="1">
      <w:start w:val="1"/>
      <w:numFmt w:val="decimal"/>
      <w:lvlText w:val="%4."/>
      <w:lvlJc w:val="left"/>
      <w:pPr>
        <w:ind w:left="3731" w:hanging="360"/>
      </w:pPr>
      <w:rPr>
        <w:rFonts w:cs="Times New Roman"/>
      </w:rPr>
    </w:lvl>
    <w:lvl w:ilvl="4" w:tplc="04090019" w:tentative="1">
      <w:start w:val="1"/>
      <w:numFmt w:val="lowerLetter"/>
      <w:lvlText w:val="%5."/>
      <w:lvlJc w:val="left"/>
      <w:pPr>
        <w:ind w:left="4451" w:hanging="360"/>
      </w:pPr>
      <w:rPr>
        <w:rFonts w:cs="Times New Roman"/>
      </w:rPr>
    </w:lvl>
    <w:lvl w:ilvl="5" w:tplc="0409001B" w:tentative="1">
      <w:start w:val="1"/>
      <w:numFmt w:val="lowerRoman"/>
      <w:lvlText w:val="%6."/>
      <w:lvlJc w:val="right"/>
      <w:pPr>
        <w:ind w:left="5171" w:hanging="180"/>
      </w:pPr>
      <w:rPr>
        <w:rFonts w:cs="Times New Roman"/>
      </w:rPr>
    </w:lvl>
    <w:lvl w:ilvl="6" w:tplc="0409000F" w:tentative="1">
      <w:start w:val="1"/>
      <w:numFmt w:val="decimal"/>
      <w:lvlText w:val="%7."/>
      <w:lvlJc w:val="left"/>
      <w:pPr>
        <w:ind w:left="5891" w:hanging="360"/>
      </w:pPr>
      <w:rPr>
        <w:rFonts w:cs="Times New Roman"/>
      </w:rPr>
    </w:lvl>
    <w:lvl w:ilvl="7" w:tplc="04090019" w:tentative="1">
      <w:start w:val="1"/>
      <w:numFmt w:val="lowerLetter"/>
      <w:lvlText w:val="%8."/>
      <w:lvlJc w:val="left"/>
      <w:pPr>
        <w:ind w:left="6611" w:hanging="360"/>
      </w:pPr>
      <w:rPr>
        <w:rFonts w:cs="Times New Roman"/>
      </w:rPr>
    </w:lvl>
    <w:lvl w:ilvl="8" w:tplc="0409001B" w:tentative="1">
      <w:start w:val="1"/>
      <w:numFmt w:val="lowerRoman"/>
      <w:lvlText w:val="%9."/>
      <w:lvlJc w:val="right"/>
      <w:pPr>
        <w:ind w:left="7331" w:hanging="180"/>
      </w:pPr>
      <w:rPr>
        <w:rFonts w:cs="Times New Roman"/>
      </w:rPr>
    </w:lvl>
  </w:abstractNum>
  <w:abstractNum w:abstractNumId="2" w15:restartNumberingAfterBreak="0">
    <w:nsid w:val="2C2F523E"/>
    <w:multiLevelType w:val="hybridMultilevel"/>
    <w:tmpl w:val="2EDC11E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3DE40BAA"/>
    <w:multiLevelType w:val="hybridMultilevel"/>
    <w:tmpl w:val="8864D6AE"/>
    <w:lvl w:ilvl="0" w:tplc="BDC23DC8">
      <w:start w:val="1"/>
      <w:numFmt w:val="decimal"/>
      <w:lvlText w:val="%1."/>
      <w:lvlJc w:val="left"/>
      <w:pPr>
        <w:ind w:left="720" w:hanging="360"/>
      </w:pPr>
      <w:rPr>
        <w:rFonts w:cs="Tahoma"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435A09ED"/>
    <w:multiLevelType w:val="hybridMultilevel"/>
    <w:tmpl w:val="FB6E5326"/>
    <w:lvl w:ilvl="0" w:tplc="810ABD94">
      <w:start w:val="1"/>
      <w:numFmt w:val="upperRoman"/>
      <w:lvlText w:val="%1."/>
      <w:lvlJc w:val="left"/>
      <w:pPr>
        <w:ind w:left="1571" w:hanging="360"/>
      </w:pPr>
      <w:rPr>
        <w:rFonts w:cs="Times New Roman" w:hint="default"/>
      </w:rPr>
    </w:lvl>
    <w:lvl w:ilvl="1" w:tplc="04090019" w:tentative="1">
      <w:start w:val="1"/>
      <w:numFmt w:val="lowerLetter"/>
      <w:lvlText w:val="%2."/>
      <w:lvlJc w:val="left"/>
      <w:pPr>
        <w:ind w:left="2291" w:hanging="360"/>
      </w:pPr>
      <w:rPr>
        <w:rFonts w:cs="Times New Roman"/>
      </w:rPr>
    </w:lvl>
    <w:lvl w:ilvl="2" w:tplc="0409001B" w:tentative="1">
      <w:start w:val="1"/>
      <w:numFmt w:val="lowerRoman"/>
      <w:lvlText w:val="%3."/>
      <w:lvlJc w:val="right"/>
      <w:pPr>
        <w:ind w:left="3011" w:hanging="180"/>
      </w:pPr>
      <w:rPr>
        <w:rFonts w:cs="Times New Roman"/>
      </w:rPr>
    </w:lvl>
    <w:lvl w:ilvl="3" w:tplc="0409000F" w:tentative="1">
      <w:start w:val="1"/>
      <w:numFmt w:val="decimal"/>
      <w:lvlText w:val="%4."/>
      <w:lvlJc w:val="left"/>
      <w:pPr>
        <w:ind w:left="3731" w:hanging="360"/>
      </w:pPr>
      <w:rPr>
        <w:rFonts w:cs="Times New Roman"/>
      </w:rPr>
    </w:lvl>
    <w:lvl w:ilvl="4" w:tplc="04090019" w:tentative="1">
      <w:start w:val="1"/>
      <w:numFmt w:val="lowerLetter"/>
      <w:lvlText w:val="%5."/>
      <w:lvlJc w:val="left"/>
      <w:pPr>
        <w:ind w:left="4451" w:hanging="360"/>
      </w:pPr>
      <w:rPr>
        <w:rFonts w:cs="Times New Roman"/>
      </w:rPr>
    </w:lvl>
    <w:lvl w:ilvl="5" w:tplc="0409001B" w:tentative="1">
      <w:start w:val="1"/>
      <w:numFmt w:val="lowerRoman"/>
      <w:lvlText w:val="%6."/>
      <w:lvlJc w:val="right"/>
      <w:pPr>
        <w:ind w:left="5171" w:hanging="180"/>
      </w:pPr>
      <w:rPr>
        <w:rFonts w:cs="Times New Roman"/>
      </w:rPr>
    </w:lvl>
    <w:lvl w:ilvl="6" w:tplc="0409000F" w:tentative="1">
      <w:start w:val="1"/>
      <w:numFmt w:val="decimal"/>
      <w:lvlText w:val="%7."/>
      <w:lvlJc w:val="left"/>
      <w:pPr>
        <w:ind w:left="5891" w:hanging="360"/>
      </w:pPr>
      <w:rPr>
        <w:rFonts w:cs="Times New Roman"/>
      </w:rPr>
    </w:lvl>
    <w:lvl w:ilvl="7" w:tplc="04090019" w:tentative="1">
      <w:start w:val="1"/>
      <w:numFmt w:val="lowerLetter"/>
      <w:lvlText w:val="%8."/>
      <w:lvlJc w:val="left"/>
      <w:pPr>
        <w:ind w:left="6611" w:hanging="360"/>
      </w:pPr>
      <w:rPr>
        <w:rFonts w:cs="Times New Roman"/>
      </w:rPr>
    </w:lvl>
    <w:lvl w:ilvl="8" w:tplc="0409001B" w:tentative="1">
      <w:start w:val="1"/>
      <w:numFmt w:val="lowerRoman"/>
      <w:lvlText w:val="%9."/>
      <w:lvlJc w:val="right"/>
      <w:pPr>
        <w:ind w:left="7331" w:hanging="180"/>
      </w:pPr>
      <w:rPr>
        <w:rFonts w:cs="Times New Roman"/>
      </w:rPr>
    </w:lvl>
  </w:abstractNum>
  <w:abstractNum w:abstractNumId="5" w15:restartNumberingAfterBreak="0">
    <w:nsid w:val="47B779FB"/>
    <w:multiLevelType w:val="hybridMultilevel"/>
    <w:tmpl w:val="39EEB488"/>
    <w:lvl w:ilvl="0" w:tplc="663C978C">
      <w:start w:val="1"/>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4"/>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0729"/>
    <w:rsid w:val="00090414"/>
    <w:rsid w:val="001F66CD"/>
    <w:rsid w:val="00270729"/>
    <w:rsid w:val="00573B5F"/>
    <w:rsid w:val="005B6B80"/>
    <w:rsid w:val="007B4A92"/>
    <w:rsid w:val="008F2C42"/>
    <w:rsid w:val="00AD22F4"/>
    <w:rsid w:val="00AE3E69"/>
    <w:rsid w:val="00B82B7E"/>
    <w:rsid w:val="00BB1887"/>
    <w:rsid w:val="00E13F63"/>
    <w:rsid w:val="00FC2E5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F87ECAC-0AD2-4D28-BB45-F23655FE2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0729"/>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70729"/>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270729"/>
    <w:rPr>
      <w:rFonts w:eastAsiaTheme="minorEastAsia"/>
      <w:sz w:val="24"/>
      <w:szCs w:val="24"/>
      <w:lang w:val="es-ES_tradnl" w:eastAsia="es-ES"/>
    </w:rPr>
  </w:style>
  <w:style w:type="paragraph" w:styleId="Piedepgina">
    <w:name w:val="footer"/>
    <w:basedOn w:val="Normal"/>
    <w:link w:val="PiedepginaCar"/>
    <w:uiPriority w:val="99"/>
    <w:unhideWhenUsed/>
    <w:rsid w:val="00270729"/>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270729"/>
    <w:rPr>
      <w:rFonts w:eastAsiaTheme="minorEastAsia"/>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72"/>
    <w:qFormat/>
    <w:rsid w:val="00270729"/>
    <w:pPr>
      <w:ind w:left="708"/>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72"/>
    <w:qFormat/>
    <w:locked/>
    <w:rsid w:val="00270729"/>
    <w:rPr>
      <w:rFonts w:ascii="Times New Roman" w:eastAsia="Times New Roman" w:hAnsi="Times New Roman" w:cs="Times New Roman"/>
      <w:sz w:val="24"/>
      <w:szCs w:val="24"/>
      <w:lang w:val="es-ES" w:eastAsia="es-ES"/>
    </w:rPr>
  </w:style>
  <w:style w:type="paragraph" w:styleId="Sinespaciado">
    <w:name w:val="No Spacing"/>
    <w:aliases w:val="Francesa,INAI"/>
    <w:link w:val="SinespaciadoCar"/>
    <w:uiPriority w:val="1"/>
    <w:qFormat/>
    <w:rsid w:val="00270729"/>
    <w:pPr>
      <w:spacing w:after="0" w:line="240" w:lineRule="auto"/>
    </w:pPr>
  </w:style>
  <w:style w:type="character" w:customStyle="1" w:styleId="SinespaciadoCar">
    <w:name w:val="Sin espaciado Car"/>
    <w:aliases w:val="Francesa Car,INAI Car"/>
    <w:link w:val="Sinespaciado"/>
    <w:uiPriority w:val="1"/>
    <w:locked/>
    <w:rsid w:val="00270729"/>
  </w:style>
  <w:style w:type="character" w:styleId="Hipervnculo">
    <w:name w:val="Hyperlink"/>
    <w:aliases w:val="Hipervínculo1,Hipervínculo11,Hipervínculo12,Hipervínculo13,Hipervínculo14,Hipervínculo15"/>
    <w:basedOn w:val="Fuentedeprrafopredeter"/>
    <w:uiPriority w:val="99"/>
    <w:unhideWhenUsed/>
    <w:rsid w:val="00270729"/>
    <w:rPr>
      <w:color w:val="0563C1" w:themeColor="hyperlink"/>
      <w:u w:val="single"/>
    </w:rPr>
  </w:style>
  <w:style w:type="paragraph" w:customStyle="1" w:styleId="INFOEM">
    <w:name w:val="INFOEM"/>
    <w:basedOn w:val="Normal"/>
    <w:qFormat/>
    <w:rsid w:val="00270729"/>
    <w:pPr>
      <w:spacing w:before="240" w:after="160" w:line="360" w:lineRule="auto"/>
      <w:ind w:left="851" w:right="851"/>
      <w:jc w:val="both"/>
    </w:pPr>
    <w:rPr>
      <w:rFonts w:ascii="Palatino Linotype" w:eastAsiaTheme="minorHAnsi" w:hAnsi="Palatino Linotype" w:cstheme="minorBidi"/>
      <w:i/>
      <w:sz w:val="22"/>
      <w:szCs w:val="14"/>
      <w:lang w:val="es-MX" w:eastAsia="en-US"/>
    </w:rPr>
  </w:style>
  <w:style w:type="character" w:customStyle="1" w:styleId="apple-converted-space">
    <w:name w:val="apple-converted-space"/>
    <w:basedOn w:val="Fuentedeprrafopredeter"/>
    <w:rsid w:val="00270729"/>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270729"/>
    <w:rPr>
      <w:vertAlign w:val="superscript"/>
    </w:rPr>
  </w:style>
  <w:style w:type="paragraph" w:customStyle="1" w:styleId="infoemcitas">
    <w:name w:val="infoem citas"/>
    <w:basedOn w:val="Normal"/>
    <w:qFormat/>
    <w:rsid w:val="00270729"/>
    <w:pPr>
      <w:spacing w:before="240" w:after="160" w:line="360" w:lineRule="auto"/>
      <w:ind w:left="851" w:right="851"/>
      <w:jc w:val="both"/>
    </w:pPr>
    <w:rPr>
      <w:rFonts w:ascii="Palatino Linotype" w:eastAsiaTheme="minorHAnsi" w:hAnsi="Palatino Linotype" w:cstheme="minorBidi"/>
      <w:i/>
      <w:sz w:val="22"/>
      <w:szCs w:val="22"/>
      <w:lang w:val="es-MX" w:eastAsia="en-US"/>
    </w:rPr>
  </w:style>
  <w:style w:type="table" w:customStyle="1" w:styleId="Tablaconcuadrcula1">
    <w:name w:val="Tabla con cuadrícula1"/>
    <w:basedOn w:val="Tablanormal"/>
    <w:next w:val="Tablaconcuadrcula"/>
    <w:uiPriority w:val="39"/>
    <w:rsid w:val="002707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tas">
    <w:name w:val="Citas"/>
    <w:basedOn w:val="Normal"/>
    <w:qFormat/>
    <w:rsid w:val="00270729"/>
    <w:pPr>
      <w:spacing w:before="240" w:after="160" w:line="360" w:lineRule="auto"/>
      <w:ind w:left="851" w:right="851"/>
      <w:jc w:val="both"/>
    </w:pPr>
    <w:rPr>
      <w:rFonts w:ascii="Palatino Linotype" w:eastAsiaTheme="minorHAnsi" w:hAnsi="Palatino Linotype" w:cs="Arial"/>
      <w:i/>
      <w:sz w:val="22"/>
      <w:szCs w:val="22"/>
      <w:lang w:val="es-MX" w:eastAsia="en-US"/>
    </w:rPr>
  </w:style>
  <w:style w:type="table" w:styleId="Tablaconcuadrcula">
    <w:name w:val="Table Grid"/>
    <w:basedOn w:val="Tablanormal"/>
    <w:uiPriority w:val="39"/>
    <w:rsid w:val="002707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javascript:void(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23</Pages>
  <Words>4969</Words>
  <Characters>27335</Characters>
  <Application>Microsoft Office Word</Application>
  <DocSecurity>0</DocSecurity>
  <Lines>227</Lines>
  <Paragraphs>64</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32240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INFOEM474</dc:creator>
  <cp:keywords/>
  <dc:description/>
  <cp:lastModifiedBy>INFOEM557</cp:lastModifiedBy>
  <cp:revision>7</cp:revision>
  <cp:lastPrinted>2026-04-17T15:28:00Z</cp:lastPrinted>
  <dcterms:created xsi:type="dcterms:W3CDTF">2026-04-06T20:48:00Z</dcterms:created>
  <dcterms:modified xsi:type="dcterms:W3CDTF">2026-04-24T15:44:00Z</dcterms:modified>
</cp:coreProperties>
</file>