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C70C83">
        <w:rPr>
          <w:rFonts w:ascii="Palatino Linotype" w:eastAsia="Palatino Linotype" w:hAnsi="Palatino Linotype" w:cs="Palatino Linotype"/>
          <w:color w:val="000000"/>
          <w:sz w:val="24"/>
          <w:szCs w:val="24"/>
        </w:rPr>
        <w:t>veintidós</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C4F79">
        <w:rPr>
          <w:rFonts w:ascii="Palatino Linotype" w:eastAsia="Palatino Linotype" w:hAnsi="Palatino Linotype" w:cs="Palatino Linotype"/>
          <w:b/>
          <w:sz w:val="24"/>
          <w:szCs w:val="24"/>
        </w:rPr>
        <w:t>3713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A46091">
        <w:rPr>
          <w:rFonts w:ascii="Palatino Linotype" w:eastAsia="Palatino Linotype" w:hAnsi="Palatino Linotype" w:cs="Palatino Linotype"/>
          <w:b/>
          <w:sz w:val="24"/>
          <w:szCs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D25FBF" w:rsidRPr="00D25FBF">
        <w:rPr>
          <w:rFonts w:ascii="Palatino Linotype" w:hAnsi="Palatino Linotype"/>
          <w:b/>
          <w:bCs/>
          <w:color w:val="000000"/>
          <w:sz w:val="24"/>
          <w:szCs w:val="24"/>
        </w:rPr>
        <w:t>Ayuntamiento de Tepotzotlán</w:t>
      </w:r>
      <w:r w:rsidRPr="00463865">
        <w:rPr>
          <w:rFonts w:ascii="Palatino Linotype" w:eastAsia="Palatino Linotype" w:hAnsi="Palatino Linotype" w:cs="Palatino Linotype"/>
          <w:b/>
          <w:sz w:val="24"/>
          <w:szCs w:val="24"/>
        </w:rPr>
        <w:t xml:space="preserve">, </w:t>
      </w:r>
      <w:r w:rsidR="00FF610E">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C4F79">
        <w:rPr>
          <w:rFonts w:ascii="Palatino Linotype" w:eastAsia="Palatino Linotype" w:hAnsi="Palatino Linotype" w:cs="Palatino Linotype"/>
          <w:b/>
          <w:color w:val="000000"/>
          <w:sz w:val="24"/>
          <w:szCs w:val="24"/>
        </w:rPr>
        <w:t>veinticinco</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A56F73">
        <w:rPr>
          <w:rFonts w:ascii="Palatino Linotype" w:eastAsia="Palatino Linotype" w:hAnsi="Palatino Linotype" w:cs="Palatino Linotype"/>
          <w:b/>
          <w:color w:val="000000"/>
          <w:sz w:val="24"/>
          <w:szCs w:val="24"/>
        </w:rPr>
        <w:t>febrero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C4F79">
        <w:rPr>
          <w:rFonts w:ascii="Palatino Linotype" w:eastAsia="Palatino Linotype" w:hAnsi="Palatino Linotype" w:cs="Palatino Linotype"/>
          <w:b/>
          <w:color w:val="000000"/>
          <w:sz w:val="24"/>
          <w:szCs w:val="24"/>
        </w:rPr>
        <w:t>0763</w:t>
      </w:r>
      <w:r w:rsidR="00654638">
        <w:rPr>
          <w:rFonts w:ascii="Palatino Linotype" w:eastAsia="Palatino Linotype" w:hAnsi="Palatino Linotype" w:cs="Palatino Linotype"/>
          <w:b/>
          <w:color w:val="000000"/>
          <w:sz w:val="24"/>
          <w:szCs w:val="24"/>
        </w:rPr>
        <w:t>/</w:t>
      </w:r>
      <w:r w:rsidR="006F5776">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E47592">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C4F79"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0763/TEPOTZOT/IP/2026</w:t>
      </w:r>
      <w:r w:rsidR="00656D21" w:rsidRPr="00463865">
        <w:rPr>
          <w:rFonts w:ascii="Palatino Linotype" w:eastAsia="Palatino Linotype" w:hAnsi="Palatino Linotype" w:cs="Palatino Linotype"/>
          <w:b/>
          <w:color w:val="000000"/>
          <w:sz w:val="24"/>
          <w:szCs w:val="24"/>
        </w:rPr>
        <w:t>:</w:t>
      </w:r>
    </w:p>
    <w:p w:rsidR="009A0E57" w:rsidRPr="00DC4F79"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C4F79">
        <w:rPr>
          <w:rFonts w:ascii="Palatino Linotype" w:eastAsia="Palatino Linotype" w:hAnsi="Palatino Linotype" w:cs="Palatino Linotype"/>
          <w:i/>
          <w:color w:val="000000"/>
          <w:sz w:val="24"/>
          <w:szCs w:val="24"/>
        </w:rPr>
        <w:t>“</w:t>
      </w:r>
      <w:r w:rsidR="00DC4F79" w:rsidRPr="00DC4F79">
        <w:rPr>
          <w:rFonts w:ascii="Palatino Linotype" w:hAnsi="Palatino Linotype"/>
          <w:i/>
          <w:color w:val="000000"/>
          <w:sz w:val="24"/>
          <w:szCs w:val="24"/>
        </w:rPr>
        <w:t>Solicito se informe la distancia exacta en metros que existe entre los accesos del Jardín de Niños Rosa Agazzi EJN0661P y los puestos ambulantes instalados en la 2da Cda Jazmín, indicando método de medición y fecha de verificación.</w:t>
      </w:r>
      <w:r w:rsidR="00FC3C5B" w:rsidRPr="00DC4F79">
        <w:rPr>
          <w:rFonts w:ascii="Palatino Linotype" w:hAnsi="Palatino Linotype"/>
          <w:i/>
          <w:color w:val="000000"/>
          <w:sz w:val="24"/>
          <w:szCs w:val="24"/>
        </w:rPr>
        <w:t xml:space="preserve">” </w:t>
      </w:r>
      <w:r w:rsidR="003B3AF6" w:rsidRPr="00DC4F79">
        <w:rPr>
          <w:rFonts w:ascii="Palatino Linotype" w:hAnsi="Palatino Linotype"/>
          <w:i/>
          <w:color w:val="000000"/>
          <w:sz w:val="24"/>
          <w:szCs w:val="24"/>
        </w:rPr>
        <w:t>(</w:t>
      </w:r>
      <w:r w:rsidRPr="00DC4F79">
        <w:rPr>
          <w:rFonts w:ascii="Palatino Linotype" w:eastAsia="Palatino Linotype" w:hAnsi="Palatino Linotype" w:cs="Palatino Linotype"/>
          <w:i/>
          <w:color w:val="000000"/>
          <w:sz w:val="24"/>
          <w:szCs w:val="24"/>
        </w:rPr>
        <w:t>Sic)</w:t>
      </w:r>
    </w:p>
    <w:p w:rsidR="00072DA9" w:rsidRPr="00A66C55" w:rsidRDefault="00072DA9"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C4F79">
        <w:rPr>
          <w:rFonts w:ascii="Palatino Linotype" w:eastAsia="Palatino Linotype" w:hAnsi="Palatino Linotype" w:cs="Palatino Linotype"/>
          <w:b/>
          <w:color w:val="000000"/>
          <w:sz w:val="24"/>
          <w:szCs w:val="24"/>
        </w:rPr>
        <w:t>cuatro</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DC4F79">
        <w:rPr>
          <w:rFonts w:ascii="Palatino Linotype" w:eastAsia="Palatino Linotype" w:hAnsi="Palatino Linotype" w:cs="Palatino Linotype"/>
          <w:b/>
          <w:color w:val="000000"/>
          <w:sz w:val="24"/>
          <w:szCs w:val="24"/>
        </w:rPr>
        <w:t>abril</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C4F79">
        <w:rPr>
          <w:rFonts w:ascii="Palatino Linotype" w:eastAsia="Palatino Linotype" w:hAnsi="Palatino Linotype" w:cs="Palatino Linotype"/>
          <w:b/>
          <w:sz w:val="24"/>
          <w:szCs w:val="24"/>
        </w:rPr>
        <w:t>3713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DC4F79" w:rsidRDefault="00331433" w:rsidP="006B375B">
      <w:pPr>
        <w:ind w:left="633"/>
        <w:jc w:val="both"/>
        <w:rPr>
          <w:rFonts w:ascii="Palatino Linotype" w:eastAsia="Times New Roman" w:hAnsi="Palatino Linotype" w:cs="Times New Roman"/>
          <w:i/>
          <w:sz w:val="24"/>
          <w:szCs w:val="24"/>
          <w:lang w:val="es-MX"/>
        </w:rPr>
      </w:pPr>
      <w:r w:rsidRPr="00DC4F79">
        <w:rPr>
          <w:rFonts w:ascii="Palatino Linotype" w:eastAsia="Palatino Linotype" w:hAnsi="Palatino Linotype" w:cs="Palatino Linotype"/>
          <w:i/>
          <w:color w:val="000000"/>
          <w:sz w:val="24"/>
          <w:szCs w:val="24"/>
        </w:rPr>
        <w:t>“</w:t>
      </w:r>
      <w:r w:rsidR="00DC4F79" w:rsidRPr="00DC4F79">
        <w:rPr>
          <w:rFonts w:ascii="Palatino Linotype" w:hAnsi="Palatino Linotype"/>
          <w:i/>
          <w:color w:val="000000"/>
          <w:sz w:val="24"/>
          <w:szCs w:val="24"/>
        </w:rPr>
        <w:t>Solicito se informe la distancia exacta en metros que existe entre los accesos del Jardín de Niños Rosa Agazzi EJN0661P y los puestos ambulantes instalados en la 2da Cda Jazmín, indicando método de medición y fecha de verificación</w:t>
      </w:r>
      <w:r w:rsidR="00072DA9" w:rsidRPr="00DC4F79">
        <w:rPr>
          <w:rFonts w:ascii="Palatino Linotype" w:hAnsi="Palatino Linotype"/>
          <w:i/>
          <w:color w:val="000000"/>
          <w:sz w:val="24"/>
          <w:szCs w:val="24"/>
        </w:rPr>
        <w:t>.</w:t>
      </w:r>
      <w:r w:rsidR="0004750F" w:rsidRPr="00DC4F79">
        <w:rPr>
          <w:rFonts w:ascii="Palatino Linotype" w:hAnsi="Palatino Linotype"/>
          <w:i/>
          <w:color w:val="000000"/>
          <w:sz w:val="24"/>
          <w:szCs w:val="24"/>
        </w:rPr>
        <w:t>”</w:t>
      </w:r>
      <w:r w:rsidR="00071A60" w:rsidRPr="00DC4F79">
        <w:rPr>
          <w:rFonts w:ascii="Palatino Linotype" w:hAnsi="Palatino Linotype"/>
          <w:i/>
          <w:color w:val="000000"/>
          <w:sz w:val="24"/>
          <w:szCs w:val="24"/>
        </w:rPr>
        <w:t xml:space="preserve"> </w:t>
      </w:r>
      <w:r w:rsidR="009D2402" w:rsidRPr="00DC4F79">
        <w:rPr>
          <w:rFonts w:ascii="Palatino Linotype" w:hAnsi="Palatino Linotype"/>
          <w:i/>
          <w:color w:val="000000"/>
          <w:sz w:val="24"/>
          <w:szCs w:val="24"/>
        </w:rPr>
        <w:t>(</w:t>
      </w:r>
      <w:r w:rsidRPr="00DC4F79">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C70C83" w:rsidRPr="006F5776" w:rsidRDefault="00C70C83" w:rsidP="00C70C83">
      <w:pPr>
        <w:pStyle w:val="Prrafodelista"/>
        <w:ind w:left="720"/>
        <w:jc w:val="both"/>
        <w:rPr>
          <w:rFonts w:ascii="Palatino Linotype" w:hAnsi="Palatino Linotype"/>
          <w:i/>
          <w:lang w:val="es-MX"/>
        </w:rPr>
      </w:pPr>
      <w:r w:rsidRPr="006F5776">
        <w:rPr>
          <w:rFonts w:ascii="Palatino Linotype" w:eastAsia="Palatino Linotype" w:hAnsi="Palatino Linotype" w:cs="Palatino Linotype"/>
          <w:i/>
          <w:color w:val="000000"/>
        </w:rPr>
        <w:t>“</w:t>
      </w:r>
      <w:r w:rsidR="006F5776" w:rsidRPr="006F5776">
        <w:rPr>
          <w:rFonts w:ascii="Palatino Linotype" w:hAnsi="Palatino Linotype"/>
          <w:i/>
          <w:color w:val="000000"/>
        </w:rPr>
        <w:t xml:space="preserve">El H. Ayuntamiento de Tepotzotlán incurrió en una omisión absoluta, reiterada y jurídicamente grave, al no emitir respuesta dentro del plazo legal establecido a la solicitud de información presentada, configurándose de manera automática la figura de negativa ficta, en perjuicio directo de mi derecho humano de acceso a la información pública. Dicha omisión no constituye una simple irregularidad, sino una conducta administrativa ilegal y sancionable, que vulnera de manera directa los principios de legalidad, máxima publicidad, exhaustividad, certeza jurídica, rendición de cuentas y transparencia gubernamental. El Sujeto Obligado incumplió de forma total el procedimiento previsto en la Ley de Transparencia y Acceso a la Información Pública del Estado de México y Municipios, al no: emitir respuesta dentro del plazo legal; acreditar búsqueda exhaustiva en archivos físicos, electrónicos o administrativos; fundar ni motivar inexistencia, clasificación o reserva de la información; turnar la solicitud a las áreas competentes; justificar ampliación de plazo conforme a derecho. Esta conducta constituye una obstrucción directa, material y sancionable del derecho de acceso a la información, generando un estado de indefensión al no existir resolución administrativa válida. Asimismo, la naturaleza de la información solicitada, al derivar del ejercicio de funciones públicas, implica que debe obrar en archivos institucionales, por lo que la omisión de respuesta genera una presunción razonable de </w:t>
      </w:r>
      <w:r w:rsidR="006F5776" w:rsidRPr="006F5776">
        <w:rPr>
          <w:rFonts w:ascii="Palatino Linotype" w:hAnsi="Palatino Linotype"/>
          <w:i/>
          <w:color w:val="000000"/>
        </w:rPr>
        <w:lastRenderedPageBreak/>
        <w:t>opacidad institucional o deficiencia grave en la gestión documental. El actuar del Sujeto Obligado transgrede los artículos 6° y 8° de la Constitución Política de los Estados Unidos Mexicanos, así como diversas disposiciones de la Ley de Transparencia y Acceso a la Información Pública del Estado de México y Municipios, que obligan a: tramitar y resolver solicitudes de información; realizar búsqueda exhaustiva y documentada; emitir respuesta fundada y motivada dentro del plazo legal; garantizar el acceso efectivo a la información pública. El incumplimiento de dichas obligaciones constituye una falta administrativa grave, susceptible de sanción conforme al régimen de responsabilidades de los servidores públicos. La conducta del H. Ayuntamiento de Tepotzotlán debe calificarse como: omisión total de respuesta (negativa ficta); incumplimiento grave y reiterado de obligaciones en materia de transparencia; obstrucción del ejercicio de un derecho humano. Dicha conducta es plenamente sancionable y genera responsabilidad administrativa directa para los servidores públicos involucrados. Por lo anteriormente expuesto, solicito a ese Órgano Garante: Se declare fundada la omisión del Sujeto Obligado, reconociendo la configuración de la negativa ficta. Se ordene la emisión inmediata de una respuesta, debidamente fundada y motivada, garantizando la realización de una búsqueda exhaustiva en todas las unidades administrativas competentes. Se ordene la entrega íntegra de la información solicitada, bajo el principio de máxima publicidad. Se aperciba formalmente a la Unidad de Transparencia, por el incumplimiento de sus obligaciones legales. Se dé vista al Órgano Interno de Control, para que inicie el procedimiento de responsabilidad administrativa correspondiente contra los servidores públicos involucrados. Se impongan medidas de apremio, incluyendo multa, conforme a la legislación aplicable, ante la omisión de respuesta y la obstrucción del derecho de acceso a la información. Se consideren antecedentes de incumplimiento, en caso de existir, como agravantes para efectos de la imposición de sanciones. La omisión de respuesta por parte del Sujeto Obligado no solo vulnera un derecho humano, sino que compromete el sistema de rendición de cuentas y transparencia, al impedir el acceso a información generada con recursos públicos. Por lo anterior, se solicita la intervención firme de ese Instituto, a efecto de restituir plenamente el derecho vulnerado, aplicar las medidas de apremio correspondientes y sancionar la conducta omisiva, a fin de inhibir su repetición</w:t>
      </w:r>
      <w:r w:rsidRPr="006F5776">
        <w:rPr>
          <w:rFonts w:ascii="Palatino Linotype" w:hAnsi="Palatino Linotype"/>
          <w:i/>
          <w:color w:val="000000"/>
        </w:rPr>
        <w:t>.” (</w:t>
      </w:r>
      <w:r w:rsidRPr="006F5776">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A1127">
        <w:rPr>
          <w:rFonts w:ascii="Palatino Linotype" w:eastAsia="Palatino Linotype" w:hAnsi="Palatino Linotype" w:cs="Palatino Linotype"/>
          <w:b/>
          <w:color w:val="000000"/>
          <w:sz w:val="24"/>
          <w:szCs w:val="24"/>
        </w:rPr>
        <w:t>se</w:t>
      </w:r>
      <w:r w:rsidR="00625DED">
        <w:rPr>
          <w:rFonts w:ascii="Palatino Linotype" w:eastAsia="Palatino Linotype" w:hAnsi="Palatino Linotype" w:cs="Palatino Linotype"/>
          <w:b/>
          <w:color w:val="000000"/>
          <w:sz w:val="24"/>
          <w:szCs w:val="24"/>
        </w:rPr>
        <w:t>is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9A1127">
        <w:rPr>
          <w:rFonts w:ascii="Palatino Linotype" w:eastAsia="Palatino Linotype" w:hAnsi="Palatino Linotype" w:cs="Palatino Linotype"/>
          <w:b/>
          <w:color w:val="000000"/>
          <w:sz w:val="24"/>
          <w:szCs w:val="24"/>
        </w:rPr>
        <w:t>abril</w:t>
      </w:r>
      <w:r w:rsidR="002A34A1" w:rsidRPr="00F569B3">
        <w:rPr>
          <w:rFonts w:ascii="Palatino Linotype" w:eastAsia="Palatino Linotype" w:hAnsi="Palatino Linotype" w:cs="Palatino Linotype"/>
          <w:b/>
          <w:color w:val="000000"/>
          <w:sz w:val="24"/>
          <w:szCs w:val="24"/>
        </w:rPr>
        <w:t xml:space="preserve"> de dos mil </w:t>
      </w:r>
      <w:r w:rsidR="002A34A1" w:rsidRPr="00F569B3">
        <w:rPr>
          <w:rFonts w:ascii="Palatino Linotype" w:eastAsia="Palatino Linotype" w:hAnsi="Palatino Linotype" w:cs="Palatino Linotype"/>
          <w:b/>
          <w:color w:val="000000"/>
          <w:sz w:val="24"/>
          <w:szCs w:val="24"/>
        </w:rPr>
        <w:lastRenderedPageBreak/>
        <w:t>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6F5776">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C70C83">
        <w:rPr>
          <w:rFonts w:ascii="Palatino Linotype" w:eastAsia="Palatino Linotype" w:hAnsi="Palatino Linotype" w:cs="Palatino Linotype"/>
          <w:b/>
          <w:color w:val="000000"/>
          <w:sz w:val="24"/>
          <w:szCs w:val="24"/>
        </w:rPr>
        <w:t>dieciséis</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lastRenderedPageBreak/>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w:t>
      </w:r>
      <w:r w:rsidRPr="00463865">
        <w:rPr>
          <w:rFonts w:ascii="Palatino Linotype" w:eastAsia="Palatino Linotype" w:hAnsi="Palatino Linotype" w:cs="Palatino Linotype"/>
          <w:color w:val="000000"/>
          <w:sz w:val="24"/>
          <w:szCs w:val="24"/>
        </w:rPr>
        <w:lastRenderedPageBreak/>
        <w:t xml:space="preserve">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463865">
        <w:rPr>
          <w:rFonts w:ascii="Palatino Linotype" w:eastAsia="Palatino Linotype" w:hAnsi="Palatino Linotype" w:cs="Palatino Linotype"/>
          <w:color w:val="000000"/>
          <w:sz w:val="24"/>
          <w:szCs w:val="24"/>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w:t>
      </w:r>
      <w:r w:rsidRPr="00463865">
        <w:rPr>
          <w:rFonts w:ascii="Palatino Linotype" w:eastAsia="Palatino Linotype" w:hAnsi="Palatino Linotype" w:cs="Palatino Linotype"/>
          <w:color w:val="000000"/>
          <w:sz w:val="24"/>
          <w:szCs w:val="24"/>
        </w:rPr>
        <w:lastRenderedPageBreak/>
        <w:t xml:space="preserve">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w:t>
      </w:r>
      <w:r w:rsidRPr="00463865">
        <w:rPr>
          <w:rFonts w:ascii="Palatino Linotype" w:eastAsia="Palatino Linotype" w:hAnsi="Palatino Linotype" w:cs="Palatino Linotype"/>
          <w:color w:val="000000"/>
          <w:sz w:val="24"/>
          <w:szCs w:val="24"/>
        </w:rPr>
        <w:lastRenderedPageBreak/>
        <w:t>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F610E" w:rsidRPr="00463865" w:rsidRDefault="00FF610E" w:rsidP="00FF610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C4F79" w:rsidRPr="00463865">
        <w:rPr>
          <w:rFonts w:ascii="Palatino Linotype" w:eastAsia="Palatino Linotype" w:hAnsi="Palatino Linotype" w:cs="Palatino Linotype"/>
          <w:b/>
          <w:color w:val="000000"/>
          <w:sz w:val="24"/>
          <w:szCs w:val="24"/>
        </w:rPr>
        <w:t>0</w:t>
      </w:r>
      <w:r w:rsidR="00DC4F79">
        <w:rPr>
          <w:rFonts w:ascii="Palatino Linotype" w:eastAsia="Palatino Linotype" w:hAnsi="Palatino Linotype" w:cs="Palatino Linotype"/>
          <w:b/>
          <w:color w:val="000000"/>
          <w:sz w:val="24"/>
          <w:szCs w:val="24"/>
        </w:rPr>
        <w:t>0763/TEPOTZOT/IP/2026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6F5776">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C4F79" w:rsidRPr="00463865">
        <w:rPr>
          <w:rFonts w:ascii="Palatino Linotype" w:eastAsia="Palatino Linotype" w:hAnsi="Palatino Linotype" w:cs="Palatino Linotype"/>
          <w:b/>
          <w:color w:val="000000"/>
          <w:sz w:val="24"/>
          <w:szCs w:val="24"/>
        </w:rPr>
        <w:t>0</w:t>
      </w:r>
      <w:r w:rsidR="00DC4F79">
        <w:rPr>
          <w:rFonts w:ascii="Palatino Linotype" w:eastAsia="Palatino Linotype" w:hAnsi="Palatino Linotype" w:cs="Palatino Linotype"/>
          <w:b/>
          <w:color w:val="000000"/>
          <w:sz w:val="24"/>
          <w:szCs w:val="24"/>
        </w:rPr>
        <w:t>0763/TEPOTZOT/IP/2026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w:t>
      </w:r>
      <w:r w:rsidRPr="00463865">
        <w:rPr>
          <w:rFonts w:ascii="Palatino Linotype" w:eastAsia="Palatino Linotype" w:hAnsi="Palatino Linotype" w:cs="Palatino Linotype"/>
          <w:sz w:val="24"/>
          <w:szCs w:val="24"/>
        </w:rPr>
        <w:lastRenderedPageBreak/>
        <w:t>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w:t>
      </w:r>
      <w:r w:rsidR="006F5776">
        <w:rPr>
          <w:rFonts w:ascii="Palatino Linotype" w:eastAsia="Palatino Linotype" w:hAnsi="Palatino Linotype" w:cs="Palatino Linotype"/>
          <w:b/>
          <w:sz w:val="24"/>
          <w:szCs w:val="24"/>
        </w:rPr>
        <w:t xml:space="preserve"> </w:t>
      </w:r>
      <w:r w:rsidR="00071A60">
        <w:rPr>
          <w:rFonts w:ascii="Palatino Linotype" w:eastAsia="Palatino Linotype" w:hAnsi="Palatino Linotype" w:cs="Palatino Linotype"/>
          <w:b/>
          <w:sz w:val="24"/>
          <w:szCs w:val="24"/>
        </w:rPr>
        <w:t>L</w:t>
      </w:r>
      <w:r w:rsidR="006F5776">
        <w:rPr>
          <w:rFonts w:ascii="Palatino Linotype" w:eastAsia="Palatino Linotype" w:hAnsi="Palatino Linotype" w:cs="Palatino Linotype"/>
          <w:b/>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w:t>
      </w:r>
      <w:r w:rsidRPr="008B0A4E">
        <w:rPr>
          <w:rFonts w:ascii="Palatino Linotype" w:hAnsi="Palatino Linotype" w:cs="Palatino Linotype"/>
          <w:sz w:val="24"/>
        </w:rPr>
        <w:lastRenderedPageBreak/>
        <w:t>POR LOS COMISIONADOS JOSÉ MARTÍNEZ VILCHIS, MARÍA DEL ROSARIO MEJÍA AYALA, SHARON CRISTINA MORALES MARTÍNEZ, LUIS GUSTAVO PARRA NORIEGA Y GUADALUPE RA</w:t>
      </w:r>
      <w:r w:rsidR="00C70C83">
        <w:rPr>
          <w:rFonts w:ascii="Palatino Linotype" w:hAnsi="Palatino Linotype" w:cs="Palatino Linotype"/>
          <w:sz w:val="24"/>
        </w:rPr>
        <w:t>MÍREZ PEÑA; EN LA DÉCIMA CUARTA</w:t>
      </w:r>
      <w:r w:rsidRPr="008B0A4E">
        <w:rPr>
          <w:rFonts w:ascii="Palatino Linotype" w:hAnsi="Palatino Linotype" w:cs="Palatino Linotype"/>
          <w:sz w:val="24"/>
        </w:rPr>
        <w:t xml:space="preserve"> SESIÓN ORDINARIA, CELEBRADA EL </w:t>
      </w:r>
      <w:r w:rsidR="00C70C83">
        <w:rPr>
          <w:rFonts w:ascii="Palatino Linotype" w:hAnsi="Palatino Linotype" w:cs="Palatino Linotype"/>
          <w:sz w:val="24"/>
        </w:rPr>
        <w:t>VEINTIDÓS (22</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FF610E">
      <w:headerReference w:type="default" r:id="rId9"/>
      <w:footerReference w:type="default" r:id="rId10"/>
      <w:headerReference w:type="first" r:id="rId11"/>
      <w:footerReference w:type="first" r:id="rId12"/>
      <w:pgSz w:w="12240" w:h="15840"/>
      <w:pgMar w:top="2127"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6FB" w:rsidRDefault="002D76FB">
      <w:pPr>
        <w:spacing w:after="0" w:line="240" w:lineRule="auto"/>
      </w:pPr>
      <w:r>
        <w:separator/>
      </w:r>
    </w:p>
  </w:endnote>
  <w:endnote w:type="continuationSeparator" w:id="0">
    <w:p w:rsidR="002D76FB" w:rsidRDefault="002D7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4609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46091">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FF610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FF610E">
      <w:rPr>
        <w:rFonts w:ascii="Palatino Linotype" w:eastAsia="Palatino Linotype" w:hAnsi="Palatino Linotype" w:cs="Palatino Linotype"/>
        <w:color w:val="000000"/>
        <w:szCs w:val="20"/>
      </w:rPr>
      <w:t xml:space="preserve">Página </w:t>
    </w:r>
    <w:r w:rsidRPr="00FF610E">
      <w:rPr>
        <w:rFonts w:ascii="Palatino Linotype" w:eastAsia="Palatino Linotype" w:hAnsi="Palatino Linotype" w:cs="Palatino Linotype"/>
        <w:color w:val="000000"/>
        <w:szCs w:val="20"/>
      </w:rPr>
      <w:fldChar w:fldCharType="begin"/>
    </w:r>
    <w:r w:rsidRPr="00FF610E">
      <w:rPr>
        <w:rFonts w:ascii="Palatino Linotype" w:eastAsia="Palatino Linotype" w:hAnsi="Palatino Linotype" w:cs="Palatino Linotype"/>
        <w:color w:val="000000"/>
        <w:szCs w:val="20"/>
      </w:rPr>
      <w:instrText>PAGE</w:instrText>
    </w:r>
    <w:r w:rsidRPr="00FF610E">
      <w:rPr>
        <w:rFonts w:ascii="Palatino Linotype" w:eastAsia="Palatino Linotype" w:hAnsi="Palatino Linotype" w:cs="Palatino Linotype"/>
        <w:color w:val="000000"/>
        <w:szCs w:val="20"/>
      </w:rPr>
      <w:fldChar w:fldCharType="separate"/>
    </w:r>
    <w:r w:rsidR="00A46091">
      <w:rPr>
        <w:rFonts w:ascii="Palatino Linotype" w:eastAsia="Palatino Linotype" w:hAnsi="Palatino Linotype" w:cs="Palatino Linotype"/>
        <w:noProof/>
        <w:color w:val="000000"/>
        <w:szCs w:val="20"/>
      </w:rPr>
      <w:t>1</w:t>
    </w:r>
    <w:r w:rsidRPr="00FF610E">
      <w:rPr>
        <w:rFonts w:ascii="Palatino Linotype" w:eastAsia="Palatino Linotype" w:hAnsi="Palatino Linotype" w:cs="Palatino Linotype"/>
        <w:color w:val="000000"/>
        <w:szCs w:val="20"/>
      </w:rPr>
      <w:fldChar w:fldCharType="end"/>
    </w:r>
    <w:r w:rsidRPr="00FF610E">
      <w:rPr>
        <w:rFonts w:ascii="Palatino Linotype" w:eastAsia="Palatino Linotype" w:hAnsi="Palatino Linotype" w:cs="Palatino Linotype"/>
        <w:color w:val="000000"/>
        <w:szCs w:val="20"/>
      </w:rPr>
      <w:t xml:space="preserve"> de </w:t>
    </w:r>
    <w:r w:rsidRPr="00FF610E">
      <w:rPr>
        <w:rFonts w:ascii="Palatino Linotype" w:eastAsia="Palatino Linotype" w:hAnsi="Palatino Linotype" w:cs="Palatino Linotype"/>
        <w:color w:val="000000"/>
        <w:szCs w:val="20"/>
      </w:rPr>
      <w:fldChar w:fldCharType="begin"/>
    </w:r>
    <w:r w:rsidRPr="00FF610E">
      <w:rPr>
        <w:rFonts w:ascii="Palatino Linotype" w:eastAsia="Palatino Linotype" w:hAnsi="Palatino Linotype" w:cs="Palatino Linotype"/>
        <w:color w:val="000000"/>
        <w:szCs w:val="20"/>
      </w:rPr>
      <w:instrText>NUMPAGES</w:instrText>
    </w:r>
    <w:r w:rsidRPr="00FF610E">
      <w:rPr>
        <w:rFonts w:ascii="Palatino Linotype" w:eastAsia="Palatino Linotype" w:hAnsi="Palatino Linotype" w:cs="Palatino Linotype"/>
        <w:color w:val="000000"/>
        <w:szCs w:val="20"/>
      </w:rPr>
      <w:fldChar w:fldCharType="separate"/>
    </w:r>
    <w:r w:rsidR="00A46091">
      <w:rPr>
        <w:rFonts w:ascii="Palatino Linotype" w:eastAsia="Palatino Linotype" w:hAnsi="Palatino Linotype" w:cs="Palatino Linotype"/>
        <w:noProof/>
        <w:color w:val="000000"/>
        <w:szCs w:val="20"/>
      </w:rPr>
      <w:t>15</w:t>
    </w:r>
    <w:r w:rsidRPr="00FF610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6FB" w:rsidRDefault="002D76FB">
      <w:pPr>
        <w:spacing w:after="0" w:line="240" w:lineRule="auto"/>
      </w:pPr>
      <w:r>
        <w:separator/>
      </w:r>
    </w:p>
  </w:footnote>
  <w:footnote w:type="continuationSeparator" w:id="0">
    <w:p w:rsidR="002D76FB" w:rsidRDefault="002D76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FF610E">
      <w:trPr>
        <w:trHeight w:val="227"/>
      </w:trPr>
      <w:tc>
        <w:tcPr>
          <w:tcW w:w="5246" w:type="dxa"/>
        </w:tcPr>
        <w:p w:rsidR="003D4DD1" w:rsidRPr="00FF610E" w:rsidRDefault="003D4DD1" w:rsidP="00FF610E">
          <w:pPr>
            <w:spacing w:after="0" w:line="256" w:lineRule="auto"/>
            <w:ind w:right="204"/>
            <w:jc w:val="right"/>
            <w:rPr>
              <w:rFonts w:ascii="Palatino Linotype" w:eastAsia="Palatino Linotype" w:hAnsi="Palatino Linotype" w:cs="Palatino Linotype"/>
              <w:b/>
              <w:sz w:val="24"/>
            </w:rPr>
          </w:pPr>
          <w:r w:rsidRPr="00FF610E">
            <w:rPr>
              <w:rFonts w:ascii="Palatino Linotype" w:eastAsia="Palatino Linotype" w:hAnsi="Palatino Linotype" w:cs="Palatino Linotype"/>
              <w:b/>
              <w:sz w:val="24"/>
            </w:rPr>
            <w:t>Recurso de Revisión:</w:t>
          </w:r>
        </w:p>
      </w:tc>
      <w:tc>
        <w:tcPr>
          <w:tcW w:w="4819" w:type="dxa"/>
        </w:tcPr>
        <w:p w:rsidR="003D4DD1" w:rsidRPr="00FF610E" w:rsidRDefault="00DC4F79" w:rsidP="00FF610E">
          <w:pPr>
            <w:spacing w:after="0" w:line="256" w:lineRule="auto"/>
            <w:ind w:right="214"/>
            <w:rPr>
              <w:rFonts w:ascii="Palatino Linotype" w:eastAsia="Palatino Linotype" w:hAnsi="Palatino Linotype" w:cs="Palatino Linotype"/>
              <w:sz w:val="24"/>
            </w:rPr>
          </w:pPr>
          <w:r w:rsidRPr="00FF610E">
            <w:rPr>
              <w:rFonts w:ascii="Palatino Linotype" w:eastAsia="Palatino Linotype" w:hAnsi="Palatino Linotype" w:cs="Palatino Linotype"/>
              <w:sz w:val="24"/>
            </w:rPr>
            <w:t>3713/INFOEM/IP/RR/2026</w:t>
          </w:r>
        </w:p>
      </w:tc>
    </w:tr>
    <w:tr w:rsidR="003D4DD1" w:rsidTr="00FF610E">
      <w:trPr>
        <w:trHeight w:val="242"/>
      </w:trPr>
      <w:tc>
        <w:tcPr>
          <w:tcW w:w="5246" w:type="dxa"/>
        </w:tcPr>
        <w:p w:rsidR="003D4DD1" w:rsidRPr="00FF610E" w:rsidRDefault="003D4DD1" w:rsidP="00FF610E">
          <w:pPr>
            <w:spacing w:after="0" w:line="256" w:lineRule="auto"/>
            <w:ind w:right="204"/>
            <w:jc w:val="right"/>
            <w:rPr>
              <w:rFonts w:ascii="Palatino Linotype" w:eastAsia="Palatino Linotype" w:hAnsi="Palatino Linotype" w:cs="Palatino Linotype"/>
              <w:b/>
              <w:sz w:val="24"/>
            </w:rPr>
          </w:pPr>
          <w:r w:rsidRPr="00FF610E">
            <w:rPr>
              <w:rFonts w:ascii="Palatino Linotype" w:eastAsia="Palatino Linotype" w:hAnsi="Palatino Linotype" w:cs="Palatino Linotype"/>
              <w:b/>
              <w:sz w:val="24"/>
            </w:rPr>
            <w:t>Sujeto Obligado:</w:t>
          </w:r>
        </w:p>
      </w:tc>
      <w:tc>
        <w:tcPr>
          <w:tcW w:w="4819" w:type="dxa"/>
        </w:tcPr>
        <w:p w:rsidR="003D4DD1" w:rsidRPr="00FF610E" w:rsidRDefault="00654C9A" w:rsidP="00FF610E">
          <w:pPr>
            <w:spacing w:after="0" w:line="256" w:lineRule="auto"/>
            <w:ind w:right="1207"/>
            <w:rPr>
              <w:rFonts w:ascii="Palatino Linotype" w:hAnsi="Palatino Linotype"/>
              <w:bCs/>
              <w:color w:val="000000"/>
              <w:sz w:val="24"/>
            </w:rPr>
          </w:pPr>
          <w:r w:rsidRPr="00FF610E">
            <w:rPr>
              <w:rFonts w:ascii="Palatino Linotype" w:hAnsi="Palatino Linotype"/>
              <w:bCs/>
              <w:color w:val="000000"/>
              <w:sz w:val="24"/>
              <w:szCs w:val="24"/>
            </w:rPr>
            <w:t>Ayuntamiento de Tepotzotlán</w:t>
          </w:r>
        </w:p>
      </w:tc>
    </w:tr>
    <w:tr w:rsidR="003D4DD1" w:rsidTr="00FF610E">
      <w:trPr>
        <w:trHeight w:val="342"/>
      </w:trPr>
      <w:tc>
        <w:tcPr>
          <w:tcW w:w="5246" w:type="dxa"/>
        </w:tcPr>
        <w:p w:rsidR="003D4DD1" w:rsidRPr="00FF610E" w:rsidRDefault="003D4DD1" w:rsidP="00FF610E">
          <w:pPr>
            <w:tabs>
              <w:tab w:val="left" w:pos="4892"/>
            </w:tabs>
            <w:spacing w:after="0" w:line="256" w:lineRule="auto"/>
            <w:ind w:right="204"/>
            <w:jc w:val="right"/>
            <w:rPr>
              <w:rFonts w:ascii="Palatino Linotype" w:eastAsia="Palatino Linotype" w:hAnsi="Palatino Linotype" w:cs="Palatino Linotype"/>
              <w:b/>
              <w:sz w:val="24"/>
            </w:rPr>
          </w:pPr>
          <w:r w:rsidRPr="00FF610E">
            <w:rPr>
              <w:rFonts w:ascii="Palatino Linotype" w:eastAsia="Palatino Linotype" w:hAnsi="Palatino Linotype" w:cs="Palatino Linotype"/>
              <w:b/>
              <w:sz w:val="24"/>
            </w:rPr>
            <w:t>Comisionado Ponente:</w:t>
          </w:r>
        </w:p>
      </w:tc>
      <w:tc>
        <w:tcPr>
          <w:tcW w:w="4819" w:type="dxa"/>
        </w:tcPr>
        <w:p w:rsidR="003D4DD1" w:rsidRPr="00FF610E" w:rsidRDefault="003D4DD1" w:rsidP="00FF610E">
          <w:pPr>
            <w:spacing w:after="0" w:line="256" w:lineRule="auto"/>
            <w:ind w:right="214"/>
            <w:rPr>
              <w:rFonts w:ascii="Palatino Linotype" w:eastAsia="Palatino Linotype" w:hAnsi="Palatino Linotype" w:cs="Palatino Linotype"/>
              <w:sz w:val="24"/>
            </w:rPr>
          </w:pPr>
          <w:r w:rsidRPr="00FF610E">
            <w:rPr>
              <w:rFonts w:ascii="Palatino Linotype" w:eastAsia="Palatino Linotype" w:hAnsi="Palatino Linotype" w:cs="Palatino Linotype"/>
              <w:sz w:val="24"/>
            </w:rPr>
            <w:t>María del Rosario Mejía Ayala</w:t>
          </w:r>
        </w:p>
      </w:tc>
    </w:tr>
  </w:tbl>
  <w:p w:rsidR="009E4B39" w:rsidRDefault="00FF610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FF610E">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-695493</wp:posOffset>
          </wp:positionH>
          <wp:positionV relativeFrom="page">
            <wp:posOffset>-81328</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FF610E" w:rsidRDefault="009E4B39" w:rsidP="00FF610E">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FF610E">
            <w:rPr>
              <w:rFonts w:ascii="Palatino Linotype" w:eastAsia="Palatino Linotype" w:hAnsi="Palatino Linotype" w:cs="Palatino Linotype"/>
              <w:b/>
              <w:sz w:val="24"/>
            </w:rPr>
            <w:t>Recurso de Revisión:</w:t>
          </w:r>
        </w:p>
      </w:tc>
      <w:tc>
        <w:tcPr>
          <w:tcW w:w="3828" w:type="dxa"/>
        </w:tcPr>
        <w:p w:rsidR="009E4B39" w:rsidRPr="00FF610E" w:rsidRDefault="00DC4F79" w:rsidP="00FF610E">
          <w:pPr>
            <w:spacing w:after="0" w:line="256" w:lineRule="auto"/>
            <w:ind w:right="214"/>
            <w:rPr>
              <w:rFonts w:ascii="Palatino Linotype" w:eastAsia="Palatino Linotype" w:hAnsi="Palatino Linotype" w:cs="Palatino Linotype"/>
              <w:sz w:val="24"/>
            </w:rPr>
          </w:pPr>
          <w:r w:rsidRPr="00FF610E">
            <w:rPr>
              <w:rFonts w:ascii="Palatino Linotype" w:eastAsia="Palatino Linotype" w:hAnsi="Palatino Linotype" w:cs="Palatino Linotype"/>
              <w:sz w:val="24"/>
            </w:rPr>
            <w:t>3713</w:t>
          </w:r>
          <w:r w:rsidR="0082376A" w:rsidRPr="00FF610E">
            <w:rPr>
              <w:rFonts w:ascii="Palatino Linotype" w:eastAsia="Palatino Linotype" w:hAnsi="Palatino Linotype" w:cs="Palatino Linotype"/>
              <w:sz w:val="24"/>
            </w:rPr>
            <w:t>/INFOEM/IP/RR/2026</w:t>
          </w:r>
          <w:r w:rsidR="009E4B39" w:rsidRPr="00FF610E">
            <w:rPr>
              <w:rFonts w:ascii="Palatino Linotype" w:eastAsia="Palatino Linotype" w:hAnsi="Palatino Linotype" w:cs="Palatino Linotype"/>
              <w:sz w:val="24"/>
            </w:rPr>
            <w:t xml:space="preserve"> </w:t>
          </w:r>
        </w:p>
      </w:tc>
    </w:tr>
    <w:tr w:rsidR="009E4B39">
      <w:trPr>
        <w:trHeight w:val="242"/>
      </w:trPr>
      <w:tc>
        <w:tcPr>
          <w:tcW w:w="6770" w:type="dxa"/>
        </w:tcPr>
        <w:p w:rsidR="009E4B39" w:rsidRPr="00FF610E" w:rsidRDefault="009E4B39" w:rsidP="00FF610E">
          <w:pPr>
            <w:spacing w:after="0" w:line="256" w:lineRule="auto"/>
            <w:ind w:right="204"/>
            <w:jc w:val="right"/>
            <w:rPr>
              <w:rFonts w:ascii="Palatino Linotype" w:eastAsia="Palatino Linotype" w:hAnsi="Palatino Linotype" w:cs="Palatino Linotype"/>
              <w:b/>
              <w:sz w:val="24"/>
            </w:rPr>
          </w:pPr>
          <w:r w:rsidRPr="00FF610E">
            <w:rPr>
              <w:rFonts w:ascii="Palatino Linotype" w:eastAsia="Palatino Linotype" w:hAnsi="Palatino Linotype" w:cs="Palatino Linotype"/>
              <w:b/>
              <w:sz w:val="24"/>
            </w:rPr>
            <w:t>Sujeto Obligado:</w:t>
          </w:r>
        </w:p>
      </w:tc>
      <w:tc>
        <w:tcPr>
          <w:tcW w:w="3828" w:type="dxa"/>
        </w:tcPr>
        <w:p w:rsidR="009E4B39" w:rsidRPr="00FF610E" w:rsidRDefault="00654C9A" w:rsidP="00FF610E">
          <w:pPr>
            <w:spacing w:after="0" w:line="256" w:lineRule="auto"/>
            <w:ind w:left="-67" w:right="214"/>
            <w:jc w:val="both"/>
            <w:rPr>
              <w:rFonts w:ascii="Palatino Linotype" w:eastAsia="Palatino Linotype" w:hAnsi="Palatino Linotype" w:cs="Palatino Linotype"/>
              <w:sz w:val="24"/>
            </w:rPr>
          </w:pPr>
          <w:r w:rsidRPr="00FF610E">
            <w:rPr>
              <w:rFonts w:ascii="Palatino Linotype" w:hAnsi="Palatino Linotype"/>
              <w:bCs/>
              <w:color w:val="000000"/>
              <w:sz w:val="24"/>
              <w:szCs w:val="24"/>
            </w:rPr>
            <w:t>Ayuntamiento de Tepotzotlán</w:t>
          </w:r>
        </w:p>
      </w:tc>
    </w:tr>
    <w:tr w:rsidR="009E4B39">
      <w:trPr>
        <w:trHeight w:val="342"/>
      </w:trPr>
      <w:tc>
        <w:tcPr>
          <w:tcW w:w="6770" w:type="dxa"/>
        </w:tcPr>
        <w:p w:rsidR="009E4B39" w:rsidRPr="00FF610E" w:rsidRDefault="009E4B39" w:rsidP="00FF610E">
          <w:pPr>
            <w:tabs>
              <w:tab w:val="left" w:pos="4892"/>
            </w:tabs>
            <w:spacing w:after="0" w:line="256" w:lineRule="auto"/>
            <w:ind w:right="204"/>
            <w:jc w:val="right"/>
            <w:rPr>
              <w:rFonts w:ascii="Palatino Linotype" w:eastAsia="Palatino Linotype" w:hAnsi="Palatino Linotype" w:cs="Palatino Linotype"/>
              <w:b/>
              <w:sz w:val="24"/>
            </w:rPr>
          </w:pPr>
          <w:r w:rsidRPr="00FF610E">
            <w:rPr>
              <w:rFonts w:ascii="Palatino Linotype" w:eastAsia="Palatino Linotype" w:hAnsi="Palatino Linotype" w:cs="Palatino Linotype"/>
              <w:b/>
              <w:sz w:val="24"/>
            </w:rPr>
            <w:t>Recurrente:</w:t>
          </w:r>
        </w:p>
      </w:tc>
      <w:tc>
        <w:tcPr>
          <w:tcW w:w="3828" w:type="dxa"/>
        </w:tcPr>
        <w:p w:rsidR="009E4B39" w:rsidRPr="00FF610E" w:rsidRDefault="00A46091" w:rsidP="00FF610E">
          <w:pPr>
            <w:spacing w:after="0" w:line="256" w:lineRule="auto"/>
            <w:ind w:right="21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trPr>
        <w:trHeight w:val="342"/>
      </w:trPr>
      <w:tc>
        <w:tcPr>
          <w:tcW w:w="6770" w:type="dxa"/>
        </w:tcPr>
        <w:p w:rsidR="009E4B39" w:rsidRPr="00FF610E" w:rsidRDefault="009E4B39" w:rsidP="00FF610E">
          <w:pPr>
            <w:tabs>
              <w:tab w:val="left" w:pos="4892"/>
            </w:tabs>
            <w:spacing w:after="0" w:line="256" w:lineRule="auto"/>
            <w:ind w:right="204"/>
            <w:jc w:val="right"/>
            <w:rPr>
              <w:rFonts w:ascii="Palatino Linotype" w:eastAsia="Palatino Linotype" w:hAnsi="Palatino Linotype" w:cs="Palatino Linotype"/>
              <w:b/>
              <w:sz w:val="24"/>
            </w:rPr>
          </w:pPr>
          <w:r w:rsidRPr="00FF610E">
            <w:rPr>
              <w:rFonts w:ascii="Palatino Linotype" w:eastAsia="Palatino Linotype" w:hAnsi="Palatino Linotype" w:cs="Palatino Linotype"/>
              <w:b/>
              <w:sz w:val="24"/>
            </w:rPr>
            <w:t>Comisionado Ponente:</w:t>
          </w:r>
        </w:p>
      </w:tc>
      <w:tc>
        <w:tcPr>
          <w:tcW w:w="3828" w:type="dxa"/>
        </w:tcPr>
        <w:p w:rsidR="009E4B39" w:rsidRPr="00FF610E" w:rsidRDefault="009E4B39" w:rsidP="00FF610E">
          <w:pPr>
            <w:spacing w:after="0" w:line="256" w:lineRule="auto"/>
            <w:ind w:right="214"/>
            <w:rPr>
              <w:rFonts w:ascii="Palatino Linotype" w:eastAsia="Palatino Linotype" w:hAnsi="Palatino Linotype" w:cs="Palatino Linotype"/>
              <w:sz w:val="24"/>
            </w:rPr>
          </w:pPr>
          <w:r w:rsidRPr="00FF610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C14D1"/>
    <w:multiLevelType w:val="multilevel"/>
    <w:tmpl w:val="BAE45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418A8"/>
    <w:multiLevelType w:val="multilevel"/>
    <w:tmpl w:val="316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DB54533"/>
    <w:multiLevelType w:val="multilevel"/>
    <w:tmpl w:val="02A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6"/>
  </w:num>
  <w:num w:numId="4">
    <w:abstractNumId w:val="1"/>
  </w:num>
  <w:num w:numId="5">
    <w:abstractNumId w:val="5"/>
  </w:num>
  <w:num w:numId="6">
    <w:abstractNumId w:val="4"/>
  </w:num>
  <w:num w:numId="7">
    <w:abstractNumId w:val="10"/>
  </w:num>
  <w:num w:numId="8">
    <w:abstractNumId w:val="11"/>
  </w:num>
  <w:num w:numId="9">
    <w:abstractNumId w:val="9"/>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619C"/>
    <w:rsid w:val="0005773E"/>
    <w:rsid w:val="00061A9C"/>
    <w:rsid w:val="00062690"/>
    <w:rsid w:val="0006596F"/>
    <w:rsid w:val="0007132E"/>
    <w:rsid w:val="00071A60"/>
    <w:rsid w:val="00072DA9"/>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6203"/>
    <w:rsid w:val="000C7BD0"/>
    <w:rsid w:val="000D297B"/>
    <w:rsid w:val="000D3D22"/>
    <w:rsid w:val="000D41EC"/>
    <w:rsid w:val="000D65A2"/>
    <w:rsid w:val="000E16F8"/>
    <w:rsid w:val="000E2198"/>
    <w:rsid w:val="000E46C8"/>
    <w:rsid w:val="000F0265"/>
    <w:rsid w:val="000F33CE"/>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3FFC"/>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491"/>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27D9"/>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D76FB"/>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203C"/>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5065"/>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694A"/>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47DAE"/>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874A7"/>
    <w:rsid w:val="00492368"/>
    <w:rsid w:val="00492D80"/>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1EB6"/>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4E2E"/>
    <w:rsid w:val="006061C9"/>
    <w:rsid w:val="00607408"/>
    <w:rsid w:val="00611CF4"/>
    <w:rsid w:val="00613116"/>
    <w:rsid w:val="00613492"/>
    <w:rsid w:val="006159F2"/>
    <w:rsid w:val="006168CC"/>
    <w:rsid w:val="00620AA4"/>
    <w:rsid w:val="006231F4"/>
    <w:rsid w:val="006236D6"/>
    <w:rsid w:val="00623E0C"/>
    <w:rsid w:val="0062499B"/>
    <w:rsid w:val="00624F4A"/>
    <w:rsid w:val="00625DED"/>
    <w:rsid w:val="00626EFB"/>
    <w:rsid w:val="00627DC8"/>
    <w:rsid w:val="00636D39"/>
    <w:rsid w:val="006411D1"/>
    <w:rsid w:val="006435A3"/>
    <w:rsid w:val="00654638"/>
    <w:rsid w:val="00654C9A"/>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5776"/>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127"/>
    <w:rsid w:val="009A19B2"/>
    <w:rsid w:val="009A261C"/>
    <w:rsid w:val="009A4E7D"/>
    <w:rsid w:val="009A4F90"/>
    <w:rsid w:val="009A5444"/>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16F"/>
    <w:rsid w:val="00A43575"/>
    <w:rsid w:val="00A46091"/>
    <w:rsid w:val="00A466F9"/>
    <w:rsid w:val="00A51F5E"/>
    <w:rsid w:val="00A531CE"/>
    <w:rsid w:val="00A5324E"/>
    <w:rsid w:val="00A53793"/>
    <w:rsid w:val="00A556D1"/>
    <w:rsid w:val="00A568EA"/>
    <w:rsid w:val="00A56F73"/>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6C6D"/>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46BD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1EC2"/>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526"/>
    <w:rsid w:val="00C70C83"/>
    <w:rsid w:val="00C72DE0"/>
    <w:rsid w:val="00C73E50"/>
    <w:rsid w:val="00C8661D"/>
    <w:rsid w:val="00C87574"/>
    <w:rsid w:val="00C877CB"/>
    <w:rsid w:val="00C9065C"/>
    <w:rsid w:val="00C9182A"/>
    <w:rsid w:val="00C91EBF"/>
    <w:rsid w:val="00C95F71"/>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5EB4"/>
    <w:rsid w:val="00D062AA"/>
    <w:rsid w:val="00D07338"/>
    <w:rsid w:val="00D10A5B"/>
    <w:rsid w:val="00D127D0"/>
    <w:rsid w:val="00D1356D"/>
    <w:rsid w:val="00D20AAC"/>
    <w:rsid w:val="00D24F08"/>
    <w:rsid w:val="00D25FBF"/>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4F79"/>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3AEB"/>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396D"/>
    <w:rsid w:val="00FB5BAF"/>
    <w:rsid w:val="00FB63ED"/>
    <w:rsid w:val="00FB7603"/>
    <w:rsid w:val="00FC2AB4"/>
    <w:rsid w:val="00FC314E"/>
    <w:rsid w:val="00FC3C5B"/>
    <w:rsid w:val="00FD7070"/>
    <w:rsid w:val="00FE0A70"/>
    <w:rsid w:val="00FE1725"/>
    <w:rsid w:val="00FE2C9C"/>
    <w:rsid w:val="00FE4FAE"/>
    <w:rsid w:val="00FE5D54"/>
    <w:rsid w:val="00FF1EB1"/>
    <w:rsid w:val="00FF61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20">
      <w:bodyDiv w:val="1"/>
      <w:marLeft w:val="0"/>
      <w:marRight w:val="0"/>
      <w:marTop w:val="0"/>
      <w:marBottom w:val="0"/>
      <w:divBdr>
        <w:top w:val="none" w:sz="0" w:space="0" w:color="auto"/>
        <w:left w:val="none" w:sz="0" w:space="0" w:color="auto"/>
        <w:bottom w:val="none" w:sz="0" w:space="0" w:color="auto"/>
        <w:right w:val="none" w:sz="0" w:space="0" w:color="auto"/>
      </w:divBdr>
    </w:div>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761030">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732191572">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974A78-1CF3-41A1-BF2B-6324868B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15</Pages>
  <Words>3618</Words>
  <Characters>19903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627</cp:revision>
  <dcterms:created xsi:type="dcterms:W3CDTF">2025-04-24T19:37:00Z</dcterms:created>
  <dcterms:modified xsi:type="dcterms:W3CDTF">2026-04-30T19:41:00Z</dcterms:modified>
</cp:coreProperties>
</file>