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FBB5" w14:textId="2E9AB9F3" w:rsidR="00562A90" w:rsidRPr="00AA4C68" w:rsidRDefault="0062255D">
      <w:pPr>
        <w:spacing w:before="240" w:after="240" w:line="360" w:lineRule="auto"/>
        <w:jc w:val="both"/>
        <w:rPr>
          <w:rFonts w:ascii="Palatino Linotype" w:eastAsia="Palatino Linotype" w:hAnsi="Palatino Linotype" w:cs="Palatino Linotype"/>
          <w:sz w:val="22"/>
          <w:szCs w:val="22"/>
        </w:rPr>
      </w:pPr>
      <w:bookmarkStart w:id="0" w:name="_heading=h.3rdcrjn" w:colFirst="0" w:colLast="0"/>
      <w:bookmarkEnd w:id="0"/>
      <w:r w:rsidRPr="00AA4C68">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w:t>
      </w:r>
      <w:r w:rsidR="00447DB1" w:rsidRPr="00AA4C68">
        <w:rPr>
          <w:rFonts w:ascii="Palatino Linotype" w:eastAsia="Palatino Linotype" w:hAnsi="Palatino Linotype" w:cs="Palatino Linotype"/>
          <w:sz w:val="22"/>
          <w:szCs w:val="22"/>
        </w:rPr>
        <w:t>en Metepec, Estado de México, a</w:t>
      </w:r>
      <w:r w:rsidR="00016E26" w:rsidRPr="00AA4C68">
        <w:rPr>
          <w:rFonts w:ascii="Palatino Linotype" w:eastAsia="Palatino Linotype" w:hAnsi="Palatino Linotype" w:cs="Palatino Linotype"/>
          <w:sz w:val="22"/>
          <w:szCs w:val="22"/>
        </w:rPr>
        <w:t xml:space="preserve"> </w:t>
      </w:r>
      <w:r w:rsidR="007B37DB" w:rsidRPr="00AA4C68">
        <w:rPr>
          <w:rFonts w:ascii="Palatino Linotype" w:eastAsia="Palatino Linotype" w:hAnsi="Palatino Linotype" w:cs="Palatino Linotype"/>
          <w:sz w:val="22"/>
          <w:szCs w:val="22"/>
        </w:rPr>
        <w:t>veinticinco</w:t>
      </w:r>
      <w:r w:rsidR="00982A43" w:rsidRPr="00AA4C68">
        <w:rPr>
          <w:rFonts w:ascii="Palatino Linotype" w:eastAsia="Palatino Linotype" w:hAnsi="Palatino Linotype" w:cs="Palatino Linotype"/>
          <w:sz w:val="22"/>
          <w:szCs w:val="22"/>
        </w:rPr>
        <w:t xml:space="preserve"> </w:t>
      </w:r>
      <w:r w:rsidR="000F04D3" w:rsidRPr="00AA4C68">
        <w:rPr>
          <w:rFonts w:ascii="Palatino Linotype" w:eastAsia="Palatino Linotype" w:hAnsi="Palatino Linotype" w:cs="Palatino Linotype"/>
          <w:sz w:val="22"/>
          <w:szCs w:val="22"/>
        </w:rPr>
        <w:t>de febrero</w:t>
      </w:r>
      <w:r w:rsidR="00016E26"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sz w:val="22"/>
          <w:szCs w:val="22"/>
        </w:rPr>
        <w:t xml:space="preserve">de dos mil </w:t>
      </w:r>
      <w:r w:rsidR="00DB7822" w:rsidRPr="00AA4C68">
        <w:rPr>
          <w:rFonts w:ascii="Palatino Linotype" w:eastAsia="Palatino Linotype" w:hAnsi="Palatino Linotype" w:cs="Palatino Linotype"/>
          <w:sz w:val="22"/>
          <w:szCs w:val="22"/>
        </w:rPr>
        <w:t>veintiséis</w:t>
      </w:r>
      <w:r w:rsidRPr="00AA4C68">
        <w:rPr>
          <w:rFonts w:ascii="Palatino Linotype" w:eastAsia="Palatino Linotype" w:hAnsi="Palatino Linotype" w:cs="Palatino Linotype"/>
          <w:sz w:val="22"/>
          <w:szCs w:val="22"/>
        </w:rPr>
        <w:t xml:space="preserve">. </w:t>
      </w:r>
    </w:p>
    <w:p w14:paraId="4795114A" w14:textId="591D4F2D" w:rsidR="00562A90" w:rsidRPr="00AA4C68" w:rsidRDefault="0062255D">
      <w:pPr>
        <w:tabs>
          <w:tab w:val="left" w:pos="5812"/>
        </w:tabs>
        <w:spacing w:before="240" w:after="240" w:line="360" w:lineRule="auto"/>
        <w:jc w:val="both"/>
        <w:rPr>
          <w:rFonts w:ascii="Palatino Linotype" w:eastAsia="Palatino Linotype" w:hAnsi="Palatino Linotype" w:cs="Palatino Linotype"/>
          <w:sz w:val="22"/>
          <w:szCs w:val="22"/>
        </w:rPr>
      </w:pPr>
      <w:bookmarkStart w:id="1" w:name="_heading=h.daj3j2xo6q66" w:colFirst="0" w:colLast="0"/>
      <w:bookmarkEnd w:id="1"/>
      <w:r w:rsidRPr="00AA4C68">
        <w:rPr>
          <w:rFonts w:ascii="Palatino Linotype" w:eastAsia="Palatino Linotype" w:hAnsi="Palatino Linotype" w:cs="Palatino Linotype"/>
          <w:b/>
          <w:sz w:val="22"/>
          <w:szCs w:val="22"/>
        </w:rPr>
        <w:t>VISTO</w:t>
      </w:r>
      <w:r w:rsidRPr="00AA4C68">
        <w:rPr>
          <w:rFonts w:ascii="Palatino Linotype" w:eastAsia="Palatino Linotype" w:hAnsi="Palatino Linotype" w:cs="Palatino Linotype"/>
          <w:sz w:val="22"/>
          <w:szCs w:val="22"/>
        </w:rPr>
        <w:t xml:space="preserve"> el expediente formado con motivo del recurso de revisión </w:t>
      </w:r>
      <w:r w:rsidR="00982A43" w:rsidRPr="00AA4C68">
        <w:rPr>
          <w:rFonts w:ascii="Palatino Linotype" w:eastAsia="Palatino Linotype" w:hAnsi="Palatino Linotype" w:cs="Palatino Linotype"/>
          <w:b/>
          <w:sz w:val="22"/>
          <w:szCs w:val="22"/>
        </w:rPr>
        <w:t>14404</w:t>
      </w:r>
      <w:r w:rsidR="00337D82" w:rsidRPr="00AA4C68">
        <w:rPr>
          <w:rFonts w:ascii="Palatino Linotype" w:eastAsia="Palatino Linotype" w:hAnsi="Palatino Linotype" w:cs="Palatino Linotype"/>
          <w:b/>
          <w:sz w:val="22"/>
          <w:szCs w:val="22"/>
        </w:rPr>
        <w:t>/INFOEM/IP/RR/2025</w:t>
      </w:r>
      <w:r w:rsidRPr="00AA4C68">
        <w:rPr>
          <w:rFonts w:ascii="Palatino Linotype" w:eastAsia="Palatino Linotype" w:hAnsi="Palatino Linotype" w:cs="Palatino Linotype"/>
          <w:sz w:val="22"/>
          <w:szCs w:val="22"/>
        </w:rPr>
        <w:t>, interpuesto por</w:t>
      </w:r>
      <w:r w:rsidR="005833F1" w:rsidRPr="00AA4C68">
        <w:rPr>
          <w:rFonts w:ascii="Palatino Linotype" w:eastAsia="Palatino Linotype" w:hAnsi="Palatino Linotype" w:cs="Palatino Linotype"/>
          <w:b/>
          <w:sz w:val="22"/>
          <w:szCs w:val="22"/>
        </w:rPr>
        <w:t xml:space="preserve"> </w:t>
      </w:r>
      <w:r w:rsidR="005A4663" w:rsidRPr="005A4663">
        <w:rPr>
          <w:rFonts w:ascii="Palatino Linotype" w:eastAsia="Palatino Linotype" w:hAnsi="Palatino Linotype" w:cs="Palatino Linotype"/>
          <w:b/>
          <w:sz w:val="22"/>
          <w:szCs w:val="22"/>
        </w:rPr>
        <w:t>XXXXXXXXX XX X</w:t>
      </w:r>
      <w:bookmarkStart w:id="2" w:name="_GoBack"/>
      <w:bookmarkEnd w:id="2"/>
      <w:r w:rsidRPr="00AA4C68">
        <w:rPr>
          <w:rFonts w:ascii="Palatino Linotype" w:eastAsia="Palatino Linotype" w:hAnsi="Palatino Linotype" w:cs="Palatino Linotype"/>
          <w:b/>
          <w:sz w:val="22"/>
          <w:szCs w:val="22"/>
        </w:rPr>
        <w:t>,</w:t>
      </w:r>
      <w:r w:rsidRPr="00AA4C68">
        <w:rPr>
          <w:rFonts w:ascii="Palatino Linotype" w:eastAsia="Palatino Linotype" w:hAnsi="Palatino Linotype" w:cs="Palatino Linotype"/>
          <w:sz w:val="22"/>
          <w:szCs w:val="22"/>
        </w:rPr>
        <w:t xml:space="preserve"> en lo sucesivo</w:t>
      </w:r>
      <w:r w:rsidRPr="00AA4C68">
        <w:rPr>
          <w:rFonts w:ascii="Palatino Linotype" w:eastAsia="Palatino Linotype" w:hAnsi="Palatino Linotype" w:cs="Palatino Linotype"/>
          <w:b/>
          <w:sz w:val="22"/>
          <w:szCs w:val="22"/>
        </w:rPr>
        <w:t xml:space="preserve"> </w:t>
      </w:r>
      <w:r w:rsidRPr="00AA4C68">
        <w:rPr>
          <w:rFonts w:ascii="Palatino Linotype" w:eastAsia="Palatino Linotype" w:hAnsi="Palatino Linotype" w:cs="Palatino Linotype"/>
          <w:sz w:val="22"/>
          <w:szCs w:val="22"/>
        </w:rPr>
        <w:t xml:space="preserve">la parte </w:t>
      </w:r>
      <w:r w:rsidRPr="00AA4C68">
        <w:rPr>
          <w:rFonts w:ascii="Palatino Linotype" w:eastAsia="Palatino Linotype" w:hAnsi="Palatino Linotype" w:cs="Palatino Linotype"/>
          <w:b/>
          <w:sz w:val="22"/>
          <w:szCs w:val="22"/>
        </w:rPr>
        <w:t>Recurrente,</w:t>
      </w:r>
      <w:r w:rsidRPr="00AA4C68">
        <w:rPr>
          <w:rFonts w:ascii="Palatino Linotype" w:eastAsia="Palatino Linotype" w:hAnsi="Palatino Linotype" w:cs="Palatino Linotype"/>
          <w:sz w:val="22"/>
          <w:szCs w:val="22"/>
        </w:rPr>
        <w:t xml:space="preserve"> en contra de la respuesta a la solicitud de información con número de folio</w:t>
      </w:r>
      <w:r w:rsidRPr="00AA4C68">
        <w:rPr>
          <w:rFonts w:ascii="Palatino Linotype" w:eastAsia="Palatino Linotype" w:hAnsi="Palatino Linotype" w:cs="Palatino Linotype"/>
          <w:b/>
          <w:sz w:val="22"/>
          <w:szCs w:val="22"/>
        </w:rPr>
        <w:t xml:space="preserve"> </w:t>
      </w:r>
      <w:r w:rsidR="00982A43" w:rsidRPr="00AA4C68">
        <w:rPr>
          <w:rFonts w:ascii="Palatino Linotype" w:eastAsia="Palatino Linotype" w:hAnsi="Palatino Linotype" w:cs="Palatino Linotype"/>
          <w:b/>
          <w:sz w:val="22"/>
          <w:szCs w:val="22"/>
        </w:rPr>
        <w:t>00026/COMECyT/IP/2025</w:t>
      </w:r>
      <w:r w:rsidRPr="00AA4C68">
        <w:rPr>
          <w:rFonts w:ascii="Palatino Linotype" w:eastAsia="Palatino Linotype" w:hAnsi="Palatino Linotype" w:cs="Palatino Linotype"/>
          <w:b/>
          <w:sz w:val="22"/>
          <w:szCs w:val="22"/>
        </w:rPr>
        <w:t xml:space="preserve">, </w:t>
      </w:r>
      <w:r w:rsidRPr="00AA4C68">
        <w:rPr>
          <w:rFonts w:ascii="Palatino Linotype" w:eastAsia="Palatino Linotype" w:hAnsi="Palatino Linotype" w:cs="Palatino Linotype"/>
          <w:sz w:val="22"/>
          <w:szCs w:val="22"/>
        </w:rPr>
        <w:t>por parte de</w:t>
      </w:r>
      <w:r w:rsidR="00DB7822"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sz w:val="22"/>
          <w:szCs w:val="22"/>
        </w:rPr>
        <w:t>l</w:t>
      </w:r>
      <w:r w:rsidR="00DB7822" w:rsidRPr="00AA4C68">
        <w:rPr>
          <w:rFonts w:ascii="Palatino Linotype" w:eastAsia="Palatino Linotype" w:hAnsi="Palatino Linotype" w:cs="Palatino Linotype"/>
          <w:sz w:val="22"/>
          <w:szCs w:val="22"/>
        </w:rPr>
        <w:t>a</w:t>
      </w:r>
      <w:r w:rsidRPr="00AA4C68">
        <w:rPr>
          <w:rFonts w:ascii="Palatino Linotype" w:eastAsia="Palatino Linotype" w:hAnsi="Palatino Linotype" w:cs="Palatino Linotype"/>
          <w:sz w:val="22"/>
          <w:szCs w:val="22"/>
        </w:rPr>
        <w:t xml:space="preserve"> </w:t>
      </w:r>
      <w:r w:rsidR="00982A43" w:rsidRPr="00AA4C68">
        <w:rPr>
          <w:rFonts w:ascii="Palatino Linotype" w:eastAsia="Palatino Linotype" w:hAnsi="Palatino Linotype" w:cs="Palatino Linotype"/>
          <w:b/>
          <w:sz w:val="22"/>
          <w:szCs w:val="22"/>
        </w:rPr>
        <w:t>Consejo Mexiquense de Ciencia y Tecnología</w:t>
      </w:r>
      <w:r w:rsidR="00EF0D72" w:rsidRPr="00AA4C68">
        <w:rPr>
          <w:rFonts w:ascii="Palatino Linotype" w:eastAsia="Palatino Linotype" w:hAnsi="Palatino Linotype" w:cs="Palatino Linotype"/>
          <w:b/>
          <w:sz w:val="22"/>
          <w:szCs w:val="22"/>
        </w:rPr>
        <w:t>,</w:t>
      </w:r>
      <w:r w:rsidRPr="00AA4C68">
        <w:rPr>
          <w:rFonts w:ascii="Palatino Linotype" w:eastAsia="Palatino Linotype" w:hAnsi="Palatino Linotype" w:cs="Palatino Linotype"/>
          <w:b/>
          <w:sz w:val="22"/>
          <w:szCs w:val="22"/>
        </w:rPr>
        <w:t xml:space="preserve"> </w:t>
      </w:r>
      <w:r w:rsidRPr="00AA4C68">
        <w:rPr>
          <w:rFonts w:ascii="Palatino Linotype" w:eastAsia="Palatino Linotype" w:hAnsi="Palatino Linotype" w:cs="Palatino Linotype"/>
          <w:sz w:val="22"/>
          <w:szCs w:val="22"/>
        </w:rPr>
        <w:t xml:space="preserve">en lo sucesivo el </w:t>
      </w:r>
      <w:r w:rsidRPr="00AA4C68">
        <w:rPr>
          <w:rFonts w:ascii="Palatino Linotype" w:eastAsia="Palatino Linotype" w:hAnsi="Palatino Linotype" w:cs="Palatino Linotype"/>
          <w:b/>
          <w:sz w:val="22"/>
          <w:szCs w:val="22"/>
        </w:rPr>
        <w:t xml:space="preserve">Sujeto Obligado, </w:t>
      </w:r>
      <w:r w:rsidRPr="00AA4C68">
        <w:rPr>
          <w:rFonts w:ascii="Palatino Linotype" w:eastAsia="Palatino Linotype" w:hAnsi="Palatino Linotype" w:cs="Palatino Linotype"/>
          <w:sz w:val="22"/>
          <w:szCs w:val="22"/>
        </w:rPr>
        <w:t xml:space="preserve">se procede a dictar la presente resolución con base en los siguientes: </w:t>
      </w:r>
    </w:p>
    <w:p w14:paraId="3CC5291D" w14:textId="77777777" w:rsidR="00562A90" w:rsidRPr="00AA4C68" w:rsidRDefault="0062255D">
      <w:pPr>
        <w:spacing w:before="240" w:after="240" w:line="360" w:lineRule="auto"/>
        <w:jc w:val="center"/>
        <w:rPr>
          <w:rFonts w:ascii="Palatino Linotype" w:eastAsia="Palatino Linotype" w:hAnsi="Palatino Linotype" w:cs="Palatino Linotype"/>
          <w:b/>
          <w:sz w:val="22"/>
          <w:szCs w:val="22"/>
        </w:rPr>
      </w:pPr>
      <w:r w:rsidRPr="00AA4C68">
        <w:rPr>
          <w:rFonts w:ascii="Palatino Linotype" w:eastAsia="Palatino Linotype" w:hAnsi="Palatino Linotype" w:cs="Palatino Linotype"/>
          <w:b/>
          <w:sz w:val="22"/>
          <w:szCs w:val="22"/>
        </w:rPr>
        <w:t>I. A N T E C E D E N T E S</w:t>
      </w:r>
    </w:p>
    <w:p w14:paraId="72C70038" w14:textId="16F985E8" w:rsidR="00562A90" w:rsidRPr="00AA4C68" w:rsidRDefault="0062255D">
      <w:pPr>
        <w:spacing w:before="240" w:after="240" w:line="360" w:lineRule="auto"/>
        <w:jc w:val="both"/>
        <w:rPr>
          <w:rFonts w:ascii="Palatino Linotype" w:eastAsia="Palatino Linotype" w:hAnsi="Palatino Linotype" w:cs="Palatino Linotype"/>
          <w:sz w:val="22"/>
          <w:szCs w:val="22"/>
        </w:rPr>
      </w:pPr>
      <w:bookmarkStart w:id="3" w:name="_heading=h.gjdgxs" w:colFirst="0" w:colLast="0"/>
      <w:bookmarkEnd w:id="3"/>
      <w:r w:rsidRPr="00AA4C68">
        <w:rPr>
          <w:rFonts w:ascii="Palatino Linotype" w:eastAsia="Palatino Linotype" w:hAnsi="Palatino Linotype" w:cs="Palatino Linotype"/>
          <w:b/>
          <w:sz w:val="22"/>
          <w:szCs w:val="22"/>
        </w:rPr>
        <w:t>1. Solicitud de acceso a la información.</w:t>
      </w:r>
      <w:r w:rsidRPr="00AA4C68">
        <w:rPr>
          <w:rFonts w:ascii="Palatino Linotype" w:eastAsia="Palatino Linotype" w:hAnsi="Palatino Linotype" w:cs="Palatino Linotype"/>
          <w:sz w:val="22"/>
          <w:szCs w:val="22"/>
        </w:rPr>
        <w:t xml:space="preserve"> El </w:t>
      </w:r>
      <w:bookmarkStart w:id="4" w:name="_Hlk212125406"/>
      <w:r w:rsidR="00982A43" w:rsidRPr="00AA4C68">
        <w:rPr>
          <w:rFonts w:ascii="Palatino Linotype" w:eastAsia="Palatino Linotype" w:hAnsi="Palatino Linotype" w:cs="Palatino Linotype"/>
          <w:b/>
          <w:sz w:val="22"/>
          <w:szCs w:val="22"/>
        </w:rPr>
        <w:t xml:space="preserve">veinticuatro </w:t>
      </w:r>
      <w:r w:rsidR="0019146A" w:rsidRPr="00AA4C68">
        <w:rPr>
          <w:rFonts w:ascii="Palatino Linotype" w:eastAsia="Palatino Linotype" w:hAnsi="Palatino Linotype" w:cs="Palatino Linotype"/>
          <w:b/>
          <w:sz w:val="22"/>
          <w:szCs w:val="22"/>
        </w:rPr>
        <w:t xml:space="preserve">de noviembre </w:t>
      </w:r>
      <w:r w:rsidRPr="00AA4C68">
        <w:rPr>
          <w:rFonts w:ascii="Palatino Linotype" w:eastAsia="Palatino Linotype" w:hAnsi="Palatino Linotype" w:cs="Palatino Linotype"/>
          <w:b/>
          <w:sz w:val="22"/>
          <w:szCs w:val="22"/>
        </w:rPr>
        <w:t>de dos mil veinticinco</w:t>
      </w:r>
      <w:bookmarkEnd w:id="4"/>
      <w:r w:rsidRPr="00AA4C68">
        <w:rPr>
          <w:rFonts w:ascii="Palatino Linotype" w:eastAsia="Palatino Linotype" w:hAnsi="Palatino Linotype" w:cs="Palatino Linotype"/>
          <w:b/>
          <w:sz w:val="22"/>
          <w:szCs w:val="22"/>
        </w:rPr>
        <w:t>,</w:t>
      </w:r>
      <w:r w:rsidRPr="00AA4C68">
        <w:rPr>
          <w:rFonts w:ascii="Palatino Linotype" w:eastAsia="Palatino Linotype" w:hAnsi="Palatino Linotype" w:cs="Palatino Linotype"/>
          <w:sz w:val="22"/>
          <w:szCs w:val="22"/>
        </w:rPr>
        <w:t xml:space="preserve"> la parte </w:t>
      </w:r>
      <w:r w:rsidRPr="00AA4C68">
        <w:rPr>
          <w:rFonts w:ascii="Palatino Linotype" w:eastAsia="Palatino Linotype" w:hAnsi="Palatino Linotype" w:cs="Palatino Linotype"/>
          <w:b/>
          <w:sz w:val="22"/>
          <w:szCs w:val="22"/>
        </w:rPr>
        <w:t xml:space="preserve">Recurrente </w:t>
      </w:r>
      <w:r w:rsidRPr="00AA4C68">
        <w:rPr>
          <w:rFonts w:ascii="Palatino Linotype" w:eastAsia="Palatino Linotype" w:hAnsi="Palatino Linotype" w:cs="Palatino Linotype"/>
          <w:sz w:val="22"/>
          <w:szCs w:val="22"/>
        </w:rPr>
        <w:t xml:space="preserve">presentó la solicitud de acceso a la información pública ante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a través del Sistema de Acceso a la Información Mexiquense, en lo subsecuente el </w:t>
      </w:r>
      <w:r w:rsidRPr="00AA4C68">
        <w:rPr>
          <w:rFonts w:ascii="Palatino Linotype" w:eastAsia="Palatino Linotype" w:hAnsi="Palatino Linotype" w:cs="Palatino Linotype"/>
          <w:b/>
          <w:sz w:val="22"/>
          <w:szCs w:val="22"/>
        </w:rPr>
        <w:t>SAIMEX,</w:t>
      </w:r>
      <w:r w:rsidRPr="00AA4C68">
        <w:rPr>
          <w:rFonts w:ascii="Palatino Linotype" w:eastAsia="Palatino Linotype" w:hAnsi="Palatino Linotype" w:cs="Palatino Linotype"/>
          <w:sz w:val="22"/>
          <w:szCs w:val="22"/>
        </w:rPr>
        <w:t xml:space="preserve"> mediante la cual requirió lo siguiente:</w:t>
      </w:r>
    </w:p>
    <w:p w14:paraId="57605782" w14:textId="01E780AD" w:rsidR="00562A90" w:rsidRPr="00AA4C68" w:rsidRDefault="0062255D">
      <w:pPr>
        <w:spacing w:before="120" w:after="120"/>
        <w:ind w:left="851" w:right="902"/>
        <w:jc w:val="both"/>
        <w:rPr>
          <w:rFonts w:ascii="Palatino Linotype" w:eastAsia="Palatino Linotype" w:hAnsi="Palatino Linotype" w:cs="Palatino Linotype"/>
          <w:b/>
          <w:i/>
          <w:sz w:val="22"/>
          <w:szCs w:val="22"/>
        </w:rPr>
      </w:pPr>
      <w:r w:rsidRPr="00AA4C68">
        <w:rPr>
          <w:rFonts w:ascii="Palatino Linotype" w:eastAsia="Palatino Linotype" w:hAnsi="Palatino Linotype" w:cs="Palatino Linotype"/>
          <w:i/>
          <w:sz w:val="22"/>
          <w:szCs w:val="22"/>
        </w:rPr>
        <w:t xml:space="preserve"> “</w:t>
      </w:r>
      <w:r w:rsidR="00982A43" w:rsidRPr="00AA4C68">
        <w:rPr>
          <w:rFonts w:ascii="Palatino Linotype" w:eastAsia="Palatino Linotype" w:hAnsi="Palatino Linotype" w:cs="Palatino Linotype"/>
          <w:i/>
          <w:sz w:val="22"/>
          <w:szCs w:val="22"/>
        </w:rPr>
        <w:t>SOLICITO LOS RECIBOS DE NOMINA EN VERSION PUBLICA DE LA QUINCENA CORRESPONDIENTE A LA PRIMERA QUINCENA DE NOVIEMBRE</w:t>
      </w:r>
      <w:r w:rsidRPr="00AA4C68">
        <w:rPr>
          <w:rFonts w:ascii="Palatino Linotype" w:eastAsia="Palatino Linotype" w:hAnsi="Palatino Linotype" w:cs="Palatino Linotype"/>
          <w:b/>
          <w:i/>
          <w:sz w:val="22"/>
          <w:szCs w:val="22"/>
        </w:rPr>
        <w:t>”</w:t>
      </w:r>
      <w:r w:rsidRPr="00AA4C68">
        <w:rPr>
          <w:rFonts w:ascii="Palatino Linotype" w:eastAsia="Palatino Linotype" w:hAnsi="Palatino Linotype" w:cs="Palatino Linotype"/>
          <w:i/>
          <w:sz w:val="22"/>
          <w:szCs w:val="22"/>
        </w:rPr>
        <w:t xml:space="preserve"> (sic) </w:t>
      </w:r>
    </w:p>
    <w:p w14:paraId="5EFADEDB" w14:textId="77777777" w:rsidR="007A16C4" w:rsidRPr="00AA4C68" w:rsidRDefault="007A16C4" w:rsidP="007A16C4">
      <w:pPr>
        <w:spacing w:line="360" w:lineRule="auto"/>
        <w:jc w:val="both"/>
        <w:rPr>
          <w:rFonts w:ascii="Palatino Linotype" w:eastAsia="Palatino Linotype" w:hAnsi="Palatino Linotype" w:cs="Palatino Linotype"/>
          <w:sz w:val="22"/>
          <w:szCs w:val="22"/>
        </w:rPr>
      </w:pPr>
      <w:bookmarkStart w:id="5" w:name="_heading=h.3dy6vkm" w:colFirst="0" w:colLast="0"/>
      <w:bookmarkEnd w:id="5"/>
      <w:r w:rsidRPr="00AA4C68">
        <w:rPr>
          <w:rFonts w:ascii="Palatino Linotype" w:eastAsia="Palatino Linotype" w:hAnsi="Palatino Linotype" w:cs="Palatino Linotype"/>
          <w:b/>
          <w:sz w:val="22"/>
          <w:szCs w:val="22"/>
        </w:rPr>
        <w:t xml:space="preserve">Modalidad elegida para la entrega de la información: </w:t>
      </w:r>
      <w:r w:rsidRPr="00AA4C68">
        <w:rPr>
          <w:rFonts w:ascii="Palatino Linotype" w:eastAsia="Palatino Linotype" w:hAnsi="Palatino Linotype" w:cs="Palatino Linotype"/>
          <w:sz w:val="22"/>
          <w:szCs w:val="22"/>
        </w:rPr>
        <w:t>a través del SAIMEX.</w:t>
      </w:r>
    </w:p>
    <w:p w14:paraId="4D69C9BC" w14:textId="0DA85591" w:rsidR="00982A43" w:rsidRPr="00AA4C68" w:rsidRDefault="0062255D" w:rsidP="00982A43">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2.</w:t>
      </w:r>
      <w:r w:rsidR="00F6238C" w:rsidRPr="00AA4C68">
        <w:rPr>
          <w:rFonts w:ascii="Palatino Linotype" w:eastAsia="Palatino Linotype" w:hAnsi="Palatino Linotype" w:cs="Palatino Linotype"/>
          <w:b/>
          <w:sz w:val="22"/>
          <w:szCs w:val="22"/>
        </w:rPr>
        <w:t xml:space="preserve"> </w:t>
      </w:r>
      <w:r w:rsidR="00982A43" w:rsidRPr="00AA4C68">
        <w:rPr>
          <w:rFonts w:ascii="Palatino Linotype" w:eastAsia="Palatino Linotype" w:hAnsi="Palatino Linotype" w:cs="Palatino Linotype"/>
          <w:b/>
          <w:sz w:val="22"/>
          <w:szCs w:val="22"/>
        </w:rPr>
        <w:t>Solicitud de Aclaración</w:t>
      </w:r>
      <w:r w:rsidR="00982A43" w:rsidRPr="00AA4C68">
        <w:rPr>
          <w:rFonts w:ascii="Palatino Linotype" w:eastAsia="Palatino Linotype" w:hAnsi="Palatino Linotype" w:cs="Palatino Linotype"/>
          <w:sz w:val="22"/>
          <w:szCs w:val="22"/>
        </w:rPr>
        <w:t xml:space="preserve">. El </w:t>
      </w:r>
      <w:r w:rsidR="00982A43" w:rsidRPr="00AA4C68">
        <w:rPr>
          <w:rFonts w:ascii="Palatino Linotype" w:eastAsia="Palatino Linotype" w:hAnsi="Palatino Linotype" w:cs="Palatino Linotype"/>
          <w:b/>
          <w:sz w:val="22"/>
          <w:szCs w:val="22"/>
        </w:rPr>
        <w:t>veintiséis de noviembre de dos mil veinticinco</w:t>
      </w:r>
      <w:r w:rsidR="00982A43" w:rsidRPr="00AA4C68">
        <w:rPr>
          <w:rFonts w:ascii="Palatino Linotype" w:eastAsia="Palatino Linotype" w:hAnsi="Palatino Linotype" w:cs="Palatino Linotype"/>
          <w:sz w:val="22"/>
          <w:szCs w:val="22"/>
        </w:rPr>
        <w:t xml:space="preserve">, el </w:t>
      </w:r>
      <w:r w:rsidR="00982A43" w:rsidRPr="00AA4C68">
        <w:rPr>
          <w:rFonts w:ascii="Palatino Linotype" w:eastAsia="Palatino Linotype" w:hAnsi="Palatino Linotype" w:cs="Palatino Linotype"/>
          <w:b/>
          <w:sz w:val="22"/>
          <w:szCs w:val="22"/>
        </w:rPr>
        <w:t>Sujeto Obligado</w:t>
      </w:r>
      <w:r w:rsidR="00982A43" w:rsidRPr="00AA4C68">
        <w:rPr>
          <w:rFonts w:ascii="Palatino Linotype" w:eastAsia="Palatino Linotype" w:hAnsi="Palatino Linotype" w:cs="Palatino Linotype"/>
          <w:sz w:val="22"/>
          <w:szCs w:val="22"/>
        </w:rPr>
        <w:t xml:space="preserve"> solicito una aclaración, en los siguientes términos:     </w:t>
      </w:r>
    </w:p>
    <w:p w14:paraId="1E5D30A3" w14:textId="77777777" w:rsidR="00982A43" w:rsidRPr="00AA4C68" w:rsidRDefault="00982A43" w:rsidP="00982A43">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“Con fundamento en el articulo 159 de la Ley de Transparencia y Acceso a la Información Pública del Estado de México y Municipios, se le requiere para que dentro del plazo de diez días hábiles realice lo siguiente:</w:t>
      </w:r>
    </w:p>
    <w:p w14:paraId="781F9003" w14:textId="77777777" w:rsidR="00982A43" w:rsidRPr="00AA4C68" w:rsidRDefault="00982A43" w:rsidP="00982A43">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lastRenderedPageBreak/>
        <w:t>EN EL ARCHIVO ADJUNTO SE DESCRIBE EL MOTIVO DE LA ACLARACIÓN DE LA SOLICITUD.</w:t>
      </w:r>
    </w:p>
    <w:p w14:paraId="6B450D5F" w14:textId="7D051BE7" w:rsidR="00982A43" w:rsidRPr="00AA4C68" w:rsidRDefault="00982A43" w:rsidP="00982A43">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 xml:space="preserve">En caso de que no se desahogue el requerimiento señalado dentro del plazo citado se tendrá por no presentada la solicitud de información, quedando a salvo sus derechos para volver a presentar la solicitud, lo anterior con fundamento en el artículo 159 de la Ley invocada.” (sic)        </w:t>
      </w:r>
    </w:p>
    <w:p w14:paraId="433170EF" w14:textId="1D530387" w:rsidR="008D0063" w:rsidRPr="00AA4C68" w:rsidRDefault="00982A43" w:rsidP="00982A43">
      <w:pPr>
        <w:widowControl w:val="0"/>
        <w:spacing w:before="240" w:after="240" w:line="360" w:lineRule="auto"/>
        <w:jc w:val="both"/>
        <w:rPr>
          <w:rFonts w:ascii="Palatino Linotype" w:hAnsi="Palatino Linotype"/>
          <w:sz w:val="22"/>
          <w:szCs w:val="22"/>
        </w:rPr>
      </w:pPr>
      <w:r w:rsidRPr="00AA4C68">
        <w:rPr>
          <w:rFonts w:ascii="Palatino Linotype" w:eastAsia="Palatino Linotype" w:hAnsi="Palatino Linotype" w:cs="Palatino Linotype"/>
          <w:sz w:val="22"/>
          <w:szCs w:val="22"/>
        </w:rPr>
        <w:t xml:space="preserve">El </w:t>
      </w:r>
      <w:r w:rsidRPr="00AA4C68">
        <w:rPr>
          <w:rFonts w:ascii="Palatino Linotype" w:eastAsia="Palatino Linotype" w:hAnsi="Palatino Linotype" w:cs="Palatino Linotype"/>
          <w:b/>
          <w:sz w:val="22"/>
          <w:szCs w:val="22"/>
        </w:rPr>
        <w:t xml:space="preserve">Sujeto Obligado </w:t>
      </w:r>
      <w:r w:rsidR="00FB1EDA" w:rsidRPr="00AA4C68">
        <w:rPr>
          <w:rFonts w:ascii="Palatino Linotype" w:eastAsia="Palatino Linotype" w:hAnsi="Palatino Linotype" w:cs="Palatino Linotype"/>
          <w:sz w:val="22"/>
          <w:szCs w:val="22"/>
        </w:rPr>
        <w:t xml:space="preserve">adjuntó </w:t>
      </w:r>
      <w:r w:rsidR="00AF200A" w:rsidRPr="00AA4C68">
        <w:rPr>
          <w:rFonts w:ascii="Palatino Linotype" w:eastAsia="Palatino Linotype" w:hAnsi="Palatino Linotype" w:cs="Palatino Linotype"/>
          <w:sz w:val="22"/>
          <w:szCs w:val="22"/>
        </w:rPr>
        <w:t>el oficio 228C4301040000L/1329/2025</w:t>
      </w:r>
      <w:r w:rsidR="008D0063" w:rsidRPr="00AA4C68">
        <w:rPr>
          <w:rFonts w:ascii="Palatino Linotype" w:eastAsia="Palatino Linotype" w:hAnsi="Palatino Linotype" w:cs="Palatino Linotype"/>
          <w:sz w:val="22"/>
          <w:szCs w:val="22"/>
        </w:rPr>
        <w:t xml:space="preserve">, mediante el cual la </w:t>
      </w:r>
      <w:r w:rsidR="007D4D64" w:rsidRPr="00AA4C68">
        <w:rPr>
          <w:rFonts w:ascii="Palatino Linotype" w:eastAsia="Palatino Linotype" w:hAnsi="Palatino Linotype" w:cs="Palatino Linotype"/>
          <w:sz w:val="22"/>
          <w:szCs w:val="22"/>
        </w:rPr>
        <w:t>t</w:t>
      </w:r>
      <w:r w:rsidR="008D0063" w:rsidRPr="00AA4C68">
        <w:rPr>
          <w:rFonts w:ascii="Palatino Linotype" w:eastAsia="Palatino Linotype" w:hAnsi="Palatino Linotype" w:cs="Palatino Linotype"/>
          <w:sz w:val="22"/>
          <w:szCs w:val="22"/>
        </w:rPr>
        <w:t xml:space="preserve">itular de la Unidad de Transparencia hizo del conocimiento de la persona solicitante </w:t>
      </w:r>
      <w:r w:rsidR="008D0063" w:rsidRPr="00AA4C68">
        <w:rPr>
          <w:rFonts w:ascii="Palatino Linotype" w:hAnsi="Palatino Linotype"/>
          <w:sz w:val="22"/>
          <w:szCs w:val="22"/>
        </w:rPr>
        <w:t>que su requerimiento no se encuentra preciso y delimitado, no es posible atender su solicitud ya que no menciona el ejercicio fiscal de los recibos de nómina que solicita, por tal motivo se le solicita aclarar su requerimiento de la información, en términos del artículo 159 de la Ley de Transparencia y Acceso a la Información Pública del Estado de México y Municipios.</w:t>
      </w:r>
    </w:p>
    <w:p w14:paraId="531EEBAC" w14:textId="18015A7F" w:rsidR="00982A43" w:rsidRPr="00AA4C68" w:rsidRDefault="00982A43" w:rsidP="00982A43">
      <w:pPr>
        <w:widowControl w:val="0"/>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 xml:space="preserve">3. Contestación a la solicitud de aclaración. </w:t>
      </w:r>
      <w:r w:rsidRPr="00AA4C68">
        <w:rPr>
          <w:rFonts w:ascii="Palatino Linotype" w:eastAsia="Palatino Linotype" w:hAnsi="Palatino Linotype" w:cs="Palatino Linotype"/>
          <w:sz w:val="22"/>
          <w:szCs w:val="22"/>
        </w:rPr>
        <w:t xml:space="preserve"> El </w:t>
      </w:r>
      <w:r w:rsidR="00D26CF2" w:rsidRPr="00AA4C68">
        <w:rPr>
          <w:rFonts w:ascii="Palatino Linotype" w:eastAsia="Palatino Linotype" w:hAnsi="Palatino Linotype" w:cs="Palatino Linotype"/>
          <w:b/>
          <w:sz w:val="22"/>
          <w:szCs w:val="22"/>
        </w:rPr>
        <w:t>veintiséis de noviembre de dos mil veinticinco</w:t>
      </w:r>
      <w:r w:rsidRPr="00AA4C68">
        <w:rPr>
          <w:rFonts w:ascii="Palatino Linotype" w:eastAsia="Palatino Linotype" w:hAnsi="Palatino Linotype" w:cs="Palatino Linotype"/>
          <w:sz w:val="22"/>
          <w:szCs w:val="22"/>
        </w:rPr>
        <w:t>, la persona solicitante dio contestación a la aclaración de la siguiente manera:</w:t>
      </w:r>
    </w:p>
    <w:p w14:paraId="6444108E" w14:textId="5D3F41CB" w:rsidR="00982A43" w:rsidRPr="00AA4C68" w:rsidRDefault="00982A43" w:rsidP="00FB1EDA">
      <w:pPr>
        <w:pBdr>
          <w:top w:val="nil"/>
          <w:left w:val="nil"/>
          <w:bottom w:val="nil"/>
          <w:right w:val="nil"/>
          <w:between w:val="nil"/>
        </w:pBdr>
        <w:spacing w:before="120" w:after="120"/>
        <w:ind w:left="851" w:right="902"/>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00D26CF2" w:rsidRPr="00AA4C68">
        <w:rPr>
          <w:rFonts w:ascii="Palatino Linotype" w:eastAsia="Palatino Linotype" w:hAnsi="Palatino Linotype" w:cs="Palatino Linotype"/>
          <w:i/>
          <w:sz w:val="22"/>
          <w:szCs w:val="22"/>
        </w:rPr>
        <w:t>RECIBOS DE NOMIAN EN VERSION PUBLICA.</w:t>
      </w:r>
      <w:r w:rsidRPr="00AA4C68">
        <w:rPr>
          <w:rFonts w:ascii="Palatino Linotype" w:eastAsia="Palatino Linotype" w:hAnsi="Palatino Linotype" w:cs="Palatino Linotype"/>
          <w:i/>
          <w:sz w:val="22"/>
          <w:szCs w:val="22"/>
        </w:rPr>
        <w:t>” (sic)</w:t>
      </w:r>
    </w:p>
    <w:p w14:paraId="6759C1B0" w14:textId="7D497A4D" w:rsidR="00562A90" w:rsidRPr="00AA4C68" w:rsidRDefault="00D2332A">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4</w:t>
      </w:r>
      <w:r w:rsidR="00982A43" w:rsidRPr="00AA4C68">
        <w:rPr>
          <w:rFonts w:ascii="Palatino Linotype" w:eastAsia="Palatino Linotype" w:hAnsi="Palatino Linotype" w:cs="Palatino Linotype"/>
          <w:b/>
          <w:sz w:val="22"/>
          <w:szCs w:val="22"/>
        </w:rPr>
        <w:t xml:space="preserve">. </w:t>
      </w:r>
      <w:r w:rsidR="0062255D" w:rsidRPr="00AA4C68">
        <w:rPr>
          <w:rFonts w:ascii="Palatino Linotype" w:eastAsia="Palatino Linotype" w:hAnsi="Palatino Linotype" w:cs="Palatino Linotype"/>
          <w:b/>
          <w:sz w:val="22"/>
          <w:szCs w:val="22"/>
        </w:rPr>
        <w:t xml:space="preserve">Respuesta. </w:t>
      </w:r>
      <w:r w:rsidR="0062255D" w:rsidRPr="00AA4C68">
        <w:rPr>
          <w:rFonts w:ascii="Palatino Linotype" w:eastAsia="Palatino Linotype" w:hAnsi="Palatino Linotype" w:cs="Palatino Linotype"/>
          <w:sz w:val="22"/>
          <w:szCs w:val="22"/>
        </w:rPr>
        <w:t xml:space="preserve">El </w:t>
      </w:r>
      <w:r w:rsidR="007D4D64" w:rsidRPr="00AA4C68">
        <w:rPr>
          <w:rFonts w:ascii="Palatino Linotype" w:eastAsia="Palatino Linotype" w:hAnsi="Palatino Linotype" w:cs="Palatino Linotype"/>
          <w:b/>
          <w:sz w:val="22"/>
          <w:szCs w:val="22"/>
        </w:rPr>
        <w:t>quince</w:t>
      </w:r>
      <w:r w:rsidR="00B402D1" w:rsidRPr="00AA4C68">
        <w:rPr>
          <w:rFonts w:ascii="Palatino Linotype" w:eastAsia="Palatino Linotype" w:hAnsi="Palatino Linotype" w:cs="Palatino Linotype"/>
          <w:b/>
          <w:sz w:val="22"/>
          <w:szCs w:val="22"/>
        </w:rPr>
        <w:t xml:space="preserve"> de diciembre </w:t>
      </w:r>
      <w:r w:rsidR="002F1DF9" w:rsidRPr="00AA4C68">
        <w:rPr>
          <w:rFonts w:ascii="Palatino Linotype" w:eastAsia="Palatino Linotype" w:hAnsi="Palatino Linotype" w:cs="Palatino Linotype"/>
          <w:b/>
          <w:sz w:val="22"/>
          <w:szCs w:val="22"/>
        </w:rPr>
        <w:t xml:space="preserve">de </w:t>
      </w:r>
      <w:r w:rsidR="0062255D" w:rsidRPr="00AA4C68">
        <w:rPr>
          <w:rFonts w:ascii="Palatino Linotype" w:eastAsia="Palatino Linotype" w:hAnsi="Palatino Linotype" w:cs="Palatino Linotype"/>
          <w:b/>
          <w:sz w:val="22"/>
          <w:szCs w:val="22"/>
        </w:rPr>
        <w:t>dos mil veinticinco,</w:t>
      </w:r>
      <w:r w:rsidR="0062255D" w:rsidRPr="00AA4C68">
        <w:rPr>
          <w:rFonts w:ascii="Palatino Linotype" w:eastAsia="Palatino Linotype" w:hAnsi="Palatino Linotype" w:cs="Palatino Linotype"/>
          <w:sz w:val="22"/>
          <w:szCs w:val="22"/>
        </w:rPr>
        <w:t xml:space="preserve"> el </w:t>
      </w:r>
      <w:r w:rsidR="0062255D" w:rsidRPr="00AA4C68">
        <w:rPr>
          <w:rFonts w:ascii="Palatino Linotype" w:eastAsia="Palatino Linotype" w:hAnsi="Palatino Linotype" w:cs="Palatino Linotype"/>
          <w:b/>
          <w:sz w:val="22"/>
          <w:szCs w:val="22"/>
        </w:rPr>
        <w:t xml:space="preserve">Sujeto Obligado </w:t>
      </w:r>
      <w:r w:rsidR="0062255D" w:rsidRPr="00AA4C68">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796878F1" w14:textId="2D55050F" w:rsidR="00562A90" w:rsidRPr="00AA4C68" w:rsidRDefault="0062255D">
      <w:pPr>
        <w:spacing w:before="240" w:after="24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007D4D64" w:rsidRPr="00AA4C68">
        <w:rPr>
          <w:rFonts w:ascii="Palatino Linotype" w:eastAsia="Palatino Linotype" w:hAnsi="Palatino Linotype" w:cs="Palatino Linotype"/>
          <w:i/>
          <w:sz w:val="22"/>
          <w:szCs w:val="22"/>
        </w:rPr>
        <w:t>SE ATIENDE LA SOLICITUD CORRESPONDIENTE MEDIANTE EL OFICIO ADJUNTO.</w:t>
      </w:r>
      <w:r w:rsidR="00B402D1" w:rsidRPr="00AA4C68">
        <w:rPr>
          <w:rFonts w:ascii="Palatino Linotype" w:eastAsia="Palatino Linotype" w:hAnsi="Palatino Linotype" w:cs="Palatino Linotype"/>
          <w:i/>
          <w:sz w:val="22"/>
          <w:szCs w:val="22"/>
        </w:rPr>
        <w:t xml:space="preserve">.. </w:t>
      </w:r>
      <w:r w:rsidRPr="00AA4C68">
        <w:rPr>
          <w:rFonts w:ascii="Palatino Linotype" w:eastAsia="Palatino Linotype" w:hAnsi="Palatino Linotype" w:cs="Palatino Linotype"/>
          <w:i/>
          <w:sz w:val="22"/>
          <w:szCs w:val="22"/>
        </w:rPr>
        <w:t>(sic)</w:t>
      </w:r>
    </w:p>
    <w:p w14:paraId="37F4A6FE" w14:textId="441627F5" w:rsidR="00562A90" w:rsidRPr="00AA4C68" w:rsidRDefault="0062255D" w:rsidP="00B402D1">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El </w:t>
      </w:r>
      <w:r w:rsidRPr="00AA4C68">
        <w:rPr>
          <w:rFonts w:ascii="Palatino Linotype" w:eastAsia="Palatino Linotype" w:hAnsi="Palatino Linotype" w:cs="Palatino Linotype"/>
          <w:b/>
          <w:sz w:val="22"/>
          <w:szCs w:val="22"/>
        </w:rPr>
        <w:t xml:space="preserve">Sujeto Obligado </w:t>
      </w:r>
      <w:r w:rsidR="005B1C0B" w:rsidRPr="00AA4C68">
        <w:rPr>
          <w:rFonts w:ascii="Palatino Linotype" w:eastAsia="Palatino Linotype" w:hAnsi="Palatino Linotype" w:cs="Palatino Linotype"/>
          <w:sz w:val="22"/>
          <w:szCs w:val="22"/>
        </w:rPr>
        <w:t xml:space="preserve">adjuntó </w:t>
      </w:r>
      <w:r w:rsidR="007D4D64" w:rsidRPr="00AA4C68">
        <w:rPr>
          <w:rFonts w:ascii="Palatino Linotype" w:eastAsia="Palatino Linotype" w:hAnsi="Palatino Linotype" w:cs="Palatino Linotype"/>
          <w:sz w:val="22"/>
          <w:szCs w:val="22"/>
        </w:rPr>
        <w:t xml:space="preserve">el oficio </w:t>
      </w:r>
      <w:r w:rsidR="007D4D64" w:rsidRPr="00AA4C68">
        <w:rPr>
          <w:rFonts w:ascii="Palatino Linotype" w:hAnsi="Palatino Linotype"/>
          <w:sz w:val="22"/>
          <w:szCs w:val="22"/>
        </w:rPr>
        <w:t xml:space="preserve">228C4301040000L/1418/2025, mediante el cual la </w:t>
      </w:r>
      <w:r w:rsidR="007D4D64" w:rsidRPr="00AA4C68">
        <w:rPr>
          <w:rFonts w:ascii="Palatino Linotype" w:eastAsia="Palatino Linotype" w:hAnsi="Palatino Linotype" w:cs="Palatino Linotype"/>
          <w:sz w:val="22"/>
          <w:szCs w:val="22"/>
        </w:rPr>
        <w:t xml:space="preserve">titular de la Unidad de Transparencia reiteró que el </w:t>
      </w:r>
      <w:r w:rsidR="007D4D64" w:rsidRPr="00AA4C68">
        <w:rPr>
          <w:rFonts w:ascii="Palatino Linotype" w:hAnsi="Palatino Linotype"/>
          <w:sz w:val="22"/>
          <w:szCs w:val="22"/>
        </w:rPr>
        <w:t>requerimiento no se encuentra preciso ya que no menciona el ejercicio fiscal de los recibos solicitados, sin embargo, en cumplimiento al deber de orientación sugiere a la persona solicitante dirigir</w:t>
      </w:r>
      <w:r w:rsidR="007E3637" w:rsidRPr="00AA4C68">
        <w:rPr>
          <w:rFonts w:ascii="Palatino Linotype" w:hAnsi="Palatino Linotype"/>
          <w:sz w:val="22"/>
          <w:szCs w:val="22"/>
        </w:rPr>
        <w:t>se</w:t>
      </w:r>
      <w:r w:rsidR="007D4D64" w:rsidRPr="00AA4C68">
        <w:rPr>
          <w:rFonts w:ascii="Palatino Linotype" w:hAnsi="Palatino Linotype"/>
          <w:sz w:val="22"/>
          <w:szCs w:val="22"/>
        </w:rPr>
        <w:t xml:space="preserve"> al Sistema de Información Pública de Oficio Mexiquense (IPOMEX 4.0) </w:t>
      </w:r>
      <w:hyperlink r:id="rId9" w:history="1">
        <w:r w:rsidR="007D4D64" w:rsidRPr="00AA4C68">
          <w:rPr>
            <w:rStyle w:val="Hipervnculo"/>
            <w:rFonts w:ascii="Palatino Linotype" w:hAnsi="Palatino Linotype"/>
            <w:color w:val="auto"/>
            <w:sz w:val="22"/>
            <w:szCs w:val="22"/>
          </w:rPr>
          <w:t>https://www.infoem.org.mx/es/contenido/ipomex</w:t>
        </w:r>
      </w:hyperlink>
      <w:r w:rsidR="007D4D64" w:rsidRPr="00AA4C68">
        <w:rPr>
          <w:rFonts w:ascii="Palatino Linotype" w:hAnsi="Palatino Linotype"/>
          <w:sz w:val="22"/>
          <w:szCs w:val="22"/>
        </w:rPr>
        <w:t>, donde encontrara la información que requiere de los servidores públicos.</w:t>
      </w:r>
    </w:p>
    <w:p w14:paraId="15D280BF" w14:textId="48DBFD6E" w:rsidR="00562A90" w:rsidRPr="00AA4C68" w:rsidRDefault="007D4D64">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5</w:t>
      </w:r>
      <w:r w:rsidR="0062255D" w:rsidRPr="00AA4C68">
        <w:rPr>
          <w:rFonts w:ascii="Palatino Linotype" w:eastAsia="Palatino Linotype" w:hAnsi="Palatino Linotype" w:cs="Palatino Linotype"/>
          <w:b/>
          <w:sz w:val="22"/>
          <w:szCs w:val="22"/>
        </w:rPr>
        <w:t xml:space="preserve">. Interposición del recurso de revisión. </w:t>
      </w:r>
      <w:r w:rsidR="0062255D" w:rsidRPr="00AA4C68">
        <w:rPr>
          <w:rFonts w:ascii="Palatino Linotype" w:eastAsia="Palatino Linotype" w:hAnsi="Palatino Linotype" w:cs="Palatino Linotype"/>
          <w:sz w:val="22"/>
          <w:szCs w:val="22"/>
        </w:rPr>
        <w:t xml:space="preserve">Inconforme con los términos de la respuesta emitida por parte del </w:t>
      </w:r>
      <w:r w:rsidR="0062255D" w:rsidRPr="00AA4C68">
        <w:rPr>
          <w:rFonts w:ascii="Palatino Linotype" w:eastAsia="Palatino Linotype" w:hAnsi="Palatino Linotype" w:cs="Palatino Linotype"/>
          <w:b/>
          <w:sz w:val="22"/>
          <w:szCs w:val="22"/>
        </w:rPr>
        <w:t>Sujeto Obligado</w:t>
      </w:r>
      <w:r w:rsidR="0062255D" w:rsidRPr="00AA4C68">
        <w:rPr>
          <w:rFonts w:ascii="Palatino Linotype" w:eastAsia="Palatino Linotype" w:hAnsi="Palatino Linotype" w:cs="Palatino Linotype"/>
          <w:sz w:val="22"/>
          <w:szCs w:val="22"/>
        </w:rPr>
        <w:t xml:space="preserve">, el </w:t>
      </w:r>
      <w:r w:rsidR="005D4F9C" w:rsidRPr="00AA4C68">
        <w:rPr>
          <w:rFonts w:ascii="Palatino Linotype" w:eastAsia="Palatino Linotype" w:hAnsi="Palatino Linotype" w:cs="Palatino Linotype"/>
          <w:b/>
          <w:sz w:val="22"/>
          <w:szCs w:val="22"/>
        </w:rPr>
        <w:t>dieciséis</w:t>
      </w:r>
      <w:r w:rsidR="00155DE2" w:rsidRPr="00AA4C68">
        <w:rPr>
          <w:rFonts w:ascii="Palatino Linotype" w:eastAsia="Palatino Linotype" w:hAnsi="Palatino Linotype" w:cs="Palatino Linotype"/>
          <w:b/>
          <w:sz w:val="22"/>
          <w:szCs w:val="22"/>
        </w:rPr>
        <w:t xml:space="preserve"> de diciembre</w:t>
      </w:r>
      <w:r w:rsidR="00274F92" w:rsidRPr="00AA4C68">
        <w:rPr>
          <w:rFonts w:ascii="Palatino Linotype" w:eastAsia="Palatino Linotype" w:hAnsi="Palatino Linotype" w:cs="Palatino Linotype"/>
          <w:b/>
          <w:sz w:val="22"/>
          <w:szCs w:val="22"/>
        </w:rPr>
        <w:t xml:space="preserve"> </w:t>
      </w:r>
      <w:r w:rsidR="0062255D" w:rsidRPr="00AA4C68">
        <w:rPr>
          <w:rFonts w:ascii="Palatino Linotype" w:eastAsia="Palatino Linotype" w:hAnsi="Palatino Linotype" w:cs="Palatino Linotype"/>
          <w:b/>
          <w:sz w:val="22"/>
          <w:szCs w:val="22"/>
        </w:rPr>
        <w:t>de dos mil veinticinco,</w:t>
      </w:r>
      <w:r w:rsidR="0062255D" w:rsidRPr="00AA4C68">
        <w:rPr>
          <w:rFonts w:ascii="Palatino Linotype" w:eastAsia="Palatino Linotype" w:hAnsi="Palatino Linotype" w:cs="Palatino Linotype"/>
          <w:sz w:val="22"/>
          <w:szCs w:val="22"/>
        </w:rPr>
        <w:t xml:space="preserve"> la parte </w:t>
      </w:r>
      <w:r w:rsidR="0062255D" w:rsidRPr="00AA4C68">
        <w:rPr>
          <w:rFonts w:ascii="Palatino Linotype" w:eastAsia="Palatino Linotype" w:hAnsi="Palatino Linotype" w:cs="Palatino Linotype"/>
          <w:b/>
          <w:sz w:val="22"/>
          <w:szCs w:val="22"/>
        </w:rPr>
        <w:t>Recurrente</w:t>
      </w:r>
      <w:r w:rsidR="0062255D" w:rsidRPr="00AA4C68">
        <w:rPr>
          <w:rFonts w:ascii="Palatino Linotype" w:eastAsia="Palatino Linotype" w:hAnsi="Palatino Linotype" w:cs="Palatino Linotype"/>
          <w:sz w:val="22"/>
          <w:szCs w:val="22"/>
        </w:rPr>
        <w:t xml:space="preserve"> interpuso el recurso de revisión a través de </w:t>
      </w:r>
      <w:r w:rsidR="0062255D" w:rsidRPr="00AA4C68">
        <w:rPr>
          <w:rFonts w:ascii="Palatino Linotype" w:eastAsia="Palatino Linotype" w:hAnsi="Palatino Linotype" w:cs="Palatino Linotype"/>
          <w:b/>
          <w:sz w:val="22"/>
          <w:szCs w:val="22"/>
        </w:rPr>
        <w:t xml:space="preserve">SAIMEX, </w:t>
      </w:r>
      <w:r w:rsidR="0062255D" w:rsidRPr="00AA4C68">
        <w:rPr>
          <w:rFonts w:ascii="Palatino Linotype" w:eastAsia="Palatino Linotype" w:hAnsi="Palatino Linotype" w:cs="Palatino Linotype"/>
          <w:sz w:val="22"/>
          <w:szCs w:val="22"/>
        </w:rPr>
        <w:t>en donde se manifestó de la siguiente manera:</w:t>
      </w:r>
    </w:p>
    <w:p w14:paraId="47A1D1F7" w14:textId="77777777" w:rsidR="00562A90" w:rsidRPr="00AA4C68" w:rsidRDefault="0062255D">
      <w:pPr>
        <w:spacing w:before="240" w:after="240" w:line="360" w:lineRule="auto"/>
        <w:ind w:right="49"/>
        <w:jc w:val="both"/>
        <w:rPr>
          <w:rFonts w:ascii="Palatino Linotype" w:eastAsia="Palatino Linotype" w:hAnsi="Palatino Linotype" w:cs="Palatino Linotype"/>
          <w:b/>
          <w:sz w:val="22"/>
          <w:szCs w:val="22"/>
        </w:rPr>
      </w:pPr>
      <w:r w:rsidRPr="00AA4C68">
        <w:rPr>
          <w:rFonts w:ascii="Palatino Linotype" w:eastAsia="Palatino Linotype" w:hAnsi="Palatino Linotype" w:cs="Palatino Linotype"/>
          <w:b/>
          <w:sz w:val="22"/>
          <w:szCs w:val="22"/>
        </w:rPr>
        <w:t xml:space="preserve">Acto impugnado: </w:t>
      </w:r>
    </w:p>
    <w:p w14:paraId="2600BB83" w14:textId="3885277B" w:rsidR="00562A90" w:rsidRPr="00AA4C68" w:rsidRDefault="0062255D" w:rsidP="00155DE2">
      <w:pPr>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005D4F9C" w:rsidRPr="00AA4C68">
        <w:rPr>
          <w:rFonts w:ascii="Palatino Linotype" w:eastAsia="Palatino Linotype" w:hAnsi="Palatino Linotype" w:cs="Palatino Linotype"/>
          <w:i/>
          <w:sz w:val="22"/>
          <w:szCs w:val="22"/>
        </w:rPr>
        <w:t>ME ESTAN NEGANDO LOS RECIBOS DE NOMINA ARGUMENTANDO QUE ES INFORMACION QUE NO OBRA EN SUS ARCHIVOS.</w:t>
      </w:r>
      <w:r w:rsidRPr="00AA4C68">
        <w:rPr>
          <w:rFonts w:ascii="Palatino Linotype" w:eastAsia="Palatino Linotype" w:hAnsi="Palatino Linotype" w:cs="Palatino Linotype"/>
          <w:i/>
          <w:sz w:val="22"/>
          <w:szCs w:val="22"/>
        </w:rPr>
        <w:t>” (sic)</w:t>
      </w:r>
    </w:p>
    <w:p w14:paraId="6D3A7034" w14:textId="77777777" w:rsidR="00DE3527" w:rsidRPr="00AA4C68" w:rsidRDefault="00DE3527">
      <w:pPr>
        <w:spacing w:line="360" w:lineRule="auto"/>
        <w:jc w:val="both"/>
        <w:rPr>
          <w:rFonts w:ascii="Palatino Linotype" w:eastAsia="Palatino Linotype" w:hAnsi="Palatino Linotype" w:cs="Palatino Linotype"/>
          <w:b/>
          <w:sz w:val="22"/>
          <w:szCs w:val="22"/>
        </w:rPr>
      </w:pPr>
      <w:bookmarkStart w:id="6" w:name="_heading=h.30j0zll" w:colFirst="0" w:colLast="0"/>
      <w:bookmarkEnd w:id="6"/>
    </w:p>
    <w:p w14:paraId="05264EB6" w14:textId="77777777" w:rsidR="00562A90" w:rsidRPr="00AA4C68" w:rsidRDefault="0062255D">
      <w:pPr>
        <w:spacing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Y, Razones o motivos de inconformidad</w:t>
      </w:r>
      <w:r w:rsidRPr="00AA4C68">
        <w:rPr>
          <w:rFonts w:ascii="Palatino Linotype" w:eastAsia="Palatino Linotype" w:hAnsi="Palatino Linotype" w:cs="Palatino Linotype"/>
          <w:sz w:val="22"/>
          <w:szCs w:val="22"/>
        </w:rPr>
        <w:t>:</w:t>
      </w:r>
    </w:p>
    <w:p w14:paraId="29A63F7C" w14:textId="2BC3EC76" w:rsidR="00562A90" w:rsidRPr="00AA4C68" w:rsidRDefault="0062255D">
      <w:pPr>
        <w:tabs>
          <w:tab w:val="left" w:pos="2745"/>
        </w:tabs>
        <w:spacing w:before="240" w:after="24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005D4F9C" w:rsidRPr="00AA4C68">
        <w:rPr>
          <w:rFonts w:ascii="Palatino Linotype" w:eastAsia="Palatino Linotype" w:hAnsi="Palatino Linotype" w:cs="Palatino Linotype"/>
          <w:i/>
          <w:sz w:val="22"/>
          <w:szCs w:val="22"/>
        </w:rPr>
        <w:t>ME NIEGAN INFORMACION, LA LEY ES MUY CLARA NO ES QUE ME "GENEREN EL DOCUMENTO" SOLICTE RECIBOS DE NOMINA, EN TODAS LAS DEPENDENCIAS PUBLICAS SE REMITEN RECIBOS DE NOMINA.</w:t>
      </w:r>
      <w:r w:rsidRPr="00AA4C68">
        <w:rPr>
          <w:rFonts w:ascii="Palatino Linotype" w:eastAsia="Palatino Linotype" w:hAnsi="Palatino Linotype" w:cs="Palatino Linotype"/>
          <w:i/>
          <w:sz w:val="22"/>
          <w:szCs w:val="22"/>
        </w:rPr>
        <w:t>” (sic)</w:t>
      </w:r>
    </w:p>
    <w:p w14:paraId="69DE47B2" w14:textId="62E68CD2" w:rsidR="00562A90" w:rsidRPr="00AA4C68" w:rsidRDefault="005D4F9C">
      <w:pPr>
        <w:spacing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6</w:t>
      </w:r>
      <w:r w:rsidR="0062255D" w:rsidRPr="00AA4C68">
        <w:rPr>
          <w:rFonts w:ascii="Palatino Linotype" w:eastAsia="Palatino Linotype" w:hAnsi="Palatino Linotype" w:cs="Palatino Linotype"/>
          <w:b/>
          <w:sz w:val="22"/>
          <w:szCs w:val="22"/>
        </w:rPr>
        <w:t xml:space="preserve">. Turno. </w:t>
      </w:r>
      <w:r w:rsidR="0062255D" w:rsidRPr="00AA4C68">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0062255D" w:rsidRPr="00AA4C68">
        <w:rPr>
          <w:rFonts w:ascii="Palatino Linotype" w:eastAsia="Palatino Linotype" w:hAnsi="Palatino Linotype" w:cs="Palatino Linotype"/>
          <w:b/>
          <w:sz w:val="22"/>
          <w:szCs w:val="22"/>
        </w:rPr>
        <w:t xml:space="preserve">Guadalupe Ramírez Peña, </w:t>
      </w:r>
      <w:r w:rsidR="0062255D" w:rsidRPr="00AA4C68">
        <w:rPr>
          <w:rFonts w:ascii="Palatino Linotype" w:eastAsia="Palatino Linotype" w:hAnsi="Palatino Linotype" w:cs="Palatino Linotype"/>
          <w:sz w:val="22"/>
          <w:szCs w:val="22"/>
        </w:rPr>
        <w:t>a efecto de que analizara sobre su admisión o su desechamiento.</w:t>
      </w:r>
    </w:p>
    <w:p w14:paraId="0F7154BA" w14:textId="5E97DB15" w:rsidR="00562A90" w:rsidRPr="00AA4C68" w:rsidRDefault="005D4F9C">
      <w:pPr>
        <w:spacing w:before="240" w:after="240" w:line="360" w:lineRule="auto"/>
        <w:jc w:val="both"/>
        <w:rPr>
          <w:rFonts w:ascii="Palatino Linotype" w:eastAsia="Palatino Linotype" w:hAnsi="Palatino Linotype" w:cs="Palatino Linotype"/>
          <w:b/>
          <w:sz w:val="22"/>
          <w:szCs w:val="22"/>
        </w:rPr>
      </w:pPr>
      <w:r w:rsidRPr="00AA4C68">
        <w:rPr>
          <w:rFonts w:ascii="Palatino Linotype" w:eastAsia="Palatino Linotype" w:hAnsi="Palatino Linotype" w:cs="Palatino Linotype"/>
          <w:b/>
          <w:sz w:val="22"/>
          <w:szCs w:val="22"/>
        </w:rPr>
        <w:t>7</w:t>
      </w:r>
      <w:r w:rsidR="0062255D" w:rsidRPr="00AA4C68">
        <w:rPr>
          <w:rFonts w:ascii="Palatino Linotype" w:eastAsia="Palatino Linotype" w:hAnsi="Palatino Linotype" w:cs="Palatino Linotype"/>
          <w:b/>
          <w:sz w:val="22"/>
          <w:szCs w:val="22"/>
        </w:rPr>
        <w:t>. Admisión del Recurso de revisión.</w:t>
      </w:r>
      <w:r w:rsidR="0062255D" w:rsidRPr="00AA4C68">
        <w:rPr>
          <w:rFonts w:ascii="Palatino Linotype" w:eastAsia="Palatino Linotype" w:hAnsi="Palatino Linotype" w:cs="Palatino Linotype"/>
          <w:sz w:val="22"/>
          <w:szCs w:val="22"/>
        </w:rPr>
        <w:t xml:space="preserve"> El</w:t>
      </w:r>
      <w:r w:rsidR="0062255D" w:rsidRPr="00AA4C68">
        <w:rPr>
          <w:rFonts w:ascii="Palatino Linotype" w:eastAsia="Palatino Linotype" w:hAnsi="Palatino Linotype" w:cs="Palatino Linotype"/>
          <w:b/>
          <w:sz w:val="22"/>
          <w:szCs w:val="22"/>
        </w:rPr>
        <w:t xml:space="preserve"> </w:t>
      </w:r>
      <w:r w:rsidRPr="00AA4C68">
        <w:rPr>
          <w:rFonts w:ascii="Palatino Linotype" w:eastAsia="Palatino Linotype" w:hAnsi="Palatino Linotype" w:cs="Palatino Linotype"/>
          <w:b/>
          <w:sz w:val="22"/>
          <w:szCs w:val="22"/>
        </w:rPr>
        <w:t>diecinueve</w:t>
      </w:r>
      <w:r w:rsidR="00847E7A" w:rsidRPr="00AA4C68">
        <w:rPr>
          <w:rFonts w:ascii="Palatino Linotype" w:eastAsia="Palatino Linotype" w:hAnsi="Palatino Linotype" w:cs="Palatino Linotype"/>
          <w:b/>
          <w:sz w:val="22"/>
          <w:szCs w:val="22"/>
        </w:rPr>
        <w:t xml:space="preserve"> de diciembre </w:t>
      </w:r>
      <w:r w:rsidR="0062255D" w:rsidRPr="00AA4C68">
        <w:rPr>
          <w:rFonts w:ascii="Palatino Linotype" w:eastAsia="Palatino Linotype" w:hAnsi="Palatino Linotype" w:cs="Palatino Linotype"/>
          <w:b/>
          <w:sz w:val="22"/>
          <w:szCs w:val="22"/>
        </w:rPr>
        <w:t xml:space="preserve">de dos mil veinticinco, </w:t>
      </w:r>
      <w:r w:rsidR="0062255D" w:rsidRPr="00AA4C68">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62255D" w:rsidRPr="00AA4C68">
        <w:rPr>
          <w:rFonts w:ascii="Palatino Linotype" w:eastAsia="Palatino Linotype" w:hAnsi="Palatino Linotype" w:cs="Palatino Linotype"/>
          <w:b/>
          <w:sz w:val="22"/>
          <w:szCs w:val="22"/>
        </w:rPr>
        <w:t xml:space="preserve">Sujeto Obligado </w:t>
      </w:r>
      <w:r w:rsidR="0062255D" w:rsidRPr="00AA4C68">
        <w:rPr>
          <w:rFonts w:ascii="Palatino Linotype" w:eastAsia="Palatino Linotype" w:hAnsi="Palatino Linotype" w:cs="Palatino Linotype"/>
          <w:sz w:val="22"/>
          <w:szCs w:val="22"/>
        </w:rPr>
        <w:t>presentara su informe justificado.</w:t>
      </w:r>
    </w:p>
    <w:p w14:paraId="6B0B479E" w14:textId="77777777" w:rsidR="0010347F" w:rsidRPr="00AA4C68" w:rsidRDefault="005D4F9C" w:rsidP="0010347F">
      <w:pPr>
        <w:widowControl w:val="0"/>
        <w:spacing w:line="360" w:lineRule="auto"/>
        <w:ind w:right="49"/>
        <w:jc w:val="both"/>
        <w:rPr>
          <w:rFonts w:ascii="Palatino Linotype" w:eastAsia="Palatino Linotype" w:hAnsi="Palatino Linotype" w:cs="Palatino Linotype"/>
          <w:sz w:val="22"/>
          <w:szCs w:val="22"/>
        </w:rPr>
      </w:pPr>
      <w:bookmarkStart w:id="7" w:name="_heading=h.2s8eyo1" w:colFirst="0" w:colLast="0"/>
      <w:bookmarkEnd w:id="7"/>
      <w:r w:rsidRPr="00AA4C68">
        <w:rPr>
          <w:rFonts w:ascii="Palatino Linotype" w:eastAsia="Palatino Linotype" w:hAnsi="Palatino Linotype" w:cs="Palatino Linotype"/>
          <w:b/>
          <w:sz w:val="22"/>
          <w:szCs w:val="22"/>
        </w:rPr>
        <w:t>8</w:t>
      </w:r>
      <w:r w:rsidR="0062255D" w:rsidRPr="00AA4C68">
        <w:rPr>
          <w:rFonts w:ascii="Palatino Linotype" w:eastAsia="Palatino Linotype" w:hAnsi="Palatino Linotype" w:cs="Palatino Linotype"/>
          <w:b/>
          <w:sz w:val="22"/>
          <w:szCs w:val="22"/>
        </w:rPr>
        <w:t>. Manifestaciones</w:t>
      </w:r>
      <w:r w:rsidR="0062255D" w:rsidRPr="00AA4C68">
        <w:rPr>
          <w:rFonts w:ascii="Palatino Linotype" w:eastAsia="Palatino Linotype" w:hAnsi="Palatino Linotype" w:cs="Palatino Linotype"/>
          <w:sz w:val="22"/>
          <w:szCs w:val="22"/>
        </w:rPr>
        <w:t xml:space="preserve">. </w:t>
      </w:r>
      <w:r w:rsidR="0010347F" w:rsidRPr="00AA4C68">
        <w:rPr>
          <w:rFonts w:ascii="Palatino Linotype" w:eastAsia="Palatino Linotype" w:hAnsi="Palatino Linotype" w:cs="Palatino Linotype"/>
          <w:sz w:val="22"/>
          <w:szCs w:val="22"/>
        </w:rPr>
        <w:t xml:space="preserve">De constancias del expediente electrónico del SAIMEX, se observa que el </w:t>
      </w:r>
      <w:r w:rsidR="0010347F" w:rsidRPr="00AA4C68">
        <w:rPr>
          <w:rFonts w:ascii="Palatino Linotype" w:eastAsia="Palatino Linotype" w:hAnsi="Palatino Linotype" w:cs="Palatino Linotype"/>
          <w:b/>
          <w:sz w:val="22"/>
          <w:szCs w:val="22"/>
        </w:rPr>
        <w:t>Sujeto Obligado</w:t>
      </w:r>
      <w:r w:rsidR="0010347F" w:rsidRPr="00AA4C68">
        <w:rPr>
          <w:rFonts w:ascii="Palatino Linotype" w:eastAsia="Palatino Linotype" w:hAnsi="Palatino Linotype" w:cs="Palatino Linotype"/>
          <w:sz w:val="22"/>
          <w:szCs w:val="22"/>
        </w:rPr>
        <w:t xml:space="preserve"> fue omiso en rendir su informe justificado; así como, la parte </w:t>
      </w:r>
      <w:r w:rsidR="0010347F" w:rsidRPr="00AA4C68">
        <w:rPr>
          <w:rFonts w:ascii="Palatino Linotype" w:eastAsia="Palatino Linotype" w:hAnsi="Palatino Linotype" w:cs="Palatino Linotype"/>
          <w:b/>
          <w:sz w:val="22"/>
          <w:szCs w:val="22"/>
        </w:rPr>
        <w:t xml:space="preserve">Recurrente </w:t>
      </w:r>
      <w:r w:rsidR="0010347F" w:rsidRPr="00AA4C68">
        <w:rPr>
          <w:rFonts w:ascii="Palatino Linotype" w:eastAsia="Palatino Linotype" w:hAnsi="Palatino Linotype" w:cs="Palatino Linotype"/>
          <w:sz w:val="22"/>
          <w:szCs w:val="22"/>
        </w:rPr>
        <w:t>fue omisa en hacer valer manifestaciones o rendir alegatos que conforme a derecho resultaran procedentes, como se muestra:</w:t>
      </w:r>
    </w:p>
    <w:p w14:paraId="0DC4536E" w14:textId="1423F72A" w:rsidR="00092F84" w:rsidRPr="00AA4C68" w:rsidRDefault="0010347F" w:rsidP="00092F84">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noProof/>
          <w:sz w:val="22"/>
          <w:szCs w:val="22"/>
        </w:rPr>
        <w:drawing>
          <wp:inline distT="0" distB="0" distL="0" distR="0" wp14:anchorId="42CDB863" wp14:editId="2E34708B">
            <wp:extent cx="5612130" cy="169926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1699260"/>
                    </a:xfrm>
                    <a:prstGeom prst="rect">
                      <a:avLst/>
                    </a:prstGeom>
                  </pic:spPr>
                </pic:pic>
              </a:graphicData>
            </a:graphic>
          </wp:inline>
        </w:drawing>
      </w:r>
    </w:p>
    <w:p w14:paraId="09D27D8F" w14:textId="054DB365" w:rsidR="005D5DC9" w:rsidRPr="00AA4C68" w:rsidRDefault="005D4F9C" w:rsidP="005D5DC9">
      <w:pPr>
        <w:widowControl w:val="0"/>
        <w:spacing w:before="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9</w:t>
      </w:r>
      <w:r w:rsidR="00286DF8" w:rsidRPr="00AA4C68">
        <w:rPr>
          <w:rFonts w:ascii="Palatino Linotype" w:eastAsia="Palatino Linotype" w:hAnsi="Palatino Linotype" w:cs="Palatino Linotype"/>
          <w:b/>
          <w:sz w:val="22"/>
          <w:szCs w:val="22"/>
        </w:rPr>
        <w:t xml:space="preserve">. </w:t>
      </w:r>
      <w:r w:rsidR="005D5DC9" w:rsidRPr="00AA4C68">
        <w:rPr>
          <w:rFonts w:ascii="Palatino Linotype" w:eastAsia="Palatino Linotype" w:hAnsi="Palatino Linotype" w:cs="Palatino Linotype"/>
          <w:b/>
          <w:sz w:val="22"/>
          <w:szCs w:val="22"/>
        </w:rPr>
        <w:t xml:space="preserve">Cierre de instrucción. </w:t>
      </w:r>
      <w:r w:rsidR="005D5DC9" w:rsidRPr="00AA4C6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Pr="00AA4C68">
        <w:rPr>
          <w:rFonts w:ascii="Palatino Linotype" w:eastAsia="Palatino Linotype" w:hAnsi="Palatino Linotype" w:cs="Palatino Linotype"/>
          <w:b/>
          <w:sz w:val="22"/>
          <w:szCs w:val="22"/>
        </w:rPr>
        <w:t>doce</w:t>
      </w:r>
      <w:r w:rsidR="00847E7A" w:rsidRPr="00AA4C68">
        <w:rPr>
          <w:rFonts w:ascii="Palatino Linotype" w:eastAsia="Palatino Linotype" w:hAnsi="Palatino Linotype" w:cs="Palatino Linotype"/>
          <w:b/>
          <w:sz w:val="22"/>
          <w:szCs w:val="22"/>
        </w:rPr>
        <w:t xml:space="preserve"> de febrero </w:t>
      </w:r>
      <w:r w:rsidR="005779AE" w:rsidRPr="00AA4C68">
        <w:rPr>
          <w:rFonts w:ascii="Palatino Linotype" w:eastAsia="Palatino Linotype" w:hAnsi="Palatino Linotype" w:cs="Palatino Linotype"/>
          <w:b/>
          <w:sz w:val="22"/>
          <w:szCs w:val="22"/>
        </w:rPr>
        <w:t>de dos mil veintiséis</w:t>
      </w:r>
      <w:r w:rsidR="005D5DC9" w:rsidRPr="00AA4C68">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F7CA370" w14:textId="6B6556C6" w:rsidR="00C553C6" w:rsidRPr="00AA4C68" w:rsidRDefault="00C553C6" w:rsidP="00C553C6">
      <w:pPr>
        <w:widowControl w:val="0"/>
        <w:spacing w:before="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 xml:space="preserve">10. Ampliación del término para resolver. </w:t>
      </w:r>
      <w:r w:rsidRPr="00AA4C68">
        <w:rPr>
          <w:rFonts w:ascii="Palatino Linotype" w:eastAsia="Palatino Linotype" w:hAnsi="Palatino Linotype" w:cs="Palatino Linotype"/>
          <w:sz w:val="22"/>
          <w:szCs w:val="22"/>
        </w:rPr>
        <w:t>El</w:t>
      </w:r>
      <w:r w:rsidRPr="00AA4C68">
        <w:rPr>
          <w:rFonts w:ascii="Palatino Linotype" w:eastAsia="Palatino Linotype" w:hAnsi="Palatino Linotype" w:cs="Palatino Linotype"/>
          <w:b/>
          <w:sz w:val="22"/>
          <w:szCs w:val="22"/>
        </w:rPr>
        <w:t xml:space="preserve"> doce de febrero de dos mil veintiséis</w:t>
      </w:r>
      <w:r w:rsidRPr="00AA4C68">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1A08A3E4" w14:textId="55B302BB" w:rsidR="005D4F9C" w:rsidRPr="00AA4C68" w:rsidRDefault="005D4F9C" w:rsidP="005D5DC9">
      <w:pPr>
        <w:widowControl w:val="0"/>
        <w:spacing w:before="240" w:line="360" w:lineRule="auto"/>
        <w:jc w:val="both"/>
        <w:rPr>
          <w:rFonts w:ascii="Palatino Linotype" w:eastAsia="Palatino Linotype" w:hAnsi="Palatino Linotype" w:cs="Palatino Linotype"/>
          <w:sz w:val="22"/>
          <w:szCs w:val="22"/>
        </w:rPr>
      </w:pPr>
    </w:p>
    <w:p w14:paraId="53004523" w14:textId="38944F98" w:rsidR="000D6A53" w:rsidRPr="00AA4C68" w:rsidRDefault="0062255D">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1BCBDF5" w14:textId="77777777" w:rsidR="00562A90" w:rsidRPr="00AA4C68" w:rsidRDefault="0062255D">
      <w:pPr>
        <w:widowControl w:val="0"/>
        <w:spacing w:before="240" w:after="240" w:line="360" w:lineRule="auto"/>
        <w:jc w:val="center"/>
        <w:rPr>
          <w:rFonts w:ascii="Palatino Linotype" w:eastAsia="Palatino Linotype" w:hAnsi="Palatino Linotype" w:cs="Palatino Linotype"/>
          <w:b/>
          <w:sz w:val="22"/>
          <w:szCs w:val="22"/>
        </w:rPr>
      </w:pPr>
      <w:r w:rsidRPr="00AA4C68">
        <w:rPr>
          <w:rFonts w:ascii="Palatino Linotype" w:eastAsia="Palatino Linotype" w:hAnsi="Palatino Linotype" w:cs="Palatino Linotype"/>
          <w:b/>
          <w:sz w:val="22"/>
          <w:szCs w:val="22"/>
        </w:rPr>
        <w:t>II. C O N S I D E R A N D O S</w:t>
      </w:r>
    </w:p>
    <w:p w14:paraId="60D021DD" w14:textId="6369A956" w:rsidR="00562A90" w:rsidRPr="00AA4C68" w:rsidRDefault="0062255D">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Primero. Competencia.</w:t>
      </w:r>
      <w:r w:rsidRPr="00AA4C6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5D5DC9" w:rsidRPr="00AA4C68">
        <w:rPr>
          <w:rFonts w:ascii="Palatino Linotype" w:eastAsia="Palatino Linotype" w:hAnsi="Palatino Linotype" w:cs="Palatino Linotype"/>
          <w:sz w:val="22"/>
          <w:szCs w:val="22"/>
        </w:rPr>
        <w:t>5</w:t>
      </w:r>
      <w:r w:rsidR="000E700F" w:rsidRPr="00AA4C68">
        <w:rPr>
          <w:rFonts w:ascii="Palatino Linotype" w:eastAsia="Palatino Linotype" w:hAnsi="Palatino Linotype" w:cs="Palatino Linotype"/>
          <w:sz w:val="22"/>
          <w:szCs w:val="22"/>
        </w:rPr>
        <w:t>,</w:t>
      </w:r>
      <w:r w:rsidR="005D5DC9" w:rsidRPr="00AA4C68">
        <w:rPr>
          <w:rFonts w:ascii="Palatino Linotype" w:eastAsia="Palatino Linotype" w:hAnsi="Palatino Linotype" w:cs="Palatino Linotype"/>
          <w:sz w:val="22"/>
          <w:szCs w:val="22"/>
        </w:rPr>
        <w:t xml:space="preserve"> párrafos </w:t>
      </w:r>
      <w:r w:rsidR="000E700F" w:rsidRPr="00AA4C68">
        <w:rPr>
          <w:rFonts w:ascii="Palatino Linotype" w:eastAsia="Palatino Linotype" w:hAnsi="Palatino Linotype" w:cs="Palatino Linotype"/>
          <w:sz w:val="22"/>
          <w:szCs w:val="22"/>
        </w:rPr>
        <w:t>cuadragésimo cuarto, cuadragésimo quinto cuadragésimo sexto,</w:t>
      </w:r>
      <w:r w:rsidR="005D5DC9" w:rsidRPr="00AA4C68">
        <w:rPr>
          <w:rFonts w:ascii="Palatino Linotype" w:eastAsia="Palatino Linotype" w:hAnsi="Palatino Linotype" w:cs="Palatino Linotype"/>
          <w:sz w:val="22"/>
          <w:szCs w:val="22"/>
        </w:rPr>
        <w:t xml:space="preserve"> fracciones IV y V de la Constitución Política del Estado Libre y Soberano de México; Transitorio Cuarto, párrafo segundo del Decreto número 198 de la “LXII” Legislatura del Estado de México;</w:t>
      </w:r>
      <w:r w:rsidRPr="00AA4C68">
        <w:rPr>
          <w:rFonts w:ascii="Palatino Linotype" w:eastAsia="Palatino Linotype" w:hAnsi="Palatino Linotype" w:cs="Palatino Linotype"/>
          <w:sz w:val="22"/>
          <w:szCs w:val="22"/>
        </w:rPr>
        <w:t xml:space="preserve">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BB00E87" w14:textId="77777777" w:rsidR="00562A90" w:rsidRPr="00AA4C68" w:rsidRDefault="0062255D">
      <w:pPr>
        <w:spacing w:before="240" w:after="240" w:line="360" w:lineRule="auto"/>
        <w:jc w:val="both"/>
        <w:rPr>
          <w:rFonts w:ascii="Palatino Linotype" w:eastAsia="Palatino Linotype" w:hAnsi="Palatino Linotype" w:cs="Palatino Linotype"/>
          <w:sz w:val="22"/>
          <w:szCs w:val="22"/>
        </w:rPr>
      </w:pPr>
      <w:bookmarkStart w:id="8" w:name="_heading=h.tyjcwt" w:colFirst="0" w:colLast="0"/>
      <w:bookmarkEnd w:id="8"/>
      <w:r w:rsidRPr="00AA4C68">
        <w:rPr>
          <w:rFonts w:ascii="Palatino Linotype" w:eastAsia="Palatino Linotype" w:hAnsi="Palatino Linotype" w:cs="Palatino Linotype"/>
          <w:b/>
          <w:sz w:val="22"/>
          <w:szCs w:val="22"/>
        </w:rPr>
        <w:t>Segundo. Oportunidad y Procedibilidad del Recurso de Revisión</w:t>
      </w:r>
      <w:r w:rsidRPr="00AA4C68">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1C2A1275" w14:textId="606C4BAC" w:rsidR="00562A90" w:rsidRPr="00AA4C68" w:rsidRDefault="0062255D" w:rsidP="00623173">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AA4C68">
        <w:rPr>
          <w:rFonts w:ascii="Palatino Linotype" w:eastAsia="Palatino Linotype" w:hAnsi="Palatino Linotype" w:cs="Palatino Linotype"/>
          <w:b/>
          <w:sz w:val="22"/>
          <w:szCs w:val="22"/>
        </w:rPr>
        <w:t xml:space="preserve">Sujeto Obligado </w:t>
      </w:r>
      <w:r w:rsidRPr="00AA4C68">
        <w:rPr>
          <w:rFonts w:ascii="Palatino Linotype" w:eastAsia="Palatino Linotype" w:hAnsi="Palatino Linotype" w:cs="Palatino Linotype"/>
          <w:sz w:val="22"/>
          <w:szCs w:val="22"/>
        </w:rPr>
        <w:t xml:space="preserve">remitió la respuesta a la </w:t>
      </w:r>
      <w:r w:rsidR="000D6A53" w:rsidRPr="00AA4C68">
        <w:rPr>
          <w:rFonts w:ascii="Palatino Linotype" w:eastAsia="Palatino Linotype" w:hAnsi="Palatino Linotype" w:cs="Palatino Linotype"/>
          <w:sz w:val="22"/>
          <w:szCs w:val="22"/>
        </w:rPr>
        <w:t xml:space="preserve">solicitud de información el día </w:t>
      </w:r>
      <w:r w:rsidR="00A83C55" w:rsidRPr="00AA4C68">
        <w:rPr>
          <w:rFonts w:ascii="Palatino Linotype" w:eastAsia="Palatino Linotype" w:hAnsi="Palatino Linotype" w:cs="Palatino Linotype"/>
          <w:b/>
          <w:sz w:val="22"/>
          <w:szCs w:val="22"/>
        </w:rPr>
        <w:t>quince</w:t>
      </w:r>
      <w:r w:rsidR="000D6A53" w:rsidRPr="00AA4C68">
        <w:rPr>
          <w:rFonts w:ascii="Palatino Linotype" w:eastAsia="Palatino Linotype" w:hAnsi="Palatino Linotype" w:cs="Palatino Linotype"/>
          <w:sz w:val="22"/>
          <w:szCs w:val="22"/>
        </w:rPr>
        <w:t xml:space="preserve"> </w:t>
      </w:r>
      <w:r w:rsidR="00F66594" w:rsidRPr="00AA4C68">
        <w:rPr>
          <w:rFonts w:ascii="Palatino Linotype" w:eastAsia="Palatino Linotype" w:hAnsi="Palatino Linotype" w:cs="Palatino Linotype"/>
          <w:b/>
          <w:sz w:val="22"/>
          <w:szCs w:val="22"/>
        </w:rPr>
        <w:t xml:space="preserve">de </w:t>
      </w:r>
      <w:r w:rsidR="00E5253C" w:rsidRPr="00AA4C68">
        <w:rPr>
          <w:rFonts w:ascii="Palatino Linotype" w:eastAsia="Palatino Linotype" w:hAnsi="Palatino Linotype" w:cs="Palatino Linotype"/>
          <w:b/>
          <w:sz w:val="22"/>
          <w:szCs w:val="22"/>
        </w:rPr>
        <w:t xml:space="preserve">diciembre </w:t>
      </w:r>
      <w:r w:rsidR="00F66594" w:rsidRPr="00AA4C68">
        <w:rPr>
          <w:rFonts w:ascii="Palatino Linotype" w:eastAsia="Palatino Linotype" w:hAnsi="Palatino Linotype" w:cs="Palatino Linotype"/>
          <w:b/>
          <w:sz w:val="22"/>
          <w:szCs w:val="22"/>
        </w:rPr>
        <w:t>de dos m</w:t>
      </w:r>
      <w:r w:rsidR="00AF72B6" w:rsidRPr="00AA4C68">
        <w:rPr>
          <w:rFonts w:ascii="Palatino Linotype" w:eastAsia="Palatino Linotype" w:hAnsi="Palatino Linotype" w:cs="Palatino Linotype"/>
          <w:b/>
          <w:sz w:val="22"/>
          <w:szCs w:val="22"/>
        </w:rPr>
        <w:t>il veinticinco</w:t>
      </w:r>
      <w:r w:rsidRPr="00AA4C68">
        <w:rPr>
          <w:rFonts w:ascii="Palatino Linotype" w:eastAsia="Palatino Linotype" w:hAnsi="Palatino Linotype" w:cs="Palatino Linotype"/>
          <w:b/>
          <w:sz w:val="22"/>
          <w:szCs w:val="22"/>
        </w:rPr>
        <w:t xml:space="preserve">, </w:t>
      </w:r>
      <w:r w:rsidRPr="00AA4C68">
        <w:rPr>
          <w:rFonts w:ascii="Palatino Linotype" w:eastAsia="Palatino Linotype" w:hAnsi="Palatino Linotype" w:cs="Palatino Linotype"/>
          <w:sz w:val="22"/>
          <w:szCs w:val="22"/>
        </w:rPr>
        <w:t xml:space="preserve">mientras que el recurso de revisión interpuesto por la parte </w:t>
      </w:r>
      <w:r w:rsidRPr="00AA4C68">
        <w:rPr>
          <w:rFonts w:ascii="Palatino Linotype" w:eastAsia="Palatino Linotype" w:hAnsi="Palatino Linotype" w:cs="Palatino Linotype"/>
          <w:b/>
          <w:sz w:val="22"/>
          <w:szCs w:val="22"/>
        </w:rPr>
        <w:t xml:space="preserve">Recurrente, </w:t>
      </w:r>
      <w:r w:rsidRPr="00AA4C68">
        <w:rPr>
          <w:rFonts w:ascii="Palatino Linotype" w:eastAsia="Palatino Linotype" w:hAnsi="Palatino Linotype" w:cs="Palatino Linotype"/>
          <w:sz w:val="22"/>
          <w:szCs w:val="22"/>
        </w:rPr>
        <w:t>se tuvo por presentado el día</w:t>
      </w:r>
      <w:r w:rsidR="009E66E4" w:rsidRPr="00AA4C68">
        <w:rPr>
          <w:rFonts w:ascii="Palatino Linotype" w:eastAsia="Palatino Linotype" w:hAnsi="Palatino Linotype" w:cs="Palatino Linotype"/>
          <w:b/>
          <w:sz w:val="22"/>
          <w:szCs w:val="22"/>
        </w:rPr>
        <w:t xml:space="preserve"> </w:t>
      </w:r>
      <w:r w:rsidR="00A83C55" w:rsidRPr="00AA4C68">
        <w:rPr>
          <w:rFonts w:ascii="Palatino Linotype" w:eastAsia="Palatino Linotype" w:hAnsi="Palatino Linotype" w:cs="Palatino Linotype"/>
          <w:b/>
          <w:sz w:val="22"/>
          <w:szCs w:val="22"/>
        </w:rPr>
        <w:t xml:space="preserve">dieciséis </w:t>
      </w:r>
      <w:r w:rsidR="00E5253C" w:rsidRPr="00AA4C68">
        <w:rPr>
          <w:rFonts w:ascii="Palatino Linotype" w:eastAsia="Palatino Linotype" w:hAnsi="Palatino Linotype" w:cs="Palatino Linotype"/>
          <w:b/>
          <w:sz w:val="22"/>
          <w:szCs w:val="22"/>
        </w:rPr>
        <w:t>de diciembre</w:t>
      </w:r>
      <w:r w:rsidR="00F66594" w:rsidRPr="00AA4C68">
        <w:rPr>
          <w:rFonts w:ascii="Palatino Linotype" w:eastAsia="Palatino Linotype" w:hAnsi="Palatino Linotype" w:cs="Palatino Linotype"/>
          <w:b/>
          <w:sz w:val="22"/>
          <w:szCs w:val="22"/>
        </w:rPr>
        <w:t xml:space="preserve"> de dos mil veinticinco</w:t>
      </w:r>
      <w:r w:rsidRPr="00AA4C68">
        <w:rPr>
          <w:rFonts w:ascii="Palatino Linotype" w:eastAsia="Palatino Linotype" w:hAnsi="Palatino Linotype" w:cs="Palatino Linotype"/>
          <w:b/>
          <w:sz w:val="22"/>
          <w:szCs w:val="22"/>
        </w:rPr>
        <w:t xml:space="preserve">, </w:t>
      </w:r>
      <w:r w:rsidRPr="00AA4C68">
        <w:rPr>
          <w:rFonts w:ascii="Palatino Linotype" w:eastAsia="Palatino Linotype" w:hAnsi="Palatino Linotype" w:cs="Palatino Linotype"/>
          <w:sz w:val="22"/>
          <w:szCs w:val="22"/>
        </w:rPr>
        <w:t>esto es</w:t>
      </w:r>
      <w:r w:rsidR="00AF72B6" w:rsidRPr="00AA4C68">
        <w:rPr>
          <w:rFonts w:ascii="Palatino Linotype" w:eastAsia="Palatino Linotype" w:hAnsi="Palatino Linotype" w:cs="Palatino Linotype"/>
          <w:sz w:val="22"/>
          <w:szCs w:val="22"/>
        </w:rPr>
        <w:t xml:space="preserve">, </w:t>
      </w:r>
      <w:r w:rsidR="00A83C55" w:rsidRPr="00AA4C68">
        <w:rPr>
          <w:rFonts w:ascii="Palatino Linotype" w:eastAsia="Palatino Linotype" w:hAnsi="Palatino Linotype" w:cs="Palatino Linotype"/>
          <w:sz w:val="22"/>
          <w:szCs w:val="22"/>
        </w:rPr>
        <w:t xml:space="preserve">al día siguiente </w:t>
      </w:r>
      <w:r w:rsidRPr="00AA4C68">
        <w:rPr>
          <w:rFonts w:ascii="Palatino Linotype" w:eastAsia="Palatino Linotype" w:hAnsi="Palatino Linotype" w:cs="Palatino Linotype"/>
          <w:sz w:val="22"/>
          <w:szCs w:val="22"/>
        </w:rPr>
        <w:t>en el que tuvo conocimiento de la respuesta impugnada. En este sentido, se concluye que el presente recurso de revisión se encuentra dentro de los márgenes temporales previstos en las disposiciones legales referidas.</w:t>
      </w:r>
    </w:p>
    <w:p w14:paraId="6955F31C" w14:textId="77777777" w:rsidR="00F87545" w:rsidRPr="00AA4C68" w:rsidRDefault="00F87545" w:rsidP="00F87545">
      <w:pPr>
        <w:spacing w:before="240" w:after="240" w:line="360" w:lineRule="auto"/>
        <w:jc w:val="both"/>
        <w:rPr>
          <w:rFonts w:ascii="Palatino Linotype" w:hAnsi="Palatino Linotype"/>
          <w:sz w:val="22"/>
          <w:szCs w:val="22"/>
        </w:rPr>
      </w:pPr>
      <w:r w:rsidRPr="00AA4C68">
        <w:rPr>
          <w:rFonts w:ascii="Palatino Linotype" w:hAnsi="Palatino Linotype"/>
          <w:sz w:val="22"/>
          <w:szCs w:val="22"/>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215C6E5D" w14:textId="77777777" w:rsidR="00F87545" w:rsidRPr="00AA4C68" w:rsidRDefault="00F87545" w:rsidP="00F87545">
      <w:pPr>
        <w:spacing w:before="120" w:after="120"/>
        <w:ind w:left="851" w:right="902"/>
        <w:jc w:val="both"/>
        <w:rPr>
          <w:rFonts w:ascii="Palatino Linotype" w:hAnsi="Palatino Linotype"/>
          <w:i/>
          <w:sz w:val="22"/>
          <w:szCs w:val="22"/>
        </w:rPr>
      </w:pPr>
      <w:r w:rsidRPr="00AA4C68">
        <w:rPr>
          <w:rFonts w:ascii="Palatino Linotype" w:hAnsi="Palatino Linotype"/>
          <w:b/>
          <w:i/>
          <w:sz w:val="22"/>
          <w:szCs w:val="22"/>
        </w:rPr>
        <w:t>“RECURSO DE RECLAMACIÓN. SU INTERPOSICIÓN NO ES EXTEMPORÁNEA SI SE REALIZA ANTES DE QUE INICIE EL PLAZO PARA HACERLO</w:t>
      </w:r>
      <w:r w:rsidRPr="00AA4C68">
        <w:rPr>
          <w:rFonts w:ascii="Palatino Linotype" w:hAnsi="Palatino Linotype"/>
          <w:i/>
          <w:sz w:val="22"/>
          <w:szCs w:val="22"/>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1B42C6EE" w14:textId="77777777" w:rsidR="00044464" w:rsidRPr="00AA4C68" w:rsidRDefault="00044464" w:rsidP="00044464">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Al mismo tiempo, por cuanto hace a la procedibilidad de los recursos de revisión, una vez realizado el análisis de los formatos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51C625F6" w14:textId="6AC5098A" w:rsidR="00562A90" w:rsidRPr="00AA4C68" w:rsidRDefault="0062255D">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AA4C68">
        <w:rPr>
          <w:rFonts w:ascii="Palatino Linotype" w:eastAsia="Palatino Linotype" w:hAnsi="Palatino Linotype" w:cs="Palatino Linotype"/>
          <w:b/>
          <w:sz w:val="22"/>
          <w:szCs w:val="22"/>
        </w:rPr>
        <w:t>Recurrente</w:t>
      </w:r>
      <w:r w:rsidRPr="00AA4C68">
        <w:rPr>
          <w:rFonts w:ascii="Palatino Linotype" w:eastAsia="Palatino Linotype" w:hAnsi="Palatino Linotype" w:cs="Palatino Linotype"/>
          <w:sz w:val="22"/>
          <w:szCs w:val="22"/>
        </w:rPr>
        <w:t xml:space="preserve"> en sus motivos de inconformidad, de a</w:t>
      </w:r>
      <w:r w:rsidR="00AF72B6" w:rsidRPr="00AA4C68">
        <w:rPr>
          <w:rFonts w:ascii="Palatino Linotype" w:eastAsia="Palatino Linotype" w:hAnsi="Palatino Linotype" w:cs="Palatino Linotype"/>
          <w:sz w:val="22"/>
          <w:szCs w:val="22"/>
        </w:rPr>
        <w:t>cu</w:t>
      </w:r>
      <w:r w:rsidR="00623173" w:rsidRPr="00AA4C68">
        <w:rPr>
          <w:rFonts w:ascii="Palatino Linotype" w:eastAsia="Palatino Linotype" w:hAnsi="Palatino Linotype" w:cs="Palatino Linotype"/>
          <w:sz w:val="22"/>
          <w:szCs w:val="22"/>
        </w:rPr>
        <w:t xml:space="preserve">erdo al artículo 179, fracción </w:t>
      </w:r>
      <w:r w:rsidR="00E5253C" w:rsidRPr="00AA4C68">
        <w:rPr>
          <w:rFonts w:ascii="Palatino Linotype" w:eastAsia="Palatino Linotype" w:hAnsi="Palatino Linotype" w:cs="Palatino Linotype"/>
          <w:sz w:val="22"/>
          <w:szCs w:val="22"/>
        </w:rPr>
        <w:t>I</w:t>
      </w:r>
      <w:r w:rsidR="00AF72B6"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sz w:val="22"/>
          <w:szCs w:val="22"/>
        </w:rPr>
        <w:t>del ordenamiento legal citado, que a la letra dice: </w:t>
      </w:r>
    </w:p>
    <w:p w14:paraId="39AB3B04" w14:textId="77777777" w:rsidR="00562A90" w:rsidRPr="00AA4C68" w:rsidRDefault="0062255D" w:rsidP="00AF51BA">
      <w:pPr>
        <w:tabs>
          <w:tab w:val="left" w:pos="7938"/>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Pr="00AA4C68">
        <w:rPr>
          <w:rFonts w:ascii="Palatino Linotype" w:eastAsia="Palatino Linotype" w:hAnsi="Palatino Linotype" w:cs="Palatino Linotype"/>
          <w:b/>
          <w:i/>
          <w:sz w:val="22"/>
          <w:szCs w:val="22"/>
        </w:rPr>
        <w:t>Artículo 179.</w:t>
      </w:r>
      <w:r w:rsidRPr="00AA4C68">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217B120C" w14:textId="6E692547" w:rsidR="00562A90" w:rsidRPr="00AA4C68" w:rsidRDefault="00E5253C" w:rsidP="00AF51BA">
      <w:pPr>
        <w:tabs>
          <w:tab w:val="left" w:pos="7938"/>
        </w:tabs>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w:t>
      </w:r>
      <w:r w:rsidRPr="00AA4C68">
        <w:rPr>
          <w:rFonts w:ascii="Palatino Linotype" w:eastAsia="Palatino Linotype" w:hAnsi="Palatino Linotype" w:cs="Palatino Linotype"/>
          <w:i/>
          <w:sz w:val="22"/>
          <w:szCs w:val="22"/>
        </w:rPr>
        <w:t xml:space="preserve"> La negativa a la información solicitada;</w:t>
      </w:r>
      <w:r w:rsidR="0062255D" w:rsidRPr="00AA4C68">
        <w:rPr>
          <w:rFonts w:ascii="Palatino Linotype" w:eastAsia="Palatino Linotype" w:hAnsi="Palatino Linotype" w:cs="Palatino Linotype"/>
          <w:i/>
          <w:sz w:val="22"/>
          <w:szCs w:val="22"/>
        </w:rPr>
        <w:t>”</w:t>
      </w:r>
    </w:p>
    <w:p w14:paraId="09700F89" w14:textId="77777777" w:rsidR="00562A90" w:rsidRPr="00AA4C68" w:rsidRDefault="0062255D">
      <w:pPr>
        <w:spacing w:before="240" w:after="240" w:line="360" w:lineRule="auto"/>
        <w:jc w:val="both"/>
        <w:rPr>
          <w:rFonts w:ascii="Palatino Linotype" w:eastAsia="Palatino Linotype" w:hAnsi="Palatino Linotype" w:cs="Palatino Linotype"/>
          <w:b/>
          <w:sz w:val="22"/>
          <w:szCs w:val="22"/>
        </w:rPr>
      </w:pPr>
      <w:r w:rsidRPr="00AA4C68">
        <w:rPr>
          <w:rFonts w:ascii="Palatino Linotype" w:eastAsia="Palatino Linotype" w:hAnsi="Palatino Linotype" w:cs="Palatino Linotype"/>
          <w:b/>
          <w:sz w:val="22"/>
          <w:szCs w:val="22"/>
        </w:rPr>
        <w:t xml:space="preserve">Tercero. Materia de la revisión. </w:t>
      </w:r>
      <w:r w:rsidRPr="00AA4C68">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AA4C68">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AA4C68">
        <w:rPr>
          <w:rFonts w:ascii="Palatino Linotype" w:eastAsia="Palatino Linotype" w:hAnsi="Palatino Linotype" w:cs="Palatino Linotype"/>
          <w:sz w:val="22"/>
          <w:szCs w:val="22"/>
        </w:rPr>
        <w:t xml:space="preserve">de la parte </w:t>
      </w:r>
      <w:r w:rsidRPr="00AA4C68">
        <w:rPr>
          <w:rFonts w:ascii="Palatino Linotype" w:eastAsia="Palatino Linotype" w:hAnsi="Palatino Linotype" w:cs="Palatino Linotype"/>
          <w:b/>
          <w:sz w:val="22"/>
          <w:szCs w:val="22"/>
        </w:rPr>
        <w:t>Recurrente</w:t>
      </w:r>
      <w:r w:rsidRPr="00AA4C68">
        <w:rPr>
          <w:rFonts w:ascii="Palatino Linotype" w:eastAsia="Palatino Linotype" w:hAnsi="Palatino Linotype" w:cs="Palatino Linotype"/>
          <w:sz w:val="22"/>
          <w:szCs w:val="22"/>
        </w:rPr>
        <w:t>, o en su defecto, en caso de ser procedente, ordenar la entrega de información.</w:t>
      </w:r>
    </w:p>
    <w:p w14:paraId="2B109E96" w14:textId="77777777" w:rsidR="00562A90" w:rsidRPr="00AA4C68" w:rsidRDefault="0062255D">
      <w:pPr>
        <w:spacing w:before="240" w:after="240" w:line="360" w:lineRule="auto"/>
        <w:jc w:val="both"/>
        <w:rPr>
          <w:rFonts w:ascii="Palatino Linotype" w:eastAsia="Palatino Linotype" w:hAnsi="Palatino Linotype" w:cs="Palatino Linotype"/>
          <w:sz w:val="22"/>
          <w:szCs w:val="22"/>
        </w:rPr>
      </w:pPr>
      <w:bookmarkStart w:id="9" w:name="_heading=h.2et92p0" w:colFirst="0" w:colLast="0"/>
      <w:bookmarkEnd w:id="9"/>
      <w:r w:rsidRPr="00AA4C68">
        <w:rPr>
          <w:rFonts w:ascii="Palatino Linotype" w:eastAsia="Palatino Linotype" w:hAnsi="Palatino Linotype" w:cs="Palatino Linotype"/>
          <w:b/>
          <w:sz w:val="22"/>
          <w:szCs w:val="22"/>
        </w:rPr>
        <w:t xml:space="preserve">Cuarto. Estudio del asunto. </w:t>
      </w:r>
      <w:r w:rsidRPr="00AA4C68">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7A0B397" w14:textId="77777777" w:rsidR="00562A90" w:rsidRPr="00AA4C68" w:rsidRDefault="0062255D">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Pr="00AA4C68">
        <w:rPr>
          <w:rFonts w:ascii="Palatino Linotype" w:eastAsia="Palatino Linotype" w:hAnsi="Palatino Linotype" w:cs="Palatino Linotype"/>
          <w:b/>
          <w:i/>
          <w:sz w:val="22"/>
          <w:szCs w:val="22"/>
        </w:rPr>
        <w:t>Artículo 4</w:t>
      </w:r>
      <w:r w:rsidRPr="00AA4C68">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B166C31" w14:textId="77777777" w:rsidR="00562A90" w:rsidRPr="00AA4C68" w:rsidRDefault="0062255D">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AA4C68">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6416075" w14:textId="77777777" w:rsidR="00562A90" w:rsidRPr="00AA4C68" w:rsidRDefault="0062255D">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AA4C68">
        <w:rPr>
          <w:rFonts w:ascii="Palatino Linotype" w:eastAsia="Palatino Linotype" w:hAnsi="Palatino Linotype" w:cs="Palatino Linotype"/>
          <w:i/>
          <w:sz w:val="22"/>
          <w:szCs w:val="22"/>
        </w:rPr>
        <w:t>.”</w:t>
      </w:r>
    </w:p>
    <w:p w14:paraId="651E1502" w14:textId="77777777" w:rsidR="00562A90" w:rsidRPr="00AA4C68" w:rsidRDefault="0062255D">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E18E9E2" w14:textId="77777777" w:rsidR="00562A90" w:rsidRPr="00AA4C68" w:rsidRDefault="0062255D">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“Artículo 12.-</w:t>
      </w:r>
      <w:r w:rsidRPr="00AA4C68">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2CD15C1E" w14:textId="77777777" w:rsidR="00562A90" w:rsidRPr="00AA4C68" w:rsidRDefault="0062255D">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AA4C68">
        <w:rPr>
          <w:rFonts w:ascii="Palatino Linotype" w:eastAsia="Palatino Linotype" w:hAnsi="Palatino Linotype" w:cs="Palatino Linotype"/>
          <w:i/>
          <w:sz w:val="22"/>
          <w:szCs w:val="22"/>
        </w:rPr>
        <w:t xml:space="preserve">. </w:t>
      </w:r>
      <w:r w:rsidRPr="00AA4C68">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76C7BCA4" w14:textId="77777777" w:rsidR="00562A90" w:rsidRPr="00AA4C68" w:rsidRDefault="0062255D">
      <w:pPr>
        <w:spacing w:before="240" w:after="240" w:line="360" w:lineRule="auto"/>
        <w:ind w:right="-93"/>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679CE64C" w14:textId="77777777" w:rsidR="00562A90" w:rsidRPr="00AA4C68" w:rsidRDefault="0062255D">
      <w:pPr>
        <w:spacing w:before="240" w:after="240" w:line="360" w:lineRule="auto"/>
        <w:jc w:val="both"/>
        <w:rPr>
          <w:rFonts w:ascii="Palatino Linotype" w:eastAsia="Palatino Linotype" w:hAnsi="Palatino Linotype" w:cs="Palatino Linotype"/>
          <w:b/>
          <w:sz w:val="22"/>
          <w:szCs w:val="22"/>
        </w:rPr>
      </w:pPr>
      <w:r w:rsidRPr="00AA4C68">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AA4C68">
        <w:rPr>
          <w:rFonts w:ascii="Palatino Linotype" w:eastAsia="Palatino Linotype" w:hAnsi="Palatino Linotype" w:cs="Palatino Linotype"/>
          <w:b/>
          <w:sz w:val="22"/>
          <w:szCs w:val="22"/>
        </w:rPr>
        <w:t xml:space="preserve"> </w:t>
      </w:r>
    </w:p>
    <w:p w14:paraId="093BE23B" w14:textId="77777777" w:rsidR="00562A90" w:rsidRPr="00AA4C68" w:rsidRDefault="0062255D">
      <w:pPr>
        <w:spacing w:before="120" w:after="120"/>
        <w:ind w:left="1134"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 xml:space="preserve"> “</w:t>
      </w:r>
      <w:r w:rsidRPr="00AA4C68">
        <w:rPr>
          <w:rFonts w:ascii="Palatino Linotype" w:eastAsia="Palatino Linotype" w:hAnsi="Palatino Linotype" w:cs="Palatino Linotype"/>
          <w:b/>
          <w:i/>
          <w:sz w:val="22"/>
          <w:szCs w:val="22"/>
        </w:rPr>
        <w:t>No existe obligación de elaborar documentos ad hoc para atender las solicitudes de acceso a la información.</w:t>
      </w:r>
      <w:r w:rsidRPr="00AA4C68">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962A522" w14:textId="77777777" w:rsidR="00562A90" w:rsidRPr="00AA4C68" w:rsidRDefault="0062255D">
      <w:pPr>
        <w:spacing w:before="120" w:after="12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865EFEE" w14:textId="77777777" w:rsidR="00562A90" w:rsidRPr="00AA4C68" w:rsidRDefault="0062255D">
      <w:pPr>
        <w:spacing w:before="120" w:after="12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39B24A7D" w14:textId="77777777" w:rsidR="00562A90" w:rsidRPr="00AA4C68"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Pr="00AA4C68">
        <w:rPr>
          <w:rFonts w:ascii="Palatino Linotype" w:eastAsia="Palatino Linotype" w:hAnsi="Palatino Linotype" w:cs="Palatino Linotype"/>
          <w:b/>
          <w:i/>
          <w:sz w:val="22"/>
          <w:szCs w:val="22"/>
        </w:rPr>
        <w:t xml:space="preserve">Artículo 3. </w:t>
      </w:r>
      <w:r w:rsidRPr="00AA4C68">
        <w:rPr>
          <w:rFonts w:ascii="Palatino Linotype" w:eastAsia="Palatino Linotype" w:hAnsi="Palatino Linotype" w:cs="Palatino Linotype"/>
          <w:i/>
          <w:sz w:val="22"/>
          <w:szCs w:val="22"/>
        </w:rPr>
        <w:t>Para los efectos de la presente Ley se entenderá por:</w:t>
      </w:r>
    </w:p>
    <w:p w14:paraId="07E06CC3" w14:textId="77777777" w:rsidR="00562A90" w:rsidRPr="00AA4C68"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p>
    <w:p w14:paraId="47B93607" w14:textId="77777777" w:rsidR="00562A90" w:rsidRPr="00AA4C68"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XI. Documento:</w:t>
      </w:r>
      <w:r w:rsidRPr="00AA4C68">
        <w:rPr>
          <w:rFonts w:ascii="Palatino Linotype" w:eastAsia="Palatino Linotype" w:hAnsi="Palatino Linotype" w:cs="Palatino Linotype"/>
          <w:i/>
          <w:sz w:val="22"/>
          <w:szCs w:val="22"/>
        </w:rPr>
        <w:t xml:space="preserve"> Los expedientes, reportes, estudios, actas</w:t>
      </w:r>
      <w:r w:rsidRPr="00AA4C68">
        <w:rPr>
          <w:rFonts w:ascii="Palatino Linotype" w:eastAsia="Palatino Linotype" w:hAnsi="Palatino Linotype" w:cs="Palatino Linotype"/>
          <w:b/>
          <w:i/>
          <w:sz w:val="22"/>
          <w:szCs w:val="22"/>
        </w:rPr>
        <w:t>,</w:t>
      </w:r>
      <w:r w:rsidRPr="00AA4C68">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275A856F" w14:textId="77777777" w:rsidR="00562A90" w:rsidRPr="00AA4C68" w:rsidRDefault="0062255D">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6BDB376" w14:textId="77777777" w:rsidR="00562A90" w:rsidRPr="00AA4C68" w:rsidRDefault="0062255D" w:rsidP="00AF72B6">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sz w:val="22"/>
          <w:szCs w:val="22"/>
        </w:rPr>
        <w:t>“</w:t>
      </w:r>
      <w:r w:rsidRPr="00AA4C68">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AA4C68">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69AA24A" w14:textId="77777777" w:rsidR="00562A90" w:rsidRPr="00AA4C68" w:rsidRDefault="0062255D" w:rsidP="00AF72B6">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3550C45B" w14:textId="77777777" w:rsidR="00562A90" w:rsidRPr="00AA4C68" w:rsidRDefault="0062255D" w:rsidP="00AF72B6">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68997DE" w14:textId="77777777" w:rsidR="00562A90" w:rsidRPr="00AA4C68" w:rsidRDefault="0062255D" w:rsidP="00AF72B6">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1794246D" w14:textId="77777777" w:rsidR="00562A90" w:rsidRPr="00AA4C68" w:rsidRDefault="0062255D" w:rsidP="00AF72B6">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14:paraId="294617FB" w14:textId="77777777" w:rsidR="00562A90" w:rsidRPr="00AA4C68" w:rsidRDefault="0062255D">
      <w:pPr>
        <w:spacing w:before="240" w:after="240" w:line="360" w:lineRule="auto"/>
        <w:ind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112BC5F" w14:textId="6AED6107" w:rsidR="00562A90" w:rsidRPr="00AA4C68" w:rsidRDefault="0062255D">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En el mismo tenor, los artículos 6, apartado A, fracción I, de la Constitución Política de los Estados Unidos Mexicanos y 5,</w:t>
      </w:r>
      <w:r w:rsidR="00CB6CDB" w:rsidRPr="00AA4C68">
        <w:rPr>
          <w:rFonts w:ascii="Palatino Linotype" w:eastAsia="Palatino Linotype" w:hAnsi="Palatino Linotype" w:cs="Palatino Linotype"/>
          <w:sz w:val="22"/>
          <w:szCs w:val="22"/>
        </w:rPr>
        <w:t xml:space="preserve"> párrafo cuadragésimo sexto,</w:t>
      </w:r>
      <w:r w:rsidRPr="00AA4C68">
        <w:rPr>
          <w:rFonts w:ascii="Palatino Linotype" w:eastAsia="Palatino Linotype" w:hAnsi="Palatino Linotype" w:cs="Palatino Linotype"/>
          <w:sz w:val="22"/>
          <w:szCs w:val="22"/>
        </w:rPr>
        <w:t xml:space="preserve">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1CDE70D7" w14:textId="1C9BBBCE" w:rsidR="00D235E9" w:rsidRPr="00AA4C68" w:rsidRDefault="0062255D" w:rsidP="00FE39F9">
      <w:pPr>
        <w:spacing w:before="240" w:after="240" w:line="360" w:lineRule="auto"/>
        <w:ind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AA4C68">
        <w:rPr>
          <w:rFonts w:ascii="Palatino Linotype" w:eastAsia="Palatino Linotype" w:hAnsi="Palatino Linotype" w:cs="Palatino Linotype"/>
          <w:b/>
          <w:sz w:val="22"/>
          <w:szCs w:val="22"/>
        </w:rPr>
        <w:t>Recurrente</w:t>
      </w:r>
      <w:r w:rsidRPr="00AA4C68">
        <w:rPr>
          <w:rFonts w:ascii="Palatino Linotype" w:eastAsia="Palatino Linotype" w:hAnsi="Palatino Linotype" w:cs="Palatino Linotype"/>
          <w:sz w:val="22"/>
          <w:szCs w:val="22"/>
        </w:rPr>
        <w:t xml:space="preserve"> requirió al </w:t>
      </w:r>
      <w:r w:rsidRPr="00AA4C68">
        <w:rPr>
          <w:rFonts w:ascii="Palatino Linotype" w:eastAsia="Palatino Linotype" w:hAnsi="Palatino Linotype" w:cs="Palatino Linotype"/>
          <w:b/>
          <w:sz w:val="22"/>
          <w:szCs w:val="22"/>
        </w:rPr>
        <w:t xml:space="preserve">Sujeto Obligado </w:t>
      </w:r>
      <w:r w:rsidRPr="00AA4C68">
        <w:rPr>
          <w:rFonts w:ascii="Palatino Linotype" w:eastAsia="Palatino Linotype" w:hAnsi="Palatino Linotype" w:cs="Palatino Linotype"/>
          <w:sz w:val="22"/>
          <w:szCs w:val="22"/>
        </w:rPr>
        <w:t>le proporcione, información consistente en lo siguiente:</w:t>
      </w:r>
    </w:p>
    <w:p w14:paraId="7248BEFC" w14:textId="205BE2BA" w:rsidR="00FE39F9" w:rsidRPr="00AA4C68" w:rsidRDefault="008E3CA7" w:rsidP="008E3CA7">
      <w:pPr>
        <w:pStyle w:val="Prrafodelista"/>
        <w:numPr>
          <w:ilvl w:val="0"/>
          <w:numId w:val="15"/>
        </w:numPr>
        <w:spacing w:before="240" w:after="240" w:line="360" w:lineRule="auto"/>
        <w:ind w:right="51"/>
        <w:contextualSpacing w:val="0"/>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Los recibos de nómina en versión publica de la primera quincena de noviembre.</w:t>
      </w:r>
    </w:p>
    <w:p w14:paraId="77D2C2B2" w14:textId="77777777" w:rsidR="00327333" w:rsidRPr="00AA4C68" w:rsidRDefault="004C10EC" w:rsidP="00327333">
      <w:pPr>
        <w:tabs>
          <w:tab w:val="left" w:pos="709"/>
        </w:tabs>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ejercicio de la facultad conferida en el artículo 159 primer párrafo de la Ley de Transparencia y Acceso a la Información Pública del Estado de México,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requirió a la persona solicitante a través de la Titular de la Unidad de Transparencia, al segundo día hábil posterior a la presentación de la solicitud, a efecto de que, dentro de los diez días hábiles siguientes, aclarara el ejercicio fiscal de los recibos de nómina requeridos, bajo el argumento de que n</w:t>
      </w:r>
      <w:r w:rsidRPr="00AA4C68">
        <w:rPr>
          <w:rFonts w:ascii="Palatino Linotype" w:hAnsi="Palatino Linotype"/>
          <w:sz w:val="22"/>
          <w:szCs w:val="22"/>
        </w:rPr>
        <w:t xml:space="preserve">o es posible atender </w:t>
      </w:r>
      <w:r w:rsidR="00327333" w:rsidRPr="00AA4C68">
        <w:rPr>
          <w:rFonts w:ascii="Palatino Linotype" w:hAnsi="Palatino Linotype"/>
          <w:sz w:val="22"/>
          <w:szCs w:val="22"/>
        </w:rPr>
        <w:t xml:space="preserve">la </w:t>
      </w:r>
      <w:r w:rsidRPr="00AA4C68">
        <w:rPr>
          <w:rFonts w:ascii="Palatino Linotype" w:hAnsi="Palatino Linotype"/>
          <w:sz w:val="22"/>
          <w:szCs w:val="22"/>
        </w:rPr>
        <w:t>solicitud</w:t>
      </w:r>
      <w:r w:rsidRPr="00AA4C68">
        <w:rPr>
          <w:rFonts w:ascii="Palatino Linotype" w:eastAsia="Palatino Linotype" w:hAnsi="Palatino Linotype" w:cs="Palatino Linotype"/>
          <w:sz w:val="22"/>
          <w:szCs w:val="22"/>
        </w:rPr>
        <w:t>,</w:t>
      </w:r>
      <w:r w:rsidR="00327333" w:rsidRPr="00AA4C68">
        <w:rPr>
          <w:rFonts w:ascii="Palatino Linotype" w:eastAsia="Palatino Linotype" w:hAnsi="Palatino Linotype" w:cs="Palatino Linotype"/>
          <w:sz w:val="22"/>
          <w:szCs w:val="22"/>
        </w:rPr>
        <w:t xml:space="preserve"> ya que</w:t>
      </w:r>
      <w:r w:rsidRPr="00AA4C68">
        <w:rPr>
          <w:rFonts w:ascii="Palatino Linotype" w:eastAsia="Palatino Linotype" w:hAnsi="Palatino Linotype" w:cs="Palatino Linotype"/>
          <w:sz w:val="22"/>
          <w:szCs w:val="22"/>
        </w:rPr>
        <w:t xml:space="preserve"> la </w:t>
      </w:r>
      <w:r w:rsidRPr="00AA4C68">
        <w:rPr>
          <w:rFonts w:ascii="Palatino Linotype" w:hAnsi="Palatino Linotype"/>
          <w:sz w:val="22"/>
          <w:szCs w:val="22"/>
        </w:rPr>
        <w:t>requerimiento no se encuentra preciso y delimitado</w:t>
      </w:r>
      <w:r w:rsidR="00327333" w:rsidRPr="00AA4C68">
        <w:rPr>
          <w:rFonts w:ascii="Palatino Linotype" w:hAnsi="Palatino Linotype"/>
          <w:sz w:val="22"/>
          <w:szCs w:val="22"/>
        </w:rPr>
        <w:t>.</w:t>
      </w:r>
      <w:r w:rsidRPr="00AA4C68">
        <w:rPr>
          <w:rFonts w:ascii="Palatino Linotype" w:eastAsia="Palatino Linotype" w:hAnsi="Palatino Linotype" w:cs="Palatino Linotype"/>
          <w:sz w:val="22"/>
          <w:szCs w:val="22"/>
        </w:rPr>
        <w:t xml:space="preserve"> </w:t>
      </w:r>
    </w:p>
    <w:p w14:paraId="4297F89F" w14:textId="77777777" w:rsidR="004C10EC" w:rsidRPr="00AA4C68" w:rsidRDefault="004C10EC" w:rsidP="00327333">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este sentido, es evidente que el derecho humano de acceso a la información pública accionado por la persona solicitante se vulneró, pues, a través de una interpretación equívoca de un precepto legal,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justificó la negativa de la información que le fue solicitada.</w:t>
      </w:r>
    </w:p>
    <w:p w14:paraId="5B29C4C6" w14:textId="77777777" w:rsidR="004C10EC" w:rsidRPr="00AA4C68" w:rsidRDefault="004C10EC" w:rsidP="004C10EC">
      <w:pPr>
        <w:spacing w:before="240" w:after="240" w:line="372"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 efecto de sustentar dicho argumento, se menciona que efectivamente, la Ley de la Materia confiere a los Sujetos Obligados la potestad de que, por una sola vez, requieran a los solicitantes para que proporcionen datos adicionales que les permitan localizar la información a la que desean acceder, dentro de los cinco días posteriores a la recepción de la solicitud.</w:t>
      </w:r>
    </w:p>
    <w:p w14:paraId="6C6ED80A" w14:textId="77777777" w:rsidR="004C10EC" w:rsidRPr="00AA4C68" w:rsidRDefault="004C10EC" w:rsidP="004C10EC">
      <w:pPr>
        <w:spacing w:before="240" w:after="240" w:line="372"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Asimismo, para aplicar dicha facultad, debe actualizarse el supuesto jurídico que consiste en que los términos de la solicitud sean vagos, que los datos proporcionados sean insuficientes o incompletos, impidiendo a los Sujetos Obligados tener certeza de que información deben ubicar y entregar.</w:t>
      </w:r>
    </w:p>
    <w:p w14:paraId="7362D7FD" w14:textId="2C444D02" w:rsidR="004C10EC" w:rsidRPr="00AA4C68" w:rsidRDefault="004C10EC" w:rsidP="004C10EC">
      <w:pPr>
        <w:spacing w:before="240" w:after="240" w:line="372"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Así, es que a consideración de este Organismo Garante el </w:t>
      </w:r>
      <w:r w:rsidRPr="00AA4C68">
        <w:rPr>
          <w:rFonts w:ascii="Palatino Linotype" w:eastAsia="Palatino Linotype" w:hAnsi="Palatino Linotype" w:cs="Palatino Linotype"/>
          <w:b/>
          <w:sz w:val="22"/>
          <w:szCs w:val="22"/>
        </w:rPr>
        <w:t>Sujeto Obligado hizo un uso excesivo del requerimiento de aclaración</w:t>
      </w:r>
      <w:r w:rsidRPr="00AA4C68">
        <w:rPr>
          <w:rFonts w:ascii="Palatino Linotype" w:eastAsia="Palatino Linotype" w:hAnsi="Palatino Linotype" w:cs="Palatino Linotype"/>
          <w:sz w:val="22"/>
          <w:szCs w:val="22"/>
        </w:rPr>
        <w:t xml:space="preserve">, pues si bien el requerimiento se encuentra dentro del plazo legal establecido, no pasa inadvertido que los términos de la solicitud son claros y permiten identificar plenamente la información que es del interés de la persona solicitante, </w:t>
      </w:r>
      <w:r w:rsidR="00386960" w:rsidRPr="00AA4C68">
        <w:rPr>
          <w:rFonts w:ascii="Palatino Linotype" w:eastAsia="Palatino Linotype" w:hAnsi="Palatino Linotype" w:cs="Palatino Linotype"/>
          <w:sz w:val="22"/>
          <w:szCs w:val="22"/>
        </w:rPr>
        <w:t xml:space="preserve">siendo esta la primera quincena del mes de noviembre del ejercicio en curso a la fecha de presentación de la solicitud, </w:t>
      </w:r>
      <w:r w:rsidRPr="00AA4C68">
        <w:rPr>
          <w:rFonts w:ascii="Palatino Linotype" w:eastAsia="Palatino Linotype" w:hAnsi="Palatino Linotype" w:cs="Palatino Linotype"/>
          <w:sz w:val="22"/>
          <w:szCs w:val="22"/>
        </w:rPr>
        <w:t>por lo que la aclarac</w:t>
      </w:r>
      <w:r w:rsidR="00386960" w:rsidRPr="00AA4C68">
        <w:rPr>
          <w:rFonts w:ascii="Palatino Linotype" w:eastAsia="Palatino Linotype" w:hAnsi="Palatino Linotype" w:cs="Palatino Linotype"/>
          <w:sz w:val="22"/>
          <w:szCs w:val="22"/>
        </w:rPr>
        <w:t>ión pretendida no era necesaria.</w:t>
      </w:r>
    </w:p>
    <w:p w14:paraId="3028F980" w14:textId="09E050E4" w:rsidR="00445F56" w:rsidRPr="00AA4C68" w:rsidRDefault="00445F56" w:rsidP="00445F56">
      <w:pPr>
        <w:spacing w:before="240" w:after="240" w:line="360" w:lineRule="auto"/>
        <w:ind w:right="49"/>
        <w:jc w:val="both"/>
        <w:rPr>
          <w:rFonts w:ascii="Palatino Linotype" w:hAnsi="Palatino Linotype"/>
          <w:sz w:val="22"/>
          <w:szCs w:val="22"/>
        </w:rPr>
      </w:pPr>
      <w:r w:rsidRPr="00AA4C68">
        <w:rPr>
          <w:rFonts w:ascii="Palatino Linotype" w:eastAsia="Palatino Linotype" w:hAnsi="Palatino Linotype" w:cs="Palatino Linotype"/>
          <w:sz w:val="22"/>
          <w:szCs w:val="22"/>
        </w:rPr>
        <w:t xml:space="preserve">Ahora bien, dado que la persona solicitante se limitó a señalar que requirió los recibos de nómina en versión pública, razón por la cual al momento de emitir respuesta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reiteró que el </w:t>
      </w:r>
      <w:r w:rsidRPr="00AA4C68">
        <w:rPr>
          <w:rFonts w:ascii="Palatino Linotype" w:hAnsi="Palatino Linotype"/>
          <w:sz w:val="22"/>
          <w:szCs w:val="22"/>
        </w:rPr>
        <w:t xml:space="preserve">requerimiento no se encuentra preciso ya que no se menciona el ejercicio fiscal de los recibos solicitados, sin embargo, en cumplimiento al deber de orientación sugirió a la persona solicitante </w:t>
      </w:r>
      <w:r w:rsidR="007E3637" w:rsidRPr="00AA4C68">
        <w:rPr>
          <w:rFonts w:ascii="Palatino Linotype" w:hAnsi="Palatino Linotype"/>
          <w:sz w:val="22"/>
          <w:szCs w:val="22"/>
        </w:rPr>
        <w:t xml:space="preserve">dirigirse </w:t>
      </w:r>
      <w:r w:rsidRPr="00AA4C68">
        <w:rPr>
          <w:rFonts w:ascii="Palatino Linotype" w:hAnsi="Palatino Linotype"/>
          <w:sz w:val="22"/>
          <w:szCs w:val="22"/>
        </w:rPr>
        <w:t>al Sistema de Información Pública de Oficio Mexiquense (IPOMEX 4.0)</w:t>
      </w:r>
      <w:r w:rsidR="007E3637" w:rsidRPr="00AA4C68">
        <w:rPr>
          <w:rFonts w:ascii="Palatino Linotype" w:hAnsi="Palatino Linotype"/>
          <w:sz w:val="22"/>
          <w:szCs w:val="22"/>
        </w:rPr>
        <w:t xml:space="preserve">, a través de la dirección electrónica </w:t>
      </w:r>
      <w:r w:rsidRPr="00AA4C68">
        <w:rPr>
          <w:rFonts w:ascii="Palatino Linotype" w:hAnsi="Palatino Linotype"/>
          <w:sz w:val="22"/>
          <w:szCs w:val="22"/>
        </w:rPr>
        <w:t xml:space="preserve"> </w:t>
      </w:r>
      <w:hyperlink r:id="rId11" w:history="1">
        <w:r w:rsidRPr="00AA4C68">
          <w:rPr>
            <w:rStyle w:val="Hipervnculo"/>
            <w:rFonts w:ascii="Palatino Linotype" w:hAnsi="Palatino Linotype"/>
            <w:color w:val="auto"/>
            <w:sz w:val="22"/>
            <w:szCs w:val="22"/>
          </w:rPr>
          <w:t>https://www.infoem.org.mx/es/contenido/ipomex</w:t>
        </w:r>
      </w:hyperlink>
      <w:r w:rsidRPr="00AA4C68">
        <w:rPr>
          <w:rFonts w:ascii="Palatino Linotype" w:hAnsi="Palatino Linotype"/>
          <w:sz w:val="22"/>
          <w:szCs w:val="22"/>
        </w:rPr>
        <w:t xml:space="preserve">, </w:t>
      </w:r>
      <w:r w:rsidR="007E3637" w:rsidRPr="00AA4C68">
        <w:rPr>
          <w:rFonts w:ascii="Palatino Linotype" w:hAnsi="Palatino Linotype"/>
          <w:sz w:val="22"/>
          <w:szCs w:val="22"/>
        </w:rPr>
        <w:t xml:space="preserve">en </w:t>
      </w:r>
      <w:r w:rsidRPr="00AA4C68">
        <w:rPr>
          <w:rFonts w:ascii="Palatino Linotype" w:hAnsi="Palatino Linotype"/>
          <w:sz w:val="22"/>
          <w:szCs w:val="22"/>
        </w:rPr>
        <w:t>donde encontrar</w:t>
      </w:r>
      <w:r w:rsidR="007E3637" w:rsidRPr="00AA4C68">
        <w:rPr>
          <w:rFonts w:ascii="Palatino Linotype" w:hAnsi="Palatino Linotype"/>
          <w:sz w:val="22"/>
          <w:szCs w:val="22"/>
        </w:rPr>
        <w:t>ía</w:t>
      </w:r>
      <w:r w:rsidRPr="00AA4C68">
        <w:rPr>
          <w:rFonts w:ascii="Palatino Linotype" w:hAnsi="Palatino Linotype"/>
          <w:sz w:val="22"/>
          <w:szCs w:val="22"/>
        </w:rPr>
        <w:t xml:space="preserve"> la información que requiere de los servidores públicos.</w:t>
      </w:r>
    </w:p>
    <w:p w14:paraId="3FB5D0DF" w14:textId="291CA1DB" w:rsidR="00D77405" w:rsidRPr="00AA4C68" w:rsidRDefault="00D77405" w:rsidP="00D77405">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Al no estar conforme con los términos de la respuesta emitida, la parte </w:t>
      </w:r>
      <w:r w:rsidRPr="00AA4C68">
        <w:rPr>
          <w:rFonts w:ascii="Palatino Linotype" w:eastAsia="Palatino Linotype" w:hAnsi="Palatino Linotype" w:cs="Palatino Linotype"/>
          <w:b/>
          <w:sz w:val="22"/>
          <w:szCs w:val="22"/>
        </w:rPr>
        <w:t xml:space="preserve">Recurrente </w:t>
      </w:r>
      <w:r w:rsidRPr="00AA4C68">
        <w:rPr>
          <w:rFonts w:ascii="Palatino Linotype" w:eastAsia="Palatino Linotype" w:hAnsi="Palatino Linotype" w:cs="Palatino Linotype"/>
          <w:sz w:val="22"/>
          <w:szCs w:val="22"/>
        </w:rPr>
        <w:t>interpuso el recurso de revisión que nos ocupa, donde señaló como motivo de inconformidad, que le fueron negados los recibos de nómina</w:t>
      </w:r>
      <w:r w:rsidR="00647320" w:rsidRPr="00AA4C68">
        <w:rPr>
          <w:rFonts w:ascii="Palatino Linotype" w:eastAsia="Palatino Linotype" w:hAnsi="Palatino Linotype" w:cs="Palatino Linotype"/>
          <w:sz w:val="22"/>
          <w:szCs w:val="22"/>
        </w:rPr>
        <w:t>.</w:t>
      </w:r>
    </w:p>
    <w:p w14:paraId="40DCA710" w14:textId="09F45A92" w:rsidR="00D77405" w:rsidRPr="00AA4C68" w:rsidRDefault="00647320" w:rsidP="00D77405">
      <w:pPr>
        <w:pBdr>
          <w:top w:val="nil"/>
          <w:left w:val="nil"/>
          <w:bottom w:val="nil"/>
          <w:right w:val="nil"/>
          <w:between w:val="nil"/>
        </w:pBdr>
        <w:spacing w:before="240" w:after="240" w:line="360" w:lineRule="auto"/>
        <w:jc w:val="both"/>
        <w:rPr>
          <w:rFonts w:ascii="Palatino Linotype" w:eastAsia="Palatino Linotype" w:hAnsi="Palatino Linotype" w:cs="Palatino Linotype"/>
        </w:rPr>
      </w:pPr>
      <w:r w:rsidRPr="00AA4C68">
        <w:rPr>
          <w:rFonts w:ascii="Palatino Linotype" w:eastAsia="Palatino Linotype" w:hAnsi="Palatino Linotype" w:cs="Palatino Linotype"/>
          <w:sz w:val="22"/>
          <w:szCs w:val="22"/>
        </w:rPr>
        <w:t>U</w:t>
      </w:r>
      <w:r w:rsidR="00D77405" w:rsidRPr="00AA4C68">
        <w:rPr>
          <w:rFonts w:ascii="Palatino Linotype" w:eastAsia="Palatino Linotype" w:hAnsi="Palatino Linotype" w:cs="Palatino Linotype"/>
          <w:sz w:val="22"/>
          <w:szCs w:val="22"/>
        </w:rPr>
        <w:t xml:space="preserve">na vez establecidas las posturas de las partes, se procede al análisis </w:t>
      </w:r>
      <w:r w:rsidR="00F67440" w:rsidRPr="00AA4C68">
        <w:rPr>
          <w:rFonts w:ascii="Palatino Linotype" w:eastAsia="Palatino Linotype" w:hAnsi="Palatino Linotype" w:cs="Palatino Linotype"/>
          <w:sz w:val="22"/>
          <w:szCs w:val="22"/>
        </w:rPr>
        <w:t>del requerimiento</w:t>
      </w:r>
      <w:r w:rsidR="00D77405" w:rsidRPr="00AA4C68">
        <w:rPr>
          <w:rFonts w:ascii="Palatino Linotype" w:eastAsia="Palatino Linotype" w:hAnsi="Palatino Linotype" w:cs="Palatino Linotype"/>
          <w:sz w:val="22"/>
          <w:szCs w:val="22"/>
        </w:rPr>
        <w:t xml:space="preserve"> de información, así como la información proporcionada por el </w:t>
      </w:r>
      <w:r w:rsidR="00D77405" w:rsidRPr="00AA4C68">
        <w:rPr>
          <w:rFonts w:ascii="Palatino Linotype" w:eastAsia="Palatino Linotype" w:hAnsi="Palatino Linotype" w:cs="Palatino Linotype"/>
          <w:b/>
          <w:sz w:val="22"/>
          <w:szCs w:val="22"/>
        </w:rPr>
        <w:t xml:space="preserve">Sujeto Obligado, </w:t>
      </w:r>
      <w:r w:rsidR="00D77405" w:rsidRPr="00AA4C68">
        <w:rPr>
          <w:rFonts w:ascii="Palatino Linotype" w:eastAsia="Palatino Linotype" w:hAnsi="Palatino Linotype" w:cs="Palatino Linotype"/>
          <w:sz w:val="22"/>
          <w:szCs w:val="22"/>
        </w:rPr>
        <w:t xml:space="preserve">en contraposición con el motivo de inconformidad alegado por la parte </w:t>
      </w:r>
      <w:r w:rsidR="00D77405" w:rsidRPr="00AA4C68">
        <w:rPr>
          <w:rFonts w:ascii="Palatino Linotype" w:eastAsia="Palatino Linotype" w:hAnsi="Palatino Linotype" w:cs="Palatino Linotype"/>
          <w:b/>
          <w:sz w:val="22"/>
          <w:szCs w:val="22"/>
        </w:rPr>
        <w:t xml:space="preserve">Recurrente, </w:t>
      </w:r>
      <w:r w:rsidR="00D77405" w:rsidRPr="00AA4C68">
        <w:rPr>
          <w:rFonts w:ascii="Palatino Linotype" w:eastAsia="Palatino Linotype" w:hAnsi="Palatino Linotype" w:cs="Palatino Linotype"/>
          <w:sz w:val="22"/>
          <w:szCs w:val="22"/>
        </w:rPr>
        <w:t>con la finalidad de determinar si el Derecho de acceso de esta se satisfizo, o, en su defecto, ordenar el soporte documental correspondiente, en caso de ser procedente</w:t>
      </w:r>
      <w:r w:rsidR="00D77405" w:rsidRPr="00AA4C68">
        <w:rPr>
          <w:rFonts w:ascii="Palatino Linotype" w:eastAsia="Palatino Linotype" w:hAnsi="Palatino Linotype" w:cs="Palatino Linotype"/>
        </w:rPr>
        <w:t>.</w:t>
      </w:r>
    </w:p>
    <w:p w14:paraId="7DE2A2CD" w14:textId="5937C6BD" w:rsidR="000517B9" w:rsidRPr="00AA4C68" w:rsidRDefault="00647320" w:rsidP="000517B9">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En este tenor, e</w:t>
      </w:r>
      <w:r w:rsidR="000517B9" w:rsidRPr="00AA4C68">
        <w:rPr>
          <w:rFonts w:ascii="Palatino Linotype" w:eastAsia="Palatino Linotype" w:hAnsi="Palatino Linotype" w:cs="Palatino Linotype"/>
          <w:sz w:val="22"/>
          <w:szCs w:val="22"/>
        </w:rPr>
        <w:t>s de mencionar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w:t>
      </w:r>
    </w:p>
    <w:p w14:paraId="7A8C7B38" w14:textId="77777777" w:rsidR="000517B9" w:rsidRPr="00AA4C68" w:rsidRDefault="000517B9" w:rsidP="000517B9">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al servidor público habilitado que tiene bajo su resguardo la misma, de conformidad con los artículos 53, fracciones II y IV y 162 de la Ley de Transparencia y Acceso a la Información Pública del Estado de México y Municipios.</w:t>
      </w:r>
    </w:p>
    <w:p w14:paraId="7A601125" w14:textId="77777777" w:rsidR="000517B9" w:rsidRPr="00AA4C68" w:rsidRDefault="000517B9" w:rsidP="000517B9">
      <w:pPr>
        <w:spacing w:before="240" w:after="240" w:line="360" w:lineRule="auto"/>
        <w:ind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la Ley de Transparencia y Acceso a la Información Pública del Estado de México y Municipios.</w:t>
      </w:r>
    </w:p>
    <w:p w14:paraId="527EB7BE" w14:textId="77777777" w:rsidR="000517B9" w:rsidRPr="00AA4C68" w:rsidRDefault="000517B9" w:rsidP="000517B9">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6C849A19" w14:textId="026312EE" w:rsidR="00647320" w:rsidRPr="00AA4C68" w:rsidRDefault="000517B9" w:rsidP="00647320">
      <w:pPr>
        <w:tabs>
          <w:tab w:val="right" w:pos="8838"/>
        </w:tabs>
        <w:spacing w:before="280" w:after="28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el caso particular, la Unidad de Transparencia </w:t>
      </w:r>
      <w:r w:rsidR="00647320" w:rsidRPr="00AA4C68">
        <w:rPr>
          <w:rFonts w:ascii="Palatino Linotype" w:eastAsia="Palatino Linotype" w:hAnsi="Palatino Linotype" w:cs="Palatino Linotype"/>
          <w:sz w:val="22"/>
          <w:szCs w:val="22"/>
        </w:rPr>
        <w:t xml:space="preserve">no garantizó el procedimiento de búsqueda, el cual se constituye como la garantía primaria del derecho humano de acceso a la información pública, y se rige por los principios de simplicidad, rapidez, gratuidad del procedimiento, auxilio y orientación a los particulares con el fin de otorgar la protección más amplia de este derecho, en virtud de que de las constancias que obran en el expediente, se advierte que esta atendió la solicitud por cuenta propia, al no haber registro </w:t>
      </w:r>
      <w:r w:rsidR="005C0A55" w:rsidRPr="00AA4C68">
        <w:rPr>
          <w:rFonts w:ascii="Palatino Linotype" w:eastAsia="Palatino Linotype" w:hAnsi="Palatino Linotype" w:cs="Palatino Linotype"/>
          <w:sz w:val="22"/>
          <w:szCs w:val="22"/>
        </w:rPr>
        <w:t xml:space="preserve">de </w:t>
      </w:r>
      <w:r w:rsidR="00647320" w:rsidRPr="00AA4C68">
        <w:rPr>
          <w:rFonts w:ascii="Palatino Linotype" w:eastAsia="Palatino Linotype" w:hAnsi="Palatino Linotype" w:cs="Palatino Linotype"/>
          <w:sz w:val="22"/>
          <w:szCs w:val="22"/>
        </w:rPr>
        <w:t>turna</w:t>
      </w:r>
      <w:r w:rsidR="005C0A55" w:rsidRPr="00AA4C68">
        <w:rPr>
          <w:rFonts w:ascii="Palatino Linotype" w:eastAsia="Palatino Linotype" w:hAnsi="Palatino Linotype" w:cs="Palatino Linotype"/>
          <w:sz w:val="22"/>
          <w:szCs w:val="22"/>
        </w:rPr>
        <w:t xml:space="preserve"> a el área competente para conocer de la información que es del interés de la persona solicitante.</w:t>
      </w:r>
    </w:p>
    <w:p w14:paraId="2DD9E47E" w14:textId="792CE2FD" w:rsidR="005C0A55" w:rsidRPr="00AA4C68" w:rsidRDefault="005C0A55" w:rsidP="00647320">
      <w:pPr>
        <w:tabs>
          <w:tab w:val="right" w:pos="8838"/>
        </w:tabs>
        <w:spacing w:before="280" w:after="280" w:line="360" w:lineRule="auto"/>
        <w:jc w:val="both"/>
        <w:rPr>
          <w:rFonts w:ascii="Palatino Linotype" w:hAnsi="Palatino Linotype"/>
          <w:sz w:val="22"/>
          <w:szCs w:val="22"/>
        </w:rPr>
      </w:pPr>
      <w:r w:rsidRPr="00AA4C68">
        <w:rPr>
          <w:rFonts w:ascii="Palatino Linotype" w:eastAsia="Palatino Linotype" w:hAnsi="Palatino Linotype" w:cs="Palatino Linotype"/>
          <w:sz w:val="22"/>
          <w:szCs w:val="22"/>
        </w:rPr>
        <w:t>Al respecto, es de mencionar que de conformidad con el</w:t>
      </w:r>
      <w:r w:rsidR="006058CA" w:rsidRPr="00AA4C68">
        <w:rPr>
          <w:rFonts w:ascii="Palatino Linotype" w:eastAsia="Palatino Linotype" w:hAnsi="Palatino Linotype" w:cs="Palatino Linotype"/>
          <w:sz w:val="22"/>
          <w:szCs w:val="22"/>
        </w:rPr>
        <w:t xml:space="preserve"> código estructural 207C0501040001L del</w:t>
      </w:r>
      <w:r w:rsidRPr="00AA4C68">
        <w:rPr>
          <w:rFonts w:ascii="Palatino Linotype" w:eastAsia="Palatino Linotype" w:hAnsi="Palatino Linotype" w:cs="Palatino Linotype"/>
          <w:sz w:val="22"/>
          <w:szCs w:val="22"/>
        </w:rPr>
        <w:t xml:space="preserve"> Manual General de Organización del Consejo Mexiquense de Ciencia y Tecnología</w:t>
      </w:r>
      <w:r w:rsidR="006058CA" w:rsidRPr="00AA4C68">
        <w:rPr>
          <w:rFonts w:ascii="Palatino Linotype" w:eastAsia="Palatino Linotype" w:hAnsi="Palatino Linotype" w:cs="Palatino Linotype"/>
          <w:sz w:val="22"/>
          <w:szCs w:val="22"/>
        </w:rPr>
        <w:t xml:space="preserve"> el Departamento Administrativo de la Dirección Jurídico Administrativa y de Igualdad de Género, tiene a su cargo, entre otras atribuciones, la de </w:t>
      </w:r>
      <w:r w:rsidR="006058CA" w:rsidRPr="00AA4C68">
        <w:rPr>
          <w:rFonts w:ascii="Palatino Linotype" w:hAnsi="Palatino Linotype"/>
          <w:sz w:val="22"/>
          <w:szCs w:val="22"/>
        </w:rPr>
        <w:t xml:space="preserve">mantener actualizada la plantilla de personal y realizar los movimientos de alta, baja, nombramientos, protestas de cargo, ascensos, cambios de adscripción, licencias, vacaciones, percepciones, deducciones, </w:t>
      </w:r>
      <w:r w:rsidR="006058CA" w:rsidRPr="00AA4C68">
        <w:rPr>
          <w:rFonts w:ascii="Palatino Linotype" w:hAnsi="Palatino Linotype"/>
          <w:b/>
          <w:sz w:val="22"/>
          <w:szCs w:val="22"/>
        </w:rPr>
        <w:t>recibos de sueldos, aguinaldos</w:t>
      </w:r>
      <w:r w:rsidR="006058CA" w:rsidRPr="00AA4C68">
        <w:rPr>
          <w:rFonts w:ascii="Palatino Linotype" w:hAnsi="Palatino Linotype"/>
          <w:sz w:val="22"/>
          <w:szCs w:val="22"/>
        </w:rPr>
        <w:t xml:space="preserve"> y demás incidencias, así como conservar actualizados los expedientes de las personas servidoras públicas adscritas al Consejo, siendo esta la instancia responsable de generar la información solicitada.</w:t>
      </w:r>
    </w:p>
    <w:p w14:paraId="0F403DC9" w14:textId="77777777" w:rsidR="00D97EA1" w:rsidRPr="00AA4C68" w:rsidRDefault="008D132F" w:rsidP="00D97EA1">
      <w:pPr>
        <w:spacing w:before="240" w:after="240" w:line="360" w:lineRule="auto"/>
        <w:jc w:val="both"/>
        <w:rPr>
          <w:rFonts w:ascii="Palatino Linotype" w:eastAsia="Palatino Linotype" w:hAnsi="Palatino Linotype" w:cs="Palatino Linotype"/>
          <w:sz w:val="22"/>
          <w:szCs w:val="22"/>
        </w:rPr>
      </w:pPr>
      <w:r w:rsidRPr="00AA4C68">
        <w:rPr>
          <w:rFonts w:ascii="Palatino Linotype" w:hAnsi="Palatino Linotype"/>
          <w:sz w:val="22"/>
          <w:szCs w:val="22"/>
        </w:rPr>
        <w:t xml:space="preserve">Por otro lado, no escapa de la óptica de este Organismo Garante que </w:t>
      </w:r>
      <w:r w:rsidR="00997B09" w:rsidRPr="00AA4C68">
        <w:rPr>
          <w:rFonts w:ascii="Palatino Linotype" w:hAnsi="Palatino Linotype"/>
          <w:sz w:val="22"/>
          <w:szCs w:val="22"/>
        </w:rPr>
        <w:t xml:space="preserve">con la finalidad de </w:t>
      </w:r>
      <w:r w:rsidR="00DB18E5" w:rsidRPr="00AA4C68">
        <w:rPr>
          <w:rFonts w:ascii="Palatino Linotype" w:hAnsi="Palatino Linotype"/>
          <w:sz w:val="22"/>
          <w:szCs w:val="22"/>
        </w:rPr>
        <w:t>atender la solicitud, la unidad de transparencia proporcionó una liga electrónica, manifestando que a través de la misma, la persona solicitante podría conocer la información que se requ</w:t>
      </w:r>
      <w:r w:rsidR="00D97EA1" w:rsidRPr="00AA4C68">
        <w:rPr>
          <w:rFonts w:ascii="Palatino Linotype" w:hAnsi="Palatino Linotype"/>
          <w:sz w:val="22"/>
          <w:szCs w:val="22"/>
        </w:rPr>
        <w:t xml:space="preserve">iere de los servidores públicos, </w:t>
      </w:r>
      <w:r w:rsidR="00D97EA1" w:rsidRPr="00AA4C68">
        <w:rPr>
          <w:rFonts w:ascii="Palatino Linotype" w:eastAsia="Palatino Linotype" w:hAnsi="Palatino Linotype" w:cs="Palatino Linotype"/>
          <w:sz w:val="22"/>
          <w:szCs w:val="22"/>
        </w:rPr>
        <w:t xml:space="preserve">razón por la cual </w:t>
      </w:r>
      <w:r w:rsidR="00D97EA1" w:rsidRPr="00AA4C68">
        <w:rPr>
          <w:rFonts w:ascii="Palatino Linotype" w:hAnsi="Palatino Linotype" w:cs="Arial"/>
          <w:sz w:val="22"/>
          <w:szCs w:val="22"/>
        </w:rPr>
        <w:t xml:space="preserve">es oportuno partir de lo establecido en </w:t>
      </w:r>
      <w:r w:rsidR="00D97EA1" w:rsidRPr="00AA4C68">
        <w:rPr>
          <w:rFonts w:ascii="Palatino Linotype" w:eastAsia="Palatino Linotype" w:hAnsi="Palatino Linotype" w:cs="Palatino Linotype"/>
          <w:sz w:val="22"/>
          <w:szCs w:val="22"/>
        </w:rPr>
        <w:t>el artículo 161 de la Ley de Transparencia y Acceso a la Información Pública del Estado de México y Municipios</w:t>
      </w:r>
      <w:r w:rsidR="00D97EA1" w:rsidRPr="00AA4C68">
        <w:rPr>
          <w:rFonts w:ascii="Palatino Linotype" w:eastAsia="Palatino Linotype" w:hAnsi="Palatino Linotype" w:cs="Palatino Linotype"/>
          <w:i/>
          <w:sz w:val="22"/>
          <w:szCs w:val="22"/>
        </w:rPr>
        <w:t xml:space="preserve">, </w:t>
      </w:r>
      <w:r w:rsidR="00D97EA1" w:rsidRPr="00AA4C68">
        <w:rPr>
          <w:rFonts w:ascii="Palatino Linotype" w:eastAsia="Palatino Linotype" w:hAnsi="Palatino Linotype" w:cs="Palatino Linotype"/>
          <w:sz w:val="22"/>
          <w:szCs w:val="22"/>
        </w:rPr>
        <w:t>el cual establece las características que debe tener la información desde el momento en el que se genera, su publicación y entrega; así como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2E8F1280" w14:textId="77777777" w:rsidR="00D97EA1" w:rsidRPr="00AA4C68" w:rsidRDefault="00D97EA1" w:rsidP="00D97EA1">
      <w:pPr>
        <w:spacing w:before="120" w:after="120" w:line="276" w:lineRule="auto"/>
        <w:ind w:left="284"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 La fuente</w:t>
      </w:r>
    </w:p>
    <w:p w14:paraId="41C5811B" w14:textId="77777777" w:rsidR="00D97EA1" w:rsidRPr="00AA4C68" w:rsidRDefault="00D97EA1" w:rsidP="00D97EA1">
      <w:pPr>
        <w:spacing w:before="120" w:after="120" w:line="276" w:lineRule="auto"/>
        <w:ind w:left="284"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b) El lugar y</w:t>
      </w:r>
    </w:p>
    <w:p w14:paraId="50F6C306" w14:textId="77777777" w:rsidR="00D97EA1" w:rsidRPr="00AA4C68" w:rsidRDefault="00D97EA1" w:rsidP="00D97EA1">
      <w:pPr>
        <w:spacing w:before="120" w:after="120" w:line="276" w:lineRule="auto"/>
        <w:ind w:left="284"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c) La forma</w:t>
      </w:r>
    </w:p>
    <w:p w14:paraId="25A48B55" w14:textId="77777777" w:rsidR="00D97EA1" w:rsidRPr="00AA4C68" w:rsidRDefault="00D97EA1" w:rsidP="00D97EA1">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Asimismo, se establece que la fuente de la información deberá ser:</w:t>
      </w:r>
    </w:p>
    <w:p w14:paraId="348200AA" w14:textId="77777777" w:rsidR="00D97EA1" w:rsidRPr="00AA4C68" w:rsidRDefault="00D97EA1" w:rsidP="00D97EA1">
      <w:pPr>
        <w:spacing w:before="120" w:after="120" w:line="276" w:lineRule="auto"/>
        <w:ind w:left="284"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 Precisa</w:t>
      </w:r>
    </w:p>
    <w:p w14:paraId="7A6049DA" w14:textId="77777777" w:rsidR="00D97EA1" w:rsidRPr="00AA4C68" w:rsidRDefault="00D97EA1" w:rsidP="00D97EA1">
      <w:pPr>
        <w:spacing w:before="120" w:after="120" w:line="276" w:lineRule="auto"/>
        <w:ind w:left="284"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b) Concreta</w:t>
      </w:r>
    </w:p>
    <w:p w14:paraId="5AFE3711" w14:textId="77777777" w:rsidR="00D97EA1" w:rsidRPr="00AA4C68" w:rsidRDefault="00D97EA1" w:rsidP="00D97EA1">
      <w:pPr>
        <w:spacing w:before="120" w:after="120" w:line="276" w:lineRule="auto"/>
        <w:ind w:left="284"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c) Y no debe implicar que el solicitante realice una búsqueda en toda la información que se encuentre disponible.</w:t>
      </w:r>
    </w:p>
    <w:p w14:paraId="65935F37" w14:textId="77777777" w:rsidR="00D97EA1" w:rsidRPr="00AA4C68" w:rsidRDefault="00D97EA1" w:rsidP="00D97EA1">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Imperativos legales que establecen el procedimiento que deben seguir los Sujetos Obligados para que pueda tomarse como válida su orientación sobre la forma en que puede consultar la información requerida.</w:t>
      </w:r>
    </w:p>
    <w:p w14:paraId="03B3D3B3" w14:textId="77777777" w:rsidR="00D97EA1" w:rsidRPr="00AA4C68" w:rsidRDefault="00D97EA1" w:rsidP="00D97EA1">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hAnsi="Palatino Linotype"/>
          <w:sz w:val="22"/>
          <w:szCs w:val="22"/>
        </w:rPr>
        <w:t xml:space="preserve">Ahora bien, </w:t>
      </w:r>
      <w:r w:rsidRPr="00AA4C68">
        <w:rPr>
          <w:rFonts w:ascii="Palatino Linotype" w:eastAsia="Palatino Linotype" w:hAnsi="Palatino Linotype" w:cs="Palatino Linotype"/>
          <w:sz w:val="22"/>
          <w:szCs w:val="22"/>
        </w:rPr>
        <w:t>derivado de la consulta realizada por este Organismo Garante, se obtuvo lo siguiente:</w:t>
      </w:r>
    </w:p>
    <w:p w14:paraId="69EA64F2" w14:textId="12DF0615" w:rsidR="00DB18E5" w:rsidRPr="00AA4C68" w:rsidRDefault="001B39D2" w:rsidP="00DB18E5">
      <w:pPr>
        <w:spacing w:before="240" w:after="240" w:line="360" w:lineRule="auto"/>
        <w:ind w:right="49"/>
        <w:jc w:val="both"/>
        <w:rPr>
          <w:rFonts w:ascii="Palatino Linotype" w:hAnsi="Palatino Linotype"/>
          <w:sz w:val="22"/>
          <w:szCs w:val="22"/>
        </w:rPr>
      </w:pPr>
      <w:r w:rsidRPr="00AA4C68">
        <w:rPr>
          <w:rFonts w:ascii="Palatino Linotype" w:hAnsi="Palatino Linotype"/>
          <w:noProof/>
          <w:sz w:val="22"/>
          <w:szCs w:val="22"/>
        </w:rPr>
        <w:drawing>
          <wp:inline distT="0" distB="0" distL="0" distR="0" wp14:anchorId="10F8FE57" wp14:editId="1EDC8AA5">
            <wp:extent cx="5612130" cy="4144645"/>
            <wp:effectExtent l="0" t="0" r="762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4144645"/>
                    </a:xfrm>
                    <a:prstGeom prst="rect">
                      <a:avLst/>
                    </a:prstGeom>
                  </pic:spPr>
                </pic:pic>
              </a:graphicData>
            </a:graphic>
          </wp:inline>
        </w:drawing>
      </w:r>
    </w:p>
    <w:p w14:paraId="09793CB2" w14:textId="6DE5165E" w:rsidR="001B39D2" w:rsidRPr="00AA4C68" w:rsidRDefault="001B39D2" w:rsidP="00647320">
      <w:pPr>
        <w:tabs>
          <w:tab w:val="right" w:pos="8838"/>
        </w:tabs>
        <w:spacing w:before="280" w:after="280" w:line="360" w:lineRule="auto"/>
        <w:jc w:val="both"/>
        <w:rPr>
          <w:rFonts w:ascii="Palatino Linotype" w:hAnsi="Palatino Linotype" w:cs="Arial"/>
          <w:sz w:val="22"/>
          <w:szCs w:val="22"/>
        </w:rPr>
      </w:pPr>
      <w:r w:rsidRPr="00AA4C68">
        <w:rPr>
          <w:rFonts w:ascii="Palatino Linotype" w:hAnsi="Palatino Linotype" w:cs="Arial"/>
          <w:sz w:val="22"/>
          <w:szCs w:val="22"/>
        </w:rPr>
        <w:t xml:space="preserve">Como logra vislumbrarse, la dirección electrónica proporcionada corresponde a la página de este Instituto </w:t>
      </w:r>
      <w:r w:rsidR="00F841F3" w:rsidRPr="00AA4C68">
        <w:rPr>
          <w:rFonts w:ascii="Palatino Linotype" w:hAnsi="Palatino Linotype" w:cs="Arial"/>
          <w:sz w:val="22"/>
          <w:szCs w:val="22"/>
        </w:rPr>
        <w:t xml:space="preserve">donde se </w:t>
      </w:r>
      <w:r w:rsidR="005B13FC" w:rsidRPr="00AA4C68">
        <w:rPr>
          <w:rFonts w:ascii="Palatino Linotype" w:hAnsi="Palatino Linotype" w:cs="Arial"/>
          <w:sz w:val="22"/>
          <w:szCs w:val="22"/>
        </w:rPr>
        <w:t>explica que es la plataforma de Información pública de Oficio Mexiquense, IPOMEX</w:t>
      </w:r>
      <w:r w:rsidR="00187EEC" w:rsidRPr="00AA4C68">
        <w:rPr>
          <w:rFonts w:ascii="Palatino Linotype" w:hAnsi="Palatino Linotype" w:cs="Arial"/>
          <w:sz w:val="22"/>
          <w:szCs w:val="22"/>
        </w:rPr>
        <w:t>, siendo evidente que no colma el requerimiento de información.</w:t>
      </w:r>
    </w:p>
    <w:p w14:paraId="52737421" w14:textId="77777777" w:rsidR="006058CA" w:rsidRPr="00AA4C68" w:rsidRDefault="006058CA" w:rsidP="006058CA">
      <w:pPr>
        <w:spacing w:before="240" w:after="240" w:line="360" w:lineRule="auto"/>
        <w:jc w:val="both"/>
        <w:rPr>
          <w:rFonts w:ascii="Palatino Linotype" w:eastAsia="Palatino Linotype" w:hAnsi="Palatino Linotype" w:cs="Palatino Linotype"/>
          <w:sz w:val="22"/>
          <w:szCs w:val="22"/>
        </w:rPr>
      </w:pPr>
      <w:r w:rsidRPr="00AA4C68">
        <w:rPr>
          <w:rFonts w:ascii="Palatino Linotype" w:hAnsi="Palatino Linotype"/>
          <w:sz w:val="22"/>
          <w:szCs w:val="22"/>
        </w:rPr>
        <w:t xml:space="preserve">Por otro lado, </w:t>
      </w:r>
      <w:r w:rsidRPr="00AA4C68">
        <w:rPr>
          <w:rFonts w:ascii="Palatino Linotype" w:eastAsia="Palatino Linotype" w:hAnsi="Palatino Linotype" w:cs="Palatino Linotype"/>
          <w:sz w:val="22"/>
          <w:szCs w:val="22"/>
        </w:rPr>
        <w:t>respecto de los recibos de nómina conviene referir que la Ley del Trabajo de los Servidores Públicos del Estado y Municipios hace referencia a los comprobantes que las instituciones públicas realizan para documentar el pago de salarios, prima vacacional, aguinaldo y demás prestaciones otorgadas a un servidor público, denominándose "recibos o comprobantes de pago", los cuales constituyen un instrumento mediante el cual el sujeto obligado acredita las remuneraciones al personal y, que de acuerdo al uso implantado en la colectividad se denominan "recibos de nómina".</w:t>
      </w:r>
    </w:p>
    <w:p w14:paraId="323B0961" w14:textId="77777777" w:rsidR="006058CA" w:rsidRPr="00AA4C68" w:rsidRDefault="006058CA" w:rsidP="006058CA">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 efecto de robustecer lo anterior, es preciso hacer alusión, en primera instancia, a lo establecido en las normas de carácter general del Manual Único de Contabilidad Gubernamental para las Dependencias y Entidades Públicas del Gobierno y Municipios del Estado de México</w:t>
      </w:r>
      <w:r w:rsidRPr="00AA4C68">
        <w:rPr>
          <w:rFonts w:ascii="Palatino Linotype" w:eastAsia="Palatino Linotype" w:hAnsi="Palatino Linotype" w:cs="Palatino Linotype"/>
          <w:i/>
          <w:iCs/>
          <w:sz w:val="22"/>
          <w:szCs w:val="22"/>
        </w:rPr>
        <w:t xml:space="preserve">,  </w:t>
      </w:r>
      <w:r w:rsidRPr="00AA4C68">
        <w:rPr>
          <w:rFonts w:ascii="Palatino Linotype" w:eastAsia="Palatino Linotype" w:hAnsi="Palatino Linotype" w:cs="Palatino Linotype"/>
          <w:sz w:val="22"/>
          <w:szCs w:val="22"/>
        </w:rPr>
        <w:t xml:space="preserve">en donde se señala que el Régimen Fiscal para las entidades públicas es el correspondiente a </w:t>
      </w:r>
      <w:r w:rsidRPr="00AA4C68">
        <w:rPr>
          <w:rFonts w:ascii="Palatino Linotype" w:eastAsia="Palatino Linotype" w:hAnsi="Palatino Linotype" w:cs="Palatino Linotype"/>
          <w:i/>
          <w:iCs/>
          <w:sz w:val="22"/>
          <w:szCs w:val="22"/>
        </w:rPr>
        <w:t xml:space="preserve">personas morales con fines no lucrativos, </w:t>
      </w:r>
      <w:r w:rsidRPr="00AA4C68">
        <w:rPr>
          <w:rFonts w:ascii="Palatino Linotype" w:eastAsia="Palatino Linotype" w:hAnsi="Palatino Linotype" w:cs="Palatino Linotype"/>
          <w:sz w:val="22"/>
          <w:szCs w:val="22"/>
        </w:rPr>
        <w:t>y en segundo lugar remitirnos al párrafo séptimo del artículo 86 del Título III del Régimen de las Personas Morales con fines no lucrativos, de la Ley del Impuesto Sobre la Renta</w:t>
      </w:r>
      <w:r w:rsidRPr="00AA4C68">
        <w:rPr>
          <w:rFonts w:ascii="Palatino Linotype" w:eastAsia="Palatino Linotype" w:hAnsi="Palatino Linotype" w:cs="Palatino Linotype"/>
          <w:i/>
          <w:iCs/>
          <w:sz w:val="22"/>
          <w:szCs w:val="22"/>
        </w:rPr>
        <w:t xml:space="preserve">, </w:t>
      </w:r>
      <w:r w:rsidRPr="00AA4C68">
        <w:rPr>
          <w:rFonts w:ascii="Palatino Linotype" w:eastAsia="Palatino Linotype" w:hAnsi="Palatino Linotype" w:cs="Palatino Linotype"/>
          <w:sz w:val="22"/>
          <w:szCs w:val="22"/>
        </w:rPr>
        <w:t>que a la letra señala lo siguiente:</w:t>
      </w:r>
    </w:p>
    <w:p w14:paraId="1DE3A90E" w14:textId="77777777" w:rsidR="006058CA" w:rsidRPr="00AA4C68" w:rsidRDefault="006058CA" w:rsidP="006058CA">
      <w:pPr>
        <w:spacing w:before="120" w:after="120"/>
        <w:ind w:left="851" w:right="902"/>
        <w:jc w:val="both"/>
        <w:rPr>
          <w:rFonts w:ascii="Palatino Linotype" w:eastAsia="Palatino Linotype" w:hAnsi="Palatino Linotype" w:cs="Palatino Linotype"/>
          <w:b/>
          <w:bCs/>
          <w:i/>
          <w:iCs/>
          <w:sz w:val="22"/>
          <w:szCs w:val="22"/>
        </w:rPr>
      </w:pPr>
      <w:r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b/>
          <w:bCs/>
          <w:i/>
          <w:iCs/>
          <w:sz w:val="22"/>
          <w:szCs w:val="22"/>
        </w:rPr>
        <w:t xml:space="preserve">“Artículo.- 86 </w:t>
      </w:r>
    </w:p>
    <w:p w14:paraId="41D93742" w14:textId="77777777" w:rsidR="006058CA" w:rsidRPr="00AA4C68" w:rsidRDefault="006058CA" w:rsidP="006058CA">
      <w:pPr>
        <w:spacing w:before="120" w:after="120"/>
        <w:ind w:left="851"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i/>
          <w:iCs/>
          <w:sz w:val="22"/>
          <w:szCs w:val="22"/>
        </w:rPr>
        <w:t>…</w:t>
      </w:r>
    </w:p>
    <w:p w14:paraId="4529A928" w14:textId="77777777" w:rsidR="006058CA" w:rsidRPr="00AA4C68" w:rsidRDefault="006058CA" w:rsidP="006058CA">
      <w:pPr>
        <w:spacing w:before="120" w:after="120"/>
        <w:ind w:left="851" w:right="902"/>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i/>
          <w:iCs/>
          <w:sz w:val="22"/>
          <w:szCs w:val="22"/>
        </w:rPr>
        <w:t xml:space="preserve">Los partidos y asociaciones políticas, legalmente reconocidos, la Federación, las entidades federativas, </w:t>
      </w:r>
      <w:r w:rsidRPr="00AA4C68">
        <w:rPr>
          <w:rFonts w:ascii="Palatino Linotype" w:eastAsia="Palatino Linotype" w:hAnsi="Palatino Linotype" w:cs="Palatino Linotype"/>
          <w:b/>
          <w:bCs/>
          <w:i/>
          <w:iCs/>
          <w:sz w:val="22"/>
          <w:szCs w:val="22"/>
        </w:rPr>
        <w:t>los municipios</w:t>
      </w:r>
      <w:r w:rsidRPr="00AA4C68">
        <w:rPr>
          <w:rFonts w:ascii="Palatino Linotype" w:eastAsia="Palatino Linotype" w:hAnsi="Palatino Linotype" w:cs="Palatino Linotype"/>
          <w:i/>
          <w:iCs/>
          <w:sz w:val="22"/>
          <w:szCs w:val="22"/>
        </w:rPr>
        <w:t xml:space="preserve"> y las instituciones que por Ley estén obligadas a entregar al Gobierno Federal el importe íntegro de su remanente de operación y los organismos descentralizados que no tributen conforme al Título II de esta Ley </w:t>
      </w:r>
      <w:r w:rsidRPr="00AA4C68">
        <w:rPr>
          <w:rFonts w:ascii="Palatino Linotype" w:eastAsia="Palatino Linotype" w:hAnsi="Palatino Linotype" w:cs="Palatino Linotype"/>
          <w:b/>
          <w:bCs/>
          <w:i/>
          <w:iCs/>
          <w:sz w:val="22"/>
          <w:szCs w:val="22"/>
        </w:rPr>
        <w:t>están obligados a expedir y entregar comprobantes fiscales a las personas que reciban pagos por concepto de salarios y, en general, por la prestación de un servicio personal subordinado, en la fecha en que se realice la erogación correspondiente, los cuales podrán utilizarse como constancia o recibo de pago</w:t>
      </w:r>
      <w:r w:rsidRPr="00AA4C68">
        <w:rPr>
          <w:rFonts w:ascii="Palatino Linotype" w:eastAsia="Palatino Linotype" w:hAnsi="Palatino Linotype" w:cs="Palatino Linotype"/>
          <w:i/>
          <w:iCs/>
          <w:sz w:val="22"/>
          <w:szCs w:val="22"/>
        </w:rPr>
        <w:t xml:space="preserve"> para efectos de la legislación laboral a que se refieren los artículos 132 fracciones VII y VIII, y 804 primer párrafo fracciones II y IV de la Ley Federal del Trabajo…</w:t>
      </w:r>
      <w:r w:rsidRPr="00AA4C68">
        <w:rPr>
          <w:rFonts w:ascii="Palatino Linotype" w:eastAsia="Palatino Linotype" w:hAnsi="Palatino Linotype" w:cs="Palatino Linotype"/>
          <w:sz w:val="22"/>
          <w:szCs w:val="22"/>
        </w:rPr>
        <w:t xml:space="preserve">” </w:t>
      </w:r>
    </w:p>
    <w:p w14:paraId="6A4B36A0" w14:textId="77777777" w:rsidR="006058CA" w:rsidRPr="00AA4C68" w:rsidRDefault="006058CA" w:rsidP="006058CA">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Del precepto citado, se advierte que los municipios al ser entes públicos se encuentran constreñidos a expedir y entregar los </w:t>
      </w:r>
      <w:r w:rsidRPr="00AA4C68">
        <w:rPr>
          <w:rFonts w:ascii="Palatino Linotype" w:eastAsia="Palatino Linotype" w:hAnsi="Palatino Linotype" w:cs="Palatino Linotype"/>
          <w:b/>
          <w:bCs/>
          <w:sz w:val="22"/>
          <w:szCs w:val="22"/>
        </w:rPr>
        <w:t xml:space="preserve">comprobantes fiscales correspondientes a las personas que reciban pagos por conceptos de salarios, </w:t>
      </w:r>
      <w:r w:rsidRPr="00AA4C68">
        <w:rPr>
          <w:rFonts w:ascii="Palatino Linotype" w:eastAsia="Palatino Linotype" w:hAnsi="Palatino Linotype" w:cs="Palatino Linotype"/>
          <w:sz w:val="22"/>
          <w:szCs w:val="22"/>
        </w:rPr>
        <w:t xml:space="preserve">mismos que pueden ser utilizados como </w:t>
      </w:r>
      <w:r w:rsidRPr="00AA4C68">
        <w:rPr>
          <w:rFonts w:ascii="Palatino Linotype" w:eastAsia="Palatino Linotype" w:hAnsi="Palatino Linotype" w:cs="Palatino Linotype"/>
          <w:b/>
          <w:bCs/>
          <w:sz w:val="22"/>
          <w:szCs w:val="22"/>
        </w:rPr>
        <w:t>constancia o</w:t>
      </w:r>
      <w:r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b/>
          <w:bCs/>
          <w:sz w:val="22"/>
          <w:szCs w:val="22"/>
        </w:rPr>
        <w:t>recibo de pago</w:t>
      </w:r>
      <w:r w:rsidRPr="00AA4C68">
        <w:rPr>
          <w:rFonts w:ascii="Palatino Linotype" w:eastAsia="Palatino Linotype" w:hAnsi="Palatino Linotype" w:cs="Palatino Linotype"/>
          <w:sz w:val="22"/>
          <w:szCs w:val="22"/>
        </w:rPr>
        <w:t>.</w:t>
      </w:r>
    </w:p>
    <w:p w14:paraId="627B82D2" w14:textId="77777777" w:rsidR="006058CA" w:rsidRPr="00AA4C68" w:rsidRDefault="006058CA" w:rsidP="006058CA">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Por su parte la Ley del Trabajo de los Servidores Públicos del Estado y Municipios, en su artículo 220-K fracciones II y IV y último párrafo, establecen lo siguiente:</w:t>
      </w:r>
    </w:p>
    <w:p w14:paraId="3756A54E" w14:textId="77777777" w:rsidR="006058CA" w:rsidRPr="00AA4C68" w:rsidRDefault="006058CA" w:rsidP="006058CA">
      <w:pPr>
        <w:tabs>
          <w:tab w:val="left" w:pos="9072"/>
        </w:tabs>
        <w:spacing w:before="120" w:after="120"/>
        <w:ind w:left="851"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b/>
          <w:bCs/>
          <w:i/>
          <w:iCs/>
          <w:sz w:val="22"/>
          <w:szCs w:val="22"/>
        </w:rPr>
        <w:t>“ARTÍCULO 220 K.-</w:t>
      </w:r>
      <w:r w:rsidRPr="00AA4C68">
        <w:rPr>
          <w:rFonts w:ascii="Palatino Linotype" w:eastAsia="Palatino Linotype" w:hAnsi="Palatino Linotype" w:cs="Palatino Linotype"/>
          <w:i/>
          <w:iCs/>
          <w:sz w:val="22"/>
          <w:szCs w:val="22"/>
        </w:rPr>
        <w:t xml:space="preserve"> La institución o dependencia pública tiene la obligación de conservar y exhibir en el proceso los documentos que a continuación se precisan:</w:t>
      </w:r>
    </w:p>
    <w:p w14:paraId="12107436" w14:textId="77777777" w:rsidR="006058CA" w:rsidRPr="00AA4C68" w:rsidRDefault="006058CA" w:rsidP="006058CA">
      <w:pPr>
        <w:tabs>
          <w:tab w:val="left" w:pos="9072"/>
        </w:tabs>
        <w:spacing w:before="120" w:after="120"/>
        <w:ind w:left="1134"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i/>
          <w:iCs/>
          <w:sz w:val="22"/>
          <w:szCs w:val="22"/>
        </w:rPr>
        <w:t>…</w:t>
      </w:r>
    </w:p>
    <w:p w14:paraId="1C46EB0D" w14:textId="77777777" w:rsidR="006058CA" w:rsidRPr="00AA4C68" w:rsidRDefault="006058CA" w:rsidP="006058CA">
      <w:pPr>
        <w:tabs>
          <w:tab w:val="left" w:pos="9072"/>
        </w:tabs>
        <w:spacing w:before="120" w:after="120"/>
        <w:ind w:left="1134"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b/>
          <w:bCs/>
          <w:i/>
          <w:iCs/>
          <w:sz w:val="22"/>
          <w:szCs w:val="22"/>
        </w:rPr>
        <w:t>II</w:t>
      </w:r>
      <w:r w:rsidRPr="00AA4C68">
        <w:rPr>
          <w:rFonts w:ascii="Palatino Linotype" w:eastAsia="Palatino Linotype" w:hAnsi="Palatino Linotype" w:cs="Palatino Linotype"/>
          <w:i/>
          <w:iCs/>
          <w:sz w:val="22"/>
          <w:szCs w:val="22"/>
        </w:rPr>
        <w:t>. Recibos de pagos de salarios o las constancias documentales del pago de salario cuando sea por depósito o mediante información electrónica;</w:t>
      </w:r>
    </w:p>
    <w:p w14:paraId="67B4045F" w14:textId="77777777" w:rsidR="006058CA" w:rsidRPr="00AA4C68" w:rsidRDefault="006058CA" w:rsidP="006058CA">
      <w:pPr>
        <w:tabs>
          <w:tab w:val="left" w:pos="9072"/>
        </w:tabs>
        <w:spacing w:before="120" w:after="120"/>
        <w:ind w:left="1134"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i/>
          <w:iCs/>
          <w:sz w:val="22"/>
          <w:szCs w:val="22"/>
        </w:rPr>
        <w:t>…</w:t>
      </w:r>
    </w:p>
    <w:p w14:paraId="0018A8A0" w14:textId="77777777" w:rsidR="006058CA" w:rsidRPr="00AA4C68" w:rsidRDefault="006058CA" w:rsidP="006058CA">
      <w:pPr>
        <w:tabs>
          <w:tab w:val="left" w:pos="9072"/>
        </w:tabs>
        <w:spacing w:before="120" w:after="120"/>
        <w:ind w:left="1134"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b/>
          <w:bCs/>
          <w:i/>
          <w:iCs/>
          <w:sz w:val="22"/>
          <w:szCs w:val="22"/>
        </w:rPr>
        <w:t>IV</w:t>
      </w:r>
      <w:r w:rsidRPr="00AA4C68">
        <w:rPr>
          <w:rFonts w:ascii="Palatino Linotype" w:eastAsia="Palatino Linotype" w:hAnsi="Palatino Linotype" w:cs="Palatino Linotype"/>
          <w:i/>
          <w:iCs/>
          <w:sz w:val="22"/>
          <w:szCs w:val="22"/>
        </w:rPr>
        <w:t>. Recibos o las constancias de depósito o del medio de información magnética o electrónica que sean utilizadas para el pago de salarios, prima vacacional, aguinaldo y demás prestaciones establecidas en la presente ley; y…</w:t>
      </w:r>
    </w:p>
    <w:p w14:paraId="4D09BC1E" w14:textId="77777777" w:rsidR="006058CA" w:rsidRPr="00AA4C68" w:rsidRDefault="006058CA" w:rsidP="006058CA">
      <w:pPr>
        <w:tabs>
          <w:tab w:val="left" w:pos="9072"/>
        </w:tabs>
        <w:spacing w:before="120" w:after="120"/>
        <w:ind w:left="851"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i/>
          <w:iCs/>
          <w:sz w:val="22"/>
          <w:szCs w:val="22"/>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0982BB5F" w14:textId="77777777" w:rsidR="006058CA" w:rsidRPr="00AA4C68" w:rsidRDefault="006058CA" w:rsidP="006058CA">
      <w:pPr>
        <w:tabs>
          <w:tab w:val="left" w:pos="9072"/>
        </w:tabs>
        <w:spacing w:before="120" w:after="120"/>
        <w:ind w:left="851"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i/>
          <w:iCs/>
          <w:sz w:val="22"/>
          <w:szCs w:val="22"/>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775ADEE9" w14:textId="77777777" w:rsidR="006058CA" w:rsidRPr="00AA4C68" w:rsidRDefault="006058CA" w:rsidP="006058CA">
      <w:pPr>
        <w:spacing w:before="120" w:after="120"/>
        <w:ind w:left="851" w:right="902"/>
        <w:jc w:val="both"/>
        <w:rPr>
          <w:rFonts w:ascii="Palatino Linotype" w:eastAsia="Palatino Linotype" w:hAnsi="Palatino Linotype" w:cs="Palatino Linotype"/>
          <w:i/>
          <w:iCs/>
          <w:sz w:val="22"/>
          <w:szCs w:val="22"/>
        </w:rPr>
      </w:pPr>
      <w:r w:rsidRPr="00AA4C68">
        <w:rPr>
          <w:rFonts w:ascii="Palatino Linotype" w:eastAsia="Palatino Linotype" w:hAnsi="Palatino Linotype" w:cs="Palatino Linotype"/>
          <w:i/>
          <w:iCs/>
          <w:sz w:val="22"/>
          <w:szCs w:val="22"/>
        </w:rPr>
        <w:t>El incumplimiento por lo dispuesto por este artículo, establecerá la presunción de ser ciertos los hechos que el actor exprese en su demanda, en relación con tales documentos, salvo prueba en contrario.”</w:t>
      </w:r>
    </w:p>
    <w:p w14:paraId="742681B5" w14:textId="77777777" w:rsidR="006058CA" w:rsidRPr="00AA4C68" w:rsidRDefault="006058CA" w:rsidP="006058CA">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Sobre la base del precepto legal citado, se advierte que </w:t>
      </w:r>
      <w:r w:rsidRPr="00AA4C68">
        <w:rPr>
          <w:rFonts w:ascii="Palatino Linotype" w:eastAsia="Palatino Linotype" w:hAnsi="Palatino Linotype" w:cs="Palatino Linotype"/>
          <w:i/>
          <w:iCs/>
          <w:sz w:val="22"/>
          <w:szCs w:val="22"/>
        </w:rPr>
        <w:t>toda institución pública o dependencia pública del Estado de México debe conservar las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r w:rsidRPr="00AA4C68">
        <w:rPr>
          <w:rFonts w:ascii="Palatino Linotype" w:eastAsia="Palatino Linotype" w:hAnsi="Palatino Linotype" w:cs="Palatino Linotype"/>
          <w:sz w:val="22"/>
          <w:szCs w:val="22"/>
        </w:rPr>
        <w:t>.</w:t>
      </w:r>
    </w:p>
    <w:p w14:paraId="044B00B5" w14:textId="77777777" w:rsidR="006058CA" w:rsidRPr="00AA4C68" w:rsidRDefault="006058CA" w:rsidP="006058CA">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Por tanto, los recibos de nómina o comprobantes digitales por concepto de nómina tienen como objetivo presentar la información del pago de las remuneraciones de cada uno de los servidores públicos de la entidad fiscalizable de que se trate correspondiente a un periodo determinado.</w:t>
      </w:r>
    </w:p>
    <w:p w14:paraId="43810E00" w14:textId="77777777" w:rsidR="006058CA" w:rsidRPr="00AA4C68" w:rsidRDefault="006058CA" w:rsidP="006058CA">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Con base en lo expuesto, es dable ordenar al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la entrega de los recibos de nómina de la primera quincena de noviembre de dos mil veinticinco, en versión pública de ser procedente.  </w:t>
      </w:r>
    </w:p>
    <w:p w14:paraId="5DC421B5"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De lo hasta aquí expuesto, se concluye que los motivos de inconformidad de la parte </w:t>
      </w:r>
      <w:r w:rsidRPr="00AA4C68">
        <w:rPr>
          <w:rFonts w:ascii="Palatino Linotype" w:eastAsia="Palatino Linotype" w:hAnsi="Palatino Linotype" w:cs="Palatino Linotype"/>
          <w:b/>
          <w:sz w:val="22"/>
          <w:szCs w:val="22"/>
        </w:rPr>
        <w:t xml:space="preserve">Recurrente </w:t>
      </w:r>
      <w:r w:rsidRPr="00AA4C68">
        <w:rPr>
          <w:rFonts w:ascii="Palatino Linotype" w:eastAsia="Palatino Linotype" w:hAnsi="Palatino Linotype" w:cs="Palatino Linotype"/>
          <w:sz w:val="22"/>
          <w:szCs w:val="22"/>
        </w:rPr>
        <w:t xml:space="preserve">devienen fundados, siendo procedente </w:t>
      </w:r>
      <w:r w:rsidRPr="00AA4C68">
        <w:rPr>
          <w:rFonts w:ascii="Palatino Linotype" w:eastAsia="Palatino Linotype" w:hAnsi="Palatino Linotype" w:cs="Palatino Linotype"/>
          <w:i/>
          <w:sz w:val="22"/>
          <w:szCs w:val="22"/>
        </w:rPr>
        <w:t xml:space="preserve">Revocar </w:t>
      </w:r>
      <w:r w:rsidRPr="00AA4C68">
        <w:rPr>
          <w:rFonts w:ascii="Palatino Linotype" w:eastAsia="Palatino Linotype" w:hAnsi="Palatino Linotype" w:cs="Palatino Linotype"/>
          <w:sz w:val="22"/>
          <w:szCs w:val="22"/>
        </w:rPr>
        <w:t xml:space="preserve">la respuesta proporcionada por el </w:t>
      </w:r>
      <w:r w:rsidRPr="00AA4C68">
        <w:rPr>
          <w:rFonts w:ascii="Palatino Linotype" w:eastAsia="Palatino Linotype" w:hAnsi="Palatino Linotype" w:cs="Palatino Linotype"/>
          <w:b/>
          <w:sz w:val="22"/>
          <w:szCs w:val="22"/>
        </w:rPr>
        <w:t xml:space="preserve">Sujeto Obligado </w:t>
      </w:r>
      <w:r w:rsidRPr="00AA4C68">
        <w:rPr>
          <w:rFonts w:ascii="Palatino Linotype" w:eastAsia="Palatino Linotype" w:hAnsi="Palatino Linotype" w:cs="Palatino Linotype"/>
          <w:sz w:val="22"/>
          <w:szCs w:val="22"/>
        </w:rPr>
        <w:t>en términos del artículo 186 fracción III de la Ley de Transparencia y Acceso a la Información Pública del Estado de México y Municipios.</w:t>
      </w:r>
    </w:p>
    <w:p w14:paraId="484DF206" w14:textId="77777777" w:rsidR="00187EEC" w:rsidRPr="00AA4C68" w:rsidRDefault="00187EEC" w:rsidP="00187EEC">
      <w:pPr>
        <w:spacing w:before="240" w:after="240" w:line="360" w:lineRule="auto"/>
        <w:ind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 xml:space="preserve">Quinto. Versión Pública. </w:t>
      </w:r>
      <w:r w:rsidRPr="00AA4C68">
        <w:rPr>
          <w:rFonts w:ascii="Palatino Linotype" w:eastAsia="Palatino Linotype" w:hAnsi="Palatino Linotype" w:cs="Palatino Linotype"/>
          <w:sz w:val="22"/>
          <w:szCs w:val="22"/>
        </w:rPr>
        <w:t>Como fue debidamente apuntado,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714A9EC7" w14:textId="77777777" w:rsidR="00187EEC" w:rsidRPr="00AA4C68" w:rsidRDefault="00187EEC" w:rsidP="00187EEC">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56BA26E3" w14:textId="77777777" w:rsidR="00187EEC" w:rsidRPr="00AA4C68" w:rsidRDefault="00187EEC" w:rsidP="00187EEC">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3E72B033" w14:textId="77777777" w:rsidR="00187EEC" w:rsidRPr="00AA4C68" w:rsidRDefault="00187EEC" w:rsidP="00187EEC">
      <w:pPr>
        <w:spacing w:before="240" w:after="240" w:line="360" w:lineRule="auto"/>
        <w:ind w:right="49"/>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50DE7748"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sz w:val="22"/>
          <w:szCs w:val="22"/>
        </w:rPr>
        <w:t> </w:t>
      </w:r>
      <w:r w:rsidRPr="00AA4C68">
        <w:rPr>
          <w:rFonts w:ascii="Palatino Linotype" w:eastAsia="Palatino Linotype" w:hAnsi="Palatino Linotype" w:cs="Palatino Linotype"/>
          <w:i/>
          <w:sz w:val="22"/>
          <w:szCs w:val="22"/>
        </w:rPr>
        <w:t>“</w:t>
      </w:r>
      <w:r w:rsidRPr="00AA4C68">
        <w:rPr>
          <w:rFonts w:ascii="Palatino Linotype" w:eastAsia="Palatino Linotype" w:hAnsi="Palatino Linotype" w:cs="Palatino Linotype"/>
          <w:b/>
          <w:i/>
          <w:sz w:val="22"/>
          <w:szCs w:val="22"/>
        </w:rPr>
        <w:t>Artículo 3.</w:t>
      </w:r>
      <w:r w:rsidRPr="00AA4C68">
        <w:rPr>
          <w:rFonts w:ascii="Palatino Linotype" w:eastAsia="Palatino Linotype" w:hAnsi="Palatino Linotype" w:cs="Palatino Linotype"/>
          <w:i/>
          <w:sz w:val="22"/>
          <w:szCs w:val="22"/>
        </w:rPr>
        <w:t xml:space="preserve"> Para los efectos de la presente Ley se entenderá por:</w:t>
      </w:r>
    </w:p>
    <w:p w14:paraId="0192EE6F"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p>
    <w:p w14:paraId="7CD1D3AA"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IX. Datos personales</w:t>
      </w:r>
      <w:r w:rsidRPr="00AA4C68">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18B21B92"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p>
    <w:p w14:paraId="03D863F8"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XX. Información clasificada</w:t>
      </w:r>
      <w:r w:rsidRPr="00AA4C68">
        <w:rPr>
          <w:rFonts w:ascii="Palatino Linotype" w:eastAsia="Palatino Linotype" w:hAnsi="Palatino Linotype" w:cs="Palatino Linotype"/>
          <w:i/>
          <w:sz w:val="22"/>
          <w:szCs w:val="22"/>
        </w:rPr>
        <w:t>: Aquella considerada por la presente Ley como reservada o confidencial;</w:t>
      </w:r>
    </w:p>
    <w:p w14:paraId="1F7FCFDA"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XXI. Información confidencial</w:t>
      </w:r>
      <w:r w:rsidRPr="00AA4C68">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5559EDD"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p>
    <w:p w14:paraId="40BC2E65"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XXXII. Protección de Datos Personales</w:t>
      </w:r>
      <w:r w:rsidRPr="00AA4C68">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0E4CB5AE"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p>
    <w:p w14:paraId="2FE297A6" w14:textId="77777777" w:rsidR="00187EEC" w:rsidRPr="00AA4C68" w:rsidRDefault="00187EEC" w:rsidP="00187EEC">
      <w:pPr>
        <w:tabs>
          <w:tab w:val="left" w:pos="1276"/>
        </w:tabs>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XLV. Versión pública</w:t>
      </w:r>
      <w:r w:rsidRPr="00AA4C68">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22E08111"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 Artículo 6</w:t>
      </w:r>
      <w:r w:rsidRPr="00AA4C68">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9C420C6"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p>
    <w:p w14:paraId="142A1D3B"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Artículo 91.</w:t>
      </w:r>
      <w:r w:rsidRPr="00AA4C68">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AA4C68">
        <w:rPr>
          <w:rFonts w:ascii="Palatino Linotype" w:eastAsia="Palatino Linotype" w:hAnsi="Palatino Linotype" w:cs="Palatino Linotype"/>
          <w:i/>
          <w:sz w:val="22"/>
          <w:szCs w:val="22"/>
        </w:rPr>
        <w:br/>
        <w:t>…</w:t>
      </w:r>
    </w:p>
    <w:p w14:paraId="2EB016FC"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Artículo 132.</w:t>
      </w:r>
      <w:r w:rsidRPr="00AA4C68">
        <w:rPr>
          <w:rFonts w:ascii="Palatino Linotype" w:eastAsia="Palatino Linotype" w:hAnsi="Palatino Linotype" w:cs="Palatino Linotype"/>
          <w:i/>
          <w:sz w:val="22"/>
          <w:szCs w:val="22"/>
        </w:rPr>
        <w:t xml:space="preserve"> La clasificación de la información se llevará a cabo en el momento en que:</w:t>
      </w:r>
    </w:p>
    <w:p w14:paraId="346E7E04"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w:t>
      </w:r>
      <w:r w:rsidRPr="00AA4C68">
        <w:rPr>
          <w:rFonts w:ascii="Palatino Linotype" w:eastAsia="Palatino Linotype" w:hAnsi="Palatino Linotype" w:cs="Palatino Linotype"/>
          <w:i/>
          <w:sz w:val="22"/>
          <w:szCs w:val="22"/>
        </w:rPr>
        <w:t>. Se reciba una solicitud de acceso a la información;</w:t>
      </w:r>
    </w:p>
    <w:p w14:paraId="0DE52956"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w:t>
      </w:r>
      <w:r w:rsidRPr="00AA4C68">
        <w:rPr>
          <w:rFonts w:ascii="Palatino Linotype" w:eastAsia="Palatino Linotype" w:hAnsi="Palatino Linotype" w:cs="Palatino Linotype"/>
          <w:i/>
          <w:sz w:val="22"/>
          <w:szCs w:val="22"/>
        </w:rPr>
        <w:t xml:space="preserve"> Se determine mediante resolución de autoridad competente; o</w:t>
      </w:r>
    </w:p>
    <w:p w14:paraId="2B6F7F77"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III.</w:t>
      </w:r>
      <w:r w:rsidRPr="00AA4C68">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6F79CD0C"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w:t>
      </w:r>
    </w:p>
    <w:p w14:paraId="2EBC36E1"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Artículo 137.</w:t>
      </w:r>
      <w:r w:rsidRPr="00AA4C68">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05921069"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 Artículo 143.</w:t>
      </w:r>
      <w:r w:rsidRPr="00AA4C68">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4F8C483D"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w:t>
      </w:r>
      <w:r w:rsidRPr="00AA4C68">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53BC198F" w14:textId="77777777" w:rsidR="00187EEC" w:rsidRPr="00AA4C68" w:rsidRDefault="00187EEC" w:rsidP="00187EEC">
      <w:pPr>
        <w:spacing w:before="240" w:after="240" w:line="360" w:lineRule="auto"/>
        <w:ind w:right="50"/>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722D7523" w14:textId="77777777" w:rsidR="00187EEC" w:rsidRPr="00AA4C68" w:rsidRDefault="00187EEC" w:rsidP="00187EEC">
      <w:pPr>
        <w:spacing w:before="240" w:after="240" w:line="360" w:lineRule="auto"/>
        <w:ind w:right="50"/>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54F3B906"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el caso específico, la información que se ordena si bien tiene el carácter información pública en razón de que se trata de documentos que se encuentran en posesión del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derivado del ejercicio de sus atribuciones, tal como quedo acotado en el cuerpo de la presente Resolución, también contienen los datos personales de servidores públicos,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AA4C68">
        <w:rPr>
          <w:rFonts w:ascii="Palatino Linotype" w:eastAsia="Palatino Linotype" w:hAnsi="Palatino Linotype" w:cs="Palatino Linotype"/>
          <w:b/>
          <w:sz w:val="22"/>
          <w:szCs w:val="22"/>
        </w:rPr>
        <w:t>Registro Federal de Contribuyentes</w:t>
      </w:r>
      <w:r w:rsidRPr="00AA4C68">
        <w:rPr>
          <w:rFonts w:ascii="Palatino Linotype" w:eastAsia="Palatino Linotype" w:hAnsi="Palatino Linotype" w:cs="Palatino Linotype"/>
          <w:sz w:val="22"/>
          <w:szCs w:val="22"/>
        </w:rPr>
        <w:t xml:space="preserve"> (RFC), la </w:t>
      </w:r>
      <w:r w:rsidRPr="00AA4C68">
        <w:rPr>
          <w:rFonts w:ascii="Palatino Linotype" w:eastAsia="Palatino Linotype" w:hAnsi="Palatino Linotype" w:cs="Palatino Linotype"/>
          <w:b/>
          <w:sz w:val="22"/>
          <w:szCs w:val="22"/>
        </w:rPr>
        <w:t>Clave Única de Registro de Población</w:t>
      </w:r>
      <w:r w:rsidRPr="00AA4C68">
        <w:rPr>
          <w:rFonts w:ascii="Palatino Linotype" w:eastAsia="Palatino Linotype" w:hAnsi="Palatino Linotype" w:cs="Palatino Linotype"/>
          <w:sz w:val="22"/>
          <w:szCs w:val="22"/>
        </w:rPr>
        <w:t xml:space="preserve"> (CURP), la </w:t>
      </w:r>
      <w:r w:rsidRPr="00AA4C68">
        <w:rPr>
          <w:rFonts w:ascii="Palatino Linotype" w:eastAsia="Palatino Linotype" w:hAnsi="Palatino Linotype" w:cs="Palatino Linotype"/>
          <w:b/>
          <w:sz w:val="22"/>
          <w:szCs w:val="22"/>
        </w:rPr>
        <w:t>Clave de cualquier tipo de seguridad social</w:t>
      </w:r>
      <w:r w:rsidRPr="00AA4C68">
        <w:rPr>
          <w:rFonts w:ascii="Palatino Linotype" w:eastAsia="Palatino Linotype" w:hAnsi="Palatino Linotype" w:cs="Palatino Linotype"/>
          <w:sz w:val="22"/>
          <w:szCs w:val="22"/>
        </w:rPr>
        <w:t xml:space="preserve"> (ISSEMYM, u otros), los </w:t>
      </w:r>
      <w:r w:rsidRPr="00AA4C68">
        <w:rPr>
          <w:rFonts w:ascii="Palatino Linotype" w:eastAsia="Palatino Linotype" w:hAnsi="Palatino Linotype" w:cs="Palatino Linotype"/>
          <w:b/>
          <w:sz w:val="22"/>
          <w:szCs w:val="22"/>
        </w:rPr>
        <w:t>números de cuentas bancarias</w:t>
      </w:r>
      <w:r w:rsidRPr="00AA4C68">
        <w:rPr>
          <w:rFonts w:ascii="Palatino Linotype" w:eastAsia="Palatino Linotype" w:hAnsi="Palatino Linotype" w:cs="Palatino Linotype"/>
          <w:sz w:val="22"/>
          <w:szCs w:val="22"/>
        </w:rPr>
        <w:t xml:space="preserve">, claves estandarizadas – interbancarias - (CLABES) y de tarjetas, los </w:t>
      </w:r>
      <w:r w:rsidRPr="00AA4C68">
        <w:rPr>
          <w:rFonts w:ascii="Palatino Linotype" w:eastAsia="Palatino Linotype" w:hAnsi="Palatino Linotype" w:cs="Palatino Linotype"/>
          <w:b/>
          <w:sz w:val="22"/>
          <w:szCs w:val="22"/>
        </w:rPr>
        <w:t>préstamos o descuentos</w:t>
      </w:r>
      <w:r w:rsidRPr="00AA4C68">
        <w:rPr>
          <w:rFonts w:ascii="Palatino Linotype" w:eastAsia="Palatino Linotype" w:hAnsi="Palatino Linotype" w:cs="Palatino Linotype"/>
          <w:sz w:val="22"/>
          <w:szCs w:val="22"/>
        </w:rPr>
        <w:t xml:space="preserve"> que se le hagan a la persona y que no tengan relación con los impuestos o la cuota por seguridad social, el</w:t>
      </w:r>
      <w:r w:rsidRPr="00AA4C68">
        <w:rPr>
          <w:rFonts w:ascii="Palatino Linotype" w:eastAsia="Palatino Linotype" w:hAnsi="Palatino Linotype" w:cs="Palatino Linotype"/>
          <w:b/>
          <w:sz w:val="22"/>
          <w:szCs w:val="22"/>
        </w:rPr>
        <w:t xml:space="preserve"> número de empleado, </w:t>
      </w:r>
      <w:r w:rsidRPr="00AA4C68">
        <w:rPr>
          <w:rFonts w:ascii="Palatino Linotype" w:eastAsia="Palatino Linotype" w:hAnsi="Palatino Linotype" w:cs="Palatino Linotype"/>
          <w:sz w:val="22"/>
          <w:szCs w:val="22"/>
        </w:rPr>
        <w:t xml:space="preserve">y, de ser el caso, el </w:t>
      </w:r>
      <w:r w:rsidRPr="00AA4C68">
        <w:rPr>
          <w:rFonts w:ascii="Palatino Linotype" w:eastAsia="Palatino Linotype" w:hAnsi="Palatino Linotype" w:cs="Palatino Linotype"/>
          <w:b/>
          <w:sz w:val="22"/>
          <w:szCs w:val="22"/>
        </w:rPr>
        <w:t>folio fiscal</w:t>
      </w:r>
      <w:r w:rsidRPr="00AA4C68">
        <w:rPr>
          <w:rFonts w:ascii="Palatino Linotype" w:eastAsia="Palatino Linotype" w:hAnsi="Palatino Linotype" w:cs="Palatino Linotype"/>
          <w:sz w:val="22"/>
          <w:szCs w:val="22"/>
        </w:rPr>
        <w:t xml:space="preserve">, la </w:t>
      </w:r>
      <w:r w:rsidRPr="00AA4C68">
        <w:rPr>
          <w:rFonts w:ascii="Palatino Linotype" w:eastAsia="Palatino Linotype" w:hAnsi="Palatino Linotype" w:cs="Palatino Linotype"/>
          <w:b/>
          <w:sz w:val="22"/>
          <w:szCs w:val="22"/>
        </w:rPr>
        <w:t xml:space="preserve">cadena original, </w:t>
      </w:r>
      <w:r w:rsidRPr="00AA4C68">
        <w:rPr>
          <w:rFonts w:ascii="Palatino Linotype" w:eastAsia="Palatino Linotype" w:hAnsi="Palatino Linotype" w:cs="Palatino Linotype"/>
          <w:sz w:val="22"/>
          <w:szCs w:val="22"/>
        </w:rPr>
        <w:t>los</w:t>
      </w:r>
      <w:r w:rsidRPr="00AA4C68">
        <w:rPr>
          <w:rFonts w:ascii="Palatino Linotype" w:eastAsia="Palatino Linotype" w:hAnsi="Palatino Linotype" w:cs="Palatino Linotype"/>
          <w:b/>
          <w:sz w:val="22"/>
          <w:szCs w:val="22"/>
        </w:rPr>
        <w:t xml:space="preserve"> códigos bidimensionales o códigos QR,</w:t>
      </w:r>
      <w:r w:rsidRPr="00AA4C68">
        <w:rPr>
          <w:rFonts w:ascii="Palatino Linotype" w:eastAsia="Palatino Linotype" w:hAnsi="Palatino Linotype" w:cs="Palatino Linotype"/>
          <w:sz w:val="22"/>
          <w:szCs w:val="22"/>
        </w:rPr>
        <w:t xml:space="preserve"> y cualquier información de carácter fiscal.</w:t>
      </w:r>
    </w:p>
    <w:p w14:paraId="250DF805" w14:textId="77777777" w:rsidR="00187EEC" w:rsidRPr="00AA4C68" w:rsidRDefault="00187EEC" w:rsidP="00187EEC">
      <w:pPr>
        <w:spacing w:before="240" w:after="240" w:line="360" w:lineRule="auto"/>
        <w:ind w:right="50"/>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23F08D51"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Por cuanto hace al </w:t>
      </w:r>
      <w:r w:rsidRPr="00AA4C68">
        <w:rPr>
          <w:rFonts w:ascii="Palatino Linotype" w:eastAsia="Palatino Linotype" w:hAnsi="Palatino Linotype" w:cs="Palatino Linotype"/>
          <w:b/>
          <w:sz w:val="22"/>
          <w:szCs w:val="22"/>
        </w:rPr>
        <w:t>Registro Federal de Contribuyentes, RFC,</w:t>
      </w:r>
      <w:r w:rsidRPr="00AA4C68">
        <w:rPr>
          <w:rFonts w:ascii="Palatino Linotype" w:eastAsia="Palatino Linotype" w:hAnsi="Palatino Linotype" w:cs="Palatino Linotype"/>
          <w:sz w:val="22"/>
          <w:szCs w:val="22"/>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5E6A2A6D"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29EA74CF" w14:textId="77777777" w:rsidR="00187EEC" w:rsidRPr="00AA4C68" w:rsidRDefault="00187EEC" w:rsidP="00187EEC">
      <w:pPr>
        <w:spacing w:before="240" w:after="240" w:line="360" w:lineRule="auto"/>
        <w:jc w:val="both"/>
        <w:rPr>
          <w:rFonts w:ascii="Palatino Linotype" w:eastAsia="Palatino Linotype" w:hAnsi="Palatino Linotype" w:cs="Palatino Linotype"/>
          <w:b/>
          <w:sz w:val="22"/>
          <w:szCs w:val="22"/>
        </w:rPr>
      </w:pPr>
      <w:r w:rsidRPr="00AA4C68">
        <w:rPr>
          <w:rFonts w:ascii="Palatino Linotype" w:eastAsia="Palatino Linotype" w:hAnsi="Palatino Linotype" w:cs="Palatino Linotype"/>
          <w:sz w:val="22"/>
          <w:szCs w:val="22"/>
        </w:rPr>
        <w:t>Sirve de apoyo a lo anterior, el criterio orientador con clave de control SO/019/2017, emitido por el entonces Instituto Nacional de Transparencia, Acceso a la Información y Protección de Datos Personales, que por rubro y texto, dispone lo siguiente:</w:t>
      </w:r>
      <w:r w:rsidRPr="00AA4C68">
        <w:rPr>
          <w:rFonts w:ascii="Palatino Linotype" w:eastAsia="Palatino Linotype" w:hAnsi="Palatino Linotype" w:cs="Palatino Linotype"/>
          <w:b/>
          <w:sz w:val="22"/>
          <w:szCs w:val="22"/>
        </w:rPr>
        <w:t xml:space="preserve"> </w:t>
      </w:r>
    </w:p>
    <w:p w14:paraId="2290018B" w14:textId="77777777" w:rsidR="00187EEC" w:rsidRPr="00AA4C68" w:rsidRDefault="00187EEC" w:rsidP="00187EEC">
      <w:pPr>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“Registro Federal de Contribuyentes (RFC) de personas físicas</w:t>
      </w:r>
      <w:r w:rsidRPr="00AA4C68">
        <w:rPr>
          <w:rFonts w:ascii="Palatino Linotype" w:eastAsia="Palatino Linotype" w:hAnsi="Palatino Linotype" w:cs="Palatino Linotype"/>
          <w:i/>
          <w:sz w:val="22"/>
          <w:szCs w:val="22"/>
        </w:rPr>
        <w:t>. El RFC es una clave de carácter fiscal, única e irrepetible, que permite identificar al titular, su edad y fecha de nacimiento, por lo que es un dato personal de carácter confidencial.”</w:t>
      </w:r>
    </w:p>
    <w:p w14:paraId="0997EAE5" w14:textId="77777777" w:rsidR="00187EEC" w:rsidRPr="00AA4C68" w:rsidRDefault="00187EEC" w:rsidP="00187EE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Así, el Registro Federal de Contribuyentes,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241B0BEA" w14:textId="77777777" w:rsidR="00187EEC" w:rsidRPr="00AA4C68" w:rsidRDefault="00187EEC" w:rsidP="00187EE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De igual manera la </w:t>
      </w:r>
      <w:r w:rsidRPr="00AA4C68">
        <w:rPr>
          <w:rFonts w:ascii="Palatino Linotype" w:eastAsia="Palatino Linotype" w:hAnsi="Palatino Linotype" w:cs="Palatino Linotype"/>
          <w:b/>
          <w:sz w:val="22"/>
          <w:szCs w:val="22"/>
        </w:rPr>
        <w:t>Clave Única de Registro de Población</w:t>
      </w:r>
      <w:r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b/>
          <w:sz w:val="22"/>
          <w:szCs w:val="22"/>
        </w:rPr>
        <w:t>CURP,</w:t>
      </w:r>
      <w:r w:rsidRPr="00AA4C68">
        <w:rPr>
          <w:rFonts w:ascii="Palatino Linotype" w:eastAsia="Palatino Linotype" w:hAnsi="Palatino Linotype" w:cs="Palatino Linotype"/>
          <w:sz w:val="22"/>
          <w:szCs w:val="22"/>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3CA4D6BE" w14:textId="77777777" w:rsidR="00187EEC" w:rsidRPr="00AA4C68" w:rsidRDefault="00187EEC" w:rsidP="00187EE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Argumento que se sustenta con el criterio orientador con clave de control SO/018/2017 emitido por el entonces Instituto Nacional de Transparencia, Acceso a la Información y Protección de Datos Personales, INAI, el cual refiere:</w:t>
      </w:r>
    </w:p>
    <w:p w14:paraId="1ACEFC7C" w14:textId="77777777" w:rsidR="00187EEC" w:rsidRPr="00AA4C68" w:rsidRDefault="00187EEC" w:rsidP="00187EEC">
      <w:pPr>
        <w:ind w:left="851" w:right="851"/>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 xml:space="preserve"> “Clave Única de Registro de Población (CURP). </w:t>
      </w:r>
      <w:r w:rsidRPr="00AA4C68">
        <w:rPr>
          <w:rFonts w:ascii="Palatino Linotype" w:eastAsia="Palatino Linotype" w:hAnsi="Palatino Linotype" w:cs="Palatino Linotype"/>
          <w:i/>
          <w:sz w:val="22"/>
          <w:szCs w:val="22"/>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1B8E323"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Por lo que respecta a la </w:t>
      </w:r>
      <w:r w:rsidRPr="00AA4C68">
        <w:rPr>
          <w:rFonts w:ascii="Palatino Linotype" w:eastAsia="Palatino Linotype" w:hAnsi="Palatino Linotype" w:cs="Palatino Linotype"/>
          <w:b/>
          <w:sz w:val="22"/>
          <w:szCs w:val="22"/>
        </w:rPr>
        <w:t>clave de seguridad social</w:t>
      </w:r>
      <w:r w:rsidRPr="00AA4C68">
        <w:rPr>
          <w:rFonts w:ascii="Palatino Linotype" w:eastAsia="Palatino Linotype" w:hAnsi="Palatino Linotype" w:cs="Palatino Linotype"/>
          <w:sz w:val="22"/>
          <w:szCs w:val="22"/>
        </w:rPr>
        <w:t>, en virtud de que su divulgación no aporta a la transparencia o a la rendición de cuentas y sí provoca una transgresión a la vida privada e intimidad de la persona, esta información también resulta ser de carácter confidencial.</w:t>
      </w:r>
    </w:p>
    <w:p w14:paraId="7CEE7121"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Respecto de los </w:t>
      </w:r>
      <w:r w:rsidRPr="00AA4C68">
        <w:rPr>
          <w:rFonts w:ascii="Palatino Linotype" w:eastAsia="Palatino Linotype" w:hAnsi="Palatino Linotype" w:cs="Palatino Linotype"/>
          <w:b/>
          <w:sz w:val="22"/>
          <w:szCs w:val="22"/>
        </w:rPr>
        <w:t>números de cuentas bancari</w:t>
      </w:r>
      <w:r w:rsidRPr="00AA4C68">
        <w:rPr>
          <w:rFonts w:ascii="Palatino Linotype" w:eastAsia="Palatino Linotype" w:hAnsi="Palatino Linotype" w:cs="Palatino Linotype"/>
          <w:sz w:val="22"/>
          <w:szCs w:val="22"/>
        </w:rPr>
        <w:t xml:space="preserve">as, </w:t>
      </w:r>
      <w:r w:rsidRPr="00AA4C68">
        <w:rPr>
          <w:rFonts w:ascii="Palatino Linotype" w:eastAsia="Palatino Linotype" w:hAnsi="Palatino Linotype" w:cs="Palatino Linotype"/>
          <w:b/>
          <w:sz w:val="22"/>
          <w:szCs w:val="22"/>
        </w:rPr>
        <w:t>claves estandarizadas –interbancarias- (CLABES) y de tarjetas</w:t>
      </w:r>
      <w:r w:rsidRPr="00AA4C68">
        <w:rPr>
          <w:rFonts w:ascii="Palatino Linotype" w:eastAsia="Palatino Linotype" w:hAnsi="Palatino Linotype" w:cs="Palatino Linotype"/>
          <w:sz w:val="22"/>
          <w:szCs w:val="22"/>
        </w:rPr>
        <w:t>, el Pleno de este Instituto ha determinado que esa información debe clasificarse como confidencial, y elaborarse una versión pública en la que se teste la misma.</w:t>
      </w:r>
    </w:p>
    <w:p w14:paraId="627700C3"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Igualmente, resulta importante destacar que 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0A6529C3"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65FFC70C" w14:textId="77777777" w:rsidR="00187EEC" w:rsidRPr="00AA4C68" w:rsidRDefault="00187EEC" w:rsidP="00187EE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esa virtud, este Pleno determina que dicha información no puede ser del dominio público, toda vez que se podría dar un uso inadecuado a la misma o cometer algún ilícito o fraude como ya ha sido expuesto. </w:t>
      </w:r>
    </w:p>
    <w:p w14:paraId="208413D1"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Lo anterior no es así tratándose de las cuentas bancarias o claves interbancarias de los Sujetos Obligados ya que su publicidad cede a la rendición de cuentas al transparentar la forma en que son administrados los recursos públicos.</w:t>
      </w:r>
    </w:p>
    <w:p w14:paraId="05F90774"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Lo argumentado encuentra sustento en los Criterios orientadores con  Clave de control SO/010/2017 y SO/011/2017, emitidos por el entonces Instituto Nacional de Transparencia, Acceso a la Información y Protección de Datos Personales, INAI, que llevan por rubro y texto los siguientes:</w:t>
      </w:r>
    </w:p>
    <w:p w14:paraId="3D9FAE67" w14:textId="77777777" w:rsidR="00187EEC" w:rsidRPr="00AA4C68" w:rsidRDefault="00187EEC" w:rsidP="00187EEC">
      <w:pPr>
        <w:spacing w:before="240" w:after="24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Pr="00AA4C68">
        <w:rPr>
          <w:rFonts w:ascii="Palatino Linotype" w:eastAsia="Palatino Linotype" w:hAnsi="Palatino Linotype" w:cs="Palatino Linotype"/>
          <w:b/>
          <w:i/>
          <w:sz w:val="22"/>
          <w:szCs w:val="22"/>
        </w:rPr>
        <w:t>Cuentas bancarias y/o CLABE interbancaria de personas físicas y morales privadas.</w:t>
      </w:r>
      <w:r w:rsidRPr="00AA4C68">
        <w:rPr>
          <w:rFonts w:ascii="Palatino Linotype" w:eastAsia="Palatino Linotype" w:hAnsi="Palatino Linotype" w:cs="Palatino Linotype"/>
          <w:i/>
          <w:sz w:val="22"/>
          <w:szCs w:val="22"/>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1F28747" w14:textId="77777777" w:rsidR="00187EEC" w:rsidRPr="00AA4C68" w:rsidRDefault="00187EEC" w:rsidP="00187EEC">
      <w:pPr>
        <w:spacing w:before="240" w:after="24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“Cuentas bancarias y/o CLABE interbancaria de sujetos obligados que reciben y/o transfieren recursos públicos, son información pública.</w:t>
      </w:r>
      <w:r w:rsidRPr="00AA4C68">
        <w:rPr>
          <w:rFonts w:ascii="Palatino Linotype" w:eastAsia="Palatino Linotype" w:hAnsi="Palatino Linotype" w:cs="Palatino Linotype"/>
          <w:i/>
          <w:sz w:val="22"/>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403C6AD0"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bookmarkStart w:id="10" w:name="_heading=h.35nkun2" w:colFirst="0" w:colLast="0"/>
      <w:bookmarkEnd w:id="10"/>
      <w:r w:rsidRPr="00AA4C68">
        <w:rPr>
          <w:rFonts w:ascii="Palatino Linotype" w:eastAsia="Palatino Linotype" w:hAnsi="Palatino Linotype" w:cs="Palatino Linotype"/>
          <w:sz w:val="22"/>
          <w:szCs w:val="22"/>
        </w:rPr>
        <w:t xml:space="preserve">Por cuanto hace a los </w:t>
      </w:r>
      <w:r w:rsidRPr="00AA4C68">
        <w:rPr>
          <w:rFonts w:ascii="Palatino Linotype" w:eastAsia="Palatino Linotype" w:hAnsi="Palatino Linotype" w:cs="Palatino Linotype"/>
          <w:b/>
          <w:sz w:val="22"/>
          <w:szCs w:val="22"/>
        </w:rPr>
        <w:t>préstamos o descuentos de carácter personal</w:t>
      </w:r>
      <w:r w:rsidRPr="00AA4C68">
        <w:rPr>
          <w:rFonts w:ascii="Palatino Linotype" w:eastAsia="Palatino Linotype" w:hAnsi="Palatino Linotype" w:cs="Palatino Linotype"/>
          <w:sz w:val="22"/>
          <w:szCs w:val="22"/>
        </w:rPr>
        <w:t>, en virtud de no tener relación con la prestación del servicio y al no involucrar instituciones públicas, se consideran datos confidenciales.</w:t>
      </w:r>
    </w:p>
    <w:p w14:paraId="68DA73FE"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Para entender los límites y alcances de esta restricción, es oportuno recurrir al artículo 84 de la Ley del Trabajo de los Servidores Públicos del Estado y Municipios:</w:t>
      </w:r>
    </w:p>
    <w:p w14:paraId="1FA0CD96" w14:textId="77777777" w:rsidR="00187EEC" w:rsidRPr="00AA4C68" w:rsidRDefault="00187EEC" w:rsidP="00187EEC">
      <w:pPr>
        <w:spacing w:before="120" w:after="120"/>
        <w:ind w:left="851" w:right="900"/>
        <w:jc w:val="both"/>
        <w:rPr>
          <w:rFonts w:ascii="Palatino Linotype" w:eastAsia="Palatino Linotype" w:hAnsi="Palatino Linotype" w:cs="Palatino Linotype"/>
          <w:b/>
          <w:i/>
          <w:sz w:val="22"/>
          <w:szCs w:val="22"/>
        </w:rPr>
      </w:pPr>
      <w:bookmarkStart w:id="11" w:name="_heading=h.1ksv4uv" w:colFirst="0" w:colLast="0"/>
      <w:bookmarkEnd w:id="11"/>
      <w:r w:rsidRPr="00AA4C68">
        <w:rPr>
          <w:rFonts w:ascii="Palatino Linotype" w:eastAsia="Palatino Linotype" w:hAnsi="Palatino Linotype" w:cs="Palatino Linotype"/>
          <w:b/>
          <w:i/>
          <w:sz w:val="22"/>
          <w:szCs w:val="22"/>
        </w:rPr>
        <w:t xml:space="preserve">“ARTÍCULO 84. </w:t>
      </w:r>
      <w:r w:rsidRPr="00AA4C68">
        <w:rPr>
          <w:rFonts w:ascii="Palatino Linotype" w:eastAsia="Palatino Linotype" w:hAnsi="Palatino Linotype" w:cs="Palatino Linotype"/>
          <w:i/>
          <w:sz w:val="22"/>
          <w:szCs w:val="22"/>
        </w:rPr>
        <w:t>Sólo podrán hacerse retenciones, descuentos o deducciones al sueldo de los servidores públicos por concepto de:</w:t>
      </w:r>
    </w:p>
    <w:p w14:paraId="76FBC60F"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w:t>
      </w:r>
      <w:r w:rsidRPr="00AA4C68">
        <w:rPr>
          <w:rFonts w:ascii="Palatino Linotype" w:eastAsia="Palatino Linotype" w:hAnsi="Palatino Linotype" w:cs="Palatino Linotype"/>
          <w:i/>
          <w:sz w:val="22"/>
          <w:szCs w:val="22"/>
        </w:rPr>
        <w:t xml:space="preserve"> Gravámenes fiscales relacionados con el sueldo;</w:t>
      </w:r>
    </w:p>
    <w:p w14:paraId="33EA3419"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w:t>
      </w:r>
      <w:r w:rsidRPr="00AA4C68">
        <w:rPr>
          <w:rFonts w:ascii="Palatino Linotype" w:eastAsia="Palatino Linotype" w:hAnsi="Palatino Linotype" w:cs="Palatino Linotype"/>
          <w:i/>
          <w:sz w:val="22"/>
          <w:szCs w:val="22"/>
        </w:rPr>
        <w:t xml:space="preserve"> Deudas contraídas con las instituciones públicas o dependencias por concepto de anticipos de sueldo, pagos hechos con exceso, errores o pérdidas debidamente comprobados;</w:t>
      </w:r>
    </w:p>
    <w:p w14:paraId="3ADD664B"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III.</w:t>
      </w:r>
      <w:r w:rsidRPr="00AA4C68">
        <w:rPr>
          <w:rFonts w:ascii="Palatino Linotype" w:eastAsia="Palatino Linotype" w:hAnsi="Palatino Linotype" w:cs="Palatino Linotype"/>
          <w:i/>
          <w:sz w:val="22"/>
          <w:szCs w:val="22"/>
        </w:rPr>
        <w:t xml:space="preserve"> </w:t>
      </w:r>
      <w:r w:rsidRPr="00AA4C68">
        <w:rPr>
          <w:rFonts w:ascii="Palatino Linotype" w:eastAsia="Palatino Linotype" w:hAnsi="Palatino Linotype" w:cs="Palatino Linotype"/>
          <w:b/>
          <w:i/>
          <w:sz w:val="22"/>
          <w:szCs w:val="22"/>
        </w:rPr>
        <w:t>Cuotas sindicales</w:t>
      </w:r>
      <w:r w:rsidRPr="00AA4C68">
        <w:rPr>
          <w:rFonts w:ascii="Palatino Linotype" w:eastAsia="Palatino Linotype" w:hAnsi="Palatino Linotype" w:cs="Palatino Linotype"/>
          <w:i/>
          <w:sz w:val="22"/>
          <w:szCs w:val="22"/>
        </w:rPr>
        <w:t>;</w:t>
      </w:r>
    </w:p>
    <w:p w14:paraId="5AAA2276"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IV.</w:t>
      </w:r>
      <w:r w:rsidRPr="00AA4C68">
        <w:rPr>
          <w:rFonts w:ascii="Palatino Linotype" w:eastAsia="Palatino Linotype" w:hAnsi="Palatino Linotype" w:cs="Palatino Linotype"/>
          <w:i/>
          <w:sz w:val="22"/>
          <w:szCs w:val="22"/>
        </w:rPr>
        <w:t xml:space="preserve"> Cuotas de aportación a fondos para la constitución de cooperativas y de cajas de ahorro, siempre que el servidor público hubiese manifestado previamente, de manera expresa, su conformidad;</w:t>
      </w:r>
    </w:p>
    <w:p w14:paraId="4BF8F331"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V.</w:t>
      </w:r>
      <w:r w:rsidRPr="00AA4C68">
        <w:rPr>
          <w:rFonts w:ascii="Palatino Linotype" w:eastAsia="Palatino Linotype" w:hAnsi="Palatino Linotype" w:cs="Palatino Linotype"/>
          <w:i/>
          <w:sz w:val="22"/>
          <w:szCs w:val="22"/>
        </w:rPr>
        <w:t xml:space="preserve"> Descuentos ordenados por el Instituto de Seguridad Social del Estado de México y Municipios, con motivo de cuotas y obligaciones contraídas con éste por los servidores públicos;</w:t>
      </w:r>
    </w:p>
    <w:p w14:paraId="28966EFA"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VI.</w:t>
      </w:r>
      <w:r w:rsidRPr="00AA4C68">
        <w:rPr>
          <w:rFonts w:ascii="Palatino Linotype" w:eastAsia="Palatino Linotype" w:hAnsi="Palatino Linotype" w:cs="Palatino Linotype"/>
          <w:i/>
          <w:sz w:val="22"/>
          <w:szCs w:val="22"/>
        </w:rPr>
        <w:t xml:space="preserve"> Obligaciones a cargo del servidor público con las que haya consentido, derivadas de la adquisición o del uso de habitaciones consideradas como de interés social;</w:t>
      </w:r>
    </w:p>
    <w:p w14:paraId="2E2C2DEF"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VII.</w:t>
      </w:r>
      <w:r w:rsidRPr="00AA4C68">
        <w:rPr>
          <w:rFonts w:ascii="Palatino Linotype" w:eastAsia="Palatino Linotype" w:hAnsi="Palatino Linotype" w:cs="Palatino Linotype"/>
          <w:i/>
          <w:sz w:val="22"/>
          <w:szCs w:val="22"/>
        </w:rPr>
        <w:t xml:space="preserve"> Faltas de puntualidad o de asistencia injustificadas;</w:t>
      </w:r>
    </w:p>
    <w:p w14:paraId="6FEAFDBE"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VIII. Pensiones alimenticias ordenadas por la autoridad judicial;</w:t>
      </w:r>
      <w:r w:rsidRPr="00AA4C68">
        <w:rPr>
          <w:rFonts w:ascii="Palatino Linotype" w:eastAsia="Palatino Linotype" w:hAnsi="Palatino Linotype" w:cs="Palatino Linotype"/>
          <w:i/>
          <w:sz w:val="22"/>
          <w:szCs w:val="22"/>
        </w:rPr>
        <w:t xml:space="preserve"> o</w:t>
      </w:r>
    </w:p>
    <w:p w14:paraId="25154CA6" w14:textId="77777777" w:rsidR="00187EEC" w:rsidRPr="00AA4C68" w:rsidRDefault="00187EEC" w:rsidP="00187EEC">
      <w:pPr>
        <w:spacing w:before="120" w:after="120"/>
        <w:ind w:left="851" w:right="902"/>
        <w:jc w:val="both"/>
        <w:rPr>
          <w:rFonts w:ascii="Palatino Linotype" w:eastAsia="Palatino Linotype" w:hAnsi="Palatino Linotype" w:cs="Palatino Linotype"/>
          <w:b/>
          <w:i/>
          <w:sz w:val="22"/>
          <w:szCs w:val="22"/>
        </w:rPr>
      </w:pPr>
      <w:r w:rsidRPr="00AA4C68">
        <w:rPr>
          <w:rFonts w:ascii="Palatino Linotype" w:eastAsia="Palatino Linotype" w:hAnsi="Palatino Linotype" w:cs="Palatino Linotype"/>
          <w:b/>
          <w:i/>
          <w:sz w:val="22"/>
          <w:szCs w:val="22"/>
        </w:rPr>
        <w:t>IX. Cualquier otro convenido con instituciones de servicios y aceptado por el servidor público.</w:t>
      </w:r>
    </w:p>
    <w:p w14:paraId="3D2A4210"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19353DC6"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Como se puede observar, el precepto citado establece claramente cuáles son esos descuentos o gravámenes que directamente se relacionan con las obligaciones adquiridas como servidores públicos y aquéllos que únicamente inciden en su vida privada. </w:t>
      </w:r>
    </w:p>
    <w:p w14:paraId="2A8FA63B"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De este modo, los </w:t>
      </w:r>
      <w:r w:rsidRPr="00AA4C68">
        <w:rPr>
          <w:rFonts w:ascii="Palatino Linotype" w:eastAsia="Palatino Linotype" w:hAnsi="Palatino Linotype" w:cs="Palatino Linotype"/>
          <w:b/>
          <w:sz w:val="22"/>
          <w:szCs w:val="22"/>
        </w:rPr>
        <w:t>descuentos o deducciones por cuotas sindicales</w:t>
      </w:r>
      <w:r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b/>
          <w:sz w:val="22"/>
          <w:szCs w:val="22"/>
        </w:rPr>
        <w:t>pensiones alimenticias</w:t>
      </w:r>
      <w:r w:rsidRPr="00AA4C68">
        <w:rPr>
          <w:rFonts w:ascii="Palatino Linotype" w:eastAsia="Palatino Linotype" w:hAnsi="Palatino Linotype" w:cs="Palatino Linotype"/>
          <w:sz w:val="22"/>
          <w:szCs w:val="22"/>
        </w:rPr>
        <w:t xml:space="preserve"> o </w:t>
      </w:r>
      <w:r w:rsidRPr="00AA4C68">
        <w:rPr>
          <w:rFonts w:ascii="Palatino Linotype" w:eastAsia="Palatino Linotype" w:hAnsi="Palatino Linotype" w:cs="Palatino Linotype"/>
          <w:b/>
          <w:sz w:val="22"/>
          <w:szCs w:val="22"/>
        </w:rPr>
        <w:t>créditos adquiridos con instituciones privadas</w:t>
      </w:r>
      <w:r w:rsidRPr="00AA4C68">
        <w:rPr>
          <w:rFonts w:ascii="Palatino Linotype" w:eastAsia="Palatino Linotype" w:hAnsi="Palatino Linotype" w:cs="Palatino Linotype"/>
          <w:sz w:val="22"/>
          <w:szCs w:val="22"/>
        </w:rPr>
        <w:t xml:space="preserve">, entre otros que no se relacionen con el gasto público, al revelar parte de las decisiones que adopta una persona respecto del uso y destino de su remuneración salarial, lo cual incide en la manera en que se integra su patrimonio, </w:t>
      </w:r>
      <w:r w:rsidRPr="00AA4C68">
        <w:rPr>
          <w:rFonts w:ascii="Palatino Linotype" w:eastAsia="Palatino Linotype" w:hAnsi="Palatino Linotype" w:cs="Palatino Linotype"/>
          <w:b/>
          <w:sz w:val="22"/>
          <w:szCs w:val="22"/>
        </w:rPr>
        <w:t>es información que no es de carácter público, sino que constituye información confidencial</w:t>
      </w:r>
      <w:r w:rsidRPr="00AA4C68">
        <w:rPr>
          <w:rFonts w:ascii="Palatino Linotype" w:eastAsia="Palatino Linotype" w:hAnsi="Palatino Linotype" w:cs="Palatino Linotype"/>
          <w:sz w:val="22"/>
          <w:szCs w:val="22"/>
        </w:rPr>
        <w:t xml:space="preserve"> en virtud de que corresponde con decisiones personales, y por tanto, se debe clasificar.</w:t>
      </w:r>
    </w:p>
    <w:p w14:paraId="63E8DBFB" w14:textId="77777777" w:rsidR="00187EEC" w:rsidRPr="00AA4C68" w:rsidRDefault="00187EEC" w:rsidP="00187EEC">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Las claves y conceptos de los descuentos personales guardan también la misma naturaleza que los importes, ya que, al hacerse públicas, es posible inferir que cierto servidor público tiene determinada deducción personal, misma que se relaciona con su esfera más íntima de privacidad, asimismo, en aquellos casos en los que sólo se tenga una deducción, inclusive es posible deducir el importe de la misma, derivado de los cálculos que se hagan respecto al sueldo bruto y sueldo neto.</w:t>
      </w:r>
    </w:p>
    <w:p w14:paraId="774C0F03" w14:textId="77777777" w:rsidR="00187EEC" w:rsidRPr="00AA4C68" w:rsidRDefault="00187EEC" w:rsidP="00187EEC">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En conclusión, la información relacionada con los préstamos o descuentos de carácter personal, en virtud de no tener relación con la prestación del servicio y al no involucrar instituciones públicas, se consideran datos confidenciales.</w:t>
      </w:r>
    </w:p>
    <w:p w14:paraId="3BE8D655"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Con relación al </w:t>
      </w:r>
      <w:r w:rsidRPr="00AA4C68">
        <w:rPr>
          <w:rFonts w:ascii="Palatino Linotype" w:eastAsia="Palatino Linotype" w:hAnsi="Palatino Linotype" w:cs="Palatino Linotype"/>
          <w:b/>
          <w:sz w:val="22"/>
          <w:szCs w:val="22"/>
        </w:rPr>
        <w:t>número de empleado</w:t>
      </w:r>
      <w:r w:rsidRPr="00AA4C68">
        <w:rPr>
          <w:rFonts w:ascii="Palatino Linotype" w:eastAsia="Palatino Linotype" w:hAnsi="Palatino Linotype" w:cs="Palatino Linotype"/>
          <w:sz w:val="22"/>
          <w:szCs w:val="22"/>
        </w:rPr>
        <w:t xml:space="preserve"> 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AA4C68">
        <w:rPr>
          <w:rFonts w:ascii="Palatino Linotype" w:eastAsia="Palatino Linotype" w:hAnsi="Palatino Linotype" w:cs="Palatino Linotype"/>
          <w:sz w:val="22"/>
          <w:szCs w:val="22"/>
          <w:vertAlign w:val="superscript"/>
        </w:rPr>
        <w:footnoteReference w:id="1"/>
      </w:r>
      <w:r w:rsidRPr="00AA4C68">
        <w:rPr>
          <w:rFonts w:ascii="Palatino Linotype" w:eastAsia="Palatino Linotype" w:hAnsi="Palatino Linotype" w:cs="Palatino Linotype"/>
          <w:sz w:val="22"/>
          <w:szCs w:val="22"/>
        </w:rPr>
        <w:t>.</w:t>
      </w:r>
    </w:p>
    <w:p w14:paraId="6E73589D"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Bajo esos argumentos, se entendería que la información relativa al número de empleado constituye información confidencial al tratarse de un número de identificación personal a través del cual se puede consultar la situación laboral personal, empero el Pleno del entonces Instituto Nacional de Transparencia, Acceso a la Información, y Protección de Datos Personales, INAI  se ha pronunciado sobre su publicidad, a través del Criterio orientador con clave de control SO/006/2019, que indica lo siguiente:</w:t>
      </w:r>
    </w:p>
    <w:p w14:paraId="5A1B61CA" w14:textId="77777777" w:rsidR="00187EEC" w:rsidRPr="00AA4C68" w:rsidRDefault="00187EEC" w:rsidP="00187EEC">
      <w:pPr>
        <w:tabs>
          <w:tab w:val="left" w:pos="7655"/>
        </w:tabs>
        <w:spacing w:before="240" w:after="240"/>
        <w:ind w:left="993" w:right="99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 xml:space="preserve">“Número de empleado. </w:t>
      </w:r>
      <w:r w:rsidRPr="00AA4C68">
        <w:rPr>
          <w:rFonts w:ascii="Palatino Linotype" w:eastAsia="Palatino Linotype" w:hAnsi="Palatino Linotype" w:cs="Palatino Linotype"/>
          <w:i/>
          <w:sz w:val="22"/>
          <w:szCs w:val="22"/>
        </w:rPr>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67836BCE"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14:paraId="37CBAD7B"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De la información fiscal</w:t>
      </w:r>
      <w:r w:rsidRPr="00AA4C68">
        <w:rPr>
          <w:rFonts w:ascii="Palatino Linotype" w:eastAsia="Palatino Linotype" w:hAnsi="Palatino Linotype" w:cs="Palatino Linotype"/>
          <w:sz w:val="22"/>
          <w:szCs w:val="22"/>
        </w:rPr>
        <w:t xml:space="preserve">: </w:t>
      </w:r>
    </w:p>
    <w:p w14:paraId="1BCB13E3"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La </w:t>
      </w:r>
      <w:r w:rsidRPr="00AA4C68">
        <w:rPr>
          <w:rFonts w:ascii="Palatino Linotype" w:eastAsia="Palatino Linotype" w:hAnsi="Palatino Linotype" w:cs="Palatino Linotype"/>
          <w:b/>
          <w:sz w:val="22"/>
          <w:szCs w:val="22"/>
        </w:rPr>
        <w:t>Cadena Original</w:t>
      </w:r>
      <w:r w:rsidRPr="00AA4C68">
        <w:rPr>
          <w:rFonts w:ascii="Palatino Linotype" w:eastAsia="Palatino Linotype" w:hAnsi="Palatino Linotype" w:cs="Palatino Linotype"/>
          <w:sz w:val="22"/>
          <w:szCs w:val="22"/>
        </w:rPr>
        <w:t xml:space="preserve"> es la secuencia de datos formada con la información contenida dentro de los comprobantes fiscales, entre los que podría encontrarse de manera enunciativa, más no limitativa, el RFC del receptor, es decir del servidor público. En dicho supuesto, la cadena original constituiría información que únicamente atañe al contribuyente, siendo tarea del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analizar dicha circunstancia con la finalidad de proteger, de ser el caso, la información a través de su clasificación por actualizarse el supuesto de confidencialidad.</w:t>
      </w:r>
    </w:p>
    <w:p w14:paraId="58C6BAE3"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Los </w:t>
      </w:r>
      <w:r w:rsidRPr="00AA4C68">
        <w:rPr>
          <w:rFonts w:ascii="Palatino Linotype" w:eastAsia="Palatino Linotype" w:hAnsi="Palatino Linotype" w:cs="Palatino Linotype"/>
          <w:b/>
          <w:sz w:val="22"/>
          <w:szCs w:val="22"/>
        </w:rPr>
        <w:t>códigos bidimensionales</w:t>
      </w:r>
      <w:r w:rsidRPr="00AA4C68">
        <w:rPr>
          <w:rFonts w:ascii="Palatino Linotype" w:eastAsia="Palatino Linotype" w:hAnsi="Palatino Linotype" w:cs="Palatino Linotype"/>
          <w:sz w:val="22"/>
          <w:szCs w:val="22"/>
        </w:rPr>
        <w:t xml:space="preserve"> o </w:t>
      </w:r>
      <w:r w:rsidRPr="00AA4C68">
        <w:rPr>
          <w:rFonts w:ascii="Palatino Linotype" w:eastAsia="Palatino Linotype" w:hAnsi="Palatino Linotype" w:cs="Palatino Linotype"/>
          <w:b/>
          <w:sz w:val="22"/>
          <w:szCs w:val="22"/>
        </w:rPr>
        <w:t xml:space="preserve">códigos QR, </w:t>
      </w:r>
      <w:r w:rsidRPr="00AA4C68">
        <w:rPr>
          <w:rFonts w:ascii="Palatino Linotype" w:eastAsia="Palatino Linotype" w:hAnsi="Palatino Linotype" w:cs="Palatino Linotype"/>
          <w:sz w:val="22"/>
          <w:szCs w:val="22"/>
        </w:rPr>
        <w:t xml:space="preserve">al corresponder a barras en dos dimensiones que, al igual que los códigos de barras o códigos unidimensionales, son utilizados para almacenar diversos tipos de datos de manera codificada, los cuales a través de lectores que pueden ser obtenidos por cualquier persona, pueden contener datos personales, no susceptibles de conocimiento público, debiendo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analizar dicha circunstancia con la finalidad de determinar si se actualiza algún supuesto de confidencialidad.</w:t>
      </w:r>
    </w:p>
    <w:p w14:paraId="5AFC84FC"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En tal sentido, si derivado del análisis efectuado por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en el presente caso, se desprende que, de la información fiscal contenida en los comprobantes fiscales digitales por internet, tales como cadenas, sellos digitales y/o códigos bidimensionales, se pueden obtener datos personales como el Registro Federal de Contribuyentes, la Clave Única del Registro de Población, entre otros no susceptibles de conocimiento público que, de difundirse, pudieran vulnerar la esfera más íntima de privacidad de su titular, deberá clasificarla como confidencial, de manera fundada y motivada en términos del artículo 143, fracción I de la Ley de Transparencia y Acceso a la Información Pública del Estado de México y Municipios.</w:t>
      </w:r>
    </w:p>
    <w:p w14:paraId="24868E51" w14:textId="77777777" w:rsidR="00187EEC" w:rsidRPr="00AA4C68" w:rsidRDefault="00187EEC" w:rsidP="00187EEC">
      <w:pPr>
        <w:spacing w:before="240" w:after="240" w:line="360" w:lineRule="auto"/>
        <w:ind w:right="50"/>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90E79F0"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“Artículo 49.</w:t>
      </w:r>
      <w:r w:rsidRPr="00AA4C68">
        <w:rPr>
          <w:rFonts w:ascii="Palatino Linotype" w:eastAsia="Palatino Linotype" w:hAnsi="Palatino Linotype" w:cs="Palatino Linotype"/>
          <w:i/>
          <w:sz w:val="22"/>
          <w:szCs w:val="22"/>
        </w:rPr>
        <w:t xml:space="preserve"> </w:t>
      </w:r>
      <w:r w:rsidRPr="00AA4C68">
        <w:rPr>
          <w:rFonts w:ascii="Palatino Linotype" w:eastAsia="Palatino Linotype" w:hAnsi="Palatino Linotype" w:cs="Palatino Linotype"/>
          <w:b/>
          <w:i/>
          <w:sz w:val="22"/>
          <w:szCs w:val="22"/>
        </w:rPr>
        <w:t>Los Comités de Transparencia</w:t>
      </w:r>
      <w:r w:rsidRPr="00AA4C68">
        <w:rPr>
          <w:rFonts w:ascii="Palatino Linotype" w:eastAsia="Palatino Linotype" w:hAnsi="Palatino Linotype" w:cs="Palatino Linotype"/>
          <w:i/>
          <w:sz w:val="22"/>
          <w:szCs w:val="22"/>
        </w:rPr>
        <w:t xml:space="preserve"> tendrán las siguientes atribuciones:</w:t>
      </w:r>
    </w:p>
    <w:p w14:paraId="1B68D517"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VIII. Aprobar, modificar o revocar la clasificación de la información</w:t>
      </w:r>
      <w:r w:rsidRPr="00AA4C68">
        <w:rPr>
          <w:rFonts w:ascii="Palatino Linotype" w:eastAsia="Palatino Linotype" w:hAnsi="Palatino Linotype" w:cs="Palatino Linotype"/>
          <w:i/>
          <w:sz w:val="22"/>
          <w:szCs w:val="22"/>
        </w:rPr>
        <w:t>…”</w:t>
      </w:r>
    </w:p>
    <w:p w14:paraId="1FC39239"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Pr="00AA4C68">
        <w:rPr>
          <w:rFonts w:ascii="Palatino Linotype" w:eastAsia="Palatino Linotype" w:hAnsi="Palatino Linotype" w:cs="Palatino Linotype"/>
          <w:b/>
          <w:i/>
          <w:sz w:val="22"/>
          <w:szCs w:val="22"/>
        </w:rPr>
        <w:t>Artículo 53.</w:t>
      </w:r>
      <w:r w:rsidRPr="00AA4C68">
        <w:rPr>
          <w:rFonts w:ascii="Palatino Linotype" w:eastAsia="Palatino Linotype" w:hAnsi="Palatino Linotype" w:cs="Palatino Linotype"/>
          <w:i/>
          <w:sz w:val="22"/>
          <w:szCs w:val="22"/>
        </w:rPr>
        <w:t xml:space="preserve"> Las </w:t>
      </w:r>
      <w:r w:rsidRPr="00AA4C68">
        <w:rPr>
          <w:rFonts w:ascii="Palatino Linotype" w:eastAsia="Palatino Linotype" w:hAnsi="Palatino Linotype" w:cs="Palatino Linotype"/>
          <w:b/>
          <w:i/>
          <w:sz w:val="22"/>
          <w:szCs w:val="22"/>
        </w:rPr>
        <w:t>Unidades de Transparencia</w:t>
      </w:r>
      <w:r w:rsidRPr="00AA4C68">
        <w:rPr>
          <w:rFonts w:ascii="Palatino Linotype" w:eastAsia="Palatino Linotype" w:hAnsi="Palatino Linotype" w:cs="Palatino Linotype"/>
          <w:i/>
          <w:sz w:val="22"/>
          <w:szCs w:val="22"/>
        </w:rPr>
        <w:t xml:space="preserve"> tendrán las siguientes </w:t>
      </w:r>
      <w:r w:rsidRPr="00AA4C68">
        <w:rPr>
          <w:rFonts w:ascii="Palatino Linotype" w:eastAsia="Palatino Linotype" w:hAnsi="Palatino Linotype" w:cs="Palatino Linotype"/>
          <w:b/>
          <w:i/>
          <w:sz w:val="22"/>
          <w:szCs w:val="22"/>
        </w:rPr>
        <w:t>funciones</w:t>
      </w:r>
      <w:r w:rsidRPr="00AA4C68">
        <w:rPr>
          <w:rFonts w:ascii="Palatino Linotype" w:eastAsia="Palatino Linotype" w:hAnsi="Palatino Linotype" w:cs="Palatino Linotype"/>
          <w:i/>
          <w:sz w:val="22"/>
          <w:szCs w:val="22"/>
        </w:rPr>
        <w:t>:</w:t>
      </w:r>
    </w:p>
    <w:p w14:paraId="2CCD5765"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X. Presentar ante el Comité, el proyecto de clasificación de información</w:t>
      </w:r>
      <w:r w:rsidRPr="00AA4C68">
        <w:rPr>
          <w:rFonts w:ascii="Palatino Linotype" w:eastAsia="Palatino Linotype" w:hAnsi="Palatino Linotype" w:cs="Palatino Linotype"/>
          <w:i/>
          <w:sz w:val="22"/>
          <w:szCs w:val="22"/>
        </w:rPr>
        <w:t xml:space="preserve">…” </w:t>
      </w:r>
    </w:p>
    <w:p w14:paraId="5C9E8A7E"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“Artículo 59.</w:t>
      </w:r>
      <w:r w:rsidRPr="00AA4C68">
        <w:rPr>
          <w:rFonts w:ascii="Palatino Linotype" w:eastAsia="Palatino Linotype" w:hAnsi="Palatino Linotype" w:cs="Palatino Linotype"/>
          <w:i/>
          <w:sz w:val="22"/>
          <w:szCs w:val="22"/>
        </w:rPr>
        <w:t xml:space="preserve"> Los </w:t>
      </w:r>
      <w:r w:rsidRPr="00AA4C68">
        <w:rPr>
          <w:rFonts w:ascii="Palatino Linotype" w:eastAsia="Palatino Linotype" w:hAnsi="Palatino Linotype" w:cs="Palatino Linotype"/>
          <w:b/>
          <w:i/>
          <w:sz w:val="22"/>
          <w:szCs w:val="22"/>
        </w:rPr>
        <w:t>servidores públicos habilitados</w:t>
      </w:r>
      <w:r w:rsidRPr="00AA4C68">
        <w:rPr>
          <w:rFonts w:ascii="Palatino Linotype" w:eastAsia="Palatino Linotype" w:hAnsi="Palatino Linotype" w:cs="Palatino Linotype"/>
          <w:i/>
          <w:sz w:val="22"/>
          <w:szCs w:val="22"/>
        </w:rPr>
        <w:t xml:space="preserve"> tendrán las </w:t>
      </w:r>
      <w:r w:rsidRPr="00AA4C68">
        <w:rPr>
          <w:rFonts w:ascii="Palatino Linotype" w:eastAsia="Palatino Linotype" w:hAnsi="Palatino Linotype" w:cs="Palatino Linotype"/>
          <w:b/>
          <w:i/>
          <w:sz w:val="22"/>
          <w:szCs w:val="22"/>
        </w:rPr>
        <w:t>funciones</w:t>
      </w:r>
      <w:r w:rsidRPr="00AA4C68">
        <w:rPr>
          <w:rFonts w:ascii="Palatino Linotype" w:eastAsia="Palatino Linotype" w:hAnsi="Palatino Linotype" w:cs="Palatino Linotype"/>
          <w:i/>
          <w:sz w:val="22"/>
          <w:szCs w:val="22"/>
        </w:rPr>
        <w:t xml:space="preserve"> siguientes:</w:t>
      </w:r>
    </w:p>
    <w:p w14:paraId="4933E495"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AA4C68">
        <w:rPr>
          <w:rFonts w:ascii="Palatino Linotype" w:eastAsia="Palatino Linotype" w:hAnsi="Palatino Linotype" w:cs="Palatino Linotype"/>
          <w:i/>
          <w:sz w:val="22"/>
          <w:szCs w:val="22"/>
        </w:rPr>
        <w:t>, la cual tendrá los fundamentos y argumentos en que se basa dicha propuesta…”</w:t>
      </w:r>
    </w:p>
    <w:p w14:paraId="66D4F5AD"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2E1EDFA"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00735A87"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Pr="00AA4C68">
        <w:rPr>
          <w:rFonts w:ascii="Palatino Linotype" w:eastAsia="Palatino Linotype" w:hAnsi="Palatino Linotype" w:cs="Palatino Linotype"/>
          <w:b/>
          <w:i/>
          <w:sz w:val="22"/>
          <w:szCs w:val="22"/>
        </w:rPr>
        <w:t>Artículo 149.</w:t>
      </w:r>
      <w:r w:rsidRPr="00AA4C68">
        <w:rPr>
          <w:rFonts w:ascii="Palatino Linotype" w:eastAsia="Palatino Linotype" w:hAnsi="Palatino Linotype" w:cs="Palatino Linotype"/>
          <w:i/>
          <w:sz w:val="22"/>
          <w:szCs w:val="22"/>
        </w:rPr>
        <w:t xml:space="preserve"> El </w:t>
      </w:r>
      <w:r w:rsidRPr="00AA4C68">
        <w:rPr>
          <w:rFonts w:ascii="Palatino Linotype" w:eastAsia="Palatino Linotype" w:hAnsi="Palatino Linotype" w:cs="Palatino Linotype"/>
          <w:b/>
          <w:i/>
          <w:sz w:val="22"/>
          <w:szCs w:val="22"/>
        </w:rPr>
        <w:t>acuerdo que clasifique la información como confidencial</w:t>
      </w:r>
      <w:r w:rsidRPr="00AA4C68">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6464A430" w14:textId="77777777" w:rsidR="00187EEC" w:rsidRPr="00AA4C68" w:rsidRDefault="00187EEC" w:rsidP="00187EEC">
      <w:pPr>
        <w:spacing w:before="240" w:after="240" w:line="360" w:lineRule="auto"/>
        <w:ind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Es decir,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03FBB9A8" w14:textId="77777777" w:rsidR="00187EEC" w:rsidRPr="00AA4C68" w:rsidRDefault="00187EEC" w:rsidP="00187EEC">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6B0E1667"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 xml:space="preserve"> “Quincuagésimo. </w:t>
      </w:r>
      <w:r w:rsidRPr="00AA4C68">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167E6C59"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 xml:space="preserve">Quincuagésimo primero. </w:t>
      </w:r>
      <w:r w:rsidRPr="00AA4C68">
        <w:rPr>
          <w:rFonts w:ascii="Palatino Linotype" w:eastAsia="Palatino Linotype" w:hAnsi="Palatino Linotype" w:cs="Palatino Linotype"/>
          <w:i/>
          <w:sz w:val="22"/>
          <w:szCs w:val="22"/>
        </w:rPr>
        <w:t xml:space="preserve">Toda acta del Comité de Transparencia deberá contener: </w:t>
      </w:r>
    </w:p>
    <w:p w14:paraId="0B0F60C9"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w:t>
      </w:r>
      <w:r w:rsidRPr="00AA4C68">
        <w:rPr>
          <w:rFonts w:ascii="Palatino Linotype" w:eastAsia="Palatino Linotype" w:hAnsi="Palatino Linotype" w:cs="Palatino Linotype"/>
          <w:i/>
          <w:sz w:val="22"/>
          <w:szCs w:val="22"/>
        </w:rPr>
        <w:t xml:space="preserve"> El número de sesión y fecha; </w:t>
      </w:r>
    </w:p>
    <w:p w14:paraId="6800B950"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w:t>
      </w:r>
      <w:r w:rsidRPr="00AA4C68">
        <w:rPr>
          <w:rFonts w:ascii="Palatino Linotype" w:eastAsia="Palatino Linotype" w:hAnsi="Palatino Linotype" w:cs="Palatino Linotype"/>
          <w:i/>
          <w:sz w:val="22"/>
          <w:szCs w:val="22"/>
        </w:rPr>
        <w:t xml:space="preserve">. El nombre del área que solicitó la clasificación de información; </w:t>
      </w:r>
    </w:p>
    <w:p w14:paraId="7ED21809"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III</w:t>
      </w:r>
      <w:r w:rsidRPr="00AA4C68">
        <w:rPr>
          <w:rFonts w:ascii="Palatino Linotype" w:eastAsia="Palatino Linotype" w:hAnsi="Palatino Linotype" w:cs="Palatino Linotype"/>
          <w:i/>
          <w:sz w:val="22"/>
          <w:szCs w:val="22"/>
        </w:rPr>
        <w:t xml:space="preserve">. La fundamentación legal y motivación correspondiente; </w:t>
      </w:r>
    </w:p>
    <w:p w14:paraId="5CF119A3"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IV</w:t>
      </w:r>
      <w:r w:rsidRPr="00AA4C68">
        <w:rPr>
          <w:rFonts w:ascii="Palatino Linotype" w:eastAsia="Palatino Linotype" w:hAnsi="Palatino Linotype" w:cs="Palatino Linotype"/>
          <w:i/>
          <w:sz w:val="22"/>
          <w:szCs w:val="22"/>
        </w:rPr>
        <w:t xml:space="preserve">. La resolución o resoluciones aprobadas; y </w:t>
      </w:r>
    </w:p>
    <w:p w14:paraId="28717289"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V</w:t>
      </w:r>
      <w:r w:rsidRPr="00AA4C68">
        <w:rPr>
          <w:rFonts w:ascii="Palatino Linotype" w:eastAsia="Palatino Linotype" w:hAnsi="Palatino Linotype" w:cs="Palatino Linotype"/>
          <w:i/>
          <w:sz w:val="22"/>
          <w:szCs w:val="22"/>
        </w:rPr>
        <w:t xml:space="preserve">. La rúbrica o firma digital de cada integrante del Comité de Transparencia. </w:t>
      </w:r>
    </w:p>
    <w:p w14:paraId="2343AFF6"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76C24110"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w:t>
      </w:r>
      <w:r w:rsidRPr="00AA4C68">
        <w:rPr>
          <w:rFonts w:ascii="Palatino Linotype" w:eastAsia="Palatino Linotype" w:hAnsi="Palatino Linotype" w:cs="Palatino Linotype"/>
          <w:i/>
          <w:sz w:val="22"/>
          <w:szCs w:val="22"/>
        </w:rPr>
        <w:t xml:space="preserve"> Los motivos y razonamientos que sustenten la confirmación o modificación de la prueba de daño;</w:t>
      </w:r>
    </w:p>
    <w:p w14:paraId="1546F4B5"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b/>
          <w:i/>
          <w:sz w:val="22"/>
          <w:szCs w:val="22"/>
        </w:rPr>
      </w:pPr>
      <w:r w:rsidRPr="00AA4C68">
        <w:rPr>
          <w:rFonts w:ascii="Palatino Linotype" w:eastAsia="Palatino Linotype" w:hAnsi="Palatino Linotype" w:cs="Palatino Linotype"/>
          <w:b/>
          <w:i/>
          <w:sz w:val="22"/>
          <w:szCs w:val="22"/>
        </w:rPr>
        <w:t>II</w:t>
      </w:r>
      <w:r w:rsidRPr="00AA4C68">
        <w:rPr>
          <w:rFonts w:ascii="Palatino Linotype" w:eastAsia="Palatino Linotype" w:hAnsi="Palatino Linotype" w:cs="Palatino Linotype"/>
          <w:i/>
          <w:sz w:val="22"/>
          <w:szCs w:val="22"/>
        </w:rPr>
        <w:t>. Descripción de las partes o secciones reservadas, en caso de clasificación parcial</w:t>
      </w:r>
      <w:r w:rsidRPr="00AA4C68">
        <w:rPr>
          <w:rFonts w:ascii="Palatino Linotype" w:eastAsia="Palatino Linotype" w:hAnsi="Palatino Linotype" w:cs="Palatino Linotype"/>
          <w:b/>
          <w:i/>
          <w:sz w:val="22"/>
          <w:szCs w:val="22"/>
        </w:rPr>
        <w:t xml:space="preserve">; </w:t>
      </w:r>
    </w:p>
    <w:p w14:paraId="5E267AD3"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III.</w:t>
      </w:r>
      <w:r w:rsidRPr="00AA4C68">
        <w:rPr>
          <w:rFonts w:ascii="Palatino Linotype" w:eastAsia="Palatino Linotype" w:hAnsi="Palatino Linotype" w:cs="Palatino Linotype"/>
          <w:i/>
          <w:sz w:val="22"/>
          <w:szCs w:val="22"/>
        </w:rPr>
        <w:t xml:space="preserve"> El periodo por el que mantendrá su clasificación y fecha de expiración; y </w:t>
      </w:r>
    </w:p>
    <w:p w14:paraId="0542DDE7"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IV.</w:t>
      </w:r>
      <w:r w:rsidRPr="00AA4C68">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714793F2"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6203B17C" w14:textId="77777777" w:rsidR="00187EEC" w:rsidRPr="00AA4C68" w:rsidRDefault="00187EEC" w:rsidP="00187EEC">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42BCC494" w14:textId="77777777" w:rsidR="00187EEC" w:rsidRPr="00AA4C68" w:rsidRDefault="00187EEC" w:rsidP="00187EEC">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5ECE3622"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r w:rsidRPr="00AA4C68">
        <w:rPr>
          <w:rFonts w:ascii="Palatino Linotype" w:eastAsia="Palatino Linotype" w:hAnsi="Palatino Linotype" w:cs="Palatino Linotype"/>
          <w:b/>
          <w:i/>
          <w:sz w:val="22"/>
          <w:szCs w:val="22"/>
        </w:rPr>
        <w:t>Quincuagésimo segundo</w:t>
      </w:r>
      <w:r w:rsidRPr="00AA4C68">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27FFA46C"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1553968F"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w:t>
      </w:r>
      <w:r w:rsidRPr="00AA4C68">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42C39ED3"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w:t>
      </w:r>
      <w:r w:rsidRPr="00AA4C68">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65B0EB4D"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III.</w:t>
      </w:r>
      <w:r w:rsidRPr="00AA4C68">
        <w:rPr>
          <w:rFonts w:ascii="Palatino Linotype" w:eastAsia="Palatino Linotype" w:hAnsi="Palatino Linotype" w:cs="Palatino Linotype"/>
          <w:i/>
          <w:sz w:val="22"/>
          <w:szCs w:val="22"/>
        </w:rPr>
        <w:t xml:space="preserve"> Señalar las personas o instancias autorizadas a acceder a la información clasificada.</w:t>
      </w:r>
    </w:p>
    <w:p w14:paraId="4F3FE354" w14:textId="77777777" w:rsidR="00187EEC" w:rsidRPr="00AA4C68" w:rsidRDefault="00187EEC" w:rsidP="00187EEC">
      <w:pP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6100FF1B" w14:textId="77777777" w:rsidR="00187EEC" w:rsidRPr="00AA4C68" w:rsidRDefault="00187EEC" w:rsidP="00187EEC">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w:t>
      </w:r>
    </w:p>
    <w:p w14:paraId="7E4796BB" w14:textId="77777777" w:rsidR="00187EEC" w:rsidRPr="00AA4C68" w:rsidRDefault="00187EEC" w:rsidP="00187EEC">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AA4C68">
        <w:rPr>
          <w:rFonts w:ascii="Palatino Linotype" w:eastAsia="Palatino Linotype" w:hAnsi="Palatino Linotype" w:cs="Palatino Linotype"/>
          <w:b/>
          <w:i/>
          <w:sz w:val="22"/>
          <w:szCs w:val="22"/>
        </w:rPr>
        <w:t xml:space="preserve">Quincuagésimo cuarto. </w:t>
      </w:r>
      <w:r w:rsidRPr="00AA4C68">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AA4C68">
        <w:rPr>
          <w:rFonts w:ascii="Palatino Linotype" w:eastAsia="Palatino Linotype" w:hAnsi="Palatino Linotype" w:cs="Palatino Linotype"/>
          <w:b/>
          <w:i/>
          <w:sz w:val="22"/>
          <w:szCs w:val="22"/>
        </w:rPr>
        <w:t xml:space="preserve"> </w:t>
      </w:r>
    </w:p>
    <w:p w14:paraId="1B6E81AA"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 xml:space="preserve">Quincuagésimo quinto. </w:t>
      </w:r>
      <w:r w:rsidRPr="00AA4C68">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97128CD" w14:textId="77777777" w:rsidR="00187EEC" w:rsidRPr="00AA4C68" w:rsidRDefault="00187EEC" w:rsidP="00187EEC">
      <w:pPr>
        <w:spacing w:before="120" w:after="120"/>
        <w:ind w:left="851" w:right="902"/>
        <w:jc w:val="both"/>
        <w:rPr>
          <w:rFonts w:ascii="Palatino Linotype" w:eastAsia="Palatino Linotype" w:hAnsi="Palatino Linotype" w:cs="Palatino Linotype"/>
          <w:b/>
          <w:i/>
          <w:sz w:val="22"/>
          <w:szCs w:val="22"/>
        </w:rPr>
      </w:pPr>
      <w:r w:rsidRPr="00AA4C68">
        <w:rPr>
          <w:rFonts w:ascii="Palatino Linotype" w:eastAsia="Palatino Linotype" w:hAnsi="Palatino Linotype" w:cs="Palatino Linotype"/>
          <w:b/>
          <w:i/>
          <w:sz w:val="22"/>
          <w:szCs w:val="22"/>
        </w:rPr>
        <w:t>...</w:t>
      </w:r>
    </w:p>
    <w:p w14:paraId="05373CB5"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Quincuagésimo séptimo</w:t>
      </w:r>
      <w:r w:rsidRPr="00AA4C68">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3320A586"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w:t>
      </w:r>
      <w:r w:rsidRPr="00AA4C68">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067AE13F"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w:t>
      </w:r>
      <w:r w:rsidRPr="00AA4C68">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331FE004"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III</w:t>
      </w:r>
      <w:r w:rsidRPr="00AA4C68">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8E1C0C8"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37ADB5DD" w14:textId="77777777" w:rsidR="00187EEC" w:rsidRPr="00AA4C68" w:rsidRDefault="00187EEC" w:rsidP="00187EEC">
      <w:pPr>
        <w:spacing w:before="120" w:after="120"/>
        <w:ind w:left="851" w:right="902"/>
        <w:jc w:val="both"/>
        <w:rPr>
          <w:rFonts w:ascii="Palatino Linotype" w:eastAsia="Palatino Linotype" w:hAnsi="Palatino Linotype" w:cs="Palatino Linotype"/>
          <w:i/>
          <w:sz w:val="22"/>
          <w:szCs w:val="22"/>
        </w:rPr>
      </w:pPr>
      <w:r w:rsidRPr="00AA4C68">
        <w:rPr>
          <w:rFonts w:ascii="Palatino Linotype" w:eastAsia="Palatino Linotype" w:hAnsi="Palatino Linotype" w:cs="Palatino Linotype"/>
          <w:b/>
          <w:i/>
          <w:sz w:val="22"/>
          <w:szCs w:val="22"/>
        </w:rPr>
        <w:t>Quincuagésimo octavo</w:t>
      </w:r>
      <w:r w:rsidRPr="00AA4C68">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249F8269" w14:textId="7CAECB76" w:rsidR="007F6629" w:rsidRPr="00AA4C68" w:rsidRDefault="00193AE1" w:rsidP="00193AE1">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Así, con fundamento en lo prescrito en los artículos </w:t>
      </w:r>
      <w:r w:rsidR="005D5DC9" w:rsidRPr="00AA4C68">
        <w:rPr>
          <w:rFonts w:ascii="Palatino Linotype" w:eastAsia="Palatino Linotype" w:hAnsi="Palatino Linotype" w:cs="Palatino Linotype"/>
          <w:sz w:val="22"/>
          <w:szCs w:val="22"/>
        </w:rPr>
        <w:t xml:space="preserve">5 párrafos </w:t>
      </w:r>
      <w:r w:rsidR="000E700F" w:rsidRPr="00AA4C68">
        <w:rPr>
          <w:rFonts w:ascii="Palatino Linotype" w:eastAsia="Palatino Linotype" w:hAnsi="Palatino Linotype" w:cs="Palatino Linotype"/>
          <w:sz w:val="22"/>
          <w:szCs w:val="22"/>
        </w:rPr>
        <w:t xml:space="preserve">cuadragésimo cuarto, cuadragésimo quinto cuadragésimo sexto, de la </w:t>
      </w:r>
      <w:r w:rsidR="005D5DC9" w:rsidRPr="00AA4C68">
        <w:rPr>
          <w:rFonts w:ascii="Palatino Linotype" w:eastAsia="Palatino Linotype" w:hAnsi="Palatino Linotype" w:cs="Palatino Linotype"/>
          <w:sz w:val="22"/>
          <w:szCs w:val="22"/>
        </w:rPr>
        <w:t>Constitución Política del Estado Libre y Soberano de México; Transitorio Cuarto, párrafo segundo del Decreto número 198 de la “LXII” Legislatura del Estado de México;</w:t>
      </w:r>
      <w:r w:rsidRPr="00AA4C68">
        <w:rPr>
          <w:rFonts w:ascii="Palatino Linotype" w:eastAsia="Palatino Linotype" w:hAnsi="Palatino Linotype" w:cs="Palatino Linotype"/>
          <w:sz w:val="22"/>
          <w:szCs w:val="22"/>
        </w:rPr>
        <w:t xml:space="preserve"> 2, fracción II; 29, 36 fracciones I y II; 176, 178, 181, 185 y 186 fracción II de la Ley de Transparencia y Acceso a la Información Pública del Estado de México y Municipios, este Pleno:</w:t>
      </w:r>
    </w:p>
    <w:p w14:paraId="0285A7B6" w14:textId="77777777" w:rsidR="00193AE1" w:rsidRPr="00AA4C68" w:rsidRDefault="00193AE1" w:rsidP="00193AE1">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AA4C68">
        <w:rPr>
          <w:rFonts w:ascii="Palatino Linotype" w:eastAsia="Palatino Linotype" w:hAnsi="Palatino Linotype" w:cs="Palatino Linotype"/>
          <w:b/>
          <w:sz w:val="22"/>
          <w:szCs w:val="22"/>
        </w:rPr>
        <w:t>III. R E S U E L V E</w:t>
      </w:r>
    </w:p>
    <w:p w14:paraId="5C7FA26B" w14:textId="226979C3" w:rsidR="00193AE1" w:rsidRPr="00AA4C68" w:rsidRDefault="00193AE1" w:rsidP="00193AE1">
      <w:pPr>
        <w:spacing w:before="240" w:after="240" w:line="360" w:lineRule="auto"/>
        <w:jc w:val="both"/>
        <w:rPr>
          <w:rFonts w:ascii="Palatino Linotype" w:eastAsia="Palatino Linotype" w:hAnsi="Palatino Linotype" w:cs="Palatino Linotype"/>
          <w:sz w:val="22"/>
          <w:szCs w:val="22"/>
        </w:rPr>
      </w:pPr>
      <w:bookmarkStart w:id="12" w:name="_heading=h.26in1rg" w:colFirst="0" w:colLast="0"/>
      <w:bookmarkEnd w:id="12"/>
      <w:r w:rsidRPr="00AA4C68">
        <w:rPr>
          <w:rFonts w:ascii="Palatino Linotype" w:eastAsia="Palatino Linotype" w:hAnsi="Palatino Linotype" w:cs="Palatino Linotype"/>
          <w:b/>
          <w:sz w:val="22"/>
          <w:szCs w:val="22"/>
        </w:rPr>
        <w:t xml:space="preserve">Primero. </w:t>
      </w:r>
      <w:r w:rsidRPr="00AA4C68">
        <w:rPr>
          <w:rFonts w:ascii="Palatino Linotype" w:eastAsia="Palatino Linotype" w:hAnsi="Palatino Linotype" w:cs="Palatino Linotype"/>
          <w:sz w:val="22"/>
          <w:szCs w:val="22"/>
        </w:rPr>
        <w:t>Resultan</w:t>
      </w:r>
      <w:r w:rsidRPr="00AA4C68">
        <w:rPr>
          <w:rFonts w:ascii="Palatino Linotype" w:eastAsia="Palatino Linotype" w:hAnsi="Palatino Linotype" w:cs="Palatino Linotype"/>
          <w:b/>
          <w:sz w:val="22"/>
          <w:szCs w:val="22"/>
        </w:rPr>
        <w:t xml:space="preserve"> fundadas</w:t>
      </w:r>
      <w:r w:rsidRPr="00AA4C68">
        <w:rPr>
          <w:rFonts w:ascii="Palatino Linotype" w:eastAsia="Palatino Linotype" w:hAnsi="Palatino Linotype" w:cs="Palatino Linotype"/>
          <w:sz w:val="22"/>
          <w:szCs w:val="22"/>
        </w:rPr>
        <w:t xml:space="preserve"> las razones o motivos de inconformidad hechos valer por la parte</w:t>
      </w:r>
      <w:r w:rsidRPr="00AA4C68">
        <w:rPr>
          <w:rFonts w:ascii="Palatino Linotype" w:eastAsia="Palatino Linotype" w:hAnsi="Palatino Linotype" w:cs="Palatino Linotype"/>
          <w:b/>
          <w:sz w:val="22"/>
          <w:szCs w:val="22"/>
        </w:rPr>
        <w:t xml:space="preserve"> Recurrente</w:t>
      </w:r>
      <w:r w:rsidRPr="00AA4C68">
        <w:rPr>
          <w:rFonts w:ascii="Palatino Linotype" w:eastAsia="Palatino Linotype" w:hAnsi="Palatino Linotype" w:cs="Palatino Linotype"/>
          <w:sz w:val="22"/>
          <w:szCs w:val="22"/>
        </w:rPr>
        <w:t xml:space="preserve"> en el recurso de revisión </w:t>
      </w:r>
      <w:r w:rsidR="00187EEC" w:rsidRPr="00AA4C68">
        <w:rPr>
          <w:rFonts w:ascii="Palatino Linotype" w:eastAsia="Palatino Linotype" w:hAnsi="Palatino Linotype" w:cs="Palatino Linotype"/>
          <w:b/>
          <w:sz w:val="22"/>
          <w:szCs w:val="22"/>
        </w:rPr>
        <w:t>14404</w:t>
      </w:r>
      <w:r w:rsidRPr="00AA4C68">
        <w:rPr>
          <w:rFonts w:ascii="Palatino Linotype" w:eastAsia="Palatino Linotype" w:hAnsi="Palatino Linotype" w:cs="Palatino Linotype"/>
          <w:b/>
          <w:sz w:val="22"/>
          <w:szCs w:val="22"/>
        </w:rPr>
        <w:t>/INFOEM/IP/RR/202</w:t>
      </w:r>
      <w:r w:rsidR="00625B99" w:rsidRPr="00AA4C68">
        <w:rPr>
          <w:rFonts w:ascii="Palatino Linotype" w:eastAsia="Palatino Linotype" w:hAnsi="Palatino Linotype" w:cs="Palatino Linotype"/>
          <w:b/>
          <w:sz w:val="22"/>
          <w:szCs w:val="22"/>
        </w:rPr>
        <w:t>5</w:t>
      </w:r>
      <w:r w:rsidRPr="00AA4C68">
        <w:rPr>
          <w:rFonts w:ascii="Palatino Linotype" w:eastAsia="Palatino Linotype" w:hAnsi="Palatino Linotype" w:cs="Palatino Linotype"/>
          <w:sz w:val="22"/>
          <w:szCs w:val="22"/>
        </w:rPr>
        <w:t xml:space="preserve">; por lo que, en términos del </w:t>
      </w:r>
      <w:r w:rsidRPr="00AA4C68">
        <w:rPr>
          <w:rFonts w:ascii="Palatino Linotype" w:eastAsia="Palatino Linotype" w:hAnsi="Palatino Linotype" w:cs="Palatino Linotype"/>
          <w:bCs/>
          <w:sz w:val="22"/>
          <w:szCs w:val="22"/>
        </w:rPr>
        <w:t>Considerando</w:t>
      </w:r>
      <w:r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b/>
          <w:sz w:val="22"/>
          <w:szCs w:val="22"/>
        </w:rPr>
        <w:t xml:space="preserve">Cuarto </w:t>
      </w:r>
      <w:r w:rsidRPr="00AA4C68">
        <w:rPr>
          <w:rFonts w:ascii="Palatino Linotype" w:eastAsia="Palatino Linotype" w:hAnsi="Palatino Linotype" w:cs="Palatino Linotype"/>
          <w:sz w:val="22"/>
          <w:szCs w:val="22"/>
        </w:rPr>
        <w:t xml:space="preserve">de esta resolución, se </w:t>
      </w:r>
      <w:r w:rsidR="00187EEC" w:rsidRPr="00AA4C68">
        <w:rPr>
          <w:rFonts w:ascii="Palatino Linotype" w:eastAsia="Palatino Linotype" w:hAnsi="Palatino Linotype" w:cs="Palatino Linotype"/>
          <w:b/>
          <w:sz w:val="22"/>
          <w:szCs w:val="22"/>
        </w:rPr>
        <w:t>Revoca</w:t>
      </w:r>
      <w:r w:rsidRPr="00AA4C68">
        <w:rPr>
          <w:rFonts w:ascii="Palatino Linotype" w:eastAsia="Palatino Linotype" w:hAnsi="Palatino Linotype" w:cs="Palatino Linotype"/>
          <w:b/>
          <w:sz w:val="22"/>
          <w:szCs w:val="22"/>
        </w:rPr>
        <w:t xml:space="preserve"> </w:t>
      </w:r>
      <w:r w:rsidRPr="00AA4C68">
        <w:rPr>
          <w:rFonts w:ascii="Palatino Linotype" w:eastAsia="Palatino Linotype" w:hAnsi="Palatino Linotype" w:cs="Palatino Linotype"/>
          <w:sz w:val="22"/>
          <w:szCs w:val="22"/>
        </w:rPr>
        <w:t xml:space="preserve">la respuesta emitida por el </w:t>
      </w:r>
      <w:r w:rsidRPr="00AA4C68">
        <w:rPr>
          <w:rFonts w:ascii="Palatino Linotype" w:eastAsia="Palatino Linotype" w:hAnsi="Palatino Linotype" w:cs="Palatino Linotype"/>
          <w:b/>
          <w:sz w:val="22"/>
          <w:szCs w:val="22"/>
        </w:rPr>
        <w:t xml:space="preserve">Sujeto Obligado. </w:t>
      </w:r>
    </w:p>
    <w:p w14:paraId="332015FE" w14:textId="6AFE8124" w:rsidR="007B6326" w:rsidRPr="00AA4C68" w:rsidRDefault="00193AE1" w:rsidP="00AC55D2">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 xml:space="preserve">Segundo. </w:t>
      </w:r>
      <w:r w:rsidRPr="00AA4C68">
        <w:rPr>
          <w:rFonts w:ascii="Palatino Linotype" w:eastAsia="Palatino Linotype" w:hAnsi="Palatino Linotype" w:cs="Palatino Linotype"/>
          <w:sz w:val="22"/>
          <w:szCs w:val="22"/>
        </w:rPr>
        <w:t xml:space="preserve">Se </w:t>
      </w:r>
      <w:r w:rsidRPr="00AA4C68">
        <w:rPr>
          <w:rFonts w:ascii="Palatino Linotype" w:eastAsia="Palatino Linotype" w:hAnsi="Palatino Linotype" w:cs="Palatino Linotype"/>
          <w:b/>
          <w:sz w:val="22"/>
          <w:szCs w:val="22"/>
        </w:rPr>
        <w:t>Ordena</w:t>
      </w:r>
      <w:r w:rsidRPr="00AA4C68">
        <w:rPr>
          <w:rFonts w:ascii="Palatino Linotype" w:eastAsia="Palatino Linotype" w:hAnsi="Palatino Linotype" w:cs="Palatino Linotype"/>
          <w:sz w:val="22"/>
          <w:szCs w:val="22"/>
        </w:rPr>
        <w:t xml:space="preserve"> al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en términos de</w:t>
      </w:r>
      <w:r w:rsidR="00AC55D2" w:rsidRPr="00AA4C68">
        <w:rPr>
          <w:rFonts w:ascii="Palatino Linotype" w:eastAsia="Palatino Linotype" w:hAnsi="Palatino Linotype" w:cs="Palatino Linotype"/>
          <w:sz w:val="22"/>
          <w:szCs w:val="22"/>
        </w:rPr>
        <w:t>l</w:t>
      </w:r>
      <w:r w:rsidR="007F6629"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sz w:val="22"/>
          <w:szCs w:val="22"/>
        </w:rPr>
        <w:t xml:space="preserve">Considerando </w:t>
      </w:r>
      <w:r w:rsidRPr="00AA4C68">
        <w:rPr>
          <w:rFonts w:ascii="Palatino Linotype" w:eastAsia="Palatino Linotype" w:hAnsi="Palatino Linotype" w:cs="Palatino Linotype"/>
          <w:b/>
          <w:sz w:val="22"/>
          <w:szCs w:val="22"/>
        </w:rPr>
        <w:t>Cuarto</w:t>
      </w:r>
      <w:r w:rsidR="00A8793A" w:rsidRPr="00AA4C68">
        <w:rPr>
          <w:rFonts w:ascii="Palatino Linotype" w:eastAsia="Palatino Linotype" w:hAnsi="Palatino Linotype" w:cs="Palatino Linotype"/>
          <w:b/>
          <w:sz w:val="22"/>
          <w:szCs w:val="22"/>
        </w:rPr>
        <w:t xml:space="preserve"> </w:t>
      </w:r>
      <w:r w:rsidR="007B6326" w:rsidRPr="00AA4C68">
        <w:rPr>
          <w:rFonts w:ascii="Palatino Linotype" w:eastAsia="Palatino Linotype" w:hAnsi="Palatino Linotype" w:cs="Palatino Linotype"/>
          <w:sz w:val="22"/>
          <w:szCs w:val="22"/>
        </w:rPr>
        <w:t xml:space="preserve">de esta resolución, haga entrega, vía </w:t>
      </w:r>
      <w:r w:rsidR="007B6326" w:rsidRPr="00AA4C68">
        <w:rPr>
          <w:rFonts w:ascii="Palatino Linotype" w:eastAsia="Palatino Linotype" w:hAnsi="Palatino Linotype" w:cs="Palatino Linotype"/>
          <w:b/>
          <w:sz w:val="22"/>
          <w:szCs w:val="22"/>
        </w:rPr>
        <w:t>SAIMEX</w:t>
      </w:r>
      <w:r w:rsidR="007B6326" w:rsidRPr="00AA4C68">
        <w:rPr>
          <w:rFonts w:ascii="Palatino Linotype" w:eastAsia="Palatino Linotype" w:hAnsi="Palatino Linotype" w:cs="Palatino Linotype"/>
          <w:sz w:val="22"/>
          <w:szCs w:val="22"/>
        </w:rPr>
        <w:t>,</w:t>
      </w:r>
      <w:r w:rsidR="00A8793A" w:rsidRPr="00AA4C68">
        <w:rPr>
          <w:rFonts w:ascii="Palatino Linotype" w:eastAsia="Palatino Linotype" w:hAnsi="Palatino Linotype" w:cs="Palatino Linotype"/>
          <w:sz w:val="22"/>
          <w:szCs w:val="22"/>
        </w:rPr>
        <w:t xml:space="preserve"> </w:t>
      </w:r>
      <w:r w:rsidR="007B6326" w:rsidRPr="00AA4C68">
        <w:rPr>
          <w:rFonts w:ascii="Palatino Linotype" w:eastAsia="Palatino Linotype" w:hAnsi="Palatino Linotype" w:cs="Palatino Linotype"/>
          <w:sz w:val="22"/>
          <w:szCs w:val="22"/>
        </w:rPr>
        <w:t>de lo siguiente:</w:t>
      </w:r>
    </w:p>
    <w:p w14:paraId="0134ABDD" w14:textId="495B48F7" w:rsidR="00187EEC" w:rsidRPr="00AA4C68" w:rsidRDefault="00187EEC" w:rsidP="00187EEC">
      <w:pPr>
        <w:pBdr>
          <w:top w:val="nil"/>
          <w:left w:val="nil"/>
          <w:bottom w:val="nil"/>
          <w:right w:val="nil"/>
          <w:between w:val="nil"/>
        </w:pBdr>
        <w:spacing w:before="240" w:after="240" w:line="360" w:lineRule="auto"/>
        <w:ind w:left="284" w:right="-91"/>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1. </w:t>
      </w:r>
      <w:r w:rsidR="00F67440" w:rsidRPr="00AA4C68">
        <w:rPr>
          <w:rFonts w:ascii="Palatino Linotype" w:eastAsia="Palatino Linotype" w:hAnsi="Palatino Linotype" w:cs="Palatino Linotype"/>
          <w:sz w:val="22"/>
          <w:szCs w:val="22"/>
        </w:rPr>
        <w:t xml:space="preserve">Los </w:t>
      </w:r>
      <w:r w:rsidRPr="00AA4C68">
        <w:rPr>
          <w:rFonts w:ascii="Palatino Linotype" w:eastAsia="Palatino Linotype" w:hAnsi="Palatino Linotype" w:cs="Palatino Linotype"/>
          <w:sz w:val="22"/>
          <w:szCs w:val="22"/>
        </w:rPr>
        <w:t>recibos de nómina</w:t>
      </w:r>
      <w:r w:rsidR="00F67440" w:rsidRPr="00AA4C68">
        <w:rPr>
          <w:rFonts w:ascii="Palatino Linotype" w:eastAsia="Palatino Linotype" w:hAnsi="Palatino Linotype" w:cs="Palatino Linotype"/>
          <w:sz w:val="22"/>
          <w:szCs w:val="22"/>
        </w:rPr>
        <w:t xml:space="preserve"> de todos los servidores públicos adscritos al </w:t>
      </w:r>
      <w:r w:rsidR="00F67440" w:rsidRPr="00AA4C68">
        <w:rPr>
          <w:rFonts w:ascii="Palatino Linotype" w:eastAsia="Palatino Linotype" w:hAnsi="Palatino Linotype" w:cs="Palatino Linotype"/>
          <w:b/>
          <w:sz w:val="22"/>
          <w:szCs w:val="22"/>
        </w:rPr>
        <w:t>Sujeto Obligado</w:t>
      </w:r>
      <w:r w:rsidR="00F67440" w:rsidRPr="00AA4C68">
        <w:rPr>
          <w:rFonts w:ascii="Palatino Linotype" w:eastAsia="Palatino Linotype" w:hAnsi="Palatino Linotype" w:cs="Palatino Linotype"/>
          <w:sz w:val="22"/>
          <w:szCs w:val="22"/>
        </w:rPr>
        <w:t>,</w:t>
      </w:r>
      <w:r w:rsidRPr="00AA4C68">
        <w:rPr>
          <w:rFonts w:ascii="Palatino Linotype" w:eastAsia="Palatino Linotype" w:hAnsi="Palatino Linotype" w:cs="Palatino Linotype"/>
          <w:sz w:val="22"/>
          <w:szCs w:val="22"/>
        </w:rPr>
        <w:t xml:space="preserve"> correspondientes a la primera quincena de noviembre de dos mil veinticinco.</w:t>
      </w:r>
    </w:p>
    <w:p w14:paraId="5CB1F63B" w14:textId="22416533" w:rsidR="00187EEC" w:rsidRPr="00AA4C68" w:rsidRDefault="00187EEC" w:rsidP="00187EEC">
      <w:pPr>
        <w:spacing w:before="120" w:after="120"/>
        <w:ind w:left="284"/>
        <w:jc w:val="both"/>
        <w:rPr>
          <w:rFonts w:ascii="Palatino Linotype" w:eastAsia="Palatino Linotype" w:hAnsi="Palatino Linotype" w:cs="Palatino Linotype"/>
          <w:i/>
          <w:sz w:val="20"/>
          <w:szCs w:val="20"/>
        </w:rPr>
      </w:pPr>
      <w:r w:rsidRPr="00AA4C68">
        <w:rPr>
          <w:rFonts w:ascii="Palatino Linotype" w:eastAsia="Palatino Linotype" w:hAnsi="Palatino Linotype" w:cs="Palatino Linotype"/>
          <w:i/>
          <w:sz w:val="20"/>
          <w:szCs w:val="20"/>
        </w:rPr>
        <w:t xml:space="preserve">Para la entrega de información en versión pública, se deberá emitir el Acuerdo del Comité de Transparencia de acuerdo con la Ley de Transparencia y Acceso a la Información Pública del Estado de México y Municipios, en el que funde y motive las razones sobre los datos que se supriman, mismo que también hará de conocimiento de la parte </w:t>
      </w:r>
      <w:r w:rsidRPr="00AA4C68">
        <w:rPr>
          <w:rFonts w:ascii="Palatino Linotype" w:eastAsia="Palatino Linotype" w:hAnsi="Palatino Linotype" w:cs="Palatino Linotype"/>
          <w:b/>
          <w:i/>
          <w:sz w:val="20"/>
          <w:szCs w:val="20"/>
        </w:rPr>
        <w:t>Recurrente.</w:t>
      </w:r>
    </w:p>
    <w:p w14:paraId="6B12F0AC" w14:textId="7B79EEBD" w:rsidR="00193AE1" w:rsidRPr="00AA4C68" w:rsidRDefault="00193AE1" w:rsidP="00193AE1">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b/>
          <w:sz w:val="22"/>
          <w:szCs w:val="22"/>
        </w:rPr>
        <w:t xml:space="preserve">Tercero. Notifíquese, </w:t>
      </w:r>
      <w:r w:rsidRPr="00AA4C68">
        <w:rPr>
          <w:rFonts w:ascii="Palatino Linotype" w:eastAsia="Palatino Linotype" w:hAnsi="Palatino Linotype" w:cs="Palatino Linotype"/>
          <w:sz w:val="22"/>
          <w:szCs w:val="22"/>
        </w:rPr>
        <w:t xml:space="preserve">vía </w:t>
      </w:r>
      <w:r w:rsidRPr="00AA4C68">
        <w:rPr>
          <w:rFonts w:ascii="Palatino Linotype" w:eastAsia="Palatino Linotype" w:hAnsi="Palatino Linotype" w:cs="Palatino Linotype"/>
          <w:b/>
          <w:sz w:val="22"/>
          <w:szCs w:val="22"/>
        </w:rPr>
        <w:t>SAIMEX</w:t>
      </w:r>
      <w:r w:rsidRPr="00AA4C68">
        <w:rPr>
          <w:rFonts w:ascii="Palatino Linotype" w:eastAsia="Palatino Linotype" w:hAnsi="Palatino Linotype" w:cs="Palatino Linotype"/>
          <w:sz w:val="22"/>
          <w:szCs w:val="22"/>
        </w:rPr>
        <w:t xml:space="preserve">, al Titular de la Unidad de Transparencia del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A7DBDD" w14:textId="77777777" w:rsidR="00193AE1" w:rsidRPr="00AA4C68" w:rsidRDefault="00193AE1" w:rsidP="00193AE1">
      <w:pPr>
        <w:spacing w:before="240" w:after="240" w:line="360" w:lineRule="auto"/>
        <w:jc w:val="both"/>
        <w:rPr>
          <w:rFonts w:ascii="Palatino Linotype" w:eastAsia="Palatino Linotype" w:hAnsi="Palatino Linotype" w:cs="Palatino Linotype"/>
          <w:sz w:val="22"/>
          <w:szCs w:val="22"/>
        </w:rPr>
      </w:pPr>
      <w:r w:rsidRPr="00AA4C68">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AA4C68">
        <w:rPr>
          <w:rFonts w:ascii="Palatino Linotype" w:eastAsia="Palatino Linotype" w:hAnsi="Palatino Linotype" w:cs="Palatino Linotype"/>
          <w:b/>
          <w:sz w:val="22"/>
          <w:szCs w:val="22"/>
        </w:rPr>
        <w:t>Sujeto Obligado</w:t>
      </w:r>
      <w:r w:rsidRPr="00AA4C68">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52AA7DFB" w14:textId="77777777" w:rsidR="00193AE1" w:rsidRPr="00AA4C68" w:rsidRDefault="00193AE1" w:rsidP="00193AE1">
      <w:pPr>
        <w:spacing w:before="240" w:after="240" w:line="360" w:lineRule="auto"/>
        <w:jc w:val="both"/>
        <w:rPr>
          <w:rFonts w:ascii="Palatino Linotype" w:eastAsia="Palatino Linotype" w:hAnsi="Palatino Linotype" w:cs="Palatino Linotype"/>
          <w:sz w:val="22"/>
          <w:szCs w:val="22"/>
        </w:rPr>
      </w:pPr>
      <w:bookmarkStart w:id="13" w:name="_heading=h.17dp8vu" w:colFirst="0" w:colLast="0"/>
      <w:bookmarkEnd w:id="13"/>
      <w:r w:rsidRPr="00AA4C68">
        <w:rPr>
          <w:rFonts w:ascii="Palatino Linotype" w:eastAsia="Palatino Linotype" w:hAnsi="Palatino Linotype" w:cs="Palatino Linotype"/>
          <w:b/>
          <w:sz w:val="22"/>
          <w:szCs w:val="22"/>
        </w:rPr>
        <w:t xml:space="preserve">Cuarto.  Notifíquese, </w:t>
      </w:r>
      <w:r w:rsidRPr="00AA4C68">
        <w:rPr>
          <w:rFonts w:ascii="Palatino Linotype" w:eastAsia="Palatino Linotype" w:hAnsi="Palatino Linotype" w:cs="Palatino Linotype"/>
          <w:sz w:val="22"/>
          <w:szCs w:val="22"/>
        </w:rPr>
        <w:t xml:space="preserve">vía </w:t>
      </w:r>
      <w:r w:rsidRPr="00AA4C68">
        <w:rPr>
          <w:rFonts w:ascii="Palatino Linotype" w:eastAsia="Palatino Linotype" w:hAnsi="Palatino Linotype" w:cs="Palatino Linotype"/>
          <w:b/>
          <w:sz w:val="22"/>
          <w:szCs w:val="22"/>
        </w:rPr>
        <w:t>SAIMEX</w:t>
      </w:r>
      <w:r w:rsidRPr="00AA4C68">
        <w:rPr>
          <w:rFonts w:ascii="Palatino Linotype" w:eastAsia="Palatino Linotype" w:hAnsi="Palatino Linotype" w:cs="Palatino Linotype"/>
          <w:sz w:val="22"/>
          <w:szCs w:val="22"/>
        </w:rPr>
        <w:t xml:space="preserve">, a la parte </w:t>
      </w:r>
      <w:r w:rsidRPr="00AA4C68">
        <w:rPr>
          <w:rFonts w:ascii="Palatino Linotype" w:eastAsia="Palatino Linotype" w:hAnsi="Palatino Linotype" w:cs="Palatino Linotype"/>
          <w:b/>
          <w:sz w:val="22"/>
          <w:szCs w:val="22"/>
        </w:rPr>
        <w:t>Recurrente</w:t>
      </w:r>
      <w:r w:rsidRPr="00AA4C68">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4D598642" w14:textId="4D5D85C0" w:rsidR="00562A90" w:rsidRPr="007B37DB" w:rsidRDefault="0062255D">
      <w:pPr>
        <w:tabs>
          <w:tab w:val="left" w:pos="8647"/>
        </w:tabs>
        <w:spacing w:before="240" w:after="240" w:line="360" w:lineRule="auto"/>
        <w:ind w:right="51"/>
        <w:jc w:val="both"/>
        <w:rPr>
          <w:rFonts w:ascii="Palatino Linotype" w:eastAsia="Palatino Linotype" w:hAnsi="Palatino Linotype" w:cs="Palatino Linotype"/>
          <w:sz w:val="22"/>
          <w:szCs w:val="22"/>
        </w:rPr>
      </w:pPr>
      <w:bookmarkStart w:id="14" w:name="_heading=h.lnxbz9" w:colFirst="0" w:colLast="0"/>
      <w:bookmarkEnd w:id="14"/>
      <w:r w:rsidRPr="00AA4C68">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B37DB" w:rsidRPr="00AA4C68">
        <w:rPr>
          <w:rFonts w:ascii="Palatino Linotype" w:eastAsia="Palatino Linotype" w:hAnsi="Palatino Linotype" w:cs="Palatino Linotype"/>
          <w:sz w:val="22"/>
          <w:szCs w:val="22"/>
        </w:rPr>
        <w:t>SÉPTIMA</w:t>
      </w:r>
      <w:r w:rsidR="000F04D3" w:rsidRPr="00AA4C68">
        <w:rPr>
          <w:rFonts w:ascii="Palatino Linotype" w:eastAsia="Palatino Linotype" w:hAnsi="Palatino Linotype" w:cs="Palatino Linotype"/>
          <w:sz w:val="22"/>
          <w:szCs w:val="22"/>
        </w:rPr>
        <w:t xml:space="preserve"> </w:t>
      </w:r>
      <w:r w:rsidRPr="00AA4C68">
        <w:rPr>
          <w:rFonts w:ascii="Palatino Linotype" w:eastAsia="Palatino Linotype" w:hAnsi="Palatino Linotype" w:cs="Palatino Linotype"/>
          <w:sz w:val="22"/>
          <w:szCs w:val="22"/>
        </w:rPr>
        <w:t xml:space="preserve">SESIÓN ORDINARIA CELEBRADA EL </w:t>
      </w:r>
      <w:r w:rsidR="007B37DB" w:rsidRPr="00AA4C68">
        <w:rPr>
          <w:rFonts w:ascii="Palatino Linotype" w:eastAsia="Palatino Linotype" w:hAnsi="Palatino Linotype" w:cs="Palatino Linotype"/>
          <w:sz w:val="22"/>
          <w:szCs w:val="22"/>
        </w:rPr>
        <w:t>VEINTICINCO</w:t>
      </w:r>
      <w:r w:rsidR="00982A43" w:rsidRPr="00AA4C68">
        <w:rPr>
          <w:rFonts w:ascii="Palatino Linotype" w:eastAsia="Palatino Linotype" w:hAnsi="Palatino Linotype" w:cs="Palatino Linotype"/>
          <w:sz w:val="22"/>
          <w:szCs w:val="22"/>
        </w:rPr>
        <w:t xml:space="preserve"> </w:t>
      </w:r>
      <w:r w:rsidR="000F04D3" w:rsidRPr="00AA4C68">
        <w:rPr>
          <w:rFonts w:ascii="Palatino Linotype" w:eastAsia="Palatino Linotype" w:hAnsi="Palatino Linotype" w:cs="Palatino Linotype"/>
          <w:sz w:val="22"/>
          <w:szCs w:val="22"/>
        </w:rPr>
        <w:t xml:space="preserve">DE FEBRERO </w:t>
      </w:r>
      <w:r w:rsidRPr="00AA4C68">
        <w:rPr>
          <w:rFonts w:ascii="Palatino Linotype" w:eastAsia="Palatino Linotype" w:hAnsi="Palatino Linotype" w:cs="Palatino Linotype"/>
          <w:sz w:val="22"/>
          <w:szCs w:val="22"/>
        </w:rPr>
        <w:t>DE DOS MIL VEINTI</w:t>
      </w:r>
      <w:r w:rsidR="00DB7822" w:rsidRPr="00AA4C68">
        <w:rPr>
          <w:rFonts w:ascii="Palatino Linotype" w:eastAsia="Palatino Linotype" w:hAnsi="Palatino Linotype" w:cs="Palatino Linotype"/>
          <w:sz w:val="22"/>
          <w:szCs w:val="22"/>
        </w:rPr>
        <w:t>S</w:t>
      </w:r>
      <w:r w:rsidR="000F04D3" w:rsidRPr="00AA4C68">
        <w:rPr>
          <w:rFonts w:ascii="Palatino Linotype" w:eastAsia="Palatino Linotype" w:hAnsi="Palatino Linotype" w:cs="Palatino Linotype"/>
          <w:sz w:val="22"/>
          <w:szCs w:val="22"/>
        </w:rPr>
        <w:t>ÉI</w:t>
      </w:r>
      <w:r w:rsidR="00DB7822" w:rsidRPr="00AA4C68">
        <w:rPr>
          <w:rFonts w:ascii="Palatino Linotype" w:eastAsia="Palatino Linotype" w:hAnsi="Palatino Linotype" w:cs="Palatino Linotype"/>
          <w:sz w:val="22"/>
          <w:szCs w:val="22"/>
        </w:rPr>
        <w:t>S</w:t>
      </w:r>
      <w:r w:rsidRPr="00AA4C68">
        <w:rPr>
          <w:rFonts w:ascii="Palatino Linotype" w:eastAsia="Palatino Linotype" w:hAnsi="Palatino Linotype" w:cs="Palatino Linotype"/>
          <w:sz w:val="22"/>
          <w:szCs w:val="22"/>
        </w:rPr>
        <w:t>, ANTE EL SECRETARIO TÉCNICO DEL PLENO ALEXIS TAPIA RAMÍREZ.</w:t>
      </w:r>
    </w:p>
    <w:p w14:paraId="7E80776D"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21728E8E" w14:textId="77777777" w:rsidR="00562A90" w:rsidRPr="007B37DB" w:rsidRDefault="00562A90">
      <w:pPr>
        <w:spacing w:line="360" w:lineRule="auto"/>
        <w:jc w:val="center"/>
        <w:rPr>
          <w:rFonts w:ascii="Palatino Linotype" w:eastAsia="Palatino Linotype" w:hAnsi="Palatino Linotype" w:cs="Palatino Linotype"/>
          <w:sz w:val="22"/>
          <w:szCs w:val="22"/>
        </w:rPr>
      </w:pPr>
    </w:p>
    <w:p w14:paraId="42D39E19"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4B650DFB"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7ED63B69"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7BB21431"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79BD8F1D"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78283A5A"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3A538169"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30987695"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6409F902"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6DA2BB7C"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16FF6442"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5EB5F424"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056403D1"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68F30A44"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4EDDCC63"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2DF6CB35"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6FDE708A"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4390587E" w14:textId="77777777" w:rsidR="00562A90" w:rsidRPr="007B37DB" w:rsidRDefault="00562A90">
      <w:pPr>
        <w:spacing w:line="360" w:lineRule="auto"/>
        <w:jc w:val="both"/>
        <w:rPr>
          <w:rFonts w:ascii="Palatino Linotype" w:eastAsia="Palatino Linotype" w:hAnsi="Palatino Linotype" w:cs="Palatino Linotype"/>
          <w:sz w:val="22"/>
          <w:szCs w:val="22"/>
        </w:rPr>
      </w:pPr>
    </w:p>
    <w:p w14:paraId="5F867AD1" w14:textId="77777777" w:rsidR="00CD09AE" w:rsidRPr="007B37DB" w:rsidRDefault="00CD09AE">
      <w:pPr>
        <w:spacing w:line="360" w:lineRule="auto"/>
        <w:jc w:val="both"/>
        <w:rPr>
          <w:rFonts w:ascii="Palatino Linotype" w:eastAsia="Palatino Linotype" w:hAnsi="Palatino Linotype" w:cs="Palatino Linotype"/>
          <w:sz w:val="22"/>
          <w:szCs w:val="22"/>
        </w:rPr>
      </w:pPr>
    </w:p>
    <w:p w14:paraId="45229870" w14:textId="77777777" w:rsidR="00CD09AE" w:rsidRPr="007B37DB" w:rsidRDefault="00CD09AE">
      <w:pPr>
        <w:spacing w:line="360" w:lineRule="auto"/>
        <w:jc w:val="both"/>
        <w:rPr>
          <w:rFonts w:ascii="Palatino Linotype" w:eastAsia="Palatino Linotype" w:hAnsi="Palatino Linotype" w:cs="Palatino Linotype"/>
          <w:sz w:val="22"/>
          <w:szCs w:val="22"/>
        </w:rPr>
      </w:pPr>
    </w:p>
    <w:p w14:paraId="5B3EEBD5" w14:textId="77777777" w:rsidR="00CD09AE" w:rsidRPr="007B37DB" w:rsidRDefault="00CD09AE">
      <w:pPr>
        <w:spacing w:line="360" w:lineRule="auto"/>
        <w:jc w:val="both"/>
        <w:rPr>
          <w:rFonts w:ascii="Palatino Linotype" w:eastAsia="Palatino Linotype" w:hAnsi="Palatino Linotype" w:cs="Palatino Linotype"/>
          <w:sz w:val="22"/>
          <w:szCs w:val="22"/>
        </w:rPr>
      </w:pPr>
    </w:p>
    <w:sectPr w:rsidR="00CD09AE" w:rsidRPr="007B37DB">
      <w:headerReference w:type="default" r:id="rId13"/>
      <w:footerReference w:type="default" r:id="rId14"/>
      <w:headerReference w:type="first" r:id="rId15"/>
      <w:footerReference w:type="first" r:id="rId16"/>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6F253" w14:textId="77777777" w:rsidR="007120BB" w:rsidRDefault="007120BB">
      <w:r>
        <w:separator/>
      </w:r>
    </w:p>
  </w:endnote>
  <w:endnote w:type="continuationSeparator" w:id="0">
    <w:p w14:paraId="6EC2DB08" w14:textId="77777777" w:rsidR="007120BB" w:rsidRDefault="0071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2E014" w14:textId="18A4239E" w:rsidR="00823D02" w:rsidRDefault="00823D0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5A4663">
      <w:rPr>
        <w:rFonts w:ascii="Palatino Linotype" w:eastAsia="Palatino Linotype" w:hAnsi="Palatino Linotype" w:cs="Palatino Linotype"/>
        <w:b/>
        <w:noProof/>
        <w:color w:val="000000"/>
        <w:sz w:val="20"/>
        <w:szCs w:val="20"/>
      </w:rPr>
      <w:t>4</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5A4663">
      <w:rPr>
        <w:rFonts w:ascii="Palatino Linotype" w:eastAsia="Palatino Linotype" w:hAnsi="Palatino Linotype" w:cs="Palatino Linotype"/>
        <w:b/>
        <w:noProof/>
        <w:color w:val="000000"/>
        <w:sz w:val="20"/>
        <w:szCs w:val="20"/>
      </w:rPr>
      <w:t>38</w:t>
    </w:r>
    <w:r>
      <w:rPr>
        <w:rFonts w:ascii="Palatino Linotype" w:eastAsia="Palatino Linotype" w:hAnsi="Palatino Linotype" w:cs="Palatino Linotype"/>
        <w:b/>
        <w:color w:val="000000"/>
        <w:sz w:val="20"/>
        <w:szCs w:val="20"/>
      </w:rPr>
      <w:fldChar w:fldCharType="end"/>
    </w:r>
  </w:p>
  <w:p w14:paraId="49CB52A8" w14:textId="77777777" w:rsidR="00823D02" w:rsidRDefault="00823D02">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59AB5" w14:textId="14751B6E" w:rsidR="00823D02" w:rsidRDefault="00823D0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5A4663">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5A4663">
      <w:rPr>
        <w:rFonts w:ascii="Palatino Linotype" w:eastAsia="Palatino Linotype" w:hAnsi="Palatino Linotype" w:cs="Palatino Linotype"/>
        <w:b/>
        <w:noProof/>
        <w:color w:val="000000"/>
        <w:sz w:val="20"/>
        <w:szCs w:val="20"/>
      </w:rPr>
      <w:t>38</w:t>
    </w:r>
    <w:r>
      <w:rPr>
        <w:rFonts w:ascii="Palatino Linotype" w:eastAsia="Palatino Linotype" w:hAnsi="Palatino Linotype" w:cs="Palatino Linotype"/>
        <w:b/>
        <w:color w:val="000000"/>
        <w:sz w:val="20"/>
        <w:szCs w:val="20"/>
      </w:rPr>
      <w:fldChar w:fldCharType="end"/>
    </w:r>
  </w:p>
  <w:p w14:paraId="21ECF124" w14:textId="77777777" w:rsidR="00823D02" w:rsidRDefault="00823D02">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87141" w14:textId="77777777" w:rsidR="007120BB" w:rsidRDefault="007120BB">
      <w:r>
        <w:separator/>
      </w:r>
    </w:p>
  </w:footnote>
  <w:footnote w:type="continuationSeparator" w:id="0">
    <w:p w14:paraId="17C9C8E8" w14:textId="77777777" w:rsidR="007120BB" w:rsidRDefault="007120BB">
      <w:r>
        <w:continuationSeparator/>
      </w:r>
    </w:p>
  </w:footnote>
  <w:footnote w:id="1">
    <w:p w14:paraId="1E26A6C5" w14:textId="77777777" w:rsidR="00187EEC" w:rsidRDefault="00187EEC" w:rsidP="00187EEC">
      <w:pPr>
        <w:pBdr>
          <w:top w:val="nil"/>
          <w:left w:val="nil"/>
          <w:bottom w:val="nil"/>
          <w:right w:val="nil"/>
          <w:between w:val="nil"/>
        </w:pBdr>
        <w:tabs>
          <w:tab w:val="right" w:pos="0"/>
        </w:tabs>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Resolución RRA2431/17 del Instituto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AF42" w14:textId="77777777" w:rsidR="00823D02" w:rsidRDefault="00823D02">
    <w:pPr>
      <w:rPr>
        <w:rFonts w:ascii="Cambria" w:eastAsia="Cambria" w:hAnsi="Cambria" w:cs="Cambria"/>
        <w:color w:val="000000"/>
      </w:rPr>
    </w:pPr>
    <w:r>
      <w:rPr>
        <w:noProof/>
      </w:rPr>
      <w:drawing>
        <wp:anchor distT="0" distB="0" distL="0" distR="0" simplePos="0" relativeHeight="251658240" behindDoc="1" locked="0" layoutInCell="1" hidden="0" allowOverlap="1" wp14:anchorId="5A33C493" wp14:editId="0F090F1A">
          <wp:simplePos x="0" y="0"/>
          <wp:positionH relativeFrom="column">
            <wp:posOffset>-1080091</wp:posOffset>
          </wp:positionH>
          <wp:positionV relativeFrom="paragraph">
            <wp:posOffset>-488262</wp:posOffset>
          </wp:positionV>
          <wp:extent cx="7809865" cy="1016571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a"/>
      <w:tblW w:w="5953" w:type="dxa"/>
      <w:tblInd w:w="3261" w:type="dxa"/>
      <w:tblLayout w:type="fixed"/>
      <w:tblLook w:val="0400" w:firstRow="0" w:lastRow="0" w:firstColumn="0" w:lastColumn="0" w:noHBand="0" w:noVBand="1"/>
    </w:tblPr>
    <w:tblGrid>
      <w:gridCol w:w="2489"/>
      <w:gridCol w:w="3464"/>
    </w:tblGrid>
    <w:tr w:rsidR="00823D02" w14:paraId="4679E995" w14:textId="77777777">
      <w:tc>
        <w:tcPr>
          <w:tcW w:w="2489" w:type="dxa"/>
        </w:tcPr>
        <w:p w14:paraId="1CBA62BA"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56A34D7" w14:textId="124DAE49" w:rsidR="00823D02" w:rsidRDefault="00982A43" w:rsidP="00C4559C">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14404</w:t>
          </w:r>
          <w:r w:rsidR="00823D02">
            <w:rPr>
              <w:rFonts w:ascii="Palatino Linotype" w:eastAsia="Palatino Linotype" w:hAnsi="Palatino Linotype" w:cs="Palatino Linotype"/>
              <w:b/>
              <w:sz w:val="22"/>
              <w:szCs w:val="22"/>
            </w:rPr>
            <w:t>/INFOEM/IP/RR/2025</w:t>
          </w:r>
        </w:p>
      </w:tc>
    </w:tr>
    <w:tr w:rsidR="00823D02" w14:paraId="6CFA67DE" w14:textId="77777777">
      <w:trPr>
        <w:trHeight w:val="228"/>
      </w:trPr>
      <w:tc>
        <w:tcPr>
          <w:tcW w:w="2489" w:type="dxa"/>
          <w:vAlign w:val="center"/>
        </w:tcPr>
        <w:p w14:paraId="4E02CBED"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5C5611EC" w14:textId="77C45C3D" w:rsidR="00823D02" w:rsidRDefault="00982A43">
          <w:pPr>
            <w:ind w:left="-45" w:right="176"/>
            <w:jc w:val="both"/>
            <w:rPr>
              <w:rFonts w:ascii="Palatino Linotype" w:eastAsia="Palatino Linotype" w:hAnsi="Palatino Linotype" w:cs="Palatino Linotype"/>
              <w:b/>
              <w:sz w:val="22"/>
              <w:szCs w:val="22"/>
            </w:rPr>
          </w:pPr>
          <w:r w:rsidRPr="00982A43">
            <w:rPr>
              <w:rFonts w:ascii="Palatino Linotype" w:eastAsia="Palatino Linotype" w:hAnsi="Palatino Linotype" w:cs="Palatino Linotype"/>
              <w:b/>
              <w:sz w:val="22"/>
              <w:szCs w:val="22"/>
            </w:rPr>
            <w:t>Consejo Mexiquense de Ciencia y Tecnología</w:t>
          </w:r>
        </w:p>
      </w:tc>
    </w:tr>
    <w:tr w:rsidR="00823D02" w14:paraId="6FF09322" w14:textId="77777777">
      <w:tc>
        <w:tcPr>
          <w:tcW w:w="2489" w:type="dxa"/>
          <w:vAlign w:val="center"/>
        </w:tcPr>
        <w:p w14:paraId="5D6FA762" w14:textId="77777777" w:rsidR="00823D02" w:rsidRDefault="00823D02">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1F753EA2" w14:textId="77777777" w:rsidR="00823D02" w:rsidRDefault="00823D02">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B4967B9" w14:textId="77777777" w:rsidR="00823D02" w:rsidRDefault="00823D02">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5ECA" w14:textId="77777777" w:rsidR="00823D02" w:rsidRDefault="00823D0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69951343" wp14:editId="30AC9445">
          <wp:simplePos x="0" y="0"/>
          <wp:positionH relativeFrom="column">
            <wp:posOffset>-1080134</wp:posOffset>
          </wp:positionH>
          <wp:positionV relativeFrom="paragraph">
            <wp:posOffset>-369892</wp:posOffset>
          </wp:positionV>
          <wp:extent cx="7809865" cy="10165715"/>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ffb"/>
      <w:tblW w:w="5953" w:type="dxa"/>
      <w:tblInd w:w="3261" w:type="dxa"/>
      <w:tblLayout w:type="fixed"/>
      <w:tblLook w:val="0400" w:firstRow="0" w:lastRow="0" w:firstColumn="0" w:lastColumn="0" w:noHBand="0" w:noVBand="1"/>
    </w:tblPr>
    <w:tblGrid>
      <w:gridCol w:w="2489"/>
      <w:gridCol w:w="3464"/>
    </w:tblGrid>
    <w:tr w:rsidR="00823D02" w14:paraId="0800C61A" w14:textId="77777777">
      <w:tc>
        <w:tcPr>
          <w:tcW w:w="2489" w:type="dxa"/>
        </w:tcPr>
        <w:p w14:paraId="45AA4645"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056AB92" w14:textId="78C31FDD" w:rsidR="00823D02" w:rsidRDefault="00C4559C" w:rsidP="000F04D3">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w:t>
          </w:r>
          <w:r w:rsidR="00982A43">
            <w:rPr>
              <w:rFonts w:ascii="Palatino Linotype" w:eastAsia="Palatino Linotype" w:hAnsi="Palatino Linotype" w:cs="Palatino Linotype"/>
              <w:b/>
              <w:sz w:val="22"/>
              <w:szCs w:val="22"/>
            </w:rPr>
            <w:t>4404</w:t>
          </w:r>
          <w:r w:rsidR="00823D02">
            <w:rPr>
              <w:rFonts w:ascii="Palatino Linotype" w:eastAsia="Palatino Linotype" w:hAnsi="Palatino Linotype" w:cs="Palatino Linotype"/>
              <w:b/>
              <w:sz w:val="22"/>
              <w:szCs w:val="22"/>
            </w:rPr>
            <w:t>/INFOEM/IP/RR/2025</w:t>
          </w:r>
        </w:p>
      </w:tc>
    </w:tr>
    <w:tr w:rsidR="00823D02" w14:paraId="62298F76" w14:textId="77777777">
      <w:tc>
        <w:tcPr>
          <w:tcW w:w="2489" w:type="dxa"/>
        </w:tcPr>
        <w:p w14:paraId="20BC808E"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7A9C8865" w14:textId="47DAFA79" w:rsidR="00823D02" w:rsidRPr="00606C35" w:rsidRDefault="005A4663" w:rsidP="005A4663">
          <w:pPr>
            <w:ind w:right="175"/>
            <w:jc w:val="both"/>
            <w:rPr>
              <w:rFonts w:ascii="Palatino Linotype" w:eastAsia="Palatino Linotype" w:hAnsi="Palatino Linotype" w:cs="Palatino Linotype"/>
              <w:b/>
              <w:sz w:val="22"/>
              <w:szCs w:val="22"/>
              <w:highlight w:val="yellow"/>
            </w:rPr>
          </w:pPr>
          <w:r>
            <w:rPr>
              <w:rFonts w:ascii="Palatino Linotype" w:eastAsia="Palatino Linotype" w:hAnsi="Palatino Linotype" w:cs="Palatino Linotype"/>
              <w:b/>
              <w:sz w:val="22"/>
              <w:szCs w:val="22"/>
            </w:rPr>
            <w:t>XXXXXXXXX XX X</w:t>
          </w:r>
        </w:p>
      </w:tc>
    </w:tr>
    <w:tr w:rsidR="00823D02" w14:paraId="356DF698" w14:textId="77777777">
      <w:trPr>
        <w:trHeight w:val="228"/>
      </w:trPr>
      <w:tc>
        <w:tcPr>
          <w:tcW w:w="2489" w:type="dxa"/>
          <w:vAlign w:val="center"/>
        </w:tcPr>
        <w:p w14:paraId="6F719CF9" w14:textId="77777777" w:rsidR="00823D02" w:rsidRDefault="00823D02">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749FE701" w14:textId="6F46FCB7" w:rsidR="00823D02" w:rsidRDefault="00982A43">
          <w:pPr>
            <w:ind w:left="-45" w:right="176"/>
            <w:jc w:val="both"/>
            <w:rPr>
              <w:rFonts w:ascii="Palatino Linotype" w:eastAsia="Palatino Linotype" w:hAnsi="Palatino Linotype" w:cs="Palatino Linotype"/>
              <w:b/>
              <w:sz w:val="22"/>
              <w:szCs w:val="22"/>
            </w:rPr>
          </w:pPr>
          <w:r w:rsidRPr="00982A43">
            <w:rPr>
              <w:rFonts w:ascii="Palatino Linotype" w:eastAsia="Palatino Linotype" w:hAnsi="Palatino Linotype" w:cs="Palatino Linotype"/>
              <w:b/>
              <w:sz w:val="22"/>
              <w:szCs w:val="22"/>
            </w:rPr>
            <w:t>Consejo Mexiquense de Ciencia y Tecnología</w:t>
          </w:r>
        </w:p>
      </w:tc>
    </w:tr>
    <w:tr w:rsidR="00823D02" w14:paraId="70857C53" w14:textId="77777777">
      <w:tc>
        <w:tcPr>
          <w:tcW w:w="2489" w:type="dxa"/>
          <w:vAlign w:val="center"/>
        </w:tcPr>
        <w:p w14:paraId="5699E7FB" w14:textId="77777777" w:rsidR="00823D02" w:rsidRDefault="00823D02">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69655BF4" w14:textId="77777777" w:rsidR="00823D02" w:rsidRDefault="00823D02">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BFF7071" w14:textId="77777777" w:rsidR="00823D02" w:rsidRDefault="00823D0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7F2618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7BECFB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D4E1E8B"/>
    <w:multiLevelType w:val="multilevel"/>
    <w:tmpl w:val="C9264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745E62"/>
    <w:multiLevelType w:val="hybridMultilevel"/>
    <w:tmpl w:val="817CDA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5329F5"/>
    <w:multiLevelType w:val="multilevel"/>
    <w:tmpl w:val="A6488AC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A915B4D"/>
    <w:multiLevelType w:val="multilevel"/>
    <w:tmpl w:val="DFECD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084782"/>
    <w:multiLevelType w:val="hybridMultilevel"/>
    <w:tmpl w:val="6A5CB0CE"/>
    <w:lvl w:ilvl="0" w:tplc="783622CA">
      <w:start w:val="1"/>
      <w:numFmt w:val="decimal"/>
      <w:lvlText w:val="%1."/>
      <w:lvlJc w:val="left"/>
      <w:pPr>
        <w:ind w:left="644" w:hanging="360"/>
      </w:pPr>
      <w:rPr>
        <w:rFonts w:hint="default"/>
        <w:b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7" w15:restartNumberingAfterBreak="0">
    <w:nsid w:val="278428E8"/>
    <w:multiLevelType w:val="multilevel"/>
    <w:tmpl w:val="05FE5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FA62C2"/>
    <w:multiLevelType w:val="multilevel"/>
    <w:tmpl w:val="DCC88850"/>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D706197"/>
    <w:multiLevelType w:val="multilevel"/>
    <w:tmpl w:val="5B7C3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7A7B25"/>
    <w:multiLevelType w:val="hybridMultilevel"/>
    <w:tmpl w:val="6B344ADE"/>
    <w:lvl w:ilvl="0" w:tplc="994C762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526C364D"/>
    <w:multiLevelType w:val="hybridMultilevel"/>
    <w:tmpl w:val="7B608ACC"/>
    <w:lvl w:ilvl="0" w:tplc="F676A41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49A655F"/>
    <w:multiLevelType w:val="multilevel"/>
    <w:tmpl w:val="5DBC5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4E1354D"/>
    <w:multiLevelType w:val="multilevel"/>
    <w:tmpl w:val="0270FEBC"/>
    <w:lvl w:ilvl="0">
      <w:start w:val="1"/>
      <w:numFmt w:val="bullet"/>
      <w:lvlText w:val="-"/>
      <w:lvlJc w:val="left"/>
      <w:pPr>
        <w:ind w:left="3195" w:hanging="359"/>
      </w:pPr>
      <w:rPr>
        <w:rFonts w:ascii="Palatino Linotype" w:eastAsia="Palatino Linotype" w:hAnsi="Palatino Linotype" w:cs="Palatino Linotype"/>
      </w:rPr>
    </w:lvl>
    <w:lvl w:ilvl="1">
      <w:start w:val="1"/>
      <w:numFmt w:val="bullet"/>
      <w:lvlText w:val="o"/>
      <w:lvlJc w:val="left"/>
      <w:pPr>
        <w:ind w:left="3915" w:hanging="360"/>
      </w:pPr>
      <w:rPr>
        <w:rFonts w:ascii="Courier New" w:eastAsia="Courier New" w:hAnsi="Courier New" w:cs="Courier New"/>
      </w:rPr>
    </w:lvl>
    <w:lvl w:ilvl="2">
      <w:start w:val="1"/>
      <w:numFmt w:val="bullet"/>
      <w:lvlText w:val="▪"/>
      <w:lvlJc w:val="left"/>
      <w:pPr>
        <w:ind w:left="4635" w:hanging="360"/>
      </w:pPr>
      <w:rPr>
        <w:rFonts w:ascii="Noto Sans Symbols" w:eastAsia="Noto Sans Symbols" w:hAnsi="Noto Sans Symbols" w:cs="Noto Sans Symbols"/>
      </w:rPr>
    </w:lvl>
    <w:lvl w:ilvl="3">
      <w:start w:val="1"/>
      <w:numFmt w:val="bullet"/>
      <w:lvlText w:val="●"/>
      <w:lvlJc w:val="left"/>
      <w:pPr>
        <w:ind w:left="5355" w:hanging="360"/>
      </w:pPr>
      <w:rPr>
        <w:rFonts w:ascii="Noto Sans Symbols" w:eastAsia="Noto Sans Symbols" w:hAnsi="Noto Sans Symbols" w:cs="Noto Sans Symbols"/>
      </w:rPr>
    </w:lvl>
    <w:lvl w:ilvl="4">
      <w:start w:val="1"/>
      <w:numFmt w:val="bullet"/>
      <w:lvlText w:val="o"/>
      <w:lvlJc w:val="left"/>
      <w:pPr>
        <w:ind w:left="6075" w:hanging="360"/>
      </w:pPr>
      <w:rPr>
        <w:rFonts w:ascii="Courier New" w:eastAsia="Courier New" w:hAnsi="Courier New" w:cs="Courier New"/>
      </w:rPr>
    </w:lvl>
    <w:lvl w:ilvl="5">
      <w:start w:val="1"/>
      <w:numFmt w:val="bullet"/>
      <w:lvlText w:val="▪"/>
      <w:lvlJc w:val="left"/>
      <w:pPr>
        <w:ind w:left="6795" w:hanging="360"/>
      </w:pPr>
      <w:rPr>
        <w:rFonts w:ascii="Noto Sans Symbols" w:eastAsia="Noto Sans Symbols" w:hAnsi="Noto Sans Symbols" w:cs="Noto Sans Symbols"/>
      </w:rPr>
    </w:lvl>
    <w:lvl w:ilvl="6">
      <w:start w:val="1"/>
      <w:numFmt w:val="bullet"/>
      <w:lvlText w:val="●"/>
      <w:lvlJc w:val="left"/>
      <w:pPr>
        <w:ind w:left="7515" w:hanging="360"/>
      </w:pPr>
      <w:rPr>
        <w:rFonts w:ascii="Noto Sans Symbols" w:eastAsia="Noto Sans Symbols" w:hAnsi="Noto Sans Symbols" w:cs="Noto Sans Symbols"/>
      </w:rPr>
    </w:lvl>
    <w:lvl w:ilvl="7">
      <w:start w:val="1"/>
      <w:numFmt w:val="bullet"/>
      <w:lvlText w:val="o"/>
      <w:lvlJc w:val="left"/>
      <w:pPr>
        <w:ind w:left="8235" w:hanging="360"/>
      </w:pPr>
      <w:rPr>
        <w:rFonts w:ascii="Courier New" w:eastAsia="Courier New" w:hAnsi="Courier New" w:cs="Courier New"/>
      </w:rPr>
    </w:lvl>
    <w:lvl w:ilvl="8">
      <w:start w:val="1"/>
      <w:numFmt w:val="bullet"/>
      <w:lvlText w:val="▪"/>
      <w:lvlJc w:val="left"/>
      <w:pPr>
        <w:ind w:left="8955" w:hanging="360"/>
      </w:pPr>
      <w:rPr>
        <w:rFonts w:ascii="Noto Sans Symbols" w:eastAsia="Noto Sans Symbols" w:hAnsi="Noto Sans Symbols" w:cs="Noto Sans Symbols"/>
      </w:rPr>
    </w:lvl>
  </w:abstractNum>
  <w:abstractNum w:abstractNumId="14" w15:restartNumberingAfterBreak="0">
    <w:nsid w:val="760A21EC"/>
    <w:multiLevelType w:val="hybridMultilevel"/>
    <w:tmpl w:val="52F2A082"/>
    <w:lvl w:ilvl="0" w:tplc="1E9A82B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abstractNumId w:val="8"/>
  </w:num>
  <w:num w:numId="2">
    <w:abstractNumId w:val="6"/>
  </w:num>
  <w:num w:numId="3">
    <w:abstractNumId w:val="4"/>
  </w:num>
  <w:num w:numId="4">
    <w:abstractNumId w:val="12"/>
  </w:num>
  <w:num w:numId="5">
    <w:abstractNumId w:val="13"/>
  </w:num>
  <w:num w:numId="6">
    <w:abstractNumId w:val="5"/>
  </w:num>
  <w:num w:numId="7">
    <w:abstractNumId w:val="11"/>
  </w:num>
  <w:num w:numId="8">
    <w:abstractNumId w:val="2"/>
  </w:num>
  <w:num w:numId="9">
    <w:abstractNumId w:val="1"/>
  </w:num>
  <w:num w:numId="10">
    <w:abstractNumId w:val="0"/>
  </w:num>
  <w:num w:numId="11">
    <w:abstractNumId w:val="3"/>
  </w:num>
  <w:num w:numId="12">
    <w:abstractNumId w:val="7"/>
  </w:num>
  <w:num w:numId="13">
    <w:abstractNumId w:val="9"/>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90"/>
    <w:rsid w:val="00007B60"/>
    <w:rsid w:val="00010410"/>
    <w:rsid w:val="0001097C"/>
    <w:rsid w:val="00013B4C"/>
    <w:rsid w:val="000154BF"/>
    <w:rsid w:val="00016E26"/>
    <w:rsid w:val="0001741E"/>
    <w:rsid w:val="0002069B"/>
    <w:rsid w:val="00024E98"/>
    <w:rsid w:val="000301F3"/>
    <w:rsid w:val="00035057"/>
    <w:rsid w:val="000427D6"/>
    <w:rsid w:val="00042B5C"/>
    <w:rsid w:val="00044464"/>
    <w:rsid w:val="00044B18"/>
    <w:rsid w:val="000477B0"/>
    <w:rsid w:val="000517B9"/>
    <w:rsid w:val="000544D6"/>
    <w:rsid w:val="000546AF"/>
    <w:rsid w:val="00056BCC"/>
    <w:rsid w:val="00057964"/>
    <w:rsid w:val="00070C5F"/>
    <w:rsid w:val="0007137F"/>
    <w:rsid w:val="000723BC"/>
    <w:rsid w:val="00080D86"/>
    <w:rsid w:val="00080F70"/>
    <w:rsid w:val="00082489"/>
    <w:rsid w:val="00085150"/>
    <w:rsid w:val="000926B8"/>
    <w:rsid w:val="00092E73"/>
    <w:rsid w:val="00092F84"/>
    <w:rsid w:val="000A3026"/>
    <w:rsid w:val="000A48FE"/>
    <w:rsid w:val="000A6387"/>
    <w:rsid w:val="000B3672"/>
    <w:rsid w:val="000B73B6"/>
    <w:rsid w:val="000B7E15"/>
    <w:rsid w:val="000C2629"/>
    <w:rsid w:val="000C44A9"/>
    <w:rsid w:val="000D6A53"/>
    <w:rsid w:val="000D6DE3"/>
    <w:rsid w:val="000E37EB"/>
    <w:rsid w:val="000E4D56"/>
    <w:rsid w:val="000E598C"/>
    <w:rsid w:val="000E700F"/>
    <w:rsid w:val="000F046A"/>
    <w:rsid w:val="000F04D3"/>
    <w:rsid w:val="000F6357"/>
    <w:rsid w:val="000F7088"/>
    <w:rsid w:val="00102F29"/>
    <w:rsid w:val="0010347F"/>
    <w:rsid w:val="0010490E"/>
    <w:rsid w:val="001050DE"/>
    <w:rsid w:val="00105B4D"/>
    <w:rsid w:val="001062CC"/>
    <w:rsid w:val="001128C8"/>
    <w:rsid w:val="00116DA6"/>
    <w:rsid w:val="00117A90"/>
    <w:rsid w:val="0012179F"/>
    <w:rsid w:val="00123D9A"/>
    <w:rsid w:val="00130FEC"/>
    <w:rsid w:val="00142B50"/>
    <w:rsid w:val="00144F62"/>
    <w:rsid w:val="00145E45"/>
    <w:rsid w:val="0015439E"/>
    <w:rsid w:val="00154635"/>
    <w:rsid w:val="00155DE2"/>
    <w:rsid w:val="00163A18"/>
    <w:rsid w:val="00166F11"/>
    <w:rsid w:val="00172883"/>
    <w:rsid w:val="00173855"/>
    <w:rsid w:val="0017486E"/>
    <w:rsid w:val="001772A1"/>
    <w:rsid w:val="00177FD6"/>
    <w:rsid w:val="00185230"/>
    <w:rsid w:val="00187EDF"/>
    <w:rsid w:val="00187EEC"/>
    <w:rsid w:val="00191451"/>
    <w:rsid w:val="0019146A"/>
    <w:rsid w:val="00193AE1"/>
    <w:rsid w:val="0019402C"/>
    <w:rsid w:val="001945A3"/>
    <w:rsid w:val="00195067"/>
    <w:rsid w:val="00196087"/>
    <w:rsid w:val="0019691D"/>
    <w:rsid w:val="00197136"/>
    <w:rsid w:val="001A1A4D"/>
    <w:rsid w:val="001A41F7"/>
    <w:rsid w:val="001A60C5"/>
    <w:rsid w:val="001A7E45"/>
    <w:rsid w:val="001B0D75"/>
    <w:rsid w:val="001B39D2"/>
    <w:rsid w:val="001B46C6"/>
    <w:rsid w:val="001E2948"/>
    <w:rsid w:val="001E45D7"/>
    <w:rsid w:val="001E76A9"/>
    <w:rsid w:val="001F0BCC"/>
    <w:rsid w:val="001F0D0B"/>
    <w:rsid w:val="001F1281"/>
    <w:rsid w:val="001F3478"/>
    <w:rsid w:val="00200C63"/>
    <w:rsid w:val="002046D3"/>
    <w:rsid w:val="00212973"/>
    <w:rsid w:val="002217B7"/>
    <w:rsid w:val="002263A0"/>
    <w:rsid w:val="00227EDF"/>
    <w:rsid w:val="002305F2"/>
    <w:rsid w:val="002335D9"/>
    <w:rsid w:val="002362E4"/>
    <w:rsid w:val="002433C5"/>
    <w:rsid w:val="0024414D"/>
    <w:rsid w:val="00251581"/>
    <w:rsid w:val="00251917"/>
    <w:rsid w:val="00251F6A"/>
    <w:rsid w:val="00252EAE"/>
    <w:rsid w:val="00253125"/>
    <w:rsid w:val="00256BFD"/>
    <w:rsid w:val="00256D36"/>
    <w:rsid w:val="00257D93"/>
    <w:rsid w:val="002704DA"/>
    <w:rsid w:val="002733D6"/>
    <w:rsid w:val="00273FF8"/>
    <w:rsid w:val="00274F92"/>
    <w:rsid w:val="002759E8"/>
    <w:rsid w:val="00277C5E"/>
    <w:rsid w:val="00285665"/>
    <w:rsid w:val="00285C22"/>
    <w:rsid w:val="00286DF8"/>
    <w:rsid w:val="002905AC"/>
    <w:rsid w:val="00290744"/>
    <w:rsid w:val="00290CED"/>
    <w:rsid w:val="00291E03"/>
    <w:rsid w:val="002929C0"/>
    <w:rsid w:val="0029329E"/>
    <w:rsid w:val="002B3CD9"/>
    <w:rsid w:val="002B4E65"/>
    <w:rsid w:val="002B70DC"/>
    <w:rsid w:val="002B7925"/>
    <w:rsid w:val="002C4768"/>
    <w:rsid w:val="002C71C1"/>
    <w:rsid w:val="002C76D3"/>
    <w:rsid w:val="002C7F26"/>
    <w:rsid w:val="002D1405"/>
    <w:rsid w:val="002D1845"/>
    <w:rsid w:val="002D2C56"/>
    <w:rsid w:val="002D339B"/>
    <w:rsid w:val="002D3CA2"/>
    <w:rsid w:val="002E2127"/>
    <w:rsid w:val="002E233E"/>
    <w:rsid w:val="002E4F59"/>
    <w:rsid w:val="002F09D0"/>
    <w:rsid w:val="002F0D5B"/>
    <w:rsid w:val="002F1DF9"/>
    <w:rsid w:val="002F76BE"/>
    <w:rsid w:val="002F7D86"/>
    <w:rsid w:val="00302D15"/>
    <w:rsid w:val="00316C2A"/>
    <w:rsid w:val="0031732B"/>
    <w:rsid w:val="0032051B"/>
    <w:rsid w:val="00320E15"/>
    <w:rsid w:val="00323E61"/>
    <w:rsid w:val="00327333"/>
    <w:rsid w:val="00331EE8"/>
    <w:rsid w:val="00332040"/>
    <w:rsid w:val="003329F7"/>
    <w:rsid w:val="00335BF1"/>
    <w:rsid w:val="003366B5"/>
    <w:rsid w:val="00336B49"/>
    <w:rsid w:val="00337D82"/>
    <w:rsid w:val="00343411"/>
    <w:rsid w:val="00343DD1"/>
    <w:rsid w:val="003441C4"/>
    <w:rsid w:val="00344E58"/>
    <w:rsid w:val="0034706E"/>
    <w:rsid w:val="003637C7"/>
    <w:rsid w:val="00365716"/>
    <w:rsid w:val="003659A8"/>
    <w:rsid w:val="003705B7"/>
    <w:rsid w:val="00370D9C"/>
    <w:rsid w:val="0037155B"/>
    <w:rsid w:val="003735D0"/>
    <w:rsid w:val="00374CBF"/>
    <w:rsid w:val="003773C4"/>
    <w:rsid w:val="003777A7"/>
    <w:rsid w:val="00381A61"/>
    <w:rsid w:val="00381B66"/>
    <w:rsid w:val="00383558"/>
    <w:rsid w:val="003846F2"/>
    <w:rsid w:val="0038512D"/>
    <w:rsid w:val="00386960"/>
    <w:rsid w:val="00397A1B"/>
    <w:rsid w:val="003A0AEB"/>
    <w:rsid w:val="003A3BA9"/>
    <w:rsid w:val="003A5391"/>
    <w:rsid w:val="003A559B"/>
    <w:rsid w:val="003B3D17"/>
    <w:rsid w:val="003B453E"/>
    <w:rsid w:val="003B5570"/>
    <w:rsid w:val="003B65A1"/>
    <w:rsid w:val="003C2C96"/>
    <w:rsid w:val="003C71C4"/>
    <w:rsid w:val="003D2118"/>
    <w:rsid w:val="003D2176"/>
    <w:rsid w:val="003D4903"/>
    <w:rsid w:val="003D5BB6"/>
    <w:rsid w:val="003D68F4"/>
    <w:rsid w:val="003E1AAB"/>
    <w:rsid w:val="003E43DE"/>
    <w:rsid w:val="003E6C03"/>
    <w:rsid w:val="003E6F36"/>
    <w:rsid w:val="003E764C"/>
    <w:rsid w:val="003F02BF"/>
    <w:rsid w:val="003F5943"/>
    <w:rsid w:val="00401C9C"/>
    <w:rsid w:val="0040335D"/>
    <w:rsid w:val="0040394B"/>
    <w:rsid w:val="00406C5D"/>
    <w:rsid w:val="00410A4F"/>
    <w:rsid w:val="00415A71"/>
    <w:rsid w:val="0042305D"/>
    <w:rsid w:val="00425597"/>
    <w:rsid w:val="00425F35"/>
    <w:rsid w:val="00426D44"/>
    <w:rsid w:val="00427BE0"/>
    <w:rsid w:val="004314C0"/>
    <w:rsid w:val="0044021A"/>
    <w:rsid w:val="00441300"/>
    <w:rsid w:val="00442099"/>
    <w:rsid w:val="004423E3"/>
    <w:rsid w:val="00442950"/>
    <w:rsid w:val="004442E6"/>
    <w:rsid w:val="00445C80"/>
    <w:rsid w:val="00445F56"/>
    <w:rsid w:val="00446A9F"/>
    <w:rsid w:val="00447DB1"/>
    <w:rsid w:val="00447FC0"/>
    <w:rsid w:val="0045092C"/>
    <w:rsid w:val="00453D2A"/>
    <w:rsid w:val="00464621"/>
    <w:rsid w:val="0047101A"/>
    <w:rsid w:val="00481FE9"/>
    <w:rsid w:val="00482F68"/>
    <w:rsid w:val="0048548C"/>
    <w:rsid w:val="00485E09"/>
    <w:rsid w:val="004864B2"/>
    <w:rsid w:val="00487ECA"/>
    <w:rsid w:val="00487F13"/>
    <w:rsid w:val="004918B1"/>
    <w:rsid w:val="00492943"/>
    <w:rsid w:val="004A01CE"/>
    <w:rsid w:val="004A3940"/>
    <w:rsid w:val="004A5F1A"/>
    <w:rsid w:val="004B105A"/>
    <w:rsid w:val="004B31C3"/>
    <w:rsid w:val="004B50C3"/>
    <w:rsid w:val="004B7E6D"/>
    <w:rsid w:val="004C10EC"/>
    <w:rsid w:val="004C16DF"/>
    <w:rsid w:val="004C32ED"/>
    <w:rsid w:val="004C6885"/>
    <w:rsid w:val="004D6D53"/>
    <w:rsid w:val="004E05F5"/>
    <w:rsid w:val="004E07A1"/>
    <w:rsid w:val="004E3F9B"/>
    <w:rsid w:val="004E4C62"/>
    <w:rsid w:val="004E4E0D"/>
    <w:rsid w:val="004F017B"/>
    <w:rsid w:val="004F262F"/>
    <w:rsid w:val="004F3270"/>
    <w:rsid w:val="004F3F24"/>
    <w:rsid w:val="004F7818"/>
    <w:rsid w:val="0050281B"/>
    <w:rsid w:val="00503188"/>
    <w:rsid w:val="00503745"/>
    <w:rsid w:val="005039C8"/>
    <w:rsid w:val="005045AC"/>
    <w:rsid w:val="00504B04"/>
    <w:rsid w:val="0051150E"/>
    <w:rsid w:val="00511ACC"/>
    <w:rsid w:val="00512DC5"/>
    <w:rsid w:val="00513620"/>
    <w:rsid w:val="00520D54"/>
    <w:rsid w:val="00527F51"/>
    <w:rsid w:val="00530E11"/>
    <w:rsid w:val="00531B5E"/>
    <w:rsid w:val="005374D2"/>
    <w:rsid w:val="005375DC"/>
    <w:rsid w:val="00544C53"/>
    <w:rsid w:val="005504B5"/>
    <w:rsid w:val="00553B63"/>
    <w:rsid w:val="00554CDE"/>
    <w:rsid w:val="005563E2"/>
    <w:rsid w:val="00560092"/>
    <w:rsid w:val="00561B43"/>
    <w:rsid w:val="005626F7"/>
    <w:rsid w:val="00562A90"/>
    <w:rsid w:val="0056342B"/>
    <w:rsid w:val="005725CD"/>
    <w:rsid w:val="005759CD"/>
    <w:rsid w:val="005777EE"/>
    <w:rsid w:val="005779AE"/>
    <w:rsid w:val="005833F1"/>
    <w:rsid w:val="00585B4C"/>
    <w:rsid w:val="005867AF"/>
    <w:rsid w:val="00590AB9"/>
    <w:rsid w:val="00593F06"/>
    <w:rsid w:val="00594299"/>
    <w:rsid w:val="005A4663"/>
    <w:rsid w:val="005A5876"/>
    <w:rsid w:val="005A6803"/>
    <w:rsid w:val="005B13FC"/>
    <w:rsid w:val="005B1C0B"/>
    <w:rsid w:val="005B5B01"/>
    <w:rsid w:val="005B6B1B"/>
    <w:rsid w:val="005C0A55"/>
    <w:rsid w:val="005C40B8"/>
    <w:rsid w:val="005C7AE4"/>
    <w:rsid w:val="005D0945"/>
    <w:rsid w:val="005D261D"/>
    <w:rsid w:val="005D2646"/>
    <w:rsid w:val="005D4F9C"/>
    <w:rsid w:val="005D5307"/>
    <w:rsid w:val="005D59D7"/>
    <w:rsid w:val="005D5B9F"/>
    <w:rsid w:val="005D5DC9"/>
    <w:rsid w:val="005D6FB2"/>
    <w:rsid w:val="005D7519"/>
    <w:rsid w:val="005E19B5"/>
    <w:rsid w:val="005F0996"/>
    <w:rsid w:val="005F5898"/>
    <w:rsid w:val="005F5F2E"/>
    <w:rsid w:val="006014E6"/>
    <w:rsid w:val="0060250F"/>
    <w:rsid w:val="00602A56"/>
    <w:rsid w:val="006035E6"/>
    <w:rsid w:val="006058CA"/>
    <w:rsid w:val="00606953"/>
    <w:rsid w:val="00606C35"/>
    <w:rsid w:val="00611C4A"/>
    <w:rsid w:val="00613AEB"/>
    <w:rsid w:val="00616C68"/>
    <w:rsid w:val="00617CA2"/>
    <w:rsid w:val="00621F2F"/>
    <w:rsid w:val="0062255D"/>
    <w:rsid w:val="00623173"/>
    <w:rsid w:val="00625B99"/>
    <w:rsid w:val="00630B2A"/>
    <w:rsid w:val="006339DE"/>
    <w:rsid w:val="006341A1"/>
    <w:rsid w:val="00634D1C"/>
    <w:rsid w:val="006422BD"/>
    <w:rsid w:val="00646416"/>
    <w:rsid w:val="00647320"/>
    <w:rsid w:val="006525F8"/>
    <w:rsid w:val="00652E8E"/>
    <w:rsid w:val="00656465"/>
    <w:rsid w:val="00660BE7"/>
    <w:rsid w:val="00664EE6"/>
    <w:rsid w:val="006653FA"/>
    <w:rsid w:val="0066759F"/>
    <w:rsid w:val="0067401E"/>
    <w:rsid w:val="00680BBB"/>
    <w:rsid w:val="00685FA0"/>
    <w:rsid w:val="0068770D"/>
    <w:rsid w:val="00690386"/>
    <w:rsid w:val="00691286"/>
    <w:rsid w:val="00693BB0"/>
    <w:rsid w:val="006A4CF1"/>
    <w:rsid w:val="006B37D2"/>
    <w:rsid w:val="006B396C"/>
    <w:rsid w:val="006B3E15"/>
    <w:rsid w:val="006B41DD"/>
    <w:rsid w:val="006B5B3F"/>
    <w:rsid w:val="006B7FBA"/>
    <w:rsid w:val="006C1457"/>
    <w:rsid w:val="006C7553"/>
    <w:rsid w:val="006C755C"/>
    <w:rsid w:val="006D0042"/>
    <w:rsid w:val="006D08E6"/>
    <w:rsid w:val="006D1982"/>
    <w:rsid w:val="006D2D3A"/>
    <w:rsid w:val="006D6690"/>
    <w:rsid w:val="006D7A13"/>
    <w:rsid w:val="006E1160"/>
    <w:rsid w:val="006E1F52"/>
    <w:rsid w:val="006E4FFF"/>
    <w:rsid w:val="006E5288"/>
    <w:rsid w:val="006E70D6"/>
    <w:rsid w:val="006F619F"/>
    <w:rsid w:val="0070016E"/>
    <w:rsid w:val="0070132B"/>
    <w:rsid w:val="007014FE"/>
    <w:rsid w:val="00701A9C"/>
    <w:rsid w:val="00704BB0"/>
    <w:rsid w:val="0070764E"/>
    <w:rsid w:val="007120BB"/>
    <w:rsid w:val="0071417D"/>
    <w:rsid w:val="007146B1"/>
    <w:rsid w:val="00714DB5"/>
    <w:rsid w:val="00715C4E"/>
    <w:rsid w:val="007169CC"/>
    <w:rsid w:val="00725A92"/>
    <w:rsid w:val="007271E9"/>
    <w:rsid w:val="00736B85"/>
    <w:rsid w:val="00736F00"/>
    <w:rsid w:val="00745EE8"/>
    <w:rsid w:val="00747E76"/>
    <w:rsid w:val="0075193B"/>
    <w:rsid w:val="00751EDF"/>
    <w:rsid w:val="00754910"/>
    <w:rsid w:val="007561CE"/>
    <w:rsid w:val="007610BD"/>
    <w:rsid w:val="00762E00"/>
    <w:rsid w:val="0076666E"/>
    <w:rsid w:val="0076674E"/>
    <w:rsid w:val="007702A9"/>
    <w:rsid w:val="00776DCE"/>
    <w:rsid w:val="00780601"/>
    <w:rsid w:val="00782F9B"/>
    <w:rsid w:val="00792513"/>
    <w:rsid w:val="00792C4B"/>
    <w:rsid w:val="00794437"/>
    <w:rsid w:val="007A16C4"/>
    <w:rsid w:val="007A1919"/>
    <w:rsid w:val="007A1E0D"/>
    <w:rsid w:val="007A57B6"/>
    <w:rsid w:val="007A661E"/>
    <w:rsid w:val="007B37DB"/>
    <w:rsid w:val="007B46BD"/>
    <w:rsid w:val="007B6326"/>
    <w:rsid w:val="007C3697"/>
    <w:rsid w:val="007C51FC"/>
    <w:rsid w:val="007C556D"/>
    <w:rsid w:val="007C7BBE"/>
    <w:rsid w:val="007D0CA3"/>
    <w:rsid w:val="007D1B31"/>
    <w:rsid w:val="007D3F1C"/>
    <w:rsid w:val="007D4D64"/>
    <w:rsid w:val="007E0A49"/>
    <w:rsid w:val="007E3637"/>
    <w:rsid w:val="007E39EB"/>
    <w:rsid w:val="007E5B63"/>
    <w:rsid w:val="007E70A7"/>
    <w:rsid w:val="007F1E1C"/>
    <w:rsid w:val="007F4BD1"/>
    <w:rsid w:val="007F6629"/>
    <w:rsid w:val="007F72C3"/>
    <w:rsid w:val="00801532"/>
    <w:rsid w:val="00802B29"/>
    <w:rsid w:val="00804C97"/>
    <w:rsid w:val="00814FBE"/>
    <w:rsid w:val="00817D68"/>
    <w:rsid w:val="008203F2"/>
    <w:rsid w:val="008208C7"/>
    <w:rsid w:val="00823D02"/>
    <w:rsid w:val="00831010"/>
    <w:rsid w:val="00833C8D"/>
    <w:rsid w:val="008351FA"/>
    <w:rsid w:val="00835277"/>
    <w:rsid w:val="00835BDB"/>
    <w:rsid w:val="00835E7D"/>
    <w:rsid w:val="00836233"/>
    <w:rsid w:val="0083796A"/>
    <w:rsid w:val="00842F89"/>
    <w:rsid w:val="00847E7A"/>
    <w:rsid w:val="008525DE"/>
    <w:rsid w:val="0085269B"/>
    <w:rsid w:val="00856962"/>
    <w:rsid w:val="0086084C"/>
    <w:rsid w:val="00866013"/>
    <w:rsid w:val="008715C7"/>
    <w:rsid w:val="00871F31"/>
    <w:rsid w:val="00873066"/>
    <w:rsid w:val="0087690A"/>
    <w:rsid w:val="00877B8B"/>
    <w:rsid w:val="0088183C"/>
    <w:rsid w:val="008858E6"/>
    <w:rsid w:val="00885D6D"/>
    <w:rsid w:val="00891E94"/>
    <w:rsid w:val="008A065E"/>
    <w:rsid w:val="008A0E2E"/>
    <w:rsid w:val="008A13FF"/>
    <w:rsid w:val="008A72AC"/>
    <w:rsid w:val="008A7390"/>
    <w:rsid w:val="008A7B4A"/>
    <w:rsid w:val="008B0B99"/>
    <w:rsid w:val="008B0C1E"/>
    <w:rsid w:val="008B2E26"/>
    <w:rsid w:val="008B3D4B"/>
    <w:rsid w:val="008B686C"/>
    <w:rsid w:val="008C0285"/>
    <w:rsid w:val="008C1D45"/>
    <w:rsid w:val="008C3AAF"/>
    <w:rsid w:val="008C5299"/>
    <w:rsid w:val="008C5E87"/>
    <w:rsid w:val="008D0063"/>
    <w:rsid w:val="008D132F"/>
    <w:rsid w:val="008D3666"/>
    <w:rsid w:val="008D52CE"/>
    <w:rsid w:val="008D5E7B"/>
    <w:rsid w:val="008D6577"/>
    <w:rsid w:val="008D6B3E"/>
    <w:rsid w:val="008E3CA7"/>
    <w:rsid w:val="008F0AC1"/>
    <w:rsid w:val="008F1D4B"/>
    <w:rsid w:val="008F59A3"/>
    <w:rsid w:val="00900940"/>
    <w:rsid w:val="00902B90"/>
    <w:rsid w:val="00903B49"/>
    <w:rsid w:val="00904214"/>
    <w:rsid w:val="00904E27"/>
    <w:rsid w:val="00906AC0"/>
    <w:rsid w:val="009124A3"/>
    <w:rsid w:val="00920130"/>
    <w:rsid w:val="00921BA8"/>
    <w:rsid w:val="00923B69"/>
    <w:rsid w:val="00925A66"/>
    <w:rsid w:val="009300FE"/>
    <w:rsid w:val="00933D2E"/>
    <w:rsid w:val="00934D15"/>
    <w:rsid w:val="00935183"/>
    <w:rsid w:val="009374BB"/>
    <w:rsid w:val="00940B54"/>
    <w:rsid w:val="00940C41"/>
    <w:rsid w:val="00942873"/>
    <w:rsid w:val="009505F2"/>
    <w:rsid w:val="00950C06"/>
    <w:rsid w:val="0095162C"/>
    <w:rsid w:val="009544B1"/>
    <w:rsid w:val="00955078"/>
    <w:rsid w:val="009579EE"/>
    <w:rsid w:val="00957A5C"/>
    <w:rsid w:val="00957E45"/>
    <w:rsid w:val="0096182D"/>
    <w:rsid w:val="00962C60"/>
    <w:rsid w:val="00965B10"/>
    <w:rsid w:val="0096706F"/>
    <w:rsid w:val="009702EC"/>
    <w:rsid w:val="00971AD4"/>
    <w:rsid w:val="00971F18"/>
    <w:rsid w:val="00972387"/>
    <w:rsid w:val="009731A8"/>
    <w:rsid w:val="00973D56"/>
    <w:rsid w:val="00974192"/>
    <w:rsid w:val="00974587"/>
    <w:rsid w:val="00974B1D"/>
    <w:rsid w:val="00982A43"/>
    <w:rsid w:val="00985285"/>
    <w:rsid w:val="009923CC"/>
    <w:rsid w:val="009924A9"/>
    <w:rsid w:val="00992890"/>
    <w:rsid w:val="00995047"/>
    <w:rsid w:val="00997B09"/>
    <w:rsid w:val="009A0DF3"/>
    <w:rsid w:val="009A6CA6"/>
    <w:rsid w:val="009B0BBE"/>
    <w:rsid w:val="009B47F1"/>
    <w:rsid w:val="009B7ACC"/>
    <w:rsid w:val="009C1089"/>
    <w:rsid w:val="009C557D"/>
    <w:rsid w:val="009D40BF"/>
    <w:rsid w:val="009D56AE"/>
    <w:rsid w:val="009D5AC9"/>
    <w:rsid w:val="009D7C71"/>
    <w:rsid w:val="009E597A"/>
    <w:rsid w:val="009E66E4"/>
    <w:rsid w:val="009E6F7B"/>
    <w:rsid w:val="009E7EAF"/>
    <w:rsid w:val="009F387F"/>
    <w:rsid w:val="009F5F94"/>
    <w:rsid w:val="009F66A2"/>
    <w:rsid w:val="009F704A"/>
    <w:rsid w:val="00A003FF"/>
    <w:rsid w:val="00A00FA7"/>
    <w:rsid w:val="00A0520F"/>
    <w:rsid w:val="00A14002"/>
    <w:rsid w:val="00A151D4"/>
    <w:rsid w:val="00A211BA"/>
    <w:rsid w:val="00A21B6E"/>
    <w:rsid w:val="00A25741"/>
    <w:rsid w:val="00A25D66"/>
    <w:rsid w:val="00A3197C"/>
    <w:rsid w:val="00A332E5"/>
    <w:rsid w:val="00A43F2F"/>
    <w:rsid w:val="00A4550B"/>
    <w:rsid w:val="00A51913"/>
    <w:rsid w:val="00A51AA4"/>
    <w:rsid w:val="00A51B9D"/>
    <w:rsid w:val="00A51EEE"/>
    <w:rsid w:val="00A56BC6"/>
    <w:rsid w:val="00A570AA"/>
    <w:rsid w:val="00A57326"/>
    <w:rsid w:val="00A63029"/>
    <w:rsid w:val="00A73FD6"/>
    <w:rsid w:val="00A76C70"/>
    <w:rsid w:val="00A773C9"/>
    <w:rsid w:val="00A8219B"/>
    <w:rsid w:val="00A83C55"/>
    <w:rsid w:val="00A84BFD"/>
    <w:rsid w:val="00A86924"/>
    <w:rsid w:val="00A878CB"/>
    <w:rsid w:val="00A8793A"/>
    <w:rsid w:val="00A9435D"/>
    <w:rsid w:val="00AA4C68"/>
    <w:rsid w:val="00AA4CD7"/>
    <w:rsid w:val="00AA5ECB"/>
    <w:rsid w:val="00AA70D8"/>
    <w:rsid w:val="00AB07A5"/>
    <w:rsid w:val="00AB1818"/>
    <w:rsid w:val="00AB2069"/>
    <w:rsid w:val="00AC0676"/>
    <w:rsid w:val="00AC22B8"/>
    <w:rsid w:val="00AC52DB"/>
    <w:rsid w:val="00AC55D2"/>
    <w:rsid w:val="00AC59CE"/>
    <w:rsid w:val="00AC6C6C"/>
    <w:rsid w:val="00AC6FF0"/>
    <w:rsid w:val="00AC730A"/>
    <w:rsid w:val="00AD1EDD"/>
    <w:rsid w:val="00AD21B4"/>
    <w:rsid w:val="00AD607D"/>
    <w:rsid w:val="00AE156F"/>
    <w:rsid w:val="00AE2D6B"/>
    <w:rsid w:val="00AE2F40"/>
    <w:rsid w:val="00AE4EEE"/>
    <w:rsid w:val="00AF03E6"/>
    <w:rsid w:val="00AF0A6C"/>
    <w:rsid w:val="00AF200A"/>
    <w:rsid w:val="00AF3F55"/>
    <w:rsid w:val="00AF51BA"/>
    <w:rsid w:val="00AF52C8"/>
    <w:rsid w:val="00AF72B6"/>
    <w:rsid w:val="00B047DB"/>
    <w:rsid w:val="00B163DC"/>
    <w:rsid w:val="00B20319"/>
    <w:rsid w:val="00B246E3"/>
    <w:rsid w:val="00B3138D"/>
    <w:rsid w:val="00B331A7"/>
    <w:rsid w:val="00B35DED"/>
    <w:rsid w:val="00B4006C"/>
    <w:rsid w:val="00B402D1"/>
    <w:rsid w:val="00B42DC6"/>
    <w:rsid w:val="00B506C5"/>
    <w:rsid w:val="00B51D4D"/>
    <w:rsid w:val="00B5501B"/>
    <w:rsid w:val="00B56904"/>
    <w:rsid w:val="00B63CDB"/>
    <w:rsid w:val="00B750F3"/>
    <w:rsid w:val="00B767CD"/>
    <w:rsid w:val="00B8412F"/>
    <w:rsid w:val="00B84F30"/>
    <w:rsid w:val="00B90458"/>
    <w:rsid w:val="00B906D5"/>
    <w:rsid w:val="00BA35E4"/>
    <w:rsid w:val="00BA39B7"/>
    <w:rsid w:val="00BA61EA"/>
    <w:rsid w:val="00BB2355"/>
    <w:rsid w:val="00BB55AD"/>
    <w:rsid w:val="00BB6C52"/>
    <w:rsid w:val="00BC4A18"/>
    <w:rsid w:val="00BC7C5E"/>
    <w:rsid w:val="00BD56A8"/>
    <w:rsid w:val="00BD5CEC"/>
    <w:rsid w:val="00BD775F"/>
    <w:rsid w:val="00BE2D94"/>
    <w:rsid w:val="00BE3ACA"/>
    <w:rsid w:val="00BF1DE2"/>
    <w:rsid w:val="00BF5462"/>
    <w:rsid w:val="00BF57BE"/>
    <w:rsid w:val="00BF650F"/>
    <w:rsid w:val="00BF691D"/>
    <w:rsid w:val="00C018C9"/>
    <w:rsid w:val="00C03654"/>
    <w:rsid w:val="00C03779"/>
    <w:rsid w:val="00C07426"/>
    <w:rsid w:val="00C109AF"/>
    <w:rsid w:val="00C10D3D"/>
    <w:rsid w:val="00C10F89"/>
    <w:rsid w:val="00C11552"/>
    <w:rsid w:val="00C13F03"/>
    <w:rsid w:val="00C1737F"/>
    <w:rsid w:val="00C24346"/>
    <w:rsid w:val="00C3322F"/>
    <w:rsid w:val="00C3361A"/>
    <w:rsid w:val="00C41418"/>
    <w:rsid w:val="00C42014"/>
    <w:rsid w:val="00C42D18"/>
    <w:rsid w:val="00C43492"/>
    <w:rsid w:val="00C43D28"/>
    <w:rsid w:val="00C4409A"/>
    <w:rsid w:val="00C4559C"/>
    <w:rsid w:val="00C52BF5"/>
    <w:rsid w:val="00C54B21"/>
    <w:rsid w:val="00C553C6"/>
    <w:rsid w:val="00C574D8"/>
    <w:rsid w:val="00C602CE"/>
    <w:rsid w:val="00C60D3F"/>
    <w:rsid w:val="00C715CA"/>
    <w:rsid w:val="00C7351B"/>
    <w:rsid w:val="00C754EE"/>
    <w:rsid w:val="00C76029"/>
    <w:rsid w:val="00C8383A"/>
    <w:rsid w:val="00C8412E"/>
    <w:rsid w:val="00C859A6"/>
    <w:rsid w:val="00C90DA2"/>
    <w:rsid w:val="00C91D47"/>
    <w:rsid w:val="00C93C73"/>
    <w:rsid w:val="00C97E1B"/>
    <w:rsid w:val="00C97E4A"/>
    <w:rsid w:val="00CA1F90"/>
    <w:rsid w:val="00CA4193"/>
    <w:rsid w:val="00CA763A"/>
    <w:rsid w:val="00CB0CA0"/>
    <w:rsid w:val="00CB0F0E"/>
    <w:rsid w:val="00CB25F3"/>
    <w:rsid w:val="00CB4C53"/>
    <w:rsid w:val="00CB575B"/>
    <w:rsid w:val="00CB6CDB"/>
    <w:rsid w:val="00CC1CB0"/>
    <w:rsid w:val="00CC56B6"/>
    <w:rsid w:val="00CD068C"/>
    <w:rsid w:val="00CD09AE"/>
    <w:rsid w:val="00CD41CF"/>
    <w:rsid w:val="00CD56D7"/>
    <w:rsid w:val="00CE10FF"/>
    <w:rsid w:val="00CE6AFA"/>
    <w:rsid w:val="00CF49DF"/>
    <w:rsid w:val="00CF6D5A"/>
    <w:rsid w:val="00D0028F"/>
    <w:rsid w:val="00D00363"/>
    <w:rsid w:val="00D00489"/>
    <w:rsid w:val="00D00D7C"/>
    <w:rsid w:val="00D01F23"/>
    <w:rsid w:val="00D02E63"/>
    <w:rsid w:val="00D03477"/>
    <w:rsid w:val="00D05004"/>
    <w:rsid w:val="00D11705"/>
    <w:rsid w:val="00D11783"/>
    <w:rsid w:val="00D11E90"/>
    <w:rsid w:val="00D12058"/>
    <w:rsid w:val="00D1310F"/>
    <w:rsid w:val="00D20443"/>
    <w:rsid w:val="00D23082"/>
    <w:rsid w:val="00D2332A"/>
    <w:rsid w:val="00D235E9"/>
    <w:rsid w:val="00D2649F"/>
    <w:rsid w:val="00D26CF2"/>
    <w:rsid w:val="00D276A6"/>
    <w:rsid w:val="00D31706"/>
    <w:rsid w:val="00D35F60"/>
    <w:rsid w:val="00D4252D"/>
    <w:rsid w:val="00D45573"/>
    <w:rsid w:val="00D459E1"/>
    <w:rsid w:val="00D5007D"/>
    <w:rsid w:val="00D52C2D"/>
    <w:rsid w:val="00D54429"/>
    <w:rsid w:val="00D558D1"/>
    <w:rsid w:val="00D7059E"/>
    <w:rsid w:val="00D70645"/>
    <w:rsid w:val="00D7096C"/>
    <w:rsid w:val="00D73336"/>
    <w:rsid w:val="00D741C6"/>
    <w:rsid w:val="00D76B19"/>
    <w:rsid w:val="00D77405"/>
    <w:rsid w:val="00D800D2"/>
    <w:rsid w:val="00D82BF8"/>
    <w:rsid w:val="00D84874"/>
    <w:rsid w:val="00D84AE7"/>
    <w:rsid w:val="00D85CC5"/>
    <w:rsid w:val="00D97EA1"/>
    <w:rsid w:val="00DA16F6"/>
    <w:rsid w:val="00DA2EBC"/>
    <w:rsid w:val="00DB16AA"/>
    <w:rsid w:val="00DB18E5"/>
    <w:rsid w:val="00DB3A94"/>
    <w:rsid w:val="00DB5B9D"/>
    <w:rsid w:val="00DB7822"/>
    <w:rsid w:val="00DB7EEE"/>
    <w:rsid w:val="00DC246F"/>
    <w:rsid w:val="00DC662E"/>
    <w:rsid w:val="00DC69BC"/>
    <w:rsid w:val="00DC6C27"/>
    <w:rsid w:val="00DC6C75"/>
    <w:rsid w:val="00DD0D8E"/>
    <w:rsid w:val="00DD1979"/>
    <w:rsid w:val="00DD2A99"/>
    <w:rsid w:val="00DD5C6C"/>
    <w:rsid w:val="00DD773C"/>
    <w:rsid w:val="00DD7763"/>
    <w:rsid w:val="00DE191D"/>
    <w:rsid w:val="00DE1FB1"/>
    <w:rsid w:val="00DE3527"/>
    <w:rsid w:val="00DF0C0B"/>
    <w:rsid w:val="00DF1B7F"/>
    <w:rsid w:val="00DF42EC"/>
    <w:rsid w:val="00DF5DA7"/>
    <w:rsid w:val="00DF5E2A"/>
    <w:rsid w:val="00E02AE5"/>
    <w:rsid w:val="00E02B47"/>
    <w:rsid w:val="00E0731B"/>
    <w:rsid w:val="00E1304E"/>
    <w:rsid w:val="00E15347"/>
    <w:rsid w:val="00E15A1A"/>
    <w:rsid w:val="00E15DF2"/>
    <w:rsid w:val="00E202E6"/>
    <w:rsid w:val="00E2174F"/>
    <w:rsid w:val="00E25A27"/>
    <w:rsid w:val="00E30613"/>
    <w:rsid w:val="00E34062"/>
    <w:rsid w:val="00E35449"/>
    <w:rsid w:val="00E41769"/>
    <w:rsid w:val="00E4309D"/>
    <w:rsid w:val="00E50986"/>
    <w:rsid w:val="00E5253C"/>
    <w:rsid w:val="00E5266D"/>
    <w:rsid w:val="00E5485B"/>
    <w:rsid w:val="00E55C63"/>
    <w:rsid w:val="00E55F9B"/>
    <w:rsid w:val="00E61DE2"/>
    <w:rsid w:val="00E63879"/>
    <w:rsid w:val="00E669EA"/>
    <w:rsid w:val="00E6787E"/>
    <w:rsid w:val="00E70382"/>
    <w:rsid w:val="00E715FC"/>
    <w:rsid w:val="00E74627"/>
    <w:rsid w:val="00E748EC"/>
    <w:rsid w:val="00E80390"/>
    <w:rsid w:val="00E85496"/>
    <w:rsid w:val="00E85A81"/>
    <w:rsid w:val="00E904FD"/>
    <w:rsid w:val="00E9255D"/>
    <w:rsid w:val="00EA3726"/>
    <w:rsid w:val="00EB0315"/>
    <w:rsid w:val="00EB0F34"/>
    <w:rsid w:val="00EB26D7"/>
    <w:rsid w:val="00EB7E4F"/>
    <w:rsid w:val="00EC2F59"/>
    <w:rsid w:val="00EC3036"/>
    <w:rsid w:val="00EC3D3B"/>
    <w:rsid w:val="00EC4146"/>
    <w:rsid w:val="00EC7692"/>
    <w:rsid w:val="00ED0825"/>
    <w:rsid w:val="00ED37BB"/>
    <w:rsid w:val="00ED47F2"/>
    <w:rsid w:val="00EE7FA6"/>
    <w:rsid w:val="00EF0D72"/>
    <w:rsid w:val="00EF5073"/>
    <w:rsid w:val="00EF6084"/>
    <w:rsid w:val="00EF6EA6"/>
    <w:rsid w:val="00F013DA"/>
    <w:rsid w:val="00F05851"/>
    <w:rsid w:val="00F0658B"/>
    <w:rsid w:val="00F07312"/>
    <w:rsid w:val="00F14BC9"/>
    <w:rsid w:val="00F16F95"/>
    <w:rsid w:val="00F2456A"/>
    <w:rsid w:val="00F25F84"/>
    <w:rsid w:val="00F31CEB"/>
    <w:rsid w:val="00F31F7C"/>
    <w:rsid w:val="00F34997"/>
    <w:rsid w:val="00F3783B"/>
    <w:rsid w:val="00F378E3"/>
    <w:rsid w:val="00F4372C"/>
    <w:rsid w:val="00F456A7"/>
    <w:rsid w:val="00F550B5"/>
    <w:rsid w:val="00F6238C"/>
    <w:rsid w:val="00F64878"/>
    <w:rsid w:val="00F64CE4"/>
    <w:rsid w:val="00F65DCF"/>
    <w:rsid w:val="00F6604C"/>
    <w:rsid w:val="00F66594"/>
    <w:rsid w:val="00F67440"/>
    <w:rsid w:val="00F70E31"/>
    <w:rsid w:val="00F83945"/>
    <w:rsid w:val="00F841F3"/>
    <w:rsid w:val="00F8454B"/>
    <w:rsid w:val="00F84D2C"/>
    <w:rsid w:val="00F84EDF"/>
    <w:rsid w:val="00F866FE"/>
    <w:rsid w:val="00F86742"/>
    <w:rsid w:val="00F8691F"/>
    <w:rsid w:val="00F869F7"/>
    <w:rsid w:val="00F87495"/>
    <w:rsid w:val="00F87545"/>
    <w:rsid w:val="00F92386"/>
    <w:rsid w:val="00F952FA"/>
    <w:rsid w:val="00FA10C4"/>
    <w:rsid w:val="00FA1BC1"/>
    <w:rsid w:val="00FA71B7"/>
    <w:rsid w:val="00FB07CB"/>
    <w:rsid w:val="00FB1EDA"/>
    <w:rsid w:val="00FB3D2C"/>
    <w:rsid w:val="00FC24CD"/>
    <w:rsid w:val="00FD0ED3"/>
    <w:rsid w:val="00FD2ABB"/>
    <w:rsid w:val="00FD60CA"/>
    <w:rsid w:val="00FE3757"/>
    <w:rsid w:val="00FE39F9"/>
    <w:rsid w:val="00FF0C43"/>
    <w:rsid w:val="00FF2516"/>
    <w:rsid w:val="00FF3183"/>
    <w:rsid w:val="00FF3429"/>
    <w:rsid w:val="00FF63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218B14"/>
  <w15:docId w15:val="{416C2562-28EE-4A6C-AC10-AB1C5EB5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a">
    <w:basedOn w:val="TableNormalf1"/>
    <w:tblPr>
      <w:tblStyleRowBandSize w:val="1"/>
      <w:tblStyleColBandSize w:val="1"/>
      <w:tblCellMar>
        <w:left w:w="115" w:type="dxa"/>
        <w:right w:w="115" w:type="dxa"/>
      </w:tblCellMar>
    </w:tblPr>
  </w:style>
  <w:style w:type="table" w:customStyle="1" w:styleId="a0">
    <w:basedOn w:val="TableNormalf1"/>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1"/>
    <w:tblPr>
      <w:tblStyleRowBandSize w:val="1"/>
      <w:tblStyleColBandSize w:val="1"/>
      <w:tblCellMar>
        <w:left w:w="115" w:type="dxa"/>
        <w:right w:w="115" w:type="dxa"/>
      </w:tblCellMar>
    </w:tblPr>
  </w:style>
  <w:style w:type="table" w:customStyle="1" w:styleId="a2">
    <w:basedOn w:val="TableNormalf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0"/>
    <w:tblPr>
      <w:tblStyleRowBandSize w:val="1"/>
      <w:tblStyleColBandSize w:val="1"/>
      <w:tblCellMar>
        <w:left w:w="115" w:type="dxa"/>
        <w:right w:w="115" w:type="dxa"/>
      </w:tblCellMar>
    </w:tblPr>
  </w:style>
  <w:style w:type="table" w:customStyle="1" w:styleId="a4">
    <w:basedOn w:val="TableNormalf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
    <w:tblPr>
      <w:tblStyleRowBandSize w:val="1"/>
      <w:tblStyleColBandSize w:val="1"/>
      <w:tblCellMar>
        <w:left w:w="108" w:type="dxa"/>
        <w:right w:w="108" w:type="dxa"/>
      </w:tblCellMar>
    </w:tblPr>
  </w:style>
  <w:style w:type="table" w:customStyle="1" w:styleId="a6">
    <w:basedOn w:val="TableNormalf"/>
    <w:tblPr>
      <w:tblStyleRowBandSize w:val="1"/>
      <w:tblStyleColBandSize w:val="1"/>
      <w:tblCellMar>
        <w:left w:w="108" w:type="dxa"/>
        <w:right w:w="108" w:type="dxa"/>
      </w:tblCellMar>
    </w:tblPr>
  </w:style>
  <w:style w:type="table" w:customStyle="1" w:styleId="a7">
    <w:basedOn w:val="TableNormalf"/>
    <w:tblPr>
      <w:tblStyleRowBandSize w:val="1"/>
      <w:tblStyleColBandSize w:val="1"/>
      <w:tblCellMar>
        <w:left w:w="108" w:type="dxa"/>
        <w:right w:w="108" w:type="dxa"/>
      </w:tblCellMar>
    </w:tblPr>
  </w:style>
  <w:style w:type="table" w:customStyle="1" w:styleId="a8">
    <w:basedOn w:val="TableNormalf"/>
    <w:tblPr>
      <w:tblStyleRowBandSize w:val="1"/>
      <w:tblStyleColBandSize w:val="1"/>
      <w:tblCellMar>
        <w:left w:w="108" w:type="dxa"/>
        <w:right w:w="108" w:type="dxa"/>
      </w:tblCellMar>
    </w:tblPr>
  </w:style>
  <w:style w:type="table" w:customStyle="1" w:styleId="a9">
    <w:basedOn w:val="TableNormalf"/>
    <w:tblPr>
      <w:tblStyleRowBandSize w:val="1"/>
      <w:tblStyleColBandSize w:val="1"/>
      <w:tblCellMar>
        <w:left w:w="108" w:type="dxa"/>
        <w:right w:w="108" w:type="dxa"/>
      </w:tblCellMar>
    </w:tblPr>
  </w:style>
  <w:style w:type="table" w:customStyle="1" w:styleId="aa">
    <w:basedOn w:val="TableNormalf"/>
    <w:tblPr>
      <w:tblStyleRowBandSize w:val="1"/>
      <w:tblStyleColBandSize w:val="1"/>
      <w:tblCellMar>
        <w:left w:w="115" w:type="dxa"/>
        <w:right w:w="115" w:type="dxa"/>
      </w:tblCellMar>
    </w:tblPr>
  </w:style>
  <w:style w:type="table" w:customStyle="1" w:styleId="ab">
    <w:basedOn w:val="TableNormalf"/>
    <w:tblPr>
      <w:tblStyleRowBandSize w:val="1"/>
      <w:tblStyleColBandSize w:val="1"/>
      <w:tblCellMar>
        <w:left w:w="115" w:type="dxa"/>
        <w:right w:w="115" w:type="dxa"/>
      </w:tblCellMar>
    </w:tblPr>
  </w:style>
  <w:style w:type="table" w:customStyle="1" w:styleId="ac">
    <w:basedOn w:val="TableNormale"/>
    <w:tblPr>
      <w:tblStyleRowBandSize w:val="1"/>
      <w:tblStyleColBandSize w:val="1"/>
      <w:tblCellMar>
        <w:left w:w="108" w:type="dxa"/>
        <w:right w:w="108" w:type="dxa"/>
      </w:tblCellMar>
    </w:tblPr>
  </w:style>
  <w:style w:type="table" w:customStyle="1" w:styleId="ad">
    <w:basedOn w:val="TableNormale"/>
    <w:tblPr>
      <w:tblStyleRowBandSize w:val="1"/>
      <w:tblStyleColBandSize w:val="1"/>
      <w:tblCellMar>
        <w:left w:w="115" w:type="dxa"/>
        <w:right w:w="115" w:type="dxa"/>
      </w:tblCellMar>
    </w:tblPr>
  </w:style>
  <w:style w:type="table" w:customStyle="1" w:styleId="ae">
    <w:basedOn w:val="TableNormale"/>
    <w:tblPr>
      <w:tblStyleRowBandSize w:val="1"/>
      <w:tblStyleColBandSize w:val="1"/>
      <w:tblCellMar>
        <w:left w:w="115" w:type="dxa"/>
        <w:right w:w="115" w:type="dxa"/>
      </w:tblCellMar>
    </w:tblPr>
  </w:style>
  <w:style w:type="table" w:customStyle="1" w:styleId="af">
    <w:basedOn w:val="TableNormald"/>
    <w:tblPr>
      <w:tblStyleRowBandSize w:val="1"/>
      <w:tblStyleColBandSize w:val="1"/>
      <w:tblCellMar>
        <w:left w:w="115" w:type="dxa"/>
        <w:right w:w="115" w:type="dxa"/>
      </w:tblCellMar>
    </w:tblPr>
  </w:style>
  <w:style w:type="table" w:customStyle="1" w:styleId="af0">
    <w:basedOn w:val="TableNormald"/>
    <w:tblPr>
      <w:tblStyleRowBandSize w:val="1"/>
      <w:tblStyleColBandSize w:val="1"/>
      <w:tblCellMar>
        <w:left w:w="115" w:type="dxa"/>
        <w:right w:w="115" w:type="dxa"/>
      </w:tblCellMar>
    </w:tblPr>
  </w:style>
  <w:style w:type="table" w:customStyle="1" w:styleId="af1">
    <w:basedOn w:val="TableNormald"/>
    <w:tblPr>
      <w:tblStyleRowBandSize w:val="1"/>
      <w:tblStyleColBandSize w:val="1"/>
      <w:tblCellMar>
        <w:left w:w="115" w:type="dxa"/>
        <w:right w:w="115" w:type="dxa"/>
      </w:tblCellMar>
    </w:tblPr>
  </w:style>
  <w:style w:type="table" w:customStyle="1" w:styleId="af2">
    <w:basedOn w:val="TableNormalc"/>
    <w:tblPr>
      <w:tblStyleRowBandSize w:val="1"/>
      <w:tblStyleColBandSize w:val="1"/>
      <w:tblCellMar>
        <w:left w:w="115" w:type="dxa"/>
        <w:right w:w="115" w:type="dxa"/>
      </w:tblCellMar>
    </w:tblPr>
  </w:style>
  <w:style w:type="table" w:customStyle="1" w:styleId="af3">
    <w:basedOn w:val="TableNormalc"/>
    <w:tblPr>
      <w:tblStyleRowBandSize w:val="1"/>
      <w:tblStyleColBandSize w:val="1"/>
      <w:tblCellMar>
        <w:left w:w="115" w:type="dxa"/>
        <w:right w:w="115" w:type="dxa"/>
      </w:tblCellMar>
    </w:tblPr>
  </w:style>
  <w:style w:type="table" w:customStyle="1" w:styleId="af4">
    <w:basedOn w:val="TableNormalb"/>
    <w:tblPr>
      <w:tblStyleRowBandSize w:val="1"/>
      <w:tblStyleColBandSize w:val="1"/>
      <w:tblCellMar>
        <w:left w:w="115" w:type="dxa"/>
        <w:right w:w="115" w:type="dxa"/>
      </w:tblCellMar>
    </w:tblPr>
  </w:style>
  <w:style w:type="table" w:customStyle="1" w:styleId="af5">
    <w:basedOn w:val="TableNormalb"/>
    <w:tblPr>
      <w:tblStyleRowBandSize w:val="1"/>
      <w:tblStyleColBandSize w:val="1"/>
      <w:tblCellMar>
        <w:left w:w="115" w:type="dxa"/>
        <w:right w:w="115" w:type="dxa"/>
      </w:tblCellMar>
    </w:tblPr>
  </w:style>
  <w:style w:type="table" w:customStyle="1" w:styleId="af6">
    <w:basedOn w:val="TableNormala"/>
    <w:tblPr>
      <w:tblStyleRowBandSize w:val="1"/>
      <w:tblStyleColBandSize w:val="1"/>
      <w:tblCellMar>
        <w:left w:w="115" w:type="dxa"/>
        <w:right w:w="115" w:type="dxa"/>
      </w:tblCellMar>
    </w:tblPr>
  </w:style>
  <w:style w:type="table" w:customStyle="1" w:styleId="af7">
    <w:basedOn w:val="TableNormala"/>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9"/>
    <w:tblPr>
      <w:tblStyleRowBandSize w:val="1"/>
      <w:tblStyleColBandSize w:val="1"/>
      <w:tblCellMar>
        <w:left w:w="115" w:type="dxa"/>
        <w:right w:w="115"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8"/>
    <w:tblPr>
      <w:tblStyleRowBandSize w:val="1"/>
      <w:tblStyleColBandSize w:val="1"/>
      <w:tblCellMar>
        <w:left w:w="115" w:type="dxa"/>
        <w:right w:w="115" w:type="dxa"/>
      </w:tblCellMar>
    </w:tblPr>
  </w:style>
  <w:style w:type="table" w:customStyle="1" w:styleId="afb">
    <w:basedOn w:val="TableNormal8"/>
    <w:tblPr>
      <w:tblStyleRowBandSize w:val="1"/>
      <w:tblStyleColBandSize w:val="1"/>
      <w:tblCellMar>
        <w:left w:w="115" w:type="dxa"/>
        <w:right w:w="115" w:type="dxa"/>
      </w:tblCellMar>
    </w:tblPr>
  </w:style>
  <w:style w:type="table" w:customStyle="1" w:styleId="afc">
    <w:basedOn w:val="TableNormal7"/>
    <w:tblPr>
      <w:tblStyleRowBandSize w:val="1"/>
      <w:tblStyleColBandSize w:val="1"/>
      <w:tblCellMar>
        <w:left w:w="115" w:type="dxa"/>
        <w:right w:w="115" w:type="dxa"/>
      </w:tblCellMar>
    </w:tblPr>
  </w:style>
  <w:style w:type="table" w:customStyle="1" w:styleId="afd">
    <w:basedOn w:val="TableNormal7"/>
    <w:tblPr>
      <w:tblStyleRowBandSize w:val="1"/>
      <w:tblStyleColBandSize w:val="1"/>
      <w:tblCellMar>
        <w:left w:w="115" w:type="dxa"/>
        <w:right w:w="115" w:type="dxa"/>
      </w:tblCellMar>
    </w:tblPr>
  </w:style>
  <w:style w:type="table" w:customStyle="1" w:styleId="afe">
    <w:basedOn w:val="TableNormal6"/>
    <w:tblPr>
      <w:tblStyleRowBandSize w:val="1"/>
      <w:tblStyleColBandSize w:val="1"/>
      <w:tblCellMar>
        <w:left w:w="115" w:type="dxa"/>
        <w:right w:w="115" w:type="dxa"/>
      </w:tblCellMar>
    </w:tblPr>
  </w:style>
  <w:style w:type="table" w:customStyle="1" w:styleId="aff">
    <w:basedOn w:val="TableNormal6"/>
    <w:tblPr>
      <w:tblStyleRowBandSize w:val="1"/>
      <w:tblStyleColBandSize w:val="1"/>
      <w:tblCellMar>
        <w:left w:w="115" w:type="dxa"/>
        <w:right w:w="115" w:type="dxa"/>
      </w:tblCellMar>
    </w:tblPr>
  </w:style>
  <w:style w:type="table" w:customStyle="1" w:styleId="aff0">
    <w:basedOn w:val="TableNormal5"/>
    <w:tblPr>
      <w:tblStyleRowBandSize w:val="1"/>
      <w:tblStyleColBandSize w:val="1"/>
      <w:tblCellMar>
        <w:left w:w="115" w:type="dxa"/>
        <w:right w:w="115" w:type="dxa"/>
      </w:tblCellMar>
    </w:tblPr>
  </w:style>
  <w:style w:type="table" w:customStyle="1" w:styleId="aff1">
    <w:basedOn w:val="TableNormal5"/>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3"/>
    <w:tblPr>
      <w:tblStyleRowBandSize w:val="1"/>
      <w:tblStyleColBandSize w:val="1"/>
      <w:tblCellMar>
        <w:left w:w="115" w:type="dxa"/>
        <w:right w:w="115" w:type="dxa"/>
      </w:tblCellMar>
    </w:tblPr>
  </w:style>
  <w:style w:type="table" w:customStyle="1" w:styleId="aff5">
    <w:basedOn w:val="TableNormal3"/>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paragraph" w:styleId="Lista">
    <w:name w:val="List"/>
    <w:basedOn w:val="Normal"/>
    <w:uiPriority w:val="99"/>
    <w:unhideWhenUsed/>
    <w:rsid w:val="00AD21B4"/>
    <w:pPr>
      <w:ind w:left="283" w:hanging="283"/>
      <w:contextualSpacing/>
    </w:pPr>
  </w:style>
  <w:style w:type="paragraph" w:styleId="Lista2">
    <w:name w:val="List 2"/>
    <w:basedOn w:val="Normal"/>
    <w:uiPriority w:val="99"/>
    <w:unhideWhenUsed/>
    <w:rsid w:val="00AD21B4"/>
    <w:pPr>
      <w:ind w:left="566" w:hanging="283"/>
      <w:contextualSpacing/>
    </w:pPr>
  </w:style>
  <w:style w:type="paragraph" w:styleId="Lista3">
    <w:name w:val="List 3"/>
    <w:basedOn w:val="Normal"/>
    <w:uiPriority w:val="99"/>
    <w:unhideWhenUsed/>
    <w:rsid w:val="00AD21B4"/>
    <w:pPr>
      <w:ind w:left="849" w:hanging="283"/>
      <w:contextualSpacing/>
    </w:pPr>
  </w:style>
  <w:style w:type="paragraph" w:styleId="Lista4">
    <w:name w:val="List 4"/>
    <w:basedOn w:val="Normal"/>
    <w:uiPriority w:val="99"/>
    <w:unhideWhenUsed/>
    <w:rsid w:val="00AD21B4"/>
    <w:pPr>
      <w:ind w:left="1132" w:hanging="283"/>
      <w:contextualSpacing/>
    </w:pPr>
  </w:style>
  <w:style w:type="paragraph" w:styleId="Lista5">
    <w:name w:val="List 5"/>
    <w:basedOn w:val="Normal"/>
    <w:uiPriority w:val="99"/>
    <w:unhideWhenUsed/>
    <w:rsid w:val="00AD21B4"/>
    <w:pPr>
      <w:ind w:left="1415" w:hanging="283"/>
      <w:contextualSpacing/>
    </w:pPr>
  </w:style>
  <w:style w:type="paragraph" w:styleId="Listaconvietas">
    <w:name w:val="List Bullet"/>
    <w:basedOn w:val="Normal"/>
    <w:uiPriority w:val="99"/>
    <w:unhideWhenUsed/>
    <w:rsid w:val="00AD21B4"/>
    <w:pPr>
      <w:numPr>
        <w:numId w:val="9"/>
      </w:numPr>
      <w:contextualSpacing/>
    </w:pPr>
  </w:style>
  <w:style w:type="paragraph" w:styleId="Listaconvietas2">
    <w:name w:val="List Bullet 2"/>
    <w:basedOn w:val="Normal"/>
    <w:uiPriority w:val="99"/>
    <w:unhideWhenUsed/>
    <w:rsid w:val="00AD21B4"/>
    <w:pPr>
      <w:numPr>
        <w:numId w:val="10"/>
      </w:numPr>
      <w:contextualSpacing/>
    </w:pPr>
  </w:style>
  <w:style w:type="paragraph" w:styleId="Textoindependiente">
    <w:name w:val="Body Text"/>
    <w:basedOn w:val="Normal"/>
    <w:link w:val="TextoindependienteCar"/>
    <w:uiPriority w:val="99"/>
    <w:unhideWhenUsed/>
    <w:rsid w:val="00AD21B4"/>
    <w:pPr>
      <w:spacing w:after="120"/>
    </w:pPr>
  </w:style>
  <w:style w:type="character" w:customStyle="1" w:styleId="TextoindependienteCar">
    <w:name w:val="Texto independiente Car"/>
    <w:basedOn w:val="Fuentedeprrafopredeter"/>
    <w:link w:val="Textoindependiente"/>
    <w:uiPriority w:val="99"/>
    <w:rsid w:val="00AD21B4"/>
  </w:style>
  <w:style w:type="paragraph" w:styleId="Sangradetextonormal">
    <w:name w:val="Body Text Indent"/>
    <w:basedOn w:val="Normal"/>
    <w:link w:val="SangradetextonormalCar"/>
    <w:uiPriority w:val="99"/>
    <w:unhideWhenUsed/>
    <w:rsid w:val="00AD21B4"/>
    <w:pPr>
      <w:spacing w:after="120"/>
      <w:ind w:left="283"/>
    </w:pPr>
  </w:style>
  <w:style w:type="character" w:customStyle="1" w:styleId="SangradetextonormalCar">
    <w:name w:val="Sangría de texto normal Car"/>
    <w:basedOn w:val="Fuentedeprrafopredeter"/>
    <w:link w:val="Sangradetextonormal"/>
    <w:uiPriority w:val="99"/>
    <w:rsid w:val="00AD21B4"/>
  </w:style>
  <w:style w:type="paragraph" w:styleId="Textoindependienteprimerasangra2">
    <w:name w:val="Body Text First Indent 2"/>
    <w:basedOn w:val="Sangradetextonormal"/>
    <w:link w:val="Textoindependienteprimerasangra2Car"/>
    <w:uiPriority w:val="99"/>
    <w:unhideWhenUsed/>
    <w:rsid w:val="00AD21B4"/>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D2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91269">
      <w:bodyDiv w:val="1"/>
      <w:marLeft w:val="0"/>
      <w:marRight w:val="0"/>
      <w:marTop w:val="0"/>
      <w:marBottom w:val="0"/>
      <w:divBdr>
        <w:top w:val="none" w:sz="0" w:space="0" w:color="auto"/>
        <w:left w:val="none" w:sz="0" w:space="0" w:color="auto"/>
        <w:bottom w:val="none" w:sz="0" w:space="0" w:color="auto"/>
        <w:right w:val="none" w:sz="0" w:space="0" w:color="auto"/>
      </w:divBdr>
    </w:div>
    <w:div w:id="160622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foem.org.mx/es/contenido/ipome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infoem.org.mx/es/contenido/ipome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wJaCJCy7O9JGy830EkbZ7Q/Jg==">CgMxLjAyCWguM3JkY3JqbjIOaC5kYWozajJ4bzZxNjYyCGguZ2pkZ3hzMgloLjNkeTZ2a20yCWguMzBqMHpsbDIJaC4yczhleW8xMghoLnR5amN3dDIJaC4yZXQ5MnAwMg5oLmgydzd1eXAyZDU5YjIJaC4xdDNoNXNmMgloLjFmb2I5dGUyDmguaG56eHNjaDVneXN6Mg5oLm90M3FxNnZ4YTA4ZjIIaC5sbnhiejk4AHIhMUFJNmZEOE5kY3VESlVnRFJaeWo0bThuWmExSndnbUU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BF9C6F-31F3-4EFC-8513-514D59B7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10422</Words>
  <Characters>57327</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2026-02-27T18:15:00Z</cp:lastPrinted>
  <dcterms:created xsi:type="dcterms:W3CDTF">2026-04-06T23:05:00Z</dcterms:created>
  <dcterms:modified xsi:type="dcterms:W3CDTF">2026-04-06T23:05:00Z</dcterms:modified>
</cp:coreProperties>
</file>