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5CFF947" w:rsidR="00532AE4" w:rsidRPr="00353388"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353388">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353388">
        <w:rPr>
          <w:rFonts w:ascii="Palatino Linotype" w:eastAsia="Palatino Linotype" w:hAnsi="Palatino Linotype" w:cs="Palatino Linotype"/>
          <w:sz w:val="22"/>
          <w:szCs w:val="22"/>
        </w:rPr>
        <w:t xml:space="preserve"> </w:t>
      </w:r>
      <w:r w:rsidRPr="00353388">
        <w:rPr>
          <w:rFonts w:ascii="Palatino Linotype" w:eastAsia="Palatino Linotype" w:hAnsi="Palatino Linotype" w:cs="Palatino Linotype"/>
          <w:sz w:val="22"/>
          <w:szCs w:val="22"/>
        </w:rPr>
        <w:t xml:space="preserve">Personales del Estado de México y Municipios, con domicilio en Metepec, Estado de México, de fecha </w:t>
      </w:r>
      <w:r w:rsidR="00BB00AB" w:rsidRPr="00353388">
        <w:rPr>
          <w:rFonts w:ascii="Palatino Linotype" w:eastAsia="Palatino Linotype" w:hAnsi="Palatino Linotype" w:cs="Palatino Linotype"/>
          <w:sz w:val="22"/>
          <w:szCs w:val="22"/>
        </w:rPr>
        <w:t>veinticinco</w:t>
      </w:r>
      <w:r w:rsidR="004D09F8" w:rsidRPr="00353388">
        <w:rPr>
          <w:rFonts w:ascii="Palatino Linotype" w:eastAsia="Palatino Linotype" w:hAnsi="Palatino Linotype" w:cs="Palatino Linotype"/>
          <w:sz w:val="22"/>
          <w:szCs w:val="22"/>
        </w:rPr>
        <w:t xml:space="preserve"> de febrero</w:t>
      </w:r>
      <w:r w:rsidR="00E55CFA" w:rsidRPr="00353388">
        <w:rPr>
          <w:rFonts w:ascii="Palatino Linotype" w:eastAsia="Palatino Linotype" w:hAnsi="Palatino Linotype" w:cs="Palatino Linotype"/>
          <w:sz w:val="22"/>
          <w:szCs w:val="22"/>
        </w:rPr>
        <w:t xml:space="preserve"> de dos mil veintiséis</w:t>
      </w:r>
      <w:r w:rsidRPr="00353388">
        <w:rPr>
          <w:rFonts w:ascii="Palatino Linotype" w:eastAsia="Palatino Linotype" w:hAnsi="Palatino Linotype" w:cs="Palatino Linotype"/>
          <w:sz w:val="22"/>
          <w:szCs w:val="22"/>
        </w:rPr>
        <w:t xml:space="preserve">. </w:t>
      </w:r>
    </w:p>
    <w:p w14:paraId="13FC4B2B" w14:textId="77777777" w:rsidR="00532AE4" w:rsidRPr="00353388" w:rsidRDefault="00532AE4">
      <w:pPr>
        <w:spacing w:line="360" w:lineRule="auto"/>
        <w:jc w:val="both"/>
        <w:rPr>
          <w:rFonts w:ascii="Palatino Linotype" w:eastAsia="Palatino Linotype" w:hAnsi="Palatino Linotype" w:cs="Palatino Linotype"/>
          <w:b/>
          <w:sz w:val="22"/>
          <w:szCs w:val="22"/>
        </w:rPr>
      </w:pPr>
    </w:p>
    <w:p w14:paraId="50DC799A" w14:textId="07BF0C28"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Visto </w:t>
      </w:r>
      <w:r w:rsidRPr="00353388">
        <w:rPr>
          <w:rFonts w:ascii="Palatino Linotype" w:eastAsia="Palatino Linotype" w:hAnsi="Palatino Linotype" w:cs="Palatino Linotype"/>
          <w:sz w:val="22"/>
          <w:szCs w:val="22"/>
        </w:rPr>
        <w:t xml:space="preserve">el expediente relativo al recurso de revisión </w:t>
      </w:r>
      <w:r w:rsidR="00BD561F" w:rsidRPr="00353388">
        <w:rPr>
          <w:rFonts w:ascii="Palatino Linotype" w:eastAsia="Palatino Linotype" w:hAnsi="Palatino Linotype" w:cs="Palatino Linotype"/>
          <w:b/>
          <w:sz w:val="22"/>
          <w:szCs w:val="22"/>
        </w:rPr>
        <w:t>0</w:t>
      </w:r>
      <w:r w:rsidR="00705D5E" w:rsidRPr="00353388">
        <w:rPr>
          <w:rFonts w:ascii="Palatino Linotype" w:eastAsia="Palatino Linotype" w:hAnsi="Palatino Linotype" w:cs="Palatino Linotype"/>
          <w:b/>
          <w:sz w:val="22"/>
          <w:szCs w:val="22"/>
        </w:rPr>
        <w:t>1</w:t>
      </w:r>
      <w:r w:rsidR="00840BDB" w:rsidRPr="00353388">
        <w:rPr>
          <w:rFonts w:ascii="Palatino Linotype" w:eastAsia="Palatino Linotype" w:hAnsi="Palatino Linotype" w:cs="Palatino Linotype"/>
          <w:b/>
          <w:sz w:val="22"/>
          <w:szCs w:val="22"/>
        </w:rPr>
        <w:t>634</w:t>
      </w:r>
      <w:r w:rsidR="006206CF" w:rsidRPr="00353388">
        <w:rPr>
          <w:rFonts w:ascii="Palatino Linotype" w:eastAsia="Palatino Linotype" w:hAnsi="Palatino Linotype" w:cs="Palatino Linotype"/>
          <w:b/>
          <w:sz w:val="22"/>
          <w:szCs w:val="22"/>
        </w:rPr>
        <w:t>/INFOEM/IP/RR/2026</w:t>
      </w:r>
      <w:r w:rsidRPr="00353388">
        <w:rPr>
          <w:rFonts w:ascii="Palatino Linotype" w:eastAsia="Palatino Linotype" w:hAnsi="Palatino Linotype" w:cs="Palatino Linotype"/>
          <w:sz w:val="22"/>
          <w:szCs w:val="22"/>
        </w:rPr>
        <w:t xml:space="preserve">, </w:t>
      </w:r>
      <w:r w:rsidRPr="00353388">
        <w:rPr>
          <w:rFonts w:ascii="Palatino Linotype" w:eastAsia="Palatino Linotype" w:hAnsi="Palatino Linotype" w:cs="Palatino Linotype"/>
        </w:rPr>
        <w:t xml:space="preserve">interpuesto </w:t>
      </w:r>
      <w:r w:rsidR="0061438F" w:rsidRPr="00353388">
        <w:rPr>
          <w:rFonts w:ascii="Palatino Linotype" w:eastAsia="Palatino Linotype" w:hAnsi="Palatino Linotype" w:cs="Palatino Linotype"/>
        </w:rPr>
        <w:t>por</w:t>
      </w:r>
      <w:r w:rsidR="00370BDC" w:rsidRPr="00370BDC">
        <w:rPr>
          <w:rFonts w:ascii="Palatino Linotype" w:eastAsia="Palatino Linotype" w:hAnsi="Palatino Linotype" w:cs="Palatino Linotype"/>
          <w:b/>
          <w:sz w:val="21"/>
          <w:szCs w:val="21"/>
          <w:lang w:val="es-ES"/>
        </w:rPr>
        <w:t xml:space="preserve"> </w:t>
      </w:r>
      <w:r w:rsidR="00370BDC">
        <w:rPr>
          <w:rFonts w:ascii="Palatino Linotype" w:eastAsia="Palatino Linotype" w:hAnsi="Palatino Linotype" w:cs="Palatino Linotype"/>
          <w:b/>
          <w:sz w:val="21"/>
          <w:szCs w:val="21"/>
          <w:lang w:val="es-ES"/>
        </w:rPr>
        <w:t>XXXXX XXXXXXX XXXXX</w:t>
      </w:r>
      <w:r w:rsidRPr="00353388">
        <w:rPr>
          <w:rFonts w:ascii="Palatino Linotype" w:eastAsia="Palatino Linotype" w:hAnsi="Palatino Linotype" w:cs="Palatino Linotype"/>
          <w:b/>
        </w:rPr>
        <w:t>,</w:t>
      </w:r>
      <w:r w:rsidRPr="00353388">
        <w:rPr>
          <w:rFonts w:ascii="Palatino Linotype" w:eastAsia="Palatino Linotype" w:hAnsi="Palatino Linotype" w:cs="Palatino Linotype"/>
        </w:rPr>
        <w:t xml:space="preserve"> en lo sucesivo la parte </w:t>
      </w:r>
      <w:r w:rsidRPr="00353388">
        <w:rPr>
          <w:rFonts w:ascii="Palatino Linotype" w:eastAsia="Palatino Linotype" w:hAnsi="Palatino Linotype" w:cs="Palatino Linotype"/>
          <w:b/>
        </w:rPr>
        <w:t>RECURRENTE</w:t>
      </w:r>
      <w:r w:rsidRPr="00353388">
        <w:rPr>
          <w:rFonts w:ascii="Palatino Linotype" w:eastAsia="Palatino Linotype" w:hAnsi="Palatino Linotype" w:cs="Palatino Linotype"/>
          <w:b/>
          <w:sz w:val="22"/>
          <w:szCs w:val="22"/>
        </w:rPr>
        <w:t xml:space="preserve">, </w:t>
      </w:r>
      <w:r w:rsidRPr="00353388">
        <w:rPr>
          <w:rFonts w:ascii="Palatino Linotype" w:eastAsia="Palatino Linotype" w:hAnsi="Palatino Linotype" w:cs="Palatino Linotype"/>
          <w:sz w:val="22"/>
          <w:szCs w:val="22"/>
        </w:rPr>
        <w:t>en contra de la falta de respuesta a la solicitud de acceso a la información con número de folio</w:t>
      </w:r>
      <w:r w:rsidR="00752DC7" w:rsidRPr="00353388">
        <w:rPr>
          <w:rFonts w:ascii="Verdana" w:eastAsia="Verdana" w:hAnsi="Verdana" w:cs="Verdana"/>
          <w:b/>
          <w:sz w:val="22"/>
          <w:szCs w:val="22"/>
        </w:rPr>
        <w:t xml:space="preserve"> </w:t>
      </w:r>
      <w:r w:rsidR="00FD7160" w:rsidRPr="00353388">
        <w:rPr>
          <w:rFonts w:ascii="Palatino Linotype" w:eastAsia="Palatino Linotype" w:hAnsi="Palatino Linotype" w:cs="Palatino Linotype"/>
          <w:b/>
          <w:sz w:val="22"/>
          <w:szCs w:val="22"/>
        </w:rPr>
        <w:t>0</w:t>
      </w:r>
      <w:r w:rsidR="00E87088" w:rsidRPr="00353388">
        <w:rPr>
          <w:rFonts w:ascii="Palatino Linotype" w:eastAsia="Palatino Linotype" w:hAnsi="Palatino Linotype" w:cs="Palatino Linotype"/>
          <w:b/>
          <w:sz w:val="22"/>
          <w:szCs w:val="22"/>
        </w:rPr>
        <w:t>00</w:t>
      </w:r>
      <w:r w:rsidR="00840BDB" w:rsidRPr="00353388">
        <w:rPr>
          <w:rFonts w:ascii="Palatino Linotype" w:eastAsia="Palatino Linotype" w:hAnsi="Palatino Linotype" w:cs="Palatino Linotype"/>
          <w:b/>
          <w:sz w:val="22"/>
          <w:szCs w:val="22"/>
        </w:rPr>
        <w:t>67</w:t>
      </w:r>
      <w:r w:rsidR="00D96D36" w:rsidRPr="00353388">
        <w:rPr>
          <w:rFonts w:ascii="Palatino Linotype" w:eastAsia="Palatino Linotype" w:hAnsi="Palatino Linotype" w:cs="Palatino Linotype"/>
          <w:b/>
          <w:sz w:val="22"/>
          <w:szCs w:val="22"/>
        </w:rPr>
        <w:t>/</w:t>
      </w:r>
      <w:r w:rsidR="006206CF" w:rsidRPr="00353388">
        <w:rPr>
          <w:rFonts w:ascii="Palatino Linotype" w:eastAsia="Palatino Linotype" w:hAnsi="Palatino Linotype" w:cs="Palatino Linotype"/>
          <w:b/>
          <w:sz w:val="22"/>
          <w:szCs w:val="22"/>
        </w:rPr>
        <w:t>TEPOTZOT</w:t>
      </w:r>
      <w:r w:rsidR="00C408DA" w:rsidRPr="00353388">
        <w:rPr>
          <w:rFonts w:ascii="Palatino Linotype" w:eastAsia="Palatino Linotype" w:hAnsi="Palatino Linotype" w:cs="Palatino Linotype"/>
          <w:b/>
          <w:sz w:val="22"/>
          <w:szCs w:val="22"/>
        </w:rPr>
        <w:t>/IP/2026</w:t>
      </w:r>
      <w:r w:rsidR="00EF743D" w:rsidRPr="00353388">
        <w:rPr>
          <w:rFonts w:ascii="Palatino Linotype" w:eastAsia="Palatino Linotype" w:hAnsi="Palatino Linotype" w:cs="Palatino Linotype"/>
          <w:b/>
        </w:rPr>
        <w:t xml:space="preserve">, </w:t>
      </w:r>
      <w:r w:rsidRPr="00353388">
        <w:rPr>
          <w:rFonts w:ascii="Palatino Linotype" w:eastAsia="Palatino Linotype" w:hAnsi="Palatino Linotype" w:cs="Palatino Linotype"/>
          <w:sz w:val="22"/>
          <w:szCs w:val="22"/>
        </w:rPr>
        <w:t>por parte de</w:t>
      </w:r>
      <w:r w:rsidR="004D09F8" w:rsidRPr="00353388">
        <w:rPr>
          <w:rFonts w:ascii="Palatino Linotype" w:eastAsia="Palatino Linotype" w:hAnsi="Palatino Linotype" w:cs="Palatino Linotype"/>
          <w:sz w:val="22"/>
          <w:szCs w:val="22"/>
        </w:rPr>
        <w:t xml:space="preserve">l </w:t>
      </w:r>
      <w:r w:rsidR="004D09F8" w:rsidRPr="00353388">
        <w:rPr>
          <w:rFonts w:ascii="Palatino Linotype" w:hAnsi="Palatino Linotype"/>
          <w:sz w:val="22"/>
          <w:szCs w:val="22"/>
        </w:rPr>
        <w:t>Ayuntamiento de Tepotzotlán</w:t>
      </w:r>
      <w:r w:rsidR="00390FDA" w:rsidRPr="00353388">
        <w:rPr>
          <w:rFonts w:ascii="Palatino Linotype" w:eastAsia="Palatino Linotype" w:hAnsi="Palatino Linotype" w:cs="Palatino Linotype"/>
          <w:b/>
          <w:sz w:val="22"/>
          <w:szCs w:val="22"/>
        </w:rPr>
        <w:t>,</w:t>
      </w:r>
      <w:r w:rsidRPr="00353388">
        <w:rPr>
          <w:rFonts w:ascii="Palatino Linotype" w:eastAsia="Palatino Linotype" w:hAnsi="Palatino Linotype" w:cs="Palatino Linotype"/>
          <w:sz w:val="22"/>
          <w:szCs w:val="22"/>
        </w:rPr>
        <w:t xml:space="preserve"> en lo sucesivo el </w:t>
      </w:r>
      <w:r w:rsidRPr="00353388">
        <w:rPr>
          <w:rFonts w:ascii="Palatino Linotype" w:eastAsia="Palatino Linotype" w:hAnsi="Palatino Linotype" w:cs="Palatino Linotype"/>
          <w:b/>
          <w:sz w:val="22"/>
          <w:szCs w:val="22"/>
        </w:rPr>
        <w:t xml:space="preserve">SUJETO OBLIGADO; </w:t>
      </w:r>
      <w:r w:rsidRPr="00353388">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353388"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A N T E C E D E N T E S:</w:t>
      </w:r>
    </w:p>
    <w:p w14:paraId="77D7A248" w14:textId="77777777" w:rsidR="00532AE4" w:rsidRPr="00353388"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5E0F258F"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1. Solicitud de acceso a la información. </w:t>
      </w:r>
      <w:r w:rsidR="00EE5E30" w:rsidRPr="00353388">
        <w:rPr>
          <w:rFonts w:ascii="Palatino Linotype" w:eastAsia="Palatino Linotype" w:hAnsi="Palatino Linotype" w:cs="Palatino Linotype"/>
          <w:sz w:val="22"/>
          <w:szCs w:val="22"/>
        </w:rPr>
        <w:t xml:space="preserve">Con fecha </w:t>
      </w:r>
      <w:r w:rsidR="00C408DA" w:rsidRPr="00353388">
        <w:rPr>
          <w:rFonts w:ascii="Palatino Linotype" w:eastAsia="Palatino Linotype" w:hAnsi="Palatino Linotype" w:cs="Palatino Linotype"/>
          <w:b/>
          <w:sz w:val="22"/>
          <w:szCs w:val="22"/>
        </w:rPr>
        <w:t>doce de enero</w:t>
      </w:r>
      <w:r w:rsidR="00111565" w:rsidRPr="00353388">
        <w:rPr>
          <w:rFonts w:ascii="Palatino Linotype" w:eastAsia="Palatino Linotype" w:hAnsi="Palatino Linotype" w:cs="Palatino Linotype"/>
          <w:b/>
          <w:sz w:val="22"/>
          <w:szCs w:val="22"/>
        </w:rPr>
        <w:t xml:space="preserve"> </w:t>
      </w:r>
      <w:r w:rsidR="00C408DA" w:rsidRPr="00353388">
        <w:rPr>
          <w:rFonts w:ascii="Palatino Linotype" w:eastAsia="Palatino Linotype" w:hAnsi="Palatino Linotype" w:cs="Palatino Linotype"/>
          <w:b/>
          <w:sz w:val="22"/>
          <w:szCs w:val="22"/>
        </w:rPr>
        <w:t xml:space="preserve">de dos mil </w:t>
      </w:r>
      <w:r w:rsidR="00AC0641" w:rsidRPr="00353388">
        <w:rPr>
          <w:rFonts w:ascii="Palatino Linotype" w:eastAsia="Palatino Linotype" w:hAnsi="Palatino Linotype" w:cs="Palatino Linotype"/>
          <w:b/>
          <w:sz w:val="22"/>
          <w:szCs w:val="22"/>
        </w:rPr>
        <w:t>veintiséis</w:t>
      </w:r>
      <w:r w:rsidRPr="00353388">
        <w:rPr>
          <w:rFonts w:ascii="Palatino Linotype" w:eastAsia="Palatino Linotype" w:hAnsi="Palatino Linotype" w:cs="Palatino Linotype"/>
          <w:sz w:val="22"/>
          <w:szCs w:val="22"/>
        </w:rPr>
        <w:t xml:space="preserve">, la parte </w:t>
      </w:r>
      <w:r w:rsidRPr="00353388">
        <w:rPr>
          <w:rFonts w:ascii="Palatino Linotype" w:eastAsia="Palatino Linotype" w:hAnsi="Palatino Linotype" w:cs="Palatino Linotype"/>
          <w:b/>
          <w:sz w:val="22"/>
          <w:szCs w:val="22"/>
        </w:rPr>
        <w:t xml:space="preserve">RECURRENTE </w:t>
      </w:r>
      <w:r w:rsidRPr="00353388">
        <w:rPr>
          <w:rFonts w:ascii="Palatino Linotype" w:eastAsia="Palatino Linotype" w:hAnsi="Palatino Linotype" w:cs="Palatino Linotype"/>
          <w:sz w:val="22"/>
          <w:szCs w:val="22"/>
        </w:rPr>
        <w:t xml:space="preserve">formuló a través del Sistema de Acceso a la Información Mexiquense, en adelante </w:t>
      </w:r>
      <w:r w:rsidRPr="00353388">
        <w:rPr>
          <w:rFonts w:ascii="Palatino Linotype" w:eastAsia="Palatino Linotype" w:hAnsi="Palatino Linotype" w:cs="Palatino Linotype"/>
          <w:b/>
          <w:sz w:val="22"/>
          <w:szCs w:val="22"/>
        </w:rPr>
        <w:t>SAIMEX,</w:t>
      </w:r>
      <w:r w:rsidRPr="00353388">
        <w:rPr>
          <w:rFonts w:ascii="Palatino Linotype" w:eastAsia="Palatino Linotype" w:hAnsi="Palatino Linotype" w:cs="Palatino Linotype"/>
          <w:sz w:val="22"/>
          <w:szCs w:val="22"/>
        </w:rPr>
        <w:t xml:space="preserve"> solicitud de información al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requiriéndole lo siguiente:</w:t>
      </w:r>
    </w:p>
    <w:p w14:paraId="2A00D1E9" w14:textId="77777777" w:rsidR="00482CD2" w:rsidRPr="00353388" w:rsidRDefault="00482CD2" w:rsidP="00AB5F77">
      <w:pPr>
        <w:ind w:left="567" w:right="616"/>
        <w:jc w:val="both"/>
        <w:rPr>
          <w:rFonts w:ascii="Palatino Linotype" w:eastAsia="Palatino Linotype" w:hAnsi="Palatino Linotype" w:cs="Palatino Linotype"/>
          <w:i/>
          <w:sz w:val="22"/>
          <w:szCs w:val="22"/>
        </w:rPr>
      </w:pPr>
    </w:p>
    <w:p w14:paraId="0BF34AC3" w14:textId="1B84DAEA" w:rsidR="00532AE4" w:rsidRPr="00353388" w:rsidRDefault="00CD71FB" w:rsidP="00BD561F">
      <w:pPr>
        <w:ind w:left="567" w:right="616"/>
        <w:jc w:val="both"/>
        <w:rPr>
          <w:rFonts w:ascii="Palatino Linotype" w:hAnsi="Palatino Linotype"/>
          <w:i/>
          <w:sz w:val="22"/>
          <w:szCs w:val="22"/>
        </w:rPr>
      </w:pPr>
      <w:r w:rsidRPr="00353388">
        <w:rPr>
          <w:rFonts w:ascii="Palatino Linotype" w:hAnsi="Palatino Linotype"/>
          <w:i/>
          <w:sz w:val="22"/>
          <w:szCs w:val="22"/>
        </w:rPr>
        <w:t>“</w:t>
      </w:r>
      <w:r w:rsidR="00840BDB" w:rsidRPr="00353388">
        <w:rPr>
          <w:rFonts w:ascii="Palatino Linotype" w:hAnsi="Palatino Linotype"/>
          <w:i/>
          <w:sz w:val="22"/>
          <w:szCs w:val="22"/>
        </w:rPr>
        <w:t xml:space="preserve">Solicito toda la información y documentación oficial relacionada con el cierre del ejercicio fiscal 2025 del Ayuntamiento de Tepotzotlán, incluyendo de manera enunciativa más no limitativa, lo siguiente: 1. Cierre presupuestal general Documento oficial de cierre del ejercicio fiscal 2025 que contenga el presupuesto aprobado, modificado, comprometido, devengado, ejercido, pagado y no ejercido, desglosado por capítulo, concepto y partida presupuestal, en formato digital editable. 2. Modificaciones presupuestales Relación completa de todas las ampliaciones, reducciones y transferencias presupuestales realizadas durante el ejercicio 2025, indicando fecha, monto, partidas de origen y destino, fundamento legal y copia de las actas de Cabildo, acuerdos o autorizaciones administrativas correspondientes. 3. Subejercicios Informe detallado de los subejercicios presupuestales del ejercicio 2025, especificando montos, partidas afectadas, justificación administrativa y legal, así como el destino final de los recursos no ejercidos. 4. Servicios personales Desglose completo del gasto ejercido en el </w:t>
      </w:r>
      <w:r w:rsidR="00840BDB" w:rsidRPr="00353388">
        <w:rPr>
          <w:rFonts w:ascii="Palatino Linotype" w:hAnsi="Palatino Linotype"/>
          <w:i/>
          <w:sz w:val="22"/>
          <w:szCs w:val="22"/>
        </w:rPr>
        <w:lastRenderedPageBreak/>
        <w:t>Capítulo 1000 (Servicios Personales) durante el ejercicio 2025, incluyendo sueldos, salarios, aguinaldos, bonos, compensaciones, estímulos y cualquier otro pago extraordinario, indicando puesto, tipo de contratación y monto anual pagado. 5. Pagos extraordinarios de fin de año Informe detallado de pagos extraordinarios realizados durante los meses de noviembre y diciembre de 2025, especificando concepto, monto individual y total, servidores públicos beneficiados, fundamento legal y partida presupuestal de origen. 6. Contratos y proveedores Relación completa de todos los contratos celebrados durante el ejercicio 2025, indicando número de contrato, proveedor, objeto, monto contratado, monto pagado al cierre del ejercicio, procedimiento de adjudicación y partida presupuestal, adjuntando copia digital íntegra de cada contrato. 7. Pasivos y adeudos Informe de pasivos, adeudos y cuentas por pagar existentes al 31 de diciembre de 2025, indicando acreedor, concepto, monto, fecha de origen y justificación de no pago. 8. Obras públicas Relación de obras públicas del ejercicio 2025 que no hayan sido concluidas, especificando monto asignado, monto ejercido, avance físico y financiero, causas de la no conclusión y estatus actual del recurso. 9. Responsables del cierre Nombre, cargo y área de los servidores públicos responsables del cierre presupuestal del ejercicio 2025, incluyendo Tesorería Municipal, Dirección de Finanzas, Órgano Interno de Control y Presidencia Municipal. 10. Fiscalización Copia del expediente, informe o documentación entregada al Órgano Superior de Fiscalización del Estado de México (OSFEM) correspondiente al cierre del ejercicio fiscal 2025, incluyendo fecha de entrega, acuse de recibo y observaciones preliminares, en su caso. La información solicitada constituye información pública conforme a los artículos 12 y 92 de la Ley de Transparencia y Acceso a la Información Pública del Estado de México y Municipios. En caso de inexistencia de cualquiera de los documentos o información solicitada, se requiere el acta circunstanciada de inexistencia debidamente fundada y motivada, señalando el área responsable de su generación.</w:t>
      </w:r>
      <w:r w:rsidR="00B73D38" w:rsidRPr="00353388">
        <w:rPr>
          <w:rFonts w:ascii="Palatino Linotype" w:hAnsi="Palatino Linotype"/>
          <w:i/>
          <w:sz w:val="22"/>
          <w:szCs w:val="22"/>
        </w:rPr>
        <w:t>”</w:t>
      </w:r>
      <w:r w:rsidR="00482CD2" w:rsidRPr="00353388">
        <w:rPr>
          <w:rFonts w:ascii="Palatino Linotype" w:hAnsi="Palatino Linotype"/>
          <w:i/>
          <w:sz w:val="22"/>
          <w:szCs w:val="22"/>
        </w:rPr>
        <w:t xml:space="preserve"> </w:t>
      </w:r>
      <w:r w:rsidR="00A76F12" w:rsidRPr="00353388">
        <w:rPr>
          <w:rFonts w:ascii="Palatino Linotype" w:hAnsi="Palatino Linotype"/>
          <w:i/>
          <w:sz w:val="22"/>
          <w:szCs w:val="22"/>
        </w:rPr>
        <w:t>(Sic)</w:t>
      </w:r>
    </w:p>
    <w:p w14:paraId="0F87CB2C" w14:textId="77777777" w:rsidR="00532AE4" w:rsidRPr="00353388"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Modalidad elegida para la entrega de la información: </w:t>
      </w:r>
      <w:r w:rsidRPr="00353388">
        <w:rPr>
          <w:rFonts w:ascii="Palatino Linotype" w:eastAsia="Palatino Linotype" w:hAnsi="Palatino Linotype" w:cs="Palatino Linotype"/>
          <w:sz w:val="22"/>
          <w:szCs w:val="22"/>
        </w:rPr>
        <w:t>a través del SAIMEX.</w:t>
      </w:r>
    </w:p>
    <w:p w14:paraId="36A8F811"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353388" w:rsidRDefault="00D763D8">
      <w:pPr>
        <w:spacing w:line="360" w:lineRule="auto"/>
        <w:jc w:val="both"/>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 xml:space="preserve">2. </w:t>
      </w:r>
      <w:r w:rsidR="00A76F12" w:rsidRPr="00353388">
        <w:rPr>
          <w:rFonts w:ascii="Palatino Linotype" w:eastAsia="Palatino Linotype" w:hAnsi="Palatino Linotype" w:cs="Palatino Linotype"/>
          <w:b/>
          <w:sz w:val="22"/>
          <w:szCs w:val="22"/>
        </w:rPr>
        <w:t xml:space="preserve">Respuesta. </w:t>
      </w:r>
      <w:r w:rsidR="00A76F12" w:rsidRPr="00353388">
        <w:rPr>
          <w:rFonts w:ascii="Palatino Linotype" w:eastAsia="Palatino Linotype" w:hAnsi="Palatino Linotype" w:cs="Palatino Linotype"/>
          <w:sz w:val="22"/>
          <w:szCs w:val="22"/>
        </w:rPr>
        <w:t xml:space="preserve">El </w:t>
      </w:r>
      <w:r w:rsidR="00A76F12" w:rsidRPr="00353388">
        <w:rPr>
          <w:rFonts w:ascii="Palatino Linotype" w:eastAsia="Palatino Linotype" w:hAnsi="Palatino Linotype" w:cs="Palatino Linotype"/>
          <w:b/>
          <w:sz w:val="22"/>
          <w:szCs w:val="22"/>
        </w:rPr>
        <w:t xml:space="preserve">SUJETO OBLIGADO </w:t>
      </w:r>
      <w:r w:rsidR="00A76F12" w:rsidRPr="00353388">
        <w:rPr>
          <w:rFonts w:ascii="Palatino Linotype" w:eastAsia="Palatino Linotype" w:hAnsi="Palatino Linotype" w:cs="Palatino Linotype"/>
          <w:sz w:val="22"/>
          <w:szCs w:val="22"/>
        </w:rPr>
        <w:t xml:space="preserve">fue omiso en proporcionar respuesta. </w:t>
      </w:r>
    </w:p>
    <w:p w14:paraId="66730054"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64E077EC" w14:textId="238BB005" w:rsidR="00532AE4" w:rsidRPr="00353388" w:rsidRDefault="008869C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3</w:t>
      </w:r>
      <w:r w:rsidR="00A76F12" w:rsidRPr="00353388">
        <w:rPr>
          <w:rFonts w:ascii="Palatino Linotype" w:eastAsia="Palatino Linotype" w:hAnsi="Palatino Linotype" w:cs="Palatino Linotype"/>
          <w:b/>
          <w:sz w:val="22"/>
          <w:szCs w:val="22"/>
        </w:rPr>
        <w:t xml:space="preserve">. Interposición del recurso de revisión. </w:t>
      </w:r>
      <w:r w:rsidR="00A76F12" w:rsidRPr="00353388">
        <w:rPr>
          <w:rFonts w:ascii="Palatino Linotype" w:eastAsia="Palatino Linotype" w:hAnsi="Palatino Linotype" w:cs="Palatino Linotype"/>
          <w:sz w:val="22"/>
          <w:szCs w:val="22"/>
        </w:rPr>
        <w:t xml:space="preserve">Inconforme la parte solicitante con la falta de respuesta del </w:t>
      </w:r>
      <w:r w:rsidR="00A76F12" w:rsidRPr="00353388">
        <w:rPr>
          <w:rFonts w:ascii="Palatino Linotype" w:eastAsia="Palatino Linotype" w:hAnsi="Palatino Linotype" w:cs="Palatino Linotype"/>
          <w:b/>
          <w:sz w:val="22"/>
          <w:szCs w:val="22"/>
        </w:rPr>
        <w:t>SUJETO OBLIGADO</w:t>
      </w:r>
      <w:r w:rsidR="00A76F12" w:rsidRPr="00353388">
        <w:rPr>
          <w:rFonts w:ascii="Palatino Linotype" w:eastAsia="Palatino Linotype" w:hAnsi="Palatino Linotype" w:cs="Palatino Linotype"/>
          <w:sz w:val="22"/>
          <w:szCs w:val="22"/>
        </w:rPr>
        <w:t xml:space="preserve">, interpuso recurso de revisión a través del SAIMEX en fecha </w:t>
      </w:r>
      <w:r w:rsidR="00840BDB" w:rsidRPr="00353388">
        <w:rPr>
          <w:rFonts w:ascii="Palatino Linotype" w:eastAsia="Palatino Linotype" w:hAnsi="Palatino Linotype" w:cs="Palatino Linotype"/>
          <w:b/>
          <w:sz w:val="22"/>
          <w:szCs w:val="22"/>
        </w:rPr>
        <w:t>cinco</w:t>
      </w:r>
      <w:r w:rsidR="00D30503" w:rsidRPr="00353388">
        <w:rPr>
          <w:rFonts w:ascii="Palatino Linotype" w:eastAsia="Palatino Linotype" w:hAnsi="Palatino Linotype" w:cs="Palatino Linotype"/>
          <w:b/>
          <w:sz w:val="22"/>
          <w:szCs w:val="22"/>
        </w:rPr>
        <w:t xml:space="preserve"> </w:t>
      </w:r>
      <w:r w:rsidR="00BB00AB" w:rsidRPr="00353388">
        <w:rPr>
          <w:rFonts w:ascii="Palatino Linotype" w:eastAsia="Palatino Linotype" w:hAnsi="Palatino Linotype" w:cs="Palatino Linotype"/>
          <w:b/>
          <w:sz w:val="22"/>
          <w:szCs w:val="22"/>
        </w:rPr>
        <w:t>de febrero</w:t>
      </w:r>
      <w:r w:rsidR="006206CF" w:rsidRPr="00353388">
        <w:rPr>
          <w:rFonts w:ascii="Palatino Linotype" w:eastAsia="Palatino Linotype" w:hAnsi="Palatino Linotype" w:cs="Palatino Linotype"/>
          <w:b/>
          <w:sz w:val="22"/>
          <w:szCs w:val="22"/>
        </w:rPr>
        <w:t xml:space="preserve"> de dos mil veintiséis</w:t>
      </w:r>
      <w:r w:rsidR="00A76F12" w:rsidRPr="00353388">
        <w:rPr>
          <w:rFonts w:ascii="Palatino Linotype" w:eastAsia="Palatino Linotype" w:hAnsi="Palatino Linotype" w:cs="Palatino Linotype"/>
          <w:sz w:val="22"/>
          <w:szCs w:val="22"/>
        </w:rPr>
        <w:t>, expresando lo siguiente:</w:t>
      </w:r>
    </w:p>
    <w:p w14:paraId="126577AC"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59ACBA47" w14:textId="29EA28B0" w:rsidR="00532AE4" w:rsidRPr="00353388" w:rsidRDefault="00A76F12" w:rsidP="009D391B">
      <w:pPr>
        <w:spacing w:line="360"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sz w:val="22"/>
          <w:szCs w:val="22"/>
        </w:rPr>
        <w:t>a) Acto impugnado</w:t>
      </w:r>
      <w:r w:rsidRPr="00353388">
        <w:rPr>
          <w:rFonts w:ascii="Palatino Linotype" w:eastAsia="Palatino Linotype" w:hAnsi="Palatino Linotype" w:cs="Palatino Linotype"/>
          <w:b/>
          <w:i/>
          <w:sz w:val="22"/>
          <w:szCs w:val="22"/>
        </w:rPr>
        <w:t xml:space="preserve">. </w:t>
      </w:r>
      <w:r w:rsidR="00A27295" w:rsidRPr="00353388">
        <w:rPr>
          <w:rFonts w:ascii="Palatino Linotype" w:eastAsia="Palatino Linotype" w:hAnsi="Palatino Linotype" w:cs="Palatino Linotype"/>
          <w:i/>
          <w:sz w:val="22"/>
          <w:szCs w:val="22"/>
        </w:rPr>
        <w:t>“</w:t>
      </w:r>
      <w:r w:rsidR="00840BDB" w:rsidRPr="00353388">
        <w:rPr>
          <w:rFonts w:ascii="Palatino Linotype" w:eastAsia="Palatino Linotype" w:hAnsi="Palatino Linotype" w:cs="Palatino Linotype"/>
          <w:i/>
          <w:sz w:val="22"/>
          <w:szCs w:val="22"/>
        </w:rPr>
        <w:t xml:space="preserve">Solicito toda la información y documentación oficial relacionada con el cierre del ejercicio fiscal 2025 del Ayuntamiento de Tepotzotlán, incluyendo de manera enunciativa más no limitativa, lo siguiente: 1. Cierre presupuestal general Documento oficial de cierre del ejercicio fiscal 2025 que contenga el presupuesto aprobado, modificado, comprometido, devengado, ejercido, pagado y no ejercido, desglosado por capítulo, concepto y partida presupuestal, en formato digital editable. 2. Modificaciones presupuestales Relación completa de todas las ampliaciones, reducciones y transferencias presupuestales realizadas durante el ejercicio 2025, indicando fecha, monto, partidas de origen y destino, fundamento legal y copia de las actas de Cabildo, acuerdos o autorizaciones administrativas correspondientes. 3. Subejercicios Informe detallado de los subejercicios presupuestales del ejercicio 2025, especificando montos, partidas afectadas, justificación administrativa y legal, así como el destino final de los recursos no ejercidos. 4. Servicios personales Desglose completo del gasto ejercido en el Capítulo 1000 (Servicios Personales) durante el ejercicio 2025, incluyendo sueldos, salarios, aguinaldos, bonos, compensaciones, estímulos y cualquier otro pago extraordinario, indicando puesto, tipo de contratación y monto anual pagado. 5. Pagos extraordinarios de fin de año Informe detallado de pagos extraordinarios realizados durante los meses de noviembre y diciembre de 2025, especificando concepto, monto individual y total, servidores públicos beneficiados, fundamento legal y partida presupuestal de origen. 6. Contratos y proveedores Relación completa de todos los contratos celebrados durante el ejercicio 2025, indicando número de contrato, proveedor, objeto, monto contratado, monto pagado al cierre del ejercicio, procedimiento de adjudicación y partida presupuestal, adjuntando copia digital íntegra de cada contrato. 7. Pasivos y adeudos Informe de pasivos, adeudos y cuentas por pagar existentes al 31 de diciembre de 2025, indicando acreedor, concepto, monto, fecha de </w:t>
      </w:r>
      <w:r w:rsidR="00840BDB" w:rsidRPr="00353388">
        <w:rPr>
          <w:rFonts w:ascii="Palatino Linotype" w:eastAsia="Palatino Linotype" w:hAnsi="Palatino Linotype" w:cs="Palatino Linotype"/>
          <w:i/>
          <w:sz w:val="22"/>
          <w:szCs w:val="22"/>
        </w:rPr>
        <w:lastRenderedPageBreak/>
        <w:t>origen y justificación de no pago. 8. Obras públicas Relación de obras públicas del ejercicio 2025 que no hayan sido concluidas, especificando monto asignado, monto ejercido, avance físico y financiero, causas de la no conclusión y estatus actual del recurso. 9. Responsables del cierre Nombre, cargo y área de los servidores públicos responsables del cierre presupuestal del ejercicio 2025, incluyendo Tesorería Municipal, Dirección de Finanzas, Órgano Interno de Control y Presidencia Municipal. 10. Fiscalización Copia del expediente, informe o documentación entregada al Órgano Superior de Fiscalización del Estado de México (OSFEM) correspondiente al cierre del ejercicio fiscal 2025, incluyendo fecha de entrega, acuse de recibo y observaciones preliminares, en su caso. La información solicitada constituye información pública conforme a los artículos 12 y 92 de la Ley de Transparencia y Acceso a la Información Pública del Estado de México y Municipios. En caso de inexistencia de cualquiera de los documentos o información solicitada, se requiere el acta circunstanciada de inexistencia debidamente fundada y motivada, señalando el área responsable de su generación</w:t>
      </w:r>
      <w:r w:rsidR="001714E4" w:rsidRPr="00353388">
        <w:rPr>
          <w:rFonts w:ascii="Palatino Linotype" w:eastAsia="Palatino Linotype" w:hAnsi="Palatino Linotype" w:cs="Palatino Linotype"/>
          <w:i/>
          <w:sz w:val="22"/>
          <w:szCs w:val="22"/>
        </w:rPr>
        <w:t>.</w:t>
      </w:r>
      <w:r w:rsidR="006206CF" w:rsidRPr="00353388">
        <w:rPr>
          <w:rFonts w:ascii="Palatino Linotype" w:eastAsia="Palatino Linotype" w:hAnsi="Palatino Linotype" w:cs="Palatino Linotype"/>
          <w:i/>
          <w:sz w:val="22"/>
          <w:szCs w:val="22"/>
        </w:rPr>
        <w:t xml:space="preserve">” </w:t>
      </w:r>
      <w:r w:rsidRPr="00353388">
        <w:rPr>
          <w:rFonts w:ascii="Palatino Linotype" w:eastAsia="Palatino Linotype" w:hAnsi="Palatino Linotype" w:cs="Palatino Linotype"/>
          <w:i/>
          <w:sz w:val="22"/>
          <w:szCs w:val="22"/>
        </w:rPr>
        <w:t>(Sic)</w:t>
      </w:r>
    </w:p>
    <w:p w14:paraId="527329DB" w14:textId="77777777" w:rsidR="00532AE4" w:rsidRPr="00353388" w:rsidRDefault="00532AE4">
      <w:pPr>
        <w:spacing w:line="360" w:lineRule="auto"/>
        <w:ind w:left="567" w:right="616"/>
        <w:rPr>
          <w:rFonts w:ascii="Palatino Linotype" w:eastAsia="Palatino Linotype" w:hAnsi="Palatino Linotype" w:cs="Palatino Linotype"/>
          <w:b/>
          <w:sz w:val="22"/>
          <w:szCs w:val="22"/>
        </w:rPr>
      </w:pPr>
    </w:p>
    <w:p w14:paraId="27199E43" w14:textId="72DA3BC2" w:rsidR="00532AE4" w:rsidRPr="00353388" w:rsidRDefault="00A76F12">
      <w:pPr>
        <w:spacing w:line="360"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sz w:val="22"/>
          <w:szCs w:val="22"/>
        </w:rPr>
        <w:t xml:space="preserve">b) Motivos de inconformidad. </w:t>
      </w:r>
      <w:r w:rsidRPr="00353388">
        <w:rPr>
          <w:rFonts w:ascii="Palatino Linotype" w:eastAsia="Palatino Linotype" w:hAnsi="Palatino Linotype" w:cs="Palatino Linotype"/>
          <w:i/>
          <w:sz w:val="22"/>
          <w:szCs w:val="22"/>
        </w:rPr>
        <w:t>“</w:t>
      </w:r>
      <w:r w:rsidR="00840BDB" w:rsidRPr="00353388">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w:t>
      </w:r>
      <w:r w:rsidR="00840BDB" w:rsidRPr="00353388">
        <w:rPr>
          <w:rFonts w:ascii="Palatino Linotype" w:eastAsia="Palatino Linotype" w:hAnsi="Palatino Linotype" w:cs="Palatino Linotype"/>
          <w:i/>
          <w:sz w:val="22"/>
          <w:szCs w:val="22"/>
        </w:rPr>
        <w:lastRenderedPageBreak/>
        <w:t xml:space="preserve">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w:t>
      </w:r>
      <w:r w:rsidR="00840BDB" w:rsidRPr="00353388">
        <w:rPr>
          <w:rFonts w:ascii="Palatino Linotype" w:eastAsia="Palatino Linotype" w:hAnsi="Palatino Linotype" w:cs="Palatino Linotype"/>
          <w:i/>
          <w:sz w:val="22"/>
          <w:szCs w:val="22"/>
        </w:rPr>
        <w:lastRenderedPageBreak/>
        <w:t>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A27295" w:rsidRPr="00353388">
        <w:rPr>
          <w:rFonts w:ascii="Palatino Linotype" w:eastAsia="Palatino Linotype" w:hAnsi="Palatino Linotype" w:cs="Palatino Linotype"/>
          <w:i/>
          <w:sz w:val="22"/>
          <w:szCs w:val="22"/>
        </w:rPr>
        <w:t>”</w:t>
      </w:r>
      <w:r w:rsidRPr="00353388">
        <w:rPr>
          <w:rFonts w:ascii="Palatino Linotype" w:eastAsia="Palatino Linotype" w:hAnsi="Palatino Linotype" w:cs="Palatino Linotype"/>
          <w:i/>
          <w:sz w:val="22"/>
          <w:szCs w:val="22"/>
        </w:rPr>
        <w:t xml:space="preserve"> (Sic)</w:t>
      </w:r>
    </w:p>
    <w:p w14:paraId="1CD932CE" w14:textId="77777777" w:rsidR="00532AE4" w:rsidRPr="00353388"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353388" w:rsidRDefault="008869C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4</w:t>
      </w:r>
      <w:r w:rsidR="00A76F12" w:rsidRPr="00353388">
        <w:rPr>
          <w:rFonts w:ascii="Palatino Linotype" w:eastAsia="Palatino Linotype" w:hAnsi="Palatino Linotype" w:cs="Palatino Linotype"/>
          <w:b/>
          <w:sz w:val="22"/>
          <w:szCs w:val="22"/>
        </w:rPr>
        <w:t xml:space="preserve">. Turno. </w:t>
      </w:r>
      <w:r w:rsidR="00A76F12" w:rsidRPr="00353388">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353388">
        <w:rPr>
          <w:rFonts w:ascii="Palatino Linotype" w:eastAsia="Palatino Linotype" w:hAnsi="Palatino Linotype" w:cs="Palatino Linotype"/>
          <w:b/>
          <w:sz w:val="22"/>
          <w:szCs w:val="22"/>
        </w:rPr>
        <w:t>Guadalupe Ramírez Peña</w:t>
      </w:r>
      <w:r w:rsidR="00A76F12" w:rsidRPr="00353388">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6F47DF3C" w14:textId="00652703" w:rsidR="00532AE4" w:rsidRPr="00353388" w:rsidRDefault="008869C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5</w:t>
      </w:r>
      <w:r w:rsidR="00A76F12" w:rsidRPr="00353388">
        <w:rPr>
          <w:rFonts w:ascii="Palatino Linotype" w:eastAsia="Palatino Linotype" w:hAnsi="Palatino Linotype" w:cs="Palatino Linotype"/>
          <w:b/>
          <w:sz w:val="22"/>
          <w:szCs w:val="22"/>
        </w:rPr>
        <w:t xml:space="preserve">. Admisión. </w:t>
      </w:r>
      <w:r w:rsidR="000672C5" w:rsidRPr="00353388">
        <w:rPr>
          <w:rFonts w:ascii="Palatino Linotype" w:eastAsia="Palatino Linotype" w:hAnsi="Palatino Linotype" w:cs="Palatino Linotype"/>
          <w:sz w:val="22"/>
          <w:szCs w:val="22"/>
        </w:rPr>
        <w:t xml:space="preserve">En </w:t>
      </w:r>
      <w:r w:rsidR="00A8506B" w:rsidRPr="00353388">
        <w:rPr>
          <w:rFonts w:ascii="Palatino Linotype" w:eastAsia="Palatino Linotype" w:hAnsi="Palatino Linotype" w:cs="Palatino Linotype"/>
          <w:sz w:val="22"/>
          <w:szCs w:val="22"/>
        </w:rPr>
        <w:t xml:space="preserve">fecha </w:t>
      </w:r>
      <w:r w:rsidR="00705D5E" w:rsidRPr="00353388">
        <w:rPr>
          <w:rFonts w:ascii="Palatino Linotype" w:eastAsia="Palatino Linotype" w:hAnsi="Palatino Linotype" w:cs="Palatino Linotype"/>
          <w:b/>
          <w:sz w:val="22"/>
          <w:szCs w:val="22"/>
        </w:rPr>
        <w:t>seis</w:t>
      </w:r>
      <w:r w:rsidR="00EB171E" w:rsidRPr="00353388">
        <w:rPr>
          <w:rFonts w:ascii="Palatino Linotype" w:eastAsia="Palatino Linotype" w:hAnsi="Palatino Linotype" w:cs="Palatino Linotype"/>
          <w:b/>
          <w:sz w:val="22"/>
          <w:szCs w:val="22"/>
        </w:rPr>
        <w:t xml:space="preserve"> </w:t>
      </w:r>
      <w:r w:rsidR="00E818EA" w:rsidRPr="00353388">
        <w:rPr>
          <w:rFonts w:ascii="Palatino Linotype" w:eastAsia="Palatino Linotype" w:hAnsi="Palatino Linotype" w:cs="Palatino Linotype"/>
          <w:b/>
          <w:sz w:val="22"/>
          <w:szCs w:val="22"/>
        </w:rPr>
        <w:t>de febrero</w:t>
      </w:r>
      <w:r w:rsidR="006206CF" w:rsidRPr="00353388">
        <w:rPr>
          <w:rFonts w:ascii="Palatino Linotype" w:eastAsia="Palatino Linotype" w:hAnsi="Palatino Linotype" w:cs="Palatino Linotype"/>
          <w:b/>
          <w:sz w:val="22"/>
          <w:szCs w:val="22"/>
        </w:rPr>
        <w:t xml:space="preserve"> de dos mil veintiséis</w:t>
      </w:r>
      <w:r w:rsidR="00A8506B" w:rsidRPr="00353388">
        <w:rPr>
          <w:rFonts w:ascii="Palatino Linotype" w:eastAsia="Palatino Linotype" w:hAnsi="Palatino Linotype" w:cs="Palatino Linotype"/>
          <w:sz w:val="22"/>
          <w:szCs w:val="22"/>
        </w:rPr>
        <w:t>,</w:t>
      </w:r>
      <w:r w:rsidR="000E7889" w:rsidRPr="00353388">
        <w:rPr>
          <w:rFonts w:ascii="Palatino Linotype" w:eastAsia="Palatino Linotype" w:hAnsi="Palatino Linotype" w:cs="Palatino Linotype"/>
          <w:sz w:val="22"/>
          <w:szCs w:val="22"/>
        </w:rPr>
        <w:t xml:space="preserve"> </w:t>
      </w:r>
      <w:r w:rsidR="00A76F12" w:rsidRPr="00353388">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353388" w:rsidRDefault="008869C2">
      <w:pPr>
        <w:widowControl w:val="0"/>
        <w:spacing w:line="360" w:lineRule="auto"/>
        <w:ind w:right="49"/>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6</w:t>
      </w:r>
      <w:r w:rsidR="00A76F12" w:rsidRPr="00353388">
        <w:rPr>
          <w:rFonts w:ascii="Palatino Linotype" w:eastAsia="Palatino Linotype" w:hAnsi="Palatino Linotype" w:cs="Palatino Linotype"/>
          <w:b/>
          <w:sz w:val="22"/>
          <w:szCs w:val="22"/>
        </w:rPr>
        <w:t>. Manifestaciones</w:t>
      </w:r>
      <w:r w:rsidR="00A76F12" w:rsidRPr="00353388">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353388">
        <w:rPr>
          <w:rFonts w:ascii="Palatino Linotype" w:eastAsia="Palatino Linotype" w:hAnsi="Palatino Linotype" w:cs="Palatino Linotype"/>
          <w:sz w:val="22"/>
          <w:szCs w:val="22"/>
        </w:rPr>
        <w:t>.</w:t>
      </w:r>
      <w:r w:rsidR="00EE0A87" w:rsidRPr="00353388">
        <w:rPr>
          <w:rFonts w:ascii="Palatino Linotype" w:eastAsia="Palatino Linotype" w:hAnsi="Palatino Linotype" w:cs="Palatino Linotype"/>
          <w:sz w:val="22"/>
          <w:szCs w:val="22"/>
        </w:rPr>
        <w:t xml:space="preserve"> </w:t>
      </w:r>
    </w:p>
    <w:p w14:paraId="43964EDF" w14:textId="77777777" w:rsidR="00705D5E" w:rsidRPr="00353388" w:rsidRDefault="00705D5E">
      <w:pPr>
        <w:widowControl w:val="0"/>
        <w:spacing w:line="360" w:lineRule="auto"/>
        <w:ind w:right="49"/>
        <w:jc w:val="both"/>
        <w:rPr>
          <w:rFonts w:ascii="Palatino Linotype" w:eastAsia="Palatino Linotype" w:hAnsi="Palatino Linotype" w:cs="Palatino Linotype"/>
          <w:sz w:val="22"/>
          <w:szCs w:val="22"/>
        </w:rPr>
      </w:pPr>
    </w:p>
    <w:p w14:paraId="1B5068E8" w14:textId="7A2DDBFD" w:rsidR="005D399E" w:rsidRPr="00353388" w:rsidRDefault="005D399E">
      <w:pPr>
        <w:widowControl w:val="0"/>
        <w:spacing w:line="360" w:lineRule="auto"/>
        <w:ind w:right="49"/>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noProof/>
          <w:sz w:val="22"/>
          <w:szCs w:val="22"/>
          <w:lang w:val="es-MX"/>
        </w:rPr>
        <w:drawing>
          <wp:inline distT="0" distB="0" distL="0" distR="0" wp14:anchorId="4C5D7A50" wp14:editId="6BD8A07A">
            <wp:extent cx="5612130" cy="13970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397000"/>
                    </a:xfrm>
                    <a:prstGeom prst="rect">
                      <a:avLst/>
                    </a:prstGeom>
                  </pic:spPr>
                </pic:pic>
              </a:graphicData>
            </a:graphic>
          </wp:inline>
        </w:drawing>
      </w:r>
    </w:p>
    <w:p w14:paraId="10A63352" w14:textId="709166B9" w:rsidR="00822DCA" w:rsidRPr="00353388" w:rsidRDefault="00822DCA">
      <w:pPr>
        <w:widowControl w:val="0"/>
        <w:spacing w:line="360" w:lineRule="auto"/>
        <w:ind w:right="49"/>
        <w:jc w:val="both"/>
        <w:rPr>
          <w:rFonts w:ascii="Palatino Linotype" w:eastAsia="Palatino Linotype" w:hAnsi="Palatino Linotype" w:cs="Palatino Linotype"/>
          <w:sz w:val="22"/>
          <w:szCs w:val="22"/>
        </w:rPr>
      </w:pPr>
    </w:p>
    <w:p w14:paraId="48C98914" w14:textId="5C1F712D" w:rsidR="006206CF" w:rsidRPr="00353388" w:rsidRDefault="006206CF">
      <w:pPr>
        <w:spacing w:line="360" w:lineRule="auto"/>
        <w:jc w:val="both"/>
        <w:rPr>
          <w:rFonts w:ascii="Palatino Linotype" w:eastAsia="Palatino Linotype" w:hAnsi="Palatino Linotype" w:cs="Palatino Linotype"/>
          <w:sz w:val="22"/>
          <w:szCs w:val="22"/>
        </w:rPr>
      </w:pPr>
    </w:p>
    <w:p w14:paraId="2DD31F10" w14:textId="78F48776" w:rsidR="00532AE4" w:rsidRPr="00353388" w:rsidRDefault="008869C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7</w:t>
      </w:r>
      <w:r w:rsidR="00A76F12" w:rsidRPr="00353388">
        <w:rPr>
          <w:rFonts w:ascii="Palatino Linotype" w:eastAsia="Palatino Linotype" w:hAnsi="Palatino Linotype" w:cs="Palatino Linotype"/>
          <w:b/>
          <w:sz w:val="22"/>
          <w:szCs w:val="22"/>
        </w:rPr>
        <w:t xml:space="preserve">. Cierre de instrucción. </w:t>
      </w:r>
      <w:r w:rsidR="00A76F12" w:rsidRPr="0035338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B00AB" w:rsidRPr="00353388">
        <w:rPr>
          <w:rFonts w:ascii="Palatino Linotype" w:eastAsia="Palatino Linotype" w:hAnsi="Palatino Linotype" w:cs="Palatino Linotype"/>
          <w:b/>
          <w:sz w:val="22"/>
          <w:szCs w:val="22"/>
        </w:rPr>
        <w:t>dieciocho</w:t>
      </w:r>
      <w:r w:rsidR="00D30503" w:rsidRPr="00353388">
        <w:rPr>
          <w:rFonts w:ascii="Palatino Linotype" w:eastAsia="Palatino Linotype" w:hAnsi="Palatino Linotype" w:cs="Palatino Linotype"/>
          <w:b/>
          <w:sz w:val="22"/>
          <w:szCs w:val="22"/>
        </w:rPr>
        <w:t xml:space="preserve"> </w:t>
      </w:r>
      <w:r w:rsidR="006206CF" w:rsidRPr="00353388">
        <w:rPr>
          <w:rFonts w:ascii="Palatino Linotype" w:eastAsia="Palatino Linotype" w:hAnsi="Palatino Linotype" w:cs="Palatino Linotype"/>
          <w:b/>
          <w:sz w:val="22"/>
          <w:szCs w:val="22"/>
        </w:rPr>
        <w:t>de febrero</w:t>
      </w:r>
      <w:r w:rsidR="00EE0A87" w:rsidRPr="00353388">
        <w:rPr>
          <w:rFonts w:ascii="Palatino Linotype" w:eastAsia="Palatino Linotype" w:hAnsi="Palatino Linotype" w:cs="Palatino Linotype"/>
          <w:b/>
          <w:sz w:val="22"/>
          <w:szCs w:val="22"/>
        </w:rPr>
        <w:t xml:space="preserve"> de dos mil veintiséis</w:t>
      </w:r>
      <w:r w:rsidR="00A76F12" w:rsidRPr="00353388">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353388"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353388" w:rsidRDefault="00A76F12">
      <w:pPr>
        <w:widowControl w:val="0"/>
        <w:spacing w:line="360" w:lineRule="auto"/>
        <w:jc w:val="center"/>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II. C O N S I D E R A N D O S</w:t>
      </w:r>
    </w:p>
    <w:p w14:paraId="04E1DD04" w14:textId="77777777" w:rsidR="00532AE4" w:rsidRPr="00353388"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353388" w:rsidRDefault="00A76F12" w:rsidP="005231DC">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Primero. Competencia.</w:t>
      </w:r>
      <w:r w:rsidRPr="0035338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353388">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353388">
        <w:rPr>
          <w:rFonts w:ascii="Palatino Linotype" w:eastAsia="Palatino Linotype" w:hAnsi="Palatino Linotype" w:cs="Palatino Linotype"/>
          <w:sz w:val="22"/>
          <w:szCs w:val="22"/>
        </w:rPr>
        <w:t>;</w:t>
      </w:r>
      <w:r w:rsidR="005231DC" w:rsidRPr="00353388">
        <w:rPr>
          <w:rFonts w:ascii="Palatino Linotype" w:eastAsia="Palatino Linotype" w:hAnsi="Palatino Linotype" w:cs="Palatino Linotype"/>
          <w:sz w:val="22"/>
          <w:szCs w:val="22"/>
        </w:rPr>
        <w:t xml:space="preserve"> </w:t>
      </w:r>
      <w:r w:rsidRPr="00353388">
        <w:rPr>
          <w:rFonts w:ascii="Palatino Linotype" w:eastAsia="Palatino Linotype" w:hAnsi="Palatino Linotype" w:cs="Palatino Linotype"/>
          <w:sz w:val="22"/>
          <w:szCs w:val="22"/>
        </w:rPr>
        <w:t xml:space="preserve">1, 2, fracción II; 13, 29, 36, fracciones I y II; 176, 178, 179, 181 párrafo tercero y 185 de la Ley Transparencia y Acceso a la Información Pública del Estado de México y Municipios; 9, fracciones I y XXIII y 11 del Reglamento Interior del Instituto de </w:t>
      </w:r>
      <w:r w:rsidRPr="00353388">
        <w:rPr>
          <w:rFonts w:ascii="Palatino Linotype" w:eastAsia="Palatino Linotype" w:hAnsi="Palatino Linotype" w:cs="Palatino Linotype"/>
          <w:sz w:val="22"/>
          <w:szCs w:val="22"/>
        </w:rPr>
        <w:lastRenderedPageBreak/>
        <w:t>Transparencia, Acceso a la Información Pública y Protección de Datos Personales del Estado de México y Municipios.</w:t>
      </w:r>
    </w:p>
    <w:p w14:paraId="11148092"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Segundo. Oportunidad y Procedibilidad del Recurso de Revisión. </w:t>
      </w:r>
      <w:r w:rsidRPr="00353388">
        <w:rPr>
          <w:rFonts w:ascii="Palatino Linotype" w:eastAsia="Palatino Linotype" w:hAnsi="Palatino Linotype" w:cs="Palatino Linotype"/>
          <w:sz w:val="22"/>
          <w:szCs w:val="22"/>
        </w:rPr>
        <w:t>Por cuanto hace a la oportunidad del recurso de revisión</w:t>
      </w:r>
      <w:r w:rsidRPr="00353388">
        <w:rPr>
          <w:rFonts w:ascii="Palatino Linotype" w:eastAsia="Palatino Linotype" w:hAnsi="Palatino Linotype" w:cs="Palatino Linotype"/>
          <w:b/>
          <w:sz w:val="22"/>
          <w:szCs w:val="22"/>
        </w:rPr>
        <w:t xml:space="preserve"> </w:t>
      </w:r>
      <w:r w:rsidRPr="00353388">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Derivado de lo anterior, se constituye la figura jurídica de la </w:t>
      </w:r>
      <w:r w:rsidRPr="00353388">
        <w:rPr>
          <w:rFonts w:ascii="Palatino Linotype" w:eastAsia="Palatino Linotype" w:hAnsi="Palatino Linotype" w:cs="Palatino Linotype"/>
          <w:b/>
          <w:sz w:val="22"/>
          <w:szCs w:val="22"/>
        </w:rPr>
        <w:t>NEGATIVA FICTA</w:t>
      </w:r>
      <w:r w:rsidRPr="00353388">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De tal manera, en el presente recurso de revisión se actualizó la negativa ficta por parte del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al no haber respondido a la parte </w:t>
      </w:r>
      <w:r w:rsidRPr="00353388">
        <w:rPr>
          <w:rFonts w:ascii="Palatino Linotype" w:eastAsia="Palatino Linotype" w:hAnsi="Palatino Linotype" w:cs="Palatino Linotype"/>
          <w:b/>
          <w:sz w:val="22"/>
          <w:szCs w:val="22"/>
        </w:rPr>
        <w:t>RECURRENTE</w:t>
      </w:r>
      <w:r w:rsidRPr="00353388">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lastRenderedPageBreak/>
        <w:t>Si a ello se le suma lo previsto en el párrafo segundo del artículo 178, párrafo segundo</w:t>
      </w:r>
      <w:r w:rsidRPr="00353388">
        <w:rPr>
          <w:rFonts w:ascii="Palatino Linotype" w:eastAsia="Palatino Linotype" w:hAnsi="Palatino Linotype" w:cs="Palatino Linotype"/>
          <w:sz w:val="22"/>
          <w:szCs w:val="22"/>
          <w:vertAlign w:val="superscript"/>
        </w:rPr>
        <w:footnoteReference w:id="1"/>
      </w:r>
      <w:r w:rsidRPr="00353388">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353388"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353388" w:rsidRDefault="00A76F12">
      <w:pPr>
        <w:ind w:left="567" w:right="616"/>
        <w:jc w:val="both"/>
        <w:rPr>
          <w:rFonts w:ascii="Palatino Linotype" w:eastAsia="Palatino Linotype" w:hAnsi="Palatino Linotype" w:cs="Palatino Linotype"/>
          <w:b/>
          <w:i/>
          <w:sz w:val="22"/>
          <w:szCs w:val="22"/>
        </w:rPr>
      </w:pPr>
      <w:r w:rsidRPr="00353388">
        <w:rPr>
          <w:rFonts w:ascii="Palatino Linotype" w:eastAsia="Palatino Linotype" w:hAnsi="Palatino Linotype" w:cs="Palatino Linotype"/>
          <w:i/>
          <w:sz w:val="22"/>
          <w:szCs w:val="22"/>
        </w:rPr>
        <w:t>“</w:t>
      </w:r>
      <w:r w:rsidRPr="00353388">
        <w:rPr>
          <w:rFonts w:ascii="Palatino Linotype" w:eastAsia="Palatino Linotype" w:hAnsi="Palatino Linotype" w:cs="Palatino Linotype"/>
          <w:b/>
          <w:i/>
          <w:sz w:val="22"/>
          <w:szCs w:val="22"/>
        </w:rPr>
        <w:t>CRITERIO 0001-15 NEGATIVA FICTA. PLAZO PARA INTERPONER EL RECURSO DE REVISIÓN TRATÁNDOSE DE</w:t>
      </w:r>
      <w:r w:rsidRPr="00353388">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353388"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353388"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lastRenderedPageBreak/>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353388">
        <w:rPr>
          <w:rFonts w:ascii="Palatino Linotype" w:eastAsia="Palatino Linotype" w:hAnsi="Palatino Linotype" w:cs="Palatino Linotype"/>
          <w:b/>
          <w:sz w:val="22"/>
          <w:szCs w:val="22"/>
        </w:rPr>
        <w:t>EL</w:t>
      </w:r>
      <w:r w:rsidRPr="00353388">
        <w:rPr>
          <w:rFonts w:ascii="Palatino Linotype" w:eastAsia="Palatino Linotype" w:hAnsi="Palatino Linotype" w:cs="Palatino Linotype"/>
          <w:sz w:val="22"/>
          <w:szCs w:val="22"/>
        </w:rPr>
        <w:t xml:space="preserve"> </w:t>
      </w:r>
      <w:r w:rsidRPr="00353388">
        <w:rPr>
          <w:rFonts w:ascii="Palatino Linotype" w:eastAsia="Palatino Linotype" w:hAnsi="Palatino Linotype" w:cs="Palatino Linotype"/>
          <w:b/>
          <w:sz w:val="22"/>
          <w:szCs w:val="22"/>
        </w:rPr>
        <w:t>SAIMEX</w:t>
      </w:r>
      <w:r w:rsidRPr="00353388">
        <w:rPr>
          <w:rFonts w:ascii="Palatino Linotype" w:eastAsia="Palatino Linotype" w:hAnsi="Palatino Linotype" w:cs="Palatino Linotype"/>
          <w:sz w:val="22"/>
          <w:szCs w:val="22"/>
        </w:rPr>
        <w:t>.</w:t>
      </w:r>
    </w:p>
    <w:p w14:paraId="1C27DB56" w14:textId="40163621" w:rsidR="00B503D1" w:rsidRPr="00353388"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353388">
        <w:rPr>
          <w:rFonts w:ascii="Palatino Linotype" w:eastAsia="Palatino Linotype" w:hAnsi="Palatino Linotype" w:cs="Palatino Linotype"/>
          <w:b/>
          <w:sz w:val="22"/>
          <w:szCs w:val="22"/>
        </w:rPr>
        <w:t>RECURRENTE</w:t>
      </w:r>
      <w:r w:rsidRPr="00353388">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353388" w:rsidRDefault="00A76F12">
      <w:pPr>
        <w:ind w:left="567" w:right="616"/>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i/>
          <w:sz w:val="22"/>
          <w:szCs w:val="22"/>
        </w:rPr>
        <w:t>“</w:t>
      </w:r>
      <w:r w:rsidRPr="00353388">
        <w:rPr>
          <w:rFonts w:ascii="Palatino Linotype" w:eastAsia="Palatino Linotype" w:hAnsi="Palatino Linotype" w:cs="Palatino Linotype"/>
          <w:b/>
          <w:sz w:val="22"/>
          <w:szCs w:val="22"/>
        </w:rPr>
        <w:t>Artículo 179.</w:t>
      </w:r>
      <w:r w:rsidRPr="00353388">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353388">
        <w:rPr>
          <w:rFonts w:ascii="Palatino Linotype" w:eastAsia="Palatino Linotype" w:hAnsi="Palatino Linotype" w:cs="Palatino Linotype"/>
          <w:sz w:val="22"/>
          <w:szCs w:val="22"/>
        </w:rPr>
        <w:t> </w:t>
      </w:r>
    </w:p>
    <w:p w14:paraId="7ACAE181" w14:textId="77777777" w:rsidR="00532AE4" w:rsidRPr="00353388" w:rsidRDefault="00A76F12">
      <w:pPr>
        <w:ind w:left="567" w:right="616"/>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w:t>
      </w:r>
    </w:p>
    <w:p w14:paraId="543A0FF7" w14:textId="77777777" w:rsidR="00532AE4" w:rsidRPr="00353388" w:rsidRDefault="00A76F12">
      <w:pPr>
        <w:numPr>
          <w:ilvl w:val="0"/>
          <w:numId w:val="4"/>
        </w:numPr>
        <w:ind w:left="567" w:right="616" w:firstLine="0"/>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353388"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353388" w:rsidRDefault="00A76F12">
      <w:pPr>
        <w:tabs>
          <w:tab w:val="left" w:pos="8647"/>
        </w:tabs>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Tercero. Materia de la revisión. </w:t>
      </w:r>
      <w:r w:rsidRPr="00353388">
        <w:rPr>
          <w:rFonts w:ascii="Palatino Linotype" w:eastAsia="Palatino Linotype" w:hAnsi="Palatino Linotype" w:cs="Palatino Linotype"/>
          <w:sz w:val="22"/>
          <w:szCs w:val="22"/>
        </w:rPr>
        <w:t xml:space="preserve">Este Organismo Garante procede del análisis de los agravios hechos valer por la parte </w:t>
      </w:r>
      <w:r w:rsidRPr="00353388">
        <w:rPr>
          <w:rFonts w:ascii="Palatino Linotype" w:eastAsia="Palatino Linotype" w:hAnsi="Palatino Linotype" w:cs="Palatino Linotype"/>
          <w:b/>
          <w:sz w:val="22"/>
          <w:szCs w:val="22"/>
        </w:rPr>
        <w:t>Recurrente</w:t>
      </w:r>
      <w:r w:rsidRPr="00353388">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353388"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Cuarto. Estudio del asunto. </w:t>
      </w:r>
      <w:r w:rsidRPr="00353388">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353388">
        <w:rPr>
          <w:rFonts w:ascii="Palatino Linotype" w:eastAsia="Palatino Linotype" w:hAnsi="Palatino Linotype" w:cs="Palatino Linotype"/>
          <w:b/>
          <w:sz w:val="22"/>
          <w:szCs w:val="22"/>
        </w:rPr>
        <w:t xml:space="preserve">Sujeto Obligado </w:t>
      </w:r>
      <w:r w:rsidRPr="00353388">
        <w:rPr>
          <w:rFonts w:ascii="Palatino Linotype" w:eastAsia="Palatino Linotype" w:hAnsi="Palatino Linotype" w:cs="Palatino Linotype"/>
          <w:sz w:val="22"/>
          <w:szCs w:val="22"/>
        </w:rPr>
        <w:t xml:space="preserve">no dio respuesta a la solicitud de información planteada por la parte </w:t>
      </w:r>
      <w:r w:rsidRPr="00353388">
        <w:rPr>
          <w:rFonts w:ascii="Palatino Linotype" w:eastAsia="Palatino Linotype" w:hAnsi="Palatino Linotype" w:cs="Palatino Linotype"/>
          <w:b/>
          <w:sz w:val="22"/>
          <w:szCs w:val="22"/>
        </w:rPr>
        <w:t>Recurrente</w:t>
      </w:r>
      <w:r w:rsidRPr="00353388">
        <w:rPr>
          <w:rFonts w:ascii="Palatino Linotype" w:eastAsia="Palatino Linotype" w:hAnsi="Palatino Linotype" w:cs="Palatino Linotype"/>
          <w:sz w:val="22"/>
          <w:szCs w:val="22"/>
        </w:rPr>
        <w:t xml:space="preserve">, lo que se traduce como la configuración de la </w:t>
      </w:r>
      <w:r w:rsidRPr="00353388">
        <w:rPr>
          <w:rFonts w:ascii="Palatino Linotype" w:eastAsia="Palatino Linotype" w:hAnsi="Palatino Linotype" w:cs="Palatino Linotype"/>
          <w:b/>
          <w:sz w:val="22"/>
          <w:szCs w:val="22"/>
        </w:rPr>
        <w:t>negativa ficta</w:t>
      </w:r>
      <w:r w:rsidRPr="00353388">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353388">
        <w:rPr>
          <w:rFonts w:ascii="Palatino Linotype" w:eastAsia="Palatino Linotype" w:hAnsi="Palatino Linotype" w:cs="Palatino Linotype"/>
          <w:b/>
          <w:sz w:val="22"/>
          <w:szCs w:val="22"/>
        </w:rPr>
        <w:t>Recurrente</w:t>
      </w:r>
      <w:r w:rsidRPr="00353388">
        <w:rPr>
          <w:rFonts w:ascii="Palatino Linotype" w:eastAsia="Palatino Linotype" w:hAnsi="Palatino Linotype" w:cs="Palatino Linotype"/>
          <w:sz w:val="22"/>
          <w:szCs w:val="22"/>
        </w:rPr>
        <w:t xml:space="preserve">, se advierte que requirió al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353388"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1152C4DA" w14:textId="77777777" w:rsidR="005D399E" w:rsidRPr="00353388" w:rsidRDefault="005D399E" w:rsidP="005D399E">
      <w:pPr>
        <w:pBdr>
          <w:top w:val="nil"/>
          <w:left w:val="nil"/>
          <w:bottom w:val="nil"/>
          <w:right w:val="nil"/>
          <w:between w:val="nil"/>
        </w:pBdr>
        <w:spacing w:line="360" w:lineRule="auto"/>
        <w:ind w:left="720"/>
        <w:jc w:val="both"/>
        <w:rPr>
          <w:rFonts w:ascii="Palatino Linotype" w:hAnsi="Palatino Linotype"/>
          <w:i/>
          <w:sz w:val="22"/>
          <w:szCs w:val="22"/>
        </w:rPr>
      </w:pPr>
      <w:r w:rsidRPr="00353388">
        <w:rPr>
          <w:rFonts w:ascii="Palatino Linotype" w:hAnsi="Palatino Linotype"/>
          <w:i/>
          <w:sz w:val="22"/>
          <w:szCs w:val="22"/>
        </w:rPr>
        <w:t xml:space="preserve">“Solicito toda la información y documentación oficial relacionada con el cierre del ejercicio fiscal 2025 del Ayuntamiento de Tepotzotlán, incluyendo de manera enunciativa más no limitativa, lo siguiente: 1. Cierre presupuestal general Documento oficial de cierre del ejercicio fiscal 2025 que contenga el presupuesto aprobado, modificado, comprometido, devengado, ejercido, pagado y no ejercido, desglosado por capítulo, concepto y partida presupuestal, en formato digital editable. 2. Modificaciones presupuestales Relación completa de todas las ampliaciones, reducciones y transferencias presupuestales realizadas durante el ejercicio 2025, indicando fecha, monto, partidas de origen y destino, fundamento legal y copia de las actas de Cabildo, acuerdos o autorizaciones administrativas correspondientes. 3. Subejercicios Informe detallado de los subejercicios presupuestales del ejercicio 2025, especificando montos, partidas afectadas, justificación administrativa y legal, así como el destino final de los recursos no ejercidos. 4. Servicios personales Desglose completo del gasto ejercido en el Capítulo 1000 (Servicios Personales) durante el ejercicio 2025, incluyendo sueldos, salarios, aguinaldos, bonos, compensaciones, estímulos y cualquier otro pago extraordinario, indicando puesto, tipo de contratación y monto anual pagado. 5. Pagos extraordinarios de fin de año Informe detallado de pagos extraordinarios realizados durante los meses de noviembre y diciembre de 2025, especificando concepto, monto individual y total, servidores públicos beneficiados, fundamento legal y partida presupuestal de origen. 6. Contratos y proveedores Relación completa de todos los contratos celebrados durante el ejercicio 2025, indicando número de contrato, proveedor, objeto, monto contratado, monto </w:t>
      </w:r>
      <w:r w:rsidRPr="00353388">
        <w:rPr>
          <w:rFonts w:ascii="Palatino Linotype" w:hAnsi="Palatino Linotype"/>
          <w:i/>
          <w:sz w:val="22"/>
          <w:szCs w:val="22"/>
        </w:rPr>
        <w:lastRenderedPageBreak/>
        <w:t>pagado al cierre del ejercicio, procedimiento de adjudicación y partida presupuestal, adjuntando copia digital íntegra de cada contrato. 7. Pasivos y adeudos Informe de pasivos, adeudos y cuentas por pagar existentes al 31 de diciembre de 2025, indicando acreedor, concepto, monto, fecha de origen y justificación de no pago. 8. Obras públicas Relación de obras públicas del ejercicio 2025 que no hayan sido concluidas, especificando monto asignado, monto ejercido, avance físico y financiero, causas de la no conclusión y estatus actual del recurso. 9. Responsables del cierre Nombre, cargo y área de los servidores públicos responsables del cierre presupuestal del ejercicio 2025, incluyendo Tesorería Municipal, Dirección de Finanzas, Órgano Interno de Control y Presidencia Municipal. 10. Fiscalización Copia del expediente, informe o documentación entregada al Órgano Superior de Fiscalización del Estado de México (OSFEM) correspondiente al cierre del ejercicio fiscal 2025, incluyendo fecha de entrega, acuse de recibo y observaciones preliminares, en su caso. La información solicitada constituye información pública conforme a los artículos 12 y 92 de la Ley de Transparencia y Acceso a la Información Pública del Estado de México y Municipios. En caso de inexistencia de cualquiera de los documentos o información solicitada, se requiere el acta circunstanciada de inexistencia debidamente fundada y motivada, señalando el área responsable de su generación.” (Sic)</w:t>
      </w:r>
    </w:p>
    <w:p w14:paraId="4BE46D97" w14:textId="77777777" w:rsidR="00532AE4" w:rsidRPr="00353388"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353388" w:rsidRDefault="00A76F12">
      <w:pPr>
        <w:tabs>
          <w:tab w:val="left" w:pos="709"/>
        </w:tabs>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353388"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353388"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353388">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353388"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353388">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353388"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353388">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353388"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w:t>
      </w:r>
    </w:p>
    <w:p w14:paraId="54E0C206" w14:textId="77777777" w:rsidR="00532AE4" w:rsidRPr="00353388" w:rsidRDefault="00A76F12">
      <w:pPr>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“Artículo 6o.</w:t>
      </w:r>
    </w:p>
    <w:p w14:paraId="4D803AB1" w14:textId="77777777" w:rsidR="00532AE4" w:rsidRPr="00353388" w:rsidRDefault="00A76F12">
      <w:pPr>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w:t>
      </w:r>
    </w:p>
    <w:p w14:paraId="4B588253" w14:textId="77777777" w:rsidR="00532AE4" w:rsidRPr="00353388" w:rsidRDefault="00A76F12">
      <w:pPr>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A. Para el ejercicio del derecho de acceso a la información, la Federación y </w:t>
      </w:r>
      <w:r w:rsidRPr="00353388">
        <w:rPr>
          <w:rFonts w:ascii="Palatino Linotype" w:eastAsia="Palatino Linotype" w:hAnsi="Palatino Linotype" w:cs="Palatino Linotype"/>
          <w:b/>
          <w:i/>
          <w:sz w:val="22"/>
          <w:szCs w:val="22"/>
          <w:u w:val="single"/>
        </w:rPr>
        <w:t>las entidades federativas</w:t>
      </w:r>
      <w:r w:rsidRPr="00353388">
        <w:rPr>
          <w:rFonts w:ascii="Palatino Linotype" w:eastAsia="Palatino Linotype" w:hAnsi="Palatino Linotype" w:cs="Palatino Linotype"/>
          <w:b/>
          <w:i/>
          <w:sz w:val="22"/>
          <w:szCs w:val="22"/>
        </w:rPr>
        <w:t>,</w:t>
      </w:r>
      <w:r w:rsidRPr="00353388">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353388" w:rsidRDefault="00A76F12">
      <w:pPr>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 </w:t>
      </w:r>
      <w:r w:rsidRPr="00353388">
        <w:rPr>
          <w:rFonts w:ascii="Palatino Linotype" w:eastAsia="Palatino Linotype" w:hAnsi="Palatino Linotype" w:cs="Palatino Linotype"/>
          <w:b/>
          <w:i/>
          <w:sz w:val="22"/>
          <w:szCs w:val="22"/>
          <w:u w:val="single"/>
        </w:rPr>
        <w:t>Toda la información en posesión de cualquier autoridad, entidad, órgano y organismo de los Poderes</w:t>
      </w:r>
      <w:r w:rsidRPr="00353388">
        <w:rPr>
          <w:rFonts w:ascii="Palatino Linotype" w:eastAsia="Palatino Linotype" w:hAnsi="Palatino Linotype" w:cs="Palatino Linotype"/>
          <w:i/>
          <w:sz w:val="22"/>
          <w:szCs w:val="22"/>
        </w:rPr>
        <w:t xml:space="preserve"> Ejecutivo, Legislativo </w:t>
      </w:r>
      <w:r w:rsidRPr="00353388">
        <w:rPr>
          <w:rFonts w:ascii="Palatino Linotype" w:eastAsia="Palatino Linotype" w:hAnsi="Palatino Linotype" w:cs="Palatino Linotype"/>
          <w:b/>
          <w:i/>
          <w:sz w:val="22"/>
          <w:szCs w:val="22"/>
          <w:u w:val="single"/>
        </w:rPr>
        <w:t>y Judicial</w:t>
      </w:r>
      <w:r w:rsidRPr="00353388">
        <w:rPr>
          <w:rFonts w:ascii="Palatino Linotype" w:eastAsia="Palatino Linotype" w:hAnsi="Palatino Linotype" w:cs="Palatino Linotype"/>
          <w:i/>
          <w:sz w:val="22"/>
          <w:szCs w:val="22"/>
        </w:rPr>
        <w:t xml:space="preserve">, órganos autónomos, </w:t>
      </w:r>
      <w:r w:rsidRPr="00353388">
        <w:rPr>
          <w:rFonts w:ascii="Palatino Linotype" w:eastAsia="Palatino Linotype" w:hAnsi="Palatino Linotype" w:cs="Palatino Linotype"/>
          <w:i/>
          <w:sz w:val="22"/>
          <w:szCs w:val="22"/>
        </w:rPr>
        <w:lastRenderedPageBreak/>
        <w:t xml:space="preserve">partidos políticos, fideicomisos y fondos públicos, así como de cualquier persona física, moral o sindicato que reciba y ejerza recursos públicos o realice actos de autoridad en el ámbito federal, estatal y municipal, </w:t>
      </w:r>
      <w:r w:rsidRPr="00353388">
        <w:rPr>
          <w:rFonts w:ascii="Palatino Linotype" w:eastAsia="Palatino Linotype" w:hAnsi="Palatino Linotype" w:cs="Palatino Linotype"/>
          <w:b/>
          <w:i/>
          <w:sz w:val="22"/>
          <w:szCs w:val="22"/>
        </w:rPr>
        <w:t>es pública y sólo podrá ser reservada temporalmente por razones de interés público y seguridad nacional,</w:t>
      </w:r>
      <w:r w:rsidRPr="00353388">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353388" w:rsidRDefault="00A76F12">
      <w:pPr>
        <w:spacing w:line="276" w:lineRule="auto"/>
        <w:ind w:left="567" w:right="851"/>
        <w:jc w:val="both"/>
        <w:rPr>
          <w:rFonts w:ascii="Palatino Linotype" w:eastAsia="Palatino Linotype" w:hAnsi="Palatino Linotype" w:cs="Palatino Linotype"/>
          <w:b/>
          <w:i/>
          <w:sz w:val="22"/>
          <w:szCs w:val="22"/>
        </w:rPr>
      </w:pPr>
      <w:r w:rsidRPr="00353388">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353388" w:rsidRDefault="00A76F12">
      <w:pPr>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III. </w:t>
      </w:r>
      <w:r w:rsidRPr="00353388">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353388">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353388" w:rsidRDefault="00A76F12">
      <w:pPr>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IV.</w:t>
      </w:r>
      <w:r w:rsidRPr="00353388">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353388" w:rsidRDefault="00A76F12">
      <w:pPr>
        <w:spacing w:line="276" w:lineRule="auto"/>
        <w:ind w:left="567" w:right="851"/>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V. </w:t>
      </w:r>
      <w:r w:rsidRPr="00353388">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353388"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353388"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353388" w:rsidRDefault="00A76F12">
      <w:pPr>
        <w:tabs>
          <w:tab w:val="left" w:pos="709"/>
        </w:tabs>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353388"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lastRenderedPageBreak/>
        <w:t>En ese orden de ideas, la Ley de Transparencia y Acceso a la Información Pública del Estado de México y Municipios, prevé en su artículo 23, lo siguiente:</w:t>
      </w:r>
    </w:p>
    <w:p w14:paraId="77A91B3C"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w:t>
      </w:r>
      <w:r w:rsidRPr="00353388">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353388">
        <w:rPr>
          <w:rFonts w:ascii="Palatino Linotype" w:eastAsia="Palatino Linotype" w:hAnsi="Palatino Linotype" w:cs="Palatino Linotype"/>
          <w:i/>
          <w:sz w:val="22"/>
          <w:szCs w:val="22"/>
        </w:rPr>
        <w:t>:</w:t>
      </w:r>
    </w:p>
    <w:p w14:paraId="275F2B94"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353388">
        <w:rPr>
          <w:rFonts w:ascii="Palatino Linotype" w:eastAsia="Palatino Linotype" w:hAnsi="Palatino Linotype" w:cs="Palatino Linotype"/>
          <w:b/>
          <w:i/>
          <w:sz w:val="22"/>
          <w:szCs w:val="22"/>
        </w:rPr>
        <w:t>I.</w:t>
      </w:r>
      <w:r w:rsidRPr="00353388">
        <w:rPr>
          <w:rFonts w:ascii="Palatino Linotype" w:eastAsia="Palatino Linotype" w:hAnsi="Palatino Linotype" w:cs="Palatino Linotype"/>
          <w:i/>
          <w:sz w:val="22"/>
          <w:szCs w:val="22"/>
        </w:rPr>
        <w:t xml:space="preserve"> El Poder Ejecutivo del Estado de México, las dependencias, organismos auxiliares,</w:t>
      </w:r>
      <w:r w:rsidRPr="00353388">
        <w:rPr>
          <w:rFonts w:ascii="Palatino Linotype" w:eastAsia="Palatino Linotype" w:hAnsi="Palatino Linotype" w:cs="Palatino Linotype"/>
          <w:b/>
          <w:i/>
          <w:sz w:val="22"/>
          <w:szCs w:val="22"/>
        </w:rPr>
        <w:t xml:space="preserve"> </w:t>
      </w:r>
      <w:r w:rsidRPr="00353388">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II.</w:t>
      </w:r>
      <w:r w:rsidRPr="00353388">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III.</w:t>
      </w:r>
      <w:r w:rsidRPr="00353388">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353388">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V.</w:t>
      </w:r>
      <w:r w:rsidRPr="00353388">
        <w:rPr>
          <w:rFonts w:ascii="Palatino Linotype" w:eastAsia="Palatino Linotype" w:hAnsi="Palatino Linotype" w:cs="Palatino Linotype"/>
          <w:i/>
          <w:sz w:val="22"/>
          <w:szCs w:val="22"/>
        </w:rPr>
        <w:t xml:space="preserve"> Los órganos autónomos;</w:t>
      </w:r>
    </w:p>
    <w:p w14:paraId="47FBCC3D"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VI.</w:t>
      </w:r>
      <w:r w:rsidRPr="00353388">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VII.</w:t>
      </w:r>
      <w:r w:rsidRPr="00353388">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VIII.</w:t>
      </w:r>
      <w:r w:rsidRPr="00353388">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IX.</w:t>
      </w:r>
      <w:r w:rsidRPr="00353388">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X.</w:t>
      </w:r>
      <w:r w:rsidRPr="00353388">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XI.</w:t>
      </w:r>
      <w:r w:rsidRPr="00353388">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35338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353388">
        <w:rPr>
          <w:rFonts w:ascii="Palatino Linotype" w:eastAsia="Palatino Linotype" w:hAnsi="Palatino Linotype" w:cs="Palatino Linotype"/>
          <w:i/>
          <w:sz w:val="22"/>
          <w:szCs w:val="22"/>
        </w:rPr>
        <w:t>.”</w:t>
      </w:r>
    </w:p>
    <w:p w14:paraId="6AA3AC33"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lastRenderedPageBreak/>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353388"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353388"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353388"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Obligados se negara a colaborar con la Unidad de Transparencia, ésta dará aviso al superior </w:t>
      </w:r>
      <w:r w:rsidRPr="00353388">
        <w:rPr>
          <w:rFonts w:ascii="Palatino Linotype" w:eastAsia="Palatino Linotype" w:hAnsi="Palatino Linotype" w:cs="Palatino Linotype"/>
          <w:sz w:val="22"/>
          <w:szCs w:val="22"/>
        </w:rPr>
        <w:lastRenderedPageBreak/>
        <w:t>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353388"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353388"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Sirve de sustento a lo anterior, el precepto legal en cita:</w:t>
      </w:r>
    </w:p>
    <w:p w14:paraId="0E6F8D37"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353388" w:rsidRDefault="00A76F12">
      <w:pPr>
        <w:spacing w:line="276" w:lineRule="auto"/>
        <w:ind w:left="567" w:right="902"/>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w:t>
      </w:r>
      <w:r w:rsidRPr="00353388">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353388">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353388" w:rsidRDefault="00A76F12">
      <w:pPr>
        <w:spacing w:line="276" w:lineRule="auto"/>
        <w:ind w:left="567" w:right="902"/>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353388"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En mérito de lo expuesto, es claro que en este caso el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353388">
        <w:rPr>
          <w:rFonts w:ascii="Palatino Linotype" w:eastAsia="Palatino Linotype" w:hAnsi="Palatino Linotype" w:cs="Palatino Linotype"/>
          <w:b/>
          <w:sz w:val="22"/>
          <w:szCs w:val="22"/>
        </w:rPr>
        <w:t>el Sujeto Obligado</w:t>
      </w:r>
      <w:r w:rsidRPr="00353388">
        <w:rPr>
          <w:rFonts w:ascii="Palatino Linotype" w:eastAsia="Palatino Linotype" w:hAnsi="Palatino Linotype" w:cs="Palatino Linotype"/>
          <w:sz w:val="22"/>
          <w:szCs w:val="22"/>
        </w:rPr>
        <w:t>; por lo que, en caso de no atender de manera positiva</w:t>
      </w:r>
      <w:r w:rsidRPr="00353388">
        <w:rPr>
          <w:rFonts w:ascii="Palatino Linotype" w:eastAsia="Palatino Linotype" w:hAnsi="Palatino Linotype" w:cs="Palatino Linotype"/>
          <w:sz w:val="22"/>
          <w:szCs w:val="22"/>
          <w:vertAlign w:val="superscript"/>
        </w:rPr>
        <w:footnoteReference w:id="2"/>
      </w:r>
      <w:r w:rsidRPr="00353388">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353388"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De la clasificación de la información.</w:t>
      </w:r>
    </w:p>
    <w:p w14:paraId="7CB72775" w14:textId="77777777" w:rsidR="00532AE4" w:rsidRPr="00353388"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353388" w:rsidRDefault="00A76F12">
      <w:pPr>
        <w:spacing w:line="360" w:lineRule="auto"/>
        <w:ind w:right="5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w:t>
      </w:r>
      <w:r w:rsidRPr="00353388">
        <w:rPr>
          <w:rFonts w:ascii="Palatino Linotype" w:eastAsia="Palatino Linotype" w:hAnsi="Palatino Linotype" w:cs="Palatino Linotype"/>
          <w:sz w:val="22"/>
          <w:szCs w:val="22"/>
        </w:rPr>
        <w:lastRenderedPageBreak/>
        <w:t>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353388"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353388" w:rsidRDefault="00A76F12">
      <w:pPr>
        <w:spacing w:line="276" w:lineRule="auto"/>
        <w:ind w:left="851" w:right="900"/>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“Artículo 91. </w:t>
      </w:r>
      <w:r w:rsidRPr="00353388">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353388"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353388"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“Artículo 140. </w:t>
      </w:r>
      <w:r w:rsidRPr="00353388">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 </w:t>
      </w:r>
      <w:r w:rsidRPr="00353388">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II. </w:t>
      </w:r>
      <w:r w:rsidRPr="00353388">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III. </w:t>
      </w:r>
      <w:r w:rsidRPr="00353388">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lastRenderedPageBreak/>
        <w:t xml:space="preserve">IV. </w:t>
      </w:r>
      <w:r w:rsidRPr="00353388">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V. </w:t>
      </w:r>
      <w:r w:rsidRPr="00353388">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1. </w:t>
      </w:r>
      <w:r w:rsidRPr="00353388">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2. </w:t>
      </w:r>
      <w:r w:rsidRPr="00353388">
        <w:rPr>
          <w:rFonts w:ascii="Palatino Linotype" w:eastAsia="Palatino Linotype" w:hAnsi="Palatino Linotype" w:cs="Palatino Linotype"/>
          <w:i/>
          <w:sz w:val="22"/>
          <w:szCs w:val="22"/>
        </w:rPr>
        <w:t>La recaudación de las contribuciones.</w:t>
      </w:r>
    </w:p>
    <w:p w14:paraId="4CD54AA9"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VI. </w:t>
      </w:r>
      <w:r w:rsidRPr="00353388">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VII. </w:t>
      </w:r>
      <w:r w:rsidRPr="00353388">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VIII</w:t>
      </w:r>
      <w:r w:rsidRPr="00353388">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353388">
        <w:rPr>
          <w:rFonts w:ascii="Palatino Linotype" w:eastAsia="Palatino Linotype" w:hAnsi="Palatino Linotype" w:cs="Palatino Linotype"/>
          <w:b/>
          <w:i/>
          <w:sz w:val="22"/>
          <w:szCs w:val="22"/>
        </w:rPr>
        <w:t>;</w:t>
      </w:r>
    </w:p>
    <w:p w14:paraId="20A105A2"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IX. </w:t>
      </w:r>
      <w:r w:rsidRPr="00353388">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X. </w:t>
      </w:r>
      <w:r w:rsidRPr="00353388">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XI. </w:t>
      </w:r>
      <w:r w:rsidRPr="00353388">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w:t>
      </w:r>
    </w:p>
    <w:p w14:paraId="7E7180B7"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Artículo 143. </w:t>
      </w:r>
      <w:r w:rsidRPr="00353388">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lastRenderedPageBreak/>
        <w:t xml:space="preserve">I. </w:t>
      </w:r>
      <w:r w:rsidRPr="00353388">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II. </w:t>
      </w:r>
      <w:r w:rsidRPr="00353388">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III. </w:t>
      </w:r>
      <w:r w:rsidRPr="00353388">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35338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353388"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353388"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Se reciba una solicitud de acceso a la información;</w:t>
      </w:r>
    </w:p>
    <w:p w14:paraId="54E32C40" w14:textId="77777777" w:rsidR="00532AE4" w:rsidRPr="00353388"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Se determine mediante resolución de autoridad competente; y/o</w:t>
      </w:r>
    </w:p>
    <w:p w14:paraId="2A2574F5" w14:textId="77777777" w:rsidR="00532AE4" w:rsidRPr="00353388"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353388"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353388" w:rsidRDefault="00A76F12">
      <w:pPr>
        <w:spacing w:line="360" w:lineRule="auto"/>
        <w:ind w:right="5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353388">
        <w:rPr>
          <w:rFonts w:ascii="Palatino Linotype" w:eastAsia="Palatino Linotype" w:hAnsi="Palatino Linotype" w:cs="Palatino Linotype"/>
          <w:b/>
          <w:sz w:val="22"/>
          <w:szCs w:val="22"/>
        </w:rPr>
        <w:lastRenderedPageBreak/>
        <w:t>Sujeto Obligado</w:t>
      </w:r>
      <w:r w:rsidRPr="00353388">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353388">
        <w:rPr>
          <w:rFonts w:ascii="Palatino Linotype" w:eastAsia="Palatino Linotype" w:hAnsi="Palatino Linotype" w:cs="Palatino Linotype"/>
          <w:sz w:val="22"/>
          <w:szCs w:val="22"/>
          <w:vertAlign w:val="superscript"/>
        </w:rPr>
        <w:footnoteReference w:id="3"/>
      </w:r>
      <w:r w:rsidRPr="00353388">
        <w:rPr>
          <w:rFonts w:ascii="Palatino Linotype" w:eastAsia="Palatino Linotype" w:hAnsi="Palatino Linotype" w:cs="Palatino Linotype"/>
          <w:sz w:val="22"/>
          <w:szCs w:val="22"/>
        </w:rPr>
        <w:t>, 53 fracción X</w:t>
      </w:r>
      <w:r w:rsidRPr="00353388">
        <w:rPr>
          <w:rFonts w:ascii="Palatino Linotype" w:eastAsia="Palatino Linotype" w:hAnsi="Palatino Linotype" w:cs="Palatino Linotype"/>
          <w:sz w:val="22"/>
          <w:szCs w:val="22"/>
          <w:vertAlign w:val="superscript"/>
        </w:rPr>
        <w:footnoteReference w:id="4"/>
      </w:r>
      <w:r w:rsidRPr="00353388">
        <w:rPr>
          <w:rFonts w:ascii="Palatino Linotype" w:eastAsia="Palatino Linotype" w:hAnsi="Palatino Linotype" w:cs="Palatino Linotype"/>
          <w:sz w:val="22"/>
          <w:szCs w:val="22"/>
        </w:rPr>
        <w:t>, y 49 fracciones II y VIII</w:t>
      </w:r>
      <w:r w:rsidRPr="00353388">
        <w:rPr>
          <w:rFonts w:ascii="Palatino Linotype" w:eastAsia="Palatino Linotype" w:hAnsi="Palatino Linotype" w:cs="Palatino Linotype"/>
          <w:sz w:val="22"/>
          <w:szCs w:val="22"/>
          <w:vertAlign w:val="superscript"/>
        </w:rPr>
        <w:footnoteReference w:id="5"/>
      </w:r>
      <w:r w:rsidRPr="00353388">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353388"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Bajo tales consideraciones, este Organismo Garante no omite señalar que, si el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advierte que la información solicitada contiene </w:t>
      </w:r>
      <w:r w:rsidRPr="00353388">
        <w:rPr>
          <w:rFonts w:ascii="Palatino Linotype" w:eastAsia="Palatino Linotype" w:hAnsi="Palatino Linotype" w:cs="Palatino Linotype"/>
          <w:b/>
          <w:sz w:val="22"/>
          <w:szCs w:val="22"/>
        </w:rPr>
        <w:t>datos personales</w:t>
      </w:r>
      <w:r w:rsidRPr="00353388">
        <w:rPr>
          <w:rFonts w:ascii="Palatino Linotype" w:eastAsia="Palatino Linotype" w:hAnsi="Palatino Linotype" w:cs="Palatino Linotype"/>
          <w:sz w:val="22"/>
          <w:szCs w:val="22"/>
        </w:rPr>
        <w:t xml:space="preserve"> que sean susceptibles de ser </w:t>
      </w:r>
      <w:r w:rsidRPr="00353388">
        <w:rPr>
          <w:rFonts w:ascii="Palatino Linotype" w:eastAsia="Palatino Linotype" w:hAnsi="Palatino Linotype" w:cs="Palatino Linotype"/>
          <w:b/>
          <w:sz w:val="22"/>
          <w:szCs w:val="22"/>
        </w:rPr>
        <w:t xml:space="preserve">clasificados como confidenciales, </w:t>
      </w:r>
      <w:r w:rsidRPr="00353388">
        <w:rPr>
          <w:rFonts w:ascii="Palatino Linotype" w:eastAsia="Palatino Linotype" w:hAnsi="Palatino Linotype" w:cs="Palatino Linotype"/>
          <w:sz w:val="22"/>
          <w:szCs w:val="22"/>
        </w:rPr>
        <w:t>o, si por otro lado</w:t>
      </w:r>
      <w:r w:rsidRPr="00353388">
        <w:rPr>
          <w:rFonts w:ascii="Palatino Linotype" w:eastAsia="Palatino Linotype" w:hAnsi="Palatino Linotype" w:cs="Palatino Linotype"/>
          <w:b/>
          <w:sz w:val="22"/>
          <w:szCs w:val="22"/>
        </w:rPr>
        <w:t>, por su propia y especial naturaleza,</w:t>
      </w:r>
      <w:r w:rsidRPr="00353388">
        <w:rPr>
          <w:rFonts w:ascii="Palatino Linotype" w:eastAsia="Palatino Linotype" w:hAnsi="Palatino Linotype" w:cs="Palatino Linotype"/>
          <w:sz w:val="22"/>
          <w:szCs w:val="22"/>
        </w:rPr>
        <w:t xml:space="preserve"> encuadra en alguno de los </w:t>
      </w:r>
      <w:r w:rsidRPr="00353388">
        <w:rPr>
          <w:rFonts w:ascii="Palatino Linotype" w:eastAsia="Palatino Linotype" w:hAnsi="Palatino Linotype" w:cs="Palatino Linotype"/>
          <w:b/>
          <w:sz w:val="22"/>
          <w:szCs w:val="22"/>
        </w:rPr>
        <w:t>supuestos de reserva o de confidencialidad en su totalidad</w:t>
      </w:r>
      <w:r w:rsidRPr="00353388">
        <w:rPr>
          <w:rFonts w:ascii="Palatino Linotype" w:eastAsia="Palatino Linotype" w:hAnsi="Palatino Linotype" w:cs="Palatino Linotype"/>
          <w:sz w:val="22"/>
          <w:szCs w:val="22"/>
        </w:rPr>
        <w:t>, deberá emitir, un</w:t>
      </w:r>
      <w:r w:rsidRPr="00353388">
        <w:rPr>
          <w:rFonts w:ascii="Palatino Linotype" w:eastAsia="Palatino Linotype" w:hAnsi="Palatino Linotype" w:cs="Palatino Linotype"/>
          <w:b/>
          <w:sz w:val="22"/>
          <w:szCs w:val="22"/>
        </w:rPr>
        <w:t xml:space="preserve"> Acuerdo de Clasificación </w:t>
      </w:r>
      <w:r w:rsidRPr="00353388">
        <w:rPr>
          <w:rFonts w:ascii="Palatino Linotype" w:eastAsia="Palatino Linotype" w:hAnsi="Palatino Linotype" w:cs="Palatino Linotype"/>
          <w:sz w:val="22"/>
          <w:szCs w:val="22"/>
        </w:rPr>
        <w:t>debidamente fundado y motivado que</w:t>
      </w:r>
      <w:r w:rsidRPr="00353388">
        <w:rPr>
          <w:rFonts w:ascii="Palatino Linotype" w:eastAsia="Palatino Linotype" w:hAnsi="Palatino Linotype" w:cs="Palatino Linotype"/>
          <w:b/>
          <w:sz w:val="22"/>
          <w:szCs w:val="22"/>
        </w:rPr>
        <w:t xml:space="preserve"> sustente la clasificación parcial, a través de la versión pública que emita,</w:t>
      </w:r>
      <w:r w:rsidRPr="00353388">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353388"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De la clasificación parcial de la información.</w:t>
      </w:r>
    </w:p>
    <w:p w14:paraId="6CDBD4F4" w14:textId="77777777" w:rsidR="00532AE4" w:rsidRPr="00353388"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w:t>
      </w:r>
      <w:r w:rsidRPr="00353388">
        <w:rPr>
          <w:rFonts w:ascii="Palatino Linotype" w:eastAsia="Palatino Linotype" w:hAnsi="Palatino Linotype" w:cs="Palatino Linotype"/>
          <w:sz w:val="22"/>
          <w:szCs w:val="22"/>
        </w:rPr>
        <w:lastRenderedPageBreak/>
        <w:t>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353388"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De la clasificación de información como reservada.</w:t>
      </w:r>
    </w:p>
    <w:p w14:paraId="2F50165E" w14:textId="77777777" w:rsidR="00532AE4" w:rsidRPr="00353388"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353388" w:rsidRDefault="00A76F12">
      <w:pPr>
        <w:spacing w:line="360" w:lineRule="auto"/>
        <w:ind w:right="5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353388"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353388"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lastRenderedPageBreak/>
        <w:t xml:space="preserve">La divulgación de la información representa un </w:t>
      </w:r>
      <w:r w:rsidRPr="00353388">
        <w:rPr>
          <w:rFonts w:ascii="Palatino Linotype" w:eastAsia="Palatino Linotype" w:hAnsi="Palatino Linotype" w:cs="Palatino Linotype"/>
          <w:b/>
          <w:sz w:val="22"/>
          <w:szCs w:val="22"/>
        </w:rPr>
        <w:t>riesgo real, demostrable e identificable del perjuicio significativo al interés público o a la seguridad pública</w:t>
      </w:r>
      <w:r w:rsidRPr="00353388">
        <w:rPr>
          <w:rFonts w:ascii="Palatino Linotype" w:eastAsia="Palatino Linotype" w:hAnsi="Palatino Linotype" w:cs="Palatino Linotype"/>
          <w:sz w:val="22"/>
          <w:szCs w:val="22"/>
        </w:rPr>
        <w:t>;</w:t>
      </w:r>
    </w:p>
    <w:p w14:paraId="4FC20933" w14:textId="77777777" w:rsidR="00532AE4" w:rsidRPr="00353388"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353388"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353388"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Siendo pertinente aclarar que, la información que se clasifica bajo la premisa de reservada, </w:t>
      </w:r>
      <w:r w:rsidRPr="00353388">
        <w:rPr>
          <w:rFonts w:ascii="Palatino Linotype" w:eastAsia="Palatino Linotype" w:hAnsi="Palatino Linotype" w:cs="Palatino Linotype"/>
          <w:b/>
          <w:sz w:val="22"/>
          <w:szCs w:val="22"/>
        </w:rPr>
        <w:t>no pierde el carácter de pública</w:t>
      </w:r>
      <w:r w:rsidRPr="00353388">
        <w:rPr>
          <w:rFonts w:ascii="Palatino Linotype" w:eastAsia="Palatino Linotype" w:hAnsi="Palatino Linotype" w:cs="Palatino Linotype"/>
          <w:sz w:val="22"/>
          <w:szCs w:val="22"/>
        </w:rPr>
        <w:t xml:space="preserve">, sino que </w:t>
      </w:r>
      <w:r w:rsidRPr="00353388">
        <w:rPr>
          <w:rFonts w:ascii="Palatino Linotype" w:eastAsia="Palatino Linotype" w:hAnsi="Palatino Linotype" w:cs="Palatino Linotype"/>
          <w:b/>
          <w:sz w:val="22"/>
          <w:szCs w:val="22"/>
        </w:rPr>
        <w:t>se reserva temporalmente</w:t>
      </w:r>
      <w:r w:rsidRPr="00353388">
        <w:rPr>
          <w:rFonts w:ascii="Palatino Linotype" w:eastAsia="Palatino Linotype" w:hAnsi="Palatino Linotype" w:cs="Palatino Linotype"/>
          <w:sz w:val="22"/>
          <w:szCs w:val="22"/>
        </w:rPr>
        <w:t xml:space="preserve"> </w:t>
      </w:r>
      <w:r w:rsidRPr="00353388">
        <w:rPr>
          <w:rFonts w:ascii="Palatino Linotype" w:eastAsia="Palatino Linotype" w:hAnsi="Palatino Linotype" w:cs="Palatino Linotype"/>
          <w:b/>
          <w:sz w:val="22"/>
          <w:szCs w:val="22"/>
        </w:rPr>
        <w:t>del conocimiento público</w:t>
      </w:r>
      <w:r w:rsidRPr="00353388">
        <w:rPr>
          <w:rFonts w:ascii="Palatino Linotype" w:eastAsia="Palatino Linotype" w:hAnsi="Palatino Linotype" w:cs="Palatino Linotype"/>
          <w:sz w:val="22"/>
          <w:szCs w:val="22"/>
        </w:rPr>
        <w:t xml:space="preserve">, es decir, que, </w:t>
      </w:r>
      <w:r w:rsidRPr="00353388">
        <w:rPr>
          <w:rFonts w:ascii="Palatino Linotype" w:eastAsia="Palatino Linotype" w:hAnsi="Palatino Linotype" w:cs="Palatino Linotype"/>
          <w:b/>
          <w:sz w:val="22"/>
          <w:szCs w:val="22"/>
        </w:rPr>
        <w:t>por un tiempo determinado</w:t>
      </w:r>
      <w:r w:rsidRPr="00353388">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353388"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353388"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353388" w:rsidRDefault="00A76F12">
      <w:pPr>
        <w:tabs>
          <w:tab w:val="left" w:pos="709"/>
        </w:tabs>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w:t>
      </w:r>
      <w:r w:rsidRPr="00353388">
        <w:rPr>
          <w:rFonts w:ascii="Palatino Linotype" w:eastAsia="Palatino Linotype" w:hAnsi="Palatino Linotype" w:cs="Palatino Linotype"/>
          <w:sz w:val="22"/>
          <w:szCs w:val="22"/>
        </w:rPr>
        <w:lastRenderedPageBreak/>
        <w:t>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353388"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353388" w:rsidRDefault="00A76F12">
      <w:pPr>
        <w:spacing w:line="360" w:lineRule="auto"/>
        <w:ind w:right="5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353388">
        <w:rPr>
          <w:rFonts w:ascii="Palatino Linotype" w:eastAsia="Palatino Linotype" w:hAnsi="Palatino Linotype" w:cs="Palatino Linotype"/>
          <w:sz w:val="22"/>
          <w:szCs w:val="22"/>
          <w:vertAlign w:val="superscript"/>
        </w:rPr>
        <w:footnoteReference w:id="6"/>
      </w:r>
      <w:r w:rsidRPr="00353388">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353388"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353388"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De la declaratoria de inexistencia de la información</w:t>
      </w:r>
      <w:r w:rsidRPr="00353388">
        <w:rPr>
          <w:rFonts w:ascii="Palatino Linotype" w:eastAsia="Palatino Linotype" w:hAnsi="Palatino Linotype" w:cs="Palatino Linotype"/>
          <w:sz w:val="22"/>
          <w:szCs w:val="22"/>
        </w:rPr>
        <w:t>.</w:t>
      </w:r>
    </w:p>
    <w:p w14:paraId="2CE06287" w14:textId="77777777" w:rsidR="00532AE4" w:rsidRPr="00353388"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Por otro lado, estima prudente señalar al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353388" w:rsidRDefault="00A76F12">
      <w:pPr>
        <w:spacing w:line="276" w:lineRule="auto"/>
        <w:ind w:left="567" w:right="902"/>
        <w:jc w:val="both"/>
        <w:rPr>
          <w:rFonts w:ascii="Palatino Linotype" w:eastAsia="Palatino Linotype" w:hAnsi="Palatino Linotype" w:cs="Palatino Linotype"/>
          <w:i/>
          <w:sz w:val="22"/>
          <w:szCs w:val="22"/>
        </w:rPr>
      </w:pPr>
      <w:r w:rsidRPr="00353388">
        <w:rPr>
          <w:rFonts w:ascii="Palatino Linotype" w:eastAsia="Palatino Linotype" w:hAnsi="Palatino Linotype" w:cs="Palatino Linotype"/>
          <w:b/>
          <w:i/>
          <w:sz w:val="22"/>
          <w:szCs w:val="22"/>
        </w:rPr>
        <w:t xml:space="preserve">“INEXISTENCIA DE LA INFORMACIÓN. SUPUESTOS PARA EMITIR LA RESOLUCIÓN DE LA. </w:t>
      </w:r>
      <w:r w:rsidRPr="00353388">
        <w:rPr>
          <w:rFonts w:ascii="Palatino Linotype" w:eastAsia="Palatino Linotype" w:hAnsi="Palatino Linotype" w:cs="Palatino Linotype"/>
          <w:i/>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w:t>
      </w:r>
      <w:r w:rsidRPr="00353388">
        <w:rPr>
          <w:rFonts w:ascii="Palatino Linotype" w:eastAsia="Palatino Linotype" w:hAnsi="Palatino Linotype" w:cs="Palatino Linotype"/>
          <w:i/>
          <w:sz w:val="22"/>
          <w:szCs w:val="22"/>
        </w:rPr>
        <w:lastRenderedPageBreak/>
        <w:t>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353388"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 xml:space="preserve">En mérito de todo lo expuesto, ante lo </w:t>
      </w:r>
      <w:r w:rsidRPr="00353388">
        <w:rPr>
          <w:rFonts w:ascii="Palatino Linotype" w:eastAsia="Palatino Linotype" w:hAnsi="Palatino Linotype" w:cs="Palatino Linotype"/>
          <w:b/>
          <w:sz w:val="22"/>
          <w:szCs w:val="22"/>
        </w:rPr>
        <w:t>FUNDADO</w:t>
      </w:r>
      <w:r w:rsidRPr="00353388">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353388">
        <w:rPr>
          <w:rFonts w:ascii="Palatino Linotype" w:eastAsia="Palatino Linotype" w:hAnsi="Palatino Linotype" w:cs="Palatino Linotype"/>
          <w:b/>
          <w:sz w:val="22"/>
          <w:szCs w:val="22"/>
        </w:rPr>
        <w:t>ORDENAR</w:t>
      </w:r>
      <w:r w:rsidRPr="00353388">
        <w:rPr>
          <w:rFonts w:ascii="Palatino Linotype" w:eastAsia="Palatino Linotype" w:hAnsi="Palatino Linotype" w:cs="Palatino Linotype"/>
          <w:sz w:val="22"/>
          <w:szCs w:val="22"/>
        </w:rPr>
        <w:t xml:space="preserve"> al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353388" w:rsidRDefault="00A76F12">
      <w:pPr>
        <w:spacing w:line="360" w:lineRule="auto"/>
        <w:ind w:right="49"/>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sz w:val="22"/>
          <w:szCs w:val="22"/>
        </w:rPr>
        <w:t>Finalmente, es de señalar que, como ya se mencionó el</w:t>
      </w:r>
      <w:r w:rsidRPr="00353388">
        <w:rPr>
          <w:rFonts w:ascii="Palatino Linotype" w:eastAsia="Palatino Linotype" w:hAnsi="Palatino Linotype" w:cs="Palatino Linotype"/>
          <w:b/>
          <w:sz w:val="22"/>
          <w:szCs w:val="22"/>
        </w:rPr>
        <w:t xml:space="preserve"> Sujeto Obligado</w:t>
      </w:r>
      <w:r w:rsidRPr="00353388">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353388">
        <w:rPr>
          <w:rFonts w:ascii="Palatino Linotype" w:eastAsia="Palatino Linotype" w:hAnsi="Palatino Linotype" w:cs="Palatino Linotype"/>
          <w:b/>
          <w:sz w:val="22"/>
          <w:szCs w:val="22"/>
        </w:rPr>
        <w:t xml:space="preserve"> </w:t>
      </w:r>
      <w:r w:rsidRPr="00353388">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353388"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353388"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353388">
        <w:rPr>
          <w:rFonts w:ascii="Palatino Linotype" w:eastAsia="Palatino Linotype" w:hAnsi="Palatino Linotype" w:cs="Palatino Linotype"/>
          <w:sz w:val="22"/>
          <w:szCs w:val="22"/>
        </w:rPr>
        <w:t xml:space="preserve">Así, con fundamento en lo prescrito en los artículos </w:t>
      </w:r>
      <w:r w:rsidR="009100C5" w:rsidRPr="00353388">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353388">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FC06213" w14:textId="527F45D9" w:rsidR="00B73D38" w:rsidRPr="00353388"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353388"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353388"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III. R E S U E L V E</w:t>
      </w:r>
    </w:p>
    <w:p w14:paraId="170B47A5" w14:textId="77777777" w:rsidR="00532AE4" w:rsidRPr="00353388"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353388" w:rsidRDefault="00A76F12">
      <w:pPr>
        <w:spacing w:line="360" w:lineRule="auto"/>
        <w:ind w:right="49"/>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Primero. </w:t>
      </w:r>
      <w:r w:rsidRPr="00353388">
        <w:rPr>
          <w:rFonts w:ascii="Palatino Linotype" w:eastAsia="Palatino Linotype" w:hAnsi="Palatino Linotype" w:cs="Palatino Linotype"/>
          <w:sz w:val="22"/>
          <w:szCs w:val="22"/>
        </w:rPr>
        <w:t xml:space="preserve">Resultan </w:t>
      </w:r>
      <w:r w:rsidRPr="00353388">
        <w:rPr>
          <w:rFonts w:ascii="Palatino Linotype" w:eastAsia="Palatino Linotype" w:hAnsi="Palatino Linotype" w:cs="Palatino Linotype"/>
          <w:b/>
          <w:sz w:val="22"/>
          <w:szCs w:val="22"/>
        </w:rPr>
        <w:t>FUNDADOS</w:t>
      </w:r>
      <w:r w:rsidRPr="00353388">
        <w:rPr>
          <w:rFonts w:ascii="Palatino Linotype" w:eastAsia="Palatino Linotype" w:hAnsi="Palatino Linotype" w:cs="Palatino Linotype"/>
          <w:sz w:val="22"/>
          <w:szCs w:val="22"/>
        </w:rPr>
        <w:t xml:space="preserve"> los motivos de inconformidad de la parte </w:t>
      </w:r>
      <w:r w:rsidRPr="00353388">
        <w:rPr>
          <w:rFonts w:ascii="Palatino Linotype" w:eastAsia="Palatino Linotype" w:hAnsi="Palatino Linotype" w:cs="Palatino Linotype"/>
          <w:b/>
          <w:sz w:val="22"/>
          <w:szCs w:val="22"/>
        </w:rPr>
        <w:t>Recurrente</w:t>
      </w:r>
      <w:r w:rsidRPr="00353388">
        <w:rPr>
          <w:rFonts w:ascii="Palatino Linotype" w:eastAsia="Palatino Linotype" w:hAnsi="Palatino Linotype" w:cs="Palatino Linotype"/>
          <w:sz w:val="22"/>
          <w:szCs w:val="22"/>
        </w:rPr>
        <w:t xml:space="preserve">, en términos del </w:t>
      </w:r>
      <w:r w:rsidRPr="00353388">
        <w:rPr>
          <w:rFonts w:ascii="Palatino Linotype" w:eastAsia="Palatino Linotype" w:hAnsi="Palatino Linotype" w:cs="Palatino Linotype"/>
          <w:b/>
          <w:sz w:val="22"/>
          <w:szCs w:val="22"/>
        </w:rPr>
        <w:t>Considerando Cuarto</w:t>
      </w:r>
      <w:r w:rsidRPr="00353388">
        <w:rPr>
          <w:rFonts w:ascii="Palatino Linotype" w:eastAsia="Palatino Linotype" w:hAnsi="Palatino Linotype" w:cs="Palatino Linotype"/>
          <w:sz w:val="22"/>
          <w:szCs w:val="22"/>
        </w:rPr>
        <w:t xml:space="preserve"> de la presente resolución.</w:t>
      </w:r>
    </w:p>
    <w:p w14:paraId="6A06B418" w14:textId="77777777" w:rsidR="00532AE4" w:rsidRPr="00353388" w:rsidRDefault="00532AE4">
      <w:pPr>
        <w:spacing w:line="360" w:lineRule="auto"/>
        <w:ind w:right="49"/>
        <w:jc w:val="both"/>
        <w:rPr>
          <w:rFonts w:ascii="Palatino Linotype" w:eastAsia="Palatino Linotype" w:hAnsi="Palatino Linotype" w:cs="Palatino Linotype"/>
          <w:sz w:val="22"/>
          <w:szCs w:val="22"/>
        </w:rPr>
      </w:pPr>
    </w:p>
    <w:p w14:paraId="1E37E133" w14:textId="77CD5936" w:rsidR="00532AE4" w:rsidRPr="00353388"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353388">
        <w:rPr>
          <w:rFonts w:ascii="Palatino Linotype" w:eastAsia="Palatino Linotype" w:hAnsi="Palatino Linotype" w:cs="Palatino Linotype"/>
          <w:b/>
          <w:sz w:val="22"/>
          <w:szCs w:val="22"/>
        </w:rPr>
        <w:t>Segundo.</w:t>
      </w:r>
      <w:r w:rsidRPr="00353388">
        <w:rPr>
          <w:rFonts w:ascii="Palatino Linotype" w:eastAsia="Palatino Linotype" w:hAnsi="Palatino Linotype" w:cs="Palatino Linotype"/>
          <w:sz w:val="22"/>
          <w:szCs w:val="22"/>
        </w:rPr>
        <w:t xml:space="preserve"> Se</w:t>
      </w:r>
      <w:r w:rsidRPr="00353388">
        <w:rPr>
          <w:rFonts w:ascii="Palatino Linotype" w:eastAsia="Palatino Linotype" w:hAnsi="Palatino Linotype" w:cs="Palatino Linotype"/>
          <w:b/>
          <w:sz w:val="22"/>
          <w:szCs w:val="22"/>
        </w:rPr>
        <w:t xml:space="preserve"> Ordena </w:t>
      </w:r>
      <w:r w:rsidRPr="00353388">
        <w:rPr>
          <w:rFonts w:ascii="Palatino Linotype" w:eastAsia="Palatino Linotype" w:hAnsi="Palatino Linotype" w:cs="Palatino Linotype"/>
          <w:sz w:val="22"/>
          <w:szCs w:val="22"/>
        </w:rPr>
        <w:t xml:space="preserve">al </w:t>
      </w:r>
      <w:r w:rsidRPr="00353388">
        <w:rPr>
          <w:rFonts w:ascii="Palatino Linotype" w:eastAsia="Palatino Linotype" w:hAnsi="Palatino Linotype" w:cs="Palatino Linotype"/>
          <w:b/>
          <w:sz w:val="22"/>
          <w:szCs w:val="22"/>
        </w:rPr>
        <w:t xml:space="preserve">Sujeto Obligado </w:t>
      </w:r>
      <w:r w:rsidRPr="00353388">
        <w:rPr>
          <w:rFonts w:ascii="Palatino Linotype" w:eastAsia="Palatino Linotype" w:hAnsi="Palatino Linotype" w:cs="Palatino Linotype"/>
          <w:sz w:val="22"/>
          <w:szCs w:val="22"/>
        </w:rPr>
        <w:t xml:space="preserve">dé trámite, vía </w:t>
      </w:r>
      <w:r w:rsidRPr="00353388">
        <w:rPr>
          <w:rFonts w:ascii="Palatino Linotype" w:eastAsia="Palatino Linotype" w:hAnsi="Palatino Linotype" w:cs="Palatino Linotype"/>
          <w:b/>
          <w:sz w:val="22"/>
          <w:szCs w:val="22"/>
        </w:rPr>
        <w:t xml:space="preserve">Sistema de Acceso a la Información Mexiquense </w:t>
      </w:r>
      <w:r w:rsidRPr="00353388">
        <w:rPr>
          <w:rFonts w:ascii="Palatino Linotype" w:eastAsia="Palatino Linotype" w:hAnsi="Palatino Linotype" w:cs="Palatino Linotype"/>
          <w:sz w:val="22"/>
          <w:szCs w:val="22"/>
        </w:rPr>
        <w:t xml:space="preserve">a la solicitud de acceso a la información pública </w:t>
      </w:r>
      <w:r w:rsidR="00EE0A87" w:rsidRPr="00353388">
        <w:rPr>
          <w:rFonts w:ascii="Palatino Linotype" w:eastAsia="Palatino Linotype" w:hAnsi="Palatino Linotype" w:cs="Palatino Linotype"/>
          <w:b/>
          <w:sz w:val="22"/>
          <w:szCs w:val="22"/>
        </w:rPr>
        <w:t>0</w:t>
      </w:r>
      <w:r w:rsidR="001723FB" w:rsidRPr="00353388">
        <w:rPr>
          <w:rFonts w:ascii="Palatino Linotype" w:eastAsia="Palatino Linotype" w:hAnsi="Palatino Linotype" w:cs="Palatino Linotype"/>
          <w:b/>
          <w:sz w:val="22"/>
          <w:szCs w:val="22"/>
        </w:rPr>
        <w:t>0</w:t>
      </w:r>
      <w:r w:rsidR="00822DCA" w:rsidRPr="00353388">
        <w:rPr>
          <w:rFonts w:ascii="Palatino Linotype" w:eastAsia="Palatino Linotype" w:hAnsi="Palatino Linotype" w:cs="Palatino Linotype"/>
          <w:b/>
          <w:sz w:val="22"/>
          <w:szCs w:val="22"/>
        </w:rPr>
        <w:t>0</w:t>
      </w:r>
      <w:r w:rsidR="005D399E" w:rsidRPr="00353388">
        <w:rPr>
          <w:rFonts w:ascii="Palatino Linotype" w:eastAsia="Palatino Linotype" w:hAnsi="Palatino Linotype" w:cs="Palatino Linotype"/>
          <w:b/>
          <w:sz w:val="22"/>
          <w:szCs w:val="22"/>
        </w:rPr>
        <w:t>67</w:t>
      </w:r>
      <w:r w:rsidR="006206CF" w:rsidRPr="00353388">
        <w:rPr>
          <w:rFonts w:ascii="Palatino Linotype" w:eastAsia="Palatino Linotype" w:hAnsi="Palatino Linotype" w:cs="Palatino Linotype"/>
          <w:b/>
          <w:sz w:val="22"/>
          <w:szCs w:val="22"/>
        </w:rPr>
        <w:t>/TEPOTZOT</w:t>
      </w:r>
      <w:r w:rsidR="001424F5" w:rsidRPr="00353388">
        <w:rPr>
          <w:rFonts w:ascii="Palatino Linotype" w:eastAsia="Palatino Linotype" w:hAnsi="Palatino Linotype" w:cs="Palatino Linotype"/>
          <w:b/>
          <w:sz w:val="22"/>
          <w:szCs w:val="22"/>
        </w:rPr>
        <w:t>/IP/2026</w:t>
      </w:r>
      <w:r w:rsidR="00EE0A87" w:rsidRPr="00353388">
        <w:rPr>
          <w:rFonts w:ascii="Palatino Linotype" w:eastAsia="Palatino Linotype" w:hAnsi="Palatino Linotype" w:cs="Palatino Linotype"/>
          <w:b/>
          <w:sz w:val="22"/>
          <w:szCs w:val="22"/>
        </w:rPr>
        <w:t xml:space="preserve"> </w:t>
      </w:r>
      <w:r w:rsidRPr="00353388">
        <w:rPr>
          <w:rFonts w:ascii="Palatino Linotype" w:eastAsia="Palatino Linotype" w:hAnsi="Palatino Linotype" w:cs="Palatino Linotype"/>
          <w:sz w:val="22"/>
          <w:szCs w:val="22"/>
        </w:rPr>
        <w:t xml:space="preserve">que dio origen al recurso de revisión </w:t>
      </w:r>
      <w:r w:rsidR="005D399E" w:rsidRPr="00353388">
        <w:rPr>
          <w:rFonts w:ascii="Palatino Linotype" w:eastAsia="Palatino Linotype" w:hAnsi="Palatino Linotype" w:cs="Palatino Linotype"/>
          <w:b/>
          <w:sz w:val="22"/>
          <w:szCs w:val="22"/>
        </w:rPr>
        <w:t>01634</w:t>
      </w:r>
      <w:r w:rsidR="006206CF" w:rsidRPr="00353388">
        <w:rPr>
          <w:rFonts w:ascii="Palatino Linotype" w:eastAsia="Palatino Linotype" w:hAnsi="Palatino Linotype" w:cs="Palatino Linotype"/>
          <w:b/>
          <w:sz w:val="22"/>
          <w:szCs w:val="22"/>
        </w:rPr>
        <w:t>/INFOEM/IP/RR/2026</w:t>
      </w:r>
      <w:r w:rsidRPr="00353388">
        <w:rPr>
          <w:rFonts w:ascii="Palatino Linotype" w:eastAsia="Palatino Linotype" w:hAnsi="Palatino Linotype" w:cs="Palatino Linotype"/>
          <w:b/>
          <w:sz w:val="22"/>
          <w:szCs w:val="22"/>
        </w:rPr>
        <w:t xml:space="preserve"> </w:t>
      </w:r>
      <w:r w:rsidRPr="00353388">
        <w:rPr>
          <w:rFonts w:ascii="Palatino Linotype" w:eastAsia="Palatino Linotype" w:hAnsi="Palatino Linotype" w:cs="Palatino Linotype"/>
          <w:sz w:val="22"/>
          <w:szCs w:val="22"/>
        </w:rPr>
        <w:t xml:space="preserve">en términos del </w:t>
      </w:r>
      <w:r w:rsidRPr="00353388">
        <w:rPr>
          <w:rFonts w:ascii="Palatino Linotype" w:eastAsia="Palatino Linotype" w:hAnsi="Palatino Linotype" w:cs="Palatino Linotype"/>
          <w:b/>
          <w:sz w:val="22"/>
          <w:szCs w:val="22"/>
        </w:rPr>
        <w:t>Considerando Cuarto</w:t>
      </w:r>
      <w:r w:rsidRPr="00353388">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353388"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353388">
        <w:rPr>
          <w:rFonts w:ascii="Palatino Linotype" w:eastAsia="Palatino Linotype" w:hAnsi="Palatino Linotype" w:cs="Palatino Linotype"/>
          <w:b/>
          <w:sz w:val="22"/>
          <w:szCs w:val="22"/>
        </w:rPr>
        <w:t>Tercero.</w:t>
      </w:r>
      <w:r w:rsidRPr="00353388">
        <w:rPr>
          <w:rFonts w:ascii="Palatino Linotype" w:eastAsia="Palatino Linotype" w:hAnsi="Palatino Linotype" w:cs="Palatino Linotype"/>
          <w:sz w:val="22"/>
          <w:szCs w:val="22"/>
        </w:rPr>
        <w:t xml:space="preserve"> </w:t>
      </w:r>
      <w:r w:rsidRPr="00353388">
        <w:rPr>
          <w:rFonts w:ascii="Palatino Linotype" w:eastAsia="Palatino Linotype" w:hAnsi="Palatino Linotype" w:cs="Palatino Linotype"/>
          <w:b/>
          <w:sz w:val="22"/>
          <w:szCs w:val="22"/>
        </w:rPr>
        <w:t xml:space="preserve">Notifíquese vía Sistema de Acceso a la Información Mexiquense </w:t>
      </w:r>
      <w:r w:rsidRPr="00353388">
        <w:rPr>
          <w:rFonts w:ascii="Palatino Linotype" w:eastAsia="Palatino Linotype" w:hAnsi="Palatino Linotype" w:cs="Palatino Linotype"/>
          <w:sz w:val="22"/>
          <w:szCs w:val="22"/>
        </w:rPr>
        <w:t>la presente resolución al T</w:t>
      </w:r>
      <w:r w:rsidRPr="00353388">
        <w:rPr>
          <w:rFonts w:ascii="Palatino Linotype" w:eastAsia="Palatino Linotype" w:hAnsi="Palatino Linotype" w:cs="Palatino Linotype"/>
          <w:b/>
          <w:sz w:val="22"/>
          <w:szCs w:val="22"/>
        </w:rPr>
        <w:t xml:space="preserve">itular de la Unidad de Transparencia </w:t>
      </w:r>
      <w:r w:rsidRPr="00353388">
        <w:rPr>
          <w:rFonts w:ascii="Palatino Linotype" w:eastAsia="Palatino Linotype" w:hAnsi="Palatino Linotype" w:cs="Palatino Linotype"/>
          <w:sz w:val="22"/>
          <w:szCs w:val="22"/>
        </w:rPr>
        <w:t xml:space="preserve">del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353388"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lastRenderedPageBreak/>
        <w:t>Cuarto. Notifíquese</w:t>
      </w:r>
      <w:r w:rsidRPr="00353388">
        <w:rPr>
          <w:rFonts w:ascii="Palatino Linotype" w:eastAsia="Palatino Linotype" w:hAnsi="Palatino Linotype" w:cs="Palatino Linotype"/>
          <w:sz w:val="22"/>
          <w:szCs w:val="22"/>
        </w:rPr>
        <w:t>,</w:t>
      </w:r>
      <w:r w:rsidRPr="00353388">
        <w:rPr>
          <w:rFonts w:ascii="Palatino Linotype" w:eastAsia="Palatino Linotype" w:hAnsi="Palatino Linotype" w:cs="Palatino Linotype"/>
          <w:b/>
          <w:sz w:val="22"/>
          <w:szCs w:val="22"/>
        </w:rPr>
        <w:t xml:space="preserve"> </w:t>
      </w:r>
      <w:r w:rsidRPr="00353388">
        <w:rPr>
          <w:rFonts w:ascii="Palatino Linotype" w:eastAsia="Palatino Linotype" w:hAnsi="Palatino Linotype" w:cs="Palatino Linotype"/>
          <w:sz w:val="22"/>
          <w:szCs w:val="22"/>
        </w:rPr>
        <w:t xml:space="preserve">vía </w:t>
      </w:r>
      <w:r w:rsidRPr="00353388">
        <w:rPr>
          <w:rFonts w:ascii="Palatino Linotype" w:eastAsia="Palatino Linotype" w:hAnsi="Palatino Linotype" w:cs="Palatino Linotype"/>
          <w:b/>
          <w:sz w:val="22"/>
          <w:szCs w:val="22"/>
        </w:rPr>
        <w:t>Sistema de Acceso a la Información Mexiquense</w:t>
      </w:r>
      <w:r w:rsidRPr="00353388">
        <w:rPr>
          <w:rFonts w:ascii="Palatino Linotype" w:eastAsia="Palatino Linotype" w:hAnsi="Palatino Linotype" w:cs="Palatino Linotype"/>
          <w:sz w:val="22"/>
          <w:szCs w:val="22"/>
        </w:rPr>
        <w:t xml:space="preserve">, a la parte </w:t>
      </w:r>
      <w:r w:rsidRPr="00353388">
        <w:rPr>
          <w:rFonts w:ascii="Palatino Linotype" w:eastAsia="Palatino Linotype" w:hAnsi="Palatino Linotype" w:cs="Palatino Linotype"/>
          <w:b/>
          <w:sz w:val="22"/>
          <w:szCs w:val="22"/>
        </w:rPr>
        <w:t xml:space="preserve">Recurrente </w:t>
      </w:r>
      <w:r w:rsidRPr="00353388">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353388"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353388" w:rsidRDefault="00A76F12">
      <w:pPr>
        <w:spacing w:line="360" w:lineRule="auto"/>
        <w:jc w:val="both"/>
        <w:rPr>
          <w:rFonts w:ascii="Palatino Linotype" w:eastAsia="Palatino Linotype" w:hAnsi="Palatino Linotype" w:cs="Palatino Linotype"/>
          <w:sz w:val="22"/>
          <w:szCs w:val="22"/>
        </w:rPr>
      </w:pPr>
      <w:r w:rsidRPr="00353388">
        <w:rPr>
          <w:rFonts w:ascii="Palatino Linotype" w:eastAsia="Palatino Linotype" w:hAnsi="Palatino Linotype" w:cs="Palatino Linotype"/>
          <w:b/>
          <w:sz w:val="22"/>
          <w:szCs w:val="22"/>
        </w:rPr>
        <w:t xml:space="preserve">Quinto. Notifíquese </w:t>
      </w:r>
      <w:r w:rsidRPr="00353388">
        <w:rPr>
          <w:rFonts w:ascii="Palatino Linotype" w:eastAsia="Palatino Linotype" w:hAnsi="Palatino Linotype" w:cs="Palatino Linotype"/>
          <w:sz w:val="22"/>
          <w:szCs w:val="22"/>
        </w:rPr>
        <w:t xml:space="preserve">a la parte </w:t>
      </w:r>
      <w:r w:rsidRPr="00353388">
        <w:rPr>
          <w:rFonts w:ascii="Palatino Linotype" w:eastAsia="Palatino Linotype" w:hAnsi="Palatino Linotype" w:cs="Palatino Linotype"/>
          <w:b/>
          <w:sz w:val="22"/>
          <w:szCs w:val="22"/>
        </w:rPr>
        <w:t xml:space="preserve">Recurrente </w:t>
      </w:r>
      <w:r w:rsidRPr="00353388">
        <w:rPr>
          <w:rFonts w:ascii="Palatino Linotype" w:eastAsia="Palatino Linotype" w:hAnsi="Palatino Linotype" w:cs="Palatino Linotype"/>
          <w:sz w:val="22"/>
          <w:szCs w:val="22"/>
        </w:rPr>
        <w:t xml:space="preserve">que la respuesta que dé el </w:t>
      </w:r>
      <w:r w:rsidRPr="00353388">
        <w:rPr>
          <w:rFonts w:ascii="Palatino Linotype" w:eastAsia="Palatino Linotype" w:hAnsi="Palatino Linotype" w:cs="Palatino Linotype"/>
          <w:b/>
          <w:sz w:val="22"/>
          <w:szCs w:val="22"/>
        </w:rPr>
        <w:t>Sujeto Obligado</w:t>
      </w:r>
      <w:r w:rsidRPr="00353388">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353388"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353388" w:rsidRDefault="00A76F12">
      <w:pPr>
        <w:spacing w:line="360" w:lineRule="auto"/>
        <w:jc w:val="both"/>
        <w:rPr>
          <w:rFonts w:ascii="Palatino Linotype" w:eastAsia="Palatino Linotype" w:hAnsi="Palatino Linotype" w:cs="Palatino Linotype"/>
          <w:b/>
          <w:sz w:val="22"/>
          <w:szCs w:val="22"/>
        </w:rPr>
      </w:pPr>
      <w:r w:rsidRPr="00353388">
        <w:rPr>
          <w:rFonts w:ascii="Palatino Linotype" w:eastAsia="Palatino Linotype" w:hAnsi="Palatino Linotype" w:cs="Palatino Linotype"/>
          <w:b/>
          <w:sz w:val="22"/>
          <w:szCs w:val="22"/>
        </w:rPr>
        <w:t xml:space="preserve">Sexto. Gírese </w:t>
      </w:r>
      <w:r w:rsidRPr="00353388">
        <w:rPr>
          <w:rFonts w:ascii="Palatino Linotype" w:eastAsia="Palatino Linotype" w:hAnsi="Palatino Linotype" w:cs="Palatino Linotype"/>
          <w:sz w:val="22"/>
          <w:szCs w:val="22"/>
        </w:rPr>
        <w:t xml:space="preserve">oficio a la </w:t>
      </w:r>
      <w:r w:rsidRPr="00353388">
        <w:rPr>
          <w:rFonts w:ascii="Palatino Linotype" w:eastAsia="Palatino Linotype" w:hAnsi="Palatino Linotype" w:cs="Palatino Linotype"/>
          <w:b/>
          <w:sz w:val="22"/>
          <w:szCs w:val="22"/>
        </w:rPr>
        <w:t>Secretaría Técnica del Pleno</w:t>
      </w:r>
      <w:r w:rsidRPr="00353388">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353388">
        <w:rPr>
          <w:rFonts w:ascii="Palatino Linotype" w:eastAsia="Palatino Linotype" w:hAnsi="Palatino Linotype" w:cs="Palatino Linotype"/>
          <w:b/>
          <w:sz w:val="22"/>
          <w:szCs w:val="22"/>
        </w:rPr>
        <w:t xml:space="preserve"> </w:t>
      </w:r>
      <w:r w:rsidRPr="00353388">
        <w:rPr>
          <w:rFonts w:ascii="Palatino Linotype" w:eastAsia="Palatino Linotype" w:hAnsi="Palatino Linotype" w:cs="Palatino Linotype"/>
          <w:sz w:val="22"/>
          <w:szCs w:val="22"/>
        </w:rPr>
        <w:t>de la presente resolución.</w:t>
      </w:r>
      <w:r w:rsidRPr="00353388">
        <w:rPr>
          <w:rFonts w:ascii="Palatino Linotype" w:eastAsia="Palatino Linotype" w:hAnsi="Palatino Linotype" w:cs="Palatino Linotype"/>
          <w:b/>
          <w:sz w:val="22"/>
          <w:szCs w:val="22"/>
        </w:rPr>
        <w:t xml:space="preserve"> </w:t>
      </w:r>
    </w:p>
    <w:p w14:paraId="7F049394" w14:textId="77777777" w:rsidR="00532AE4" w:rsidRPr="00353388"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59FFD738" w:rsidR="00532AE4" w:rsidRPr="004177DA" w:rsidRDefault="00A76F12">
      <w:pPr>
        <w:spacing w:line="360" w:lineRule="auto"/>
        <w:ind w:right="49"/>
        <w:jc w:val="both"/>
        <w:rPr>
          <w:rFonts w:ascii="Palatino Linotype" w:eastAsia="Palatino Linotype" w:hAnsi="Palatino Linotype" w:cs="Palatino Linotype"/>
          <w:sz w:val="22"/>
          <w:szCs w:val="22"/>
        </w:rPr>
        <w:sectPr w:rsidR="00532AE4" w:rsidRPr="004177DA">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353388">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424F5" w:rsidRPr="00353388">
        <w:rPr>
          <w:rFonts w:ascii="Palatino Linotype" w:eastAsia="Palatino Linotype" w:hAnsi="Palatino Linotype" w:cs="Palatino Linotype"/>
          <w:sz w:val="22"/>
          <w:szCs w:val="22"/>
        </w:rPr>
        <w:t>SÉPTIMA</w:t>
      </w:r>
      <w:r w:rsidRPr="00353388">
        <w:rPr>
          <w:rFonts w:ascii="Palatino Linotype" w:eastAsia="Palatino Linotype" w:hAnsi="Palatino Linotype" w:cs="Palatino Linotype"/>
          <w:sz w:val="22"/>
          <w:szCs w:val="22"/>
        </w:rPr>
        <w:t xml:space="preserve"> SESIÓN ORDINARIA CELEBRADA E</w:t>
      </w:r>
      <w:r w:rsidR="006206CF" w:rsidRPr="00353388">
        <w:rPr>
          <w:rFonts w:ascii="Palatino Linotype" w:eastAsia="Palatino Linotype" w:hAnsi="Palatino Linotype" w:cs="Palatino Linotype"/>
          <w:sz w:val="22"/>
          <w:szCs w:val="22"/>
        </w:rPr>
        <w:t xml:space="preserve">L </w:t>
      </w:r>
      <w:r w:rsidR="00BB00AB" w:rsidRPr="00353388">
        <w:rPr>
          <w:rFonts w:ascii="Palatino Linotype" w:eastAsia="Palatino Linotype" w:hAnsi="Palatino Linotype" w:cs="Palatino Linotype"/>
          <w:sz w:val="22"/>
          <w:szCs w:val="22"/>
        </w:rPr>
        <w:t xml:space="preserve">VEINTICINCO </w:t>
      </w:r>
      <w:r w:rsidR="006206CF" w:rsidRPr="00353388">
        <w:rPr>
          <w:rFonts w:ascii="Palatino Linotype" w:eastAsia="Palatino Linotype" w:hAnsi="Palatino Linotype" w:cs="Palatino Linotype"/>
          <w:sz w:val="22"/>
          <w:szCs w:val="22"/>
        </w:rPr>
        <w:t xml:space="preserve">DE FEBRERO </w:t>
      </w:r>
      <w:r w:rsidR="00DF5516" w:rsidRPr="00353388">
        <w:rPr>
          <w:rFonts w:ascii="Palatino Linotype" w:eastAsia="Palatino Linotype" w:hAnsi="Palatino Linotype" w:cs="Palatino Linotype"/>
          <w:sz w:val="22"/>
          <w:szCs w:val="22"/>
        </w:rPr>
        <w:t>DE DOS MIL VEINTISÉIS</w:t>
      </w:r>
      <w:r w:rsidRPr="00353388">
        <w:rPr>
          <w:rFonts w:ascii="Palatino Linotype" w:eastAsia="Palatino Linotype" w:hAnsi="Palatino Linotype" w:cs="Palatino Linotype"/>
          <w:sz w:val="22"/>
          <w:szCs w:val="22"/>
        </w:rPr>
        <w:t>, ANTE EL SECRETARIO TÉCNICO DEL PLENO ALEXIS TAPIA RAMÍREZ.</w:t>
      </w:r>
    </w:p>
    <w:p w14:paraId="5566C3BF" w14:textId="77777777" w:rsidR="00532AE4" w:rsidRPr="004177DA" w:rsidRDefault="00532AE4">
      <w:pPr>
        <w:rPr>
          <w:sz w:val="22"/>
          <w:szCs w:val="22"/>
        </w:rPr>
      </w:pPr>
    </w:p>
    <w:sectPr w:rsidR="00532AE4" w:rsidRPr="004177DA">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3AA7" w14:textId="77777777" w:rsidR="0057200B" w:rsidRDefault="0057200B">
      <w:r>
        <w:separator/>
      </w:r>
    </w:p>
  </w:endnote>
  <w:endnote w:type="continuationSeparator" w:id="0">
    <w:p w14:paraId="5C2D360D" w14:textId="77777777" w:rsidR="0057200B" w:rsidRDefault="00572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353388">
      <w:rPr>
        <w:rFonts w:ascii="Arial" w:eastAsia="Arial" w:hAnsi="Arial" w:cs="Arial"/>
        <w:b/>
        <w:noProof/>
        <w:color w:val="000000"/>
        <w:sz w:val="20"/>
        <w:szCs w:val="20"/>
      </w:rPr>
      <w:t>28</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353388">
      <w:rPr>
        <w:rFonts w:ascii="Arial" w:eastAsia="Arial" w:hAnsi="Arial" w:cs="Arial"/>
        <w:b/>
        <w:noProof/>
        <w:color w:val="000000"/>
        <w:sz w:val="20"/>
        <w:szCs w:val="20"/>
      </w:rPr>
      <w:t>30</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353388">
      <w:rPr>
        <w:rFonts w:ascii="Arial" w:eastAsia="Arial" w:hAnsi="Arial" w:cs="Arial"/>
        <w:b/>
        <w:noProof/>
        <w:color w:val="000000"/>
        <w:sz w:val="20"/>
        <w:szCs w:val="20"/>
      </w:rPr>
      <w:t>30</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353388">
      <w:rPr>
        <w:rFonts w:ascii="Arial" w:eastAsia="Arial" w:hAnsi="Arial" w:cs="Arial"/>
        <w:b/>
        <w:noProof/>
        <w:color w:val="000000"/>
        <w:sz w:val="20"/>
        <w:szCs w:val="20"/>
      </w:rPr>
      <w:t>30</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05126" w14:textId="77777777" w:rsidR="0057200B" w:rsidRDefault="0057200B">
      <w:r>
        <w:separator/>
      </w:r>
    </w:p>
  </w:footnote>
  <w:footnote w:type="continuationSeparator" w:id="0">
    <w:p w14:paraId="0B74A381" w14:textId="77777777" w:rsidR="0057200B" w:rsidRDefault="0057200B">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4FCAD199" w:rsidR="00532AE4" w:rsidRPr="00496CE9" w:rsidRDefault="00E818EA" w:rsidP="00BE3FD2">
          <w:pPr>
            <w:jc w:val="both"/>
            <w:rPr>
              <w:rFonts w:ascii="Palatino Linotype" w:eastAsia="Palatino Linotype" w:hAnsi="Palatino Linotype" w:cs="Palatino Linotype"/>
              <w:b/>
              <w:sz w:val="21"/>
              <w:szCs w:val="21"/>
            </w:rPr>
          </w:pPr>
          <w:r w:rsidRPr="00496CE9">
            <w:rPr>
              <w:rFonts w:ascii="Palatino Linotype" w:eastAsia="Palatino Linotype" w:hAnsi="Palatino Linotype" w:cs="Palatino Linotype"/>
              <w:b/>
              <w:sz w:val="21"/>
              <w:szCs w:val="21"/>
            </w:rPr>
            <w:t>0</w:t>
          </w:r>
          <w:r w:rsidR="00840BDB" w:rsidRPr="00496CE9">
            <w:rPr>
              <w:rFonts w:ascii="Palatino Linotype" w:eastAsia="Palatino Linotype" w:hAnsi="Palatino Linotype" w:cs="Palatino Linotype"/>
              <w:b/>
              <w:sz w:val="21"/>
              <w:szCs w:val="21"/>
            </w:rPr>
            <w:t>1634</w:t>
          </w:r>
          <w:r w:rsidR="006206CF" w:rsidRPr="00496CE9">
            <w:rPr>
              <w:rFonts w:ascii="Palatino Linotype" w:eastAsia="Palatino Linotype" w:hAnsi="Palatino Linotype" w:cs="Palatino Linotype"/>
              <w:b/>
              <w:sz w:val="21"/>
              <w:szCs w:val="21"/>
            </w:rPr>
            <w:t>/INFOEM/IP/RR/2026</w:t>
          </w:r>
          <w:r w:rsidR="00A76F12" w:rsidRPr="00496CE9">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638E387B" w:rsidR="00532AE4" w:rsidRPr="00496CE9" w:rsidRDefault="009B0166" w:rsidP="00E55CFA">
          <w:pPr>
            <w:jc w:val="both"/>
            <w:rPr>
              <w:rFonts w:ascii="Palatino Linotype" w:eastAsia="Palatino Linotype" w:hAnsi="Palatino Linotype" w:cs="Palatino Linotype"/>
              <w:b/>
              <w:sz w:val="21"/>
              <w:szCs w:val="21"/>
            </w:rPr>
          </w:pPr>
          <w:r w:rsidRPr="00496CE9">
            <w:rPr>
              <w:rFonts w:ascii="Palatino Linotype" w:eastAsia="Palatino Linotype" w:hAnsi="Palatino Linotype" w:cs="Palatino Linotype"/>
              <w:b/>
              <w:sz w:val="21"/>
              <w:szCs w:val="21"/>
            </w:rPr>
            <w:t>Ay</w:t>
          </w:r>
          <w:r w:rsidR="006206CF" w:rsidRPr="00496CE9">
            <w:rPr>
              <w:rFonts w:ascii="Palatino Linotype" w:eastAsia="Palatino Linotype" w:hAnsi="Palatino Linotype" w:cs="Palatino Linotype"/>
              <w:b/>
              <w:sz w:val="21"/>
              <w:szCs w:val="21"/>
            </w:rPr>
            <w:t>untamiento de 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71EB1906" w:rsidR="00532AE4" w:rsidRDefault="004D09F8">
    <w:pPr>
      <w:pBdr>
        <w:top w:val="nil"/>
        <w:left w:val="nil"/>
        <w:bottom w:val="nil"/>
        <w:right w:val="nil"/>
        <w:between w:val="nil"/>
      </w:pBdr>
      <w:tabs>
        <w:tab w:val="center" w:pos="4252"/>
        <w:tab w:val="right" w:pos="8504"/>
      </w:tabs>
      <w:jc w:val="both"/>
      <w:rPr>
        <w:rFonts w:ascii="Calibri" w:eastAsia="Calibri" w:hAnsi="Calibri" w:cs="Calibri"/>
        <w:color w:val="000000"/>
      </w:rPr>
    </w:pPr>
    <w:r w:rsidRPr="004D09F8">
      <w:rPr>
        <w:rFonts w:ascii="Palatino Linotype" w:hAnsi="Palatino Linotype"/>
        <w:noProof/>
        <w:sz w:val="21"/>
        <w:szCs w:val="21"/>
        <w:lang w:val="es-MX"/>
      </w:rPr>
      <w:drawing>
        <wp:anchor distT="0" distB="0" distL="0" distR="0" simplePos="0" relativeHeight="251659264" behindDoc="1" locked="0" layoutInCell="1" hidden="0" allowOverlap="1" wp14:anchorId="43196C50" wp14:editId="4B15082F">
          <wp:simplePos x="0" y="0"/>
          <wp:positionH relativeFrom="column">
            <wp:posOffset>-866140</wp:posOffset>
          </wp:positionH>
          <wp:positionV relativeFrom="paragraph">
            <wp:posOffset>-100965</wp:posOffset>
          </wp:positionV>
          <wp:extent cx="7635875" cy="994346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62CB5837" w:rsidR="00532AE4" w:rsidRPr="00496CE9" w:rsidRDefault="00840BDB" w:rsidP="009B6117">
          <w:pPr>
            <w:jc w:val="both"/>
            <w:rPr>
              <w:rFonts w:ascii="Palatino Linotype" w:eastAsia="Palatino Linotype" w:hAnsi="Palatino Linotype" w:cs="Palatino Linotype"/>
              <w:b/>
              <w:sz w:val="21"/>
              <w:szCs w:val="21"/>
            </w:rPr>
          </w:pPr>
          <w:r w:rsidRPr="00496CE9">
            <w:rPr>
              <w:rFonts w:ascii="Palatino Linotype" w:eastAsia="Palatino Linotype" w:hAnsi="Palatino Linotype" w:cs="Palatino Linotype"/>
              <w:b/>
              <w:sz w:val="21"/>
              <w:szCs w:val="21"/>
            </w:rPr>
            <w:t>01634</w:t>
          </w:r>
          <w:r w:rsidR="004D09F8" w:rsidRPr="00496CE9">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4F9706AF" w:rsidR="00532AE4" w:rsidRDefault="00A76F12">
          <w:pPr>
            <w:ind w:left="35" w:hanging="35"/>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Recurrente:</w:t>
          </w:r>
        </w:p>
      </w:tc>
      <w:tc>
        <w:tcPr>
          <w:tcW w:w="3687" w:type="dxa"/>
          <w:vAlign w:val="center"/>
        </w:tcPr>
        <w:p w14:paraId="4D6D508D" w14:textId="7DB72938" w:rsidR="00370BDC" w:rsidRPr="00496CE9" w:rsidRDefault="00370BDC">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11A7EAE5" w:rsidR="00532AE4" w:rsidRPr="004D09F8" w:rsidRDefault="004D09F8" w:rsidP="00E55CFA">
          <w:pPr>
            <w:ind w:right="452"/>
            <w:jc w:val="both"/>
            <w:rPr>
              <w:rFonts w:ascii="Palatino Linotype" w:eastAsia="Palatino Linotype" w:hAnsi="Palatino Linotype" w:cs="Palatino Linotype"/>
              <w:b/>
              <w:sz w:val="21"/>
              <w:szCs w:val="21"/>
              <w:highlight w:val="yellow"/>
            </w:rPr>
          </w:pPr>
          <w:r w:rsidRPr="004D09F8">
            <w:rPr>
              <w:rFonts w:ascii="Palatino Linotype" w:hAnsi="Palatino Linotype"/>
              <w:b/>
              <w:bCs/>
              <w:color w:val="000000"/>
              <w:sz w:val="21"/>
              <w:szCs w:val="21"/>
            </w:rPr>
            <w:t>Ayuntamiento de 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6600708">
    <w:abstractNumId w:val="2"/>
  </w:num>
  <w:num w:numId="2" w16cid:durableId="26033398">
    <w:abstractNumId w:val="4"/>
  </w:num>
  <w:num w:numId="3" w16cid:durableId="889923923">
    <w:abstractNumId w:val="0"/>
  </w:num>
  <w:num w:numId="4" w16cid:durableId="1533420080">
    <w:abstractNumId w:val="1"/>
  </w:num>
  <w:num w:numId="5" w16cid:durableId="860624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10C1D"/>
    <w:rsid w:val="00022DB6"/>
    <w:rsid w:val="00024779"/>
    <w:rsid w:val="000255E8"/>
    <w:rsid w:val="00026738"/>
    <w:rsid w:val="000420E5"/>
    <w:rsid w:val="0004798E"/>
    <w:rsid w:val="00057757"/>
    <w:rsid w:val="000657BD"/>
    <w:rsid w:val="000672C5"/>
    <w:rsid w:val="000760A1"/>
    <w:rsid w:val="00095E46"/>
    <w:rsid w:val="00095E58"/>
    <w:rsid w:val="0009768A"/>
    <w:rsid w:val="00097E14"/>
    <w:rsid w:val="000A27C2"/>
    <w:rsid w:val="000B2D33"/>
    <w:rsid w:val="000B42A5"/>
    <w:rsid w:val="000B673F"/>
    <w:rsid w:val="000C5E8A"/>
    <w:rsid w:val="000E1DD7"/>
    <w:rsid w:val="000E6168"/>
    <w:rsid w:val="000E63FD"/>
    <w:rsid w:val="000E7889"/>
    <w:rsid w:val="000F10F3"/>
    <w:rsid w:val="00111565"/>
    <w:rsid w:val="0012087F"/>
    <w:rsid w:val="001375F3"/>
    <w:rsid w:val="001424F5"/>
    <w:rsid w:val="00142C2A"/>
    <w:rsid w:val="001577D2"/>
    <w:rsid w:val="00160B51"/>
    <w:rsid w:val="001714E4"/>
    <w:rsid w:val="0017202B"/>
    <w:rsid w:val="001723FB"/>
    <w:rsid w:val="00181147"/>
    <w:rsid w:val="00182B72"/>
    <w:rsid w:val="001A1911"/>
    <w:rsid w:val="001B7493"/>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E24C3"/>
    <w:rsid w:val="002F242F"/>
    <w:rsid w:val="002F6686"/>
    <w:rsid w:val="00301CF8"/>
    <w:rsid w:val="00304A0B"/>
    <w:rsid w:val="0031245E"/>
    <w:rsid w:val="0031405F"/>
    <w:rsid w:val="003352D2"/>
    <w:rsid w:val="00353388"/>
    <w:rsid w:val="00363B40"/>
    <w:rsid w:val="00370BDC"/>
    <w:rsid w:val="003755B9"/>
    <w:rsid w:val="00384A61"/>
    <w:rsid w:val="0039059F"/>
    <w:rsid w:val="00390FDA"/>
    <w:rsid w:val="003A1F72"/>
    <w:rsid w:val="003A41D8"/>
    <w:rsid w:val="003A5E74"/>
    <w:rsid w:val="003A67EA"/>
    <w:rsid w:val="003B6362"/>
    <w:rsid w:val="003D540C"/>
    <w:rsid w:val="003E00BD"/>
    <w:rsid w:val="004177DA"/>
    <w:rsid w:val="00421CB8"/>
    <w:rsid w:val="004338F4"/>
    <w:rsid w:val="00440AF2"/>
    <w:rsid w:val="00443ACD"/>
    <w:rsid w:val="00445F72"/>
    <w:rsid w:val="004472A8"/>
    <w:rsid w:val="00452503"/>
    <w:rsid w:val="00464D23"/>
    <w:rsid w:val="004716E5"/>
    <w:rsid w:val="00474954"/>
    <w:rsid w:val="00482CD2"/>
    <w:rsid w:val="00486299"/>
    <w:rsid w:val="0049221F"/>
    <w:rsid w:val="00496CE9"/>
    <w:rsid w:val="004972E0"/>
    <w:rsid w:val="004B5CF1"/>
    <w:rsid w:val="004B7B66"/>
    <w:rsid w:val="004D09F8"/>
    <w:rsid w:val="004D2E4E"/>
    <w:rsid w:val="004E3071"/>
    <w:rsid w:val="004F1DFA"/>
    <w:rsid w:val="004F703B"/>
    <w:rsid w:val="005043C3"/>
    <w:rsid w:val="005057CB"/>
    <w:rsid w:val="005205AE"/>
    <w:rsid w:val="005231DC"/>
    <w:rsid w:val="00525777"/>
    <w:rsid w:val="00532AE4"/>
    <w:rsid w:val="00536525"/>
    <w:rsid w:val="005403DB"/>
    <w:rsid w:val="0057200B"/>
    <w:rsid w:val="00586029"/>
    <w:rsid w:val="00590DF2"/>
    <w:rsid w:val="005A215F"/>
    <w:rsid w:val="005A79AC"/>
    <w:rsid w:val="005B06C7"/>
    <w:rsid w:val="005D399E"/>
    <w:rsid w:val="005F2D09"/>
    <w:rsid w:val="005F71E2"/>
    <w:rsid w:val="006108C0"/>
    <w:rsid w:val="0061438F"/>
    <w:rsid w:val="006206CF"/>
    <w:rsid w:val="00633D0E"/>
    <w:rsid w:val="0065295D"/>
    <w:rsid w:val="00656E72"/>
    <w:rsid w:val="00686A48"/>
    <w:rsid w:val="00687731"/>
    <w:rsid w:val="006D2295"/>
    <w:rsid w:val="006E18C2"/>
    <w:rsid w:val="006E680C"/>
    <w:rsid w:val="006E7668"/>
    <w:rsid w:val="006F4F00"/>
    <w:rsid w:val="00705D5E"/>
    <w:rsid w:val="00707403"/>
    <w:rsid w:val="0071274F"/>
    <w:rsid w:val="00752DC7"/>
    <w:rsid w:val="007576B0"/>
    <w:rsid w:val="007623E7"/>
    <w:rsid w:val="00767C4D"/>
    <w:rsid w:val="00773F12"/>
    <w:rsid w:val="007B0474"/>
    <w:rsid w:val="007C29CF"/>
    <w:rsid w:val="007D2674"/>
    <w:rsid w:val="007D4AF6"/>
    <w:rsid w:val="007D52C3"/>
    <w:rsid w:val="007D5989"/>
    <w:rsid w:val="007E48BB"/>
    <w:rsid w:val="007F5288"/>
    <w:rsid w:val="008044DE"/>
    <w:rsid w:val="00806557"/>
    <w:rsid w:val="0081329C"/>
    <w:rsid w:val="00822DCA"/>
    <w:rsid w:val="00826355"/>
    <w:rsid w:val="00840BDB"/>
    <w:rsid w:val="00847691"/>
    <w:rsid w:val="00854178"/>
    <w:rsid w:val="00874CE7"/>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8328A"/>
    <w:rsid w:val="00991545"/>
    <w:rsid w:val="00994B65"/>
    <w:rsid w:val="009B0166"/>
    <w:rsid w:val="009B6117"/>
    <w:rsid w:val="009C2244"/>
    <w:rsid w:val="009C3B23"/>
    <w:rsid w:val="009D197C"/>
    <w:rsid w:val="009D391B"/>
    <w:rsid w:val="00A120F8"/>
    <w:rsid w:val="00A12B5E"/>
    <w:rsid w:val="00A27295"/>
    <w:rsid w:val="00A34F3E"/>
    <w:rsid w:val="00A3559A"/>
    <w:rsid w:val="00A67173"/>
    <w:rsid w:val="00A71477"/>
    <w:rsid w:val="00A76F12"/>
    <w:rsid w:val="00A8506B"/>
    <w:rsid w:val="00AB3D3A"/>
    <w:rsid w:val="00AB5F77"/>
    <w:rsid w:val="00AB6A2A"/>
    <w:rsid w:val="00AB76D8"/>
    <w:rsid w:val="00AC0641"/>
    <w:rsid w:val="00AC5DE4"/>
    <w:rsid w:val="00AC6B80"/>
    <w:rsid w:val="00AD14F5"/>
    <w:rsid w:val="00AD43F4"/>
    <w:rsid w:val="00AD6661"/>
    <w:rsid w:val="00AE0B9D"/>
    <w:rsid w:val="00AE53D7"/>
    <w:rsid w:val="00B04425"/>
    <w:rsid w:val="00B10389"/>
    <w:rsid w:val="00B15533"/>
    <w:rsid w:val="00B174AA"/>
    <w:rsid w:val="00B20997"/>
    <w:rsid w:val="00B2334E"/>
    <w:rsid w:val="00B267B6"/>
    <w:rsid w:val="00B277B1"/>
    <w:rsid w:val="00B30D2B"/>
    <w:rsid w:val="00B33431"/>
    <w:rsid w:val="00B503D1"/>
    <w:rsid w:val="00B568E9"/>
    <w:rsid w:val="00B64FEA"/>
    <w:rsid w:val="00B73D38"/>
    <w:rsid w:val="00B76CCE"/>
    <w:rsid w:val="00B76F7A"/>
    <w:rsid w:val="00B81E44"/>
    <w:rsid w:val="00BB00AB"/>
    <w:rsid w:val="00BB1677"/>
    <w:rsid w:val="00BC6C53"/>
    <w:rsid w:val="00BD2189"/>
    <w:rsid w:val="00BD561F"/>
    <w:rsid w:val="00BE0FEF"/>
    <w:rsid w:val="00BE3596"/>
    <w:rsid w:val="00BE3FD2"/>
    <w:rsid w:val="00BE48D0"/>
    <w:rsid w:val="00C22A3E"/>
    <w:rsid w:val="00C24C97"/>
    <w:rsid w:val="00C408DA"/>
    <w:rsid w:val="00C52987"/>
    <w:rsid w:val="00C5586C"/>
    <w:rsid w:val="00CA2AAA"/>
    <w:rsid w:val="00CA5B0F"/>
    <w:rsid w:val="00CC5F5E"/>
    <w:rsid w:val="00CD03F3"/>
    <w:rsid w:val="00CD71FB"/>
    <w:rsid w:val="00D11150"/>
    <w:rsid w:val="00D21C70"/>
    <w:rsid w:val="00D21D23"/>
    <w:rsid w:val="00D30503"/>
    <w:rsid w:val="00D30ED9"/>
    <w:rsid w:val="00D368E9"/>
    <w:rsid w:val="00D426AA"/>
    <w:rsid w:val="00D65E9E"/>
    <w:rsid w:val="00D763D8"/>
    <w:rsid w:val="00D96D36"/>
    <w:rsid w:val="00DA2939"/>
    <w:rsid w:val="00DA70B4"/>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818EA"/>
    <w:rsid w:val="00E87088"/>
    <w:rsid w:val="00E94299"/>
    <w:rsid w:val="00EA06A4"/>
    <w:rsid w:val="00EB171E"/>
    <w:rsid w:val="00EB6443"/>
    <w:rsid w:val="00EE0A87"/>
    <w:rsid w:val="00EE5E30"/>
    <w:rsid w:val="00EF743D"/>
    <w:rsid w:val="00F021AC"/>
    <w:rsid w:val="00F0552A"/>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399E"/>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3848">
      <w:bodyDiv w:val="1"/>
      <w:marLeft w:val="0"/>
      <w:marRight w:val="0"/>
      <w:marTop w:val="0"/>
      <w:marBottom w:val="0"/>
      <w:divBdr>
        <w:top w:val="none" w:sz="0" w:space="0" w:color="auto"/>
        <w:left w:val="none" w:sz="0" w:space="0" w:color="auto"/>
        <w:bottom w:val="none" w:sz="0" w:space="0" w:color="auto"/>
        <w:right w:val="none" w:sz="0" w:space="0" w:color="auto"/>
      </w:divBdr>
    </w:div>
    <w:div w:id="929853833">
      <w:bodyDiv w:val="1"/>
      <w:marLeft w:val="0"/>
      <w:marRight w:val="0"/>
      <w:marTop w:val="0"/>
      <w:marBottom w:val="0"/>
      <w:divBdr>
        <w:top w:val="none" w:sz="0" w:space="0" w:color="auto"/>
        <w:left w:val="none" w:sz="0" w:space="0" w:color="auto"/>
        <w:bottom w:val="none" w:sz="0" w:space="0" w:color="auto"/>
        <w:right w:val="none" w:sz="0" w:space="0" w:color="auto"/>
      </w:divBdr>
    </w:div>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 w:id="1388988007">
      <w:bodyDiv w:val="1"/>
      <w:marLeft w:val="0"/>
      <w:marRight w:val="0"/>
      <w:marTop w:val="0"/>
      <w:marBottom w:val="0"/>
      <w:divBdr>
        <w:top w:val="none" w:sz="0" w:space="0" w:color="auto"/>
        <w:left w:val="none" w:sz="0" w:space="0" w:color="auto"/>
        <w:bottom w:val="none" w:sz="0" w:space="0" w:color="auto"/>
        <w:right w:val="none" w:sz="0" w:space="0" w:color="auto"/>
      </w:divBdr>
    </w:div>
    <w:div w:id="153572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61D19091-172C-4CB2-955B-E5AE3C692DC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8375</Words>
  <Characters>46068</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2026-02-27T17:59:00Z</cp:lastPrinted>
  <dcterms:created xsi:type="dcterms:W3CDTF">2026-03-25T23:02:00Z</dcterms:created>
  <dcterms:modified xsi:type="dcterms:W3CDTF">2026-03-25T23:02:00Z</dcterms:modified>
</cp:coreProperties>
</file>