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3CB6" w:rsidRDefault="00E26435">
      <w:pPr>
        <w:spacing w:line="360" w:lineRule="auto"/>
        <w:ind w:right="-591"/>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Resolución del Pleno del Instituto de Transparencia, Acceso a la Información Pública y Protección de Datos Personales del Estado de México y Municipios, con domicilio en Metepec, Estado de México, </w:t>
      </w:r>
      <w:r>
        <w:rPr>
          <w:rFonts w:ascii="Palatino Linotype" w:eastAsia="Palatino Linotype" w:hAnsi="Palatino Linotype" w:cs="Palatino Linotype"/>
          <w:b/>
          <w:bCs/>
        </w:rPr>
        <w:t>de fecha</w:t>
      </w:r>
      <w:r>
        <w:rPr>
          <w:rFonts w:ascii="Palatino Linotype" w:eastAsia="Palatino Linotype" w:hAnsi="Palatino Linotype" w:cs="Palatino Linotype"/>
          <w:b/>
          <w:bCs/>
          <w:color w:val="000000"/>
        </w:rPr>
        <w:t xml:space="preserve"> veinte (20) de Mayo de dos mil veintiséis.</w:t>
      </w:r>
    </w:p>
    <w:p w:rsidR="00953CB6" w:rsidRDefault="00953CB6">
      <w:pPr>
        <w:spacing w:line="360" w:lineRule="auto"/>
        <w:ind w:right="-591"/>
        <w:jc w:val="both"/>
        <w:rPr>
          <w:rFonts w:ascii="Palatino Linotype" w:eastAsia="Palatino Linotype" w:hAnsi="Palatino Linotype" w:cs="Palatino Linotype"/>
          <w:color w:val="000000"/>
        </w:rPr>
      </w:pPr>
    </w:p>
    <w:p w:rsidR="00953CB6" w:rsidRDefault="00E26435">
      <w:pPr>
        <w:spacing w:line="360" w:lineRule="auto"/>
        <w:ind w:right="-591"/>
        <w:jc w:val="both"/>
        <w:rPr>
          <w:rFonts w:ascii="Palatino Linotype" w:eastAsia="Palatino Linotype" w:hAnsi="Palatino Linotype" w:cs="Palatino Linotype"/>
        </w:rPr>
      </w:pPr>
      <w:r>
        <w:rPr>
          <w:rFonts w:ascii="Palatino Linotype" w:eastAsia="Palatino Linotype" w:hAnsi="Palatino Linotype" w:cs="Palatino Linotype"/>
          <w:b/>
          <w:bCs/>
        </w:rPr>
        <w:t>VISTO</w:t>
      </w:r>
      <w:r>
        <w:rPr>
          <w:rFonts w:ascii="Palatino Linotype" w:eastAsia="Palatino Linotype" w:hAnsi="Palatino Linotype" w:cs="Palatino Linotype"/>
        </w:rPr>
        <w:t xml:space="preserve"> el expediente electrónico formado con motivo del Recurso de Revisión </w:t>
      </w:r>
      <w:r w:rsidR="005F6397">
        <w:rPr>
          <w:rFonts w:ascii="Palatino Linotype" w:eastAsia="Palatino Linotype" w:hAnsi="Palatino Linotype" w:cs="Palatino Linotype"/>
          <w:b/>
          <w:bCs/>
        </w:rPr>
        <w:t>01123/INFOEM/IP/RR/2026</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promovido por </w:t>
      </w:r>
      <w:r w:rsidR="002B4F9B">
        <w:rPr>
          <w:rFonts w:ascii="Palatino Linotype" w:eastAsia="Palatino Linotype" w:hAnsi="Palatino Linotype" w:cs="Palatino Linotype"/>
          <w:b/>
          <w:bCs/>
        </w:rPr>
        <w:t>XXXX</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a quien en lo sucesivo se le denominará 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en contra de la respuesta del </w:t>
      </w:r>
      <w:r>
        <w:rPr>
          <w:rFonts w:ascii="Palatino Linotype" w:eastAsia="Palatino Linotype" w:hAnsi="Palatino Linotype" w:cs="Palatino Linotype"/>
          <w:b/>
          <w:bCs/>
        </w:rPr>
        <w:t>Sistema Municipal para el Desarrollo Integral de la Familia de Tlalmanalco,</w:t>
      </w:r>
      <w:r>
        <w:rPr>
          <w:rFonts w:ascii="Palatino Linotype" w:eastAsia="Palatino Linotype" w:hAnsi="Palatino Linotype" w:cs="Palatino Linotype"/>
        </w:rPr>
        <w:t xml:space="preserve"> en adelante el</w:t>
      </w:r>
      <w:r>
        <w:rPr>
          <w:rFonts w:ascii="Palatino Linotype" w:eastAsia="Palatino Linotype" w:hAnsi="Palatino Linotype" w:cs="Palatino Linotype"/>
          <w:b/>
          <w:bCs/>
        </w:rPr>
        <w:t xml:space="preserve"> SUJETO OBLIGADO</w:t>
      </w:r>
      <w:r>
        <w:rPr>
          <w:rFonts w:ascii="Palatino Linotype" w:eastAsia="Palatino Linotype" w:hAnsi="Palatino Linotype" w:cs="Palatino Linotype"/>
        </w:rPr>
        <w:t xml:space="preserve">, por lo que se procede a dictar la presente resolución, con base en los siguientes: </w:t>
      </w:r>
    </w:p>
    <w:p w:rsidR="00953CB6" w:rsidRDefault="00953CB6">
      <w:pPr>
        <w:spacing w:line="360" w:lineRule="auto"/>
        <w:ind w:right="-591"/>
        <w:jc w:val="both"/>
        <w:rPr>
          <w:rFonts w:ascii="Palatino Linotype" w:eastAsia="Palatino Linotype" w:hAnsi="Palatino Linotype" w:cs="Palatino Linotype"/>
          <w:b/>
          <w:bCs/>
        </w:rPr>
      </w:pPr>
    </w:p>
    <w:p w:rsidR="00953CB6" w:rsidRDefault="00E26435">
      <w:pPr>
        <w:keepNext/>
        <w:keepLines/>
        <w:spacing w:line="360" w:lineRule="auto"/>
        <w:ind w:right="-591"/>
        <w:jc w:val="center"/>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A N T E C E D E N T E S</w:t>
      </w:r>
    </w:p>
    <w:p w:rsidR="00953CB6" w:rsidRDefault="00953CB6">
      <w:pPr>
        <w:spacing w:line="360" w:lineRule="auto"/>
        <w:ind w:right="-591"/>
        <w:jc w:val="both"/>
        <w:rPr>
          <w:rFonts w:ascii="Palatino Linotype" w:eastAsia="Palatino Linotype" w:hAnsi="Palatino Linotype" w:cs="Palatino Linotype"/>
          <w:color w:val="000000"/>
        </w:rPr>
      </w:pPr>
    </w:p>
    <w:p w:rsidR="00953CB6" w:rsidRDefault="00E26435">
      <w:pPr>
        <w:numPr>
          <w:ilvl w:val="0"/>
          <w:numId w:val="1"/>
        </w:numPr>
        <w:spacing w:line="360" w:lineRule="auto"/>
        <w:ind w:left="0" w:right="-591"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En fecha  diecisiete de junio de dos mil veinticinco se presentó ante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vía Sistema de Acceso a la Información; </w:t>
      </w:r>
      <w:r>
        <w:rPr>
          <w:rFonts w:ascii="Palatino Linotype" w:eastAsia="Palatino Linotype" w:hAnsi="Palatino Linotype" w:cs="Palatino Linotype"/>
          <w:color w:val="000000"/>
        </w:rPr>
        <w:t xml:space="preserve">(SAIMEX), la solicitud de información pública, con el número de </w:t>
      </w:r>
      <w:r>
        <w:rPr>
          <w:rFonts w:ascii="Palatino Linotype" w:eastAsia="Palatino Linotype" w:hAnsi="Palatino Linotype" w:cs="Palatino Linotype"/>
        </w:rPr>
        <w:t>expediente</w:t>
      </w:r>
      <w:r>
        <w:rPr>
          <w:rFonts w:ascii="Palatino Linotype" w:eastAsia="Palatino Linotype" w:hAnsi="Palatino Linotype" w:cs="Palatino Linotype"/>
          <w:b/>
          <w:bCs/>
        </w:rPr>
        <w:t xml:space="preserve"> 00038/DIFTLALMANALCO/IP/2025</w:t>
      </w:r>
      <w:r>
        <w:rPr>
          <w:rFonts w:ascii="Palatino Linotype" w:eastAsia="Palatino Linotype" w:hAnsi="Palatino Linotype" w:cs="Palatino Linotype"/>
        </w:rPr>
        <w:t>, en la que se solicitó lo siguiente:</w:t>
      </w:r>
    </w:p>
    <w:p w:rsidR="00953CB6" w:rsidRDefault="00953CB6">
      <w:pPr>
        <w:ind w:right="-591"/>
        <w:jc w:val="both"/>
        <w:rPr>
          <w:rFonts w:ascii="Palatino Linotype" w:eastAsia="Palatino Linotype" w:hAnsi="Palatino Linotype" w:cs="Palatino Linotype"/>
        </w:rPr>
      </w:pPr>
    </w:p>
    <w:p w:rsidR="00953CB6" w:rsidRDefault="00E26435">
      <w:pPr>
        <w:pBdr>
          <w:top w:val="nil"/>
          <w:left w:val="nil"/>
          <w:bottom w:val="nil"/>
          <w:right w:val="nil"/>
          <w:between w:val="nil"/>
        </w:pBdr>
        <w:ind w:left="1134" w:right="-59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“PADRON DE BENEFICIARIOS DE LOS ADULTOS MAYORES QUE RECIBEN CUALQUIER TIPO DE APOYO EN EL DIF DE TLALMANALCO, EL PADRON DEBERA CONTENER EL NOMBRE, EDAD Y SI SON RESIDENTES DEL MUNICIPIO DE TLALMANALCO, SI TIENEN ALGUN TIPO DE PARENTESCO CON ALGUNO DE LOS SERVIDORES PUBLICOS DEL MUNICIPIO O DE SUS ORGANISMOS AUTONOMOS, DEBIENDO DETALLAR ADEMAS QUE TIPO DE BENEFICIO RECIBEN (APOYOS FUNCIONALES, COBIJAS, LAMINAS, EXCURSIONES, OBSEQUIOS, ETC) ADICIONALMENTE SE REQUIERE EL PADRON DE PERSONAS CON CUALQUIER TIPO DE DISCAPACIDAD O QUE POR CUALQUIER OTRA RAZON SE PRESENTEN EN DICHAS </w:t>
      </w:r>
      <w:r>
        <w:rPr>
          <w:rFonts w:ascii="Palatino Linotype" w:eastAsia="Palatino Linotype" w:hAnsi="Palatino Linotype" w:cs="Palatino Linotype"/>
          <w:i/>
          <w:iCs/>
          <w:color w:val="000000"/>
        </w:rPr>
        <w:lastRenderedPageBreak/>
        <w:t xml:space="preserve">INSTALACIONES Y QUE SON ATENDIDAS EN EL UBRIS DE TLALMANALCO, DEBIENDO CONSIDERAR EL NOMBRE, SI SON RESIDENTES DEL MUNICIPIO Y QUE TIPO DE ATENCION RECIBEN EL PADRON DE ADULTOS MAYORES Y EL DE PERSONAS QUE SON ATENDIDAS EN EL UBRIS; PADRON DE BENEFICIARIOS DE LOS APOYOS QUE SE DEN A PERSONAS HABITANTES DEL MUNICIPIO (APOYO DE CUALQUIER TIPO) SE LE REQUIERE EN FORMATO PDF” (Sic) </w:t>
      </w:r>
    </w:p>
    <w:p w:rsidR="00953CB6" w:rsidRDefault="00953CB6">
      <w:pPr>
        <w:pBdr>
          <w:top w:val="nil"/>
          <w:left w:val="nil"/>
          <w:bottom w:val="nil"/>
          <w:right w:val="nil"/>
          <w:between w:val="nil"/>
        </w:pBdr>
        <w:spacing w:line="360" w:lineRule="auto"/>
        <w:ind w:left="567" w:right="-591"/>
        <w:jc w:val="both"/>
        <w:rPr>
          <w:rFonts w:ascii="Palatino Linotype" w:eastAsia="Palatino Linotype" w:hAnsi="Palatino Linotype" w:cs="Palatino Linotype"/>
          <w:color w:val="000000"/>
        </w:rPr>
      </w:pPr>
    </w:p>
    <w:p w:rsidR="00953CB6" w:rsidRDefault="00E26435">
      <w:pPr>
        <w:numPr>
          <w:ilvl w:val="0"/>
          <w:numId w:val="10"/>
        </w:numPr>
        <w:pBdr>
          <w:top w:val="nil"/>
          <w:left w:val="nil"/>
          <w:bottom w:val="nil"/>
          <w:right w:val="nil"/>
          <w:between w:val="nil"/>
        </w:pBdr>
        <w:spacing w:line="360" w:lineRule="auto"/>
        <w:ind w:right="-591"/>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t>Modalidad de entrega de la información</w:t>
      </w:r>
      <w:r>
        <w:rPr>
          <w:rFonts w:ascii="Palatino Linotype" w:eastAsia="Palatino Linotype" w:hAnsi="Palatino Linotype" w:cs="Palatino Linotype"/>
          <w:color w:val="000000"/>
        </w:rPr>
        <w:t xml:space="preserve">: a través del </w:t>
      </w:r>
      <w:r>
        <w:rPr>
          <w:rFonts w:ascii="Palatino Linotype" w:eastAsia="Palatino Linotype" w:hAnsi="Palatino Linotype" w:cs="Palatino Linotype"/>
          <w:b/>
          <w:bCs/>
          <w:color w:val="000000"/>
        </w:rPr>
        <w:t>SAIMEX.</w:t>
      </w:r>
    </w:p>
    <w:p w:rsidR="00953CB6" w:rsidRDefault="00953CB6">
      <w:pPr>
        <w:spacing w:line="360" w:lineRule="auto"/>
        <w:ind w:right="-591"/>
        <w:jc w:val="both"/>
        <w:rPr>
          <w:rFonts w:ascii="Palatino Linotype" w:eastAsia="Palatino Linotype" w:hAnsi="Palatino Linotype" w:cs="Palatino Linotype"/>
          <w:color w:val="000000"/>
        </w:rPr>
      </w:pPr>
    </w:p>
    <w:p w:rsidR="00953CB6" w:rsidRDefault="00E26435">
      <w:pPr>
        <w:numPr>
          <w:ilvl w:val="0"/>
          <w:numId w:val="1"/>
        </w:numPr>
        <w:pBdr>
          <w:top w:val="nil"/>
          <w:left w:val="nil"/>
          <w:bottom w:val="nil"/>
          <w:right w:val="nil"/>
          <w:between w:val="nil"/>
        </w:pBdr>
        <w:spacing w:before="240" w:line="360" w:lineRule="auto"/>
        <w:ind w:left="0" w:right="-591"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De las constancias que obran en el expediente electrónico del </w:t>
      </w:r>
      <w:r>
        <w:rPr>
          <w:rFonts w:ascii="Palatino Linotype" w:eastAsia="Palatino Linotype" w:hAnsi="Palatino Linotype" w:cs="Palatino Linotype"/>
          <w:b/>
          <w:bCs/>
          <w:color w:val="000000"/>
        </w:rPr>
        <w:t xml:space="preserve">SAIMEX, </w:t>
      </w:r>
      <w:r>
        <w:rPr>
          <w:rFonts w:ascii="Palatino Linotype" w:eastAsia="Palatino Linotype" w:hAnsi="Palatino Linotype" w:cs="Palatino Linotype"/>
          <w:color w:val="000000"/>
        </w:rPr>
        <w:t xml:space="preserve">se advierte que en fecha </w:t>
      </w:r>
      <w:r>
        <w:rPr>
          <w:rFonts w:ascii="Palatino Linotype" w:eastAsia="Palatino Linotype" w:hAnsi="Palatino Linotype" w:cs="Palatino Linotype"/>
          <w:b/>
          <w:bCs/>
          <w:color w:val="000000"/>
        </w:rPr>
        <w:t xml:space="preserve">trece de enero de dos mil veintiséis, El Sujeto Obligado </w:t>
      </w:r>
      <w:r>
        <w:rPr>
          <w:rFonts w:ascii="Palatino Linotype" w:eastAsia="Palatino Linotype" w:hAnsi="Palatino Linotype" w:cs="Palatino Linotype"/>
          <w:color w:val="000000"/>
        </w:rPr>
        <w:t xml:space="preserve">solicitó prórroga de siete días para recabar la información solicitada y dar cumplimiento a lo requerido por </w:t>
      </w:r>
      <w:r>
        <w:rPr>
          <w:rFonts w:ascii="Palatino Linotype" w:eastAsia="Palatino Linotype" w:hAnsi="Palatino Linotype" w:cs="Palatino Linotype"/>
          <w:b/>
          <w:bCs/>
          <w:color w:val="000000"/>
        </w:rPr>
        <w:t xml:space="preserve">La Recurrente, </w:t>
      </w:r>
      <w:r>
        <w:rPr>
          <w:rFonts w:ascii="Palatino Linotype" w:eastAsia="Palatino Linotype" w:hAnsi="Palatino Linotype" w:cs="Palatino Linotype"/>
          <w:color w:val="000000"/>
        </w:rPr>
        <w:t>advirtiendo que dicha prórroga</w:t>
      </w:r>
      <w:r>
        <w:rPr>
          <w:rFonts w:ascii="Palatino Linotype" w:eastAsia="Palatino Linotype" w:hAnsi="Palatino Linotype" w:cs="Palatino Linotype"/>
          <w:b/>
          <w:bCs/>
          <w:color w:val="000000"/>
        </w:rPr>
        <w:t xml:space="preserve"> NO</w:t>
      </w:r>
      <w:r>
        <w:rPr>
          <w:rFonts w:ascii="Palatino Linotype" w:eastAsia="Palatino Linotype" w:hAnsi="Palatino Linotype" w:cs="Palatino Linotype"/>
          <w:color w:val="000000"/>
        </w:rPr>
        <w:t xml:space="preserve"> cumple con lo establecido en el artículo 49, fracción II, así como en el artículo 163 segundo párrafo, de la Ley de Transparencia y Acceso a la Información Pública del Estado de México y Municipios.</w:t>
      </w:r>
    </w:p>
    <w:p w:rsidR="00953CB6" w:rsidRDefault="00953CB6">
      <w:pPr>
        <w:spacing w:line="360" w:lineRule="auto"/>
        <w:ind w:right="-591"/>
        <w:jc w:val="both"/>
        <w:rPr>
          <w:rFonts w:ascii="Palatino Linotype" w:eastAsia="Palatino Linotype" w:hAnsi="Palatino Linotype" w:cs="Palatino Linotype"/>
        </w:rPr>
      </w:pPr>
    </w:p>
    <w:p w:rsidR="00953CB6" w:rsidRDefault="00E26435">
      <w:pPr>
        <w:numPr>
          <w:ilvl w:val="0"/>
          <w:numId w:val="1"/>
        </w:numPr>
        <w:spacing w:line="360" w:lineRule="auto"/>
        <w:ind w:left="0" w:right="-591"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El veintidós de enero de dos mil veintiséis, el </w:t>
      </w:r>
      <w:r>
        <w:rPr>
          <w:rFonts w:ascii="Palatino Linotype" w:eastAsia="Palatino Linotype" w:hAnsi="Palatino Linotype" w:cs="Palatino Linotype"/>
          <w:b/>
          <w:bCs/>
        </w:rPr>
        <w:t>SUJETO OBLIGADO</w:t>
      </w:r>
      <w:r>
        <w:rPr>
          <w:rFonts w:ascii="Palatino Linotype" w:eastAsia="Palatino Linotype" w:hAnsi="Palatino Linotype" w:cs="Palatino Linotype"/>
          <w:b/>
          <w:bCs/>
          <w:i/>
          <w:iCs/>
        </w:rPr>
        <w:t xml:space="preserve"> </w:t>
      </w:r>
      <w:r>
        <w:rPr>
          <w:rFonts w:ascii="Palatino Linotype" w:eastAsia="Palatino Linotype" w:hAnsi="Palatino Linotype" w:cs="Palatino Linotype"/>
        </w:rPr>
        <w:t>dio respuesta a la solicitud de información, adjuntando dos archivos electrónicos,  que en cuestión de este recurso  refieren lo siguiente:</w:t>
      </w:r>
    </w:p>
    <w:p w:rsidR="00953CB6" w:rsidRDefault="00953CB6">
      <w:pPr>
        <w:ind w:right="-591"/>
        <w:jc w:val="both"/>
        <w:rPr>
          <w:rFonts w:ascii="Palatino Linotype" w:eastAsia="Palatino Linotype" w:hAnsi="Palatino Linotype" w:cs="Palatino Linotype"/>
        </w:rPr>
      </w:pPr>
    </w:p>
    <w:p w:rsidR="00953CB6" w:rsidRDefault="00E26435">
      <w:pPr>
        <w:numPr>
          <w:ilvl w:val="0"/>
          <w:numId w:val="10"/>
        </w:numPr>
        <w:pBdr>
          <w:top w:val="nil"/>
          <w:left w:val="nil"/>
          <w:bottom w:val="nil"/>
          <w:right w:val="nil"/>
          <w:between w:val="nil"/>
        </w:pBdr>
        <w:ind w:right="-59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color w:val="000000"/>
        </w:rPr>
        <w:t xml:space="preserve">PRESIDENCIA.rar </w:t>
      </w:r>
      <w:r>
        <w:rPr>
          <w:rFonts w:ascii="Palatino Linotype" w:eastAsia="Palatino Linotype" w:hAnsi="Palatino Linotype" w:cs="Palatino Linotype"/>
          <w:i/>
          <w:iCs/>
          <w:color w:val="000000"/>
        </w:rPr>
        <w:t xml:space="preserve">Contiene archivo denominado </w:t>
      </w:r>
      <w:r>
        <w:rPr>
          <w:rFonts w:ascii="Palatino Linotype" w:eastAsia="Palatino Linotype" w:hAnsi="Palatino Linotype" w:cs="Palatino Linotype"/>
          <w:b/>
          <w:bCs/>
          <w:i/>
          <w:iCs/>
          <w:color w:val="000000"/>
        </w:rPr>
        <w:t xml:space="preserve">PADRÓN DE BENEFICIARIOS.pdf </w:t>
      </w:r>
      <w:r>
        <w:rPr>
          <w:rFonts w:ascii="Palatino Linotype" w:eastAsia="Palatino Linotype" w:hAnsi="Palatino Linotype" w:cs="Palatino Linotype"/>
          <w:i/>
          <w:iCs/>
          <w:color w:val="000000"/>
        </w:rPr>
        <w:t xml:space="preserve">donde se entrega versión publica de padrón de beneficiarios de tinacos, láminas, cubetas de pintura, cubetas de impermeabilizante, colchonetas y cobertores, se testó CURP, NOMBRE y TELÉFONO; así mismo contiene archivo </w:t>
      </w:r>
      <w:r>
        <w:rPr>
          <w:rFonts w:ascii="Palatino Linotype" w:eastAsia="Palatino Linotype" w:hAnsi="Palatino Linotype" w:cs="Palatino Linotype"/>
          <w:b/>
          <w:bCs/>
          <w:i/>
          <w:iCs/>
          <w:color w:val="000000"/>
        </w:rPr>
        <w:t xml:space="preserve">SOLICITUD 0038 PRESIDENCIA.pdf  </w:t>
      </w:r>
      <w:r>
        <w:rPr>
          <w:rFonts w:ascii="Palatino Linotype" w:eastAsia="Palatino Linotype" w:hAnsi="Palatino Linotype" w:cs="Palatino Linotype"/>
          <w:i/>
          <w:iCs/>
          <w:color w:val="000000"/>
        </w:rPr>
        <w:t xml:space="preserve">donde la Presidente Honorifico refiere la entrega de lo solicitado, señalando que se entregaron 67 tinacos, 37 laminas, 23 cubetas de pintura, 33 cubetas de impermeabilizante, 79 colchonetas, 1172 cobertores y 700 juguetes, así como tales padrones contienen satos personales susceptibles de </w:t>
      </w:r>
      <w:r>
        <w:rPr>
          <w:rFonts w:ascii="Palatino Linotype" w:eastAsia="Palatino Linotype" w:hAnsi="Palatino Linotype" w:cs="Palatino Linotype"/>
          <w:i/>
          <w:iCs/>
          <w:color w:val="000000"/>
        </w:rPr>
        <w:lastRenderedPageBreak/>
        <w:t>clasificación, por lo que refiere la entrega de acta de la primera sesión extraordinaria del Comité de Transparencia que sustente las versione públicas entregadas.</w:t>
      </w:r>
    </w:p>
    <w:p w:rsidR="00953CB6" w:rsidRDefault="00953CB6">
      <w:pPr>
        <w:ind w:left="1134" w:right="-591"/>
        <w:jc w:val="both"/>
        <w:rPr>
          <w:rFonts w:ascii="Palatino Linotype" w:eastAsia="Palatino Linotype" w:hAnsi="Palatino Linotype" w:cs="Palatino Linotype"/>
          <w:i/>
          <w:iCs/>
        </w:rPr>
      </w:pPr>
    </w:p>
    <w:p w:rsidR="00953CB6" w:rsidRDefault="00E26435">
      <w:pPr>
        <w:numPr>
          <w:ilvl w:val="0"/>
          <w:numId w:val="10"/>
        </w:numPr>
        <w:pBdr>
          <w:top w:val="nil"/>
          <w:left w:val="nil"/>
          <w:bottom w:val="nil"/>
          <w:right w:val="nil"/>
          <w:between w:val="nil"/>
        </w:pBdr>
        <w:ind w:right="-59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color w:val="000000"/>
        </w:rPr>
        <w:t xml:space="preserve">UBRIS.pdf </w:t>
      </w:r>
      <w:r>
        <w:rPr>
          <w:rFonts w:ascii="Palatino Linotype" w:eastAsia="Palatino Linotype" w:hAnsi="Palatino Linotype" w:cs="Palatino Linotype"/>
          <w:i/>
          <w:iCs/>
          <w:color w:val="000000"/>
        </w:rPr>
        <w:t>Donde titular de la unidad de transparencia remite la solicitud de información a Coordinador de la Unidad Básica de Rehabilitación e Integración Social, quien refirió que no se localizó padrón alguno de personas con cualquier tipo de discapacidad ni de personas atendidas con cualquier tipo de discapacidad toda vez que no se generan padrones en dicha área.</w:t>
      </w:r>
    </w:p>
    <w:p w:rsidR="00953CB6" w:rsidRDefault="00953CB6">
      <w:pPr>
        <w:ind w:left="774" w:right="-591"/>
        <w:jc w:val="both"/>
        <w:rPr>
          <w:rFonts w:ascii="Palatino Linotype" w:eastAsia="Palatino Linotype" w:hAnsi="Palatino Linotype" w:cs="Palatino Linotype"/>
          <w:i/>
          <w:iCs/>
        </w:rPr>
      </w:pPr>
    </w:p>
    <w:p w:rsidR="00953CB6" w:rsidRDefault="00E26435">
      <w:pPr>
        <w:numPr>
          <w:ilvl w:val="0"/>
          <w:numId w:val="10"/>
        </w:numPr>
        <w:pBdr>
          <w:top w:val="nil"/>
          <w:left w:val="nil"/>
          <w:bottom w:val="nil"/>
          <w:right w:val="nil"/>
          <w:between w:val="nil"/>
        </w:pBdr>
        <w:ind w:right="-59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color w:val="000000"/>
        </w:rPr>
        <w:t xml:space="preserve">NUTRICION.rar </w:t>
      </w:r>
      <w:r>
        <w:rPr>
          <w:rFonts w:ascii="Palatino Linotype" w:eastAsia="Palatino Linotype" w:hAnsi="Palatino Linotype" w:cs="Palatino Linotype"/>
          <w:i/>
          <w:iCs/>
          <w:color w:val="000000"/>
        </w:rPr>
        <w:t xml:space="preserve">Contiene archivo denominado </w:t>
      </w:r>
      <w:r>
        <w:rPr>
          <w:rFonts w:ascii="Palatino Linotype" w:eastAsia="Palatino Linotype" w:hAnsi="Palatino Linotype" w:cs="Palatino Linotype"/>
          <w:b/>
          <w:bCs/>
          <w:i/>
          <w:iCs/>
          <w:color w:val="000000"/>
        </w:rPr>
        <w:t xml:space="preserve">PADRÓN DE BENEFICIARIOS.pdf </w:t>
      </w:r>
      <w:r>
        <w:rPr>
          <w:rFonts w:ascii="Palatino Linotype" w:eastAsia="Palatino Linotype" w:hAnsi="Palatino Linotype" w:cs="Palatino Linotype"/>
          <w:i/>
          <w:iCs/>
          <w:color w:val="000000"/>
        </w:rPr>
        <w:t xml:space="preserve">donde se entrega versión publica de padrón de beneficiarios de canastas alimentarias donde testó  CURP, NOMBRE Y TELÉFONO, así mismo el archivo </w:t>
      </w:r>
      <w:r>
        <w:rPr>
          <w:rFonts w:ascii="Palatino Linotype" w:eastAsia="Palatino Linotype" w:hAnsi="Palatino Linotype" w:cs="Palatino Linotype"/>
          <w:b/>
          <w:bCs/>
          <w:i/>
          <w:iCs/>
          <w:color w:val="000000"/>
        </w:rPr>
        <w:t xml:space="preserve">SOLICITUD 0038 NUTRICION.pdf </w:t>
      </w:r>
      <w:r>
        <w:rPr>
          <w:rFonts w:ascii="Palatino Linotype" w:eastAsia="Palatino Linotype" w:hAnsi="Palatino Linotype" w:cs="Palatino Linotype"/>
          <w:i/>
          <w:iCs/>
          <w:color w:val="000000"/>
        </w:rPr>
        <w:t>donde titular de la unidad de transparencia remite la solicitud de información a la coordinadora de nutrición, quien refirió que el documento que pudiera colmar la solicitud contiene datos personales como nombre, curp, teléfono y domicilio, refiere finalmente acta de la primera sesión extraordinaria que sustente la versión pública entregada.</w:t>
      </w:r>
    </w:p>
    <w:p w:rsidR="00953CB6" w:rsidRDefault="00953CB6">
      <w:pPr>
        <w:ind w:left="1134" w:right="-591"/>
        <w:jc w:val="both"/>
        <w:rPr>
          <w:rFonts w:ascii="Palatino Linotype" w:eastAsia="Palatino Linotype" w:hAnsi="Palatino Linotype" w:cs="Palatino Linotype"/>
        </w:rPr>
      </w:pPr>
    </w:p>
    <w:p w:rsidR="00953CB6" w:rsidRDefault="00E26435">
      <w:pPr>
        <w:numPr>
          <w:ilvl w:val="0"/>
          <w:numId w:val="10"/>
        </w:numPr>
        <w:pBdr>
          <w:top w:val="nil"/>
          <w:left w:val="nil"/>
          <w:bottom w:val="nil"/>
          <w:right w:val="nil"/>
          <w:between w:val="nil"/>
        </w:pBdr>
        <w:ind w:right="-59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OFICIO.pdf </w:t>
      </w:r>
      <w:r>
        <w:rPr>
          <w:rFonts w:ascii="Palatino Linotype" w:eastAsia="Palatino Linotype" w:hAnsi="Palatino Linotype" w:cs="Palatino Linotype"/>
          <w:i/>
          <w:iCs/>
          <w:color w:val="000000"/>
        </w:rPr>
        <w:t>Donde titular de la Unidad de Transparencia refirió que los apoyos que se promueven son entregados por el Sistema para el Desarrollo Integral de la Familia del Estado de México y que el Sujeto Obligado no ha otorgado ningún tipo de apoyo económico o en especie relacionado con lo solicitado.</w:t>
      </w:r>
    </w:p>
    <w:p w:rsidR="00953CB6" w:rsidRDefault="00953CB6">
      <w:pPr>
        <w:pBdr>
          <w:top w:val="nil"/>
          <w:left w:val="nil"/>
          <w:bottom w:val="nil"/>
          <w:right w:val="nil"/>
          <w:between w:val="nil"/>
        </w:pBdr>
        <w:ind w:left="720" w:right="-591"/>
        <w:rPr>
          <w:rFonts w:ascii="Palatino Linotype" w:eastAsia="Palatino Linotype" w:hAnsi="Palatino Linotype" w:cs="Palatino Linotype"/>
          <w:b/>
          <w:bCs/>
          <w:color w:val="000000"/>
        </w:rPr>
      </w:pPr>
    </w:p>
    <w:p w:rsidR="00953CB6" w:rsidRDefault="00E26435">
      <w:pPr>
        <w:numPr>
          <w:ilvl w:val="0"/>
          <w:numId w:val="10"/>
        </w:numPr>
        <w:pBdr>
          <w:top w:val="nil"/>
          <w:left w:val="nil"/>
          <w:bottom w:val="nil"/>
          <w:right w:val="nil"/>
          <w:between w:val="nil"/>
        </w:pBdr>
        <w:ind w:right="-59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color w:val="000000"/>
        </w:rPr>
        <w:t xml:space="preserve">CAAM.rar </w:t>
      </w:r>
      <w:r>
        <w:rPr>
          <w:rFonts w:ascii="Palatino Linotype" w:eastAsia="Palatino Linotype" w:hAnsi="Palatino Linotype" w:cs="Palatino Linotype"/>
          <w:i/>
          <w:iCs/>
          <w:color w:val="000000"/>
        </w:rPr>
        <w:t xml:space="preserve">Contiene archivo denominado </w:t>
      </w:r>
      <w:r>
        <w:rPr>
          <w:rFonts w:ascii="Palatino Linotype" w:eastAsia="Palatino Linotype" w:hAnsi="Palatino Linotype" w:cs="Palatino Linotype"/>
          <w:b/>
          <w:bCs/>
          <w:i/>
          <w:iCs/>
          <w:color w:val="000000"/>
        </w:rPr>
        <w:t xml:space="preserve">PADRÓN DE BENEFICIARIOS.pdf </w:t>
      </w:r>
      <w:r>
        <w:rPr>
          <w:rFonts w:ascii="Palatino Linotype" w:eastAsia="Palatino Linotype" w:hAnsi="Palatino Linotype" w:cs="Palatino Linotype"/>
          <w:i/>
          <w:iCs/>
          <w:color w:val="000000"/>
        </w:rPr>
        <w:t xml:space="preserve">donde se entrega versión publica de padrón de adultos mayores  beneficiarios de sillas de ruedas, andaderas fijas, andador con ruedas y asiento, bastón de un punto, pañales, sillas de ruedas, andaderas, bastones de cuatro puntos, pants deportivos, auditivos y  cobertores,  donde testó  CURP y NOMBRE, así mismo el archivo </w:t>
      </w:r>
      <w:r>
        <w:rPr>
          <w:rFonts w:ascii="Palatino Linotype" w:eastAsia="Palatino Linotype" w:hAnsi="Palatino Linotype" w:cs="Palatino Linotype"/>
          <w:b/>
          <w:bCs/>
          <w:i/>
          <w:iCs/>
          <w:color w:val="000000"/>
        </w:rPr>
        <w:t xml:space="preserve">SOLICITUD 0038 CAAM.pdf </w:t>
      </w:r>
      <w:r>
        <w:rPr>
          <w:rFonts w:ascii="Palatino Linotype" w:eastAsia="Palatino Linotype" w:hAnsi="Palatino Linotype" w:cs="Palatino Linotype"/>
          <w:i/>
          <w:iCs/>
          <w:color w:val="000000"/>
        </w:rPr>
        <w:t>donde titular de la unidad de transparencia remite la solicitud de información a la coordinadora de nutrición, quien refirió que el documento que pudiera colmar la solicitud contiene datos personales como nombre, curp, teléfono y domicilio, refiere finalmente acta de la primera sesión extraordinaria que sustente la versión pública entregada.</w:t>
      </w:r>
    </w:p>
    <w:p w:rsidR="00953CB6" w:rsidRDefault="00953CB6">
      <w:pPr>
        <w:pBdr>
          <w:top w:val="nil"/>
          <w:left w:val="nil"/>
          <w:bottom w:val="nil"/>
          <w:right w:val="nil"/>
          <w:between w:val="nil"/>
        </w:pBdr>
        <w:ind w:left="720" w:right="-591"/>
        <w:rPr>
          <w:rFonts w:ascii="Palatino Linotype" w:eastAsia="Palatino Linotype" w:hAnsi="Palatino Linotype" w:cs="Palatino Linotype"/>
          <w:i/>
          <w:iCs/>
          <w:color w:val="000000"/>
        </w:rPr>
      </w:pPr>
    </w:p>
    <w:p w:rsidR="00953CB6" w:rsidRDefault="00E26435">
      <w:pPr>
        <w:numPr>
          <w:ilvl w:val="0"/>
          <w:numId w:val="10"/>
        </w:numPr>
        <w:pBdr>
          <w:top w:val="nil"/>
          <w:left w:val="nil"/>
          <w:bottom w:val="nil"/>
          <w:right w:val="nil"/>
          <w:between w:val="nil"/>
        </w:pBdr>
        <w:ind w:right="-591"/>
        <w:jc w:val="both"/>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ACTA01.pdf </w:t>
      </w:r>
      <w:r>
        <w:rPr>
          <w:rFonts w:ascii="Palatino Linotype" w:eastAsia="Palatino Linotype" w:hAnsi="Palatino Linotype" w:cs="Palatino Linotype"/>
          <w:i/>
          <w:iCs/>
          <w:color w:val="000000"/>
        </w:rPr>
        <w:t>Contiene Acta de la Primera Sesión Extraordinaria del Comité de Transparencia UTAIDIF/ACT/EXT/001/2026 donde aprueba por unanimidad clasificar la información como la versión pública del padrón de beneficiarios de apoyos otorgados.</w:t>
      </w:r>
    </w:p>
    <w:p w:rsidR="00953CB6" w:rsidRDefault="00E26435">
      <w:pPr>
        <w:numPr>
          <w:ilvl w:val="0"/>
          <w:numId w:val="1"/>
        </w:numPr>
        <w:pBdr>
          <w:top w:val="nil"/>
          <w:left w:val="nil"/>
          <w:bottom w:val="nil"/>
          <w:right w:val="nil"/>
          <w:between w:val="nil"/>
        </w:pBdr>
        <w:spacing w:line="360" w:lineRule="auto"/>
        <w:ind w:left="0" w:right="-59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Inconforme con la respuesta emitida por el Sujeto Obligado, el Recurrente interpuso el presente recurso de revisión el </w:t>
      </w:r>
      <w:r>
        <w:rPr>
          <w:rFonts w:ascii="Palatino Linotype" w:eastAsia="Palatino Linotype" w:hAnsi="Palatino Linotype" w:cs="Palatino Linotype"/>
          <w:b/>
          <w:bCs/>
          <w:color w:val="000000"/>
        </w:rPr>
        <w:t>día veintisiete de enero de dos mil veintiséis</w:t>
      </w:r>
      <w:r>
        <w:rPr>
          <w:rFonts w:ascii="Palatino Linotype" w:eastAsia="Palatino Linotype" w:hAnsi="Palatino Linotype" w:cs="Palatino Linotype"/>
          <w:color w:val="000000"/>
        </w:rPr>
        <w:t xml:space="preserve">, con el expediente número </w:t>
      </w:r>
      <w:r>
        <w:rPr>
          <w:rFonts w:ascii="Palatino Linotype" w:eastAsia="Palatino Linotype" w:hAnsi="Palatino Linotype" w:cs="Palatino Linotype"/>
          <w:b/>
          <w:bCs/>
          <w:color w:val="000000"/>
        </w:rPr>
        <w:t>01123/INFOEM/IP/RR/2026</w:t>
      </w:r>
      <w:r>
        <w:rPr>
          <w:rFonts w:ascii="Palatino Linotype" w:eastAsia="Palatino Linotype" w:hAnsi="Palatino Linotype" w:cs="Palatino Linotype"/>
          <w:color w:val="000000"/>
        </w:rPr>
        <w:t>, manifestando lo siguiente:</w:t>
      </w:r>
    </w:p>
    <w:p w:rsidR="00953CB6" w:rsidRDefault="00953CB6">
      <w:pPr>
        <w:spacing w:line="360" w:lineRule="auto"/>
        <w:ind w:right="-591"/>
        <w:jc w:val="both"/>
        <w:rPr>
          <w:rFonts w:ascii="Palatino Linotype" w:eastAsia="Palatino Linotype" w:hAnsi="Palatino Linotype" w:cs="Palatino Linotype"/>
          <w:color w:val="000000"/>
        </w:rPr>
      </w:pPr>
    </w:p>
    <w:p w:rsidR="00953CB6" w:rsidRDefault="00E26435">
      <w:pPr>
        <w:numPr>
          <w:ilvl w:val="0"/>
          <w:numId w:val="14"/>
        </w:numPr>
        <w:ind w:right="-591"/>
        <w:jc w:val="both"/>
        <w:rPr>
          <w:rFonts w:ascii="Palatino Linotype" w:eastAsia="Palatino Linotype" w:hAnsi="Palatino Linotype" w:cs="Palatino Linotype"/>
          <w:b/>
          <w:bCs/>
        </w:rPr>
      </w:pPr>
      <w:r>
        <w:rPr>
          <w:rFonts w:ascii="Palatino Linotype" w:eastAsia="Palatino Linotype" w:hAnsi="Palatino Linotype" w:cs="Palatino Linotype"/>
          <w:b/>
          <w:bCs/>
        </w:rPr>
        <w:t xml:space="preserve">ACTO IMPUGNADO </w:t>
      </w:r>
    </w:p>
    <w:p w:rsidR="00953CB6" w:rsidRDefault="00E26435">
      <w:pPr>
        <w:ind w:left="567" w:right="-59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 “SE SOLICITO EL PADRON DE BENEFICIARIOS DE LOS ADULTOS MAYORES QUE RECIBEN CUALQUIER TIPO DE APOYO EN EL DIF DE TLALMANALCO, EL PADRON DEBERA CONTENER EL NOMBRE, EDAD Y SI SON RESIDENTES DEL MUNICIPIO DE TLALMANALCO, SI TIENEN ALGUN TIPO DE PARENTESCO CON ALGUNO DE LOS SERVIDORES PUBLICOS DEL MUNICIPIO O DE SUS ORGANISMOS AUTONOMOS, DEBIENDO DETALLAR ADEMAS QUE TIPO DE BENEFICIO RECIBEN (APOYOS FUNCIONALES, COBIJAS, LAMINAS, EXCURSIONES, OBSEQUIOS, ETC) ADICIONALMENTE SE REQUIERE EL PADRON DE PERSONAS CON CUALQUIER TIPO DE DISCAPACIDAD O QUE POR CUALQUIER OTRA RAZON SE PRESENTEN EN DICHAS INSTALACIONES Y QUE SON ATENDIDAS EN EL UBRIS DE TLALMANALCO, DEBIENDO CONSIDERAR EL NOMBRE, SI SON RESIDENTES DEL MUNICIPIO Y QUE TIPO DE ATENCION RECIBEN EL PADRON DE ADULTOS MAYORES Y EL DE PERSONAS QUE SON ATENDIDAS EN EL UBRIS; PADRON DE BENEFICIARIOS DE LOS APOYOS QUE SE DEN A PERSONAS HABITANTES DEL MUNICIPIO (APOYO DE CUALQUIER TIPO) SE LE REQUIERE EN FORMATO PDF” (Sic)</w:t>
      </w:r>
    </w:p>
    <w:p w:rsidR="00953CB6" w:rsidRDefault="00953CB6">
      <w:pPr>
        <w:ind w:left="567" w:right="-591"/>
        <w:jc w:val="both"/>
        <w:rPr>
          <w:rFonts w:ascii="Palatino Linotype" w:eastAsia="Palatino Linotype" w:hAnsi="Palatino Linotype" w:cs="Palatino Linotype"/>
          <w:b/>
          <w:bCs/>
        </w:rPr>
      </w:pPr>
    </w:p>
    <w:p w:rsidR="00953CB6" w:rsidRDefault="00953CB6">
      <w:pPr>
        <w:ind w:left="567" w:right="-591"/>
        <w:jc w:val="both"/>
        <w:rPr>
          <w:rFonts w:ascii="Palatino Linotype" w:eastAsia="Palatino Linotype" w:hAnsi="Palatino Linotype" w:cs="Palatino Linotype"/>
          <w:b/>
          <w:bCs/>
        </w:rPr>
      </w:pPr>
    </w:p>
    <w:p w:rsidR="00953CB6" w:rsidRDefault="00E26435">
      <w:pPr>
        <w:numPr>
          <w:ilvl w:val="0"/>
          <w:numId w:val="13"/>
        </w:numPr>
        <w:ind w:right="-591"/>
        <w:jc w:val="both"/>
        <w:rPr>
          <w:rFonts w:ascii="Palatino Linotype" w:eastAsia="Palatino Linotype" w:hAnsi="Palatino Linotype" w:cs="Palatino Linotype"/>
          <w:b/>
          <w:bCs/>
        </w:rPr>
      </w:pPr>
      <w:r>
        <w:rPr>
          <w:rFonts w:ascii="Palatino Linotype" w:eastAsia="Palatino Linotype" w:hAnsi="Palatino Linotype" w:cs="Palatino Linotype"/>
          <w:b/>
          <w:bCs/>
        </w:rPr>
        <w:t>RAZONES O MOTIVOS DE INCONFORMIDAD</w:t>
      </w:r>
    </w:p>
    <w:p w:rsidR="00953CB6" w:rsidRDefault="00E26435">
      <w:pPr>
        <w:ind w:left="567" w:right="-59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“Los padrones que proporcionan no cuentan con el nombre del beneficiario; clasifican la informacion adjuntando un acta de su comite de transparencia; incumpliendo lo establecido en el articulo Artículo 92. de la LEY DE TRANSPARENCIA Y ACCESO A LA INFORMACIÓN PÚBLICA DEL ESTADO DE MÉXICO Y MUNICIPIOS, el cual textualmente dice que: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XIV. La información de los programas de subsidios, estímulos y apoyos, en el que se deberá informar respecto de los programas de transferencia, de servicios, de infraestructura social y de subsidio, en los que se </w:t>
      </w:r>
      <w:r>
        <w:rPr>
          <w:rFonts w:ascii="Palatino Linotype" w:eastAsia="Palatino Linotype" w:hAnsi="Palatino Linotype" w:cs="Palatino Linotype"/>
          <w:i/>
          <w:iCs/>
          <w:color w:val="000000"/>
        </w:rPr>
        <w:lastRenderedPageBreak/>
        <w:t>deberá contener lo siguiente: p) Padrón de beneficiarios mismo que deberá contener los siguientes datos: nombre de la persona física o denominación social de las personas jurídicas colectivas beneficiadas, el monto, recurso, beneficio o apoyo otorgado para cada una de ellas, unidad territorial, en su caso, edad y sexo. ADJUNTAN UN OFICIO SIN FIRMA POR PARTE DEL TITULAR DE LA UNIDAD DE TRANSPARENCIA DONDE DICE TEXTUALMENTE LO SIGUIENTE: Se hace del conocimiento del solicitante que el Sistema Municipal DIF del Municipio de Tlalmanalco únicamente gestiona los apoyos que se promueven, los cuales son otorgados directamente por el Sistema para el Desarrollo Integral de la Familia del Estado de México. En tal virtud, del presupuesto asignado a este Sistema Municipal no se ha otorgado ningún tipo de apoyo económico o en especie, relacionado con lo solicitado. HACIENDO LA ACLARACION QUE EL HECHO QUE LO QUE ENTREGAN EN BENECIFIO DE LA COMUNIDAD LO ADQUIERA EL DIF ESTADO DE MEXICO NO LOS EXIME DE LLEVAR UN CONTROL DE LOS BENEFICIARIOS, YA QUE EL MISMO ARTICULO ANTES REFERIDO MENCIONA PROGRAMAS DE TRANSFERENCIA; ADEMAS QUE LA ENTREGA LA REALIZA PERSONAL DEL DIF DE TLALMANALCO, LA MISMA PRESIDENTA DEL DIF Y SU PERSONAL. (SE ADJUNTAN FOTOS BAJADAS DE SU PAGINA DE FACEBOOK) ADEMAS SE ADJUNTA UNA CONVOCATORIA EN LA QUE INVITAN A ACUDIR A TRABAJO SOCIAL A REALIZAR EL TRAMITE DE AYUDAS TECNICAS. POR LO QUE LES SOLICITO ATENTAMENTE ME PROPORCIONEN LOS PADRONES DE BENEFICIARIOS, REQUERIDOS INICIALMENTE.” (Sic)</w:t>
      </w:r>
    </w:p>
    <w:p w:rsidR="00953CB6" w:rsidRDefault="00953CB6">
      <w:pPr>
        <w:ind w:left="709" w:right="-591"/>
        <w:jc w:val="both"/>
        <w:rPr>
          <w:rFonts w:ascii="Palatino Linotype" w:eastAsia="Palatino Linotype" w:hAnsi="Palatino Linotype" w:cs="Palatino Linotype"/>
          <w:i/>
          <w:iCs/>
          <w:color w:val="000000"/>
        </w:rPr>
      </w:pPr>
    </w:p>
    <w:p w:rsidR="00953CB6" w:rsidRDefault="00E26435">
      <w:pPr>
        <w:ind w:right="-591"/>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A su inconformidad adjuntó nueve imágenes donde se observan particulares y servidores públicos.</w:t>
      </w:r>
    </w:p>
    <w:p w:rsidR="001C51FB" w:rsidRDefault="001C51FB">
      <w:pPr>
        <w:ind w:right="-591"/>
        <w:jc w:val="both"/>
        <w:rPr>
          <w:rFonts w:ascii="Palatino Linotype" w:eastAsia="Palatino Linotype" w:hAnsi="Palatino Linotype" w:cs="Palatino Linotype"/>
          <w:color w:val="000000"/>
        </w:rPr>
      </w:pPr>
    </w:p>
    <w:p w:rsidR="00953CB6" w:rsidRDefault="00E26435">
      <w:pPr>
        <w:numPr>
          <w:ilvl w:val="0"/>
          <w:numId w:val="1"/>
        </w:numPr>
        <w:spacing w:line="360" w:lineRule="auto"/>
        <w:ind w:left="0" w:right="-591"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 xml:space="preserve">Posteriormente, la Comisionada Ponente con fundamento en lo dispuesto por el artículo 185, fracción II, de la Ley de la materia, a través del acuerdo de admisión del </w:t>
      </w:r>
      <w:r>
        <w:rPr>
          <w:rFonts w:ascii="Palatino Linotype" w:eastAsia="Palatino Linotype" w:hAnsi="Palatino Linotype" w:cs="Palatino Linotype"/>
          <w:b/>
          <w:bCs/>
        </w:rPr>
        <w:t>tres de febrero de dos mil veintiséis</w:t>
      </w:r>
      <w:r>
        <w:rPr>
          <w:rFonts w:ascii="Palatino Linotype" w:eastAsia="Palatino Linotype" w:hAnsi="Palatino Linotype" w:cs="Palatino Linotype"/>
        </w:rPr>
        <w:t xml:space="preserve">, puso a disposición de las partes el expediente electrónico vía </w:t>
      </w:r>
      <w:r>
        <w:rPr>
          <w:rFonts w:ascii="Palatino Linotype" w:eastAsia="Palatino Linotype" w:hAnsi="Palatino Linotype" w:cs="Palatino Linotype"/>
          <w:b/>
          <w:bCs/>
        </w:rPr>
        <w:t xml:space="preserve">SAIMEX </w:t>
      </w:r>
      <w:r>
        <w:rPr>
          <w:rFonts w:ascii="Palatino Linotype" w:eastAsia="Palatino Linotype" w:hAnsi="Palatino Linotype" w:cs="Palatino Linotype"/>
        </w:rPr>
        <w:t xml:space="preserve">a efecto de que en un plazo máximo de siete días manifestara lo que a derecho conviniera, ofreciera pruebas y alegatos según corresponda al caso concreto, de esta forma para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presentase el informe justificado procedente. </w:t>
      </w:r>
    </w:p>
    <w:p w:rsidR="00953CB6" w:rsidRDefault="00953CB6">
      <w:pPr>
        <w:ind w:right="-591"/>
        <w:jc w:val="both"/>
        <w:rPr>
          <w:rFonts w:ascii="Palatino Linotype" w:eastAsia="Palatino Linotype" w:hAnsi="Palatino Linotype" w:cs="Palatino Linotype"/>
          <w:i/>
          <w:iCs/>
          <w:color w:val="000000"/>
        </w:rPr>
      </w:pPr>
    </w:p>
    <w:p w:rsidR="00953CB6" w:rsidRDefault="00E26435">
      <w:pPr>
        <w:numPr>
          <w:ilvl w:val="0"/>
          <w:numId w:val="1"/>
        </w:numPr>
        <w:pBdr>
          <w:top w:val="nil"/>
          <w:left w:val="nil"/>
          <w:bottom w:val="nil"/>
          <w:right w:val="nil"/>
          <w:between w:val="nil"/>
        </w:pBdr>
        <w:spacing w:line="360" w:lineRule="auto"/>
        <w:ind w:left="0" w:right="-59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lastRenderedPageBreak/>
        <w:t xml:space="preserve">Durante la etapa de manifestaciones en fecha doce de febrero de dos mil veintiséis  </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el Sujeto Obligado mediante un archivo electrónico rindió el Informe Justificado correspondiente a derecho, donde medularmente se señala lo siguiente:</w:t>
      </w:r>
    </w:p>
    <w:p w:rsidR="00953CB6" w:rsidRDefault="00E26435">
      <w:pPr>
        <w:spacing w:after="280"/>
        <w:ind w:left="1134" w:right="-591"/>
        <w:jc w:val="both"/>
        <w:rPr>
          <w:rFonts w:ascii="Palatino Linotype" w:eastAsia="Palatino Linotype" w:hAnsi="Palatino Linotype" w:cs="Palatino Linotype"/>
          <w:i/>
          <w:iCs/>
        </w:rPr>
      </w:pPr>
      <w:r>
        <w:rPr>
          <w:rFonts w:ascii="Palatino Linotype" w:eastAsia="Palatino Linotype" w:hAnsi="Palatino Linotype" w:cs="Palatino Linotype"/>
          <w:b/>
          <w:bCs/>
        </w:rPr>
        <w:t xml:space="preserve">RR 01123.pdf: </w:t>
      </w:r>
      <w:r>
        <w:rPr>
          <w:rFonts w:ascii="Palatino Linotype" w:eastAsia="Palatino Linotype" w:hAnsi="Palatino Linotype" w:cs="Palatino Linotype"/>
          <w:i/>
          <w:iCs/>
        </w:rPr>
        <w:t>Donde el titular de la Unidad de Transparencia ratifica la respuesta inicial.</w:t>
      </w:r>
    </w:p>
    <w:p w:rsidR="00953CB6" w:rsidRDefault="00E26435">
      <w:pPr>
        <w:pBdr>
          <w:top w:val="nil"/>
          <w:left w:val="nil"/>
          <w:bottom w:val="nil"/>
          <w:right w:val="nil"/>
          <w:between w:val="nil"/>
        </w:pBdr>
        <w:tabs>
          <w:tab w:val="left" w:pos="426"/>
        </w:tabs>
        <w:spacing w:line="360" w:lineRule="auto"/>
        <w:ind w:right="-591"/>
        <w:jc w:val="both"/>
        <w:rPr>
          <w:rFonts w:ascii="Palatino Linotype" w:eastAsia="Palatino Linotype" w:hAnsi="Palatino Linotype" w:cs="Palatino Linotype"/>
          <w:b/>
          <w:bCs/>
          <w:color w:val="000000"/>
        </w:rPr>
      </w:pPr>
      <w:r>
        <w:rPr>
          <w:rFonts w:ascii="Palatino Linotype" w:eastAsia="Palatino Linotype" w:hAnsi="Palatino Linotype" w:cs="Palatino Linotype"/>
          <w:color w:val="000000"/>
        </w:rPr>
        <w:t xml:space="preserve">Por su parte, el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no realizó manifestaciones que a su derecho </w:t>
      </w:r>
      <w:r>
        <w:rPr>
          <w:rFonts w:ascii="Palatino Linotype" w:eastAsia="Palatino Linotype" w:hAnsi="Palatino Linotype" w:cs="Palatino Linotype"/>
        </w:rPr>
        <w:t>conviniera</w:t>
      </w:r>
      <w:r>
        <w:rPr>
          <w:rFonts w:ascii="Palatino Linotype" w:eastAsia="Palatino Linotype" w:hAnsi="Palatino Linotype" w:cs="Palatino Linotype"/>
          <w:color w:val="000000"/>
        </w:rPr>
        <w:t>.</w:t>
      </w:r>
    </w:p>
    <w:p w:rsidR="00953CB6" w:rsidRDefault="00953CB6">
      <w:pPr>
        <w:spacing w:after="280"/>
        <w:ind w:left="1134" w:right="-591"/>
        <w:jc w:val="both"/>
        <w:rPr>
          <w:rFonts w:ascii="Palatino Linotype" w:eastAsia="Palatino Linotype" w:hAnsi="Palatino Linotype" w:cs="Palatino Linotype"/>
          <w:i/>
          <w:iCs/>
        </w:rPr>
      </w:pPr>
    </w:p>
    <w:p w:rsidR="00953CB6" w:rsidRDefault="00E26435">
      <w:pPr>
        <w:numPr>
          <w:ilvl w:val="0"/>
          <w:numId w:val="11"/>
        </w:numPr>
        <w:pBdr>
          <w:top w:val="nil"/>
          <w:left w:val="nil"/>
          <w:bottom w:val="nil"/>
          <w:right w:val="nil"/>
          <w:between w:val="nil"/>
        </w:pBdr>
        <w:spacing w:line="360" w:lineRule="auto"/>
        <w:ind w:left="0" w:right="-591" w:firstLine="0"/>
        <w:jc w:val="both"/>
        <w:rPr>
          <w:rFonts w:ascii="Palatino Linotype" w:eastAsia="Palatino Linotype" w:hAnsi="Palatino Linotype" w:cs="Palatino Linotype"/>
          <w:b/>
          <w:bCs/>
          <w:color w:val="000000"/>
        </w:rPr>
      </w:pPr>
      <w:r>
        <w:rPr>
          <w:rFonts w:ascii="Palatino Linotype" w:eastAsia="Palatino Linotype" w:hAnsi="Palatino Linotype" w:cs="Palatino Linotype"/>
        </w:rPr>
        <w:t>El nueve</w:t>
      </w:r>
      <w:r>
        <w:rPr>
          <w:rFonts w:ascii="Palatino Linotype" w:eastAsia="Palatino Linotype" w:hAnsi="Palatino Linotype" w:cs="Palatino Linotype"/>
          <w:b/>
          <w:bCs/>
          <w:color w:val="000000"/>
        </w:rPr>
        <w:t xml:space="preserve"> de abril de dos mil veintiséis</w:t>
      </w:r>
      <w:r>
        <w:rPr>
          <w:rFonts w:ascii="Palatino Linotype" w:eastAsia="Palatino Linotype" w:hAnsi="Palatino Linotype" w:cs="Palatino Linotype"/>
          <w:color w:val="000000"/>
        </w:rPr>
        <w:t>, se acordó ampliar el término para resolver el presente asunto.</w:t>
      </w:r>
    </w:p>
    <w:p w:rsidR="00953CB6" w:rsidRDefault="00953CB6">
      <w:pPr>
        <w:pBdr>
          <w:top w:val="nil"/>
          <w:left w:val="nil"/>
          <w:bottom w:val="nil"/>
          <w:right w:val="nil"/>
          <w:between w:val="nil"/>
        </w:pBdr>
        <w:ind w:left="720" w:right="-591"/>
        <w:rPr>
          <w:rFonts w:ascii="Palatino Linotype" w:eastAsia="Palatino Linotype" w:hAnsi="Palatino Linotype" w:cs="Palatino Linotype"/>
          <w:b/>
          <w:bCs/>
          <w:color w:val="000000"/>
        </w:rPr>
      </w:pPr>
    </w:p>
    <w:p w:rsidR="00953CB6" w:rsidRDefault="00E26435">
      <w:pPr>
        <w:numPr>
          <w:ilvl w:val="0"/>
          <w:numId w:val="11"/>
        </w:numPr>
        <w:pBdr>
          <w:top w:val="nil"/>
          <w:left w:val="nil"/>
          <w:bottom w:val="nil"/>
          <w:right w:val="nil"/>
          <w:between w:val="nil"/>
        </w:pBdr>
        <w:spacing w:line="360" w:lineRule="auto"/>
        <w:ind w:left="0" w:right="-59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Por ello, es menester precisar que, si bien se ha excedido el plazo para resolver el presente medio de impugnación, de conformidad con la ley de la materia, dicha dilación es de carácter excepcional y se encuentra justificada en los elementos para medir la razonabilidad del plazo de resolución de asuntos conforme a los parámetros establecidos por diversos órganos jurisdiccionales federales, aplicables también en procedimientos análogos, como el que nos ocupa.</w:t>
      </w:r>
    </w:p>
    <w:p w:rsidR="00953CB6" w:rsidRDefault="00953CB6">
      <w:pPr>
        <w:spacing w:line="360" w:lineRule="auto"/>
        <w:ind w:right="-591"/>
        <w:jc w:val="both"/>
        <w:rPr>
          <w:rFonts w:ascii="Palatino Linotype" w:eastAsia="Palatino Linotype" w:hAnsi="Palatino Linotype" w:cs="Palatino Linotype"/>
        </w:rPr>
      </w:pPr>
    </w:p>
    <w:p w:rsidR="00953CB6" w:rsidRDefault="00E26435">
      <w:pPr>
        <w:numPr>
          <w:ilvl w:val="0"/>
          <w:numId w:val="11"/>
        </w:numPr>
        <w:spacing w:line="360" w:lineRule="auto"/>
        <w:ind w:left="0" w:right="-591"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La Comisionada Ponente decretó el cierre de instrucción mediante el acuerdo del </w:t>
      </w:r>
      <w:r>
        <w:rPr>
          <w:rFonts w:ascii="Palatino Linotype" w:eastAsia="Palatino Linotype" w:hAnsi="Palatino Linotype" w:cs="Palatino Linotype"/>
          <w:b/>
          <w:bCs/>
        </w:rPr>
        <w:t xml:space="preserve">doce de enero de dos mil veintiséis; </w:t>
      </w:r>
      <w:r>
        <w:rPr>
          <w:rFonts w:ascii="Palatino Linotype" w:eastAsia="Palatino Linotype" w:hAnsi="Palatino Linotype" w:cs="Palatino Linotype"/>
        </w:rPr>
        <w:t>por lo que en virtud de que el expediente electrónico ha sido debidamente substanciado y no existe diligencia pendiente de desahogo, se procede a emitir la presente resolución que conforme a Derecho corresponda y;</w:t>
      </w:r>
      <w:r w:rsidR="001C51FB">
        <w:rPr>
          <w:rFonts w:ascii="Palatino Linotype" w:eastAsia="Palatino Linotype" w:hAnsi="Palatino Linotype" w:cs="Palatino Linotype"/>
        </w:rPr>
        <w:t xml:space="preserve"> ---------------------------------------</w:t>
      </w:r>
    </w:p>
    <w:p w:rsidR="001C51FB" w:rsidRDefault="001C51FB" w:rsidP="001C51FB">
      <w:pPr>
        <w:pStyle w:val="Prrafodelista"/>
        <w:rPr>
          <w:rFonts w:ascii="Palatino Linotype" w:eastAsia="Palatino Linotype" w:hAnsi="Palatino Linotype" w:cs="Palatino Linotype"/>
        </w:rPr>
      </w:pPr>
    </w:p>
    <w:p w:rsidR="001C51FB" w:rsidRDefault="001C51FB" w:rsidP="001C51FB">
      <w:pPr>
        <w:spacing w:line="360" w:lineRule="auto"/>
        <w:ind w:right="-591"/>
        <w:jc w:val="both"/>
        <w:rPr>
          <w:rFonts w:ascii="Palatino Linotype" w:eastAsia="Palatino Linotype" w:hAnsi="Palatino Linotype" w:cs="Palatino Linotype"/>
        </w:rPr>
      </w:pPr>
    </w:p>
    <w:p w:rsidR="001C51FB" w:rsidRDefault="001C51FB" w:rsidP="001C51FB">
      <w:pPr>
        <w:spacing w:line="360" w:lineRule="auto"/>
        <w:ind w:right="-591"/>
        <w:jc w:val="both"/>
        <w:rPr>
          <w:rFonts w:ascii="Palatino Linotype" w:eastAsia="Palatino Linotype" w:hAnsi="Palatino Linotype" w:cs="Palatino Linotype"/>
        </w:rPr>
      </w:pPr>
    </w:p>
    <w:p w:rsidR="00953CB6" w:rsidRDefault="00E26435">
      <w:pPr>
        <w:spacing w:before="600" w:after="600" w:line="276" w:lineRule="auto"/>
        <w:ind w:right="-591"/>
        <w:jc w:val="center"/>
        <w:rPr>
          <w:rFonts w:ascii="Palatino Linotype" w:eastAsia="Palatino Linotype" w:hAnsi="Palatino Linotype" w:cs="Palatino Linotype"/>
          <w:b/>
          <w:bCs/>
        </w:rPr>
      </w:pPr>
      <w:r>
        <w:rPr>
          <w:rFonts w:ascii="Palatino Linotype" w:eastAsia="Palatino Linotype" w:hAnsi="Palatino Linotype" w:cs="Palatino Linotype"/>
          <w:b/>
          <w:bCs/>
        </w:rPr>
        <w:lastRenderedPageBreak/>
        <w:t>C O N S I D E R A N D O</w:t>
      </w:r>
    </w:p>
    <w:p w:rsidR="00953CB6" w:rsidRDefault="00E26435">
      <w:pPr>
        <w:keepNext/>
        <w:keepLines/>
        <w:spacing w:line="360" w:lineRule="auto"/>
        <w:ind w:right="-591"/>
        <w:rPr>
          <w:rFonts w:ascii="Palatino Linotype" w:eastAsia="Palatino Linotype" w:hAnsi="Palatino Linotype" w:cs="Palatino Linotype"/>
          <w:b/>
          <w:bCs/>
        </w:rPr>
      </w:pPr>
      <w:r>
        <w:rPr>
          <w:rFonts w:ascii="Palatino Linotype" w:eastAsia="Palatino Linotype" w:hAnsi="Palatino Linotype" w:cs="Palatino Linotype"/>
          <w:b/>
          <w:bCs/>
        </w:rPr>
        <w:t>PRIMERO. De la competencia</w:t>
      </w:r>
    </w:p>
    <w:p w:rsidR="00953CB6" w:rsidRDefault="00E26435">
      <w:pPr>
        <w:numPr>
          <w:ilvl w:val="0"/>
          <w:numId w:val="9"/>
        </w:numPr>
        <w:spacing w:line="360" w:lineRule="auto"/>
        <w:ind w:left="0" w:right="-591" w:firstLine="0"/>
        <w:jc w:val="both"/>
      </w:pPr>
      <w:r>
        <w:rPr>
          <w:rFonts w:ascii="Palatino Linotype" w:eastAsia="Palatino Linotype" w:hAnsi="Palatino Linotype" w:cs="Palatino Linotype"/>
        </w:rPr>
        <w:t>Este Instituto de Transparencia, Acceso a la Información Pública y Protección de Datos Personales del Estado de México y Municipios es competente para conocer y resolver el presente Recurso de Revisión, conforme a lo dispuesto en el artículo 5, párrafos trigésimo noveno, cuadragésimo y cuadragésimo primero,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1C51FB" w:rsidRDefault="001C51FB">
      <w:pPr>
        <w:keepNext/>
        <w:keepLines/>
        <w:spacing w:line="360" w:lineRule="auto"/>
        <w:ind w:right="-591"/>
        <w:rPr>
          <w:rFonts w:ascii="Palatino Linotype" w:eastAsia="Palatino Linotype" w:hAnsi="Palatino Linotype" w:cs="Palatino Linotype"/>
          <w:b/>
          <w:bCs/>
        </w:rPr>
      </w:pPr>
      <w:bookmarkStart w:id="0" w:name="_heading=h.tyjcwt" w:colFirst="0" w:colLast="0"/>
      <w:bookmarkEnd w:id="0"/>
    </w:p>
    <w:p w:rsidR="00953CB6" w:rsidRDefault="00E26435">
      <w:pPr>
        <w:keepNext/>
        <w:keepLines/>
        <w:spacing w:line="360" w:lineRule="auto"/>
        <w:ind w:right="-591"/>
        <w:rPr>
          <w:rFonts w:ascii="Palatino Linotype" w:eastAsia="Palatino Linotype" w:hAnsi="Palatino Linotype" w:cs="Palatino Linotype"/>
          <w:b/>
          <w:bCs/>
        </w:rPr>
      </w:pPr>
      <w:r>
        <w:rPr>
          <w:rFonts w:ascii="Palatino Linotype" w:eastAsia="Palatino Linotype" w:hAnsi="Palatino Linotype" w:cs="Palatino Linotype"/>
          <w:b/>
          <w:bCs/>
        </w:rPr>
        <w:t>SEGUNDO. De la oportunidad y procedencia.</w:t>
      </w:r>
    </w:p>
    <w:p w:rsidR="00953CB6" w:rsidRDefault="00E26435">
      <w:pPr>
        <w:numPr>
          <w:ilvl w:val="0"/>
          <w:numId w:val="9"/>
        </w:numPr>
        <w:spacing w:line="360" w:lineRule="auto"/>
        <w:ind w:left="0" w:right="-591" w:firstLine="0"/>
        <w:jc w:val="both"/>
      </w:pPr>
      <w:r>
        <w:rPr>
          <w:rFonts w:ascii="Palatino Linotype" w:eastAsia="Palatino Linotype" w:hAnsi="Palatino Linotype" w:cs="Palatino Linotype"/>
        </w:rPr>
        <w:t xml:space="preserve">El medio de impugnación fue presentado a través del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en el f</w:t>
      </w:r>
      <w:bookmarkStart w:id="1" w:name="_GoBack"/>
      <w:bookmarkEnd w:id="1"/>
      <w:r>
        <w:rPr>
          <w:rFonts w:ascii="Palatino Linotype" w:eastAsia="Palatino Linotype" w:hAnsi="Palatino Linotype" w:cs="Palatino Linotype"/>
        </w:rPr>
        <w:t xml:space="preserve">ormato previamente aprobado para tal efecto y dentro del plazo legal de quince días hábiles otorgados; para el caso en particular es de señalar que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entregó respuesta el </w:t>
      </w:r>
      <w:r>
        <w:rPr>
          <w:rFonts w:ascii="Palatino Linotype" w:eastAsia="Palatino Linotype" w:hAnsi="Palatino Linotype" w:cs="Palatino Linotype"/>
          <w:b/>
          <w:bCs/>
        </w:rPr>
        <w:t>veintidós de enero de dos mil veintiséis</w:t>
      </w:r>
      <w:r>
        <w:rPr>
          <w:rFonts w:ascii="Palatino Linotype" w:eastAsia="Palatino Linotype" w:hAnsi="Palatino Linotype" w:cs="Palatino Linotype"/>
        </w:rPr>
        <w:t xml:space="preserve">, de tal forma que el plazo para interponer el recurso transcurrió del </w:t>
      </w:r>
      <w:r>
        <w:rPr>
          <w:rFonts w:ascii="Palatino Linotype" w:eastAsia="Palatino Linotype" w:hAnsi="Palatino Linotype" w:cs="Palatino Linotype"/>
          <w:b/>
          <w:bCs/>
        </w:rPr>
        <w:t xml:space="preserve">veintitrés de enero al trece de febrero de dos mil veintiséis, </w:t>
      </w:r>
      <w:r>
        <w:rPr>
          <w:rFonts w:ascii="Palatino Linotype" w:eastAsia="Palatino Linotype" w:hAnsi="Palatino Linotype" w:cs="Palatino Linotype"/>
        </w:rPr>
        <w:t xml:space="preserve">en consecuencia, si el </w:t>
      </w:r>
      <w:r>
        <w:rPr>
          <w:rFonts w:ascii="Palatino Linotype" w:eastAsia="Palatino Linotype" w:hAnsi="Palatino Linotype" w:cs="Palatino Linotype"/>
          <w:b/>
          <w:bCs/>
        </w:rPr>
        <w:t>PARTICULAR</w:t>
      </w:r>
      <w:r>
        <w:rPr>
          <w:rFonts w:ascii="Palatino Linotype" w:eastAsia="Palatino Linotype" w:hAnsi="Palatino Linotype" w:cs="Palatino Linotype"/>
        </w:rPr>
        <w:t xml:space="preserve"> presentó su inconformidad el </w:t>
      </w:r>
      <w:r>
        <w:rPr>
          <w:rFonts w:ascii="Palatino Linotype" w:eastAsia="Palatino Linotype" w:hAnsi="Palatino Linotype" w:cs="Palatino Linotype"/>
          <w:b/>
          <w:bCs/>
        </w:rPr>
        <w:t>veintisiete de enero de dos mil veintiséis</w:t>
      </w:r>
      <w:r>
        <w:rPr>
          <w:rFonts w:ascii="Palatino Linotype" w:eastAsia="Palatino Linotype" w:hAnsi="Palatino Linotype" w:cs="Palatino Linotype"/>
        </w:rPr>
        <w:t xml:space="preserve">, este  se encuentra dentro de los márgenes temporales previstos en el artículo 178 de la </w:t>
      </w:r>
      <w:r>
        <w:rPr>
          <w:rFonts w:ascii="Palatino Linotype" w:eastAsia="Palatino Linotype" w:hAnsi="Palatino Linotype" w:cs="Palatino Linotype"/>
          <w:b/>
          <w:bCs/>
        </w:rPr>
        <w:t xml:space="preserve">Ley de Transparencia y Acceso a la Información Pública del Estado de México y Municipios </w:t>
      </w:r>
      <w:r>
        <w:rPr>
          <w:rFonts w:ascii="Palatino Linotype" w:eastAsia="Palatino Linotype" w:hAnsi="Palatino Linotype" w:cs="Palatino Linotype"/>
        </w:rPr>
        <w:t xml:space="preserve">vigente. </w:t>
      </w:r>
    </w:p>
    <w:p w:rsidR="00953CB6" w:rsidRDefault="00E26435">
      <w:pPr>
        <w:pStyle w:val="Ttulo2"/>
        <w:ind w:right="-591"/>
        <w:rPr>
          <w:rFonts w:ascii="Palatino Linotype" w:eastAsia="Palatino Linotype" w:hAnsi="Palatino Linotype" w:cs="Palatino Linotype"/>
          <w:b/>
          <w:bCs/>
          <w:i/>
          <w:iCs/>
          <w:color w:val="000000"/>
          <w:sz w:val="24"/>
          <w:szCs w:val="24"/>
        </w:rPr>
      </w:pPr>
      <w:r>
        <w:rPr>
          <w:rFonts w:ascii="Palatino Linotype" w:eastAsia="Palatino Linotype" w:hAnsi="Palatino Linotype" w:cs="Palatino Linotype"/>
          <w:b/>
          <w:bCs/>
          <w:color w:val="000000"/>
          <w:sz w:val="24"/>
          <w:szCs w:val="24"/>
        </w:rPr>
        <w:lastRenderedPageBreak/>
        <w:t xml:space="preserve">TERCERO. Del planteamiento de la </w:t>
      </w:r>
      <w:r>
        <w:rPr>
          <w:rFonts w:ascii="Palatino Linotype" w:eastAsia="Palatino Linotype" w:hAnsi="Palatino Linotype" w:cs="Palatino Linotype"/>
          <w:b/>
          <w:bCs/>
          <w:i/>
          <w:iCs/>
          <w:color w:val="000000"/>
          <w:sz w:val="24"/>
          <w:szCs w:val="24"/>
        </w:rPr>
        <w:t>Litis.</w:t>
      </w:r>
    </w:p>
    <w:p w:rsidR="00953CB6" w:rsidRDefault="00E26435">
      <w:pPr>
        <w:numPr>
          <w:ilvl w:val="0"/>
          <w:numId w:val="9"/>
        </w:numPr>
        <w:pBdr>
          <w:top w:val="nil"/>
          <w:left w:val="nil"/>
          <w:bottom w:val="nil"/>
          <w:right w:val="nil"/>
          <w:between w:val="nil"/>
        </w:pBdr>
        <w:spacing w:line="360" w:lineRule="auto"/>
        <w:ind w:left="0" w:right="-591" w:firstLine="0"/>
        <w:jc w:val="both"/>
        <w:rPr>
          <w:color w:val="000000"/>
        </w:rPr>
      </w:pPr>
      <w:r>
        <w:rPr>
          <w:rFonts w:ascii="Palatino Linotype" w:eastAsia="Palatino Linotype" w:hAnsi="Palatino Linotype" w:cs="Palatino Linotype"/>
          <w:color w:val="000000"/>
        </w:rPr>
        <w:t>Se solicitó tener acceso, a la información que a continuación se simplifica:</w:t>
      </w:r>
    </w:p>
    <w:p w:rsidR="00953CB6" w:rsidRDefault="00E26435">
      <w:pPr>
        <w:numPr>
          <w:ilvl w:val="0"/>
          <w:numId w:val="2"/>
        </w:numPr>
        <w:pBdr>
          <w:top w:val="nil"/>
          <w:left w:val="nil"/>
          <w:bottom w:val="nil"/>
          <w:right w:val="nil"/>
          <w:between w:val="nil"/>
        </w:pBdr>
        <w:ind w:left="1134" w:right="-591" w:hanging="360"/>
        <w:jc w:val="both"/>
      </w:pPr>
      <w:r>
        <w:rPr>
          <w:rFonts w:ascii="Palatino Linotype" w:eastAsia="Palatino Linotype" w:hAnsi="Palatino Linotype" w:cs="Palatino Linotype"/>
          <w:i/>
          <w:iCs/>
          <w:color w:val="000000"/>
        </w:rPr>
        <w:t>Padrón de Adultos Mayores beneficiarios de cualquier tipo de apoyo, señalando si son residentes del municipio y el tipo de apoyo que reciben.</w:t>
      </w:r>
    </w:p>
    <w:p w:rsidR="00953CB6" w:rsidRDefault="00E26435">
      <w:pPr>
        <w:ind w:left="1134" w:right="-591"/>
        <w:jc w:val="both"/>
        <w:rPr>
          <w:rFonts w:ascii="Century Gothic" w:eastAsia="Century Gothic" w:hAnsi="Century Gothic" w:cs="Century Gothic"/>
          <w:color w:val="000000"/>
        </w:rPr>
      </w:pPr>
      <w:r>
        <w:rPr>
          <w:rFonts w:ascii="Palatino Linotype" w:eastAsia="Palatino Linotype" w:hAnsi="Palatino Linotype" w:cs="Palatino Linotype"/>
          <w:i/>
          <w:iCs/>
          <w:color w:val="000000"/>
        </w:rPr>
        <w:t xml:space="preserve"> Padrón de personas con discapacidad que reciban atención del UBRIS, señalando si son residentes del municipio y el tipo de atención que reciben.</w:t>
      </w:r>
    </w:p>
    <w:p w:rsidR="00953CB6" w:rsidRDefault="00953CB6">
      <w:pPr>
        <w:ind w:left="1134" w:right="-591"/>
        <w:rPr>
          <w:rFonts w:ascii="Palatino Linotype" w:eastAsia="Palatino Linotype" w:hAnsi="Palatino Linotype" w:cs="Palatino Linotype"/>
          <w:i/>
          <w:iCs/>
          <w:color w:val="000000"/>
        </w:rPr>
      </w:pPr>
    </w:p>
    <w:p w:rsidR="00953CB6" w:rsidRDefault="00E26435">
      <w:pPr>
        <w:numPr>
          <w:ilvl w:val="0"/>
          <w:numId w:val="9"/>
        </w:numPr>
        <w:spacing w:line="360" w:lineRule="auto"/>
        <w:ind w:left="0" w:right="-591" w:firstLine="0"/>
        <w:jc w:val="both"/>
        <w:rPr>
          <w:color w:val="000000"/>
        </w:rPr>
      </w:pPr>
      <w:r>
        <w:rPr>
          <w:rFonts w:ascii="Palatino Linotype" w:eastAsia="Palatino Linotype" w:hAnsi="Palatino Linotype" w:cs="Palatino Linotype"/>
        </w:rPr>
        <w:t>En respuesta, el Sujeto Obligado</w:t>
      </w:r>
      <w:r>
        <w:rPr>
          <w:rFonts w:ascii="Palatino Linotype" w:eastAsia="Palatino Linotype" w:hAnsi="Palatino Linotype" w:cs="Palatino Linotype"/>
          <w:b/>
          <w:bCs/>
        </w:rPr>
        <w:t xml:space="preserve"> </w:t>
      </w:r>
      <w:r>
        <w:rPr>
          <w:rFonts w:ascii="Palatino Linotype" w:eastAsia="Palatino Linotype" w:hAnsi="Palatino Linotype" w:cs="Palatino Linotype"/>
        </w:rPr>
        <w:t>remitió los archivos ya descritos en el anterior Párrafo 3, inconforme con las respuestas, se interpuso recurso de revisión argumentando sustancialmente no entregar la información solicitada.</w:t>
      </w:r>
    </w:p>
    <w:p w:rsidR="00953CB6" w:rsidRDefault="00953CB6">
      <w:pPr>
        <w:ind w:left="720" w:right="-591"/>
        <w:jc w:val="both"/>
        <w:rPr>
          <w:rFonts w:ascii="Palatino Linotype" w:eastAsia="Palatino Linotype" w:hAnsi="Palatino Linotype" w:cs="Palatino Linotype"/>
          <w:i/>
          <w:iCs/>
          <w:color w:val="000000"/>
        </w:rPr>
      </w:pPr>
    </w:p>
    <w:p w:rsidR="00953CB6" w:rsidRDefault="00E26435">
      <w:pPr>
        <w:numPr>
          <w:ilvl w:val="0"/>
          <w:numId w:val="9"/>
        </w:numPr>
        <w:spacing w:line="360" w:lineRule="auto"/>
        <w:ind w:left="0" w:right="-591" w:firstLine="0"/>
        <w:jc w:val="both"/>
      </w:pPr>
      <w:r>
        <w:rPr>
          <w:rFonts w:ascii="Palatino Linotype" w:eastAsia="Palatino Linotype" w:hAnsi="Palatino Linotype" w:cs="Palatino Linotype"/>
        </w:rPr>
        <w:t xml:space="preserve">En dichas condiciones, la controversia a resolver en el presente proveído, corresponde a determinar si se actualiza la causal de procedencia prevista en el </w:t>
      </w:r>
      <w:r>
        <w:rPr>
          <w:rFonts w:ascii="Palatino Linotype" w:eastAsia="Palatino Linotype" w:hAnsi="Palatino Linotype" w:cs="Palatino Linotype"/>
          <w:b/>
          <w:bCs/>
        </w:rPr>
        <w:t>artículo 179, fracción II, de la Ley de Transparencia y Acceso a la Información Pública del Estado de México y Municipios</w:t>
      </w:r>
      <w:r>
        <w:rPr>
          <w:rFonts w:ascii="Palatino Linotype" w:eastAsia="Palatino Linotype" w:hAnsi="Palatino Linotype" w:cs="Palatino Linotype"/>
        </w:rPr>
        <w:t xml:space="preserve">; </w:t>
      </w:r>
      <w:r>
        <w:rPr>
          <w:rFonts w:ascii="Palatino Linotype" w:eastAsia="Palatino Linotype" w:hAnsi="Palatino Linotype" w:cs="Palatino Linotype"/>
          <w:color w:val="000000"/>
        </w:rPr>
        <w:t xml:space="preserve">fracción que determina la hipótesis relativa a </w:t>
      </w:r>
      <w:r>
        <w:rPr>
          <w:rFonts w:ascii="Palatino Linotype" w:eastAsia="Palatino Linotype" w:hAnsi="Palatino Linotype" w:cs="Palatino Linotype"/>
          <w:b/>
          <w:bCs/>
          <w:color w:val="000000"/>
        </w:rPr>
        <w:t>la clasificación de la información</w:t>
      </w:r>
      <w:r>
        <w:rPr>
          <w:rFonts w:ascii="Palatino Linotype" w:eastAsia="Palatino Linotype" w:hAnsi="Palatino Linotype" w:cs="Palatino Linotype"/>
          <w:color w:val="000000"/>
        </w:rPr>
        <w:t xml:space="preserve">; </w:t>
      </w:r>
      <w:r>
        <w:rPr>
          <w:rFonts w:ascii="Palatino Linotype" w:eastAsia="Palatino Linotype" w:hAnsi="Palatino Linotype" w:cs="Palatino Linotype"/>
        </w:rPr>
        <w:t>contexto del cual se dolió el Recurrente al momento de interponer su inconformidad.</w:t>
      </w:r>
      <w:r>
        <w:rPr>
          <w:rFonts w:ascii="Palatino Linotype" w:eastAsia="Palatino Linotype" w:hAnsi="Palatino Linotype" w:cs="Palatino Linotype"/>
          <w:color w:val="000000"/>
        </w:rPr>
        <w:t xml:space="preserve"> De modo tal que el presente recurso de revisión se </w:t>
      </w:r>
      <w:r>
        <w:rPr>
          <w:rFonts w:ascii="Palatino Linotype" w:eastAsia="Palatino Linotype" w:hAnsi="Palatino Linotype" w:cs="Palatino Linotype"/>
        </w:rPr>
        <w:t>abocará</w:t>
      </w:r>
      <w:r>
        <w:rPr>
          <w:rFonts w:ascii="Palatino Linotype" w:eastAsia="Palatino Linotype" w:hAnsi="Palatino Linotype" w:cs="Palatino Linotype"/>
          <w:color w:val="000000"/>
        </w:rPr>
        <w:t xml:space="preserve"> en determinar si el Sujeto Obligado con su respuesta ciertamente actualiza la causal de procedencia</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 xml:space="preserve">señalada. </w:t>
      </w:r>
    </w:p>
    <w:p w:rsidR="00953CB6" w:rsidRDefault="00953CB6">
      <w:pPr>
        <w:spacing w:line="360" w:lineRule="auto"/>
        <w:ind w:right="-591"/>
        <w:rPr>
          <w:rFonts w:ascii="Palatino Linotype" w:eastAsia="Palatino Linotype" w:hAnsi="Palatino Linotype" w:cs="Palatino Linotype"/>
        </w:rPr>
      </w:pPr>
    </w:p>
    <w:p w:rsidR="00953CB6" w:rsidRDefault="00E26435">
      <w:pPr>
        <w:pStyle w:val="Ttulo2"/>
        <w:ind w:right="-591"/>
        <w:rPr>
          <w:rFonts w:ascii="Palatino Linotype" w:eastAsia="Palatino Linotype" w:hAnsi="Palatino Linotype" w:cs="Palatino Linotype"/>
          <w:b/>
          <w:bCs/>
          <w:color w:val="000000"/>
          <w:sz w:val="24"/>
          <w:szCs w:val="24"/>
        </w:rPr>
      </w:pPr>
      <w:bookmarkStart w:id="2" w:name="_heading=h.1t3h5sf" w:colFirst="0" w:colLast="0"/>
      <w:bookmarkEnd w:id="2"/>
      <w:r>
        <w:rPr>
          <w:rFonts w:ascii="Palatino Linotype" w:eastAsia="Palatino Linotype" w:hAnsi="Palatino Linotype" w:cs="Palatino Linotype"/>
          <w:b/>
          <w:bCs/>
          <w:color w:val="000000"/>
          <w:sz w:val="24"/>
          <w:szCs w:val="24"/>
        </w:rPr>
        <w:t>CUARTO. Del estudio y resolución del asunto.</w:t>
      </w:r>
    </w:p>
    <w:p w:rsidR="00953CB6" w:rsidRDefault="00E26435">
      <w:pPr>
        <w:numPr>
          <w:ilvl w:val="0"/>
          <w:numId w:val="9"/>
        </w:numPr>
        <w:spacing w:line="360" w:lineRule="auto"/>
        <w:ind w:left="0" w:right="-591" w:firstLine="0"/>
        <w:jc w:val="both"/>
      </w:pPr>
      <w:r>
        <w:rPr>
          <w:rFonts w:ascii="Palatino Linotype" w:eastAsia="Palatino Linotype" w:hAnsi="Palatino Linotype" w:cs="Palatino Linotype"/>
        </w:rPr>
        <w:t xml:space="preserve">Determinado lo anterior; revisaremos la atención otorgada por el Sujeto Obligado a la solicitud que dio origen a este recurso, considerando imprescindible establecer lo que la regulación determina, por ello, en primer lugar, vamos a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w:t>
      </w:r>
      <w:r>
        <w:rPr>
          <w:rFonts w:ascii="Palatino Linotype" w:eastAsia="Palatino Linotype" w:hAnsi="Palatino Linotype" w:cs="Palatino Linotype"/>
        </w:rPr>
        <w:lastRenderedPageBreak/>
        <w:t>deberán documentar todo acto que derive del ejercicio de sus facultades, competencias o funciones desde su origen la eventual publicidad y reutilización de la información que generen.</w:t>
      </w:r>
    </w:p>
    <w:p w:rsidR="00953CB6" w:rsidRDefault="00953CB6">
      <w:pPr>
        <w:spacing w:line="360" w:lineRule="auto"/>
        <w:ind w:right="-591"/>
        <w:jc w:val="both"/>
        <w:rPr>
          <w:rFonts w:ascii="Palatino Linotype" w:eastAsia="Palatino Linotype" w:hAnsi="Palatino Linotype" w:cs="Palatino Linotype"/>
        </w:rPr>
      </w:pPr>
    </w:p>
    <w:p w:rsidR="00953CB6" w:rsidRDefault="00E26435">
      <w:pPr>
        <w:numPr>
          <w:ilvl w:val="0"/>
          <w:numId w:val="9"/>
        </w:numPr>
        <w:spacing w:line="360" w:lineRule="auto"/>
        <w:ind w:left="0" w:right="-591" w:firstLine="0"/>
        <w:jc w:val="both"/>
      </w:pPr>
      <w:r>
        <w:rPr>
          <w:rFonts w:ascii="Palatino Linotype" w:eastAsia="Palatino Linotype" w:hAnsi="Palatino Linotype" w:cs="Palatino Linotype"/>
        </w:rPr>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953CB6" w:rsidRDefault="00953CB6">
      <w:pPr>
        <w:pBdr>
          <w:top w:val="nil"/>
          <w:left w:val="nil"/>
          <w:bottom w:val="nil"/>
          <w:right w:val="nil"/>
          <w:between w:val="nil"/>
        </w:pBdr>
        <w:spacing w:line="360" w:lineRule="auto"/>
        <w:ind w:left="720" w:right="-591"/>
        <w:rPr>
          <w:rFonts w:ascii="Palatino Linotype" w:eastAsia="Palatino Linotype" w:hAnsi="Palatino Linotype" w:cs="Palatino Linotype"/>
          <w:color w:val="000000"/>
        </w:rPr>
      </w:pPr>
    </w:p>
    <w:p w:rsidR="00953CB6" w:rsidRDefault="00E26435">
      <w:pPr>
        <w:numPr>
          <w:ilvl w:val="0"/>
          <w:numId w:val="9"/>
        </w:numPr>
        <w:spacing w:line="360" w:lineRule="auto"/>
        <w:ind w:left="0" w:right="-591" w:firstLine="0"/>
        <w:jc w:val="both"/>
      </w:pPr>
      <w:r>
        <w:rPr>
          <w:rFonts w:ascii="Palatino Linotype" w:eastAsia="Palatino Linotype" w:hAnsi="Palatino Linotype" w:cs="Palatino Linotype"/>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953CB6" w:rsidRDefault="00953CB6">
      <w:pPr>
        <w:ind w:right="-591"/>
        <w:jc w:val="both"/>
        <w:rPr>
          <w:rFonts w:ascii="Palatino Linotype" w:eastAsia="Palatino Linotype" w:hAnsi="Palatino Linotype" w:cs="Palatino Linotype"/>
        </w:rPr>
      </w:pPr>
    </w:p>
    <w:p w:rsidR="00953CB6" w:rsidRDefault="00E26435">
      <w:pPr>
        <w:numPr>
          <w:ilvl w:val="0"/>
          <w:numId w:val="9"/>
        </w:numPr>
        <w:spacing w:line="360" w:lineRule="auto"/>
        <w:ind w:left="0" w:right="-591" w:firstLine="0"/>
        <w:jc w:val="both"/>
        <w:rPr>
          <w:color w:val="000000"/>
        </w:rPr>
      </w:pPr>
      <w:r>
        <w:rPr>
          <w:rFonts w:ascii="Palatino Linotype" w:eastAsia="Palatino Linotype" w:hAnsi="Palatino Linotype" w:cs="Palatino Linotype"/>
          <w:color w:val="000000"/>
        </w:rPr>
        <w:t xml:space="preserve">Es de subrayar que el derecho de acceso a la información pública, consiste en que la información solicitada conste en un soporte documental en cualquiera de sus formas, a saber: expedientes, reportes, estudios, actas, resoluciones, oficios, correspondencia, acuerdos, </w:t>
      </w:r>
      <w:r>
        <w:rPr>
          <w:rFonts w:ascii="Palatino Linotype" w:eastAsia="Palatino Linotype" w:hAnsi="Palatino Linotype" w:cs="Palatino Linotype"/>
          <w:color w:val="000000"/>
        </w:rPr>
        <w:lastRenderedPageBreak/>
        <w:t xml:space="preserve">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dispone lo siguiente: </w:t>
      </w:r>
    </w:p>
    <w:p w:rsidR="00953CB6" w:rsidRDefault="00E26435">
      <w:pPr>
        <w:ind w:left="1134" w:right="-59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r>
        <w:rPr>
          <w:rFonts w:ascii="Palatino Linotype" w:eastAsia="Palatino Linotype" w:hAnsi="Palatino Linotype" w:cs="Palatino Linotype"/>
          <w:b/>
          <w:bCs/>
          <w:i/>
          <w:iCs/>
          <w:color w:val="000000"/>
        </w:rPr>
        <w:t xml:space="preserve">Artículo 3. </w:t>
      </w:r>
      <w:r>
        <w:rPr>
          <w:rFonts w:ascii="Palatino Linotype" w:eastAsia="Palatino Linotype" w:hAnsi="Palatino Linotype" w:cs="Palatino Linotype"/>
          <w:i/>
          <w:iCs/>
          <w:color w:val="000000"/>
        </w:rPr>
        <w:t>Para los efectos de la presente Ley se entenderá por:</w:t>
      </w:r>
    </w:p>
    <w:p w:rsidR="00953CB6" w:rsidRDefault="00E26435">
      <w:pPr>
        <w:ind w:left="1134" w:right="-59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953CB6" w:rsidRDefault="00E26435">
      <w:pPr>
        <w:ind w:left="1134" w:right="-591"/>
        <w:jc w:val="both"/>
        <w:rPr>
          <w:rFonts w:ascii="Palatino Linotype" w:eastAsia="Palatino Linotype" w:hAnsi="Palatino Linotype" w:cs="Palatino Linotype"/>
          <w:i/>
          <w:iCs/>
          <w:color w:val="000000"/>
        </w:rPr>
      </w:pPr>
      <w:r>
        <w:rPr>
          <w:rFonts w:ascii="Palatino Linotype" w:eastAsia="Palatino Linotype" w:hAnsi="Palatino Linotype" w:cs="Palatino Linotype"/>
          <w:b/>
          <w:bCs/>
          <w:i/>
          <w:iCs/>
          <w:color w:val="000000"/>
        </w:rPr>
        <w:t>XI. Documento:</w:t>
      </w:r>
      <w:r>
        <w:rPr>
          <w:rFonts w:ascii="Palatino Linotype" w:eastAsia="Palatino Linotype" w:hAnsi="Palatino Linotype" w:cs="Palatino Linotype"/>
          <w:i/>
          <w:iCs/>
          <w:color w:val="000000"/>
        </w:rPr>
        <w:t xml:space="preserve">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w:t>
      </w:r>
    </w:p>
    <w:p w:rsidR="00953CB6" w:rsidRDefault="00E26435">
      <w:pPr>
        <w:spacing w:line="360" w:lineRule="auto"/>
        <w:ind w:left="1134" w:right="-59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953CB6" w:rsidRDefault="00953CB6">
      <w:pPr>
        <w:ind w:right="-591"/>
        <w:jc w:val="both"/>
        <w:rPr>
          <w:rFonts w:ascii="Palatino Linotype" w:eastAsia="Palatino Linotype" w:hAnsi="Palatino Linotype" w:cs="Palatino Linotype"/>
        </w:rPr>
      </w:pPr>
    </w:p>
    <w:p w:rsidR="00953CB6" w:rsidRDefault="00E26435">
      <w:pPr>
        <w:numPr>
          <w:ilvl w:val="0"/>
          <w:numId w:val="9"/>
        </w:numPr>
        <w:spacing w:line="360" w:lineRule="auto"/>
        <w:ind w:left="0" w:right="-591" w:firstLine="0"/>
        <w:jc w:val="both"/>
        <w:rPr>
          <w:color w:val="000000"/>
        </w:rPr>
      </w:pPr>
      <w:r>
        <w:rPr>
          <w:rFonts w:ascii="Palatino Linotype" w:eastAsia="Palatino Linotype" w:hAnsi="Palatino Linotype" w:cs="Palatino Linotype"/>
          <w:color w:val="000000"/>
        </w:rPr>
        <w:t>Siendo aplicable el Criterio de interpretación en el orden administrativo número 0002-11, emitido por Acuerdo del Pleno del Instituto de Transparencia y Acceso a la Información Pública del Estado de México y Municipios; publicado en el Periódico Oficial del Gobierno del Estado Libre y Soberano de México “Gaceta del Gobierno”, el diecinueve de octubre de dos mil once, cuyo rubro y texto dispone:</w:t>
      </w:r>
    </w:p>
    <w:p w:rsidR="00953CB6" w:rsidRDefault="00E26435">
      <w:pPr>
        <w:ind w:left="1134" w:right="-591"/>
        <w:jc w:val="both"/>
        <w:rPr>
          <w:rFonts w:ascii="Palatino Linotype" w:eastAsia="Palatino Linotype" w:hAnsi="Palatino Linotype" w:cs="Palatino Linotype"/>
          <w:b/>
          <w:bCs/>
          <w:i/>
          <w:iCs/>
        </w:rPr>
      </w:pPr>
      <w:r>
        <w:rPr>
          <w:rFonts w:ascii="Palatino Linotype" w:eastAsia="Palatino Linotype" w:hAnsi="Palatino Linotype" w:cs="Palatino Linotype"/>
          <w:b/>
          <w:bCs/>
        </w:rPr>
        <w:t>“</w:t>
      </w:r>
      <w:r>
        <w:rPr>
          <w:rFonts w:ascii="Palatino Linotype" w:eastAsia="Palatino Linotype" w:hAnsi="Palatino Linotype" w:cs="Palatino Linotype"/>
          <w:b/>
          <w:bCs/>
          <w:i/>
          <w:iCs/>
        </w:rPr>
        <w:t>CRITERIO 0002-11</w:t>
      </w:r>
    </w:p>
    <w:p w:rsidR="00953CB6" w:rsidRDefault="00E26435">
      <w:pPr>
        <w:ind w:left="1134" w:right="-591"/>
        <w:jc w:val="both"/>
        <w:rPr>
          <w:rFonts w:ascii="Palatino Linotype" w:eastAsia="Palatino Linotype" w:hAnsi="Palatino Linotype" w:cs="Palatino Linotype"/>
          <w:i/>
          <w:iCs/>
        </w:rPr>
      </w:pPr>
      <w:r>
        <w:rPr>
          <w:rFonts w:ascii="Palatino Linotype" w:eastAsia="Palatino Linotype" w:hAnsi="Palatino Linotype" w:cs="Palatino Linotype"/>
          <w:b/>
          <w:bCs/>
          <w:i/>
          <w:iCs/>
        </w:rPr>
        <w:t>INFORMACIÓN PÚBLICA, CONCEPTO DE, EN MATERIA DE TRANSPARENCIA. INTERPRETACIÓN SISTEMÁTICA DE LOS ARTÍCULOS 2°, FRACCIÓN V, XV, Y XVI, 3°, 4°, 11 Y 41.</w:t>
      </w:r>
      <w:r>
        <w:rPr>
          <w:rFonts w:ascii="Palatino Linotype" w:eastAsia="Palatino Linotype" w:hAnsi="Palatino Linotype" w:cs="Palatino Linotype"/>
          <w:i/>
          <w:iCs/>
        </w:rPr>
        <w:t xml:space="preserve">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953CB6" w:rsidRDefault="00E26435">
      <w:pPr>
        <w:ind w:left="1134" w:right="-591"/>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En consecuencia el acceso a la información se refiere a que se cumplan cualquiera de los siguientes tres supuestos:</w:t>
      </w:r>
    </w:p>
    <w:p w:rsidR="00953CB6" w:rsidRDefault="00E26435">
      <w:pPr>
        <w:ind w:left="1134" w:right="-59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1) </w:t>
      </w:r>
      <w:r>
        <w:rPr>
          <w:rFonts w:ascii="Palatino Linotype" w:eastAsia="Palatino Linotype" w:hAnsi="Palatino Linotype" w:cs="Palatino Linotype"/>
          <w:b/>
          <w:bCs/>
          <w:i/>
          <w:iCs/>
          <w:u w:val="single"/>
        </w:rPr>
        <w:t>Que se trate de información registrada en cualquier soporte documental, que en ejercicio de las atribuciones conferidas, sea generada por los Sujetos Obligados;</w:t>
      </w:r>
    </w:p>
    <w:p w:rsidR="00953CB6" w:rsidRDefault="00E26435">
      <w:pPr>
        <w:ind w:left="1134" w:right="-591"/>
        <w:jc w:val="both"/>
        <w:rPr>
          <w:rFonts w:ascii="Palatino Linotype" w:eastAsia="Palatino Linotype" w:hAnsi="Palatino Linotype" w:cs="Palatino Linotype"/>
          <w:i/>
          <w:iCs/>
        </w:rPr>
      </w:pPr>
      <w:r>
        <w:rPr>
          <w:rFonts w:ascii="Palatino Linotype" w:eastAsia="Palatino Linotype" w:hAnsi="Palatino Linotype" w:cs="Palatino Linotype"/>
          <w:i/>
          <w:iCs/>
        </w:rPr>
        <w:t>2) Que se trate de información registrada en cualquier soporte documental, que en ejercicio de las atribuciones conferidas, sea administrada por los Sujetos Obligados, y</w:t>
      </w:r>
    </w:p>
    <w:p w:rsidR="00953CB6" w:rsidRDefault="00E26435">
      <w:pPr>
        <w:ind w:left="1134" w:right="-591"/>
        <w:jc w:val="both"/>
        <w:rPr>
          <w:rFonts w:ascii="Palatino Linotype" w:eastAsia="Palatino Linotype" w:hAnsi="Palatino Linotype" w:cs="Palatino Linotype"/>
          <w:i/>
          <w:iCs/>
        </w:rPr>
      </w:pPr>
      <w:r>
        <w:rPr>
          <w:rFonts w:ascii="Palatino Linotype" w:eastAsia="Palatino Linotype" w:hAnsi="Palatino Linotype" w:cs="Palatino Linotype"/>
          <w:i/>
          <w:iCs/>
        </w:rPr>
        <w:t>3) Que se trate de información registrada en cualquier soporte documental, que en ejercicio de las atribuciones conferidas, se encuentre en posesión de los Sujetos Obligados.”</w:t>
      </w:r>
    </w:p>
    <w:p w:rsidR="00953CB6" w:rsidRDefault="00E26435">
      <w:pPr>
        <w:tabs>
          <w:tab w:val="left" w:pos="851"/>
        </w:tabs>
        <w:spacing w:line="360" w:lineRule="auto"/>
        <w:ind w:left="1134" w:right="-591"/>
        <w:rPr>
          <w:rFonts w:ascii="Palatino Linotype" w:eastAsia="Palatino Linotype" w:hAnsi="Palatino Linotype" w:cs="Palatino Linotype"/>
        </w:rPr>
      </w:pPr>
      <w:r>
        <w:rPr>
          <w:rFonts w:ascii="Palatino Linotype" w:eastAsia="Palatino Linotype" w:hAnsi="Palatino Linotype" w:cs="Palatino Linotype"/>
        </w:rPr>
        <w:t>(Énfasis Añadido)</w:t>
      </w:r>
    </w:p>
    <w:p w:rsidR="00953CB6" w:rsidRDefault="00953CB6">
      <w:pPr>
        <w:pBdr>
          <w:top w:val="nil"/>
          <w:left w:val="nil"/>
          <w:bottom w:val="nil"/>
          <w:right w:val="nil"/>
          <w:between w:val="nil"/>
        </w:pBdr>
        <w:ind w:right="-591"/>
        <w:jc w:val="both"/>
        <w:rPr>
          <w:rFonts w:ascii="Palatino Linotype" w:eastAsia="Palatino Linotype" w:hAnsi="Palatino Linotype" w:cs="Palatino Linotype"/>
          <w:color w:val="000000"/>
        </w:rPr>
      </w:pPr>
    </w:p>
    <w:p w:rsidR="00953CB6" w:rsidRDefault="00E26435">
      <w:pPr>
        <w:numPr>
          <w:ilvl w:val="0"/>
          <w:numId w:val="9"/>
        </w:numPr>
        <w:spacing w:line="360" w:lineRule="auto"/>
        <w:ind w:left="0" w:right="-591" w:firstLine="0"/>
        <w:jc w:val="both"/>
        <w:rPr>
          <w:color w:val="000000"/>
        </w:rPr>
      </w:pPr>
      <w:r>
        <w:rPr>
          <w:rFonts w:ascii="Palatino Linotype" w:eastAsia="Palatino Linotype" w:hAnsi="Palatino Linotype" w:cs="Palatino Linotype"/>
          <w:color w:val="000000"/>
        </w:rPr>
        <w:t>Por su parte los artículos 160 y 166, de la Ley local en la materia, que se reproduce de la siguiente forma:</w:t>
      </w:r>
    </w:p>
    <w:p w:rsidR="00953CB6" w:rsidRDefault="00E26435">
      <w:pPr>
        <w:ind w:left="1134" w:right="-591"/>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160.</w:t>
      </w:r>
      <w:r>
        <w:rPr>
          <w:rFonts w:ascii="Palatino Linotype" w:eastAsia="Palatino Linotype" w:hAnsi="Palatino Linotype" w:cs="Palatino Linotype"/>
          <w:i/>
          <w:iCs/>
        </w:rPr>
        <w:t xml:space="preserve"> </w:t>
      </w:r>
      <w:r>
        <w:rPr>
          <w:rFonts w:ascii="Palatino Linotype" w:eastAsia="Palatino Linotype" w:hAnsi="Palatino Linotype" w:cs="Palatino Linotype"/>
          <w:i/>
          <w:iCs/>
          <w:u w:val="single"/>
        </w:rPr>
        <w:t>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r>
        <w:rPr>
          <w:rFonts w:ascii="Palatino Linotype" w:eastAsia="Palatino Linotype" w:hAnsi="Palatino Linotype" w:cs="Palatino Linotype"/>
          <w:i/>
          <w:iCs/>
        </w:rPr>
        <w:t>.</w:t>
      </w:r>
    </w:p>
    <w:p w:rsidR="00953CB6" w:rsidRDefault="00953CB6">
      <w:pPr>
        <w:ind w:left="1134" w:right="-591"/>
        <w:jc w:val="both"/>
        <w:rPr>
          <w:rFonts w:ascii="Palatino Linotype" w:eastAsia="Palatino Linotype" w:hAnsi="Palatino Linotype" w:cs="Palatino Linotype"/>
          <w:i/>
          <w:iCs/>
        </w:rPr>
      </w:pPr>
    </w:p>
    <w:p w:rsidR="00953CB6" w:rsidRDefault="00E26435">
      <w:pPr>
        <w:ind w:left="1134" w:right="-591"/>
        <w:jc w:val="both"/>
        <w:rPr>
          <w:rFonts w:ascii="Palatino Linotype" w:eastAsia="Palatino Linotype" w:hAnsi="Palatino Linotype" w:cs="Palatino Linotype"/>
          <w:i/>
          <w:iCs/>
        </w:rPr>
      </w:pPr>
      <w:r>
        <w:rPr>
          <w:rFonts w:ascii="Palatino Linotype" w:eastAsia="Palatino Linotype" w:hAnsi="Palatino Linotype" w:cs="Palatino Linotype"/>
          <w:i/>
          <w:iCs/>
        </w:rPr>
        <w:t>En caso que la información solicitada consista en bases de datos se deberá privilegiar la entrega de la misma en formatos abiertos.</w:t>
      </w:r>
    </w:p>
    <w:p w:rsidR="00953CB6" w:rsidRDefault="00E26435">
      <w:pPr>
        <w:ind w:left="1134" w:right="-591"/>
        <w:jc w:val="both"/>
        <w:rPr>
          <w:rFonts w:ascii="Palatino Linotype" w:eastAsia="Palatino Linotype" w:hAnsi="Palatino Linotype" w:cs="Palatino Linotype"/>
          <w:i/>
          <w:iCs/>
          <w:u w:val="single"/>
        </w:rPr>
      </w:pPr>
      <w:r>
        <w:rPr>
          <w:rFonts w:ascii="Palatino Linotype" w:eastAsia="Palatino Linotype" w:hAnsi="Palatino Linotype" w:cs="Palatino Linotype"/>
          <w:b/>
          <w:bCs/>
          <w:i/>
          <w:iCs/>
        </w:rPr>
        <w:t>Artículo 166.</w:t>
      </w:r>
      <w:r>
        <w:rPr>
          <w:rFonts w:ascii="Palatino Linotype" w:eastAsia="Palatino Linotype" w:hAnsi="Palatino Linotype" w:cs="Palatino Linotype"/>
          <w:i/>
          <w:iCs/>
        </w:rPr>
        <w:t xml:space="preserve"> </w:t>
      </w:r>
      <w:r>
        <w:rPr>
          <w:rFonts w:ascii="Palatino Linotype" w:eastAsia="Palatino Linotype" w:hAnsi="Palatino Linotype" w:cs="Palatino Linotype"/>
          <w:i/>
          <w:iCs/>
          <w:u w:val="single"/>
        </w:rPr>
        <w:t>La obligación de acceso a la información pública se tendrá por cumplida cuando el solicitante tenga a su disposición la información requerida, o cuando realice la consulta de la misma en el lugar en el que ésta se localice.</w:t>
      </w:r>
    </w:p>
    <w:p w:rsidR="00953CB6" w:rsidRDefault="00E26435">
      <w:pPr>
        <w:spacing w:line="360" w:lineRule="auto"/>
        <w:ind w:left="1134" w:right="-591"/>
        <w:jc w:val="both"/>
        <w:rPr>
          <w:rFonts w:ascii="Palatino Linotype" w:eastAsia="Palatino Linotype" w:hAnsi="Palatino Linotype" w:cs="Palatino Linotype"/>
        </w:rPr>
      </w:pPr>
      <w:r>
        <w:rPr>
          <w:rFonts w:ascii="Palatino Linotype" w:eastAsia="Palatino Linotype" w:hAnsi="Palatino Linotype" w:cs="Palatino Linotype"/>
        </w:rPr>
        <w:t>(Énfasis añadido)</w:t>
      </w:r>
    </w:p>
    <w:p w:rsidR="00953CB6" w:rsidRDefault="00953CB6">
      <w:pPr>
        <w:ind w:right="-591"/>
        <w:jc w:val="both"/>
        <w:rPr>
          <w:rFonts w:ascii="Palatino Linotype" w:eastAsia="Palatino Linotype" w:hAnsi="Palatino Linotype" w:cs="Palatino Linotype"/>
        </w:rPr>
      </w:pPr>
    </w:p>
    <w:p w:rsidR="00953CB6" w:rsidRDefault="00E26435">
      <w:pPr>
        <w:numPr>
          <w:ilvl w:val="0"/>
          <w:numId w:val="9"/>
        </w:numPr>
        <w:spacing w:line="360" w:lineRule="auto"/>
        <w:ind w:left="0" w:right="-591" w:firstLine="0"/>
        <w:jc w:val="both"/>
        <w:rPr>
          <w:color w:val="000000"/>
        </w:rPr>
      </w:pPr>
      <w:r>
        <w:rPr>
          <w:rFonts w:ascii="Palatino Linotype" w:eastAsia="Palatino Linotype" w:hAnsi="Palatino Linotype" w:cs="Palatino Linotype"/>
          <w:color w:val="000000"/>
        </w:rPr>
        <w:t>Así que la obligación de los Sujetos Obligados de dar acceso a la información pública que generen, administren o posean, se tendrá por cumplida cuando el solicitante tenga a su disposición la información requerida, o cuando realice la consulta de la misma en el lugar que ésta se localice, siempre y cuando así resultare procedente.</w:t>
      </w:r>
    </w:p>
    <w:p w:rsidR="00953CB6" w:rsidRDefault="00953CB6">
      <w:pPr>
        <w:spacing w:line="360" w:lineRule="auto"/>
        <w:ind w:right="-591"/>
        <w:jc w:val="both"/>
        <w:rPr>
          <w:color w:val="000000"/>
        </w:rPr>
      </w:pPr>
    </w:p>
    <w:p w:rsidR="001C51FB" w:rsidRDefault="001C51FB">
      <w:pPr>
        <w:spacing w:line="360" w:lineRule="auto"/>
        <w:ind w:right="-591"/>
        <w:jc w:val="both"/>
        <w:rPr>
          <w:color w:val="000000"/>
        </w:rPr>
      </w:pPr>
    </w:p>
    <w:p w:rsidR="00953CB6" w:rsidRDefault="00E26435">
      <w:pPr>
        <w:numPr>
          <w:ilvl w:val="0"/>
          <w:numId w:val="3"/>
        </w:numPr>
        <w:pBdr>
          <w:top w:val="nil"/>
          <w:left w:val="nil"/>
          <w:bottom w:val="nil"/>
          <w:right w:val="nil"/>
          <w:between w:val="nil"/>
        </w:pBdr>
        <w:tabs>
          <w:tab w:val="left" w:pos="0"/>
          <w:tab w:val="left" w:pos="567"/>
        </w:tabs>
        <w:spacing w:line="360" w:lineRule="auto"/>
        <w:ind w:left="0" w:right="-591" w:firstLine="0"/>
        <w:jc w:val="both"/>
        <w:rPr>
          <w:rFonts w:ascii="Palatino Linotype" w:eastAsia="Palatino Linotype" w:hAnsi="Palatino Linotype" w:cs="Palatino Linotype"/>
          <w:color w:val="000000"/>
        </w:rPr>
      </w:pPr>
      <w:r>
        <w:rPr>
          <w:rFonts w:ascii="Palatino Linotype" w:eastAsia="Palatino Linotype" w:hAnsi="Palatino Linotype" w:cs="Palatino Linotype"/>
          <w:b/>
          <w:bCs/>
          <w:color w:val="000000"/>
        </w:rPr>
        <w:lastRenderedPageBreak/>
        <w:t xml:space="preserve">De la naturaleza de la información solicitada. </w:t>
      </w:r>
    </w:p>
    <w:p w:rsidR="00953CB6" w:rsidRDefault="00E26435">
      <w:pPr>
        <w:numPr>
          <w:ilvl w:val="0"/>
          <w:numId w:val="9"/>
        </w:numPr>
        <w:spacing w:line="360" w:lineRule="auto"/>
        <w:ind w:left="0" w:right="-591" w:firstLine="0"/>
        <w:jc w:val="both"/>
      </w:pPr>
      <w:r>
        <w:rPr>
          <w:rFonts w:ascii="Palatino Linotype" w:eastAsia="Palatino Linotype" w:hAnsi="Palatino Linotype" w:cs="Palatino Linotype"/>
        </w:rPr>
        <w:t xml:space="preserve">Se precisa que se obvia el análisis de la competencia por parte del </w:t>
      </w:r>
      <w:r>
        <w:rPr>
          <w:rFonts w:ascii="Palatino Linotype" w:eastAsia="Palatino Linotype" w:hAnsi="Palatino Linotype" w:cs="Palatino Linotype"/>
          <w:b/>
          <w:bCs/>
        </w:rPr>
        <w:t>SUJETO OBLIGADO</w:t>
      </w:r>
      <w:r>
        <w:rPr>
          <w:rFonts w:ascii="Palatino Linotype" w:eastAsia="Palatino Linotype" w:hAnsi="Palatino Linotype" w:cs="Palatino Linotype"/>
        </w:rPr>
        <w:t>, para generar, administrar o poseer la información solicitada, dado que éste ha asumido la misma, en razón que en su respuesta admitió contar con dicha información, tan es así que remitió los diversos padrones de adultos mayores beneficiarios de algún tipo de apoyo y aún el Acuerdo que sustentó las versiones públicas de lo entregado en respuesta.</w:t>
      </w:r>
    </w:p>
    <w:p w:rsidR="00953CB6" w:rsidRDefault="00953CB6">
      <w:pPr>
        <w:tabs>
          <w:tab w:val="left" w:pos="0"/>
          <w:tab w:val="left" w:pos="567"/>
        </w:tabs>
        <w:spacing w:line="360" w:lineRule="auto"/>
        <w:ind w:left="-566" w:right="-591"/>
        <w:jc w:val="both"/>
        <w:rPr>
          <w:rFonts w:ascii="Palatino Linotype" w:eastAsia="Palatino Linotype" w:hAnsi="Palatino Linotype" w:cs="Palatino Linotype"/>
        </w:rPr>
      </w:pPr>
    </w:p>
    <w:p w:rsidR="00953CB6" w:rsidRDefault="00E26435">
      <w:pPr>
        <w:numPr>
          <w:ilvl w:val="0"/>
          <w:numId w:val="9"/>
        </w:numPr>
        <w:spacing w:line="360" w:lineRule="auto"/>
        <w:ind w:left="0" w:right="-591" w:firstLine="0"/>
        <w:jc w:val="both"/>
      </w:pPr>
      <w:bookmarkStart w:id="3" w:name="_heading=h.2s8eyo1" w:colFirst="0" w:colLast="0"/>
      <w:bookmarkEnd w:id="3"/>
      <w:r>
        <w:rPr>
          <w:rFonts w:ascii="Palatino Linotype" w:eastAsia="Palatino Linotype" w:hAnsi="Palatino Linotype" w:cs="Palatino Linotype"/>
        </w:rPr>
        <w:t xml:space="preserve">En efecto, el </w:t>
      </w:r>
      <w:r>
        <w:rPr>
          <w:rFonts w:ascii="Palatino Linotype" w:eastAsia="Palatino Linotype" w:hAnsi="Palatino Linotype" w:cs="Palatino Linotype"/>
          <w:color w:val="000000"/>
        </w:rPr>
        <w:t>hecho</w:t>
      </w:r>
      <w:r>
        <w:rPr>
          <w:rFonts w:ascii="Palatino Linotype" w:eastAsia="Palatino Linotype" w:hAnsi="Palatino Linotype" w:cs="Palatino Linotype"/>
        </w:rPr>
        <w:t xml:space="preserve"> de que </w:t>
      </w:r>
      <w:r>
        <w:rPr>
          <w:rFonts w:ascii="Palatino Linotype" w:eastAsia="Palatino Linotype" w:hAnsi="Palatino Linotype" w:cs="Palatino Linotype"/>
          <w:b/>
          <w:bCs/>
        </w:rPr>
        <w:t>EL SUJETO OBLIGADO</w:t>
      </w:r>
      <w:r>
        <w:rPr>
          <w:rFonts w:ascii="Palatino Linotype" w:eastAsia="Palatino Linotype" w:hAnsi="Palatino Linotype" w:cs="Palatino Linotype"/>
        </w:rPr>
        <w:t xml:space="preserve"> haya admitido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953CB6" w:rsidRDefault="00E26435">
      <w:pPr>
        <w:tabs>
          <w:tab w:val="left" w:pos="8505"/>
        </w:tabs>
        <w:ind w:left="1134" w:right="-591"/>
        <w:jc w:val="both"/>
        <w:rPr>
          <w:rFonts w:ascii="Palatino Linotype" w:eastAsia="Palatino Linotype" w:hAnsi="Palatino Linotype" w:cs="Palatino Linotype"/>
          <w:i/>
          <w:iCs/>
        </w:rPr>
      </w:pPr>
      <w:r>
        <w:rPr>
          <w:rFonts w:ascii="Palatino Linotype" w:eastAsia="Palatino Linotype" w:hAnsi="Palatino Linotype" w:cs="Palatino Linotype"/>
          <w:i/>
          <w:iCs/>
        </w:rPr>
        <w:t>“</w:t>
      </w:r>
      <w:r>
        <w:rPr>
          <w:rFonts w:ascii="Palatino Linotype" w:eastAsia="Palatino Linotype" w:hAnsi="Palatino Linotype" w:cs="Palatino Linotype"/>
          <w:b/>
          <w:bCs/>
          <w:i/>
          <w:iCs/>
        </w:rPr>
        <w:t>Artículo 12.</w:t>
      </w:r>
      <w:r>
        <w:rPr>
          <w:rFonts w:ascii="Palatino Linotype" w:eastAsia="Palatino Linotype" w:hAnsi="Palatino Linotype" w:cs="Palatino Linotype"/>
          <w:i/>
          <w:iCs/>
        </w:rPr>
        <w:t> Quienes generen, recopilen, administren, manejen, procesen, archiven o conserven información pública serán responsables de la misma en los términos de las disposiciones jurídicas aplicables.</w:t>
      </w:r>
    </w:p>
    <w:p w:rsidR="00953CB6" w:rsidRDefault="00953CB6">
      <w:pPr>
        <w:tabs>
          <w:tab w:val="left" w:pos="8505"/>
        </w:tabs>
        <w:ind w:left="1134" w:right="-591"/>
        <w:jc w:val="both"/>
        <w:rPr>
          <w:rFonts w:ascii="Palatino Linotype" w:eastAsia="Palatino Linotype" w:hAnsi="Palatino Linotype" w:cs="Palatino Linotype"/>
          <w:i/>
          <w:iCs/>
        </w:rPr>
      </w:pPr>
    </w:p>
    <w:p w:rsidR="00953CB6" w:rsidRDefault="00E26435">
      <w:pPr>
        <w:tabs>
          <w:tab w:val="left" w:pos="8505"/>
        </w:tabs>
        <w:ind w:left="1134" w:right="-591"/>
        <w:jc w:val="both"/>
        <w:rPr>
          <w:rFonts w:ascii="Palatino Linotype" w:eastAsia="Palatino Linotype" w:hAnsi="Palatino Linotype" w:cs="Palatino Linotype"/>
          <w:i/>
          <w:iCs/>
        </w:rPr>
      </w:pPr>
      <w:r>
        <w:rPr>
          <w:rFonts w:ascii="Palatino Linotype" w:eastAsia="Palatino Linotype" w:hAnsi="Palatino Linotype" w:cs="Palatino Linotype"/>
          <w:i/>
          <w:iCs/>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953CB6" w:rsidRDefault="00953CB6">
      <w:pPr>
        <w:tabs>
          <w:tab w:val="left" w:pos="8505"/>
        </w:tabs>
        <w:ind w:left="1134" w:right="-591"/>
        <w:jc w:val="both"/>
        <w:rPr>
          <w:rFonts w:ascii="Palatino Linotype" w:eastAsia="Palatino Linotype" w:hAnsi="Palatino Linotype" w:cs="Palatino Linotype"/>
          <w:i/>
          <w:iCs/>
        </w:rPr>
      </w:pPr>
    </w:p>
    <w:p w:rsidR="00953CB6" w:rsidRDefault="00953CB6">
      <w:pPr>
        <w:pBdr>
          <w:top w:val="nil"/>
          <w:left w:val="nil"/>
          <w:bottom w:val="nil"/>
          <w:right w:val="nil"/>
          <w:between w:val="nil"/>
        </w:pBdr>
        <w:ind w:left="-566" w:right="-591"/>
        <w:rPr>
          <w:rFonts w:ascii="Palatino Linotype" w:eastAsia="Palatino Linotype" w:hAnsi="Palatino Linotype" w:cs="Palatino Linotype"/>
          <w:color w:val="000000"/>
        </w:rPr>
      </w:pPr>
    </w:p>
    <w:p w:rsidR="00953CB6" w:rsidRDefault="00E26435">
      <w:pPr>
        <w:numPr>
          <w:ilvl w:val="0"/>
          <w:numId w:val="9"/>
        </w:numPr>
        <w:spacing w:line="360" w:lineRule="auto"/>
        <w:ind w:left="0" w:right="-591" w:firstLine="0"/>
        <w:jc w:val="both"/>
        <w:rPr>
          <w:color w:val="000000"/>
        </w:rPr>
      </w:pPr>
      <w:r>
        <w:rPr>
          <w:rFonts w:ascii="Palatino Linotype" w:eastAsia="Palatino Linotype" w:hAnsi="Palatino Linotype" w:cs="Palatino Linotype"/>
        </w:rPr>
        <w:t xml:space="preserve">Así, el estudio de </w:t>
      </w:r>
      <w:r>
        <w:rPr>
          <w:rFonts w:ascii="Palatino Linotype" w:eastAsia="Palatino Linotype" w:hAnsi="Palatino Linotype" w:cs="Palatino Linotype"/>
          <w:color w:val="000000"/>
        </w:rPr>
        <w:t>la</w:t>
      </w:r>
      <w:r>
        <w:rPr>
          <w:rFonts w:ascii="Palatino Linotype" w:eastAsia="Palatino Linotype" w:hAnsi="Palatino Linotype" w:cs="Palatino Linotype"/>
        </w:rPr>
        <w:t xml:space="preserve"> naturaleza jurídica de la información pública solicitada, tiene por objeto determinar si ésta la genera, posee o administra </w:t>
      </w:r>
      <w:r>
        <w:rPr>
          <w:rFonts w:ascii="Palatino Linotype" w:eastAsia="Palatino Linotype" w:hAnsi="Palatino Linotype" w:cs="Palatino Linotype"/>
          <w:b/>
          <w:bCs/>
        </w:rPr>
        <w:t>EL SUJETO OBLIGADO</w:t>
      </w:r>
      <w:r>
        <w:rPr>
          <w:rFonts w:ascii="Palatino Linotype" w:eastAsia="Palatino Linotype" w:hAnsi="Palatino Linotype" w:cs="Palatino Linotype"/>
        </w:rPr>
        <w:t xml:space="preserve">; sin embargo, en aquellos casos en que éste la asume, a nada práctico nos conduciría su estudio, ya que se insiste, dicha información, fue admitida por el mismo; por lo que, la genera, posee </w:t>
      </w:r>
      <w:r>
        <w:rPr>
          <w:rFonts w:ascii="Palatino Linotype" w:eastAsia="Palatino Linotype" w:hAnsi="Palatino Linotype" w:cs="Palatino Linotype"/>
        </w:rPr>
        <w:lastRenderedPageBreak/>
        <w:t>y administra, en ejercicio de sus funciones de derecho público, motivo por el cual, se actualiza el supuesto jurídico, previsto en el artículo 12 de la Ley de la materia, anteriormente referido.</w:t>
      </w:r>
    </w:p>
    <w:p w:rsidR="00953CB6" w:rsidRDefault="00953CB6">
      <w:pPr>
        <w:spacing w:line="360" w:lineRule="auto"/>
        <w:ind w:right="-591"/>
        <w:jc w:val="both"/>
        <w:rPr>
          <w:color w:val="000000"/>
        </w:rPr>
      </w:pPr>
    </w:p>
    <w:p w:rsidR="00953CB6" w:rsidRDefault="00E26435">
      <w:pPr>
        <w:numPr>
          <w:ilvl w:val="0"/>
          <w:numId w:val="9"/>
        </w:numPr>
        <w:pBdr>
          <w:top w:val="nil"/>
          <w:left w:val="nil"/>
          <w:bottom w:val="nil"/>
          <w:right w:val="nil"/>
          <w:between w:val="nil"/>
        </w:pBdr>
        <w:spacing w:line="360" w:lineRule="auto"/>
        <w:ind w:left="0" w:right="-591" w:firstLine="0"/>
        <w:jc w:val="both"/>
        <w:rPr>
          <w:color w:val="000000"/>
        </w:rPr>
      </w:pPr>
      <w:r>
        <w:rPr>
          <w:rFonts w:ascii="Palatino Linotype" w:eastAsia="Palatino Linotype" w:hAnsi="Palatino Linotype" w:cs="Palatino Linotype"/>
          <w:color w:val="000000"/>
        </w:rPr>
        <w:t xml:space="preserve">De lo anterior,  es de recordar que la información a la que desea tener acceso el solicitante es relativa  </w:t>
      </w:r>
      <w:r>
        <w:rPr>
          <w:rFonts w:ascii="Palatino Linotype" w:eastAsia="Palatino Linotype" w:hAnsi="Palatino Linotype" w:cs="Palatino Linotype"/>
          <w:i/>
          <w:iCs/>
          <w:color w:val="000000"/>
        </w:rPr>
        <w:t>Padrón de Adultos Mayores beneficiarios de cualquier tipo de apoyo, señalando si son residentes del municipio y el tipo de apoyo que reciben y Padrón de personas con discapacidad que reciban atención del UBRIS, señalando si son residentes del municipio y el tipo de atención que reciben</w:t>
      </w:r>
      <w:r>
        <w:rPr>
          <w:rFonts w:ascii="Palatino Linotype" w:eastAsia="Palatino Linotype" w:hAnsi="Palatino Linotype" w:cs="Palatino Linotype"/>
          <w:color w:val="000000"/>
        </w:rPr>
        <w:t xml:space="preserve">; razón por la cual se dolió el recurrente por la clasificación  de la información solicitada; en consecuencia en Informe Justificado el Sujeto Obligado ratificó su </w:t>
      </w:r>
      <w:r>
        <w:rPr>
          <w:rFonts w:ascii="Palatino Linotype" w:eastAsia="Palatino Linotype" w:hAnsi="Palatino Linotype" w:cs="Palatino Linotype"/>
        </w:rPr>
        <w:t>respuesta</w:t>
      </w:r>
      <w:r>
        <w:rPr>
          <w:rFonts w:ascii="Palatino Linotype" w:eastAsia="Palatino Linotype" w:hAnsi="Palatino Linotype" w:cs="Palatino Linotype"/>
          <w:color w:val="000000"/>
        </w:rPr>
        <w:t xml:space="preserve"> primigenia.</w:t>
      </w:r>
    </w:p>
    <w:p w:rsidR="00953CB6" w:rsidRDefault="00953CB6">
      <w:pPr>
        <w:spacing w:line="360" w:lineRule="auto"/>
        <w:ind w:right="-591"/>
        <w:jc w:val="both"/>
        <w:rPr>
          <w:rFonts w:ascii="Palatino Linotype" w:eastAsia="Palatino Linotype" w:hAnsi="Palatino Linotype" w:cs="Palatino Linotype"/>
          <w:i/>
          <w:iCs/>
          <w:color w:val="000000"/>
        </w:rPr>
      </w:pPr>
    </w:p>
    <w:p w:rsidR="00953CB6" w:rsidRDefault="00E26435">
      <w:pPr>
        <w:numPr>
          <w:ilvl w:val="0"/>
          <w:numId w:val="9"/>
        </w:numPr>
        <w:spacing w:line="360" w:lineRule="auto"/>
        <w:ind w:left="0" w:right="-591" w:firstLine="0"/>
        <w:jc w:val="both"/>
        <w:rPr>
          <w:color w:val="000000"/>
        </w:rPr>
      </w:pPr>
      <w:r>
        <w:rPr>
          <w:rFonts w:ascii="Palatino Linotype" w:eastAsia="Palatino Linotype" w:hAnsi="Palatino Linotype" w:cs="Palatino Linotype"/>
          <w:color w:val="000000"/>
        </w:rPr>
        <w:t>En razón de lo anterior, l</w:t>
      </w:r>
      <w:r>
        <w:rPr>
          <w:rFonts w:ascii="Palatino Linotype" w:eastAsia="Palatino Linotype" w:hAnsi="Palatino Linotype" w:cs="Palatino Linotype"/>
        </w:rPr>
        <w:t xml:space="preserve">a Ley de </w:t>
      </w:r>
      <w:r>
        <w:rPr>
          <w:rFonts w:ascii="Palatino Linotype" w:eastAsia="Palatino Linotype" w:hAnsi="Palatino Linotype" w:cs="Palatino Linotype"/>
          <w:color w:val="000000"/>
        </w:rPr>
        <w:t>Transparencia</w:t>
      </w:r>
      <w:r>
        <w:rPr>
          <w:rFonts w:ascii="Palatino Linotype" w:eastAsia="Palatino Linotype" w:hAnsi="Palatino Linotype" w:cs="Palatino Linotype"/>
        </w:rPr>
        <w:t xml:space="preserve"> y Acceso a la Información Pública del Estado de México y Municipios en el artículo 92 fracción XIV inciso f) y p) establece lo siguiente:</w:t>
      </w:r>
    </w:p>
    <w:p w:rsidR="00953CB6" w:rsidRDefault="00E26435">
      <w:pPr>
        <w:ind w:left="1134" w:right="-591"/>
        <w:jc w:val="both"/>
        <w:rPr>
          <w:rFonts w:ascii="Palatino Linotype" w:eastAsia="Palatino Linotype" w:hAnsi="Palatino Linotype" w:cs="Palatino Linotype"/>
          <w:i/>
          <w:iCs/>
        </w:rPr>
      </w:pPr>
      <w:r>
        <w:rPr>
          <w:rFonts w:ascii="Palatino Linotype" w:eastAsia="Palatino Linotype" w:hAnsi="Palatino Linotype" w:cs="Palatino Linotype"/>
          <w:i/>
          <w:iCs/>
        </w:rPr>
        <w:t>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rsidR="00953CB6" w:rsidRDefault="00E26435">
      <w:pPr>
        <w:ind w:left="1134" w:right="-59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953CB6" w:rsidRDefault="00E26435">
      <w:pPr>
        <w:ind w:left="1134" w:right="-591"/>
        <w:jc w:val="both"/>
        <w:rPr>
          <w:rFonts w:ascii="Palatino Linotype" w:eastAsia="Palatino Linotype" w:hAnsi="Palatino Linotype" w:cs="Palatino Linotype"/>
          <w:i/>
          <w:iCs/>
        </w:rPr>
      </w:pPr>
      <w:r>
        <w:rPr>
          <w:rFonts w:ascii="Palatino Linotype" w:eastAsia="Palatino Linotype" w:hAnsi="Palatino Linotype" w:cs="Palatino Linotype"/>
          <w:i/>
          <w:iCs/>
        </w:rPr>
        <w:t>XIV. La información de los programas de subsidios, estímulos y apoyos, en el que se deberá informar respecto de los programas de transferencia, de servicios, de infraestructura social y de subsidio, en los que se deberá contener lo siguiente:</w:t>
      </w:r>
    </w:p>
    <w:p w:rsidR="00953CB6" w:rsidRDefault="00E26435">
      <w:pPr>
        <w:ind w:left="1134" w:right="-59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953CB6" w:rsidRDefault="00E26435">
      <w:pPr>
        <w:ind w:left="1134" w:right="-591"/>
        <w:jc w:val="both"/>
        <w:rPr>
          <w:rFonts w:ascii="Palatino Linotype" w:eastAsia="Palatino Linotype" w:hAnsi="Palatino Linotype" w:cs="Palatino Linotype"/>
          <w:i/>
          <w:iCs/>
        </w:rPr>
      </w:pPr>
      <w:r>
        <w:rPr>
          <w:rFonts w:ascii="Palatino Linotype" w:eastAsia="Palatino Linotype" w:hAnsi="Palatino Linotype" w:cs="Palatino Linotype"/>
          <w:i/>
          <w:iCs/>
        </w:rPr>
        <w:t>f) Población beneficiada estimada;</w:t>
      </w:r>
    </w:p>
    <w:p w:rsidR="00953CB6" w:rsidRDefault="00E26435">
      <w:pPr>
        <w:ind w:left="1134" w:right="-59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953CB6" w:rsidRDefault="00E26435">
      <w:pPr>
        <w:ind w:left="1134" w:right="-591"/>
        <w:jc w:val="both"/>
        <w:rPr>
          <w:rFonts w:ascii="Palatino Linotype" w:eastAsia="Palatino Linotype" w:hAnsi="Palatino Linotype" w:cs="Palatino Linotype"/>
          <w:i/>
          <w:iCs/>
        </w:rPr>
      </w:pPr>
      <w:r>
        <w:rPr>
          <w:rFonts w:ascii="Palatino Linotype" w:eastAsia="Palatino Linotype" w:hAnsi="Palatino Linotype" w:cs="Palatino Linotype"/>
          <w:b/>
          <w:bCs/>
          <w:i/>
          <w:iCs/>
        </w:rPr>
        <w:t>p) Padrón de beneficiarios</w:t>
      </w:r>
      <w:r>
        <w:rPr>
          <w:rFonts w:ascii="Palatino Linotype" w:eastAsia="Palatino Linotype" w:hAnsi="Palatino Linotype" w:cs="Palatino Linotype"/>
          <w:i/>
          <w:iCs/>
        </w:rPr>
        <w:t xml:space="preserve"> mismo que deberá contener los siguientes datos: nombre de la persona física o denominación social de las personas jurídicas colectivas beneficiadas, el </w:t>
      </w:r>
      <w:r>
        <w:rPr>
          <w:rFonts w:ascii="Palatino Linotype" w:eastAsia="Palatino Linotype" w:hAnsi="Palatino Linotype" w:cs="Palatino Linotype"/>
          <w:i/>
          <w:iCs/>
        </w:rPr>
        <w:lastRenderedPageBreak/>
        <w:t>monto, recurso, beneficio o apoyo otorgado para cada una de ellas, unidad territorial, en su caso, edad y sexo.</w:t>
      </w:r>
    </w:p>
    <w:p w:rsidR="00953CB6" w:rsidRDefault="00953CB6">
      <w:pPr>
        <w:spacing w:line="360" w:lineRule="auto"/>
        <w:ind w:left="1134" w:right="-591"/>
        <w:jc w:val="both"/>
        <w:rPr>
          <w:rFonts w:ascii="Palatino Linotype" w:eastAsia="Palatino Linotype" w:hAnsi="Palatino Linotype" w:cs="Palatino Linotype"/>
          <w:i/>
          <w:iCs/>
        </w:rPr>
      </w:pPr>
    </w:p>
    <w:p w:rsidR="00953CB6" w:rsidRDefault="00E26435">
      <w:pPr>
        <w:numPr>
          <w:ilvl w:val="0"/>
          <w:numId w:val="9"/>
        </w:numPr>
        <w:spacing w:line="360" w:lineRule="auto"/>
        <w:ind w:left="0" w:right="-591" w:firstLine="0"/>
        <w:jc w:val="both"/>
      </w:pPr>
      <w:r>
        <w:rPr>
          <w:rFonts w:ascii="Palatino Linotype" w:eastAsia="Palatino Linotype" w:hAnsi="Palatino Linotype" w:cs="Palatino Linotype"/>
        </w:rPr>
        <w:t>En materia de transparencia se determina que es pública aquella información relativa a los beneficiarios de programas de apoyo, subsidios, estímulos o apoyos, dicho padrón debe contener información como nombre, monto, recurso, edad y sexo.</w:t>
      </w:r>
    </w:p>
    <w:p w:rsidR="00953CB6" w:rsidRDefault="00953CB6">
      <w:pPr>
        <w:pBdr>
          <w:top w:val="nil"/>
          <w:left w:val="nil"/>
          <w:bottom w:val="nil"/>
          <w:right w:val="nil"/>
          <w:between w:val="nil"/>
        </w:pBdr>
        <w:spacing w:line="360" w:lineRule="auto"/>
        <w:ind w:right="-591"/>
        <w:jc w:val="both"/>
        <w:rPr>
          <w:rFonts w:ascii="Palatino Linotype" w:eastAsia="Palatino Linotype" w:hAnsi="Palatino Linotype" w:cs="Palatino Linotype"/>
          <w:color w:val="000000"/>
        </w:rPr>
      </w:pPr>
    </w:p>
    <w:p w:rsidR="00953CB6" w:rsidRDefault="00E26435">
      <w:pPr>
        <w:numPr>
          <w:ilvl w:val="0"/>
          <w:numId w:val="9"/>
        </w:numPr>
        <w:spacing w:line="360" w:lineRule="auto"/>
        <w:ind w:left="0" w:right="-591" w:firstLine="0"/>
        <w:jc w:val="both"/>
      </w:pPr>
      <w:r>
        <w:rPr>
          <w:rFonts w:ascii="Palatino Linotype" w:eastAsia="Palatino Linotype" w:hAnsi="Palatino Linotype" w:cs="Palatino Linotype"/>
        </w:rPr>
        <w:t xml:space="preserve">Los </w:t>
      </w:r>
      <w:r>
        <w:rPr>
          <w:rFonts w:ascii="Palatino Linotype" w:eastAsia="Palatino Linotype" w:hAnsi="Palatino Linotype" w:cs="Palatino Linotype"/>
          <w:i/>
          <w:iCs/>
        </w:rPr>
        <w:t xml:space="preserve">Lineamientos técnicos generales para la publicación, homologación y estandarización de la información de las obligaciones establecidas en el título quinto y en la fracción IV del artículo 31 de la Ley General de Transparencia y Acceso a la Información Pública, que deben de difundir los sujetos obligados en los portales de Internet y en la Plataforma Nacional de Transparencia </w:t>
      </w:r>
      <w:r>
        <w:rPr>
          <w:rFonts w:ascii="Palatino Linotype" w:eastAsia="Palatino Linotype" w:hAnsi="Palatino Linotype" w:cs="Palatino Linotype"/>
        </w:rPr>
        <w:t>al respecto establecen lo siguiente:</w:t>
      </w:r>
    </w:p>
    <w:p w:rsidR="00953CB6" w:rsidRDefault="00E26435">
      <w:pPr>
        <w:ind w:left="1134" w:right="-591"/>
        <w:jc w:val="both"/>
        <w:rPr>
          <w:rFonts w:ascii="Palatino Linotype" w:eastAsia="Palatino Linotype" w:hAnsi="Palatino Linotype" w:cs="Palatino Linotype"/>
          <w:i/>
          <w:iCs/>
        </w:rPr>
      </w:pPr>
      <w:r>
        <w:rPr>
          <w:rFonts w:ascii="Palatino Linotype" w:eastAsia="Palatino Linotype" w:hAnsi="Palatino Linotype" w:cs="Palatino Linotype"/>
          <w:i/>
          <w:iCs/>
        </w:rPr>
        <w:t>XV. La información de los programas de subsidios, estímulos y apoyos, en el que se deberá informar respecto de los programas de transferencia, de servicios, de infraestructura social y de subsidio, en los que se deberá contener lo siguiente:</w:t>
      </w:r>
    </w:p>
    <w:p w:rsidR="00953CB6" w:rsidRDefault="00E26435">
      <w:pPr>
        <w:ind w:left="1134" w:right="-59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953CB6" w:rsidRDefault="00E26435">
      <w:pPr>
        <w:ind w:left="1134" w:right="-591"/>
        <w:jc w:val="both"/>
        <w:rPr>
          <w:rFonts w:ascii="Palatino Linotype" w:eastAsia="Palatino Linotype" w:hAnsi="Palatino Linotype" w:cs="Palatino Linotype"/>
          <w:b/>
          <w:bCs/>
          <w:i/>
          <w:iCs/>
        </w:rPr>
      </w:pPr>
      <w:r>
        <w:rPr>
          <w:rFonts w:ascii="Palatino Linotype" w:eastAsia="Palatino Linotype" w:hAnsi="Palatino Linotype" w:cs="Palatino Linotype"/>
          <w:i/>
          <w:iCs/>
        </w:rPr>
        <w:t xml:space="preserve">q) </w:t>
      </w:r>
      <w:r>
        <w:rPr>
          <w:rFonts w:ascii="Palatino Linotype" w:eastAsia="Palatino Linotype" w:hAnsi="Palatino Linotype" w:cs="Palatino Linotype"/>
          <w:b/>
          <w:bCs/>
          <w:i/>
          <w:iCs/>
        </w:rPr>
        <w:t>Padrón de beneficiarios</w:t>
      </w:r>
      <w:r>
        <w:rPr>
          <w:rFonts w:ascii="Palatino Linotype" w:eastAsia="Palatino Linotype" w:hAnsi="Palatino Linotype" w:cs="Palatino Linotype"/>
          <w:i/>
          <w:iCs/>
        </w:rPr>
        <w:t xml:space="preserve"> mismo que deberá contener los siguientes datos: </w:t>
      </w:r>
      <w:r>
        <w:rPr>
          <w:rFonts w:ascii="Palatino Linotype" w:eastAsia="Palatino Linotype" w:hAnsi="Palatino Linotype" w:cs="Palatino Linotype"/>
          <w:b/>
          <w:bCs/>
          <w:i/>
          <w:iCs/>
        </w:rPr>
        <w:t>nombre de la persona física o denominación social de las personas morales beneficiarias, el monto, recurso, beneficio o apoyo otorgado para cada una de ellas, unidad territorial, en su caso edad y sexo;</w:t>
      </w:r>
    </w:p>
    <w:p w:rsidR="00953CB6" w:rsidRDefault="00E26435">
      <w:pPr>
        <w:ind w:left="1134" w:right="-59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953CB6" w:rsidRDefault="00953CB6">
      <w:pPr>
        <w:ind w:left="1134" w:right="-591"/>
        <w:jc w:val="both"/>
        <w:rPr>
          <w:rFonts w:ascii="Palatino Linotype" w:eastAsia="Palatino Linotype" w:hAnsi="Palatino Linotype" w:cs="Palatino Linotype"/>
          <w:i/>
          <w:iCs/>
        </w:rPr>
      </w:pPr>
    </w:p>
    <w:p w:rsidR="00953CB6" w:rsidRDefault="00E26435">
      <w:pPr>
        <w:ind w:left="1134" w:right="-59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Respecto al tipo o naturaleza del programa social se deberá especificar si corresponde a alguno de los siguientes: </w:t>
      </w:r>
    </w:p>
    <w:p w:rsidR="00953CB6" w:rsidRDefault="00E26435">
      <w:pPr>
        <w:ind w:left="1134" w:right="-59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953CB6" w:rsidRDefault="00E26435">
      <w:pPr>
        <w:ind w:left="1134" w:right="-59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b. </w:t>
      </w:r>
      <w:r>
        <w:rPr>
          <w:rFonts w:ascii="Palatino Linotype" w:eastAsia="Palatino Linotype" w:hAnsi="Palatino Linotype" w:cs="Palatino Linotype"/>
          <w:b/>
          <w:bCs/>
          <w:i/>
          <w:iCs/>
        </w:rPr>
        <w:t>Programas de servicios</w:t>
      </w:r>
      <w:r>
        <w:rPr>
          <w:rFonts w:ascii="Palatino Linotype" w:eastAsia="Palatino Linotype" w:hAnsi="Palatino Linotype" w:cs="Palatino Linotype"/>
          <w:i/>
          <w:iCs/>
        </w:rPr>
        <w:t xml:space="preserve">: </w:t>
      </w:r>
      <w:r>
        <w:rPr>
          <w:rFonts w:ascii="Palatino Linotype" w:eastAsia="Palatino Linotype" w:hAnsi="Palatino Linotype" w:cs="Palatino Linotype"/>
          <w:b/>
          <w:bCs/>
          <w:i/>
          <w:iCs/>
        </w:rPr>
        <w:t>ofrecen un conjunto de actividades con el fin de atender necesidades específicas de determinada comunidad</w:t>
      </w:r>
      <w:r>
        <w:rPr>
          <w:rFonts w:ascii="Palatino Linotype" w:eastAsia="Palatino Linotype" w:hAnsi="Palatino Linotype" w:cs="Palatino Linotype"/>
          <w:i/>
          <w:iCs/>
        </w:rPr>
        <w:t>: servicios de educación, de salud, de vivienda, etcétera.</w:t>
      </w:r>
    </w:p>
    <w:p w:rsidR="00953CB6" w:rsidRDefault="00E26435">
      <w:pPr>
        <w:ind w:left="1134" w:right="-59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953CB6" w:rsidRDefault="00953CB6">
      <w:pPr>
        <w:ind w:left="1134" w:right="-591"/>
        <w:jc w:val="both"/>
        <w:rPr>
          <w:rFonts w:ascii="Palatino Linotype" w:eastAsia="Palatino Linotype" w:hAnsi="Palatino Linotype" w:cs="Palatino Linotype"/>
          <w:i/>
          <w:iCs/>
        </w:rPr>
      </w:pPr>
    </w:p>
    <w:p w:rsidR="00953CB6" w:rsidRDefault="00E26435">
      <w:pPr>
        <w:ind w:left="1134" w:right="-591"/>
        <w:jc w:val="both"/>
        <w:rPr>
          <w:rFonts w:ascii="Palatino Linotype" w:eastAsia="Palatino Linotype" w:hAnsi="Palatino Linotype" w:cs="Palatino Linotype"/>
          <w:i/>
          <w:iCs/>
        </w:rPr>
      </w:pPr>
      <w:r>
        <w:rPr>
          <w:rFonts w:ascii="Palatino Linotype" w:eastAsia="Palatino Linotype" w:hAnsi="Palatino Linotype" w:cs="Palatino Linotype"/>
          <w:i/>
          <w:iCs/>
        </w:rPr>
        <w:t>Criterios sustantivos de contenido</w:t>
      </w:r>
    </w:p>
    <w:p w:rsidR="00953CB6" w:rsidRDefault="00E26435">
      <w:pPr>
        <w:ind w:left="1134" w:right="-591"/>
        <w:jc w:val="both"/>
        <w:rPr>
          <w:rFonts w:ascii="Palatino Linotype" w:eastAsia="Palatino Linotype" w:hAnsi="Palatino Linotype" w:cs="Palatino Linotype"/>
          <w:i/>
          <w:iCs/>
        </w:rPr>
      </w:pPr>
      <w:r>
        <w:rPr>
          <w:rFonts w:ascii="Palatino Linotype" w:eastAsia="Palatino Linotype" w:hAnsi="Palatino Linotype" w:cs="Palatino Linotype"/>
          <w:b/>
          <w:bCs/>
          <w:i/>
          <w:iCs/>
        </w:rPr>
        <w:lastRenderedPageBreak/>
        <w:t>Criterio 61</w:t>
      </w:r>
      <w:r>
        <w:rPr>
          <w:rFonts w:ascii="Palatino Linotype" w:eastAsia="Palatino Linotype" w:hAnsi="Palatino Linotype" w:cs="Palatino Linotype"/>
          <w:i/>
          <w:iCs/>
        </w:rPr>
        <w:t xml:space="preserve"> Hipervínculo al padrón de beneficiarios o participantes. Este documento deberá ser el publicado en el DOF, Gaceta o cualquier medio oficial según corresponda.</w:t>
      </w:r>
    </w:p>
    <w:p w:rsidR="00953CB6" w:rsidRDefault="00E26435">
      <w:pPr>
        <w:ind w:left="1134" w:right="-59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953CB6" w:rsidRDefault="00E26435">
      <w:pPr>
        <w:ind w:left="1134" w:right="-59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Además del nombre de la persona, se incluirán los siguientes datos, únicamente cuando formen parte de los criterios y requisitos de elegibilidad previstos en los programas de desarrollo social. </w:t>
      </w:r>
      <w:r>
        <w:rPr>
          <w:rFonts w:ascii="Palatino Linotype" w:eastAsia="Palatino Linotype" w:hAnsi="Palatino Linotype" w:cs="Palatino Linotype"/>
          <w:b/>
          <w:bCs/>
          <w:i/>
          <w:iCs/>
        </w:rPr>
        <w:t>En caso de que las personas beneficiarias directas sean personas menores de edad o víctimas del delito, se deberá proteger el nombre solicitado</w:t>
      </w:r>
      <w:r>
        <w:rPr>
          <w:rFonts w:ascii="Palatino Linotype" w:eastAsia="Palatino Linotype" w:hAnsi="Palatino Linotype" w:cs="Palatino Linotype"/>
          <w:i/>
          <w:iCs/>
        </w:rPr>
        <w:t xml:space="preserve"> en el criterio 69:</w:t>
      </w:r>
    </w:p>
    <w:p w:rsidR="00953CB6" w:rsidRDefault="00953CB6">
      <w:pPr>
        <w:ind w:left="1134" w:right="-591"/>
        <w:jc w:val="both"/>
        <w:rPr>
          <w:rFonts w:ascii="Palatino Linotype" w:eastAsia="Palatino Linotype" w:hAnsi="Palatino Linotype" w:cs="Palatino Linotype"/>
          <w:i/>
          <w:iCs/>
        </w:rPr>
      </w:pPr>
    </w:p>
    <w:p w:rsidR="00953CB6" w:rsidRDefault="00E26435">
      <w:pPr>
        <w:ind w:left="1134" w:right="-591"/>
        <w:jc w:val="both"/>
        <w:rPr>
          <w:rFonts w:ascii="Palatino Linotype" w:eastAsia="Palatino Linotype" w:hAnsi="Palatino Linotype" w:cs="Palatino Linotype"/>
          <w:i/>
          <w:iCs/>
        </w:rPr>
      </w:pPr>
      <w:r>
        <w:rPr>
          <w:rFonts w:ascii="Palatino Linotype" w:eastAsia="Palatino Linotype" w:hAnsi="Palatino Linotype" w:cs="Palatino Linotype"/>
          <w:i/>
          <w:iCs/>
        </w:rPr>
        <w:t>Respecto del Padrón de personas beneficiarias se publicará la información siguiente:</w:t>
      </w:r>
    </w:p>
    <w:p w:rsidR="00953CB6" w:rsidRDefault="00E26435">
      <w:pPr>
        <w:ind w:left="1134" w:right="-59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953CB6" w:rsidRDefault="00E26435">
      <w:pPr>
        <w:ind w:left="1134" w:right="-591"/>
        <w:jc w:val="both"/>
        <w:rPr>
          <w:rFonts w:ascii="Palatino Linotype" w:eastAsia="Palatino Linotype" w:hAnsi="Palatino Linotype" w:cs="Palatino Linotype"/>
          <w:i/>
          <w:iCs/>
        </w:rPr>
      </w:pPr>
      <w:r>
        <w:rPr>
          <w:rFonts w:ascii="Palatino Linotype" w:eastAsia="Palatino Linotype" w:hAnsi="Palatino Linotype" w:cs="Palatino Linotype"/>
          <w:i/>
          <w:iCs/>
        </w:rPr>
        <w:t>Criterio 69 Nombre de la persona física (nombre[s], primer apellido, segundo apellido), denominación social de las personas morales beneficiarias o denominación (en su caso) de un grupo constituido por varias personas físicas o morales, de acuerdo con la identificación que el sujeto obligado le otorgue.</w:t>
      </w:r>
    </w:p>
    <w:p w:rsidR="00953CB6" w:rsidRDefault="00953CB6">
      <w:pPr>
        <w:ind w:left="1134" w:right="-591"/>
        <w:jc w:val="both"/>
        <w:rPr>
          <w:rFonts w:ascii="Palatino Linotype" w:eastAsia="Palatino Linotype" w:hAnsi="Palatino Linotype" w:cs="Palatino Linotype"/>
          <w:i/>
          <w:iCs/>
        </w:rPr>
      </w:pPr>
    </w:p>
    <w:p w:rsidR="00953CB6" w:rsidRDefault="00E26435">
      <w:pPr>
        <w:ind w:left="1134" w:right="-591"/>
        <w:jc w:val="both"/>
        <w:rPr>
          <w:rFonts w:ascii="Palatino Linotype" w:eastAsia="Palatino Linotype" w:hAnsi="Palatino Linotype" w:cs="Palatino Linotype"/>
          <w:i/>
          <w:iCs/>
        </w:rPr>
      </w:pPr>
      <w:r>
        <w:rPr>
          <w:rFonts w:ascii="Palatino Linotype" w:eastAsia="Palatino Linotype" w:hAnsi="Palatino Linotype" w:cs="Palatino Linotype"/>
          <w:i/>
          <w:iCs/>
        </w:rPr>
        <w:t>Criterio 70 Sexo (catálogo): Mujer/Hombre/Mujeres y Hombres.</w:t>
      </w:r>
    </w:p>
    <w:p w:rsidR="00953CB6" w:rsidRDefault="00953CB6">
      <w:pPr>
        <w:ind w:left="1134" w:right="-591"/>
        <w:jc w:val="both"/>
        <w:rPr>
          <w:rFonts w:ascii="Palatino Linotype" w:eastAsia="Palatino Linotype" w:hAnsi="Palatino Linotype" w:cs="Palatino Linotype"/>
          <w:i/>
          <w:iCs/>
        </w:rPr>
      </w:pPr>
    </w:p>
    <w:p w:rsidR="00953CB6" w:rsidRDefault="00E26435">
      <w:pPr>
        <w:ind w:left="1134" w:right="-591"/>
        <w:jc w:val="both"/>
        <w:rPr>
          <w:rFonts w:ascii="Palatino Linotype" w:eastAsia="Palatino Linotype" w:hAnsi="Palatino Linotype" w:cs="Palatino Linotype"/>
          <w:i/>
          <w:iCs/>
        </w:rPr>
      </w:pPr>
      <w:r>
        <w:rPr>
          <w:rFonts w:ascii="Palatino Linotype" w:eastAsia="Palatino Linotype" w:hAnsi="Palatino Linotype" w:cs="Palatino Linotype"/>
          <w:i/>
          <w:iCs/>
        </w:rPr>
        <w:t>Criterio 71 Género con el que se identifica la persona (catálogo): Hombre cisgénero/ Hombre trans/ Mujer cisgénero / Mujer trans/ Bigénero/ Género fluido/ No binario/ Agénero/ Otro género/No responde.</w:t>
      </w:r>
    </w:p>
    <w:p w:rsidR="00953CB6" w:rsidRDefault="00953CB6">
      <w:pPr>
        <w:ind w:left="1134" w:right="-591"/>
        <w:jc w:val="both"/>
        <w:rPr>
          <w:rFonts w:ascii="Palatino Linotype" w:eastAsia="Palatino Linotype" w:hAnsi="Palatino Linotype" w:cs="Palatino Linotype"/>
          <w:i/>
          <w:iCs/>
        </w:rPr>
      </w:pPr>
    </w:p>
    <w:p w:rsidR="00953CB6" w:rsidRDefault="00E26435">
      <w:pPr>
        <w:ind w:left="1134" w:right="-591"/>
        <w:jc w:val="both"/>
        <w:rPr>
          <w:rFonts w:ascii="Palatino Linotype" w:eastAsia="Palatino Linotype" w:hAnsi="Palatino Linotype" w:cs="Palatino Linotype"/>
          <w:i/>
          <w:iCs/>
        </w:rPr>
      </w:pPr>
      <w:r>
        <w:rPr>
          <w:rFonts w:ascii="Palatino Linotype" w:eastAsia="Palatino Linotype" w:hAnsi="Palatino Linotype" w:cs="Palatino Linotype"/>
          <w:i/>
          <w:iCs/>
        </w:rPr>
        <w:t>Criterio 72 Fecha en que la persona se volvió beneficiaria del programa (con el formato día/mes/año).</w:t>
      </w:r>
    </w:p>
    <w:p w:rsidR="00953CB6" w:rsidRDefault="00953CB6">
      <w:pPr>
        <w:ind w:left="1134" w:right="-591"/>
        <w:jc w:val="both"/>
        <w:rPr>
          <w:rFonts w:ascii="Palatino Linotype" w:eastAsia="Palatino Linotype" w:hAnsi="Palatino Linotype" w:cs="Palatino Linotype"/>
          <w:i/>
          <w:iCs/>
        </w:rPr>
      </w:pPr>
    </w:p>
    <w:p w:rsidR="00953CB6" w:rsidRDefault="00E26435">
      <w:pPr>
        <w:ind w:left="1134" w:right="-591"/>
        <w:jc w:val="both"/>
        <w:rPr>
          <w:rFonts w:ascii="Palatino Linotype" w:eastAsia="Palatino Linotype" w:hAnsi="Palatino Linotype" w:cs="Palatino Linotype"/>
          <w:i/>
          <w:iCs/>
        </w:rPr>
      </w:pPr>
      <w:r>
        <w:rPr>
          <w:rFonts w:ascii="Palatino Linotype" w:eastAsia="Palatino Linotype" w:hAnsi="Palatino Linotype" w:cs="Palatino Linotype"/>
          <w:i/>
          <w:iCs/>
        </w:rPr>
        <w:t>Criterio 73 Monto, recurso, beneficio o apoyo (en dinero o en especie) otorgado a cada una de las personas físicas, morales o grupos que el sujeto obligado determine. Criterio 74 Monto en pesos del beneficio o apoyo en especie entregado a cada una de las personas físicas, morales o grupos que el sujeto obligado determine si el beneficio no tiene representación monetaria.</w:t>
      </w:r>
    </w:p>
    <w:p w:rsidR="00953CB6" w:rsidRDefault="00953CB6">
      <w:pPr>
        <w:ind w:left="1134" w:right="-591"/>
        <w:jc w:val="both"/>
        <w:rPr>
          <w:rFonts w:ascii="Palatino Linotype" w:eastAsia="Palatino Linotype" w:hAnsi="Palatino Linotype" w:cs="Palatino Linotype"/>
          <w:i/>
          <w:iCs/>
        </w:rPr>
      </w:pPr>
    </w:p>
    <w:p w:rsidR="00953CB6" w:rsidRDefault="00E26435">
      <w:pPr>
        <w:ind w:left="1134" w:right="-591"/>
        <w:jc w:val="both"/>
        <w:rPr>
          <w:rFonts w:ascii="Palatino Linotype" w:eastAsia="Palatino Linotype" w:hAnsi="Palatino Linotype" w:cs="Palatino Linotype"/>
          <w:i/>
          <w:iCs/>
        </w:rPr>
      </w:pPr>
      <w:r>
        <w:rPr>
          <w:rFonts w:ascii="Palatino Linotype" w:eastAsia="Palatino Linotype" w:hAnsi="Palatino Linotype" w:cs="Palatino Linotype"/>
          <w:b/>
          <w:bCs/>
          <w:i/>
          <w:iCs/>
        </w:rPr>
        <w:t>Se incluirán los siguientes datos</w:t>
      </w:r>
      <w:r>
        <w:rPr>
          <w:rFonts w:ascii="Palatino Linotype" w:eastAsia="Palatino Linotype" w:hAnsi="Palatino Linotype" w:cs="Palatino Linotype"/>
          <w:i/>
          <w:iCs/>
        </w:rPr>
        <w:t xml:space="preserve">, únicamente cuando formen parte de los criterios y requisitos de elegibilidad previstos en los programas de desarrollo social, </w:t>
      </w:r>
      <w:r>
        <w:rPr>
          <w:rFonts w:ascii="Palatino Linotype" w:eastAsia="Palatino Linotype" w:hAnsi="Palatino Linotype" w:cs="Palatino Linotype"/>
          <w:b/>
          <w:bCs/>
          <w:i/>
          <w:iCs/>
        </w:rPr>
        <w:t>excepto aquellos casos en el que el beneficiario directo sea una persona menor de edad</w:t>
      </w:r>
      <w:r>
        <w:rPr>
          <w:rFonts w:ascii="Palatino Linotype" w:eastAsia="Palatino Linotype" w:hAnsi="Palatino Linotype" w:cs="Palatino Linotype"/>
          <w:i/>
          <w:iCs/>
        </w:rPr>
        <w:t xml:space="preserve"> o víctima del delito:</w:t>
      </w:r>
    </w:p>
    <w:p w:rsidR="00953CB6" w:rsidRDefault="00953CB6">
      <w:pPr>
        <w:ind w:left="1134" w:right="-591"/>
        <w:jc w:val="center"/>
        <w:rPr>
          <w:rFonts w:ascii="Palatino Linotype" w:eastAsia="Palatino Linotype" w:hAnsi="Palatino Linotype" w:cs="Palatino Linotype"/>
          <w:i/>
          <w:iCs/>
        </w:rPr>
      </w:pPr>
    </w:p>
    <w:p w:rsidR="00953CB6" w:rsidRDefault="00E26435">
      <w:pPr>
        <w:ind w:left="1134" w:right="-591"/>
        <w:jc w:val="both"/>
        <w:rPr>
          <w:rFonts w:ascii="Palatino Linotype" w:eastAsia="Palatino Linotype" w:hAnsi="Palatino Linotype" w:cs="Palatino Linotype"/>
          <w:i/>
          <w:iCs/>
        </w:rPr>
      </w:pPr>
      <w:r>
        <w:rPr>
          <w:rFonts w:ascii="Palatino Linotype" w:eastAsia="Palatino Linotype" w:hAnsi="Palatino Linotype" w:cs="Palatino Linotype"/>
          <w:i/>
          <w:iCs/>
        </w:rPr>
        <w:lastRenderedPageBreak/>
        <w:t>Criterio 75 Unidad territorial54 (colonia, municipio, demarcación territorial, estado y/o país).</w:t>
      </w:r>
    </w:p>
    <w:p w:rsidR="00953CB6" w:rsidRDefault="00953CB6">
      <w:pPr>
        <w:ind w:left="1134" w:right="-591"/>
        <w:jc w:val="both"/>
        <w:rPr>
          <w:rFonts w:ascii="Palatino Linotype" w:eastAsia="Palatino Linotype" w:hAnsi="Palatino Linotype" w:cs="Palatino Linotype"/>
          <w:i/>
          <w:iCs/>
        </w:rPr>
      </w:pPr>
    </w:p>
    <w:p w:rsidR="00953CB6" w:rsidRDefault="00E26435">
      <w:pPr>
        <w:ind w:left="1134" w:right="-59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Criterio 76 Edad (en su caso). </w:t>
      </w:r>
    </w:p>
    <w:p w:rsidR="00953CB6" w:rsidRDefault="00953CB6">
      <w:pPr>
        <w:ind w:left="1134" w:right="-591"/>
        <w:jc w:val="both"/>
        <w:rPr>
          <w:rFonts w:ascii="Palatino Linotype" w:eastAsia="Palatino Linotype" w:hAnsi="Palatino Linotype" w:cs="Palatino Linotype"/>
          <w:i/>
          <w:iCs/>
        </w:rPr>
      </w:pPr>
    </w:p>
    <w:p w:rsidR="00953CB6" w:rsidRDefault="00E26435">
      <w:pPr>
        <w:ind w:left="1134" w:right="-591"/>
        <w:jc w:val="both"/>
        <w:rPr>
          <w:rFonts w:ascii="Palatino Linotype" w:eastAsia="Palatino Linotype" w:hAnsi="Palatino Linotype" w:cs="Palatino Linotype"/>
          <w:i/>
          <w:iCs/>
        </w:rPr>
      </w:pPr>
      <w:r>
        <w:rPr>
          <w:rFonts w:ascii="Palatino Linotype" w:eastAsia="Palatino Linotype" w:hAnsi="Palatino Linotype" w:cs="Palatino Linotype"/>
          <w:i/>
          <w:iCs/>
        </w:rPr>
        <w:t>Criterio 77 Sexo, en su caso (catálogo): Mujer/Hombre/Mujeres y Hombres</w:t>
      </w:r>
    </w:p>
    <w:p w:rsidR="00953CB6" w:rsidRDefault="00953CB6">
      <w:pPr>
        <w:ind w:left="1134" w:right="-591"/>
        <w:jc w:val="both"/>
        <w:rPr>
          <w:rFonts w:ascii="Palatino Linotype" w:eastAsia="Palatino Linotype" w:hAnsi="Palatino Linotype" w:cs="Palatino Linotype"/>
          <w:i/>
          <w:iCs/>
        </w:rPr>
      </w:pPr>
    </w:p>
    <w:p w:rsidR="00953CB6" w:rsidRDefault="00E26435">
      <w:pPr>
        <w:ind w:left="1134" w:right="-591"/>
        <w:jc w:val="both"/>
        <w:rPr>
          <w:rFonts w:ascii="Palatino Linotype" w:eastAsia="Palatino Linotype" w:hAnsi="Palatino Linotype" w:cs="Palatino Linotype"/>
          <w:i/>
          <w:iCs/>
        </w:rPr>
      </w:pPr>
      <w:r>
        <w:rPr>
          <w:rFonts w:ascii="Palatino Linotype" w:eastAsia="Palatino Linotype" w:hAnsi="Palatino Linotype" w:cs="Palatino Linotype"/>
          <w:b/>
          <w:bCs/>
          <w:i/>
          <w:iCs/>
        </w:rPr>
        <w:t>Respecto a la información estadística de programas que sean abiertos a la población en general y de los cuales no se genere un padrón de beneficiarios, se publicará</w:t>
      </w:r>
      <w:r>
        <w:rPr>
          <w:rFonts w:ascii="Palatino Linotype" w:eastAsia="Palatino Linotype" w:hAnsi="Palatino Linotype" w:cs="Palatino Linotype"/>
          <w:i/>
          <w:iCs/>
        </w:rPr>
        <w:t>:</w:t>
      </w:r>
    </w:p>
    <w:p w:rsidR="00953CB6" w:rsidRDefault="00953CB6">
      <w:pPr>
        <w:ind w:left="1134" w:right="-591"/>
        <w:jc w:val="both"/>
        <w:rPr>
          <w:rFonts w:ascii="Palatino Linotype" w:eastAsia="Palatino Linotype" w:hAnsi="Palatino Linotype" w:cs="Palatino Linotype"/>
          <w:i/>
          <w:iCs/>
        </w:rPr>
      </w:pPr>
    </w:p>
    <w:p w:rsidR="00953CB6" w:rsidRDefault="00E26435">
      <w:pPr>
        <w:ind w:left="1134" w:right="-591"/>
        <w:jc w:val="both"/>
        <w:rPr>
          <w:rFonts w:ascii="Palatino Linotype" w:eastAsia="Palatino Linotype" w:hAnsi="Palatino Linotype" w:cs="Palatino Linotype"/>
          <w:i/>
          <w:iCs/>
        </w:rPr>
      </w:pPr>
      <w:r>
        <w:rPr>
          <w:rFonts w:ascii="Palatino Linotype" w:eastAsia="Palatino Linotype" w:hAnsi="Palatino Linotype" w:cs="Palatino Linotype"/>
          <w:i/>
          <w:iCs/>
        </w:rPr>
        <w:t xml:space="preserve"> Criterio 78 Hipervínculo a información estadística general de las personas beneficiadas por el programa. La información debe publicarse con perspectiva de género, es decir, desagregando la información por sexo.</w:t>
      </w:r>
    </w:p>
    <w:p w:rsidR="00953CB6" w:rsidRDefault="00E26435">
      <w:pPr>
        <w:ind w:left="1134" w:right="-59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953CB6" w:rsidRDefault="00953CB6">
      <w:pPr>
        <w:pBdr>
          <w:top w:val="nil"/>
          <w:left w:val="nil"/>
          <w:bottom w:val="nil"/>
          <w:right w:val="nil"/>
          <w:between w:val="nil"/>
        </w:pBdr>
        <w:spacing w:line="360" w:lineRule="auto"/>
        <w:ind w:right="-591"/>
        <w:jc w:val="both"/>
        <w:rPr>
          <w:rFonts w:ascii="Palatino Linotype" w:eastAsia="Palatino Linotype" w:hAnsi="Palatino Linotype" w:cs="Palatino Linotype"/>
          <w:color w:val="000000"/>
        </w:rPr>
      </w:pPr>
    </w:p>
    <w:p w:rsidR="00953CB6" w:rsidRDefault="00E26435">
      <w:pPr>
        <w:numPr>
          <w:ilvl w:val="0"/>
          <w:numId w:val="9"/>
        </w:numPr>
        <w:spacing w:line="360" w:lineRule="auto"/>
        <w:ind w:left="502" w:right="-591"/>
        <w:jc w:val="both"/>
      </w:pPr>
      <w:r>
        <w:rPr>
          <w:rFonts w:ascii="Palatino Linotype" w:eastAsia="Palatino Linotype" w:hAnsi="Palatino Linotype" w:cs="Palatino Linotype"/>
        </w:rPr>
        <w:t>Asimismo, proporciona el Formato 15b LGT_Art_70_Fr_XV, el cual contiene lo siguiente:</w:t>
      </w:r>
    </w:p>
    <w:p w:rsidR="00953CB6" w:rsidRDefault="00E26435">
      <w:pPr>
        <w:pBdr>
          <w:top w:val="nil"/>
          <w:left w:val="nil"/>
          <w:bottom w:val="nil"/>
          <w:right w:val="nil"/>
          <w:between w:val="nil"/>
        </w:pBdr>
        <w:spacing w:line="360" w:lineRule="auto"/>
        <w:ind w:right="-591"/>
        <w:jc w:val="center"/>
        <w:rPr>
          <w:rFonts w:ascii="Palatino Linotype" w:eastAsia="Palatino Linotype" w:hAnsi="Palatino Linotype" w:cs="Palatino Linotype"/>
          <w:color w:val="000000"/>
        </w:rPr>
      </w:pPr>
      <w:r>
        <w:rPr>
          <w:rFonts w:ascii="Palatino Linotype" w:eastAsia="Palatino Linotype" w:hAnsi="Palatino Linotype" w:cs="Palatino Linotype"/>
          <w:noProof/>
          <w:color w:val="000000"/>
        </w:rPr>
        <w:drawing>
          <wp:inline distT="0" distB="0" distL="0" distR="0">
            <wp:extent cx="5256453" cy="2994988"/>
            <wp:effectExtent l="19050" t="19050" r="19050" b="19050"/>
            <wp:docPr id="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8"/>
                    <a:srcRect/>
                    <a:stretch>
                      <a:fillRect/>
                    </a:stretch>
                  </pic:blipFill>
                  <pic:spPr>
                    <a:xfrm>
                      <a:off x="0" y="0"/>
                      <a:ext cx="5256453" cy="2994988"/>
                    </a:xfrm>
                    <a:prstGeom prst="rect">
                      <a:avLst/>
                    </a:prstGeom>
                    <a:ln w="19050">
                      <a:solidFill>
                        <a:srgbClr val="00B0F0"/>
                      </a:solidFill>
                      <a:prstDash val="solid"/>
                    </a:ln>
                  </pic:spPr>
                </pic:pic>
              </a:graphicData>
            </a:graphic>
          </wp:inline>
        </w:drawing>
      </w:r>
    </w:p>
    <w:p w:rsidR="00953CB6" w:rsidRDefault="00E26435">
      <w:pPr>
        <w:numPr>
          <w:ilvl w:val="0"/>
          <w:numId w:val="9"/>
        </w:numPr>
        <w:spacing w:line="360" w:lineRule="auto"/>
        <w:ind w:left="0" w:right="-591" w:firstLine="0"/>
        <w:jc w:val="both"/>
      </w:pPr>
      <w:r>
        <w:rPr>
          <w:rFonts w:ascii="Palatino Linotype" w:eastAsia="Palatino Linotype" w:hAnsi="Palatino Linotype" w:cs="Palatino Linotype"/>
        </w:rPr>
        <w:lastRenderedPageBreak/>
        <w:t>Es así que, conforme a lo establecido por la normatividad antes referida, la información relativa al padrón de beneficiarios de programas sociales, debe ser pública y debe contener los datos previamente referenciados.</w:t>
      </w:r>
    </w:p>
    <w:p w:rsidR="00953CB6" w:rsidRDefault="00953CB6">
      <w:pPr>
        <w:spacing w:line="360" w:lineRule="auto"/>
        <w:ind w:right="-591"/>
        <w:jc w:val="both"/>
        <w:rPr>
          <w:rFonts w:ascii="Palatino Linotype" w:eastAsia="Palatino Linotype" w:hAnsi="Palatino Linotype" w:cs="Palatino Linotype"/>
        </w:rPr>
      </w:pPr>
    </w:p>
    <w:p w:rsidR="00953CB6" w:rsidRDefault="00E26435">
      <w:pPr>
        <w:numPr>
          <w:ilvl w:val="0"/>
          <w:numId w:val="9"/>
        </w:numPr>
        <w:spacing w:line="360" w:lineRule="auto"/>
        <w:ind w:left="0" w:right="-591" w:firstLine="0"/>
        <w:jc w:val="both"/>
      </w:pPr>
      <w:r>
        <w:rPr>
          <w:rFonts w:ascii="Palatino Linotype" w:eastAsia="Palatino Linotype" w:hAnsi="Palatino Linotype" w:cs="Palatino Linotype"/>
        </w:rPr>
        <w:t xml:space="preserve">No obstante, la información pública se encuentra sujeta a un régimen estricto de restricción, y una de sus causas, es el Derecho a la Protección de Datos Personales, lo cual es contemplado por la los lineamientos antes citados, que indican que </w:t>
      </w:r>
      <w:r>
        <w:rPr>
          <w:rFonts w:ascii="Palatino Linotype" w:eastAsia="Palatino Linotype" w:hAnsi="Palatino Linotype" w:cs="Palatino Linotype"/>
          <w:b/>
          <w:bCs/>
        </w:rPr>
        <w:t xml:space="preserve">de los beneficiarios que sean personas menores de edad o víctimas del delito, </w:t>
      </w:r>
      <w:r>
        <w:rPr>
          <w:rFonts w:ascii="Palatino Linotype" w:eastAsia="Palatino Linotype" w:hAnsi="Palatino Linotype" w:cs="Palatino Linotype"/>
          <w:b/>
          <w:bCs/>
          <w:u w:val="single"/>
        </w:rPr>
        <w:t>se deberá proteger el nombre</w:t>
      </w:r>
      <w:r>
        <w:rPr>
          <w:rFonts w:ascii="Palatino Linotype" w:eastAsia="Palatino Linotype" w:hAnsi="Palatino Linotype" w:cs="Palatino Linotype"/>
          <w:b/>
          <w:bCs/>
          <w:i/>
          <w:iCs/>
        </w:rPr>
        <w:t xml:space="preserve">. </w:t>
      </w:r>
      <w:r>
        <w:rPr>
          <w:rFonts w:ascii="Palatino Linotype" w:eastAsia="Palatino Linotype" w:hAnsi="Palatino Linotype" w:cs="Palatino Linotype"/>
          <w:b/>
          <w:bCs/>
        </w:rPr>
        <w:t xml:space="preserve">En esos casos, debe prevalecer la confidencialidad de la información que identifique o haga identificable a la persona, conforme a lo que establecen </w:t>
      </w:r>
      <w:r>
        <w:rPr>
          <w:rFonts w:ascii="Palatino Linotype" w:eastAsia="Palatino Linotype" w:hAnsi="Palatino Linotype" w:cs="Palatino Linotype"/>
        </w:rPr>
        <w:t>los artículos 3 fracción IX, 143 fracción I, de la Ley de Transparencia y Acceso a la Información Pública del Estado de México y Municipios, así como el artículo 4, fracción XI y XII de la Ley de Protección de Datos Personales en Posesión de los Sujetos Obligados del Estado de México y Municipios, los cuales disponen lo siguiente:</w:t>
      </w:r>
    </w:p>
    <w:p w:rsidR="00953CB6" w:rsidRDefault="00E26435">
      <w:pPr>
        <w:ind w:left="567" w:right="-591"/>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Ley de Transparencia y Acceso a la Información Pública del Estado de México y Municipios</w:t>
      </w:r>
    </w:p>
    <w:p w:rsidR="00953CB6" w:rsidRDefault="00953CB6">
      <w:pPr>
        <w:ind w:left="567" w:right="-591"/>
        <w:jc w:val="both"/>
        <w:rPr>
          <w:rFonts w:ascii="Palatino Linotype" w:eastAsia="Palatino Linotype" w:hAnsi="Palatino Linotype" w:cs="Palatino Linotype"/>
          <w:i/>
          <w:iCs/>
        </w:rPr>
      </w:pPr>
    </w:p>
    <w:p w:rsidR="00953CB6" w:rsidRDefault="00E26435">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3</w:t>
      </w:r>
      <w:r>
        <w:rPr>
          <w:rFonts w:ascii="Palatino Linotype" w:eastAsia="Palatino Linotype" w:hAnsi="Palatino Linotype" w:cs="Palatino Linotype"/>
          <w:i/>
          <w:iCs/>
        </w:rPr>
        <w:t>. Para los efectos de la presente Ley se entenderá por:</w:t>
      </w:r>
    </w:p>
    <w:p w:rsidR="00953CB6" w:rsidRDefault="00E26435">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953CB6" w:rsidRDefault="00E26435">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b/>
          <w:bCs/>
          <w:i/>
          <w:iCs/>
        </w:rPr>
        <w:t>IX. Datos personales</w:t>
      </w:r>
      <w:r>
        <w:rPr>
          <w:rFonts w:ascii="Palatino Linotype" w:eastAsia="Palatino Linotype" w:hAnsi="Palatino Linotype" w:cs="Palatino Linotype"/>
          <w:i/>
          <w:iCs/>
        </w:rPr>
        <w:t>: La información concerniente a una persona, identificada o identificable según lo dispuesto por la Ley de Protección de Datos Personales del Estado de México;</w:t>
      </w:r>
    </w:p>
    <w:p w:rsidR="00953CB6" w:rsidRDefault="00E26435">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953CB6" w:rsidRDefault="00953CB6">
      <w:pPr>
        <w:ind w:left="567" w:right="-591"/>
        <w:jc w:val="both"/>
        <w:rPr>
          <w:rFonts w:ascii="Palatino Linotype" w:eastAsia="Palatino Linotype" w:hAnsi="Palatino Linotype" w:cs="Palatino Linotype"/>
          <w:i/>
          <w:iCs/>
        </w:rPr>
      </w:pPr>
    </w:p>
    <w:p w:rsidR="00953CB6" w:rsidRDefault="00E26435">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143</w:t>
      </w:r>
      <w:r>
        <w:rPr>
          <w:rFonts w:ascii="Palatino Linotype" w:eastAsia="Palatino Linotype" w:hAnsi="Palatino Linotype" w:cs="Palatino Linotype"/>
          <w:i/>
          <w:iCs/>
        </w:rPr>
        <w:t>. Para los efectos de esta Ley se considera información confidencial, la clasificada como tal, de manera permanente, por su naturaleza, cuando:</w:t>
      </w:r>
    </w:p>
    <w:p w:rsidR="00953CB6" w:rsidRDefault="00953CB6">
      <w:pPr>
        <w:ind w:left="567" w:right="-591"/>
        <w:jc w:val="both"/>
        <w:rPr>
          <w:rFonts w:ascii="Palatino Linotype" w:eastAsia="Palatino Linotype" w:hAnsi="Palatino Linotype" w:cs="Palatino Linotype"/>
          <w:i/>
          <w:iCs/>
        </w:rPr>
      </w:pPr>
    </w:p>
    <w:p w:rsidR="00953CB6" w:rsidRDefault="00E26435">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I. Se refiera a la información privada y los datos personales concernientes a una persona física o jurídico colectiva identificada o identificable;</w:t>
      </w:r>
    </w:p>
    <w:p w:rsidR="00953CB6" w:rsidRDefault="00E26435">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953CB6" w:rsidRDefault="00953CB6">
      <w:pPr>
        <w:ind w:left="567" w:right="-591"/>
        <w:jc w:val="both"/>
        <w:rPr>
          <w:rFonts w:ascii="Palatino Linotype" w:eastAsia="Palatino Linotype" w:hAnsi="Palatino Linotype" w:cs="Palatino Linotype"/>
          <w:i/>
          <w:iCs/>
        </w:rPr>
      </w:pPr>
    </w:p>
    <w:p w:rsidR="00953CB6" w:rsidRDefault="00E26435">
      <w:pPr>
        <w:ind w:left="567" w:right="-591"/>
        <w:jc w:val="center"/>
        <w:rPr>
          <w:rFonts w:ascii="Palatino Linotype" w:eastAsia="Palatino Linotype" w:hAnsi="Palatino Linotype" w:cs="Palatino Linotype"/>
          <w:b/>
          <w:bCs/>
          <w:i/>
          <w:iCs/>
        </w:rPr>
      </w:pPr>
      <w:r>
        <w:rPr>
          <w:rFonts w:ascii="Palatino Linotype" w:eastAsia="Palatino Linotype" w:hAnsi="Palatino Linotype" w:cs="Palatino Linotype"/>
          <w:b/>
          <w:bCs/>
          <w:i/>
          <w:iCs/>
        </w:rPr>
        <w:t>Ley de Protección de Datos Personales en Posesión de los Sujetos Obligados del Estado de México y Municipios</w:t>
      </w:r>
    </w:p>
    <w:p w:rsidR="00953CB6" w:rsidRDefault="00953CB6">
      <w:pPr>
        <w:ind w:left="567" w:right="-591"/>
        <w:jc w:val="both"/>
        <w:rPr>
          <w:rFonts w:ascii="Palatino Linotype" w:eastAsia="Palatino Linotype" w:hAnsi="Palatino Linotype" w:cs="Palatino Linotype"/>
          <w:i/>
          <w:iCs/>
        </w:rPr>
      </w:pPr>
    </w:p>
    <w:p w:rsidR="00953CB6" w:rsidRDefault="00E26435">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b/>
          <w:bCs/>
          <w:i/>
          <w:iCs/>
        </w:rPr>
        <w:t>Artículo 4.</w:t>
      </w:r>
      <w:r>
        <w:rPr>
          <w:rFonts w:ascii="Palatino Linotype" w:eastAsia="Palatino Linotype" w:hAnsi="Palatino Linotype" w:cs="Palatino Linotype"/>
          <w:i/>
          <w:iCs/>
        </w:rPr>
        <w:t xml:space="preserve"> Para los efectos de esta Ley se entenderá por:</w:t>
      </w:r>
    </w:p>
    <w:p w:rsidR="00953CB6" w:rsidRDefault="00E26435">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953CB6" w:rsidRDefault="00E26435">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b/>
          <w:bCs/>
          <w:i/>
          <w:iCs/>
        </w:rPr>
        <w:t>XI. Datos personales</w:t>
      </w:r>
      <w:r>
        <w:rPr>
          <w:rFonts w:ascii="Palatino Linotype" w:eastAsia="Palatino Linotype" w:hAnsi="Palatino Linotype" w:cs="Palatino Linotype"/>
          <w:i/>
          <w:iCs/>
        </w:rPr>
        <w:t xml:space="preserve">: a la información concerniente a una persona física o jurídica colectiva identificada o identificable, establecida en cualquier formato o modalidad, y que esté almacenada en los sistemas y bases de datos, se considerará que una persona es identificable cuando su identidad pueda determinarse directa o indirectamente a través de cualquier documento informativo físico o electrónico. </w:t>
      </w:r>
    </w:p>
    <w:p w:rsidR="00953CB6" w:rsidRDefault="00953CB6">
      <w:pPr>
        <w:ind w:left="567" w:right="-591"/>
        <w:jc w:val="both"/>
        <w:rPr>
          <w:rFonts w:ascii="Palatino Linotype" w:eastAsia="Palatino Linotype" w:hAnsi="Palatino Linotype" w:cs="Palatino Linotype"/>
          <w:i/>
          <w:iCs/>
        </w:rPr>
      </w:pPr>
    </w:p>
    <w:p w:rsidR="00953CB6" w:rsidRDefault="00E26435">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b/>
          <w:bCs/>
          <w:i/>
          <w:iCs/>
        </w:rPr>
        <w:t>XII. Datos personales sensibles</w:t>
      </w:r>
      <w:r>
        <w:rPr>
          <w:rFonts w:ascii="Palatino Linotype" w:eastAsia="Palatino Linotype" w:hAnsi="Palatino Linotype" w:cs="Palatino Linotype"/>
          <w:i/>
          <w:iCs/>
        </w:rPr>
        <w:t>: a las referentes de la esfera de su titular cuya utilización indebida pueda dar origen a discriminación o conlleve un riesgo grave para éste. De manera enunciativa más no limitativa, se consideran sensibles los datos personales que puedan revelar aspectos como origen racial o étnico, estado de salud física o mental, presente o futura, información genética, creencias religiosas, filosóficas y morales, opiniones políticas y preferencia sexual.</w:t>
      </w:r>
    </w:p>
    <w:p w:rsidR="00953CB6" w:rsidRDefault="00E26435">
      <w:pPr>
        <w:ind w:left="567" w:right="-591"/>
        <w:jc w:val="both"/>
        <w:rPr>
          <w:rFonts w:ascii="Palatino Linotype" w:eastAsia="Palatino Linotype" w:hAnsi="Palatino Linotype" w:cs="Palatino Linotype"/>
          <w:i/>
          <w:iCs/>
        </w:rPr>
      </w:pPr>
      <w:r>
        <w:rPr>
          <w:rFonts w:ascii="Palatino Linotype" w:eastAsia="Palatino Linotype" w:hAnsi="Palatino Linotype" w:cs="Palatino Linotype"/>
          <w:i/>
          <w:iCs/>
        </w:rPr>
        <w:t>…</w:t>
      </w:r>
    </w:p>
    <w:p w:rsidR="00953CB6" w:rsidRDefault="00953CB6">
      <w:pPr>
        <w:ind w:right="-591"/>
        <w:rPr>
          <w:rFonts w:ascii="Palatino Linotype" w:eastAsia="Palatino Linotype" w:hAnsi="Palatino Linotype" w:cs="Palatino Linotype"/>
        </w:rPr>
      </w:pPr>
    </w:p>
    <w:p w:rsidR="00953CB6" w:rsidRDefault="00E26435">
      <w:pPr>
        <w:numPr>
          <w:ilvl w:val="0"/>
          <w:numId w:val="9"/>
        </w:numPr>
        <w:spacing w:line="360" w:lineRule="auto"/>
        <w:ind w:left="0" w:right="-591" w:firstLine="0"/>
        <w:jc w:val="both"/>
      </w:pPr>
      <w:r>
        <w:rPr>
          <w:rFonts w:ascii="Palatino Linotype" w:eastAsia="Palatino Linotype" w:hAnsi="Palatino Linotype" w:cs="Palatino Linotype"/>
        </w:rPr>
        <w:t xml:space="preserve">Es así que, si bien hay una normatividad que establece la publicidad de la información relativa a los beneficiarios de diversos programas, también lo es que, </w:t>
      </w:r>
      <w:r>
        <w:rPr>
          <w:rFonts w:ascii="Palatino Linotype" w:eastAsia="Palatino Linotype" w:hAnsi="Palatino Linotype" w:cs="Palatino Linotype"/>
          <w:b/>
          <w:bCs/>
        </w:rPr>
        <w:t>en los casos en que los beneficiarios correspondan a menores de edad o víctimas del delito, debe prevalecer la protección de datos personales</w:t>
      </w:r>
      <w:r>
        <w:rPr>
          <w:rFonts w:ascii="Palatino Linotype" w:eastAsia="Palatino Linotype" w:hAnsi="Palatino Linotype" w:cs="Palatino Linotype"/>
        </w:rPr>
        <w:t>,  personas discapacitadas y/o de grupos vulnerables, puesto que en estos casos, se refiere a datos personales sensibles, dado a que su utilización indebida puede dar origen a discriminación.</w:t>
      </w:r>
    </w:p>
    <w:p w:rsidR="00953CB6" w:rsidRDefault="00953CB6">
      <w:pPr>
        <w:pBdr>
          <w:top w:val="nil"/>
          <w:left w:val="nil"/>
          <w:bottom w:val="nil"/>
          <w:right w:val="nil"/>
          <w:between w:val="nil"/>
        </w:pBdr>
        <w:spacing w:line="360" w:lineRule="auto"/>
        <w:ind w:right="-591"/>
        <w:jc w:val="both"/>
        <w:rPr>
          <w:rFonts w:ascii="Palatino Linotype" w:eastAsia="Palatino Linotype" w:hAnsi="Palatino Linotype" w:cs="Palatino Linotype"/>
          <w:color w:val="000000"/>
        </w:rPr>
      </w:pPr>
    </w:p>
    <w:p w:rsidR="00953CB6" w:rsidRDefault="00E26435">
      <w:pPr>
        <w:numPr>
          <w:ilvl w:val="0"/>
          <w:numId w:val="9"/>
        </w:numPr>
        <w:spacing w:line="360" w:lineRule="auto"/>
        <w:ind w:left="0" w:right="-591" w:firstLine="0"/>
        <w:jc w:val="both"/>
      </w:pPr>
      <w:r>
        <w:rPr>
          <w:rFonts w:ascii="Palatino Linotype" w:eastAsia="Palatino Linotype" w:hAnsi="Palatino Linotype" w:cs="Palatino Linotype"/>
        </w:rPr>
        <w:t>Sirve de sustento el criterio orientador 04/19 del Instituto de Transparencia, Acceso a la Información Pública y Protección de Datos Personales del Estado de México y Municipios:</w:t>
      </w:r>
    </w:p>
    <w:p w:rsidR="00953CB6" w:rsidRDefault="00E26435">
      <w:pPr>
        <w:ind w:left="1134" w:right="-166"/>
        <w:jc w:val="both"/>
        <w:rPr>
          <w:rFonts w:ascii="Palatino Linotype" w:eastAsia="Palatino Linotype" w:hAnsi="Palatino Linotype" w:cs="Palatino Linotype"/>
          <w:i/>
          <w:iCs/>
        </w:rPr>
      </w:pPr>
      <w:r>
        <w:rPr>
          <w:rFonts w:ascii="Palatino Linotype" w:eastAsia="Palatino Linotype" w:hAnsi="Palatino Linotype" w:cs="Palatino Linotype"/>
          <w:b/>
          <w:bCs/>
          <w:i/>
          <w:iCs/>
        </w:rPr>
        <w:t xml:space="preserve">PADRÓN DE BENEFICIARIOS EN POSESIÓN DE SUJETOS OBLIGADOS. EXCEPCIONES PARA LA PUBLICACIÓN DE DATOS PERSONALES </w:t>
      </w:r>
      <w:r>
        <w:rPr>
          <w:rFonts w:ascii="Palatino Linotype" w:eastAsia="Palatino Linotype" w:hAnsi="Palatino Linotype" w:cs="Palatino Linotype"/>
          <w:b/>
          <w:bCs/>
          <w:i/>
          <w:iCs/>
        </w:rPr>
        <w:lastRenderedPageBreak/>
        <w:t xml:space="preserve">CONTENIDOS EN AQUÉL. </w:t>
      </w:r>
      <w:r>
        <w:rPr>
          <w:rFonts w:ascii="Palatino Linotype" w:eastAsia="Palatino Linotype" w:hAnsi="Palatino Linotype" w:cs="Palatino Linotype"/>
          <w:i/>
          <w:iCs/>
        </w:rPr>
        <w:t xml:space="preserve">De conformidad con el artículo 1º, párrafo segundo de la Constitución Política de los Estados Unidos Mexicanos, las normas de derechos humanos se interpretarán de conformidad con dicha Constitución y los Tratados Internaciones de la materia, favoreciendo en todo tiempo a las personas la protección más amplia. En ese tenor, si bien el numeral 92, fracción XIV, inciso p) de la Ley de Transparencia y Acceso a la Información Pública del Estado de México y Municipios establece como obligación de transparencia común, la publicación de manera permanente y actualizada de los programas de subsidios, estímulos y apoyos, así como el padrón de los beneficiarios, dentro del cual se contienen en esencia, datos personales como el nombre de la persona física o denominación de la persona jurídica colectiva beneficiada, lo cierto es que, esta disposición normativa debe ser interpretada con los principios y derechos establecidos en nuestra Constitución general, como aquellos previstos en los artículos 1º, párrafo quinto, 4°, párrafo noveno, y 16, párrafo segundo; el primero de ellos relativo al principio de no discriminación, el cual prohíbe toda anulación o menoscabo de los derechos y libertades de las personas motivada, entre otras cosas, por origen étnico, el género, la edad, las discapacidades, la condición social, las condiciones de salud o cualquier otra que atente contra la dignidad humana; el segundo relativo al interés superior de la niñez, mandatando que en todas las decisiones y actuaciones del Estado se velará y cumplirá aquél, garantizando de manera plena sus derechos; y finalmente, el derecho a la protección de datos personales, mismo que se reconoce a toda persona, en los términos que fije la ley, en la cual se establecerán los supuestos de excepción a los principios que rijan el tratamiento de datos. Bajo esas directrices, el dispositivo legal en cita de la Ley de Transparencia, debe interpretarse a la luz de los principios y derechos de referencia, </w:t>
      </w:r>
      <w:r>
        <w:rPr>
          <w:rFonts w:ascii="Palatino Linotype" w:eastAsia="Palatino Linotype" w:hAnsi="Palatino Linotype" w:cs="Palatino Linotype"/>
          <w:b/>
          <w:bCs/>
          <w:i/>
          <w:iCs/>
        </w:rPr>
        <w:t>a fin de excluir los nombres de las personas menores de edad y las de capacidades diferentes, contenidos en los padrones de beneficiarios en posesión de los Sujetos Obligados, toda vez que la publicidad de estos datos personales puede revelar condiciones sociales, culturales y su plena identidad, que por regla general corresponden a grupos vulnerables o grupos sociales en condiciones de desventaja y que naturalmente representan datos sensibles que pueden afectar irreparablemente a su titular, los cuales requieren de una mayor protección, dado que de hacerse públicos generarían un riesgo o afectación que atenta contra la dignidad, la no discriminación y especialmente a la protección de los datos personales</w:t>
      </w:r>
      <w:r>
        <w:rPr>
          <w:rFonts w:ascii="Palatino Linotype" w:eastAsia="Palatino Linotype" w:hAnsi="Palatino Linotype" w:cs="Palatino Linotype"/>
          <w:i/>
          <w:iCs/>
        </w:rPr>
        <w:t xml:space="preserve">, con la única excepción de que, a través de un test de interés público se justifique de manera razonable, la publicidad de dichos datos personales; por tanto, los referidos datos personales deberán clasificarse como confidenciales, en </w:t>
      </w:r>
      <w:r>
        <w:rPr>
          <w:rFonts w:ascii="Palatino Linotype" w:eastAsia="Palatino Linotype" w:hAnsi="Palatino Linotype" w:cs="Palatino Linotype"/>
          <w:i/>
          <w:iCs/>
        </w:rPr>
        <w:lastRenderedPageBreak/>
        <w:t>términos de lo dispuesto por los dispositivos Constitucionales previamente invocados y los diversos 3, fracciones IX, XX, XXI, XXIII, XXXII; 8; 6; 137 y 143, fracción I de la Ley de Transparencia y Acceso a la Información Pública del Estado de México y Municipios así como 4, fracciones XI y XII; 6; 7; 8 y 10, de la Ley de Protección de Datos Personales en Posesión de Sujetos Obligados del Estado de México y Municipios.</w:t>
      </w:r>
    </w:p>
    <w:p w:rsidR="00953CB6" w:rsidRDefault="00953CB6">
      <w:pPr>
        <w:ind w:left="1134" w:right="-591"/>
        <w:jc w:val="both"/>
        <w:rPr>
          <w:rFonts w:ascii="Palatino Linotype" w:eastAsia="Palatino Linotype" w:hAnsi="Palatino Linotype" w:cs="Palatino Linotype"/>
          <w:b/>
          <w:bCs/>
          <w:i/>
          <w:iCs/>
        </w:rPr>
      </w:pPr>
    </w:p>
    <w:p w:rsidR="00953CB6" w:rsidRDefault="00953CB6">
      <w:pPr>
        <w:ind w:left="1134" w:right="-591"/>
        <w:jc w:val="both"/>
        <w:rPr>
          <w:rFonts w:ascii="Palatino Linotype" w:eastAsia="Palatino Linotype" w:hAnsi="Palatino Linotype" w:cs="Palatino Linotype"/>
          <w:b/>
          <w:bCs/>
          <w:i/>
          <w:iCs/>
        </w:rPr>
      </w:pPr>
    </w:p>
    <w:p w:rsidR="00953CB6" w:rsidRDefault="00E26435">
      <w:pPr>
        <w:ind w:left="1134" w:right="-591"/>
        <w:jc w:val="both"/>
        <w:rPr>
          <w:rFonts w:ascii="Palatino Linotype" w:eastAsia="Palatino Linotype" w:hAnsi="Palatino Linotype" w:cs="Palatino Linotype"/>
          <w:b/>
          <w:bCs/>
          <w:i/>
          <w:iCs/>
        </w:rPr>
      </w:pPr>
      <w:r>
        <w:rPr>
          <w:rFonts w:ascii="Palatino Linotype" w:eastAsia="Palatino Linotype" w:hAnsi="Palatino Linotype" w:cs="Palatino Linotype"/>
          <w:b/>
          <w:bCs/>
          <w:i/>
          <w:iCs/>
        </w:rPr>
        <w:t xml:space="preserve">Precedentes: </w:t>
      </w:r>
    </w:p>
    <w:p w:rsidR="00953CB6" w:rsidRDefault="00E26435">
      <w:pPr>
        <w:numPr>
          <w:ilvl w:val="0"/>
          <w:numId w:val="4"/>
        </w:numPr>
        <w:pBdr>
          <w:top w:val="nil"/>
          <w:left w:val="nil"/>
          <w:bottom w:val="nil"/>
          <w:right w:val="nil"/>
          <w:between w:val="nil"/>
        </w:pBdr>
        <w:ind w:left="1134" w:right="-59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En materia de acceso a la información pública. 03182/INFOEM/IP/RR/2019. Aprobado por unanimidad de votos. Ayuntamiento de Toluca. Comisionada Ponente Eva Abaid Yapur. </w:t>
      </w:r>
    </w:p>
    <w:p w:rsidR="00953CB6" w:rsidRDefault="00E26435">
      <w:pPr>
        <w:numPr>
          <w:ilvl w:val="0"/>
          <w:numId w:val="4"/>
        </w:numPr>
        <w:pBdr>
          <w:top w:val="nil"/>
          <w:left w:val="nil"/>
          <w:bottom w:val="nil"/>
          <w:right w:val="nil"/>
          <w:between w:val="nil"/>
        </w:pBdr>
        <w:ind w:left="1134" w:right="-59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En materia de acceso a la información pública.</w:t>
      </w:r>
      <w:r>
        <w:rPr>
          <w:rFonts w:ascii="Century Gothic" w:eastAsia="Century Gothic" w:hAnsi="Century Gothic" w:cs="Century Gothic"/>
          <w:i/>
          <w:iCs/>
          <w:color w:val="000000"/>
        </w:rPr>
        <w:t xml:space="preserve"> </w:t>
      </w:r>
      <w:r>
        <w:rPr>
          <w:rFonts w:ascii="Palatino Linotype" w:eastAsia="Palatino Linotype" w:hAnsi="Palatino Linotype" w:cs="Palatino Linotype"/>
          <w:i/>
          <w:iCs/>
          <w:color w:val="000000"/>
        </w:rPr>
        <w:t xml:space="preserve">02878/INFOEM/IP/RR/2019. Aprobado por unanimidad de votos. Ayuntamiento de Valle de Chalco Solidaridad. Comisionado Ponente José Guadalupe Luna Hernández. </w:t>
      </w:r>
    </w:p>
    <w:p w:rsidR="00953CB6" w:rsidRDefault="00E26435">
      <w:pPr>
        <w:pBdr>
          <w:top w:val="nil"/>
          <w:left w:val="nil"/>
          <w:bottom w:val="nil"/>
          <w:right w:val="nil"/>
          <w:between w:val="nil"/>
        </w:pBdr>
        <w:ind w:left="1134" w:right="-59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En materia de acceso a la información pública. 01869/INFOEM/IP/RR/2019. Aprobado por unanimidad de votos, emitiendo voto particular José Guadalupe Luna Hernández. Ayuntamiento de Tecámac. Comisionado Ponente Javier Martínez Cruz.</w:t>
      </w:r>
    </w:p>
    <w:p w:rsidR="00953CB6" w:rsidRDefault="00953CB6">
      <w:pPr>
        <w:spacing w:line="360" w:lineRule="auto"/>
        <w:ind w:left="1134" w:right="-591"/>
        <w:jc w:val="both"/>
        <w:rPr>
          <w:rFonts w:ascii="Palatino Linotype" w:eastAsia="Palatino Linotype" w:hAnsi="Palatino Linotype" w:cs="Palatino Linotype"/>
        </w:rPr>
      </w:pPr>
    </w:p>
    <w:p w:rsidR="00953CB6" w:rsidRDefault="00E26435">
      <w:pPr>
        <w:numPr>
          <w:ilvl w:val="0"/>
          <w:numId w:val="9"/>
        </w:numPr>
        <w:spacing w:line="360" w:lineRule="auto"/>
        <w:ind w:left="0" w:right="-591" w:firstLine="0"/>
        <w:jc w:val="both"/>
        <w:rPr>
          <w:color w:val="000000"/>
        </w:rPr>
      </w:pPr>
      <w:r>
        <w:rPr>
          <w:rFonts w:ascii="Palatino Linotype" w:eastAsia="Palatino Linotype" w:hAnsi="Palatino Linotype" w:cs="Palatino Linotype"/>
        </w:rPr>
        <w:t xml:space="preserve">En este </w:t>
      </w:r>
      <w:r>
        <w:rPr>
          <w:rFonts w:ascii="Palatino Linotype" w:eastAsia="Palatino Linotype" w:hAnsi="Palatino Linotype" w:cs="Palatino Linotype"/>
          <w:color w:val="000000"/>
        </w:rPr>
        <w:t>orden</w:t>
      </w:r>
      <w:r>
        <w:rPr>
          <w:rFonts w:ascii="Palatino Linotype" w:eastAsia="Palatino Linotype" w:hAnsi="Palatino Linotype" w:cs="Palatino Linotype"/>
        </w:rPr>
        <w:t xml:space="preserve"> de ideas, podemos advertir que la para el caso de los padrones de adultos mayores beneficiarios, se presume la existencia de datos susceptibles de clasificar  enunciativamente la CURP y teléfono, por lo que es dable respecto de este punto de la solicitud es </w:t>
      </w:r>
      <w:r>
        <w:rPr>
          <w:rFonts w:ascii="Palatino Linotype" w:eastAsia="Palatino Linotype" w:hAnsi="Palatino Linotype" w:cs="Palatino Linotype"/>
          <w:b/>
          <w:bCs/>
        </w:rPr>
        <w:t>ORDENAR</w:t>
      </w:r>
      <w:r>
        <w:rPr>
          <w:rFonts w:ascii="Palatino Linotype" w:eastAsia="Palatino Linotype" w:hAnsi="Palatino Linotype" w:cs="Palatino Linotype"/>
        </w:rPr>
        <w:t xml:space="preserve"> la entrega de tal </w:t>
      </w:r>
      <w:r>
        <w:rPr>
          <w:rFonts w:ascii="Palatino Linotype" w:eastAsia="Palatino Linotype" w:hAnsi="Palatino Linotype" w:cs="Palatino Linotype"/>
          <w:b/>
          <w:bCs/>
        </w:rPr>
        <w:t>padrón de beneficiarios</w:t>
      </w:r>
      <w:r>
        <w:rPr>
          <w:rFonts w:ascii="Palatino Linotype" w:eastAsia="Palatino Linotype" w:hAnsi="Palatino Linotype" w:cs="Palatino Linotype"/>
        </w:rPr>
        <w:t xml:space="preserve"> en versión pública, clasificando la información confidencial. </w:t>
      </w:r>
    </w:p>
    <w:p w:rsidR="00953CB6" w:rsidRDefault="00953CB6">
      <w:pPr>
        <w:spacing w:line="360" w:lineRule="auto"/>
        <w:ind w:right="-591"/>
        <w:jc w:val="both"/>
        <w:rPr>
          <w:rFonts w:ascii="Palatino Linotype" w:eastAsia="Palatino Linotype" w:hAnsi="Palatino Linotype" w:cs="Palatino Linotype"/>
          <w:color w:val="000000"/>
        </w:rPr>
      </w:pPr>
    </w:p>
    <w:p w:rsidR="00953CB6" w:rsidRDefault="00E26435">
      <w:pPr>
        <w:numPr>
          <w:ilvl w:val="0"/>
          <w:numId w:val="6"/>
        </w:numPr>
        <w:pBdr>
          <w:top w:val="nil"/>
          <w:left w:val="nil"/>
          <w:bottom w:val="nil"/>
          <w:right w:val="nil"/>
          <w:between w:val="nil"/>
        </w:pBdr>
        <w:spacing w:line="360" w:lineRule="auto"/>
        <w:ind w:left="0" w:right="-59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De lo anterior la CURP constituye un dato personal, ya que tiene como finalidad registrar a cada una de las personas que integran la población del país, con datos que permitan certificar y acreditar fehacientemente su identidad, en virtud de que se integra por datos personales que únicamente le conciernen a un particular como son su fecha de nacimiento, su nombre, sus apellidos y su lugar de nacimiento; información que permite </w:t>
      </w:r>
      <w:r>
        <w:rPr>
          <w:rFonts w:ascii="Palatino Linotype" w:eastAsia="Palatino Linotype" w:hAnsi="Palatino Linotype" w:cs="Palatino Linotype"/>
          <w:color w:val="000000"/>
        </w:rPr>
        <w:lastRenderedPageBreak/>
        <w:t>distinguirlo del resto de los habitantes, por tal motivo, se considera que es de carácter confidencial.</w:t>
      </w:r>
    </w:p>
    <w:p w:rsidR="001C51FB" w:rsidRDefault="001C51FB" w:rsidP="001C51FB">
      <w:pPr>
        <w:pBdr>
          <w:top w:val="nil"/>
          <w:left w:val="nil"/>
          <w:bottom w:val="nil"/>
          <w:right w:val="nil"/>
          <w:between w:val="nil"/>
        </w:pBdr>
        <w:spacing w:line="360" w:lineRule="auto"/>
        <w:ind w:right="-591"/>
        <w:jc w:val="both"/>
        <w:rPr>
          <w:rFonts w:ascii="Palatino Linotype" w:eastAsia="Palatino Linotype" w:hAnsi="Palatino Linotype" w:cs="Palatino Linotype"/>
          <w:color w:val="000000"/>
        </w:rPr>
      </w:pPr>
    </w:p>
    <w:p w:rsidR="00953CB6" w:rsidRDefault="00E26435">
      <w:pPr>
        <w:numPr>
          <w:ilvl w:val="0"/>
          <w:numId w:val="6"/>
        </w:numPr>
        <w:pBdr>
          <w:top w:val="nil"/>
          <w:left w:val="nil"/>
          <w:bottom w:val="nil"/>
          <w:right w:val="nil"/>
          <w:between w:val="nil"/>
        </w:pBdr>
        <w:spacing w:line="360" w:lineRule="auto"/>
        <w:ind w:left="0" w:right="-591" w:firstLine="0"/>
        <w:jc w:val="both"/>
        <w:rPr>
          <w:rFonts w:ascii="Palatino Linotype" w:eastAsia="Palatino Linotype" w:hAnsi="Palatino Linotype" w:cs="Palatino Linotype"/>
          <w:color w:val="000000"/>
        </w:rPr>
      </w:pPr>
      <w:r>
        <w:rPr>
          <w:rFonts w:ascii="Palatino Linotype" w:eastAsia="Palatino Linotype" w:hAnsi="Palatino Linotype" w:cs="Palatino Linotype"/>
          <w:color w:val="000000"/>
        </w:rPr>
        <w:t xml:space="preserve">Argumento que es compartido por el Instituto Nacional de Transparencia, Acceso a la Información y Protección de Datos Personales, INAI, conforme al criterio orientador 18/17, el cual refiere: </w:t>
      </w:r>
    </w:p>
    <w:p w:rsidR="00953CB6" w:rsidRDefault="00E26435">
      <w:pPr>
        <w:pBdr>
          <w:top w:val="nil"/>
          <w:left w:val="nil"/>
          <w:bottom w:val="nil"/>
          <w:right w:val="nil"/>
          <w:between w:val="nil"/>
        </w:pBdr>
        <w:ind w:left="1134" w:right="-59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“Clave Única de Registro de Población (CURP). La Clave Única de Registro de Población 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que la CURP está considerada como información confidencial.”</w:t>
      </w:r>
    </w:p>
    <w:p w:rsidR="00953CB6" w:rsidRDefault="00953CB6">
      <w:pPr>
        <w:spacing w:line="360" w:lineRule="auto"/>
        <w:ind w:right="-591"/>
        <w:jc w:val="both"/>
        <w:rPr>
          <w:rFonts w:ascii="Palatino Linotype" w:eastAsia="Palatino Linotype" w:hAnsi="Palatino Linotype" w:cs="Palatino Linotype"/>
        </w:rPr>
      </w:pPr>
    </w:p>
    <w:p w:rsidR="00953CB6" w:rsidRDefault="00E26435">
      <w:pPr>
        <w:numPr>
          <w:ilvl w:val="0"/>
          <w:numId w:val="7"/>
        </w:numPr>
        <w:spacing w:line="360" w:lineRule="auto"/>
        <w:ind w:left="0" w:right="-591"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Así mismo, un número de teléfono es una secuencia de dígitos utilizada para identificar una línea telefónica dentro de una Red Telefónica Conmutada, el número contiene la información necesaria para identificar el punto final de la llamada. Los números de teléfono están a menudo asignados a líneas que tienen conectados dispositivos distintos de un teléfono, tales como faxes y módems; cada uno de esos puntos de terminación de red deben de tener un número único en la red para poder realizar una llamada telefónica, </w:t>
      </w:r>
      <w:r>
        <w:rPr>
          <w:rFonts w:ascii="Palatino Linotype" w:eastAsia="Palatino Linotype" w:hAnsi="Palatino Linotype" w:cs="Palatino Linotype"/>
        </w:rPr>
        <w:t>en tales consideraciones, dicho dato personal es susceptible de ser clasificado como confidencial, con fundamento en el artículo 143, fracción I de la Ley de Transparencia y Acceso a la Información Pública.</w:t>
      </w:r>
    </w:p>
    <w:p w:rsidR="00953CB6" w:rsidRDefault="00953CB6">
      <w:pPr>
        <w:spacing w:line="360" w:lineRule="auto"/>
        <w:ind w:right="-591"/>
        <w:jc w:val="both"/>
        <w:rPr>
          <w:rFonts w:ascii="Palatino Linotype" w:eastAsia="Palatino Linotype" w:hAnsi="Palatino Linotype" w:cs="Palatino Linotype"/>
        </w:rPr>
      </w:pPr>
    </w:p>
    <w:p w:rsidR="00953CB6" w:rsidRDefault="00E26435">
      <w:pPr>
        <w:numPr>
          <w:ilvl w:val="0"/>
          <w:numId w:val="5"/>
        </w:numPr>
        <w:spacing w:line="360" w:lineRule="auto"/>
        <w:ind w:left="0" w:right="-591" w:firstLine="0"/>
        <w:jc w:val="both"/>
        <w:rPr>
          <w:rFonts w:ascii="Palatino Linotype" w:eastAsia="Palatino Linotype" w:hAnsi="Palatino Linotype" w:cs="Palatino Linotype"/>
        </w:rPr>
      </w:pPr>
      <w:r>
        <w:rPr>
          <w:rFonts w:ascii="Palatino Linotype" w:eastAsia="Palatino Linotype" w:hAnsi="Palatino Linotype" w:cs="Palatino Linotype"/>
          <w:color w:val="000000"/>
        </w:rPr>
        <w:t xml:space="preserve">Por otra parte, por cuanto hace al  segundo punto de la solicitud; adicionalmente a lo expuesto en lo referente a la clasificación de la información de personas con discapacidad, se advierte de las documentales entregadas que el servidor público habilitado refirió que tal área no genera padrones, por lo que para tal punto se da por colmado el derecho de acceso a </w:t>
      </w:r>
      <w:r>
        <w:rPr>
          <w:rFonts w:ascii="Palatino Linotype" w:eastAsia="Palatino Linotype" w:hAnsi="Palatino Linotype" w:cs="Palatino Linotype"/>
          <w:color w:val="000000"/>
        </w:rPr>
        <w:lastRenderedPageBreak/>
        <w:t xml:space="preserve">la información del particular, así mismo, es de explorado Derecho que este Instituto no se encuentra facultado para dudar de la veracidad de la </w:t>
      </w:r>
      <w:r>
        <w:rPr>
          <w:rFonts w:ascii="Palatino Linotype" w:eastAsia="Palatino Linotype" w:hAnsi="Palatino Linotype" w:cs="Palatino Linotype"/>
        </w:rPr>
        <w:t>información</w:t>
      </w:r>
      <w:r>
        <w:rPr>
          <w:rFonts w:ascii="Palatino Linotype" w:eastAsia="Palatino Linotype" w:hAnsi="Palatino Linotype" w:cs="Palatino Linotype"/>
          <w:color w:val="000000"/>
        </w:rPr>
        <w:t xml:space="preserve"> que le fue entregada al hoy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en el presente asunto, ni de las respuestas, ni de las documentales que ponen a disposición de los solicitantes los sujetos obligados, </w:t>
      </w:r>
      <w:r>
        <w:rPr>
          <w:rFonts w:ascii="Palatino Linotype" w:eastAsia="Palatino Linotype" w:hAnsi="Palatino Linotype" w:cs="Palatino Linotype"/>
        </w:rPr>
        <w:t xml:space="preserve">situación que se aleja de las atribuciones de este Instituto </w:t>
      </w:r>
      <w:r>
        <w:rPr>
          <w:rFonts w:ascii="Palatino Linotype" w:eastAsia="Palatino Linotype" w:hAnsi="Palatino Linotype" w:cs="Palatino Linotype"/>
          <w:i/>
          <w:iCs/>
          <w:color w:val="000000"/>
        </w:rPr>
        <w:t>máxime</w:t>
      </w:r>
      <w:r>
        <w:rPr>
          <w:rFonts w:ascii="Palatino Linotype" w:eastAsia="Palatino Linotype" w:hAnsi="Palatino Linotype" w:cs="Palatino Linotype"/>
          <w:color w:val="000000"/>
        </w:rPr>
        <w:t xml:space="preserve"> que al momento que ponen a disposición ésta, la misma tiene el carácter oficial y se presume veraz, tan es así que la misma queda registrada en el Sistema de Acceso a la Información Mexiquense (SAIMEX).</w:t>
      </w:r>
    </w:p>
    <w:p w:rsidR="00953CB6" w:rsidRDefault="00953CB6">
      <w:pPr>
        <w:pBdr>
          <w:top w:val="nil"/>
          <w:left w:val="nil"/>
          <w:bottom w:val="nil"/>
          <w:right w:val="nil"/>
          <w:between w:val="nil"/>
        </w:pBdr>
        <w:spacing w:line="360" w:lineRule="auto"/>
        <w:ind w:left="720" w:right="-591"/>
        <w:rPr>
          <w:rFonts w:ascii="Palatino Linotype" w:eastAsia="Palatino Linotype" w:hAnsi="Palatino Linotype" w:cs="Palatino Linotype"/>
          <w:color w:val="000000"/>
        </w:rPr>
      </w:pPr>
    </w:p>
    <w:p w:rsidR="00953CB6" w:rsidRDefault="00E26435">
      <w:pPr>
        <w:numPr>
          <w:ilvl w:val="0"/>
          <w:numId w:val="5"/>
        </w:numPr>
        <w:spacing w:line="360" w:lineRule="auto"/>
        <w:ind w:left="0" w:right="-591"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Sirviendo de apoyo a lo anterior por analogía, el criterio 31-10 emitido por el entonces Instituto </w:t>
      </w:r>
      <w:r>
        <w:rPr>
          <w:rFonts w:ascii="Palatino Linotype" w:eastAsia="Palatino Linotype" w:hAnsi="Palatino Linotype" w:cs="Palatino Linotype"/>
          <w:color w:val="000000"/>
        </w:rPr>
        <w:t>Nacional</w:t>
      </w:r>
      <w:r>
        <w:rPr>
          <w:rFonts w:ascii="Palatino Linotype" w:eastAsia="Palatino Linotype" w:hAnsi="Palatino Linotype" w:cs="Palatino Linotype"/>
        </w:rPr>
        <w:t xml:space="preserve"> de Transparencia, Acceso a la Información y Protección de Datos Personales, que a la letra dice:</w:t>
      </w:r>
    </w:p>
    <w:p w:rsidR="00953CB6" w:rsidRDefault="00E26435">
      <w:pPr>
        <w:pBdr>
          <w:top w:val="nil"/>
          <w:left w:val="nil"/>
          <w:bottom w:val="nil"/>
          <w:right w:val="nil"/>
          <w:between w:val="nil"/>
        </w:pBdr>
        <w:spacing w:line="276" w:lineRule="auto"/>
        <w:ind w:left="1134" w:right="-59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“El Instituto Federal de Acceso a la Información y Protección de Datos </w:t>
      </w:r>
      <w:r>
        <w:rPr>
          <w:rFonts w:ascii="Palatino Linotype" w:eastAsia="Palatino Linotype" w:hAnsi="Palatino Linotype" w:cs="Palatino Linotype"/>
          <w:b/>
          <w:bCs/>
          <w:i/>
          <w:iCs/>
          <w:color w:val="000000"/>
        </w:rPr>
        <w:t>no cuenta con facultades para pronunciarse respecto de la veracidad de los documentos proporcionados por los sujetos obligados.</w:t>
      </w:r>
      <w:r>
        <w:rPr>
          <w:rFonts w:ascii="Palatino Linotype" w:eastAsia="Palatino Linotype" w:hAnsi="Palatino Linotype" w:cs="Palatino Linotype"/>
          <w:i/>
          <w:iCs/>
          <w:color w:val="000000"/>
        </w:rPr>
        <w:t xml:space="preserve"> El Instituto Federal de Acceso a la Información y Protección de Datos es un órgano de la Administración Pública Federal con autonomía operativa, presupuestaria y de decisión, encargado de promover y difundir el ejercicio del derecho de acceso a la información; resolver sobre la negativa de las solicitudes de acceso a la información; y proteger los datos personales en poder de las dependencias y entidades. Sin embargo, no está facultado para pronunciarse sobre la veracidad de la información proporcionada por las autoridades en respuesta a las solicitudes de información que les presentan los particulares, en virtud de que en los artículos 49 y 50 de la Ley Federal de Transparencia y Acceso a la Información Pública Gubernamental no se prevé una causal que permita al Instituto Federal de Acceso a la Información y Protección de Datos conocer, vía recurso revisión, al respecto.”</w:t>
      </w:r>
    </w:p>
    <w:p w:rsidR="001C51FB" w:rsidRDefault="001C51FB">
      <w:pPr>
        <w:pBdr>
          <w:top w:val="nil"/>
          <w:left w:val="nil"/>
          <w:bottom w:val="nil"/>
          <w:right w:val="nil"/>
          <w:between w:val="nil"/>
        </w:pBdr>
        <w:spacing w:line="276" w:lineRule="auto"/>
        <w:ind w:left="1134" w:right="-591"/>
        <w:jc w:val="both"/>
        <w:rPr>
          <w:rFonts w:ascii="Palatino Linotype" w:eastAsia="Palatino Linotype" w:hAnsi="Palatino Linotype" w:cs="Palatino Linotype"/>
          <w:i/>
          <w:iCs/>
          <w:color w:val="000000"/>
        </w:rPr>
      </w:pPr>
    </w:p>
    <w:p w:rsidR="00953CB6" w:rsidRDefault="00E26435">
      <w:pPr>
        <w:numPr>
          <w:ilvl w:val="0"/>
          <w:numId w:val="5"/>
        </w:numPr>
        <w:spacing w:line="360" w:lineRule="auto"/>
        <w:ind w:left="0" w:right="-591" w:firstLine="0"/>
        <w:jc w:val="both"/>
        <w:rPr>
          <w:rFonts w:ascii="Palatino Linotype" w:eastAsia="Palatino Linotype" w:hAnsi="Palatino Linotype" w:cs="Palatino Linotype"/>
        </w:rPr>
      </w:pPr>
      <w:r>
        <w:rPr>
          <w:rFonts w:ascii="Palatino Linotype" w:eastAsia="Palatino Linotype" w:hAnsi="Palatino Linotype" w:cs="Palatino Linotype"/>
        </w:rPr>
        <w:t xml:space="preserve">Así como lo dispuesto por la </w:t>
      </w:r>
      <w:r>
        <w:rPr>
          <w:rFonts w:ascii="Palatino Linotype" w:eastAsia="Palatino Linotype" w:hAnsi="Palatino Linotype" w:cs="Palatino Linotype"/>
          <w:b/>
          <w:bCs/>
        </w:rPr>
        <w:t xml:space="preserve">Ley de Transparencia y Acceso a la Información Pública del </w:t>
      </w:r>
      <w:r>
        <w:rPr>
          <w:rFonts w:ascii="Palatino Linotype" w:eastAsia="Palatino Linotype" w:hAnsi="Palatino Linotype" w:cs="Palatino Linotype"/>
          <w:color w:val="000000"/>
        </w:rPr>
        <w:t>Estado</w:t>
      </w:r>
      <w:r>
        <w:rPr>
          <w:rFonts w:ascii="Palatino Linotype" w:eastAsia="Palatino Linotype" w:hAnsi="Palatino Linotype" w:cs="Palatino Linotype"/>
          <w:b/>
          <w:bCs/>
        </w:rPr>
        <w:t xml:space="preserve"> de México y Municipios</w:t>
      </w:r>
      <w:r>
        <w:rPr>
          <w:rFonts w:ascii="Palatino Linotype" w:eastAsia="Palatino Linotype" w:hAnsi="Palatino Linotype" w:cs="Palatino Linotype"/>
        </w:rPr>
        <w:t xml:space="preserve"> en su artículo 3, el cual establece que la información </w:t>
      </w:r>
      <w:r>
        <w:rPr>
          <w:rFonts w:ascii="Palatino Linotype" w:eastAsia="Palatino Linotype" w:hAnsi="Palatino Linotype" w:cs="Palatino Linotype"/>
        </w:rPr>
        <w:lastRenderedPageBreak/>
        <w:t>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veracidad, oportunidad entre otros, numeral en comento que a la letra señala:</w:t>
      </w:r>
    </w:p>
    <w:p w:rsidR="00953CB6" w:rsidRDefault="00E26435">
      <w:pPr>
        <w:pBdr>
          <w:top w:val="nil"/>
          <w:left w:val="nil"/>
          <w:bottom w:val="nil"/>
          <w:right w:val="nil"/>
          <w:between w:val="nil"/>
        </w:pBdr>
        <w:ind w:left="1134" w:right="-59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i/>
          <w:iCs/>
          <w:color w:val="000000"/>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Pr>
          <w:rFonts w:ascii="Palatino Linotype" w:eastAsia="Palatino Linotype" w:hAnsi="Palatino Linotype" w:cs="Palatino Linotype"/>
          <w:b/>
          <w:bCs/>
          <w:i/>
          <w:iCs/>
          <w:color w:val="000000"/>
        </w:rPr>
        <w:t>Los Sujetos Obligados deben poner en práctica, políticas y programas de acceso a la información que se apeguen a criterios de publicidad, veracidad, oportunidad, precisión y suficiencia en beneficio de los solicitantes.</w:t>
      </w:r>
    </w:p>
    <w:p w:rsidR="00953CB6" w:rsidRDefault="00953CB6">
      <w:pPr>
        <w:pBdr>
          <w:top w:val="nil"/>
          <w:left w:val="nil"/>
          <w:bottom w:val="nil"/>
          <w:right w:val="nil"/>
          <w:between w:val="nil"/>
        </w:pBdr>
        <w:spacing w:line="360" w:lineRule="auto"/>
        <w:ind w:left="567" w:right="-591"/>
        <w:jc w:val="both"/>
        <w:rPr>
          <w:rFonts w:ascii="Palatino Linotype" w:eastAsia="Palatino Linotype" w:hAnsi="Palatino Linotype" w:cs="Palatino Linotype"/>
          <w:b/>
          <w:bCs/>
          <w:i/>
          <w:iCs/>
          <w:color w:val="000000"/>
        </w:rPr>
      </w:pPr>
    </w:p>
    <w:p w:rsidR="00953CB6" w:rsidRDefault="00E26435">
      <w:pPr>
        <w:numPr>
          <w:ilvl w:val="0"/>
          <w:numId w:val="5"/>
        </w:numPr>
        <w:spacing w:line="360" w:lineRule="auto"/>
        <w:ind w:left="0" w:right="-591" w:firstLine="0"/>
        <w:jc w:val="both"/>
        <w:rPr>
          <w:rFonts w:ascii="Palatino Linotype" w:eastAsia="Palatino Linotype" w:hAnsi="Palatino Linotype" w:cs="Palatino Linotype"/>
          <w:color w:val="000000"/>
        </w:rPr>
      </w:pPr>
      <w:r>
        <w:rPr>
          <w:rFonts w:ascii="Palatino Linotype" w:eastAsia="Palatino Linotype" w:hAnsi="Palatino Linotype" w:cs="Palatino Linotype"/>
        </w:rPr>
        <w:t xml:space="preserve">Numerales que compelen al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apegarse en todo momento a los criterios ya expuestos, impidiendo a este Órgano Colegiado cuestionar la veracidad de la información.</w:t>
      </w:r>
    </w:p>
    <w:p w:rsidR="00953CB6" w:rsidRDefault="00953CB6">
      <w:pPr>
        <w:spacing w:line="360" w:lineRule="auto"/>
        <w:ind w:right="-591"/>
        <w:jc w:val="both"/>
        <w:rPr>
          <w:rFonts w:ascii="Palatino Linotype" w:eastAsia="Palatino Linotype" w:hAnsi="Palatino Linotype" w:cs="Palatino Linotype"/>
        </w:rPr>
      </w:pPr>
    </w:p>
    <w:p w:rsidR="00953CB6" w:rsidRDefault="00E26435">
      <w:pPr>
        <w:numPr>
          <w:ilvl w:val="0"/>
          <w:numId w:val="8"/>
        </w:numPr>
        <w:pBdr>
          <w:top w:val="nil"/>
          <w:left w:val="nil"/>
          <w:bottom w:val="nil"/>
          <w:right w:val="nil"/>
          <w:between w:val="nil"/>
        </w:pBdr>
        <w:spacing w:line="360" w:lineRule="auto"/>
        <w:ind w:left="0" w:right="-591" w:firstLine="0"/>
        <w:jc w:val="both"/>
        <w:rPr>
          <w:color w:val="000000"/>
        </w:rPr>
      </w:pPr>
      <w:r>
        <w:rPr>
          <w:rFonts w:ascii="Palatino Linotype" w:eastAsia="Palatino Linotype" w:hAnsi="Palatino Linotype" w:cs="Palatino Linotype"/>
          <w:color w:val="000000"/>
        </w:rPr>
        <w:t>Así mismo es de suma importancia precisar que cualquier persona tiene el derecho al acceso de la información pública, información que consiste en aquella que sea generada, obtenida, adquirida, transformada, administrada o en posesión de los Sujetos Obligados, como así también lo señala la Ley de Transparencia y Acceso a la Información Pública del Estado de México y Municipios en su artículo 4, que toda la información generada, obtenida, adquirida, transformada, administrada o en posesión de los sujetos obligados, es pública y accesible, de manera permanente a cualquier persona, privilegiando el principio de máxima publicidad, como así lo establece dicha determinación, que a continuación se transcribe para un mejor entendimiento:</w:t>
      </w:r>
    </w:p>
    <w:p w:rsidR="00953CB6" w:rsidRDefault="00E26435">
      <w:pPr>
        <w:pBdr>
          <w:top w:val="nil"/>
          <w:left w:val="nil"/>
          <w:bottom w:val="nil"/>
          <w:right w:val="nil"/>
          <w:between w:val="nil"/>
        </w:pBdr>
        <w:ind w:left="1134" w:right="-59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lastRenderedPageBreak/>
        <w:t xml:space="preserve">“Artículo 4. El derecho humano de acceso a la información pública es la prerrogativa de las personas para buscar, difundir, investigar, recabar, recibir y solicitar información pública, sin necesidad de acreditar personalidad ni interés jurídico. </w:t>
      </w:r>
    </w:p>
    <w:p w:rsidR="00953CB6" w:rsidRDefault="00E26435">
      <w:pPr>
        <w:pBdr>
          <w:top w:val="nil"/>
          <w:left w:val="nil"/>
          <w:bottom w:val="nil"/>
          <w:right w:val="nil"/>
          <w:between w:val="nil"/>
        </w:pBdr>
        <w:ind w:left="1134" w:right="-59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vigente a la fecha de la solicitud, la presente Ley y demás disposiciones de la materia, privilegiando el principio de máxima publicidad de la información. Solo podrá ser clasificada excepcionalmente Ley de Transparencia y Acceso a la Información Pública del Estado de México y Municipios 29 como reservada temporalmente por razones de interés público, en los términos de las causas legítimas y estrictamente necesarias previstas por esta Ley.</w:t>
      </w:r>
    </w:p>
    <w:p w:rsidR="00953CB6" w:rsidRDefault="00E26435">
      <w:pPr>
        <w:pBdr>
          <w:top w:val="nil"/>
          <w:left w:val="nil"/>
          <w:bottom w:val="nil"/>
          <w:right w:val="nil"/>
          <w:between w:val="nil"/>
        </w:pBdr>
        <w:ind w:left="1134" w:right="-59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Los sujetos obligados deben poner en práctica, políticas y programas de acceso a la información que se apeguen a criterios de publicidad, veracidad, oportunidad, precisión y suficiencia en beneficio de los solicitantes.”(Sic)</w:t>
      </w:r>
    </w:p>
    <w:p w:rsidR="00953CB6" w:rsidRDefault="00953CB6">
      <w:pPr>
        <w:pBdr>
          <w:top w:val="nil"/>
          <w:left w:val="nil"/>
          <w:bottom w:val="nil"/>
          <w:right w:val="nil"/>
          <w:between w:val="nil"/>
        </w:pBdr>
        <w:ind w:left="1134" w:right="-591"/>
        <w:jc w:val="both"/>
        <w:rPr>
          <w:rFonts w:ascii="Palatino Linotype" w:eastAsia="Palatino Linotype" w:hAnsi="Palatino Linotype" w:cs="Palatino Linotype"/>
          <w:i/>
          <w:iCs/>
          <w:color w:val="000000"/>
        </w:rPr>
      </w:pPr>
    </w:p>
    <w:p w:rsidR="00953CB6" w:rsidRDefault="00E26435">
      <w:pPr>
        <w:numPr>
          <w:ilvl w:val="0"/>
          <w:numId w:val="8"/>
        </w:numPr>
        <w:pBdr>
          <w:top w:val="nil"/>
          <w:left w:val="nil"/>
          <w:bottom w:val="nil"/>
          <w:right w:val="nil"/>
          <w:between w:val="nil"/>
        </w:pBdr>
        <w:spacing w:line="360" w:lineRule="auto"/>
        <w:ind w:left="0" w:right="-591" w:firstLine="0"/>
        <w:jc w:val="both"/>
        <w:rPr>
          <w:color w:val="000000"/>
        </w:rPr>
      </w:pPr>
      <w:r>
        <w:rPr>
          <w:rFonts w:ascii="Palatino Linotype" w:eastAsia="Palatino Linotype" w:hAnsi="Palatino Linotype" w:cs="Palatino Linotype"/>
          <w:color w:val="000000"/>
        </w:rPr>
        <w:t>De lo precedente, se desprende que los Sujetos Obligados tiene la obligación o deber de atender las solicitudes de acceso a la información pública que se les hagan de su conocimiento y proporcionar la información pública que obren en su poder como así lo establece el artículo 12 de la Ley de Transparencia y Acceso a la Información Pública del Estado de México y Municipios, el cual a la letra dice:</w:t>
      </w:r>
    </w:p>
    <w:p w:rsidR="00953CB6" w:rsidRDefault="00E26435">
      <w:pPr>
        <w:pBdr>
          <w:top w:val="nil"/>
          <w:left w:val="nil"/>
          <w:bottom w:val="nil"/>
          <w:right w:val="nil"/>
          <w:between w:val="nil"/>
        </w:pBdr>
        <w:spacing w:line="276" w:lineRule="auto"/>
        <w:ind w:left="1134" w:right="-59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“Artículo 12. Quienes generen, recopilen, administren, manejen, procesen, archiven o conserven información pública serán responsables de la misma en los términos de las disposiciones jurídicas aplicables. </w:t>
      </w:r>
    </w:p>
    <w:p w:rsidR="00953CB6" w:rsidRDefault="00E26435">
      <w:pPr>
        <w:pBdr>
          <w:top w:val="nil"/>
          <w:left w:val="nil"/>
          <w:bottom w:val="nil"/>
          <w:right w:val="nil"/>
          <w:between w:val="nil"/>
        </w:pBdr>
        <w:spacing w:line="276" w:lineRule="auto"/>
        <w:ind w:left="1134" w:right="-59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 (Sic)</w:t>
      </w:r>
    </w:p>
    <w:p w:rsidR="00953CB6" w:rsidRDefault="00953CB6">
      <w:pPr>
        <w:pBdr>
          <w:top w:val="nil"/>
          <w:left w:val="nil"/>
          <w:bottom w:val="nil"/>
          <w:right w:val="nil"/>
          <w:between w:val="nil"/>
        </w:pBdr>
        <w:spacing w:line="276" w:lineRule="auto"/>
        <w:ind w:left="1134" w:right="-591"/>
        <w:jc w:val="both"/>
        <w:rPr>
          <w:rFonts w:ascii="Palatino Linotype" w:eastAsia="Palatino Linotype" w:hAnsi="Palatino Linotype" w:cs="Palatino Linotype"/>
          <w:i/>
          <w:iCs/>
          <w:color w:val="000000"/>
        </w:rPr>
      </w:pPr>
    </w:p>
    <w:p w:rsidR="00953CB6" w:rsidRDefault="00953CB6">
      <w:pPr>
        <w:pBdr>
          <w:top w:val="nil"/>
          <w:left w:val="nil"/>
          <w:bottom w:val="nil"/>
          <w:right w:val="nil"/>
          <w:between w:val="nil"/>
        </w:pBdr>
        <w:ind w:right="-591"/>
        <w:jc w:val="both"/>
        <w:rPr>
          <w:rFonts w:ascii="Palatino Linotype" w:eastAsia="Palatino Linotype" w:hAnsi="Palatino Linotype" w:cs="Palatino Linotype"/>
          <w:color w:val="000000"/>
        </w:rPr>
      </w:pPr>
    </w:p>
    <w:p w:rsidR="00953CB6" w:rsidRDefault="00E26435">
      <w:pPr>
        <w:numPr>
          <w:ilvl w:val="0"/>
          <w:numId w:val="8"/>
        </w:numPr>
        <w:pBdr>
          <w:top w:val="nil"/>
          <w:left w:val="nil"/>
          <w:bottom w:val="nil"/>
          <w:right w:val="nil"/>
          <w:between w:val="nil"/>
        </w:pBdr>
        <w:spacing w:line="360" w:lineRule="auto"/>
        <w:ind w:left="0" w:right="-591" w:firstLine="0"/>
        <w:jc w:val="both"/>
        <w:rPr>
          <w:color w:val="000000"/>
        </w:rPr>
      </w:pPr>
      <w:r>
        <w:rPr>
          <w:rFonts w:ascii="Palatino Linotype" w:eastAsia="Palatino Linotype" w:hAnsi="Palatino Linotype" w:cs="Palatino Linotype"/>
          <w:color w:val="000000"/>
        </w:rPr>
        <w:lastRenderedPageBreak/>
        <w:t>Es decir, que el derecho de acceso a la información pública se satisface en aquellos casos en que se entregue documento en que conste la información requerida, toda vez que, los Sujetos Obligados no tienen el deber de generar, poseer o administrar la información pública con el grado de detalle solicitado; esto es, que no tienen el deber de generar un documento ad hoc, para satisfacer el derecho de acceso a la información pública, como así lo establece el criterio 03/17 emitido por el Instituto Nacional de Transparencia, Acceso a la Información Pública y Protección de Datos Personales, los cuales señalan lo siguiente:</w:t>
      </w:r>
    </w:p>
    <w:p w:rsidR="00953CB6" w:rsidRDefault="00E26435">
      <w:pPr>
        <w:pBdr>
          <w:top w:val="nil"/>
          <w:left w:val="nil"/>
          <w:bottom w:val="nil"/>
          <w:right w:val="nil"/>
          <w:between w:val="nil"/>
        </w:pBdr>
        <w:spacing w:line="276" w:lineRule="auto"/>
        <w:ind w:left="1134" w:right="-59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03/17</w:t>
      </w:r>
    </w:p>
    <w:p w:rsidR="00953CB6" w:rsidRDefault="00E26435">
      <w:pPr>
        <w:pBdr>
          <w:top w:val="nil"/>
          <w:left w:val="nil"/>
          <w:bottom w:val="nil"/>
          <w:right w:val="nil"/>
          <w:between w:val="nil"/>
        </w:pBdr>
        <w:spacing w:line="276" w:lineRule="auto"/>
        <w:ind w:left="1134" w:right="-59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“NO EXISTE OBLIGACIÓN DE ELABORAR DOCUMENTOS AD HOC PARA ATENDER LAS SOLICITUDES DE ACCESO A LA INFORMACIÓN.</w:t>
      </w:r>
    </w:p>
    <w:p w:rsidR="00953CB6" w:rsidRDefault="00E26435">
      <w:pPr>
        <w:pBdr>
          <w:top w:val="nil"/>
          <w:left w:val="nil"/>
          <w:bottom w:val="nil"/>
          <w:right w:val="nil"/>
          <w:between w:val="nil"/>
        </w:pBdr>
        <w:spacing w:line="276" w:lineRule="auto"/>
        <w:ind w:left="1134" w:right="-59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Los artículos 129 de la Ley General de Transparencia y Acceso a la Información Pública y 130, párrafo cuarto, vigente a la fecha de la solicitud, de la Ley Federal de Transparencia y Acceso a la Información Pública, señalan que los sujetos obligados deberán otorgar acceso a los documentos que se encuentren en sus archivos o que estén obligados a documentar, de acuerdo con sus facultades, competencias o funciones, conforme a Las características físicas de la información o del lugar donde se encuentre. Por lo anterior, los sujetos obligados deben garantizar el derecho de acceso a la información del particular, proporcionando la información con la que cuentan en el formato en que la misma obre en sus archivos; sin necesidad de elaborar documentos ad hoc para atender las solicitudes de información."(Sic)</w:t>
      </w:r>
    </w:p>
    <w:p w:rsidR="00953CB6" w:rsidRDefault="00953CB6">
      <w:pPr>
        <w:pBdr>
          <w:top w:val="nil"/>
          <w:left w:val="nil"/>
          <w:bottom w:val="nil"/>
          <w:right w:val="nil"/>
          <w:between w:val="nil"/>
        </w:pBdr>
        <w:spacing w:line="276" w:lineRule="auto"/>
        <w:ind w:left="1134" w:right="-591"/>
        <w:jc w:val="both"/>
        <w:rPr>
          <w:rFonts w:ascii="Palatino Linotype" w:eastAsia="Palatino Linotype" w:hAnsi="Palatino Linotype" w:cs="Palatino Linotype"/>
          <w:i/>
          <w:iCs/>
          <w:color w:val="000000"/>
        </w:rPr>
      </w:pPr>
    </w:p>
    <w:p w:rsidR="00953CB6" w:rsidRDefault="00E26435">
      <w:pPr>
        <w:numPr>
          <w:ilvl w:val="0"/>
          <w:numId w:val="8"/>
        </w:numPr>
        <w:pBdr>
          <w:top w:val="nil"/>
          <w:left w:val="nil"/>
          <w:bottom w:val="nil"/>
          <w:right w:val="nil"/>
          <w:between w:val="nil"/>
        </w:pBdr>
        <w:spacing w:line="360" w:lineRule="auto"/>
        <w:ind w:left="0" w:right="-591" w:firstLine="0"/>
        <w:jc w:val="both"/>
        <w:rPr>
          <w:color w:val="000000"/>
        </w:rPr>
      </w:pPr>
      <w:r>
        <w:rPr>
          <w:rFonts w:ascii="Palatino Linotype" w:eastAsia="Palatino Linotype" w:hAnsi="Palatino Linotype" w:cs="Palatino Linotype"/>
          <w:color w:val="000000"/>
        </w:rPr>
        <w:t>Por otra parte, y aunado a lo antepuesto, el último párrafo del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rsidR="00953CB6" w:rsidRDefault="00953CB6">
      <w:pPr>
        <w:pBdr>
          <w:top w:val="nil"/>
          <w:left w:val="nil"/>
          <w:bottom w:val="nil"/>
          <w:right w:val="nil"/>
          <w:between w:val="nil"/>
        </w:pBdr>
        <w:ind w:right="-591"/>
        <w:jc w:val="both"/>
        <w:rPr>
          <w:rFonts w:ascii="Palatino Linotype" w:eastAsia="Palatino Linotype" w:hAnsi="Palatino Linotype" w:cs="Palatino Linotype"/>
          <w:color w:val="000000"/>
        </w:rPr>
      </w:pPr>
    </w:p>
    <w:p w:rsidR="00953CB6" w:rsidRDefault="00E26435">
      <w:pPr>
        <w:numPr>
          <w:ilvl w:val="0"/>
          <w:numId w:val="8"/>
        </w:numPr>
        <w:pBdr>
          <w:top w:val="nil"/>
          <w:left w:val="nil"/>
          <w:bottom w:val="nil"/>
          <w:right w:val="nil"/>
          <w:between w:val="nil"/>
        </w:pBdr>
        <w:spacing w:line="360" w:lineRule="auto"/>
        <w:ind w:left="0" w:right="-591" w:firstLine="0"/>
        <w:jc w:val="both"/>
        <w:rPr>
          <w:color w:val="000000"/>
        </w:rPr>
      </w:pPr>
      <w:r>
        <w:rPr>
          <w:rFonts w:ascii="Palatino Linotype" w:eastAsia="Palatino Linotype" w:hAnsi="Palatino Linotype" w:cs="Palatino Linotype"/>
          <w:color w:val="000000"/>
        </w:rPr>
        <w:lastRenderedPageBreak/>
        <w:t>Siempre y cuando no se trate de información reservada o clasificada, que difundirla pondría en riesgo la seguridad jurídica y física del titular de la información, debiendo tener audacia los Sujetos Obligados para cuidar esta información a través del acuerdo clasificatorio del comité de transparencia y la versión pública que emita el servidor público habilitado de cada Sujeto Obligado; como así se establece en la Ley de Transparencia y Acceso a la Información Pública del Estado de México y Municipios.</w:t>
      </w:r>
    </w:p>
    <w:p w:rsidR="00953CB6" w:rsidRDefault="00953CB6">
      <w:pPr>
        <w:pBdr>
          <w:top w:val="nil"/>
          <w:left w:val="nil"/>
          <w:bottom w:val="nil"/>
          <w:right w:val="nil"/>
          <w:between w:val="nil"/>
        </w:pBdr>
        <w:ind w:right="-591"/>
        <w:jc w:val="both"/>
        <w:rPr>
          <w:rFonts w:ascii="Palatino Linotype" w:eastAsia="Palatino Linotype" w:hAnsi="Palatino Linotype" w:cs="Palatino Linotype"/>
          <w:color w:val="000000"/>
        </w:rPr>
      </w:pPr>
    </w:p>
    <w:p w:rsidR="00953CB6" w:rsidRDefault="00E26435">
      <w:pPr>
        <w:numPr>
          <w:ilvl w:val="0"/>
          <w:numId w:val="8"/>
        </w:numPr>
        <w:pBdr>
          <w:top w:val="nil"/>
          <w:left w:val="nil"/>
          <w:bottom w:val="nil"/>
          <w:right w:val="nil"/>
          <w:between w:val="nil"/>
        </w:pBdr>
        <w:spacing w:line="360" w:lineRule="auto"/>
        <w:ind w:left="0" w:right="-591" w:firstLine="0"/>
        <w:jc w:val="both"/>
        <w:rPr>
          <w:color w:val="000000"/>
        </w:rPr>
      </w:pPr>
      <w:r>
        <w:rPr>
          <w:rFonts w:ascii="Palatino Linotype" w:eastAsia="Palatino Linotype" w:hAnsi="Palatino Linotype" w:cs="Palatino Linotype"/>
          <w:color w:val="000000"/>
        </w:rPr>
        <w:t xml:space="preserve">En conclusión, el derecho de acceso a la información pública, consiste en que la información solicitada conste en un documento en cualquiera de sus formas, a saber: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los que, podrán estar en cualquier medio, sea escrito, impreso, sonoro, visual, electrónico, informático u holográfico de conformidad con el artículo 3, fracción XI de la Ley de la materia, el cual señala lo siguiente: </w:t>
      </w:r>
    </w:p>
    <w:p w:rsidR="00953CB6" w:rsidRDefault="00E26435">
      <w:pPr>
        <w:pBdr>
          <w:top w:val="nil"/>
          <w:left w:val="nil"/>
          <w:bottom w:val="nil"/>
          <w:right w:val="nil"/>
          <w:between w:val="nil"/>
        </w:pBdr>
        <w:ind w:left="1134" w:right="-59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“Artículo 3. Para los efectos de la presente Ley se entenderá por:</w:t>
      </w:r>
    </w:p>
    <w:p w:rsidR="00953CB6" w:rsidRDefault="00E26435">
      <w:pPr>
        <w:pBdr>
          <w:top w:val="nil"/>
          <w:left w:val="nil"/>
          <w:bottom w:val="nil"/>
          <w:right w:val="nil"/>
          <w:between w:val="nil"/>
        </w:pBdr>
        <w:ind w:left="1134" w:right="-59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w:t>
      </w:r>
    </w:p>
    <w:p w:rsidR="00953CB6" w:rsidRDefault="00E26435">
      <w:pPr>
        <w:pBdr>
          <w:top w:val="nil"/>
          <w:left w:val="nil"/>
          <w:bottom w:val="nil"/>
          <w:right w:val="nil"/>
          <w:between w:val="nil"/>
        </w:pBdr>
        <w:ind w:left="1134" w:right="-59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XI. Documento: Los 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 de los sujetos obligados, sus servidores públicos e integrantes, sin importar su fuente o fecha de elaboración. Los documentos podrán estar en cualquier medio, sea escrito, impreso, sonoro, visual, electrónico, informático u holográfico…” (Sic)</w:t>
      </w:r>
    </w:p>
    <w:p w:rsidR="00953CB6" w:rsidRDefault="00953CB6">
      <w:pPr>
        <w:pBdr>
          <w:top w:val="nil"/>
          <w:left w:val="nil"/>
          <w:bottom w:val="nil"/>
          <w:right w:val="nil"/>
          <w:between w:val="nil"/>
        </w:pBdr>
        <w:ind w:left="1134" w:right="-591"/>
        <w:jc w:val="both"/>
        <w:rPr>
          <w:rFonts w:ascii="Palatino Linotype" w:eastAsia="Palatino Linotype" w:hAnsi="Palatino Linotype" w:cs="Palatino Linotype"/>
          <w:i/>
          <w:iCs/>
          <w:color w:val="000000"/>
        </w:rPr>
      </w:pPr>
    </w:p>
    <w:p w:rsidR="00953CB6" w:rsidRDefault="00E26435">
      <w:pPr>
        <w:numPr>
          <w:ilvl w:val="0"/>
          <w:numId w:val="8"/>
        </w:numPr>
        <w:pBdr>
          <w:top w:val="nil"/>
          <w:left w:val="nil"/>
          <w:bottom w:val="nil"/>
          <w:right w:val="nil"/>
          <w:between w:val="nil"/>
        </w:pBdr>
        <w:spacing w:line="360" w:lineRule="auto"/>
        <w:ind w:left="0" w:right="-591" w:firstLine="0"/>
        <w:jc w:val="both"/>
        <w:rPr>
          <w:color w:val="000000"/>
        </w:rPr>
      </w:pPr>
      <w:r>
        <w:rPr>
          <w:rFonts w:ascii="Palatino Linotype" w:eastAsia="Palatino Linotype" w:hAnsi="Palatino Linotype" w:cs="Palatino Linotype"/>
          <w:color w:val="000000"/>
        </w:rPr>
        <w:t xml:space="preserve">Siendo aplicable, el Criterio de interpretación en el orden administrativo número 0002-11, emitido por Acuerdo del Pleno del Instituto de Transparencia y Acceso a la Información Pública del Estado de México y Municipios; publicado en el Periódico Oficial del Gobierno </w:t>
      </w:r>
      <w:r>
        <w:rPr>
          <w:rFonts w:ascii="Palatino Linotype" w:eastAsia="Palatino Linotype" w:hAnsi="Palatino Linotype" w:cs="Palatino Linotype"/>
          <w:color w:val="000000"/>
        </w:rPr>
        <w:lastRenderedPageBreak/>
        <w:t>del Estado Libre y Soberano de México “Gaceta del Gobierno”, el diecinueve de octubre de dos mil once, cuyo rubro y texto refieren lo siguiente:</w:t>
      </w:r>
    </w:p>
    <w:p w:rsidR="00953CB6" w:rsidRDefault="00E26435">
      <w:pPr>
        <w:pBdr>
          <w:top w:val="nil"/>
          <w:left w:val="nil"/>
          <w:bottom w:val="nil"/>
          <w:right w:val="nil"/>
          <w:between w:val="nil"/>
        </w:pBdr>
        <w:ind w:left="1134" w:right="-59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“CRITERIO 0002-11</w:t>
      </w:r>
    </w:p>
    <w:p w:rsidR="00953CB6" w:rsidRDefault="00E26435">
      <w:pPr>
        <w:pBdr>
          <w:top w:val="nil"/>
          <w:left w:val="nil"/>
          <w:bottom w:val="nil"/>
          <w:right w:val="nil"/>
          <w:between w:val="nil"/>
        </w:pBdr>
        <w:ind w:left="1134" w:right="-59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INFORMACIÓN PÚBLICA, CONCEPTO DE, EN MATERIA DE TRANSPARENCIA. INTERPRETACIÓN SISTEMÁTICA DE LOS ARTÍCULOS 2°, FRACCIÓN V, XV, Y XVI, 3°, 4°, 11 Y 41. De conformidad con los artículos antes referidos, el derecho de acceso a la información pública, se define en cuanto a su alcance y resultado material, el acceso a los archivos, registros y documentos públicos, administrados, generados o en posesión de los órganos u organismos públicos, en virtud del ejercicio de sus funciones de derecho público, sin importar su fuente, soporte o fecha de elaboración.</w:t>
      </w:r>
    </w:p>
    <w:p w:rsidR="00953CB6" w:rsidRDefault="00E26435">
      <w:pPr>
        <w:pBdr>
          <w:top w:val="nil"/>
          <w:left w:val="nil"/>
          <w:bottom w:val="nil"/>
          <w:right w:val="nil"/>
          <w:between w:val="nil"/>
        </w:pBdr>
        <w:ind w:left="1134" w:right="-59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En consecuencia el acceso a la información se refiere a que se cumplan cualquiera de los siguientes tres supuestos:</w:t>
      </w:r>
    </w:p>
    <w:p w:rsidR="00953CB6" w:rsidRDefault="00E26435">
      <w:pPr>
        <w:pBdr>
          <w:top w:val="nil"/>
          <w:left w:val="nil"/>
          <w:bottom w:val="nil"/>
          <w:right w:val="nil"/>
          <w:between w:val="nil"/>
        </w:pBdr>
        <w:ind w:left="1134" w:right="-59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1)</w:t>
      </w:r>
      <w:r>
        <w:rPr>
          <w:rFonts w:ascii="Palatino Linotype" w:eastAsia="Palatino Linotype" w:hAnsi="Palatino Linotype" w:cs="Palatino Linotype"/>
          <w:i/>
          <w:iCs/>
          <w:color w:val="000000"/>
        </w:rPr>
        <w:tab/>
        <w:t>Que se trate de información registrada en cualquier soporte documental, que en ejercicio de las atribuciones conferidas, sea generada por los Sujetos Obligados;</w:t>
      </w:r>
    </w:p>
    <w:p w:rsidR="00953CB6" w:rsidRDefault="00E26435">
      <w:pPr>
        <w:pBdr>
          <w:top w:val="nil"/>
          <w:left w:val="nil"/>
          <w:bottom w:val="nil"/>
          <w:right w:val="nil"/>
          <w:between w:val="nil"/>
        </w:pBdr>
        <w:ind w:left="1134" w:right="-59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2)</w:t>
      </w:r>
      <w:r>
        <w:rPr>
          <w:rFonts w:ascii="Palatino Linotype" w:eastAsia="Palatino Linotype" w:hAnsi="Palatino Linotype" w:cs="Palatino Linotype"/>
          <w:i/>
          <w:iCs/>
          <w:color w:val="000000"/>
        </w:rPr>
        <w:tab/>
        <w:t>Que se trate de información registrada en cualquier soporte documental, que en ejercicio de las atribuciones conferidas, sea administrada por los Sujetos Obligados, y</w:t>
      </w:r>
    </w:p>
    <w:p w:rsidR="00953CB6" w:rsidRDefault="00E26435">
      <w:pPr>
        <w:pBdr>
          <w:top w:val="nil"/>
          <w:left w:val="nil"/>
          <w:bottom w:val="nil"/>
          <w:right w:val="nil"/>
          <w:between w:val="nil"/>
        </w:pBdr>
        <w:ind w:left="1134" w:right="-591"/>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3) Que se trate de información registrada en cualquier soporte documental, que en ejercicio de las atribuciones conferidas, se encuentre en posesión de los Sujetos Obligados.” (Sic)</w:t>
      </w:r>
    </w:p>
    <w:p w:rsidR="00953CB6" w:rsidRDefault="00953CB6">
      <w:pPr>
        <w:pBdr>
          <w:top w:val="nil"/>
          <w:left w:val="nil"/>
          <w:bottom w:val="nil"/>
          <w:right w:val="nil"/>
          <w:between w:val="nil"/>
        </w:pBdr>
        <w:ind w:left="1134" w:right="-591"/>
        <w:jc w:val="both"/>
        <w:rPr>
          <w:rFonts w:ascii="Palatino Linotype" w:eastAsia="Palatino Linotype" w:hAnsi="Palatino Linotype" w:cs="Palatino Linotype"/>
          <w:i/>
          <w:iCs/>
          <w:color w:val="000000"/>
        </w:rPr>
      </w:pPr>
    </w:p>
    <w:p w:rsidR="00953CB6" w:rsidRDefault="00E26435">
      <w:pPr>
        <w:numPr>
          <w:ilvl w:val="0"/>
          <w:numId w:val="8"/>
        </w:numPr>
        <w:pBdr>
          <w:top w:val="nil"/>
          <w:left w:val="nil"/>
          <w:bottom w:val="nil"/>
          <w:right w:val="nil"/>
          <w:between w:val="nil"/>
        </w:pBdr>
        <w:spacing w:line="360" w:lineRule="auto"/>
        <w:ind w:left="0" w:right="-591" w:firstLine="0"/>
        <w:jc w:val="both"/>
        <w:rPr>
          <w:color w:val="000000"/>
        </w:rPr>
      </w:pPr>
      <w:r>
        <w:rPr>
          <w:rFonts w:ascii="Palatino Linotype" w:eastAsia="Palatino Linotype" w:hAnsi="Palatino Linotype" w:cs="Palatino Linotype"/>
          <w:color w:val="000000"/>
        </w:rPr>
        <w:t>De ahí que EL SUJETO OBLIGADO cuenta con el deber de satisfacer las solicitudes de acceso a la información que le sean formuladas y entregar la información pública que obre en sus archivos; más aún si la misma se trata de información pública de oficio la cual se relaciona con aquella que se genere de acuerdo con sus facultades, atribuciones señaladas por la Ley en la materia , así como de interés público, es decir, aquella que resulta relevante o beneficiosa para la sociedad y no simplemente de interés individual, y cuya divulgación resulta útil para que el público comprenda las actividades que llevan a cabo los Sujetos Obligados .</w:t>
      </w:r>
    </w:p>
    <w:p w:rsidR="00953CB6" w:rsidRDefault="00953CB6">
      <w:pPr>
        <w:pBdr>
          <w:top w:val="nil"/>
          <w:left w:val="nil"/>
          <w:bottom w:val="nil"/>
          <w:right w:val="nil"/>
          <w:between w:val="nil"/>
        </w:pBdr>
        <w:spacing w:line="360" w:lineRule="auto"/>
        <w:ind w:right="-591"/>
        <w:jc w:val="both"/>
        <w:rPr>
          <w:rFonts w:ascii="Palatino Linotype" w:eastAsia="Palatino Linotype" w:hAnsi="Palatino Linotype" w:cs="Palatino Linotype"/>
          <w:color w:val="000000"/>
        </w:rPr>
      </w:pPr>
    </w:p>
    <w:p w:rsidR="00953CB6" w:rsidRDefault="00E26435">
      <w:pPr>
        <w:numPr>
          <w:ilvl w:val="0"/>
          <w:numId w:val="8"/>
        </w:numPr>
        <w:pBdr>
          <w:top w:val="nil"/>
          <w:left w:val="nil"/>
          <w:bottom w:val="nil"/>
          <w:right w:val="nil"/>
          <w:between w:val="nil"/>
        </w:pBdr>
        <w:spacing w:line="360" w:lineRule="auto"/>
        <w:ind w:left="0" w:right="-591" w:firstLine="0"/>
        <w:jc w:val="both"/>
        <w:rPr>
          <w:color w:val="000000"/>
        </w:rPr>
      </w:pPr>
      <w:r>
        <w:rPr>
          <w:rFonts w:ascii="Palatino Linotype" w:eastAsia="Palatino Linotype" w:hAnsi="Palatino Linotype" w:cs="Palatino Linotype"/>
          <w:color w:val="000000"/>
        </w:rPr>
        <w:t xml:space="preserve">Una vez precisado lo anterior, resulta necesario señalar que el artículo 18 de la Ley de Transparencia y Acceso a la Información Pública del Estado de México y Municipios, contempla que los sujetos obligados deberán documentar todo acto que derive del ejercicio </w:t>
      </w:r>
      <w:r>
        <w:rPr>
          <w:rFonts w:ascii="Palatino Linotype" w:eastAsia="Palatino Linotype" w:hAnsi="Palatino Linotype" w:cs="Palatino Linotype"/>
          <w:color w:val="000000"/>
        </w:rPr>
        <w:lastRenderedPageBreak/>
        <w:t>de sus facultades, competencias o funciones, precepto normativo que textualmente establece lo siguiente:</w:t>
      </w:r>
    </w:p>
    <w:p w:rsidR="00953CB6" w:rsidRDefault="00E26435">
      <w:pPr>
        <w:spacing w:line="276" w:lineRule="auto"/>
        <w:ind w:left="1134" w:right="-591"/>
        <w:jc w:val="both"/>
        <w:rPr>
          <w:rFonts w:ascii="Palatino Linotype" w:eastAsia="Palatino Linotype" w:hAnsi="Palatino Linotype" w:cs="Palatino Linotype"/>
          <w:i/>
          <w:iCs/>
        </w:rPr>
      </w:pPr>
      <w:r>
        <w:rPr>
          <w:rFonts w:ascii="Palatino Linotype" w:eastAsia="Palatino Linotype" w:hAnsi="Palatino Linotype" w:cs="Palatino Linotype"/>
          <w:i/>
          <w:iCs/>
        </w:rPr>
        <w:t>Artículo 18. Los sujetos obligados deberán documentar todo acto que derive del ejercicio de sus facultades, competencias o funciones, considerando desde su origen la eventual publicidad y reutilización de la información que generen</w:t>
      </w:r>
    </w:p>
    <w:p w:rsidR="00953CB6" w:rsidRDefault="00953CB6">
      <w:pPr>
        <w:spacing w:line="360" w:lineRule="auto"/>
        <w:ind w:right="-591"/>
        <w:rPr>
          <w:rFonts w:ascii="Palatino Linotype" w:eastAsia="Palatino Linotype" w:hAnsi="Palatino Linotype" w:cs="Palatino Linotype"/>
        </w:rPr>
      </w:pPr>
    </w:p>
    <w:p w:rsidR="00953CB6" w:rsidRDefault="00E26435">
      <w:pPr>
        <w:numPr>
          <w:ilvl w:val="0"/>
          <w:numId w:val="8"/>
        </w:numPr>
        <w:pBdr>
          <w:top w:val="nil"/>
          <w:left w:val="nil"/>
          <w:bottom w:val="nil"/>
          <w:right w:val="nil"/>
          <w:between w:val="nil"/>
        </w:pBdr>
        <w:spacing w:line="360" w:lineRule="auto"/>
        <w:ind w:left="0" w:right="-591" w:firstLine="0"/>
        <w:jc w:val="both"/>
        <w:rPr>
          <w:color w:val="000000"/>
        </w:rPr>
      </w:pPr>
      <w:r>
        <w:rPr>
          <w:rFonts w:ascii="Palatino Linotype" w:eastAsia="Palatino Linotype" w:hAnsi="Palatino Linotype" w:cs="Palatino Linotype"/>
          <w:color w:val="000000"/>
        </w:rPr>
        <w:t xml:space="preserve">Lo anterior toma relevancia, pues según Jarquín, Soledad (2019), en el “Diccionario de Transparencia y Acceso a la Información Pública” (p. 126 y 127), todos los </w:t>
      </w:r>
      <w:r>
        <w:rPr>
          <w:rFonts w:ascii="Palatino Linotype" w:eastAsia="Palatino Linotype" w:hAnsi="Palatino Linotype" w:cs="Palatino Linotype"/>
          <w:b/>
          <w:bCs/>
          <w:color w:val="000000"/>
        </w:rPr>
        <w:t>SUJETOS OBLIGADOS</w:t>
      </w:r>
      <w:r>
        <w:rPr>
          <w:rFonts w:ascii="Palatino Linotype" w:eastAsia="Palatino Linotype" w:hAnsi="Palatino Linotype" w:cs="Palatino Linotype"/>
          <w:color w:val="000000"/>
        </w:rPr>
        <w:t xml:space="preserve"> tienen la obligación jurídica, en materia de transparencia y acceso a la información pública, de dejar constancia o registro material de las actividades efectuadas con motivo del ejercicio de sus atribuciones de cualquier acto que derive del ejercicio de sus facultades, competencias o funciones.</w:t>
      </w:r>
    </w:p>
    <w:p w:rsidR="00953CB6" w:rsidRDefault="00953CB6">
      <w:pPr>
        <w:spacing w:line="360" w:lineRule="auto"/>
        <w:ind w:right="-591"/>
        <w:rPr>
          <w:rFonts w:ascii="Palatino Linotype" w:eastAsia="Palatino Linotype" w:hAnsi="Palatino Linotype" w:cs="Palatino Linotype"/>
        </w:rPr>
      </w:pPr>
    </w:p>
    <w:p w:rsidR="00953CB6" w:rsidRDefault="00E26435">
      <w:pPr>
        <w:widowControl w:val="0"/>
        <w:numPr>
          <w:ilvl w:val="0"/>
          <w:numId w:val="8"/>
        </w:numPr>
        <w:pBdr>
          <w:top w:val="nil"/>
          <w:left w:val="nil"/>
          <w:bottom w:val="nil"/>
          <w:right w:val="nil"/>
          <w:between w:val="nil"/>
        </w:pBdr>
        <w:spacing w:line="360" w:lineRule="auto"/>
        <w:ind w:left="0" w:right="-591" w:firstLine="0"/>
        <w:jc w:val="both"/>
        <w:rPr>
          <w:color w:val="000000"/>
        </w:rPr>
      </w:pPr>
      <w:r>
        <w:rPr>
          <w:rFonts w:ascii="Palatino Linotype" w:eastAsia="Palatino Linotype" w:hAnsi="Palatino Linotype" w:cs="Palatino Linotype"/>
          <w:color w:val="000000"/>
        </w:rPr>
        <w:t xml:space="preserve">Además, precisa que los documentos son el registro material que da testimonio de las actividades efectuadas por los sujetos obligados con motivo del ejercicio de sus facultades, atribuciones o funciones, los cuales pueden ser escritos, impresos, sonoros, visuales, electrónicos, informáticos, entre otros; asimismo aclara que estos pueden contener valores administrativos, legales, fiscales, contables, históricos, informativos, entre otros. </w:t>
      </w:r>
    </w:p>
    <w:p w:rsidR="00953CB6" w:rsidRDefault="00953CB6">
      <w:pPr>
        <w:pBdr>
          <w:top w:val="nil"/>
          <w:left w:val="nil"/>
          <w:bottom w:val="nil"/>
          <w:right w:val="nil"/>
          <w:between w:val="nil"/>
        </w:pBdr>
        <w:ind w:left="720" w:right="-591"/>
        <w:rPr>
          <w:rFonts w:ascii="Palatino Linotype" w:eastAsia="Palatino Linotype" w:hAnsi="Palatino Linotype" w:cs="Palatino Linotype"/>
          <w:color w:val="000000"/>
        </w:rPr>
      </w:pPr>
    </w:p>
    <w:p w:rsidR="00953CB6" w:rsidRDefault="00E26435">
      <w:pPr>
        <w:numPr>
          <w:ilvl w:val="0"/>
          <w:numId w:val="8"/>
        </w:numPr>
        <w:pBdr>
          <w:top w:val="nil"/>
          <w:left w:val="nil"/>
          <w:bottom w:val="nil"/>
          <w:right w:val="nil"/>
          <w:between w:val="nil"/>
        </w:pBdr>
        <w:spacing w:line="360" w:lineRule="auto"/>
        <w:ind w:left="0" w:right="-591" w:firstLine="0"/>
        <w:jc w:val="both"/>
        <w:rPr>
          <w:color w:val="000000"/>
        </w:rPr>
      </w:pPr>
      <w:r>
        <w:rPr>
          <w:rFonts w:ascii="Palatino Linotype" w:eastAsia="Palatino Linotype" w:hAnsi="Palatino Linotype" w:cs="Palatino Linotype"/>
          <w:color w:val="000000"/>
        </w:rPr>
        <w:t>Previo a determinar si la respuesta otorgada por el Sujeto Obligado satisface el requerimiento formulado por la parte recurrente, resulta necesario precisar cuál es la unidad administrativa que, conforme a su marco competencial, se encuentra material y jurídicamente vinculada con la generación, registro y resguardo de la documentación relacionada con la capacitación en materia de Transparencia.</w:t>
      </w:r>
    </w:p>
    <w:p w:rsidR="00953CB6" w:rsidRDefault="00953CB6">
      <w:pPr>
        <w:spacing w:line="360" w:lineRule="auto"/>
        <w:ind w:right="-591"/>
        <w:jc w:val="both"/>
        <w:rPr>
          <w:rFonts w:ascii="Palatino Linotype" w:eastAsia="Palatino Linotype" w:hAnsi="Palatino Linotype" w:cs="Palatino Linotype"/>
          <w:i/>
          <w:iCs/>
          <w:u w:val="single"/>
        </w:rPr>
      </w:pPr>
    </w:p>
    <w:p w:rsidR="00953CB6" w:rsidRDefault="00E26435">
      <w:pPr>
        <w:numPr>
          <w:ilvl w:val="0"/>
          <w:numId w:val="8"/>
        </w:numPr>
        <w:pBdr>
          <w:top w:val="nil"/>
          <w:left w:val="nil"/>
          <w:bottom w:val="nil"/>
          <w:right w:val="nil"/>
          <w:between w:val="nil"/>
        </w:pBdr>
        <w:spacing w:line="360" w:lineRule="auto"/>
        <w:ind w:left="0" w:right="-591" w:firstLine="0"/>
        <w:jc w:val="both"/>
        <w:rPr>
          <w:color w:val="000000"/>
        </w:rPr>
      </w:pPr>
      <w:r>
        <w:rPr>
          <w:rFonts w:ascii="Palatino Linotype" w:eastAsia="Palatino Linotype" w:hAnsi="Palatino Linotype" w:cs="Palatino Linotype"/>
          <w:color w:val="000000"/>
        </w:rPr>
        <w:lastRenderedPageBreak/>
        <w:t>En virtud de lo expuesto, analizadas las constancias que forman el expediente electrónico, resultan</w:t>
      </w:r>
      <w:r>
        <w:rPr>
          <w:rFonts w:ascii="Palatino Linotype" w:eastAsia="Palatino Linotype" w:hAnsi="Palatino Linotype" w:cs="Palatino Linotype"/>
          <w:b/>
          <w:bCs/>
          <w:color w:val="000000"/>
        </w:rPr>
        <w:t xml:space="preserve"> PARCIALMENTE FUNDADAS</w:t>
      </w:r>
      <w:r>
        <w:rPr>
          <w:rFonts w:ascii="Palatino Linotype" w:eastAsia="Palatino Linotype" w:hAnsi="Palatino Linotype" w:cs="Palatino Linotype"/>
          <w:color w:val="000000"/>
        </w:rPr>
        <w:t xml:space="preserve"> las razones o motivos de inconformidad hechos valer por la parte </w:t>
      </w:r>
      <w:r>
        <w:rPr>
          <w:rFonts w:ascii="Palatino Linotype" w:eastAsia="Palatino Linotype" w:hAnsi="Palatino Linotype" w:cs="Palatino Linotype"/>
          <w:b/>
          <w:bCs/>
          <w:color w:val="000000"/>
        </w:rPr>
        <w:t>RECURRENTE</w:t>
      </w:r>
      <w:r>
        <w:rPr>
          <w:rFonts w:ascii="Palatino Linotype" w:eastAsia="Palatino Linotype" w:hAnsi="Palatino Linotype" w:cs="Palatino Linotype"/>
          <w:color w:val="000000"/>
        </w:rPr>
        <w:t xml:space="preserve"> dentro del recurso de revisión </w:t>
      </w:r>
      <w:r>
        <w:rPr>
          <w:rFonts w:ascii="Palatino Linotype" w:eastAsia="Palatino Linotype" w:hAnsi="Palatino Linotype" w:cs="Palatino Linotype"/>
          <w:b/>
          <w:bCs/>
          <w:color w:val="000000"/>
        </w:rPr>
        <w:t>01123/INFOEM/IP/RR/2026,</w:t>
      </w:r>
      <w:r>
        <w:rPr>
          <w:rFonts w:ascii="Palatino Linotype" w:eastAsia="Palatino Linotype" w:hAnsi="Palatino Linotype" w:cs="Palatino Linotype"/>
          <w:color w:val="000000"/>
        </w:rPr>
        <w:t xml:space="preserve"> por ello, y con fundamento en la fracción III del numeral 186 de la Ley de Transparencia y Acceso a la Información Pública del Estado de México y Municipios, se </w:t>
      </w:r>
      <w:r>
        <w:rPr>
          <w:rFonts w:ascii="Palatino Linotype" w:eastAsia="Palatino Linotype" w:hAnsi="Palatino Linotype" w:cs="Palatino Linotype"/>
          <w:b/>
          <w:bCs/>
          <w:color w:val="000000"/>
        </w:rPr>
        <w:t>MODIFICA</w:t>
      </w:r>
      <w:r>
        <w:rPr>
          <w:rFonts w:ascii="Palatino Linotype" w:eastAsia="Palatino Linotype" w:hAnsi="Palatino Linotype" w:cs="Palatino Linotype"/>
          <w:color w:val="000000"/>
        </w:rPr>
        <w:t xml:space="preserve"> la respuesta otorgada por el </w:t>
      </w:r>
      <w:r>
        <w:rPr>
          <w:rFonts w:ascii="Palatino Linotype" w:eastAsia="Palatino Linotype" w:hAnsi="Palatino Linotype" w:cs="Palatino Linotype"/>
          <w:b/>
          <w:bCs/>
          <w:color w:val="000000"/>
        </w:rPr>
        <w:t>SUJETO OBLIGADO</w:t>
      </w:r>
      <w:r>
        <w:rPr>
          <w:rFonts w:ascii="Palatino Linotype" w:eastAsia="Palatino Linotype" w:hAnsi="Palatino Linotype" w:cs="Palatino Linotype"/>
          <w:color w:val="000000"/>
        </w:rPr>
        <w:t xml:space="preserve"> y se </w:t>
      </w:r>
      <w:r>
        <w:rPr>
          <w:rFonts w:ascii="Palatino Linotype" w:eastAsia="Palatino Linotype" w:hAnsi="Palatino Linotype" w:cs="Palatino Linotype"/>
          <w:b/>
          <w:bCs/>
          <w:color w:val="000000"/>
        </w:rPr>
        <w:t>ORDENA</w:t>
      </w:r>
      <w:r>
        <w:rPr>
          <w:rFonts w:ascii="Palatino Linotype" w:eastAsia="Palatino Linotype" w:hAnsi="Palatino Linotype" w:cs="Palatino Linotype"/>
          <w:color w:val="000000"/>
        </w:rPr>
        <w:t>, en correcta versión pública, los padrones referidos en respuesta</w:t>
      </w:r>
      <w:r>
        <w:rPr>
          <w:rFonts w:ascii="Palatino Linotype" w:eastAsia="Palatino Linotype" w:hAnsi="Palatino Linotype" w:cs="Palatino Linotype"/>
          <w:b/>
          <w:bCs/>
          <w:color w:val="000000"/>
        </w:rPr>
        <w:t>,</w:t>
      </w:r>
      <w:r>
        <w:rPr>
          <w:rFonts w:ascii="Palatino Linotype" w:eastAsia="Palatino Linotype" w:hAnsi="Palatino Linotype" w:cs="Palatino Linotype"/>
          <w:color w:val="000000"/>
        </w:rPr>
        <w:t xml:space="preserve"> con el respectivo Acuerdo de Clasificación, de conformidad con lo establecido en el </w:t>
      </w:r>
      <w:r>
        <w:rPr>
          <w:rFonts w:ascii="Palatino Linotype" w:eastAsia="Palatino Linotype" w:hAnsi="Palatino Linotype" w:cs="Palatino Linotype"/>
          <w:b/>
          <w:bCs/>
          <w:color w:val="000000"/>
        </w:rPr>
        <w:t>Considerando QUINTO</w:t>
      </w:r>
      <w:r>
        <w:rPr>
          <w:rFonts w:ascii="Palatino Linotype" w:eastAsia="Palatino Linotype" w:hAnsi="Palatino Linotype" w:cs="Palatino Linotype"/>
          <w:color w:val="000000"/>
        </w:rPr>
        <w:t xml:space="preserve"> de la presente Resolución. </w:t>
      </w:r>
    </w:p>
    <w:p w:rsidR="00953CB6" w:rsidRDefault="00953CB6">
      <w:pPr>
        <w:pBdr>
          <w:top w:val="nil"/>
          <w:left w:val="nil"/>
          <w:bottom w:val="nil"/>
          <w:right w:val="nil"/>
          <w:between w:val="nil"/>
        </w:pBdr>
        <w:spacing w:line="720" w:lineRule="auto"/>
        <w:ind w:left="720" w:right="-591"/>
        <w:rPr>
          <w:rFonts w:ascii="Palatino Linotype" w:eastAsia="Palatino Linotype" w:hAnsi="Palatino Linotype" w:cs="Palatino Linotype"/>
          <w:color w:val="000000"/>
        </w:rPr>
      </w:pPr>
    </w:p>
    <w:p w:rsidR="00953CB6" w:rsidRDefault="00E26435">
      <w:pPr>
        <w:keepNext/>
        <w:keepLines/>
        <w:spacing w:after="160"/>
        <w:ind w:right="-591"/>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QUINTO. De la versión pública.</w:t>
      </w:r>
    </w:p>
    <w:p w:rsidR="00953CB6" w:rsidRDefault="00E26435">
      <w:pPr>
        <w:keepNext/>
        <w:keepLines/>
        <w:numPr>
          <w:ilvl w:val="0"/>
          <w:numId w:val="12"/>
        </w:numPr>
        <w:tabs>
          <w:tab w:val="left" w:pos="284"/>
        </w:tabs>
        <w:spacing w:after="160"/>
        <w:ind w:right="-591"/>
        <w:rPr>
          <w:rFonts w:ascii="Palatino Linotype" w:eastAsia="Palatino Linotype" w:hAnsi="Palatino Linotype" w:cs="Palatino Linotype"/>
          <w:b/>
          <w:bCs/>
          <w:color w:val="000000"/>
        </w:rPr>
      </w:pPr>
      <w:r>
        <w:rPr>
          <w:rFonts w:ascii="Palatino Linotype" w:eastAsia="Palatino Linotype" w:hAnsi="Palatino Linotype" w:cs="Palatino Linotype"/>
          <w:b/>
          <w:bCs/>
          <w:color w:val="000000"/>
        </w:rPr>
        <w:t xml:space="preserve">Nociones generales. </w:t>
      </w:r>
    </w:p>
    <w:p w:rsidR="00953CB6" w:rsidRDefault="00E26435">
      <w:pPr>
        <w:numPr>
          <w:ilvl w:val="0"/>
          <w:numId w:val="8"/>
        </w:numPr>
        <w:spacing w:line="360" w:lineRule="auto"/>
        <w:ind w:left="0" w:right="-591" w:firstLine="0"/>
        <w:jc w:val="both"/>
      </w:pPr>
      <w:r>
        <w:rPr>
          <w:rFonts w:ascii="Palatino Linotype" w:eastAsia="Palatino Linotype" w:hAnsi="Palatino Linotype" w:cs="Palatino Linotype"/>
        </w:rPr>
        <w:t xml:space="preserve">Debido a la información solicitada por el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en el caso de obrar datos personales susceptibles de protegerse, así como información susceptible de clasificarse como confidencial, el </w:t>
      </w:r>
      <w:r>
        <w:rPr>
          <w:rFonts w:ascii="Palatino Linotype" w:eastAsia="Palatino Linotype" w:hAnsi="Palatino Linotype" w:cs="Palatino Linotype"/>
          <w:b/>
          <w:bCs/>
        </w:rPr>
        <w:t xml:space="preserve">SUJETO OBLIGADO </w:t>
      </w:r>
      <w:r>
        <w:rPr>
          <w:rFonts w:ascii="Palatino Linotype" w:eastAsia="Palatino Linotype" w:hAnsi="Palatino Linotype" w:cs="Palatino Linotype"/>
        </w:rPr>
        <w:t xml:space="preserve">deberá de hacer la adecuada versión pública, protegiendo los datos que no son susceptibles de ser proporcionados. </w:t>
      </w:r>
    </w:p>
    <w:p w:rsidR="00953CB6" w:rsidRDefault="00953CB6">
      <w:pPr>
        <w:tabs>
          <w:tab w:val="left" w:pos="0"/>
          <w:tab w:val="left" w:pos="284"/>
        </w:tabs>
        <w:spacing w:line="360" w:lineRule="auto"/>
        <w:ind w:right="-591"/>
        <w:jc w:val="both"/>
        <w:rPr>
          <w:rFonts w:ascii="Palatino Linotype" w:eastAsia="Palatino Linotype" w:hAnsi="Palatino Linotype" w:cs="Palatino Linotype"/>
          <w:highlight w:val="yellow"/>
        </w:rPr>
      </w:pPr>
    </w:p>
    <w:p w:rsidR="00953CB6" w:rsidRDefault="00E26435">
      <w:pPr>
        <w:numPr>
          <w:ilvl w:val="0"/>
          <w:numId w:val="8"/>
        </w:numPr>
        <w:spacing w:line="360" w:lineRule="auto"/>
        <w:ind w:left="0" w:right="-591" w:firstLine="0"/>
        <w:jc w:val="both"/>
        <w:rPr>
          <w:color w:val="000000"/>
        </w:rPr>
      </w:pPr>
      <w:r>
        <w:rPr>
          <w:rFonts w:ascii="Palatino Linotype" w:eastAsia="Palatino Linotype" w:hAnsi="Palatino Linotype" w:cs="Palatino Linotype"/>
          <w:color w:val="000000"/>
        </w:rPr>
        <w:t>No pasa desapercibido para este Órgano Garante que los sujetos obligados</w:t>
      </w:r>
      <w:r>
        <w:rPr>
          <w:rFonts w:ascii="Palatino Linotype" w:eastAsia="Palatino Linotype" w:hAnsi="Palatino Linotype" w:cs="Palatino Linotype"/>
          <w:b/>
          <w:bCs/>
          <w:color w:val="000000"/>
        </w:rPr>
        <w:t xml:space="preserve"> </w:t>
      </w:r>
      <w:r>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953CB6" w:rsidRDefault="00953CB6">
      <w:pPr>
        <w:tabs>
          <w:tab w:val="left" w:pos="284"/>
        </w:tabs>
        <w:spacing w:after="160" w:line="360" w:lineRule="auto"/>
        <w:ind w:right="-591"/>
        <w:jc w:val="both"/>
        <w:rPr>
          <w:rFonts w:ascii="Palatino Linotype" w:eastAsia="Palatino Linotype" w:hAnsi="Palatino Linotype" w:cs="Palatino Linotype"/>
          <w:color w:val="000000"/>
        </w:rPr>
      </w:pPr>
    </w:p>
    <w:tbl>
      <w:tblPr>
        <w:tblStyle w:val="a"/>
        <w:tblW w:w="9915"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760"/>
        <w:gridCol w:w="7155"/>
      </w:tblGrid>
      <w:tr w:rsidR="00953CB6">
        <w:tc>
          <w:tcPr>
            <w:tcW w:w="2760" w:type="dxa"/>
            <w:vAlign w:val="center"/>
          </w:tcPr>
          <w:p w:rsidR="00953CB6" w:rsidRDefault="00E26435" w:rsidP="001C51FB">
            <w:pPr>
              <w:spacing w:line="360" w:lineRule="auto"/>
              <w:rPr>
                <w:rFonts w:ascii="Palatino Linotype" w:eastAsia="Palatino Linotype" w:hAnsi="Palatino Linotype" w:cs="Palatino Linotype"/>
                <w:b/>
                <w:bCs/>
              </w:rPr>
            </w:pPr>
            <w:r>
              <w:rPr>
                <w:rFonts w:ascii="Palatino Linotype" w:eastAsia="Palatino Linotype" w:hAnsi="Palatino Linotype" w:cs="Palatino Linotype"/>
                <w:color w:val="000000"/>
              </w:rPr>
              <w:lastRenderedPageBreak/>
              <w:tab/>
            </w:r>
            <w:r>
              <w:rPr>
                <w:rFonts w:ascii="Palatino Linotype" w:eastAsia="Palatino Linotype" w:hAnsi="Palatino Linotype" w:cs="Palatino Linotype"/>
                <w:b/>
                <w:bCs/>
              </w:rPr>
              <w:t>a) Requisitos previos.</w:t>
            </w:r>
          </w:p>
        </w:tc>
        <w:tc>
          <w:tcPr>
            <w:tcW w:w="7155" w:type="dxa"/>
          </w:tcPr>
          <w:p w:rsidR="00953CB6" w:rsidRDefault="00E26435" w:rsidP="001C51FB">
            <w:pPr>
              <w:spacing w:line="276" w:lineRule="auto"/>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El artículo 122 de la Ley Estatal señala que si los Sujetos Obligados determinan que la información actualiza alguno de los supuestos de clasificación, es deber de los titulares de las áreas proponer su clasificación y no del Comité de Transparencia. </w:t>
            </w:r>
          </w:p>
          <w:p w:rsidR="00953CB6" w:rsidRDefault="00E26435" w:rsidP="001C51FB">
            <w:pPr>
              <w:spacing w:line="276" w:lineRule="auto"/>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Al hacerlo tienen que precisar de qué información se trata, señalando el supuesto de clasificación (confidencialidad o reserva).</w:t>
            </w:r>
          </w:p>
          <w:p w:rsidR="00953CB6" w:rsidRDefault="00E26435" w:rsidP="001C51FB">
            <w:pPr>
              <w:spacing w:line="276" w:lineRule="auto"/>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Además, se debe señalar el procedimiento, de los tres que establecen el artículo 132 de la Ley Estatal.</w:t>
            </w:r>
          </w:p>
          <w:p w:rsidR="00953CB6" w:rsidRDefault="00E26435" w:rsidP="001C51FB">
            <w:pPr>
              <w:spacing w:line="276" w:lineRule="auto"/>
              <w:jc w:val="both"/>
              <w:rPr>
                <w:rFonts w:ascii="Palatino Linotype" w:eastAsia="Palatino Linotype" w:hAnsi="Palatino Linotype" w:cs="Palatino Linotype"/>
                <w:i/>
                <w:iCs/>
              </w:rPr>
            </w:pPr>
            <w:r>
              <w:rPr>
                <w:rFonts w:ascii="Palatino Linotype" w:eastAsia="Palatino Linotype" w:hAnsi="Palatino Linotype" w:cs="Palatino Linotype"/>
                <w:i/>
                <w:iCs/>
                <w:color w:val="000000"/>
              </w:rPr>
              <w:t xml:space="preserve">El último de estos requisitos previos consiste en que no se pueden emitir acuerdos de carácter general ni particular, esto es, </w:t>
            </w:r>
            <w:r>
              <w:rPr>
                <w:rFonts w:ascii="Palatino Linotype" w:eastAsia="Palatino Linotype" w:hAnsi="Palatino Linotype" w:cs="Palatino Linotype"/>
                <w:i/>
                <w:iCs/>
                <w:color w:val="000000"/>
                <w:u w:val="single"/>
              </w:rPr>
              <w:t>no se puede hacer un acuerdo para clasificar de manera general todos los documentos de un expediente o área, sin</w:t>
            </w:r>
            <w:r>
              <w:rPr>
                <w:rFonts w:ascii="Palatino Linotype" w:eastAsia="Palatino Linotype" w:hAnsi="Palatino Linotype" w:cs="Palatino Linotype"/>
                <w:i/>
                <w:iCs/>
                <w:color w:val="000000"/>
              </w:rPr>
              <w:t xml:space="preserve"> individualizar su análisis y tampoco se puede hacer un acuerdo por cada dato que se vaya a clasificar dentro de un documento con diez datos, por ejemplo, susceptibles de ser clasificados.</w:t>
            </w:r>
          </w:p>
        </w:tc>
      </w:tr>
      <w:tr w:rsidR="00953CB6">
        <w:tc>
          <w:tcPr>
            <w:tcW w:w="2760" w:type="dxa"/>
            <w:shd w:val="clear" w:color="auto" w:fill="D9D9D9"/>
            <w:vAlign w:val="center"/>
          </w:tcPr>
          <w:p w:rsidR="00953CB6" w:rsidRDefault="00E26435" w:rsidP="001C51FB">
            <w:pPr>
              <w:spacing w:line="360" w:lineRule="auto"/>
              <w:rPr>
                <w:rFonts w:ascii="Palatino Linotype" w:eastAsia="Palatino Linotype" w:hAnsi="Palatino Linotype" w:cs="Palatino Linotype"/>
                <w:b/>
                <w:bCs/>
              </w:rPr>
            </w:pPr>
            <w:r>
              <w:rPr>
                <w:rFonts w:ascii="Palatino Linotype" w:eastAsia="Palatino Linotype" w:hAnsi="Palatino Linotype" w:cs="Palatino Linotype"/>
                <w:b/>
                <w:bCs/>
              </w:rPr>
              <w:t>b) Supuestos de clasificación.</w:t>
            </w:r>
          </w:p>
        </w:tc>
        <w:tc>
          <w:tcPr>
            <w:tcW w:w="7155" w:type="dxa"/>
            <w:shd w:val="clear" w:color="auto" w:fill="D9D9D9"/>
          </w:tcPr>
          <w:p w:rsidR="00953CB6" w:rsidRDefault="00E26435" w:rsidP="001C51FB">
            <w:pPr>
              <w:spacing w:line="276" w:lineRule="auto"/>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Las disposiciones constitucionales y legales en la materia establecen los dos supuestos generales para clasificar la información: por reserva y por confidencialidad.</w:t>
            </w:r>
          </w:p>
          <w:p w:rsidR="00953CB6" w:rsidRDefault="00E26435" w:rsidP="001C51FB">
            <w:pPr>
              <w:spacing w:line="276" w:lineRule="auto"/>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El artículo 143 de la Ley Estatal señala los supuestos para que la información pueda ser clasificada como confidencial. Mientras que el artículo 130 de la Ley Estatal señala que la aplicación de estos supuestos debe realizarse de manera restrictiva y limitada, por lo que debe acreditarse que se cumple con esta condición y no se pueden ampliar las excepciones o supuestos de clasificación aduciendo analogía o mayoría de razón.</w:t>
            </w:r>
          </w:p>
          <w:p w:rsidR="00953CB6" w:rsidRDefault="00E26435" w:rsidP="001C51FB">
            <w:pPr>
              <w:spacing w:line="276" w:lineRule="auto"/>
              <w:jc w:val="both"/>
              <w:rPr>
                <w:rFonts w:ascii="Palatino Linotype" w:eastAsia="Palatino Linotype" w:hAnsi="Palatino Linotype" w:cs="Palatino Linotype"/>
                <w:i/>
                <w:iCs/>
              </w:rPr>
            </w:pPr>
            <w:r>
              <w:rPr>
                <w:rFonts w:ascii="Palatino Linotype" w:eastAsia="Palatino Linotype" w:hAnsi="Palatino Linotype" w:cs="Palatino Linotype"/>
                <w:i/>
                <w:iCs/>
                <w:color w:val="000000"/>
              </w:rPr>
              <w:t xml:space="preserve">El </w:t>
            </w:r>
            <w:r>
              <w:rPr>
                <w:rFonts w:ascii="Palatino Linotype" w:eastAsia="Palatino Linotype" w:hAnsi="Palatino Linotype" w:cs="Palatino Linotype"/>
                <w:b/>
                <w:bCs/>
                <w:i/>
                <w:iCs/>
                <w:color w:val="000000"/>
              </w:rPr>
              <w:t>Sujeto Obligado</w:t>
            </w:r>
            <w:r>
              <w:rPr>
                <w:rFonts w:ascii="Palatino Linotype" w:eastAsia="Palatino Linotype" w:hAnsi="Palatino Linotype" w:cs="Palatino Linotype"/>
                <w:i/>
                <w:iCs/>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953CB6">
        <w:tc>
          <w:tcPr>
            <w:tcW w:w="2760" w:type="dxa"/>
            <w:vAlign w:val="center"/>
          </w:tcPr>
          <w:p w:rsidR="00953CB6" w:rsidRDefault="00E26435" w:rsidP="001C51FB">
            <w:pPr>
              <w:spacing w:line="360" w:lineRule="auto"/>
              <w:rPr>
                <w:rFonts w:ascii="Palatino Linotype" w:eastAsia="Palatino Linotype" w:hAnsi="Palatino Linotype" w:cs="Palatino Linotype"/>
                <w:b/>
                <w:bCs/>
              </w:rPr>
            </w:pPr>
            <w:r>
              <w:rPr>
                <w:rFonts w:ascii="Palatino Linotype" w:eastAsia="Palatino Linotype" w:hAnsi="Palatino Linotype" w:cs="Palatino Linotype"/>
                <w:b/>
                <w:bCs/>
              </w:rPr>
              <w:lastRenderedPageBreak/>
              <w:t>c) Formalidades para emitir el acuerdo de clasificación.</w:t>
            </w:r>
          </w:p>
        </w:tc>
        <w:tc>
          <w:tcPr>
            <w:tcW w:w="7155" w:type="dxa"/>
          </w:tcPr>
          <w:p w:rsidR="00953CB6" w:rsidRDefault="00E26435" w:rsidP="001C51FB">
            <w:pPr>
              <w:spacing w:line="276" w:lineRule="auto"/>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El Comité de Transparencia, según lo dispuesto en los artículos cuenta con las facultades para aprobar, modificar o revocar la clasificación de la información que haya propuesto. </w:t>
            </w:r>
          </w:p>
          <w:p w:rsidR="00953CB6" w:rsidRDefault="00E26435" w:rsidP="001C51FB">
            <w:pPr>
              <w:spacing w:line="276" w:lineRule="auto"/>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Es necesario que </w:t>
            </w:r>
            <w:r>
              <w:rPr>
                <w:rFonts w:ascii="Palatino Linotype" w:eastAsia="Palatino Linotype" w:hAnsi="Palatino Linotype" w:cs="Palatino Linotype"/>
                <w:b/>
                <w:bCs/>
                <w:i/>
                <w:iCs/>
                <w:color w:val="000000"/>
                <w:u w:val="single"/>
              </w:rPr>
              <w:t>el acto reúna con los requisitos elementales</w:t>
            </w:r>
            <w:r>
              <w:rPr>
                <w:rFonts w:ascii="Palatino Linotype" w:eastAsia="Palatino Linotype" w:hAnsi="Palatino Linotype" w:cs="Palatino Linotype"/>
                <w:i/>
                <w:iCs/>
                <w:color w:val="000000"/>
              </w:rPr>
              <w:t>, entre ellos, que la autoridad que va a emitir el acto de autoridad sea la legalmente facultada para ello.</w:t>
            </w:r>
          </w:p>
          <w:p w:rsidR="00953CB6" w:rsidRDefault="00E26435" w:rsidP="001C51FB">
            <w:pPr>
              <w:spacing w:line="276" w:lineRule="auto"/>
              <w:jc w:val="both"/>
              <w:rPr>
                <w:rFonts w:ascii="Palatino Linotype" w:eastAsia="Palatino Linotype" w:hAnsi="Palatino Linotype" w:cs="Palatino Linotype"/>
                <w:i/>
                <w:iCs/>
              </w:rPr>
            </w:pPr>
            <w:r>
              <w:rPr>
                <w:rFonts w:ascii="Palatino Linotype" w:eastAsia="Palatino Linotype" w:hAnsi="Palatino Linotype" w:cs="Palatino Linotype"/>
                <w:i/>
                <w:iCs/>
                <w:color w:val="000000"/>
              </w:rPr>
              <w:t xml:space="preserve">La decisión de aprobar, modificar o revocar la clasificación deberá de asentarse en un documento que registre la determinación a la que se llegue después de un análisis minucioso a partir de lo propuesto por el Titular del I. </w:t>
            </w:r>
            <w:r>
              <w:rPr>
                <w:rFonts w:ascii="Palatino Linotype" w:eastAsia="Palatino Linotype" w:hAnsi="Palatino Linotype" w:cs="Palatino Linotype"/>
                <w:i/>
                <w:iCs/>
              </w:rPr>
              <w:t>El área</w:t>
            </w:r>
            <w:r>
              <w:rPr>
                <w:rFonts w:ascii="Palatino Linotype" w:eastAsia="Palatino Linotype" w:hAnsi="Palatino Linotype" w:cs="Palatino Linotype"/>
                <w:i/>
                <w:iCs/>
                <w:color w:val="000000"/>
              </w:rPr>
              <w:t xml:space="preserve">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953CB6">
        <w:tc>
          <w:tcPr>
            <w:tcW w:w="2760" w:type="dxa"/>
            <w:shd w:val="clear" w:color="auto" w:fill="D9D9D9"/>
            <w:vAlign w:val="center"/>
          </w:tcPr>
          <w:p w:rsidR="00953CB6" w:rsidRDefault="00953CB6" w:rsidP="001C51FB">
            <w:pPr>
              <w:spacing w:line="360" w:lineRule="auto"/>
              <w:rPr>
                <w:rFonts w:ascii="Palatino Linotype" w:eastAsia="Palatino Linotype" w:hAnsi="Palatino Linotype" w:cs="Palatino Linotype"/>
                <w:b/>
                <w:bCs/>
              </w:rPr>
            </w:pPr>
          </w:p>
          <w:p w:rsidR="00953CB6" w:rsidRDefault="00E26435" w:rsidP="001C51FB">
            <w:pPr>
              <w:spacing w:line="360" w:lineRule="auto"/>
              <w:jc w:val="both"/>
              <w:rPr>
                <w:rFonts w:ascii="Palatino Linotype" w:eastAsia="Palatino Linotype" w:hAnsi="Palatino Linotype" w:cs="Palatino Linotype"/>
                <w:b/>
                <w:bCs/>
              </w:rPr>
            </w:pPr>
            <w:r>
              <w:rPr>
                <w:rFonts w:ascii="Palatino Linotype" w:eastAsia="Palatino Linotype" w:hAnsi="Palatino Linotype" w:cs="Palatino Linotype"/>
                <w:b/>
                <w:bCs/>
                <w:color w:val="000000"/>
              </w:rPr>
              <w:t xml:space="preserve">d) Requisitos de fondo del acuerdo de clasificación. </w:t>
            </w:r>
          </w:p>
        </w:tc>
        <w:tc>
          <w:tcPr>
            <w:tcW w:w="7155" w:type="dxa"/>
            <w:shd w:val="clear" w:color="auto" w:fill="D9D9D9"/>
          </w:tcPr>
          <w:p w:rsidR="00953CB6" w:rsidRDefault="00E26435" w:rsidP="001C51FB">
            <w:pPr>
              <w:spacing w:line="276" w:lineRule="auto"/>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Pr>
                <w:rFonts w:ascii="Palatino Linotype" w:eastAsia="Palatino Linotype" w:hAnsi="Palatino Linotype" w:cs="Palatino Linotype"/>
                <w:b/>
                <w:bCs/>
                <w:i/>
                <w:iCs/>
                <w:color w:val="000000"/>
              </w:rPr>
              <w:t>Sujetos Obligados</w:t>
            </w:r>
            <w:r>
              <w:rPr>
                <w:rFonts w:ascii="Palatino Linotype" w:eastAsia="Palatino Linotype" w:hAnsi="Palatino Linotype" w:cs="Palatino Linotype"/>
                <w:i/>
                <w:iCs/>
                <w:color w:val="000000"/>
              </w:rPr>
              <w:t xml:space="preserve">, por lo que deberán fundar y motivar debidamente la clasificación. </w:t>
            </w:r>
          </w:p>
          <w:p w:rsidR="00953CB6" w:rsidRDefault="00E26435" w:rsidP="001C51FB">
            <w:pPr>
              <w:spacing w:line="276" w:lineRule="auto"/>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De lo anterior, se desprende que para una correcta </w:t>
            </w:r>
            <w:r>
              <w:rPr>
                <w:rFonts w:ascii="Palatino Linotype" w:eastAsia="Palatino Linotype" w:hAnsi="Palatino Linotype" w:cs="Palatino Linotype"/>
                <w:b/>
                <w:bCs/>
                <w:i/>
                <w:iCs/>
                <w:color w:val="000000"/>
              </w:rPr>
              <w:t>clasificación total o parcial</w:t>
            </w:r>
            <w:r>
              <w:rPr>
                <w:rFonts w:ascii="Palatino Linotype" w:eastAsia="Palatino Linotype" w:hAnsi="Palatino Linotype" w:cs="Palatino Linotype"/>
                <w:i/>
                <w:iCs/>
                <w:color w:val="000000"/>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953CB6" w:rsidRDefault="00E26435" w:rsidP="001C51FB">
            <w:pPr>
              <w:spacing w:line="276" w:lineRule="auto"/>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w:t>
            </w:r>
            <w:r>
              <w:rPr>
                <w:rFonts w:ascii="Palatino Linotype" w:eastAsia="Palatino Linotype" w:hAnsi="Palatino Linotype" w:cs="Palatino Linotype"/>
                <w:i/>
                <w:iCs/>
                <w:color w:val="000000"/>
              </w:rPr>
              <w:lastRenderedPageBreak/>
              <w:t>derecho. De este modo, la persona que se sienta afectada pueda impugnar la decisión, permitiéndole una real y auténtica defensa.</w:t>
            </w:r>
          </w:p>
          <w:p w:rsidR="00953CB6" w:rsidRDefault="00E26435" w:rsidP="001C51FB">
            <w:pPr>
              <w:spacing w:line="276" w:lineRule="auto"/>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En ese mismo sentido, el numeral trigésimo tercero fracción V de los Lineamientos Generales, precisa que para motivar la clasificación se deben acreditar las circunstancias de tiempo, modo y lugar.</w:t>
            </w:r>
          </w:p>
          <w:p w:rsidR="00953CB6" w:rsidRDefault="00E26435" w:rsidP="001C51FB">
            <w:pPr>
              <w:spacing w:line="276" w:lineRule="auto"/>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Ahora bien, </w:t>
            </w:r>
            <w:r>
              <w:rPr>
                <w:rFonts w:ascii="Palatino Linotype" w:eastAsia="Palatino Linotype" w:hAnsi="Palatino Linotype" w:cs="Palatino Linotype"/>
                <w:b/>
                <w:bCs/>
                <w:i/>
                <w:iCs/>
                <w:color w:val="000000"/>
                <w:u w:val="single"/>
              </w:rPr>
              <w:t>para cada caso además de fundar y motivar</w:t>
            </w:r>
            <w:r>
              <w:rPr>
                <w:rFonts w:ascii="Palatino Linotype" w:eastAsia="Palatino Linotype" w:hAnsi="Palatino Linotype" w:cs="Palatino Linotype"/>
                <w:i/>
                <w:iCs/>
                <w:color w:val="000000"/>
              </w:rPr>
              <w:t xml:space="preserve">, se debe identificar con claridad </w:t>
            </w:r>
            <w:r>
              <w:rPr>
                <w:rFonts w:ascii="Palatino Linotype" w:eastAsia="Palatino Linotype" w:hAnsi="Palatino Linotype" w:cs="Palatino Linotype"/>
                <w:i/>
                <w:iCs/>
              </w:rPr>
              <w:t>qué</w:t>
            </w:r>
            <w:r>
              <w:rPr>
                <w:rFonts w:ascii="Palatino Linotype" w:eastAsia="Palatino Linotype" w:hAnsi="Palatino Linotype" w:cs="Palatino Linotype"/>
                <w:i/>
                <w:iCs/>
                <w:color w:val="000000"/>
              </w:rPr>
              <w:t xml:space="preserv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953CB6">
        <w:tc>
          <w:tcPr>
            <w:tcW w:w="2760" w:type="dxa"/>
            <w:vAlign w:val="center"/>
          </w:tcPr>
          <w:p w:rsidR="00953CB6" w:rsidRDefault="00E26435" w:rsidP="001C51FB">
            <w:pPr>
              <w:spacing w:line="360" w:lineRule="auto"/>
              <w:jc w:val="both"/>
              <w:rPr>
                <w:rFonts w:ascii="Palatino Linotype" w:eastAsia="Palatino Linotype" w:hAnsi="Palatino Linotype" w:cs="Palatino Linotype"/>
                <w:b/>
                <w:bCs/>
              </w:rPr>
            </w:pPr>
            <w:r>
              <w:rPr>
                <w:rFonts w:ascii="Palatino Linotype" w:eastAsia="Palatino Linotype" w:hAnsi="Palatino Linotype" w:cs="Palatino Linotype"/>
                <w:b/>
                <w:bCs/>
              </w:rPr>
              <w:lastRenderedPageBreak/>
              <w:t xml:space="preserve">e) Condiciones especiales de la clasificación de la información como confidencial. </w:t>
            </w:r>
          </w:p>
        </w:tc>
        <w:tc>
          <w:tcPr>
            <w:tcW w:w="7155" w:type="dxa"/>
          </w:tcPr>
          <w:p w:rsidR="00953CB6" w:rsidRDefault="00E26435" w:rsidP="001C51FB">
            <w:pPr>
              <w:spacing w:line="276" w:lineRule="auto"/>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Los artículos 148 de la Ley Estatal establece que aun tratándose de datos personales, se podrán proporcionar, incluso sin solicitar el consentimiento de su titular. </w:t>
            </w:r>
          </w:p>
          <w:p w:rsidR="00953CB6" w:rsidRDefault="00E26435" w:rsidP="001C51FB">
            <w:pPr>
              <w:spacing w:line="276" w:lineRule="auto"/>
              <w:jc w:val="both"/>
              <w:rPr>
                <w:rFonts w:ascii="Palatino Linotype" w:eastAsia="Palatino Linotype" w:hAnsi="Palatino Linotype" w:cs="Palatino Linotype"/>
                <w:i/>
                <w:iCs/>
                <w:color w:val="000000"/>
              </w:rPr>
            </w:pPr>
            <w:r>
              <w:rPr>
                <w:rFonts w:ascii="Palatino Linotype" w:eastAsia="Palatino Linotype" w:hAnsi="Palatino Linotype" w:cs="Palatino Linotype"/>
                <w:i/>
                <w:iCs/>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953CB6" w:rsidRDefault="00E26435" w:rsidP="001C51FB">
            <w:pPr>
              <w:spacing w:line="276" w:lineRule="auto"/>
              <w:rPr>
                <w:rFonts w:ascii="Palatino Linotype" w:eastAsia="Palatino Linotype" w:hAnsi="Palatino Linotype" w:cs="Palatino Linotype"/>
                <w:i/>
                <w:iCs/>
              </w:rPr>
            </w:pPr>
            <w:r>
              <w:rPr>
                <w:rFonts w:ascii="Palatino Linotype" w:eastAsia="Palatino Linotype" w:hAnsi="Palatino Linotype" w:cs="Palatino Linotype"/>
                <w:i/>
                <w:iCs/>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953CB6" w:rsidRDefault="00953CB6">
      <w:pPr>
        <w:tabs>
          <w:tab w:val="left" w:pos="284"/>
        </w:tabs>
        <w:spacing w:line="360" w:lineRule="auto"/>
        <w:ind w:right="-591"/>
        <w:rPr>
          <w:rFonts w:ascii="Palatino Linotype" w:eastAsia="Palatino Linotype" w:hAnsi="Palatino Linotype" w:cs="Palatino Linotype"/>
          <w:color w:val="000000"/>
        </w:rPr>
      </w:pPr>
    </w:p>
    <w:p w:rsidR="00953CB6" w:rsidRPr="001C51FB" w:rsidRDefault="00E26435">
      <w:pPr>
        <w:numPr>
          <w:ilvl w:val="0"/>
          <w:numId w:val="8"/>
        </w:numPr>
        <w:spacing w:line="360" w:lineRule="auto"/>
        <w:ind w:left="0" w:right="-591" w:firstLine="0"/>
        <w:jc w:val="both"/>
      </w:pPr>
      <w:r>
        <w:rPr>
          <w:rFonts w:ascii="Palatino Linotype" w:eastAsia="Palatino Linotype" w:hAnsi="Palatino Linotype" w:cs="Palatino Linotype"/>
        </w:rPr>
        <w:t xml:space="preserve">En ese sentido,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deberá de emitir el Acuerdo del Comité de Transparencia, </w:t>
      </w:r>
      <w:r>
        <w:rPr>
          <w:rFonts w:ascii="Palatino Linotype" w:eastAsia="Palatino Linotype" w:hAnsi="Palatino Linotype" w:cs="Palatino Linotype"/>
          <w:color w:val="000000"/>
        </w:rPr>
        <w:t>mediante</w:t>
      </w:r>
      <w:r>
        <w:rPr>
          <w:rFonts w:ascii="Palatino Linotype" w:eastAsia="Palatino Linotype" w:hAnsi="Palatino Linotype" w:cs="Palatino Linotype"/>
        </w:rPr>
        <w:t xml:space="preserve"> el cual de manera fundada y motivada establezca las razones que llevaron al Sujeto Obligado a testar, suprimir o eliminar datos de dicho soporte documental, ya que no hacerlo, se reitera que lo entregado no tendría un sustento jurídico ni resultaría ser </w:t>
      </w:r>
      <w:r>
        <w:rPr>
          <w:rFonts w:ascii="Palatino Linotype" w:eastAsia="Palatino Linotype" w:hAnsi="Palatino Linotype" w:cs="Palatino Linotype"/>
        </w:rPr>
        <w:lastRenderedPageBreak/>
        <w:t>una versión pública, sino más bien una documentación ilegible, incompleta o tachada; ya que el no justificar las causas o motivos por las que no se aprecian determinados datos -ya sea porque se testan o suprimen- deja al solicitante en estado de incertidumbre, al no conocer o comprender porque no aparecen en la documentación respectiva.</w:t>
      </w:r>
    </w:p>
    <w:p w:rsidR="001C51FB" w:rsidRDefault="001C51FB" w:rsidP="001C51FB">
      <w:pPr>
        <w:spacing w:line="360" w:lineRule="auto"/>
        <w:ind w:right="-591"/>
        <w:jc w:val="both"/>
      </w:pPr>
    </w:p>
    <w:p w:rsidR="00953CB6" w:rsidRDefault="00E26435">
      <w:pPr>
        <w:numPr>
          <w:ilvl w:val="0"/>
          <w:numId w:val="8"/>
        </w:numPr>
        <w:spacing w:line="360" w:lineRule="auto"/>
        <w:ind w:left="0" w:right="-591" w:firstLine="0"/>
        <w:jc w:val="both"/>
        <w:rPr>
          <w:color w:val="000000"/>
        </w:rPr>
      </w:pPr>
      <w:r>
        <w:rPr>
          <w:rFonts w:ascii="Palatino Linotype" w:eastAsia="Palatino Linotype" w:hAnsi="Palatino Linotype" w:cs="Palatino Linotype"/>
        </w:rPr>
        <w:t xml:space="preserve">Derivado de lo establecido en párrafos anteriores, si el </w:t>
      </w:r>
      <w:r>
        <w:rPr>
          <w:rFonts w:ascii="Palatino Linotype" w:eastAsia="Palatino Linotype" w:hAnsi="Palatino Linotype" w:cs="Palatino Linotype"/>
          <w:b/>
          <w:bCs/>
        </w:rPr>
        <w:t>SUJETO OBLIGADO</w:t>
      </w:r>
      <w:r>
        <w:rPr>
          <w:rFonts w:ascii="Palatino Linotype" w:eastAsia="Palatino Linotype" w:hAnsi="Palatino Linotype" w:cs="Palatino Linotype"/>
        </w:rPr>
        <w:t xml:space="preserve"> incumple con estas formalidades y entrega la información sin proteger los datos personales o testando datos considerados como públicos incumple con lo que estipulan las disposiciones legales establecidas, asimismo que si entrega un documento testado sin el debido acuerdo de clasificación.</w:t>
      </w:r>
    </w:p>
    <w:p w:rsidR="00953CB6" w:rsidRDefault="00953CB6">
      <w:pPr>
        <w:spacing w:line="360" w:lineRule="auto"/>
        <w:ind w:right="-591"/>
        <w:jc w:val="both"/>
        <w:rPr>
          <w:color w:val="000000"/>
        </w:rPr>
      </w:pPr>
    </w:p>
    <w:p w:rsidR="00953CB6" w:rsidRDefault="00E26435">
      <w:pPr>
        <w:numPr>
          <w:ilvl w:val="0"/>
          <w:numId w:val="8"/>
        </w:numPr>
        <w:spacing w:line="360" w:lineRule="auto"/>
        <w:ind w:left="0" w:right="-591" w:firstLine="0"/>
        <w:jc w:val="both"/>
      </w:pPr>
      <w:r>
        <w:rPr>
          <w:rFonts w:ascii="Palatino Linotype" w:eastAsia="Palatino Linotype" w:hAnsi="Palatino Linotype" w:cs="Palatino Linotype"/>
        </w:rPr>
        <w:t xml:space="preserve">Por lo expuesto, y con fundamento en lo prescrito en los artículos </w:t>
      </w:r>
      <w:r>
        <w:rPr>
          <w:rFonts w:ascii="Palatino Linotype" w:eastAsia="Palatino Linotype" w:hAnsi="Palatino Linotype" w:cs="Palatino Linotype"/>
          <w:color w:val="000000"/>
        </w:rPr>
        <w:t>5, párrafos trigésimo noveno, cuadragésimo, y cuadragésimo primero, fracciones IV y V, de la Constitución Política del Estado Libre y Soberano de México</w:t>
      </w:r>
      <w:r>
        <w:rPr>
          <w:rFonts w:ascii="Palatino Linotype" w:eastAsia="Palatino Linotype" w:hAnsi="Palatino Linotype" w:cs="Palatino Linotype"/>
        </w:rPr>
        <w:t>; 2, fracción II; 29, 36 fracciones I y II; 176, 178, 179, 181 y 185 de la Ley de Transparencia y Acceso a la Información Pública del Estado de México y Municipios, este Pleno:</w:t>
      </w:r>
    </w:p>
    <w:p w:rsidR="00953CB6" w:rsidRDefault="00E26435">
      <w:pPr>
        <w:spacing w:line="360" w:lineRule="auto"/>
        <w:ind w:right="-591"/>
        <w:jc w:val="center"/>
        <w:rPr>
          <w:rFonts w:ascii="Palatino Linotype" w:eastAsia="Palatino Linotype" w:hAnsi="Palatino Linotype" w:cs="Palatino Linotype"/>
          <w:b/>
          <w:bCs/>
        </w:rPr>
      </w:pPr>
      <w:r>
        <w:rPr>
          <w:rFonts w:ascii="Palatino Linotype" w:eastAsia="Palatino Linotype" w:hAnsi="Palatino Linotype" w:cs="Palatino Linotype"/>
          <w:b/>
          <w:bCs/>
        </w:rPr>
        <w:t>R E S U E L V E</w:t>
      </w:r>
    </w:p>
    <w:p w:rsidR="00953CB6" w:rsidRDefault="00953CB6">
      <w:pPr>
        <w:spacing w:line="360" w:lineRule="auto"/>
        <w:ind w:right="-591"/>
        <w:jc w:val="center"/>
        <w:rPr>
          <w:rFonts w:ascii="Palatino Linotype" w:eastAsia="Palatino Linotype" w:hAnsi="Palatino Linotype" w:cs="Palatino Linotype"/>
          <w:b/>
          <w:bCs/>
        </w:rPr>
      </w:pPr>
    </w:p>
    <w:p w:rsidR="00953CB6" w:rsidRDefault="00E26435">
      <w:pPr>
        <w:spacing w:line="360" w:lineRule="auto"/>
        <w:ind w:right="-591"/>
        <w:jc w:val="both"/>
        <w:rPr>
          <w:rFonts w:ascii="Palatino Linotype" w:eastAsia="Palatino Linotype" w:hAnsi="Palatino Linotype" w:cs="Palatino Linotype"/>
          <w:b/>
          <w:bCs/>
        </w:rPr>
      </w:pPr>
      <w:r>
        <w:rPr>
          <w:rFonts w:ascii="Palatino Linotype" w:eastAsia="Palatino Linotype" w:hAnsi="Palatino Linotype" w:cs="Palatino Linotype"/>
          <w:b/>
          <w:bCs/>
        </w:rPr>
        <w:t>PRIMERO</w:t>
      </w:r>
      <w:r>
        <w:rPr>
          <w:rFonts w:ascii="Palatino Linotype" w:eastAsia="Palatino Linotype" w:hAnsi="Palatino Linotype" w:cs="Palatino Linotype"/>
        </w:rPr>
        <w:t xml:space="preserve">. Resultan </w:t>
      </w:r>
      <w:r>
        <w:rPr>
          <w:rFonts w:ascii="Palatino Linotype" w:eastAsia="Palatino Linotype" w:hAnsi="Palatino Linotype" w:cs="Palatino Linotype"/>
          <w:b/>
          <w:bCs/>
        </w:rPr>
        <w:t>PARCIALMENTE</w:t>
      </w:r>
      <w:r>
        <w:rPr>
          <w:rFonts w:ascii="Palatino Linotype" w:eastAsia="Palatino Linotype" w:hAnsi="Palatino Linotype" w:cs="Palatino Linotype"/>
        </w:rPr>
        <w:t xml:space="preserve"> </w:t>
      </w:r>
      <w:r>
        <w:rPr>
          <w:rFonts w:ascii="Palatino Linotype" w:eastAsia="Palatino Linotype" w:hAnsi="Palatino Linotype" w:cs="Palatino Linotype"/>
          <w:b/>
          <w:bCs/>
        </w:rPr>
        <w:t>FUNDADAS</w:t>
      </w:r>
      <w:r>
        <w:rPr>
          <w:rFonts w:ascii="Palatino Linotype" w:eastAsia="Palatino Linotype" w:hAnsi="Palatino Linotype" w:cs="Palatino Linotype"/>
        </w:rPr>
        <w:t xml:space="preserve"> las razones o motivos de inconformidad hechos valer en el recurso de revisión </w:t>
      </w:r>
      <w:r>
        <w:rPr>
          <w:rFonts w:ascii="Palatino Linotype" w:eastAsia="Palatino Linotype" w:hAnsi="Palatino Linotype" w:cs="Palatino Linotype"/>
          <w:b/>
          <w:bCs/>
        </w:rPr>
        <w:t>01123/INFOEM/IP/RR/2026</w:t>
      </w:r>
      <w:r>
        <w:rPr>
          <w:rFonts w:ascii="Palatino Linotype" w:eastAsia="Palatino Linotype" w:hAnsi="Palatino Linotype" w:cs="Palatino Linotype"/>
        </w:rPr>
        <w:t>,</w:t>
      </w:r>
      <w:r>
        <w:rPr>
          <w:rFonts w:ascii="Palatino Linotype" w:eastAsia="Palatino Linotype" w:hAnsi="Palatino Linotype" w:cs="Palatino Linotype"/>
          <w:b/>
          <w:bCs/>
        </w:rPr>
        <w:t xml:space="preserve"> </w:t>
      </w:r>
      <w:r>
        <w:rPr>
          <w:rFonts w:ascii="Palatino Linotype" w:eastAsia="Palatino Linotype" w:hAnsi="Palatino Linotype" w:cs="Palatino Linotype"/>
        </w:rPr>
        <w:t xml:space="preserve">en términos del </w:t>
      </w:r>
      <w:r>
        <w:rPr>
          <w:rFonts w:ascii="Palatino Linotype" w:eastAsia="Palatino Linotype" w:hAnsi="Palatino Linotype" w:cs="Palatino Linotype"/>
          <w:b/>
          <w:bCs/>
        </w:rPr>
        <w:t xml:space="preserve">Considerando CUARTO y QUINTO </w:t>
      </w:r>
      <w:r>
        <w:rPr>
          <w:rFonts w:ascii="Palatino Linotype" w:eastAsia="Palatino Linotype" w:hAnsi="Palatino Linotype" w:cs="Palatino Linotype"/>
        </w:rPr>
        <w:t>de la presente resolución</w:t>
      </w:r>
      <w:r>
        <w:rPr>
          <w:rFonts w:ascii="Palatino Linotype" w:eastAsia="Palatino Linotype" w:hAnsi="Palatino Linotype" w:cs="Palatino Linotype"/>
          <w:b/>
          <w:bCs/>
        </w:rPr>
        <w:t>.</w:t>
      </w:r>
    </w:p>
    <w:p w:rsidR="00953CB6" w:rsidRDefault="00953CB6">
      <w:pPr>
        <w:spacing w:line="360" w:lineRule="auto"/>
        <w:ind w:right="-591"/>
        <w:jc w:val="both"/>
        <w:rPr>
          <w:rFonts w:ascii="Palatino Linotype" w:eastAsia="Palatino Linotype" w:hAnsi="Palatino Linotype" w:cs="Palatino Linotype"/>
          <w:b/>
          <w:bCs/>
        </w:rPr>
      </w:pPr>
    </w:p>
    <w:p w:rsidR="00953CB6" w:rsidRDefault="00E26435">
      <w:pPr>
        <w:spacing w:line="360" w:lineRule="auto"/>
        <w:ind w:right="-591"/>
        <w:jc w:val="both"/>
        <w:rPr>
          <w:rFonts w:ascii="Palatino Linotype" w:eastAsia="Palatino Linotype" w:hAnsi="Palatino Linotype" w:cs="Palatino Linotype"/>
        </w:rPr>
      </w:pPr>
      <w:bookmarkStart w:id="4" w:name="_heading=h.1ksv4uv" w:colFirst="0" w:colLast="0"/>
      <w:bookmarkEnd w:id="4"/>
      <w:r>
        <w:rPr>
          <w:rFonts w:ascii="Palatino Linotype" w:eastAsia="Palatino Linotype" w:hAnsi="Palatino Linotype" w:cs="Palatino Linotype"/>
          <w:b/>
          <w:bCs/>
        </w:rPr>
        <w:t>SEGUNDO.</w:t>
      </w:r>
      <w:r>
        <w:rPr>
          <w:rFonts w:ascii="Palatino Linotype" w:eastAsia="Palatino Linotype" w:hAnsi="Palatino Linotype" w:cs="Palatino Linotype"/>
          <w:color w:val="2F5496"/>
        </w:rPr>
        <w:t xml:space="preserve"> </w:t>
      </w:r>
      <w:r>
        <w:rPr>
          <w:rFonts w:ascii="Palatino Linotype" w:eastAsia="Palatino Linotype" w:hAnsi="Palatino Linotype" w:cs="Palatino Linotype"/>
          <w:color w:val="000000"/>
        </w:rPr>
        <w:t xml:space="preserve">Se </w:t>
      </w:r>
      <w:r>
        <w:rPr>
          <w:rFonts w:ascii="Palatino Linotype" w:eastAsia="Palatino Linotype" w:hAnsi="Palatino Linotype" w:cs="Palatino Linotype"/>
          <w:b/>
          <w:bCs/>
          <w:color w:val="000000"/>
        </w:rPr>
        <w:t xml:space="preserve">MODIFICA </w:t>
      </w:r>
      <w:r>
        <w:rPr>
          <w:rFonts w:ascii="Palatino Linotype" w:eastAsia="Palatino Linotype" w:hAnsi="Palatino Linotype" w:cs="Palatino Linotype"/>
          <w:color w:val="000000"/>
        </w:rPr>
        <w:t xml:space="preserve">la respuesta emitida por el </w:t>
      </w:r>
      <w:r w:rsidR="004C42A3">
        <w:rPr>
          <w:rFonts w:ascii="Palatino Linotype" w:eastAsia="Palatino Linotype" w:hAnsi="Palatino Linotype" w:cs="Palatino Linotype"/>
          <w:b/>
          <w:bCs/>
        </w:rPr>
        <w:t>Sistema Municipal para el Desarrollo Integral de la Familia de Tlalmanalco</w:t>
      </w:r>
      <w:r w:rsidR="004C42A3">
        <w:rPr>
          <w:rFonts w:ascii="Palatino Linotype" w:eastAsia="Palatino Linotype" w:hAnsi="Palatino Linotype" w:cs="Palatino Linotype"/>
          <w:color w:val="000000"/>
        </w:rPr>
        <w:t xml:space="preserve"> </w:t>
      </w:r>
      <w:r>
        <w:rPr>
          <w:rFonts w:ascii="Palatino Linotype" w:eastAsia="Palatino Linotype" w:hAnsi="Palatino Linotype" w:cs="Palatino Linotype"/>
          <w:color w:val="000000"/>
        </w:rPr>
        <w:t xml:space="preserve">y se </w:t>
      </w:r>
      <w:r>
        <w:rPr>
          <w:rFonts w:ascii="Palatino Linotype" w:eastAsia="Palatino Linotype" w:hAnsi="Palatino Linotype" w:cs="Palatino Linotype"/>
          <w:b/>
          <w:bCs/>
          <w:color w:val="000000"/>
        </w:rPr>
        <w:t>ORDENA</w:t>
      </w:r>
      <w:r>
        <w:rPr>
          <w:rFonts w:ascii="Palatino Linotype" w:eastAsia="Palatino Linotype" w:hAnsi="Palatino Linotype" w:cs="Palatino Linotype"/>
          <w:color w:val="000000"/>
        </w:rPr>
        <w:t xml:space="preserve"> entregar, vía Sistema de </w:t>
      </w:r>
      <w:r>
        <w:rPr>
          <w:rFonts w:ascii="Palatino Linotype" w:eastAsia="Palatino Linotype" w:hAnsi="Palatino Linotype" w:cs="Palatino Linotype"/>
          <w:color w:val="000000"/>
        </w:rPr>
        <w:lastRenderedPageBreak/>
        <w:t xml:space="preserve">Acceso a la Información Mexiquense </w:t>
      </w:r>
      <w:r>
        <w:rPr>
          <w:rFonts w:ascii="Palatino Linotype" w:eastAsia="Palatino Linotype" w:hAnsi="Palatino Linotype" w:cs="Palatino Linotype"/>
          <w:b/>
          <w:bCs/>
          <w:color w:val="000000"/>
        </w:rPr>
        <w:t>(SAIMEX)</w:t>
      </w:r>
      <w:r>
        <w:rPr>
          <w:rFonts w:ascii="Palatino Linotype" w:eastAsia="Palatino Linotype" w:hAnsi="Palatino Linotype" w:cs="Palatino Linotype"/>
        </w:rPr>
        <w:t>, en correcta versión pública, la siguiente información:</w:t>
      </w:r>
      <w:r>
        <w:rPr>
          <w:rFonts w:ascii="Palatino Linotype" w:eastAsia="Palatino Linotype" w:hAnsi="Palatino Linotype" w:cs="Palatino Linotype"/>
        </w:rPr>
        <w:tab/>
      </w:r>
    </w:p>
    <w:p w:rsidR="00953CB6" w:rsidRDefault="00953CB6">
      <w:pPr>
        <w:spacing w:line="360" w:lineRule="auto"/>
        <w:ind w:right="-591"/>
        <w:jc w:val="both"/>
        <w:rPr>
          <w:rFonts w:ascii="Palatino Linotype" w:eastAsia="Palatino Linotype" w:hAnsi="Palatino Linotype" w:cs="Palatino Linotype"/>
        </w:rPr>
      </w:pPr>
    </w:p>
    <w:p w:rsidR="00953CB6" w:rsidRDefault="00E26435">
      <w:pPr>
        <w:numPr>
          <w:ilvl w:val="1"/>
          <w:numId w:val="8"/>
        </w:numPr>
        <w:pBdr>
          <w:top w:val="nil"/>
          <w:left w:val="nil"/>
          <w:bottom w:val="nil"/>
          <w:right w:val="nil"/>
          <w:between w:val="nil"/>
        </w:pBdr>
        <w:spacing w:line="360" w:lineRule="auto"/>
        <w:ind w:left="1134" w:right="-591"/>
        <w:jc w:val="both"/>
        <w:rPr>
          <w:rFonts w:ascii="Palatino Linotype" w:eastAsia="Palatino Linotype" w:hAnsi="Palatino Linotype" w:cs="Palatino Linotype"/>
          <w:b/>
          <w:bCs/>
          <w:i/>
          <w:iCs/>
          <w:color w:val="000000"/>
        </w:rPr>
      </w:pPr>
      <w:r>
        <w:rPr>
          <w:rFonts w:ascii="Palatino Linotype" w:eastAsia="Palatino Linotype" w:hAnsi="Palatino Linotype" w:cs="Palatino Linotype"/>
          <w:b/>
          <w:bCs/>
          <w:i/>
          <w:iCs/>
          <w:color w:val="000000"/>
        </w:rPr>
        <w:t>Padrones de Adultos Mayores beneficiarios de cualquier tipo de apoyo entregados en respuesta.</w:t>
      </w:r>
    </w:p>
    <w:p w:rsidR="00953CB6" w:rsidRDefault="00953CB6">
      <w:pPr>
        <w:spacing w:line="360" w:lineRule="auto"/>
        <w:ind w:left="1080" w:right="-591"/>
        <w:jc w:val="both"/>
        <w:rPr>
          <w:rFonts w:ascii="Palatino Linotype" w:eastAsia="Palatino Linotype" w:hAnsi="Palatino Linotype" w:cs="Palatino Linotype"/>
          <w:b/>
          <w:bCs/>
        </w:rPr>
      </w:pPr>
    </w:p>
    <w:p w:rsidR="00953CB6" w:rsidRPr="004C42A3" w:rsidRDefault="00E26435" w:rsidP="004C42A3">
      <w:pPr>
        <w:pBdr>
          <w:top w:val="nil"/>
          <w:left w:val="nil"/>
          <w:bottom w:val="nil"/>
          <w:right w:val="nil"/>
          <w:between w:val="nil"/>
        </w:pBdr>
        <w:tabs>
          <w:tab w:val="left" w:pos="8080"/>
        </w:tabs>
        <w:spacing w:line="276" w:lineRule="auto"/>
        <w:ind w:left="1134" w:right="-591"/>
        <w:jc w:val="both"/>
        <w:rPr>
          <w:rFonts w:ascii="Palatino Linotype" w:eastAsia="Palatino Linotype" w:hAnsi="Palatino Linotype" w:cs="Palatino Linotype"/>
          <w:b/>
          <w:bCs/>
          <w:i/>
          <w:iCs/>
          <w:color w:val="000000"/>
        </w:rPr>
      </w:pPr>
      <w:bookmarkStart w:id="5" w:name="_heading=h.tzaqaqqx9dsf" w:colFirst="0" w:colLast="0"/>
      <w:bookmarkEnd w:id="5"/>
      <w:r>
        <w:rPr>
          <w:rFonts w:ascii="Palatino Linotype" w:eastAsia="Palatino Linotype" w:hAnsi="Palatino Linotype" w:cs="Palatino Linotype"/>
          <w:i/>
          <w:iCs/>
          <w:color w:val="000000"/>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Pr>
          <w:rFonts w:ascii="Palatino Linotype" w:eastAsia="Palatino Linotype" w:hAnsi="Palatino Linotype" w:cs="Palatino Linotype"/>
          <w:b/>
          <w:bCs/>
          <w:i/>
          <w:iCs/>
          <w:color w:val="000000"/>
        </w:rPr>
        <w:t>RECURRENTE.</w:t>
      </w:r>
    </w:p>
    <w:p w:rsidR="00953CB6" w:rsidRDefault="00953CB6">
      <w:pPr>
        <w:spacing w:line="360" w:lineRule="auto"/>
        <w:ind w:right="-591"/>
        <w:jc w:val="both"/>
        <w:rPr>
          <w:rFonts w:ascii="Palatino Linotype" w:eastAsia="Palatino Linotype" w:hAnsi="Palatino Linotype" w:cs="Palatino Linotype"/>
          <w:b/>
          <w:bCs/>
        </w:rPr>
      </w:pPr>
    </w:p>
    <w:p w:rsidR="00953CB6" w:rsidRDefault="00E26435">
      <w:pPr>
        <w:spacing w:line="360" w:lineRule="auto"/>
        <w:ind w:right="-591"/>
        <w:jc w:val="both"/>
        <w:rPr>
          <w:rFonts w:ascii="Palatino Linotype" w:eastAsia="Palatino Linotype" w:hAnsi="Palatino Linotype" w:cs="Palatino Linotype"/>
          <w:color w:val="000000"/>
        </w:rPr>
      </w:pPr>
      <w:r>
        <w:rPr>
          <w:rFonts w:ascii="Palatino Linotype" w:eastAsia="Palatino Linotype" w:hAnsi="Palatino Linotype" w:cs="Palatino Linotype"/>
          <w:b/>
          <w:bCs/>
        </w:rPr>
        <w:t xml:space="preserve">TERCERO. </w:t>
      </w:r>
      <w:r>
        <w:rPr>
          <w:rFonts w:ascii="Palatino Linotype" w:eastAsia="Palatino Linotype" w:hAnsi="Palatino Linotype" w:cs="Palatino Linotype"/>
          <w:b/>
          <w:bCs/>
          <w:color w:val="222222"/>
        </w:rPr>
        <w:t>NOTIFÍQUESE</w:t>
      </w:r>
      <w:r>
        <w:rPr>
          <w:rFonts w:ascii="Palatino Linotype" w:eastAsia="Palatino Linotype" w:hAnsi="Palatino Linotype" w:cs="Palatino Linotype"/>
          <w:color w:val="222222"/>
        </w:rPr>
        <w:t xml:space="preserve"> 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Pr>
          <w:rFonts w:ascii="Palatino Linotype" w:eastAsia="Palatino Linotype" w:hAnsi="Palatino Linotype" w:cs="Palatino Linotype"/>
          <w:b/>
          <w:bCs/>
          <w:color w:val="222222"/>
        </w:rPr>
        <w:t xml:space="preserve">dé cumplimiento a lo ordenado dentro del plazo </w:t>
      </w:r>
      <w:r>
        <w:rPr>
          <w:rFonts w:ascii="Palatino Linotype" w:eastAsia="Palatino Linotype" w:hAnsi="Palatino Linotype" w:cs="Palatino Linotype"/>
        </w:rPr>
        <w:t>de</w:t>
      </w:r>
      <w:r>
        <w:rPr>
          <w:rFonts w:ascii="Palatino Linotype" w:eastAsia="Palatino Linotype" w:hAnsi="Palatino Linotype" w:cs="Palatino Linotype"/>
          <w:b/>
          <w:bCs/>
          <w:color w:val="222222"/>
        </w:rPr>
        <w:t xml:space="preserve"> diez días hábiles, </w:t>
      </w:r>
      <w:r>
        <w:rPr>
          <w:rFonts w:ascii="Palatino Linotype" w:eastAsia="Palatino Linotype" w:hAnsi="Palatino Linotype" w:cs="Palatino Linotype"/>
          <w:color w:val="222222"/>
        </w:rPr>
        <w:t>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953CB6" w:rsidRDefault="00953CB6">
      <w:pPr>
        <w:spacing w:line="360" w:lineRule="auto"/>
        <w:ind w:right="-591"/>
        <w:jc w:val="both"/>
        <w:rPr>
          <w:rFonts w:ascii="Palatino Linotype" w:eastAsia="Palatino Linotype" w:hAnsi="Palatino Linotype" w:cs="Palatino Linotype"/>
        </w:rPr>
      </w:pPr>
    </w:p>
    <w:p w:rsidR="00953CB6" w:rsidRDefault="00E26435">
      <w:pPr>
        <w:spacing w:line="360" w:lineRule="auto"/>
        <w:ind w:right="-591"/>
        <w:jc w:val="both"/>
        <w:rPr>
          <w:rFonts w:ascii="Palatino Linotype" w:eastAsia="Palatino Linotype" w:hAnsi="Palatino Linotype" w:cs="Palatino Linotype"/>
        </w:rPr>
      </w:pPr>
      <w:bookmarkStart w:id="6" w:name="_heading=h.3rdcrjn" w:colFirst="0" w:colLast="0"/>
      <w:bookmarkEnd w:id="6"/>
      <w:r>
        <w:rPr>
          <w:rFonts w:ascii="Palatino Linotype" w:eastAsia="Palatino Linotype" w:hAnsi="Palatino Linotype" w:cs="Palatino Linotype"/>
          <w:b/>
          <w:bCs/>
        </w:rPr>
        <w:t xml:space="preserve">CUARTO. </w:t>
      </w:r>
      <w:r>
        <w:rPr>
          <w:rFonts w:ascii="Palatino Linotype" w:eastAsia="Palatino Linotype" w:hAnsi="Palatino Linotype" w:cs="Palatino Linotype"/>
        </w:rPr>
        <w:t xml:space="preserve">De conformidad con el artículo 198 de la Ley de Transparencia y Acceso a la Información Pública del Estado de México y Municipios, de considerarlo procedente, el </w:t>
      </w:r>
      <w:r>
        <w:rPr>
          <w:rFonts w:ascii="Palatino Linotype" w:eastAsia="Palatino Linotype" w:hAnsi="Palatino Linotype" w:cs="Palatino Linotype"/>
          <w:b/>
          <w:bCs/>
        </w:rPr>
        <w:lastRenderedPageBreak/>
        <w:t>SUJETO OBLIGADO</w:t>
      </w:r>
      <w:r>
        <w:rPr>
          <w:rFonts w:ascii="Palatino Linotype" w:eastAsia="Palatino Linotype" w:hAnsi="Palatino Linotype" w:cs="Palatino Linotype"/>
        </w:rPr>
        <w:t xml:space="preserve"> de manera fundada y motivada, podrá solicitar una ampliación de plazo para el cumplimiento de la presente resolución.</w:t>
      </w:r>
    </w:p>
    <w:p w:rsidR="00953CB6" w:rsidRDefault="00953CB6">
      <w:pPr>
        <w:spacing w:line="360" w:lineRule="auto"/>
        <w:ind w:right="-591"/>
        <w:jc w:val="both"/>
        <w:rPr>
          <w:rFonts w:ascii="Palatino Linotype" w:eastAsia="Palatino Linotype" w:hAnsi="Palatino Linotype" w:cs="Palatino Linotype"/>
        </w:rPr>
      </w:pPr>
    </w:p>
    <w:p w:rsidR="00953CB6" w:rsidRDefault="00E26435">
      <w:pPr>
        <w:spacing w:line="360" w:lineRule="auto"/>
        <w:ind w:right="-591"/>
        <w:jc w:val="both"/>
        <w:rPr>
          <w:rFonts w:ascii="Palatino Linotype" w:eastAsia="Palatino Linotype" w:hAnsi="Palatino Linotype" w:cs="Palatino Linotype"/>
        </w:rPr>
      </w:pPr>
      <w:r>
        <w:rPr>
          <w:rFonts w:ascii="Palatino Linotype" w:eastAsia="Palatino Linotype" w:hAnsi="Palatino Linotype" w:cs="Palatino Linotype"/>
          <w:b/>
          <w:bCs/>
        </w:rPr>
        <w:t>QUINTO. NOTIFÍQUESE</w:t>
      </w:r>
      <w:r>
        <w:rPr>
          <w:rFonts w:ascii="Palatino Linotype" w:eastAsia="Palatino Linotype" w:hAnsi="Palatino Linotype" w:cs="Palatino Linotype"/>
        </w:rPr>
        <w:t xml:space="preserve"> la presente resolución a la parte </w:t>
      </w:r>
      <w:r>
        <w:rPr>
          <w:rFonts w:ascii="Palatino Linotype" w:eastAsia="Palatino Linotype" w:hAnsi="Palatino Linotype" w:cs="Palatino Linotype"/>
          <w:b/>
          <w:bCs/>
        </w:rPr>
        <w:t>Recurrente</w:t>
      </w:r>
      <w:r>
        <w:rPr>
          <w:rFonts w:ascii="Palatino Linotype" w:eastAsia="Palatino Linotype" w:hAnsi="Palatino Linotype" w:cs="Palatino Linotype"/>
        </w:rPr>
        <w:t xml:space="preserve"> a través del Sistema de Acceso a la Información Mexiquense </w:t>
      </w:r>
      <w:r>
        <w:rPr>
          <w:rFonts w:ascii="Palatino Linotype" w:eastAsia="Palatino Linotype" w:hAnsi="Palatino Linotype" w:cs="Palatino Linotype"/>
          <w:b/>
          <w:bCs/>
        </w:rPr>
        <w:t>(SAIMEX)</w:t>
      </w:r>
      <w:r>
        <w:rPr>
          <w:rFonts w:ascii="Palatino Linotype" w:eastAsia="Palatino Linotype" w:hAnsi="Palatino Linotype" w:cs="Palatino Linotype"/>
        </w:rPr>
        <w:t xml:space="preserve"> y hágase de su conocimiento que, en caso de considerar que la misma le causa algún perjuicio, podrá promover el Juicio de Amparo en los términos de las leyes aplicables, de acuerdo con lo estipulado por el artículo 196 de la Ley de Transparencia y Acceso a la Información Pública del Estado de México y Municipios.</w:t>
      </w:r>
    </w:p>
    <w:p w:rsidR="00953CB6" w:rsidRDefault="00953CB6">
      <w:pPr>
        <w:spacing w:line="360" w:lineRule="auto"/>
        <w:ind w:right="-591"/>
        <w:jc w:val="both"/>
        <w:rPr>
          <w:rFonts w:ascii="Palatino Linotype" w:eastAsia="Palatino Linotype" w:hAnsi="Palatino Linotype" w:cs="Palatino Linotype"/>
          <w:b/>
          <w:bCs/>
        </w:rPr>
      </w:pPr>
    </w:p>
    <w:p w:rsidR="004C42A3" w:rsidRPr="003E2295" w:rsidRDefault="004C42A3" w:rsidP="004C42A3">
      <w:pPr>
        <w:spacing w:before="240" w:after="240" w:line="360" w:lineRule="auto"/>
        <w:ind w:right="-596" w:firstLine="1"/>
        <w:jc w:val="both"/>
        <w:rPr>
          <w:rFonts w:ascii="Palatino Linotype" w:hAnsi="Palatino Linotype"/>
        </w:rPr>
      </w:pPr>
      <w:bookmarkStart w:id="7" w:name="_Hlk99014733"/>
      <w:r w:rsidRPr="003E2295">
        <w:rPr>
          <w:rFonts w:ascii="Palatino Linotype" w:hAnsi="Palatino Linotype" w:cs="Palatino Linotype"/>
        </w:rPr>
        <w:t>ASÍ LO RESUELVE, POR UNANIMIDAD DE VOTOS, EL PLENO DEL INSTITUTO DE TRANSPARENCIA, ACCESO A LA INFORMACIÓN PÚBLICA Y PROTECCIÓN DE DATOS PERSONALES DEL ESTADO DE MÉXICO Y MUNICIPIOS, CONFORMADO POR LOS COMISIONADOS JOSÉ MARTÍNEZ VILCHIS, MARÍA DEL ROSARIO MEJÍA AYALA, SHARON CRISTINA MORALES MARTÍNEZ, LUIS GUSTAVO PARRA NORIEGA</w:t>
      </w:r>
      <w:r w:rsidR="00F64531">
        <w:rPr>
          <w:rFonts w:ascii="Palatino Linotype" w:hAnsi="Palatino Linotype" w:cs="Palatino Linotype"/>
        </w:rPr>
        <w:t xml:space="preserve"> EMITIENDO VOTO PARTICULAR</w:t>
      </w:r>
      <w:r w:rsidRPr="003E2295">
        <w:rPr>
          <w:rFonts w:ascii="Palatino Linotype" w:hAnsi="Palatino Linotype" w:cs="Palatino Linotype"/>
        </w:rPr>
        <w:t xml:space="preserve"> Y GUADALUPE RAMÍREZ PEÑA; EN LA </w:t>
      </w:r>
      <w:r>
        <w:rPr>
          <w:rFonts w:ascii="Palatino Linotype" w:hAnsi="Palatino Linotype" w:cs="Palatino Linotype"/>
        </w:rPr>
        <w:t>DÉCIMA</w:t>
      </w:r>
      <w:r w:rsidRPr="003E2295">
        <w:rPr>
          <w:rFonts w:ascii="Palatino Linotype" w:hAnsi="Palatino Linotype" w:cs="Palatino Linotype"/>
        </w:rPr>
        <w:t xml:space="preserve"> </w:t>
      </w:r>
      <w:r>
        <w:rPr>
          <w:rFonts w:ascii="Palatino Linotype" w:hAnsi="Palatino Linotype" w:cs="Palatino Linotype"/>
        </w:rPr>
        <w:t xml:space="preserve">OCTAVA </w:t>
      </w:r>
      <w:r w:rsidRPr="003E2295">
        <w:rPr>
          <w:rFonts w:ascii="Palatino Linotype" w:hAnsi="Palatino Linotype" w:cs="Palatino Linotype"/>
        </w:rPr>
        <w:t>SESIÓN O</w:t>
      </w:r>
      <w:r>
        <w:rPr>
          <w:rFonts w:ascii="Palatino Linotype" w:hAnsi="Palatino Linotype" w:cs="Palatino Linotype"/>
        </w:rPr>
        <w:t>RDINARIA, CELEBRADA EL VEINTE (20</w:t>
      </w:r>
      <w:r w:rsidRPr="003E2295">
        <w:rPr>
          <w:rFonts w:ascii="Palatino Linotype" w:hAnsi="Palatino Linotype" w:cs="Palatino Linotype"/>
        </w:rPr>
        <w:t xml:space="preserve">) DE </w:t>
      </w:r>
      <w:r>
        <w:rPr>
          <w:rFonts w:ascii="Palatino Linotype" w:hAnsi="Palatino Linotype" w:cs="Palatino Linotype"/>
        </w:rPr>
        <w:t>MAYO</w:t>
      </w:r>
      <w:r w:rsidRPr="003E2295">
        <w:rPr>
          <w:rFonts w:ascii="Palatino Linotype" w:hAnsi="Palatino Linotype" w:cs="Palatino Linotype"/>
        </w:rPr>
        <w:t xml:space="preserve"> DE DOS MIL VEINTISÉIS, ANTE EL SECRETARIO TÉCNICO DEL PLENO </w:t>
      </w:r>
      <w:r w:rsidRPr="003E2295">
        <w:rPr>
          <w:rFonts w:ascii="Palatino Linotype" w:hAnsi="Palatino Linotype" w:cs="Palatino Linotype"/>
          <w:color w:val="000000" w:themeColor="text1"/>
        </w:rPr>
        <w:t>ALEXIS TAPIA RAMÍREZ.</w:t>
      </w:r>
    </w:p>
    <w:bookmarkEnd w:id="7"/>
    <w:p w:rsidR="00953CB6" w:rsidRDefault="00953CB6" w:rsidP="004C42A3">
      <w:pPr>
        <w:spacing w:before="240" w:after="240" w:line="360" w:lineRule="auto"/>
        <w:ind w:right="-596"/>
        <w:jc w:val="both"/>
        <w:rPr>
          <w:rFonts w:ascii="Palatino Linotype" w:eastAsia="Palatino Linotype" w:hAnsi="Palatino Linotype" w:cs="Palatino Linotype"/>
        </w:rPr>
      </w:pPr>
    </w:p>
    <w:p w:rsidR="00953CB6" w:rsidRDefault="00953CB6">
      <w:pPr>
        <w:spacing w:line="360" w:lineRule="auto"/>
        <w:ind w:right="-591"/>
        <w:jc w:val="both"/>
        <w:rPr>
          <w:rFonts w:ascii="Palatino Linotype" w:eastAsia="Palatino Linotype" w:hAnsi="Palatino Linotype" w:cs="Palatino Linotype"/>
        </w:rPr>
      </w:pPr>
    </w:p>
    <w:p w:rsidR="00953CB6" w:rsidRDefault="00953CB6">
      <w:pPr>
        <w:spacing w:line="360" w:lineRule="auto"/>
        <w:ind w:right="-591"/>
        <w:jc w:val="both"/>
        <w:rPr>
          <w:rFonts w:ascii="Palatino Linotype" w:eastAsia="Palatino Linotype" w:hAnsi="Palatino Linotype" w:cs="Palatino Linotype"/>
        </w:rPr>
      </w:pPr>
    </w:p>
    <w:p w:rsidR="00953CB6" w:rsidRDefault="00953CB6">
      <w:pPr>
        <w:spacing w:line="360" w:lineRule="auto"/>
        <w:ind w:right="-591"/>
        <w:jc w:val="both"/>
        <w:rPr>
          <w:rFonts w:ascii="Palatino Linotype" w:eastAsia="Palatino Linotype" w:hAnsi="Palatino Linotype" w:cs="Palatino Linotype"/>
        </w:rPr>
      </w:pPr>
    </w:p>
    <w:p w:rsidR="00953CB6" w:rsidRDefault="00953CB6">
      <w:pPr>
        <w:spacing w:line="360" w:lineRule="auto"/>
        <w:ind w:right="-591"/>
        <w:jc w:val="both"/>
        <w:rPr>
          <w:rFonts w:ascii="Palatino Linotype" w:eastAsia="Palatino Linotype" w:hAnsi="Palatino Linotype" w:cs="Palatino Linotype"/>
        </w:rPr>
      </w:pPr>
    </w:p>
    <w:p w:rsidR="00953CB6" w:rsidRDefault="00953CB6">
      <w:pPr>
        <w:spacing w:line="360" w:lineRule="auto"/>
        <w:ind w:right="-591"/>
        <w:jc w:val="both"/>
        <w:rPr>
          <w:rFonts w:ascii="Palatino Linotype" w:eastAsia="Palatino Linotype" w:hAnsi="Palatino Linotype" w:cs="Palatino Linotype"/>
        </w:rPr>
      </w:pPr>
    </w:p>
    <w:p w:rsidR="00953CB6" w:rsidRDefault="00953CB6">
      <w:pPr>
        <w:spacing w:line="360" w:lineRule="auto"/>
        <w:ind w:right="-591"/>
        <w:jc w:val="both"/>
        <w:rPr>
          <w:rFonts w:ascii="Palatino Linotype" w:eastAsia="Palatino Linotype" w:hAnsi="Palatino Linotype" w:cs="Palatino Linotype"/>
        </w:rPr>
      </w:pPr>
    </w:p>
    <w:p w:rsidR="00953CB6" w:rsidRDefault="00953CB6">
      <w:pPr>
        <w:spacing w:line="360" w:lineRule="auto"/>
        <w:ind w:right="-591"/>
        <w:jc w:val="both"/>
        <w:rPr>
          <w:rFonts w:ascii="Palatino Linotype" w:eastAsia="Palatino Linotype" w:hAnsi="Palatino Linotype" w:cs="Palatino Linotype"/>
        </w:rPr>
      </w:pPr>
    </w:p>
    <w:p w:rsidR="00953CB6" w:rsidRDefault="00953CB6">
      <w:pPr>
        <w:spacing w:line="360" w:lineRule="auto"/>
        <w:ind w:right="-591"/>
        <w:jc w:val="both"/>
        <w:rPr>
          <w:rFonts w:ascii="Palatino Linotype" w:eastAsia="Palatino Linotype" w:hAnsi="Palatino Linotype" w:cs="Palatino Linotype"/>
        </w:rPr>
      </w:pPr>
    </w:p>
    <w:p w:rsidR="00953CB6" w:rsidRDefault="00953CB6">
      <w:pPr>
        <w:spacing w:line="360" w:lineRule="auto"/>
        <w:ind w:right="-591"/>
        <w:jc w:val="both"/>
        <w:rPr>
          <w:rFonts w:ascii="Palatino Linotype" w:eastAsia="Palatino Linotype" w:hAnsi="Palatino Linotype" w:cs="Palatino Linotype"/>
        </w:rPr>
      </w:pPr>
    </w:p>
    <w:p w:rsidR="00953CB6" w:rsidRDefault="00953CB6">
      <w:pPr>
        <w:spacing w:line="360" w:lineRule="auto"/>
        <w:ind w:right="-591"/>
        <w:jc w:val="both"/>
        <w:rPr>
          <w:rFonts w:ascii="Palatino Linotype" w:eastAsia="Palatino Linotype" w:hAnsi="Palatino Linotype" w:cs="Palatino Linotype"/>
        </w:rPr>
      </w:pPr>
    </w:p>
    <w:p w:rsidR="00953CB6" w:rsidRDefault="00953CB6">
      <w:pPr>
        <w:spacing w:line="360" w:lineRule="auto"/>
        <w:ind w:right="-591"/>
        <w:jc w:val="both"/>
        <w:rPr>
          <w:rFonts w:ascii="Palatino Linotype" w:eastAsia="Palatino Linotype" w:hAnsi="Palatino Linotype" w:cs="Palatino Linotype"/>
        </w:rPr>
      </w:pPr>
    </w:p>
    <w:p w:rsidR="00953CB6" w:rsidRDefault="00953CB6">
      <w:pPr>
        <w:spacing w:line="360" w:lineRule="auto"/>
        <w:ind w:right="-591"/>
        <w:jc w:val="both"/>
        <w:rPr>
          <w:rFonts w:ascii="Palatino Linotype" w:eastAsia="Palatino Linotype" w:hAnsi="Palatino Linotype" w:cs="Palatino Linotype"/>
        </w:rPr>
      </w:pPr>
    </w:p>
    <w:p w:rsidR="00953CB6" w:rsidRDefault="00953CB6">
      <w:pPr>
        <w:spacing w:line="360" w:lineRule="auto"/>
        <w:ind w:right="-591"/>
        <w:jc w:val="both"/>
        <w:rPr>
          <w:rFonts w:ascii="Palatino Linotype" w:eastAsia="Palatino Linotype" w:hAnsi="Palatino Linotype" w:cs="Palatino Linotype"/>
        </w:rPr>
      </w:pPr>
    </w:p>
    <w:p w:rsidR="00953CB6" w:rsidRDefault="00953CB6">
      <w:pPr>
        <w:spacing w:line="360" w:lineRule="auto"/>
        <w:ind w:right="-591"/>
        <w:rPr>
          <w:rFonts w:ascii="Palatino Linotype" w:eastAsia="Palatino Linotype" w:hAnsi="Palatino Linotype" w:cs="Palatino Linotype"/>
        </w:rPr>
      </w:pPr>
    </w:p>
    <w:p w:rsidR="00953CB6" w:rsidRDefault="00953CB6">
      <w:pPr>
        <w:spacing w:line="360" w:lineRule="auto"/>
        <w:ind w:right="-591"/>
        <w:rPr>
          <w:rFonts w:ascii="Palatino Linotype" w:eastAsia="Palatino Linotype" w:hAnsi="Palatino Linotype" w:cs="Palatino Linotype"/>
        </w:rPr>
      </w:pPr>
    </w:p>
    <w:p w:rsidR="00953CB6" w:rsidRDefault="00953CB6">
      <w:pPr>
        <w:spacing w:line="360" w:lineRule="auto"/>
        <w:ind w:right="-591"/>
        <w:rPr>
          <w:rFonts w:ascii="Palatino Linotype" w:eastAsia="Palatino Linotype" w:hAnsi="Palatino Linotype" w:cs="Palatino Linotype"/>
        </w:rPr>
      </w:pPr>
    </w:p>
    <w:p w:rsidR="00953CB6" w:rsidRDefault="00953CB6">
      <w:pPr>
        <w:spacing w:line="360" w:lineRule="auto"/>
        <w:ind w:right="-591"/>
        <w:rPr>
          <w:rFonts w:ascii="Palatino Linotype" w:eastAsia="Palatino Linotype" w:hAnsi="Palatino Linotype" w:cs="Palatino Linotype"/>
        </w:rPr>
      </w:pPr>
    </w:p>
    <w:p w:rsidR="00953CB6" w:rsidRDefault="00953CB6">
      <w:pPr>
        <w:spacing w:line="360" w:lineRule="auto"/>
        <w:ind w:right="-591"/>
        <w:rPr>
          <w:rFonts w:ascii="Palatino Linotype" w:eastAsia="Palatino Linotype" w:hAnsi="Palatino Linotype" w:cs="Palatino Linotype"/>
        </w:rPr>
      </w:pPr>
    </w:p>
    <w:p w:rsidR="00953CB6" w:rsidRDefault="00953CB6">
      <w:pPr>
        <w:spacing w:line="360" w:lineRule="auto"/>
        <w:ind w:right="-591"/>
        <w:rPr>
          <w:rFonts w:ascii="Palatino Linotype" w:eastAsia="Palatino Linotype" w:hAnsi="Palatino Linotype" w:cs="Palatino Linotype"/>
        </w:rPr>
      </w:pPr>
    </w:p>
    <w:p w:rsidR="00953CB6" w:rsidRDefault="00953CB6">
      <w:pPr>
        <w:spacing w:line="360" w:lineRule="auto"/>
        <w:ind w:right="-591"/>
        <w:rPr>
          <w:rFonts w:ascii="Palatino Linotype" w:eastAsia="Palatino Linotype" w:hAnsi="Palatino Linotype" w:cs="Palatino Linotype"/>
        </w:rPr>
      </w:pPr>
    </w:p>
    <w:p w:rsidR="00953CB6" w:rsidRDefault="00953CB6">
      <w:pPr>
        <w:spacing w:line="360" w:lineRule="auto"/>
        <w:ind w:right="-591"/>
        <w:rPr>
          <w:rFonts w:ascii="Palatino Linotype" w:eastAsia="Palatino Linotype" w:hAnsi="Palatino Linotype" w:cs="Palatino Linotype"/>
        </w:rPr>
      </w:pPr>
    </w:p>
    <w:sectPr w:rsidR="00953CB6" w:rsidSect="001C51FB">
      <w:headerReference w:type="even" r:id="rId9"/>
      <w:headerReference w:type="default" r:id="rId10"/>
      <w:footerReference w:type="default" r:id="rId11"/>
      <w:headerReference w:type="first" r:id="rId12"/>
      <w:footerReference w:type="first" r:id="rId13"/>
      <w:pgSz w:w="12240" w:h="15840"/>
      <w:pgMar w:top="1135" w:right="1467" w:bottom="1418" w:left="1588" w:header="426" w:footer="91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2150" w:rsidRDefault="00622150">
      <w:r>
        <w:separator/>
      </w:r>
    </w:p>
  </w:endnote>
  <w:endnote w:type="continuationSeparator" w:id="0">
    <w:p w:rsidR="00622150" w:rsidRDefault="006221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Palatino Linotype">
    <w:altName w:val="Palatino"/>
    <w:panose1 w:val="02040502050505030304"/>
    <w:charset w:val="00"/>
    <w:family w:val="roman"/>
    <w:pitch w:val="variable"/>
    <w:sig w:usb0="E0000287" w:usb1="40000013" w:usb2="00000000" w:usb3="00000000" w:csb0="0000019F" w:csb1="00000000"/>
    <w:embedRegular r:id="rId1" w:fontKey="{BACB5767-5FF9-4A4F-BB8A-0BE7742505DF}"/>
    <w:embedBold r:id="rId2" w:fontKey="{2B263AE1-84C1-470A-B536-BC0BA0D0FCBB}"/>
    <w:embedItalic r:id="rId3" w:fontKey="{FD18568A-B7DD-4E94-AB3E-9B618DA3DC09}"/>
    <w:embedBoldItalic r:id="rId4" w:fontKey="{0B7E04D2-9F82-4DBB-9220-1289629AAAA5}"/>
  </w:font>
  <w:font w:name="Noto Sans Symbols">
    <w:altName w:val="Times New Roman"/>
    <w:charset w:val="00"/>
    <w:family w:val="auto"/>
    <w:pitch w:val="default"/>
    <w:embedRegular r:id="rId5" w:fontKey="{298EEDCA-1A04-435B-A878-CB503D39A186}"/>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embedRegular r:id="rId6" w:fontKey="{28ED09EA-E294-46D0-950A-046C05611C91}"/>
  </w:font>
  <w:font w:name="Georgia">
    <w:panose1 w:val="02040502050405020303"/>
    <w:charset w:val="00"/>
    <w:family w:val="roman"/>
    <w:pitch w:val="variable"/>
    <w:sig w:usb0="00000287" w:usb1="00000000" w:usb2="00000000" w:usb3="00000000" w:csb0="0000009F" w:csb1="00000000"/>
    <w:embedItalic r:id="rId7" w:fontKey="{27143628-319D-4DED-9082-7C826C70F0DE}"/>
  </w:font>
  <w:font w:name="Century Gothic">
    <w:panose1 w:val="020B0502020202020204"/>
    <w:charset w:val="00"/>
    <w:family w:val="swiss"/>
    <w:pitch w:val="variable"/>
    <w:sig w:usb0="00000287" w:usb1="00000000" w:usb2="00000000" w:usb3="00000000" w:csb0="0000009F" w:csb1="00000000"/>
    <w:embedRegular r:id="rId8" w:fontKey="{0054DBDE-E44E-4E04-91F3-CDE6E8B0DF2A}"/>
    <w:embedItalic r:id="rId9" w:fontKey="{B42D0E87-EE79-40B7-B792-E8B4589156F0}"/>
  </w:font>
  <w:font w:name="Garamond">
    <w:panose1 w:val="02020404030301010803"/>
    <w:charset w:val="00"/>
    <w:family w:val="roman"/>
    <w:pitch w:val="variable"/>
    <w:sig w:usb0="00000287" w:usb1="00000000" w:usb2="00000000" w:usb3="00000000" w:csb0="0000009F" w:csb1="00000000"/>
    <w:embedRegular r:id="rId10" w:fontKey="{40159909-EC68-4A6E-9684-C38D74087648}"/>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11" w:fontKey="{E0992BB8-8B00-46EF-9DF2-FFE980E8E4F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3CB6" w:rsidRDefault="00E26435">
    <w:pPr>
      <w:pBdr>
        <w:top w:val="nil"/>
        <w:left w:val="nil"/>
        <w:bottom w:val="nil"/>
        <w:right w:val="nil"/>
        <w:between w:val="nil"/>
      </w:pBdr>
      <w:tabs>
        <w:tab w:val="center" w:pos="4419"/>
        <w:tab w:val="right" w:pos="8838"/>
      </w:tabs>
      <w:jc w:val="right"/>
      <w:rPr>
        <w:color w:val="000000"/>
        <w:sz w:val="22"/>
        <w:szCs w:val="22"/>
      </w:rPr>
    </w:pPr>
    <w:r>
      <w:rPr>
        <w:color w:val="000000"/>
        <w:sz w:val="22"/>
        <w:szCs w:val="22"/>
      </w:rPr>
      <w:t xml:space="preserve">Página </w:t>
    </w:r>
    <w:r>
      <w:rPr>
        <w:b/>
        <w:bCs/>
        <w:color w:val="000000"/>
        <w:sz w:val="22"/>
        <w:szCs w:val="22"/>
      </w:rPr>
      <w:fldChar w:fldCharType="begin"/>
    </w:r>
    <w:r>
      <w:rPr>
        <w:b/>
        <w:bCs/>
        <w:color w:val="000000"/>
        <w:sz w:val="22"/>
        <w:szCs w:val="22"/>
      </w:rPr>
      <w:instrText>PAGE</w:instrText>
    </w:r>
    <w:r>
      <w:rPr>
        <w:b/>
        <w:bCs/>
        <w:color w:val="000000"/>
        <w:sz w:val="22"/>
        <w:szCs w:val="22"/>
      </w:rPr>
      <w:fldChar w:fldCharType="separate"/>
    </w:r>
    <w:r w:rsidR="002B4F9B">
      <w:rPr>
        <w:b/>
        <w:bCs/>
        <w:noProof/>
        <w:color w:val="000000"/>
        <w:sz w:val="22"/>
        <w:szCs w:val="22"/>
      </w:rPr>
      <w:t>21</w:t>
    </w:r>
    <w:r>
      <w:rPr>
        <w:b/>
        <w:bCs/>
        <w:color w:val="000000"/>
        <w:sz w:val="22"/>
        <w:szCs w:val="22"/>
      </w:rPr>
      <w:fldChar w:fldCharType="end"/>
    </w:r>
    <w:r>
      <w:rPr>
        <w:color w:val="000000"/>
        <w:sz w:val="22"/>
        <w:szCs w:val="22"/>
      </w:rPr>
      <w:t xml:space="preserve"> de </w:t>
    </w:r>
    <w:r>
      <w:rPr>
        <w:b/>
        <w:bCs/>
        <w:color w:val="000000"/>
        <w:sz w:val="22"/>
        <w:szCs w:val="22"/>
      </w:rPr>
      <w:fldChar w:fldCharType="begin"/>
    </w:r>
    <w:r>
      <w:rPr>
        <w:b/>
        <w:bCs/>
        <w:color w:val="000000"/>
        <w:sz w:val="22"/>
        <w:szCs w:val="22"/>
      </w:rPr>
      <w:instrText>NUMPAGES</w:instrText>
    </w:r>
    <w:r>
      <w:rPr>
        <w:b/>
        <w:bCs/>
        <w:color w:val="000000"/>
        <w:sz w:val="22"/>
        <w:szCs w:val="22"/>
      </w:rPr>
      <w:fldChar w:fldCharType="separate"/>
    </w:r>
    <w:r w:rsidR="002B4F9B">
      <w:rPr>
        <w:b/>
        <w:bCs/>
        <w:noProof/>
        <w:color w:val="000000"/>
        <w:sz w:val="22"/>
        <w:szCs w:val="22"/>
      </w:rPr>
      <w:t>36</w:t>
    </w:r>
    <w:r>
      <w:rPr>
        <w:b/>
        <w:bCs/>
        <w:color w:val="000000"/>
        <w:sz w:val="22"/>
        <w:szCs w:val="22"/>
      </w:rPr>
      <w:fldChar w:fldCharType="end"/>
    </w:r>
  </w:p>
  <w:p w:rsidR="00953CB6" w:rsidRDefault="00953CB6">
    <w:pPr>
      <w:pBdr>
        <w:top w:val="nil"/>
        <w:left w:val="nil"/>
        <w:bottom w:val="nil"/>
        <w:right w:val="nil"/>
        <w:between w:val="nil"/>
      </w:pBdr>
      <w:tabs>
        <w:tab w:val="center" w:pos="4419"/>
        <w:tab w:val="right" w:pos="8838"/>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3CB6" w:rsidRDefault="00E26435">
    <w:pPr>
      <w:pBdr>
        <w:top w:val="nil"/>
        <w:left w:val="nil"/>
        <w:bottom w:val="nil"/>
        <w:right w:val="nil"/>
        <w:between w:val="nil"/>
      </w:pBdr>
      <w:tabs>
        <w:tab w:val="center" w:pos="4419"/>
        <w:tab w:val="right" w:pos="8838"/>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2B4F9B">
      <w:rPr>
        <w:rFonts w:ascii="Palatino Linotype" w:eastAsia="Palatino Linotype" w:hAnsi="Palatino Linotype" w:cs="Palatino Linotype"/>
        <w:b/>
        <w:bCs/>
        <w:noProof/>
        <w:color w:val="000000"/>
        <w:sz w:val="22"/>
        <w:szCs w:val="22"/>
      </w:rPr>
      <w:t>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2B4F9B">
      <w:rPr>
        <w:rFonts w:ascii="Palatino Linotype" w:eastAsia="Palatino Linotype" w:hAnsi="Palatino Linotype" w:cs="Palatino Linotype"/>
        <w:b/>
        <w:bCs/>
        <w:noProof/>
        <w:color w:val="000000"/>
        <w:sz w:val="22"/>
        <w:szCs w:val="22"/>
      </w:rPr>
      <w:t>36</w:t>
    </w:r>
    <w:r>
      <w:rPr>
        <w:rFonts w:ascii="Palatino Linotype" w:eastAsia="Palatino Linotype" w:hAnsi="Palatino Linotype" w:cs="Palatino Linotype"/>
        <w:b/>
        <w:bCs/>
        <w:color w:val="000000"/>
        <w:sz w:val="22"/>
        <w:szCs w:val="22"/>
      </w:rPr>
      <w:fldChar w:fldCharType="end"/>
    </w:r>
  </w:p>
  <w:p w:rsidR="00953CB6" w:rsidRDefault="00953CB6">
    <w:pPr>
      <w:pBdr>
        <w:top w:val="nil"/>
        <w:left w:val="nil"/>
        <w:bottom w:val="nil"/>
        <w:right w:val="nil"/>
        <w:between w:val="nil"/>
      </w:pBdr>
      <w:tabs>
        <w:tab w:val="center" w:pos="4419"/>
        <w:tab w:val="right" w:pos="8838"/>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2150" w:rsidRDefault="00622150">
      <w:r>
        <w:separator/>
      </w:r>
    </w:p>
  </w:footnote>
  <w:footnote w:type="continuationSeparator" w:id="0">
    <w:p w:rsidR="00622150" w:rsidRDefault="0062215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3CB6" w:rsidRDefault="00622150">
    <w:pPr>
      <w:pBdr>
        <w:top w:val="nil"/>
        <w:left w:val="nil"/>
        <w:bottom w:val="nil"/>
        <w:right w:val="nil"/>
        <w:between w:val="nil"/>
      </w:pBdr>
      <w:tabs>
        <w:tab w:val="center" w:pos="4419"/>
        <w:tab w:val="right" w:pos="8838"/>
      </w:tabs>
      <w:rPr>
        <w:color w:val="000000"/>
      </w:rPr>
    </w:pPr>
    <w:r>
      <w:rPr>
        <w:color w:val="00000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589.8pt;height:768pt;z-index:-251657728;mso-position-horizontal:center;mso-position-horizontal-relative:margin;mso-position-vertical:center;mso-position-vertical-relative:margin">
          <v:imagedata r:id="rId1" o:title="image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10065" w:type="dxa"/>
      <w:tblInd w:w="0" w:type="dxa"/>
      <w:tblLayout w:type="fixed"/>
      <w:tblLook w:val="0400" w:firstRow="0" w:lastRow="0" w:firstColumn="0" w:lastColumn="0" w:noHBand="0" w:noVBand="1"/>
    </w:tblPr>
    <w:tblGrid>
      <w:gridCol w:w="1985"/>
      <w:gridCol w:w="8080"/>
    </w:tblGrid>
    <w:tr w:rsidR="00953CB6" w:rsidTr="004C42A3">
      <w:trPr>
        <w:trHeight w:val="2063"/>
      </w:trPr>
      <w:tc>
        <w:tcPr>
          <w:tcW w:w="1985" w:type="dxa"/>
          <w:shd w:val="clear" w:color="auto" w:fill="auto"/>
        </w:tcPr>
        <w:p w:rsidR="00953CB6" w:rsidRDefault="00953CB6">
          <w:pPr>
            <w:tabs>
              <w:tab w:val="right" w:pos="4273"/>
            </w:tabs>
            <w:rPr>
              <w:rFonts w:ascii="Garamond" w:eastAsia="Garamond" w:hAnsi="Garamond" w:cs="Garamond"/>
              <w:sz w:val="16"/>
              <w:szCs w:val="16"/>
            </w:rPr>
          </w:pPr>
        </w:p>
      </w:tc>
      <w:tc>
        <w:tcPr>
          <w:tcW w:w="8080" w:type="dxa"/>
          <w:shd w:val="clear" w:color="auto" w:fill="auto"/>
        </w:tcPr>
        <w:tbl>
          <w:tblPr>
            <w:tblStyle w:val="a1"/>
            <w:tblW w:w="8106" w:type="dxa"/>
            <w:tblInd w:w="0" w:type="dxa"/>
            <w:tblLayout w:type="fixed"/>
            <w:tblLook w:val="0400" w:firstRow="0" w:lastRow="0" w:firstColumn="0" w:lastColumn="0" w:noHBand="0" w:noVBand="1"/>
          </w:tblPr>
          <w:tblGrid>
            <w:gridCol w:w="3662"/>
            <w:gridCol w:w="4444"/>
          </w:tblGrid>
          <w:tr w:rsidR="00953CB6" w:rsidTr="001C51FB">
            <w:trPr>
              <w:trHeight w:val="68"/>
            </w:trPr>
            <w:tc>
              <w:tcPr>
                <w:tcW w:w="3662" w:type="dxa"/>
                <w:shd w:val="clear" w:color="auto" w:fill="auto"/>
              </w:tcPr>
              <w:p w:rsidR="00953CB6" w:rsidRDefault="00E26435">
                <w:pPr>
                  <w:tabs>
                    <w:tab w:val="right" w:pos="8838"/>
                  </w:tabs>
                  <w:ind w:left="850" w:right="-181"/>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444" w:type="dxa"/>
                <w:shd w:val="clear" w:color="auto" w:fill="auto"/>
              </w:tcPr>
              <w:p w:rsidR="00953CB6" w:rsidRDefault="00E26435">
                <w:pPr>
                  <w:ind w:right="-471"/>
                  <w:rPr>
                    <w:rFonts w:ascii="Palatino Linotype" w:eastAsia="Palatino Linotype" w:hAnsi="Palatino Linotype" w:cs="Palatino Linotype"/>
                  </w:rPr>
                </w:pPr>
                <w:r>
                  <w:rPr>
                    <w:rFonts w:ascii="Palatino Linotype" w:eastAsia="Palatino Linotype" w:hAnsi="Palatino Linotype" w:cs="Palatino Linotype"/>
                  </w:rPr>
                  <w:t>01123/INFOEM/IP/RR/2026</w:t>
                </w:r>
              </w:p>
            </w:tc>
          </w:tr>
          <w:tr w:rsidR="00953CB6" w:rsidTr="001C51FB">
            <w:trPr>
              <w:trHeight w:val="135"/>
            </w:trPr>
            <w:tc>
              <w:tcPr>
                <w:tcW w:w="3662" w:type="dxa"/>
                <w:shd w:val="clear" w:color="auto" w:fill="auto"/>
              </w:tcPr>
              <w:p w:rsidR="00953CB6" w:rsidRDefault="00E26435">
                <w:pPr>
                  <w:tabs>
                    <w:tab w:val="right" w:pos="8838"/>
                  </w:tabs>
                  <w:ind w:left="850" w:right="-181"/>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444" w:type="dxa"/>
                <w:shd w:val="clear" w:color="auto" w:fill="auto"/>
              </w:tcPr>
              <w:p w:rsidR="00953CB6" w:rsidRDefault="00E26435">
                <w:pPr>
                  <w:tabs>
                    <w:tab w:val="left" w:pos="2834"/>
                  </w:tabs>
                  <w:ind w:right="-471"/>
                  <w:rPr>
                    <w:rFonts w:ascii="Palatino Linotype" w:eastAsia="Palatino Linotype" w:hAnsi="Palatino Linotype" w:cs="Palatino Linotype"/>
                  </w:rPr>
                </w:pPr>
                <w:r>
                  <w:rPr>
                    <w:rFonts w:ascii="Palatino Linotype" w:eastAsia="Palatino Linotype" w:hAnsi="Palatino Linotype" w:cs="Palatino Linotype"/>
                  </w:rPr>
                  <w:t xml:space="preserve">Sistema Municipal para el Desarrollo </w:t>
                </w:r>
              </w:p>
              <w:p w:rsidR="00953CB6" w:rsidRDefault="00E26435">
                <w:pPr>
                  <w:tabs>
                    <w:tab w:val="left" w:pos="2834"/>
                  </w:tabs>
                  <w:ind w:right="-471"/>
                  <w:rPr>
                    <w:rFonts w:ascii="Palatino Linotype" w:eastAsia="Palatino Linotype" w:hAnsi="Palatino Linotype" w:cs="Palatino Linotype"/>
                  </w:rPr>
                </w:pPr>
                <w:r>
                  <w:rPr>
                    <w:rFonts w:ascii="Palatino Linotype" w:eastAsia="Palatino Linotype" w:hAnsi="Palatino Linotype" w:cs="Palatino Linotype"/>
                  </w:rPr>
                  <w:t>Integral de la Familia de Tlalmanalco</w:t>
                </w:r>
              </w:p>
            </w:tc>
          </w:tr>
          <w:tr w:rsidR="00953CB6" w:rsidTr="001C51FB">
            <w:trPr>
              <w:trHeight w:val="135"/>
            </w:trPr>
            <w:tc>
              <w:tcPr>
                <w:tcW w:w="3662" w:type="dxa"/>
                <w:shd w:val="clear" w:color="auto" w:fill="auto"/>
              </w:tcPr>
              <w:p w:rsidR="00953CB6" w:rsidRDefault="00E26435">
                <w:pPr>
                  <w:tabs>
                    <w:tab w:val="right" w:pos="8838"/>
                  </w:tabs>
                  <w:ind w:left="850" w:right="-181"/>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444" w:type="dxa"/>
                <w:shd w:val="clear" w:color="auto" w:fill="auto"/>
              </w:tcPr>
              <w:p w:rsidR="00953CB6" w:rsidRDefault="00E26435">
                <w:pPr>
                  <w:ind w:right="-471"/>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p w:rsidR="00953CB6" w:rsidRDefault="00953CB6">
                <w:pPr>
                  <w:ind w:right="-471"/>
                  <w:rPr>
                    <w:rFonts w:ascii="Palatino Linotype" w:eastAsia="Palatino Linotype" w:hAnsi="Palatino Linotype" w:cs="Palatino Linotype"/>
                  </w:rPr>
                </w:pPr>
              </w:p>
            </w:tc>
          </w:tr>
        </w:tbl>
        <w:p w:rsidR="00953CB6" w:rsidRDefault="00953CB6">
          <w:pPr>
            <w:tabs>
              <w:tab w:val="right" w:pos="8838"/>
            </w:tabs>
            <w:ind w:left="-28"/>
            <w:jc w:val="both"/>
            <w:rPr>
              <w:rFonts w:ascii="Arial" w:eastAsia="Arial" w:hAnsi="Arial" w:cs="Arial"/>
              <w:b/>
              <w:bCs/>
              <w:sz w:val="22"/>
              <w:szCs w:val="22"/>
            </w:rPr>
          </w:pPr>
        </w:p>
      </w:tc>
    </w:tr>
  </w:tbl>
  <w:p w:rsidR="00953CB6" w:rsidRDefault="00622150">
    <w:pPr>
      <w:pBdr>
        <w:top w:val="nil"/>
        <w:left w:val="nil"/>
        <w:bottom w:val="nil"/>
        <w:right w:val="nil"/>
        <w:between w:val="nil"/>
      </w:pBdr>
      <w:tabs>
        <w:tab w:val="center" w:pos="4419"/>
        <w:tab w:val="right" w:pos="8838"/>
      </w:tabs>
      <w:rPr>
        <w:color w:val="000000"/>
        <w:sz w:val="14"/>
        <w:szCs w:val="14"/>
      </w:rPr>
    </w:pPr>
    <w:r>
      <w:rPr>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1" type="#_x0000_t75" alt="" style="position:absolute;margin-left:-68.55pt;margin-top:-146.5pt;width:589.8pt;height:768pt;z-index:-251659776;mso-position-horizontal-relative:margin;mso-position-vertical-relative:margin">
          <v:imagedata r:id="rId1" o:title="image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2"/>
      <w:tblW w:w="10350" w:type="dxa"/>
      <w:tblInd w:w="0" w:type="dxa"/>
      <w:tblLayout w:type="fixed"/>
      <w:tblLook w:val="0400" w:firstRow="0" w:lastRow="0" w:firstColumn="0" w:lastColumn="0" w:noHBand="0" w:noVBand="1"/>
    </w:tblPr>
    <w:tblGrid>
      <w:gridCol w:w="3092"/>
      <w:gridCol w:w="7258"/>
    </w:tblGrid>
    <w:tr w:rsidR="00953CB6">
      <w:trPr>
        <w:trHeight w:val="2303"/>
      </w:trPr>
      <w:tc>
        <w:tcPr>
          <w:tcW w:w="3092" w:type="dxa"/>
          <w:shd w:val="clear" w:color="auto" w:fill="auto"/>
        </w:tcPr>
        <w:p w:rsidR="00953CB6" w:rsidRDefault="00953CB6">
          <w:pPr>
            <w:tabs>
              <w:tab w:val="right" w:pos="4273"/>
            </w:tabs>
            <w:rPr>
              <w:rFonts w:ascii="Garamond" w:eastAsia="Garamond" w:hAnsi="Garamond" w:cs="Garamond"/>
              <w:sz w:val="22"/>
              <w:szCs w:val="22"/>
            </w:rPr>
          </w:pPr>
        </w:p>
      </w:tc>
      <w:tc>
        <w:tcPr>
          <w:tcW w:w="7258" w:type="dxa"/>
          <w:shd w:val="clear" w:color="auto" w:fill="auto"/>
        </w:tcPr>
        <w:tbl>
          <w:tblPr>
            <w:tblStyle w:val="a3"/>
            <w:tblW w:w="9739" w:type="dxa"/>
            <w:tblInd w:w="6" w:type="dxa"/>
            <w:tblLayout w:type="fixed"/>
            <w:tblLook w:val="0400" w:firstRow="0" w:lastRow="0" w:firstColumn="0" w:lastColumn="0" w:noHBand="0" w:noVBand="1"/>
          </w:tblPr>
          <w:tblGrid>
            <w:gridCol w:w="2883"/>
            <w:gridCol w:w="4394"/>
            <w:gridCol w:w="2462"/>
          </w:tblGrid>
          <w:tr w:rsidR="00953CB6" w:rsidTr="001C51FB">
            <w:trPr>
              <w:trHeight w:val="83"/>
            </w:trPr>
            <w:tc>
              <w:tcPr>
                <w:tcW w:w="2883" w:type="dxa"/>
                <w:shd w:val="clear" w:color="auto" w:fill="auto"/>
              </w:tcPr>
              <w:p w:rsidR="00953CB6" w:rsidRDefault="00E26435" w:rsidP="001C51FB">
                <w:pPr>
                  <w:tabs>
                    <w:tab w:val="right" w:pos="8838"/>
                  </w:tabs>
                  <w:ind w:left="74" w:right="-105"/>
                  <w:jc w:val="both"/>
                  <w:rPr>
                    <w:rFonts w:ascii="Palatino Linotype" w:eastAsia="Palatino Linotype" w:hAnsi="Palatino Linotype" w:cs="Palatino Linotype"/>
                    <w:b/>
                    <w:bCs/>
                  </w:rPr>
                </w:pPr>
                <w:r>
                  <w:rPr>
                    <w:rFonts w:ascii="Palatino Linotype" w:eastAsia="Palatino Linotype" w:hAnsi="Palatino Linotype" w:cs="Palatino Linotype"/>
                    <w:b/>
                    <w:bCs/>
                  </w:rPr>
                  <w:t>Recurso de Revisión:</w:t>
                </w:r>
              </w:p>
            </w:tc>
            <w:tc>
              <w:tcPr>
                <w:tcW w:w="4394" w:type="dxa"/>
              </w:tcPr>
              <w:p w:rsidR="00953CB6" w:rsidRDefault="00E26435">
                <w:pPr>
                  <w:spacing w:after="120"/>
                  <w:ind w:right="-203"/>
                  <w:rPr>
                    <w:rFonts w:ascii="Palatino Linotype" w:eastAsia="Palatino Linotype" w:hAnsi="Palatino Linotype" w:cs="Palatino Linotype"/>
                    <w:b/>
                    <w:bCs/>
                  </w:rPr>
                </w:pPr>
                <w:r>
                  <w:rPr>
                    <w:rFonts w:ascii="Palatino Linotype" w:eastAsia="Palatino Linotype" w:hAnsi="Palatino Linotype" w:cs="Palatino Linotype"/>
                  </w:rPr>
                  <w:t>01123/INFOEM/IP/RR/202</w:t>
                </w:r>
                <w:r>
                  <w:rPr>
                    <w:rFonts w:ascii="Palatino Linotype" w:eastAsia="Palatino Linotype" w:hAnsi="Palatino Linotype" w:cs="Palatino Linotype"/>
                    <w:b/>
                    <w:bCs/>
                  </w:rPr>
                  <w:t>6</w:t>
                </w:r>
              </w:p>
            </w:tc>
            <w:tc>
              <w:tcPr>
                <w:tcW w:w="2462" w:type="dxa"/>
                <w:shd w:val="clear" w:color="auto" w:fill="auto"/>
              </w:tcPr>
              <w:p w:rsidR="00953CB6" w:rsidRDefault="00953CB6">
                <w:pPr>
                  <w:ind w:right="-810"/>
                  <w:rPr>
                    <w:rFonts w:ascii="Palatino Linotype" w:eastAsia="Palatino Linotype" w:hAnsi="Palatino Linotype" w:cs="Palatino Linotype"/>
                    <w:sz w:val="22"/>
                    <w:szCs w:val="22"/>
                  </w:rPr>
                </w:pPr>
              </w:p>
            </w:tc>
          </w:tr>
          <w:tr w:rsidR="00953CB6" w:rsidTr="001C51FB">
            <w:trPr>
              <w:trHeight w:val="83"/>
            </w:trPr>
            <w:tc>
              <w:tcPr>
                <w:tcW w:w="2883" w:type="dxa"/>
                <w:shd w:val="clear" w:color="auto" w:fill="auto"/>
              </w:tcPr>
              <w:p w:rsidR="00953CB6" w:rsidRDefault="00E26435" w:rsidP="001C51FB">
                <w:pPr>
                  <w:tabs>
                    <w:tab w:val="right" w:pos="8838"/>
                  </w:tabs>
                  <w:ind w:left="74" w:right="-105"/>
                  <w:jc w:val="both"/>
                  <w:rPr>
                    <w:rFonts w:ascii="Palatino Linotype" w:eastAsia="Palatino Linotype" w:hAnsi="Palatino Linotype" w:cs="Palatino Linotype"/>
                    <w:b/>
                    <w:bCs/>
                  </w:rPr>
                </w:pPr>
                <w:r>
                  <w:rPr>
                    <w:rFonts w:ascii="Palatino Linotype" w:eastAsia="Palatino Linotype" w:hAnsi="Palatino Linotype" w:cs="Palatino Linotype"/>
                    <w:b/>
                    <w:bCs/>
                  </w:rPr>
                  <w:t>Recurrente:</w:t>
                </w:r>
              </w:p>
            </w:tc>
            <w:tc>
              <w:tcPr>
                <w:tcW w:w="4394" w:type="dxa"/>
              </w:tcPr>
              <w:p w:rsidR="00953CB6" w:rsidRDefault="002B4F9B">
                <w:pPr>
                  <w:ind w:right="-203"/>
                  <w:rPr>
                    <w:rFonts w:ascii="Palatino Linotype" w:eastAsia="Palatino Linotype" w:hAnsi="Palatino Linotype" w:cs="Palatino Linotype"/>
                  </w:rPr>
                </w:pPr>
                <w:r>
                  <w:rPr>
                    <w:rFonts w:ascii="Palatino Linotype" w:eastAsia="Palatino Linotype" w:hAnsi="Palatino Linotype" w:cs="Palatino Linotype"/>
                  </w:rPr>
                  <w:t>XXXX</w:t>
                </w:r>
              </w:p>
            </w:tc>
            <w:tc>
              <w:tcPr>
                <w:tcW w:w="2462" w:type="dxa"/>
                <w:shd w:val="clear" w:color="auto" w:fill="auto"/>
              </w:tcPr>
              <w:p w:rsidR="00953CB6" w:rsidRDefault="00953CB6">
                <w:pPr>
                  <w:tabs>
                    <w:tab w:val="left" w:pos="3122"/>
                  </w:tabs>
                  <w:ind w:right="-810"/>
                  <w:rPr>
                    <w:rFonts w:ascii="Palatino Linotype" w:eastAsia="Palatino Linotype" w:hAnsi="Palatino Linotype" w:cs="Palatino Linotype"/>
                    <w:sz w:val="22"/>
                    <w:szCs w:val="22"/>
                  </w:rPr>
                </w:pPr>
              </w:p>
            </w:tc>
          </w:tr>
          <w:tr w:rsidR="00953CB6" w:rsidTr="001C51FB">
            <w:trPr>
              <w:trHeight w:val="164"/>
            </w:trPr>
            <w:tc>
              <w:tcPr>
                <w:tcW w:w="2883" w:type="dxa"/>
                <w:shd w:val="clear" w:color="auto" w:fill="auto"/>
              </w:tcPr>
              <w:p w:rsidR="00953CB6" w:rsidRDefault="00E26435" w:rsidP="001C51FB">
                <w:pPr>
                  <w:tabs>
                    <w:tab w:val="right" w:pos="8838"/>
                  </w:tabs>
                  <w:ind w:left="74" w:right="-105"/>
                  <w:jc w:val="both"/>
                  <w:rPr>
                    <w:rFonts w:ascii="Palatino Linotype" w:eastAsia="Palatino Linotype" w:hAnsi="Palatino Linotype" w:cs="Palatino Linotype"/>
                    <w:b/>
                    <w:bCs/>
                  </w:rPr>
                </w:pPr>
                <w:r>
                  <w:rPr>
                    <w:rFonts w:ascii="Palatino Linotype" w:eastAsia="Palatino Linotype" w:hAnsi="Palatino Linotype" w:cs="Palatino Linotype"/>
                    <w:b/>
                    <w:bCs/>
                  </w:rPr>
                  <w:t>Sujeto Obligado:</w:t>
                </w:r>
              </w:p>
            </w:tc>
            <w:tc>
              <w:tcPr>
                <w:tcW w:w="4394" w:type="dxa"/>
              </w:tcPr>
              <w:p w:rsidR="00953CB6" w:rsidRDefault="00E26435">
                <w:pPr>
                  <w:spacing w:after="120"/>
                  <w:ind w:right="-203"/>
                  <w:rPr>
                    <w:rFonts w:ascii="Palatino Linotype" w:eastAsia="Palatino Linotype" w:hAnsi="Palatino Linotype" w:cs="Palatino Linotype"/>
                  </w:rPr>
                </w:pPr>
                <w:r>
                  <w:rPr>
                    <w:rFonts w:ascii="Palatino Linotype" w:eastAsia="Palatino Linotype" w:hAnsi="Palatino Linotype" w:cs="Palatino Linotype"/>
                  </w:rPr>
                  <w:t>Sistema Municipal para el Desarrollo Integral de la Familia de Tlalmanalco</w:t>
                </w:r>
              </w:p>
            </w:tc>
            <w:tc>
              <w:tcPr>
                <w:tcW w:w="2462" w:type="dxa"/>
                <w:shd w:val="clear" w:color="auto" w:fill="auto"/>
              </w:tcPr>
              <w:p w:rsidR="00953CB6" w:rsidRDefault="00953CB6">
                <w:pPr>
                  <w:tabs>
                    <w:tab w:val="left" w:pos="2834"/>
                  </w:tabs>
                  <w:ind w:right="-810"/>
                  <w:rPr>
                    <w:rFonts w:ascii="Palatino Linotype" w:eastAsia="Palatino Linotype" w:hAnsi="Palatino Linotype" w:cs="Palatino Linotype"/>
                    <w:sz w:val="22"/>
                    <w:szCs w:val="22"/>
                  </w:rPr>
                </w:pPr>
              </w:p>
            </w:tc>
          </w:tr>
          <w:tr w:rsidR="00953CB6" w:rsidTr="001C51FB">
            <w:trPr>
              <w:trHeight w:val="164"/>
            </w:trPr>
            <w:tc>
              <w:tcPr>
                <w:tcW w:w="2883" w:type="dxa"/>
                <w:shd w:val="clear" w:color="auto" w:fill="auto"/>
              </w:tcPr>
              <w:p w:rsidR="00953CB6" w:rsidRDefault="00E26435" w:rsidP="001C51FB">
                <w:pPr>
                  <w:tabs>
                    <w:tab w:val="right" w:pos="8838"/>
                  </w:tabs>
                  <w:ind w:left="74" w:right="-105"/>
                  <w:jc w:val="both"/>
                  <w:rPr>
                    <w:rFonts w:ascii="Palatino Linotype" w:eastAsia="Palatino Linotype" w:hAnsi="Palatino Linotype" w:cs="Palatino Linotype"/>
                    <w:b/>
                    <w:bCs/>
                  </w:rPr>
                </w:pPr>
                <w:r>
                  <w:rPr>
                    <w:rFonts w:ascii="Palatino Linotype" w:eastAsia="Palatino Linotype" w:hAnsi="Palatino Linotype" w:cs="Palatino Linotype"/>
                    <w:b/>
                    <w:bCs/>
                  </w:rPr>
                  <w:t>Comisionada ponente:</w:t>
                </w:r>
              </w:p>
            </w:tc>
            <w:tc>
              <w:tcPr>
                <w:tcW w:w="4394" w:type="dxa"/>
              </w:tcPr>
              <w:p w:rsidR="00953CB6" w:rsidRDefault="00E26435">
                <w:pPr>
                  <w:spacing w:after="120"/>
                  <w:ind w:right="-203"/>
                  <w:rPr>
                    <w:rFonts w:ascii="Palatino Linotype" w:eastAsia="Palatino Linotype" w:hAnsi="Palatino Linotype" w:cs="Palatino Linotype"/>
                  </w:rPr>
                </w:pPr>
                <w:r>
                  <w:rPr>
                    <w:rFonts w:ascii="Palatino Linotype" w:eastAsia="Palatino Linotype" w:hAnsi="Palatino Linotype" w:cs="Palatino Linotype"/>
                  </w:rPr>
                  <w:t>María del Rosario Mejía Ayala</w:t>
                </w:r>
              </w:p>
            </w:tc>
            <w:tc>
              <w:tcPr>
                <w:tcW w:w="2462" w:type="dxa"/>
                <w:shd w:val="clear" w:color="auto" w:fill="auto"/>
              </w:tcPr>
              <w:p w:rsidR="00953CB6" w:rsidRDefault="00953CB6">
                <w:pPr>
                  <w:ind w:right="-810"/>
                  <w:rPr>
                    <w:rFonts w:ascii="Palatino Linotype" w:eastAsia="Palatino Linotype" w:hAnsi="Palatino Linotype" w:cs="Palatino Linotype"/>
                    <w:sz w:val="22"/>
                    <w:szCs w:val="22"/>
                  </w:rPr>
                </w:pPr>
              </w:p>
            </w:tc>
          </w:tr>
        </w:tbl>
        <w:p w:rsidR="00953CB6" w:rsidRDefault="00953CB6">
          <w:pPr>
            <w:tabs>
              <w:tab w:val="right" w:pos="8838"/>
            </w:tabs>
            <w:ind w:left="-28"/>
            <w:jc w:val="both"/>
            <w:rPr>
              <w:rFonts w:ascii="Arial" w:eastAsia="Arial" w:hAnsi="Arial" w:cs="Arial"/>
              <w:b/>
              <w:bCs/>
              <w:sz w:val="22"/>
              <w:szCs w:val="22"/>
            </w:rPr>
          </w:pPr>
        </w:p>
      </w:tc>
    </w:tr>
  </w:tbl>
  <w:p w:rsidR="00953CB6" w:rsidRDefault="00622150" w:rsidP="001C51FB">
    <w:pPr>
      <w:pBdr>
        <w:top w:val="nil"/>
        <w:left w:val="nil"/>
        <w:bottom w:val="nil"/>
        <w:right w:val="nil"/>
        <w:between w:val="nil"/>
      </w:pBdr>
      <w:tabs>
        <w:tab w:val="right" w:pos="8838"/>
      </w:tabs>
      <w:rPr>
        <w:color w:val="000000"/>
        <w:sz w:val="2"/>
        <w:szCs w:val="2"/>
      </w:rPr>
    </w:pPr>
    <w:r>
      <w:rPr>
        <w:color w:val="000000"/>
        <w:sz w:val="2"/>
        <w:szCs w:val="2"/>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0" type="#_x0000_t75" alt="" style="position:absolute;margin-left:-67.15pt;margin-top:-147.6pt;width:589.8pt;height:768pt;z-index:-251658752;mso-position-horizontal-relative:margin;mso-position-vertical-relative:margin">
          <v:imagedata r:id="rId1" o:title="image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0E0AF7"/>
    <w:multiLevelType w:val="multilevel"/>
    <w:tmpl w:val="AEF6BC3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D47121F"/>
    <w:multiLevelType w:val="multilevel"/>
    <w:tmpl w:val="BC189D92"/>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15C2FED"/>
    <w:multiLevelType w:val="multilevel"/>
    <w:tmpl w:val="BAAAA662"/>
    <w:lvl w:ilvl="0">
      <w:start w:val="35"/>
      <w:numFmt w:val="decimal"/>
      <w:lvlText w:val="%1."/>
      <w:lvlJc w:val="left"/>
      <w:pPr>
        <w:ind w:left="644" w:hanging="358"/>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1C220186"/>
    <w:multiLevelType w:val="multilevel"/>
    <w:tmpl w:val="566AB08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29B5E03"/>
    <w:multiLevelType w:val="multilevel"/>
    <w:tmpl w:val="AF24812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5" w15:restartNumberingAfterBreak="0">
    <w:nsid w:val="3E7A7C5C"/>
    <w:multiLevelType w:val="multilevel"/>
    <w:tmpl w:val="3EF48146"/>
    <w:lvl w:ilvl="0">
      <w:start w:val="1"/>
      <w:numFmt w:val="decimal"/>
      <w:lvlText w:val="%1."/>
      <w:lvlJc w:val="left"/>
      <w:pPr>
        <w:ind w:left="644" w:hanging="357"/>
      </w:pPr>
      <w:rPr>
        <w:b/>
        <w:bCs/>
        <w:i w:val="0"/>
        <w:iCs w:val="0"/>
        <w:color w:val="000000"/>
        <w:sz w:val="24"/>
        <w:szCs w:val="24"/>
      </w:rPr>
    </w:lvl>
    <w:lvl w:ilvl="1">
      <w:start w:val="1"/>
      <w:numFmt w:val="upperRoman"/>
      <w:lvlText w:val="%2."/>
      <w:lvlJc w:val="right"/>
      <w:pPr>
        <w:ind w:left="7525" w:hanging="720"/>
      </w:pPr>
    </w:lvl>
    <w:lvl w:ilvl="2">
      <w:start w:val="4"/>
      <w:numFmt w:val="lowerLetter"/>
      <w:lvlText w:val="%3)"/>
      <w:lvlJc w:val="left"/>
      <w:pPr>
        <w:ind w:left="2340" w:hanging="360"/>
      </w:pPr>
    </w:lvl>
    <w:lvl w:ilvl="3">
      <w:start w:val="1"/>
      <w:numFmt w:val="decimal"/>
      <w:lvlText w:val="%4."/>
      <w:lvlJc w:val="left"/>
      <w:pPr>
        <w:ind w:left="2880" w:hanging="360"/>
      </w:pPr>
    </w:lvl>
    <w:lvl w:ilvl="4">
      <w:start w:val="104"/>
      <w:numFmt w:val="decimal"/>
      <w:lvlText w:val="%5"/>
      <w:lvlJc w:val="left"/>
      <w:pPr>
        <w:ind w:left="3600" w:hanging="360"/>
      </w:pPr>
      <w:rPr>
        <w:b/>
        <w:bCs/>
      </w:r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42A27229"/>
    <w:multiLevelType w:val="multilevel"/>
    <w:tmpl w:val="C35A072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4ABD7EB9"/>
    <w:multiLevelType w:val="multilevel"/>
    <w:tmpl w:val="88F4A0A4"/>
    <w:lvl w:ilvl="0">
      <w:start w:val="38"/>
      <w:numFmt w:val="decimal"/>
      <w:lvlText w:val="%1."/>
      <w:lvlJc w:val="left"/>
      <w:pPr>
        <w:ind w:left="502"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5728504F"/>
    <w:multiLevelType w:val="multilevel"/>
    <w:tmpl w:val="744287D6"/>
    <w:lvl w:ilvl="0">
      <w:start w:val="37"/>
      <w:numFmt w:val="decimal"/>
      <w:lvlText w:val="%1."/>
      <w:lvlJc w:val="left"/>
      <w:pPr>
        <w:ind w:left="928" w:hanging="360"/>
      </w:pPr>
      <w:rPr>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5AD55F7A"/>
    <w:multiLevelType w:val="multilevel"/>
    <w:tmpl w:val="22624A38"/>
    <w:lvl w:ilvl="0">
      <w:start w:val="42"/>
      <w:numFmt w:val="decimal"/>
      <w:lvlText w:val="%1."/>
      <w:lvlJc w:val="left"/>
      <w:pPr>
        <w:ind w:left="1495" w:hanging="360"/>
      </w:pPr>
      <w:rPr>
        <w:rFonts w:ascii="Palatino Linotype" w:eastAsia="Palatino Linotype" w:hAnsi="Palatino Linotype" w:cs="Palatino Linotype"/>
        <w:b/>
        <w:bCs/>
        <w:i w:val="0"/>
        <w:iCs w:val="0"/>
        <w:color w:val="000000"/>
        <w:sz w:val="24"/>
        <w:szCs w:val="24"/>
      </w:rPr>
    </w:lvl>
    <w:lvl w:ilvl="1">
      <w:start w:val="1"/>
      <w:numFmt w:val="decimal"/>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69F82B8A"/>
    <w:multiLevelType w:val="multilevel"/>
    <w:tmpl w:val="269A544C"/>
    <w:lvl w:ilvl="0">
      <w:start w:val="10"/>
      <w:numFmt w:val="decimal"/>
      <w:lvlText w:val="%1."/>
      <w:lvlJc w:val="left"/>
      <w:pPr>
        <w:ind w:left="1495" w:hanging="360"/>
      </w:pPr>
      <w:rPr>
        <w:rFonts w:ascii="Palatino Linotype" w:eastAsia="Palatino Linotype" w:hAnsi="Palatino Linotype" w:cs="Palatino Linotype"/>
        <w:b/>
        <w:bCs/>
        <w:i w:val="0"/>
        <w:iCs w:val="0"/>
        <w:color w:val="000000"/>
        <w:sz w:val="24"/>
        <w:szCs w:val="24"/>
      </w:rPr>
    </w:lvl>
    <w:lvl w:ilvl="1">
      <w:start w:val="1"/>
      <w:numFmt w:val="decimal"/>
      <w:lvlText w:val="%2)"/>
      <w:lvlJc w:val="left"/>
      <w:pPr>
        <w:ind w:left="1440" w:hanging="360"/>
      </w:pPr>
      <w:rPr>
        <w:b/>
        <w:bCs/>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70577897"/>
    <w:multiLevelType w:val="multilevel"/>
    <w:tmpl w:val="085ACB92"/>
    <w:lvl w:ilvl="0">
      <w:start w:val="7"/>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204"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76D64BA3"/>
    <w:multiLevelType w:val="multilevel"/>
    <w:tmpl w:val="F68AABD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7E2236A6"/>
    <w:multiLevelType w:val="multilevel"/>
    <w:tmpl w:val="7FF422E4"/>
    <w:lvl w:ilvl="0">
      <w:start w:val="1"/>
      <w:numFmt w:val="decimal"/>
      <w:lvlText w:val="%1."/>
      <w:lvlJc w:val="left"/>
      <w:pPr>
        <w:ind w:left="1353" w:hanging="359"/>
      </w:pPr>
      <w:rPr>
        <w:rFonts w:ascii="Palatino Linotype" w:eastAsia="Palatino Linotype" w:hAnsi="Palatino Linotype" w:cs="Palatino Linotyp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5"/>
  </w:num>
  <w:num w:numId="2">
    <w:abstractNumId w:val="13"/>
  </w:num>
  <w:num w:numId="3">
    <w:abstractNumId w:val="12"/>
  </w:num>
  <w:num w:numId="4">
    <w:abstractNumId w:val="4"/>
  </w:num>
  <w:num w:numId="5">
    <w:abstractNumId w:val="7"/>
  </w:num>
  <w:num w:numId="6">
    <w:abstractNumId w:val="2"/>
  </w:num>
  <w:num w:numId="7">
    <w:abstractNumId w:val="8"/>
  </w:num>
  <w:num w:numId="8">
    <w:abstractNumId w:val="9"/>
  </w:num>
  <w:num w:numId="9">
    <w:abstractNumId w:val="10"/>
  </w:num>
  <w:num w:numId="10">
    <w:abstractNumId w:val="3"/>
  </w:num>
  <w:num w:numId="11">
    <w:abstractNumId w:val="11"/>
  </w:num>
  <w:num w:numId="12">
    <w:abstractNumId w:val="1"/>
  </w:num>
  <w:num w:numId="13">
    <w:abstractNumId w:val="6"/>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3CB6"/>
    <w:rsid w:val="000742DB"/>
    <w:rsid w:val="00173721"/>
    <w:rsid w:val="001C51FB"/>
    <w:rsid w:val="002322C1"/>
    <w:rsid w:val="002B4F9B"/>
    <w:rsid w:val="00451F1F"/>
    <w:rsid w:val="004C42A3"/>
    <w:rsid w:val="004C7C6B"/>
    <w:rsid w:val="005F6397"/>
    <w:rsid w:val="00622150"/>
    <w:rsid w:val="00671127"/>
    <w:rsid w:val="006A63CA"/>
    <w:rsid w:val="00953CB6"/>
    <w:rsid w:val="00E26435"/>
    <w:rsid w:val="00F64531"/>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F54486CB-99C9-48A5-8964-EDB37884E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es-MX"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outlineLvl w:val="0"/>
    </w:pPr>
    <w:rPr>
      <w:rFonts w:ascii="Calibri" w:eastAsia="Calibri" w:hAnsi="Calibri" w:cs="Calibri"/>
      <w:color w:val="2E75B5"/>
      <w:sz w:val="32"/>
      <w:szCs w:val="32"/>
    </w:rPr>
  </w:style>
  <w:style w:type="paragraph" w:styleId="Ttulo2">
    <w:name w:val="heading 2"/>
    <w:basedOn w:val="Normal"/>
    <w:next w:val="Normal"/>
    <w:pPr>
      <w:keepNext/>
      <w:keepLines/>
      <w:spacing w:before="40" w:line="259" w:lineRule="auto"/>
      <w:outlineLvl w:val="1"/>
    </w:pPr>
    <w:rPr>
      <w:rFonts w:ascii="Calibri" w:eastAsia="Calibri" w:hAnsi="Calibri" w:cs="Calibri"/>
      <w:color w:val="2E75B5"/>
      <w:sz w:val="26"/>
      <w:szCs w:val="26"/>
    </w:rPr>
  </w:style>
  <w:style w:type="paragraph" w:styleId="Ttulo3">
    <w:name w:val="heading 3"/>
    <w:basedOn w:val="Normal"/>
    <w:next w:val="Normal"/>
    <w:pPr>
      <w:keepNext/>
      <w:keepLines/>
      <w:spacing w:before="280" w:after="80"/>
      <w:outlineLvl w:val="2"/>
    </w:pPr>
    <w:rPr>
      <w:b/>
      <w:bCs/>
      <w:sz w:val="28"/>
      <w:szCs w:val="28"/>
    </w:rPr>
  </w:style>
  <w:style w:type="paragraph" w:styleId="Ttulo4">
    <w:name w:val="heading 4"/>
    <w:basedOn w:val="Normal"/>
    <w:next w:val="Normal"/>
    <w:pPr>
      <w:keepNext/>
      <w:keepLines/>
      <w:spacing w:before="240" w:after="40"/>
      <w:outlineLvl w:val="3"/>
    </w:pPr>
    <w:rPr>
      <w:b/>
      <w:bCs/>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rPr>
      <w:rFonts w:ascii="Calibri" w:eastAsia="Calibri" w:hAnsi="Calibri" w:cs="Calibri"/>
      <w:color w:val="000000"/>
    </w:rPr>
    <w:tblPr>
      <w:tblStyleRowBandSize w:val="1"/>
      <w:tblStyleColBandSize w:val="1"/>
      <w:tblCellMar>
        <w:top w:w="0" w:type="dxa"/>
        <w:left w:w="115" w:type="dxa"/>
        <w:bottom w:w="0" w:type="dxa"/>
        <w:right w:w="115" w:type="dxa"/>
      </w:tblCellMar>
    </w:tblPr>
  </w:style>
  <w:style w:type="table" w:customStyle="1" w:styleId="a1">
    <w:basedOn w:val="TableNormal"/>
    <w:rPr>
      <w:rFonts w:ascii="Calibri" w:eastAsia="Calibri" w:hAnsi="Calibri" w:cs="Calibri"/>
      <w:color w:val="000000"/>
    </w:rPr>
    <w:tblPr>
      <w:tblStyleRowBandSize w:val="1"/>
      <w:tblStyleColBandSize w:val="1"/>
      <w:tblCellMar>
        <w:top w:w="0" w:type="dxa"/>
        <w:left w:w="115" w:type="dxa"/>
        <w:bottom w:w="0" w:type="dxa"/>
        <w:right w:w="115" w:type="dxa"/>
      </w:tblCellMar>
    </w:tblPr>
  </w:style>
  <w:style w:type="table" w:customStyle="1" w:styleId="a2">
    <w:basedOn w:val="TableNormal"/>
    <w:rPr>
      <w:rFonts w:ascii="Calibri" w:eastAsia="Calibri" w:hAnsi="Calibri" w:cs="Calibri"/>
      <w:color w:val="000000"/>
    </w:rPr>
    <w:tblPr>
      <w:tblStyleRowBandSize w:val="1"/>
      <w:tblStyleColBandSize w:val="1"/>
      <w:tblCellMar>
        <w:top w:w="0" w:type="dxa"/>
        <w:left w:w="115" w:type="dxa"/>
        <w:bottom w:w="0" w:type="dxa"/>
        <w:right w:w="115" w:type="dxa"/>
      </w:tblCellMar>
    </w:tblPr>
  </w:style>
  <w:style w:type="table" w:customStyle="1" w:styleId="a3">
    <w:basedOn w:val="TableNormal"/>
    <w:rPr>
      <w:rFonts w:ascii="Calibri" w:eastAsia="Calibri" w:hAnsi="Calibri" w:cs="Calibri"/>
      <w:color w:val="000000"/>
    </w:rPr>
    <w:tblPr>
      <w:tblStyleRowBandSize w:val="1"/>
      <w:tblStyleColBandSize w:val="1"/>
      <w:tblCellMar>
        <w:top w:w="0" w:type="dxa"/>
        <w:left w:w="115" w:type="dxa"/>
        <w:bottom w:w="0" w:type="dxa"/>
        <w:right w:w="115" w:type="dxa"/>
      </w:tblCellMar>
    </w:tblPr>
  </w:style>
  <w:style w:type="paragraph" w:styleId="Piedepgina">
    <w:name w:val="footer"/>
    <w:basedOn w:val="Normal"/>
    <w:link w:val="PiedepginaCar"/>
    <w:uiPriority w:val="99"/>
    <w:unhideWhenUsed/>
    <w:rsid w:val="004C42A3"/>
    <w:pPr>
      <w:tabs>
        <w:tab w:val="center" w:pos="4419"/>
        <w:tab w:val="right" w:pos="8838"/>
      </w:tabs>
    </w:pPr>
  </w:style>
  <w:style w:type="character" w:customStyle="1" w:styleId="PiedepginaCar">
    <w:name w:val="Pie de página Car"/>
    <w:basedOn w:val="Fuentedeprrafopredeter"/>
    <w:link w:val="Piedepgina"/>
    <w:uiPriority w:val="99"/>
    <w:rsid w:val="004C42A3"/>
  </w:style>
  <w:style w:type="paragraph" w:styleId="Prrafodelista">
    <w:name w:val="List Paragraph"/>
    <w:basedOn w:val="Normal"/>
    <w:uiPriority w:val="34"/>
    <w:qFormat/>
    <w:rsid w:val="001C51F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N2aBIJh+YGc2J912XxQhUuflpg==">CgMxLjAyCGgudHlqY3d0MgloLjF0M2g1c2YyCWguMnM4ZXlvMTIJaC4xa3N2NHV2Mg5oLnR6YXFhcXF4OWRzZjIJaC4zcmRjcmpuOAByITFFYTlIMGxCRWI4Smc0TEFyRXdINUVGalZESmtGdWpMaQ==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44</TotalTime>
  <Pages>36</Pages>
  <Words>9913</Words>
  <Characters>54523</Characters>
  <Application>Microsoft Office Word</Application>
  <DocSecurity>0</DocSecurity>
  <Lines>454</Lines>
  <Paragraphs>128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64308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INFOEM574</dc:creator>
  <cp:lastModifiedBy>Cuenta Microsoft</cp:lastModifiedBy>
  <cp:revision>8</cp:revision>
  <cp:lastPrinted>2026-05-21T23:11:00Z</cp:lastPrinted>
  <dcterms:created xsi:type="dcterms:W3CDTF">2026-05-18T17:58:00Z</dcterms:created>
  <dcterms:modified xsi:type="dcterms:W3CDTF">2026-05-28T23:15:00Z</dcterms:modified>
</cp:coreProperties>
</file>