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4A7DB" w14:textId="77777777" w:rsidR="009A627C" w:rsidRDefault="009A627C" w:rsidP="00147554">
      <w:pPr>
        <w:tabs>
          <w:tab w:val="left" w:pos="8931"/>
        </w:tabs>
        <w:spacing w:after="0" w:line="360" w:lineRule="auto"/>
        <w:contextualSpacing/>
        <w:rPr>
          <w:rFonts w:cs="Tahoma"/>
          <w:bCs/>
          <w:color w:val="FF0000"/>
        </w:rPr>
      </w:pPr>
    </w:p>
    <w:sdt>
      <w:sdtPr>
        <w:rPr>
          <w:rFonts w:ascii="Palatino Linotype" w:eastAsiaTheme="minorHAnsi" w:hAnsi="Palatino Linotype" w:cstheme="minorBidi"/>
          <w:color w:val="000000" w:themeColor="text1"/>
          <w:sz w:val="22"/>
          <w:szCs w:val="22"/>
          <w:lang w:val="es-ES" w:eastAsia="en-US"/>
        </w:rPr>
        <w:id w:val="-2138865587"/>
        <w:docPartObj>
          <w:docPartGallery w:val="Table of Contents"/>
          <w:docPartUnique/>
        </w:docPartObj>
      </w:sdtPr>
      <w:sdtEndPr>
        <w:rPr>
          <w:b/>
          <w:bCs/>
        </w:rPr>
      </w:sdtEndPr>
      <w:sdtContent>
        <w:p w14:paraId="02D6D1FA" w14:textId="3539CF9B" w:rsidR="00773FA5" w:rsidRPr="00B632BD" w:rsidRDefault="00773FA5">
          <w:pPr>
            <w:pStyle w:val="TtulodeTDC"/>
            <w:rPr>
              <w:sz w:val="22"/>
              <w:szCs w:val="22"/>
            </w:rPr>
          </w:pPr>
        </w:p>
        <w:p w14:paraId="250BD3A1" w14:textId="77777777" w:rsidR="00B632BD" w:rsidRPr="00B632BD" w:rsidRDefault="00773FA5">
          <w:pPr>
            <w:pStyle w:val="TDC1"/>
            <w:rPr>
              <w:rFonts w:asciiTheme="minorHAnsi" w:eastAsiaTheme="minorEastAsia" w:hAnsiTheme="minorHAnsi" w:cstheme="minorBidi"/>
              <w:noProof/>
              <w:sz w:val="22"/>
              <w:szCs w:val="22"/>
              <w:lang w:eastAsia="es-MX"/>
            </w:rPr>
          </w:pPr>
          <w:r w:rsidRPr="00B632BD">
            <w:rPr>
              <w:bCs/>
              <w:sz w:val="22"/>
              <w:szCs w:val="22"/>
              <w:lang w:val="es-ES"/>
            </w:rPr>
            <w:fldChar w:fldCharType="begin"/>
          </w:r>
          <w:r w:rsidRPr="00B632BD">
            <w:rPr>
              <w:bCs/>
              <w:sz w:val="22"/>
              <w:szCs w:val="22"/>
              <w:lang w:val="es-ES"/>
            </w:rPr>
            <w:instrText xml:space="preserve"> TOC \o "1-3" \h \z \u </w:instrText>
          </w:r>
          <w:r w:rsidRPr="00B632BD">
            <w:rPr>
              <w:bCs/>
              <w:sz w:val="22"/>
              <w:szCs w:val="22"/>
              <w:lang w:val="es-ES"/>
            </w:rPr>
            <w:fldChar w:fldCharType="separate"/>
          </w:r>
          <w:hyperlink w:anchor="_Toc225435436" w:history="1">
            <w:r w:rsidR="00B632BD" w:rsidRPr="00B632BD">
              <w:rPr>
                <w:rStyle w:val="Hipervnculo"/>
                <w:rFonts w:ascii="Palatino Linotype" w:hAnsi="Palatino Linotype"/>
                <w:noProof/>
                <w:sz w:val="22"/>
                <w:szCs w:val="22"/>
              </w:rPr>
              <w:t>A N T E C E D E N T E S</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_Toc225435436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2</w:t>
            </w:r>
            <w:r w:rsidR="00B632BD" w:rsidRPr="00B632BD">
              <w:rPr>
                <w:noProof/>
                <w:webHidden/>
                <w:sz w:val="22"/>
                <w:szCs w:val="22"/>
              </w:rPr>
              <w:fldChar w:fldCharType="end"/>
            </w:r>
          </w:hyperlink>
        </w:p>
        <w:p w14:paraId="51C28D78"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37" w:history="1">
            <w:r w:rsidR="00B632BD" w:rsidRPr="00B632BD">
              <w:rPr>
                <w:rStyle w:val="Hipervnculo"/>
                <w:rFonts w:ascii="Palatino Linotype" w:eastAsia="Calibri" w:hAnsi="Palatino Linotype"/>
                <w:noProof/>
                <w:sz w:val="22"/>
                <w:szCs w:val="22"/>
                <w:lang w:val="es-ES"/>
              </w:rPr>
              <w:t>I. Presentación de la solicitud de información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_Toc225435437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2</w:t>
            </w:r>
            <w:r w:rsidR="00B632BD" w:rsidRPr="00B632BD">
              <w:rPr>
                <w:noProof/>
                <w:webHidden/>
                <w:sz w:val="22"/>
                <w:szCs w:val="22"/>
              </w:rPr>
              <w:fldChar w:fldCharType="end"/>
            </w:r>
          </w:hyperlink>
        </w:p>
        <w:p w14:paraId="2FBA2776"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38" w:history="1">
            <w:r w:rsidR="00B632BD" w:rsidRPr="00B632BD">
              <w:rPr>
                <w:rStyle w:val="Hipervnculo"/>
                <w:rFonts w:ascii="Palatino Linotype" w:eastAsia="Calibri" w:hAnsi="Palatino Linotype"/>
                <w:noProof/>
                <w:sz w:val="22"/>
                <w:szCs w:val="22"/>
              </w:rPr>
              <w:t>II. Respuesta del Sujeto Obligado</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_Toc225435438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3</w:t>
            </w:r>
            <w:r w:rsidR="00B632BD" w:rsidRPr="00B632BD">
              <w:rPr>
                <w:noProof/>
                <w:webHidden/>
                <w:sz w:val="22"/>
                <w:szCs w:val="22"/>
              </w:rPr>
              <w:fldChar w:fldCharType="end"/>
            </w:r>
          </w:hyperlink>
        </w:p>
        <w:p w14:paraId="13889ECE"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39" w:history="1">
            <w:r w:rsidR="00B632BD" w:rsidRPr="00B632BD">
              <w:rPr>
                <w:rStyle w:val="Hipervnculo"/>
                <w:rFonts w:ascii="Palatino Linotype" w:eastAsia="Calibri" w:hAnsi="Palatino Linotype"/>
                <w:noProof/>
                <w:sz w:val="22"/>
                <w:szCs w:val="22"/>
              </w:rPr>
              <w:t>III. Interposición del Recurso de Revisión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_Toc225435439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4</w:t>
            </w:r>
            <w:r w:rsidR="00B632BD" w:rsidRPr="00B632BD">
              <w:rPr>
                <w:noProof/>
                <w:webHidden/>
                <w:sz w:val="22"/>
                <w:szCs w:val="22"/>
              </w:rPr>
              <w:fldChar w:fldCharType="end"/>
            </w:r>
          </w:hyperlink>
        </w:p>
        <w:p w14:paraId="7B40FC81"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0" w:history="1">
            <w:r w:rsidR="00B632BD" w:rsidRPr="00B632BD">
              <w:rPr>
                <w:rStyle w:val="Hipervnculo"/>
                <w:rFonts w:ascii="Palatino Linotype" w:eastAsia="Calibri" w:hAnsi="Palatino Linotype"/>
                <w:noProof/>
                <w:sz w:val="22"/>
                <w:szCs w:val="22"/>
              </w:rPr>
              <w:t xml:space="preserve">IV. </w:t>
            </w:r>
            <w:r w:rsidR="00B632BD" w:rsidRPr="00B632BD">
              <w:rPr>
                <w:rStyle w:val="Hipervnculo"/>
                <w:rFonts w:ascii="Palatino Linotype" w:eastAsia="Batang" w:hAnsi="Palatino Linotype"/>
                <w:noProof/>
                <w:sz w:val="22"/>
                <w:szCs w:val="22"/>
              </w:rPr>
              <w:t>Trámite del Recurso de Revisión</w:t>
            </w:r>
            <w:r w:rsidR="00B632BD" w:rsidRPr="00B632BD">
              <w:rPr>
                <w:rStyle w:val="Hipervnculo"/>
                <w:rFonts w:ascii="Palatino Linotype" w:eastAsia="Calibri" w:hAnsi="Palatino Linotype"/>
                <w:noProof/>
                <w:sz w:val="22"/>
                <w:szCs w:val="22"/>
              </w:rPr>
              <w:t xml:space="preserve"> </w:t>
            </w:r>
            <w:r w:rsidR="00B632BD" w:rsidRPr="00B632BD">
              <w:rPr>
                <w:rStyle w:val="Hipervnculo"/>
                <w:rFonts w:ascii="Palatino Linotype" w:eastAsia="Batang" w:hAnsi="Palatino Linotype"/>
                <w:noProof/>
                <w:sz w:val="22"/>
                <w:szCs w:val="22"/>
              </w:rPr>
              <w:t>ante este Instituto</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_Toc225435440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5</w:t>
            </w:r>
            <w:r w:rsidR="00B632BD" w:rsidRPr="00B632BD">
              <w:rPr>
                <w:noProof/>
                <w:webHidden/>
                <w:sz w:val="22"/>
                <w:szCs w:val="22"/>
              </w:rPr>
              <w:fldChar w:fldCharType="end"/>
            </w:r>
          </w:hyperlink>
        </w:p>
        <w:p w14:paraId="0723DF7F"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1" w:history="1">
            <w:r w:rsidR="00B632BD" w:rsidRPr="00B632BD">
              <w:rPr>
                <w:rStyle w:val="Hipervnculo"/>
                <w:rFonts w:ascii="Palatino Linotype" w:hAnsi="Palatino Linotype"/>
                <w:noProof/>
                <w:sz w:val="22"/>
                <w:szCs w:val="22"/>
              </w:rPr>
              <w:t>a) Turno del Medio de Impugnación.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_Toc225435441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5</w:t>
            </w:r>
            <w:r w:rsidR="00B632BD" w:rsidRPr="00B632BD">
              <w:rPr>
                <w:noProof/>
                <w:webHidden/>
                <w:sz w:val="22"/>
                <w:szCs w:val="22"/>
              </w:rPr>
              <w:fldChar w:fldCharType="end"/>
            </w:r>
          </w:hyperlink>
        </w:p>
        <w:p w14:paraId="0641BDB8"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2" w:history="1">
            <w:r w:rsidR="00B632BD" w:rsidRPr="00B632BD">
              <w:rPr>
                <w:rStyle w:val="Hipervnculo"/>
                <w:rFonts w:ascii="Palatino Linotype" w:hAnsi="Palatino Linotype"/>
                <w:noProof/>
                <w:sz w:val="22"/>
                <w:szCs w:val="22"/>
              </w:rPr>
              <w:t>b) Admisión del Recurso de Revisión.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_Toc225435442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5</w:t>
            </w:r>
            <w:r w:rsidR="00B632BD" w:rsidRPr="00B632BD">
              <w:rPr>
                <w:noProof/>
                <w:webHidden/>
                <w:sz w:val="22"/>
                <w:szCs w:val="22"/>
              </w:rPr>
              <w:fldChar w:fldCharType="end"/>
            </w:r>
          </w:hyperlink>
        </w:p>
        <w:p w14:paraId="2317E043"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3" w:history="1">
            <w:r w:rsidR="00B632BD" w:rsidRPr="00B632BD">
              <w:rPr>
                <w:rStyle w:val="Hipervnculo"/>
                <w:rFonts w:ascii="Palatino Linotype" w:hAnsi="Palatino Linotype"/>
                <w:noProof/>
                <w:sz w:val="22"/>
                <w:szCs w:val="22"/>
              </w:rPr>
              <w:t>c) Informe Justificado.</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_Toc225435443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5</w:t>
            </w:r>
            <w:r w:rsidR="00B632BD" w:rsidRPr="00B632BD">
              <w:rPr>
                <w:noProof/>
                <w:webHidden/>
                <w:sz w:val="22"/>
                <w:szCs w:val="22"/>
              </w:rPr>
              <w:fldChar w:fldCharType="end"/>
            </w:r>
          </w:hyperlink>
        </w:p>
        <w:p w14:paraId="66032874"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4" w:history="1">
            <w:r w:rsidR="00B632BD" w:rsidRPr="00B632BD">
              <w:rPr>
                <w:rStyle w:val="Hipervnculo"/>
                <w:rFonts w:ascii="Palatino Linotype" w:hAnsi="Palatino Linotype"/>
                <w:bCs/>
                <w:noProof/>
                <w:sz w:val="22"/>
                <w:szCs w:val="22"/>
              </w:rPr>
              <w:t>f) Cierre de instrucción.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_Toc225435444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6</w:t>
            </w:r>
            <w:r w:rsidR="00B632BD" w:rsidRPr="00B632BD">
              <w:rPr>
                <w:noProof/>
                <w:webHidden/>
                <w:sz w:val="22"/>
                <w:szCs w:val="22"/>
              </w:rPr>
              <w:fldChar w:fldCharType="end"/>
            </w:r>
          </w:hyperlink>
        </w:p>
        <w:p w14:paraId="2233DA3C" w14:textId="77777777" w:rsidR="00B632BD" w:rsidRPr="00B632BD" w:rsidRDefault="004326F3">
          <w:pPr>
            <w:pStyle w:val="TDC1"/>
            <w:rPr>
              <w:rFonts w:asciiTheme="minorHAnsi" w:eastAsiaTheme="minorEastAsia" w:hAnsiTheme="minorHAnsi" w:cstheme="minorBidi"/>
              <w:noProof/>
              <w:sz w:val="22"/>
              <w:szCs w:val="22"/>
              <w:lang w:eastAsia="es-MX"/>
            </w:rPr>
          </w:pPr>
          <w:hyperlink w:anchor="_Toc225435445" w:history="1">
            <w:r w:rsidR="00B632BD" w:rsidRPr="00B632BD">
              <w:rPr>
                <w:rStyle w:val="Hipervnculo"/>
                <w:rFonts w:ascii="Palatino Linotype" w:hAnsi="Palatino Linotype"/>
                <w:noProof/>
                <w:sz w:val="22"/>
                <w:szCs w:val="22"/>
                <w:lang w:val="es-ES"/>
              </w:rPr>
              <w:t>C O N S I D E R A N D O S</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_Toc225435445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6</w:t>
            </w:r>
            <w:r w:rsidR="00B632BD" w:rsidRPr="00B632BD">
              <w:rPr>
                <w:noProof/>
                <w:webHidden/>
                <w:sz w:val="22"/>
                <w:szCs w:val="22"/>
              </w:rPr>
              <w:fldChar w:fldCharType="end"/>
            </w:r>
          </w:hyperlink>
        </w:p>
        <w:p w14:paraId="3A47FF72"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6" w:history="1">
            <w:r w:rsidR="00B632BD" w:rsidRPr="00B632BD">
              <w:rPr>
                <w:rStyle w:val="Hipervnculo"/>
                <w:rFonts w:ascii="Palatino Linotype" w:eastAsia="Calibri" w:hAnsi="Palatino Linotype"/>
                <w:noProof/>
                <w:sz w:val="22"/>
                <w:szCs w:val="22"/>
                <w:lang w:val="es-ES" w:eastAsia="es-MX"/>
              </w:rPr>
              <w:t xml:space="preserve">PRIMERO. </w:t>
            </w:r>
            <w:r w:rsidR="00B632BD" w:rsidRPr="00B632BD">
              <w:rPr>
                <w:rStyle w:val="Hipervnculo"/>
                <w:rFonts w:ascii="Palatino Linotype" w:hAnsi="Palatino Linotype"/>
                <w:noProof/>
                <w:sz w:val="22"/>
                <w:szCs w:val="22"/>
                <w:lang w:val="es-ES"/>
              </w:rPr>
              <w:t>Competencia</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_Toc225435446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6</w:t>
            </w:r>
            <w:r w:rsidR="00B632BD" w:rsidRPr="00B632BD">
              <w:rPr>
                <w:noProof/>
                <w:webHidden/>
                <w:sz w:val="22"/>
                <w:szCs w:val="22"/>
              </w:rPr>
              <w:fldChar w:fldCharType="end"/>
            </w:r>
          </w:hyperlink>
        </w:p>
        <w:p w14:paraId="771F9579"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7" w:history="1">
            <w:r w:rsidR="00B632BD" w:rsidRPr="00B632BD">
              <w:rPr>
                <w:rStyle w:val="Hipervnculo"/>
                <w:rFonts w:ascii="Palatino Linotype" w:eastAsia="Calibri" w:hAnsi="Palatino Linotype"/>
                <w:noProof/>
                <w:sz w:val="22"/>
                <w:szCs w:val="22"/>
                <w:lang w:val="es-ES" w:eastAsia="es-MX"/>
              </w:rPr>
              <w:t xml:space="preserve">SEGUNDO. </w:t>
            </w:r>
            <w:r w:rsidR="00B632BD" w:rsidRPr="00B632BD">
              <w:rPr>
                <w:rStyle w:val="Hipervnculo"/>
                <w:rFonts w:ascii="Palatino Linotype" w:hAnsi="Palatino Linotype"/>
                <w:noProof/>
                <w:sz w:val="22"/>
                <w:szCs w:val="22"/>
                <w:lang w:val="es-ES"/>
              </w:rPr>
              <w:t>Causales de improcedencia y sobreseimiento</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_Toc225435447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7</w:t>
            </w:r>
            <w:r w:rsidR="00B632BD" w:rsidRPr="00B632BD">
              <w:rPr>
                <w:noProof/>
                <w:webHidden/>
                <w:sz w:val="22"/>
                <w:szCs w:val="22"/>
              </w:rPr>
              <w:fldChar w:fldCharType="end"/>
            </w:r>
          </w:hyperlink>
        </w:p>
        <w:p w14:paraId="11B633BA"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8" w:history="1">
            <w:r w:rsidR="00B632BD" w:rsidRPr="00B632BD">
              <w:rPr>
                <w:rStyle w:val="Hipervnculo"/>
                <w:rFonts w:ascii="Palatino Linotype" w:hAnsi="Palatino Linotype"/>
                <w:noProof/>
                <w:sz w:val="22"/>
                <w:szCs w:val="22"/>
                <w:lang w:val="es-ES"/>
              </w:rPr>
              <w:t>TERCERO. Determinación de la Controversia</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_Toc225435448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8</w:t>
            </w:r>
            <w:r w:rsidR="00B632BD" w:rsidRPr="00B632BD">
              <w:rPr>
                <w:noProof/>
                <w:webHidden/>
                <w:sz w:val="22"/>
                <w:szCs w:val="22"/>
              </w:rPr>
              <w:fldChar w:fldCharType="end"/>
            </w:r>
          </w:hyperlink>
        </w:p>
        <w:p w14:paraId="15EB2849"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49" w:history="1">
            <w:r w:rsidR="00B632BD" w:rsidRPr="00B632BD">
              <w:rPr>
                <w:rStyle w:val="Hipervnculo"/>
                <w:rFonts w:ascii="Palatino Linotype" w:hAnsi="Palatino Linotype"/>
                <w:noProof/>
                <w:sz w:val="22"/>
                <w:szCs w:val="22"/>
                <w:lang w:val="es-ES"/>
              </w:rPr>
              <w:t xml:space="preserve">CUARTO. </w:t>
            </w:r>
            <w:r w:rsidR="00B632BD" w:rsidRPr="00B632BD">
              <w:rPr>
                <w:rStyle w:val="Hipervnculo"/>
                <w:rFonts w:ascii="Palatino Linotype" w:hAnsi="Palatino Linotype"/>
                <w:noProof/>
                <w:sz w:val="22"/>
                <w:szCs w:val="22"/>
              </w:rPr>
              <w:t>Marco normativo aplicable en materia de transparencia y acceso a la información pública</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_Toc225435449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10</w:t>
            </w:r>
            <w:r w:rsidR="00B632BD" w:rsidRPr="00B632BD">
              <w:rPr>
                <w:noProof/>
                <w:webHidden/>
                <w:sz w:val="22"/>
                <w:szCs w:val="22"/>
              </w:rPr>
              <w:fldChar w:fldCharType="end"/>
            </w:r>
          </w:hyperlink>
        </w:p>
        <w:p w14:paraId="79753775"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50" w:history="1">
            <w:r w:rsidR="00B632BD" w:rsidRPr="00B632BD">
              <w:rPr>
                <w:rStyle w:val="Hipervnculo"/>
                <w:rFonts w:ascii="Palatino Linotype" w:hAnsi="Palatino Linotype"/>
                <w:noProof/>
                <w:sz w:val="22"/>
                <w:szCs w:val="22"/>
                <w:lang w:val="es-ES"/>
              </w:rPr>
              <w:t>QUINTO. Estudio de Fondo</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_Toc225435450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11</w:t>
            </w:r>
            <w:r w:rsidR="00B632BD" w:rsidRPr="00B632BD">
              <w:rPr>
                <w:noProof/>
                <w:webHidden/>
                <w:sz w:val="22"/>
                <w:szCs w:val="22"/>
              </w:rPr>
              <w:fldChar w:fldCharType="end"/>
            </w:r>
          </w:hyperlink>
        </w:p>
        <w:p w14:paraId="20DD7386" w14:textId="77777777" w:rsidR="00B632BD" w:rsidRPr="00B632BD" w:rsidRDefault="004326F3">
          <w:pPr>
            <w:pStyle w:val="TDC2"/>
            <w:tabs>
              <w:tab w:val="right" w:leader="dot" w:pos="8921"/>
            </w:tabs>
            <w:rPr>
              <w:rFonts w:asciiTheme="minorHAnsi" w:eastAsiaTheme="minorEastAsia" w:hAnsiTheme="minorHAnsi" w:cstheme="minorBidi"/>
              <w:noProof/>
              <w:sz w:val="22"/>
              <w:szCs w:val="22"/>
              <w:lang w:eastAsia="es-MX"/>
            </w:rPr>
          </w:pPr>
          <w:hyperlink w:anchor="_Toc225435451" w:history="1">
            <w:r w:rsidR="00B632BD" w:rsidRPr="00B632BD">
              <w:rPr>
                <w:rStyle w:val="Hipervnculo"/>
                <w:rFonts w:ascii="Palatino Linotype" w:eastAsia="Calibri" w:hAnsi="Palatino Linotype"/>
                <w:noProof/>
                <w:sz w:val="22"/>
                <w:szCs w:val="22"/>
              </w:rPr>
              <w:t>SEXTO. Decisión.</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_Toc225435451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22</w:t>
            </w:r>
            <w:r w:rsidR="00B632BD" w:rsidRPr="00B632BD">
              <w:rPr>
                <w:noProof/>
                <w:webHidden/>
                <w:sz w:val="22"/>
                <w:szCs w:val="22"/>
              </w:rPr>
              <w:fldChar w:fldCharType="end"/>
            </w:r>
          </w:hyperlink>
        </w:p>
        <w:p w14:paraId="6AA5A46F" w14:textId="77777777" w:rsidR="00B632BD" w:rsidRPr="00B632BD" w:rsidRDefault="004326F3">
          <w:pPr>
            <w:pStyle w:val="TDC1"/>
            <w:rPr>
              <w:rFonts w:asciiTheme="minorHAnsi" w:eastAsiaTheme="minorEastAsia" w:hAnsiTheme="minorHAnsi" w:cstheme="minorBidi"/>
              <w:noProof/>
              <w:sz w:val="22"/>
              <w:szCs w:val="22"/>
              <w:lang w:eastAsia="es-MX"/>
            </w:rPr>
          </w:pPr>
          <w:hyperlink w:anchor="_Toc225435452" w:history="1">
            <w:r w:rsidR="00B632BD" w:rsidRPr="00B632BD">
              <w:rPr>
                <w:rStyle w:val="Hipervnculo"/>
                <w:rFonts w:ascii="Palatino Linotype" w:eastAsia="Calibri" w:hAnsi="Palatino Linotype"/>
                <w:noProof/>
                <w:sz w:val="22"/>
                <w:szCs w:val="22"/>
              </w:rPr>
              <w:t>R E S U E L V E:</w:t>
            </w:r>
            <w:r w:rsidR="00B632BD" w:rsidRPr="00B632BD">
              <w:rPr>
                <w:noProof/>
                <w:webHidden/>
                <w:sz w:val="22"/>
                <w:szCs w:val="22"/>
              </w:rPr>
              <w:tab/>
            </w:r>
            <w:r w:rsidR="00B632BD" w:rsidRPr="00B632BD">
              <w:rPr>
                <w:noProof/>
                <w:webHidden/>
                <w:sz w:val="22"/>
                <w:szCs w:val="22"/>
              </w:rPr>
              <w:fldChar w:fldCharType="begin"/>
            </w:r>
            <w:r w:rsidR="00B632BD" w:rsidRPr="00B632BD">
              <w:rPr>
                <w:noProof/>
                <w:webHidden/>
                <w:sz w:val="22"/>
                <w:szCs w:val="22"/>
              </w:rPr>
              <w:instrText xml:space="preserve"> PAGEREF _Toc225435452 \h </w:instrText>
            </w:r>
            <w:r w:rsidR="00B632BD" w:rsidRPr="00B632BD">
              <w:rPr>
                <w:noProof/>
                <w:webHidden/>
                <w:sz w:val="22"/>
                <w:szCs w:val="22"/>
              </w:rPr>
            </w:r>
            <w:r w:rsidR="00B632BD" w:rsidRPr="00B632BD">
              <w:rPr>
                <w:noProof/>
                <w:webHidden/>
                <w:sz w:val="22"/>
                <w:szCs w:val="22"/>
              </w:rPr>
              <w:fldChar w:fldCharType="separate"/>
            </w:r>
            <w:r w:rsidR="00C63797">
              <w:rPr>
                <w:noProof/>
                <w:webHidden/>
                <w:sz w:val="22"/>
                <w:szCs w:val="22"/>
              </w:rPr>
              <w:t>23</w:t>
            </w:r>
            <w:r w:rsidR="00B632BD" w:rsidRPr="00B632BD">
              <w:rPr>
                <w:noProof/>
                <w:webHidden/>
                <w:sz w:val="22"/>
                <w:szCs w:val="22"/>
              </w:rPr>
              <w:fldChar w:fldCharType="end"/>
            </w:r>
          </w:hyperlink>
        </w:p>
        <w:p w14:paraId="06421401" w14:textId="04CC4596" w:rsidR="00773FA5" w:rsidRDefault="00773FA5">
          <w:r w:rsidRPr="00B632BD">
            <w:rPr>
              <w:bCs/>
              <w:lang w:val="es-ES"/>
            </w:rPr>
            <w:fldChar w:fldCharType="end"/>
          </w:r>
        </w:p>
      </w:sdtContent>
    </w:sdt>
    <w:p w14:paraId="41C6293D" w14:textId="77777777" w:rsidR="00773FA5" w:rsidRDefault="00773FA5" w:rsidP="00147554">
      <w:pPr>
        <w:tabs>
          <w:tab w:val="left" w:pos="8931"/>
        </w:tabs>
        <w:spacing w:after="0" w:line="360" w:lineRule="auto"/>
        <w:contextualSpacing/>
        <w:rPr>
          <w:rFonts w:cs="Tahoma"/>
          <w:bCs/>
          <w:color w:val="FF0000"/>
        </w:rPr>
      </w:pPr>
    </w:p>
    <w:p w14:paraId="6A28DDD4" w14:textId="77777777" w:rsidR="00773FA5" w:rsidRDefault="00773FA5" w:rsidP="00147554">
      <w:pPr>
        <w:tabs>
          <w:tab w:val="left" w:pos="8931"/>
        </w:tabs>
        <w:spacing w:after="0" w:line="360" w:lineRule="auto"/>
        <w:contextualSpacing/>
        <w:rPr>
          <w:rFonts w:cs="Tahoma"/>
          <w:bCs/>
          <w:color w:val="FF0000"/>
        </w:rPr>
      </w:pPr>
    </w:p>
    <w:p w14:paraId="3CD2F199" w14:textId="77777777" w:rsidR="00773FA5" w:rsidRDefault="00773FA5" w:rsidP="00147554">
      <w:pPr>
        <w:tabs>
          <w:tab w:val="left" w:pos="8931"/>
        </w:tabs>
        <w:spacing w:after="0" w:line="360" w:lineRule="auto"/>
        <w:contextualSpacing/>
        <w:rPr>
          <w:rFonts w:cs="Tahoma"/>
          <w:bCs/>
          <w:color w:val="FF0000"/>
        </w:rPr>
      </w:pPr>
    </w:p>
    <w:p w14:paraId="038B3D6C" w14:textId="77777777" w:rsidR="00773FA5" w:rsidRDefault="00773FA5" w:rsidP="00147554">
      <w:pPr>
        <w:tabs>
          <w:tab w:val="left" w:pos="8931"/>
        </w:tabs>
        <w:spacing w:after="0" w:line="360" w:lineRule="auto"/>
        <w:contextualSpacing/>
        <w:rPr>
          <w:rFonts w:cs="Tahoma"/>
          <w:bCs/>
          <w:color w:val="FF0000"/>
        </w:rPr>
      </w:pPr>
    </w:p>
    <w:p w14:paraId="0FC00C9D" w14:textId="77777777" w:rsidR="00773FA5" w:rsidRDefault="00773FA5" w:rsidP="00147554">
      <w:pPr>
        <w:tabs>
          <w:tab w:val="left" w:pos="8931"/>
        </w:tabs>
        <w:spacing w:after="0" w:line="360" w:lineRule="auto"/>
        <w:contextualSpacing/>
        <w:rPr>
          <w:rFonts w:cs="Tahoma"/>
          <w:bCs/>
          <w:color w:val="FF0000"/>
        </w:rPr>
      </w:pPr>
    </w:p>
    <w:p w14:paraId="55B0953C" w14:textId="77777777" w:rsidR="00773FA5" w:rsidRDefault="00773FA5" w:rsidP="00147554">
      <w:pPr>
        <w:tabs>
          <w:tab w:val="left" w:pos="8931"/>
        </w:tabs>
        <w:spacing w:after="0" w:line="360" w:lineRule="auto"/>
        <w:contextualSpacing/>
        <w:rPr>
          <w:rFonts w:cs="Tahoma"/>
          <w:bCs/>
          <w:color w:val="FF0000"/>
        </w:rPr>
      </w:pPr>
    </w:p>
    <w:p w14:paraId="725A1375" w14:textId="77777777" w:rsidR="00773FA5" w:rsidRDefault="00773FA5" w:rsidP="00147554">
      <w:pPr>
        <w:tabs>
          <w:tab w:val="left" w:pos="8931"/>
        </w:tabs>
        <w:spacing w:after="0" w:line="360" w:lineRule="auto"/>
        <w:contextualSpacing/>
        <w:rPr>
          <w:rFonts w:cs="Tahoma"/>
          <w:bCs/>
          <w:color w:val="FF0000"/>
        </w:rPr>
      </w:pPr>
    </w:p>
    <w:p w14:paraId="7BC19B26" w14:textId="77777777" w:rsidR="004C1DB3" w:rsidRPr="008D0189" w:rsidRDefault="004C1DB3" w:rsidP="00147554">
      <w:pPr>
        <w:tabs>
          <w:tab w:val="left" w:pos="8931"/>
        </w:tabs>
        <w:spacing w:after="0" w:line="360" w:lineRule="auto"/>
        <w:contextualSpacing/>
        <w:rPr>
          <w:rFonts w:cs="Tahoma"/>
          <w:bCs/>
          <w:color w:val="auto"/>
        </w:rPr>
      </w:pPr>
    </w:p>
    <w:p w14:paraId="3530C0FA" w14:textId="62AE7D2B" w:rsidR="00DB3DC5" w:rsidRPr="008D0189" w:rsidRDefault="00DB3DC5" w:rsidP="00147554">
      <w:pPr>
        <w:tabs>
          <w:tab w:val="left" w:pos="8931"/>
        </w:tabs>
        <w:spacing w:after="0" w:line="360" w:lineRule="auto"/>
        <w:contextualSpacing/>
        <w:rPr>
          <w:rFonts w:eastAsia="Calibri" w:cs="Tahoma"/>
          <w:color w:val="auto"/>
          <w:lang w:val="es-ES"/>
        </w:rPr>
      </w:pPr>
      <w:r w:rsidRPr="008D0189">
        <w:rPr>
          <w:rFonts w:cs="Tahoma"/>
          <w:bCs/>
          <w:color w:val="auto"/>
        </w:rPr>
        <w:t xml:space="preserve">Resolución del Pleno del Instituto de Transparencia, Acceso a la Información Pública y Protección de Datos Personales del Estado de México y Municipios, con domicilio en Metepec, </w:t>
      </w:r>
      <w:r w:rsidRPr="008D0189">
        <w:rPr>
          <w:rFonts w:eastAsia="Calibri" w:cs="Tahoma"/>
          <w:color w:val="auto"/>
          <w:lang w:val="es-ES"/>
        </w:rPr>
        <w:t xml:space="preserve">Estado de México, de fecha </w:t>
      </w:r>
      <w:r w:rsidR="002D3E65">
        <w:rPr>
          <w:rFonts w:eastAsia="Calibri" w:cs="Tahoma"/>
          <w:color w:val="auto"/>
          <w:lang w:val="es-ES"/>
        </w:rPr>
        <w:t>veinticinco de marzo de dos mil veintiséis</w:t>
      </w:r>
      <w:r w:rsidR="008E279B" w:rsidRPr="008D0189">
        <w:rPr>
          <w:rFonts w:eastAsia="Calibri" w:cs="Tahoma"/>
          <w:color w:val="auto"/>
          <w:lang w:val="es-ES"/>
        </w:rPr>
        <w:t>.</w:t>
      </w:r>
      <w:r w:rsidRPr="008D0189">
        <w:rPr>
          <w:rFonts w:eastAsia="Calibri" w:cs="Tahoma"/>
          <w:color w:val="auto"/>
          <w:lang w:val="es-ES"/>
        </w:rPr>
        <w:t xml:space="preserve"> </w:t>
      </w:r>
    </w:p>
    <w:p w14:paraId="2A681408" w14:textId="1CE12C44" w:rsidR="00DB3DC5" w:rsidRPr="008D0189" w:rsidRDefault="00455DCB" w:rsidP="00147554">
      <w:pPr>
        <w:tabs>
          <w:tab w:val="left" w:pos="2340"/>
        </w:tabs>
        <w:spacing w:after="0" w:line="360" w:lineRule="auto"/>
        <w:contextualSpacing/>
        <w:rPr>
          <w:rFonts w:eastAsia="Calibri" w:cs="Tahoma"/>
          <w:b/>
          <w:bCs/>
          <w:color w:val="FF0000"/>
          <w:lang w:val="es-ES"/>
        </w:rPr>
      </w:pPr>
      <w:r w:rsidRPr="008D0189">
        <w:rPr>
          <w:rFonts w:eastAsia="Calibri" w:cs="Tahoma"/>
          <w:b/>
          <w:bCs/>
          <w:color w:val="FF0000"/>
          <w:lang w:val="es-ES"/>
        </w:rPr>
        <w:tab/>
      </w:r>
    </w:p>
    <w:p w14:paraId="75D54F3E" w14:textId="007FE581" w:rsidR="00DB3DC5" w:rsidRPr="00C603CC" w:rsidRDefault="00DB3DC5" w:rsidP="00147554">
      <w:pPr>
        <w:spacing w:after="0" w:line="360" w:lineRule="auto"/>
        <w:contextualSpacing/>
        <w:rPr>
          <w:rFonts w:eastAsia="Calibri" w:cs="Tahoma"/>
          <w:color w:val="auto"/>
        </w:rPr>
      </w:pPr>
      <w:r w:rsidRPr="008D0189">
        <w:rPr>
          <w:rFonts w:eastAsia="Calibri" w:cs="Tahoma"/>
          <w:b/>
          <w:bCs/>
          <w:color w:val="auto"/>
          <w:lang w:val="es-ES"/>
        </w:rPr>
        <w:t xml:space="preserve">VISTO </w:t>
      </w:r>
      <w:r w:rsidRPr="008D0189">
        <w:rPr>
          <w:rFonts w:eastAsia="Calibri" w:cs="Tahoma"/>
          <w:color w:val="auto"/>
          <w:lang w:val="es-ES"/>
        </w:rPr>
        <w:t>el expediente electrónico conformado con motivo d</w:t>
      </w:r>
      <w:r w:rsidR="00087796" w:rsidRPr="008D0189">
        <w:rPr>
          <w:rFonts w:eastAsia="Calibri" w:cs="Tahoma"/>
          <w:color w:val="auto"/>
          <w:lang w:val="es-ES"/>
        </w:rPr>
        <w:t>el</w:t>
      </w:r>
      <w:r w:rsidRPr="008D0189">
        <w:rPr>
          <w:rFonts w:eastAsia="Calibri" w:cs="Tahoma"/>
          <w:color w:val="auto"/>
          <w:lang w:val="es-ES"/>
        </w:rPr>
        <w:t xml:space="preserve"> Recurso de Revisión </w:t>
      </w:r>
      <w:r w:rsidR="009816A7" w:rsidRPr="00FC3BE5">
        <w:rPr>
          <w:rFonts w:eastAsia="Calibri" w:cs="Tahoma"/>
          <w:b/>
        </w:rPr>
        <w:t>0</w:t>
      </w:r>
      <w:r w:rsidR="002D3E65" w:rsidRPr="00FC3BE5">
        <w:rPr>
          <w:rFonts w:eastAsia="Calibri" w:cs="Tahoma"/>
          <w:b/>
        </w:rPr>
        <w:t>777</w:t>
      </w:r>
      <w:r w:rsidR="009816A7" w:rsidRPr="00FC3BE5">
        <w:rPr>
          <w:rFonts w:eastAsia="Calibri" w:cs="Tahoma"/>
          <w:b/>
        </w:rPr>
        <w:t>6/INFOEM/IP/RR/2025</w:t>
      </w:r>
      <w:r w:rsidRPr="008D0189">
        <w:rPr>
          <w:rFonts w:eastAsia="Calibri" w:cs="Tahoma"/>
          <w:color w:val="auto"/>
        </w:rPr>
        <w:t>, interpuesto</w:t>
      </w:r>
      <w:r w:rsidR="00C603CC">
        <w:rPr>
          <w:rFonts w:eastAsia="Calibri" w:cs="Tahoma"/>
          <w:color w:val="auto"/>
        </w:rPr>
        <w:t>, l</w:t>
      </w:r>
      <w:r w:rsidR="004E0A7C" w:rsidRPr="008D0189">
        <w:rPr>
          <w:rFonts w:eastAsia="Calibri" w:cs="Tahoma"/>
          <w:color w:val="auto"/>
        </w:rPr>
        <w:t xml:space="preserve">a Persona Recurrente o Particular, </w:t>
      </w:r>
      <w:r w:rsidRPr="008D0189">
        <w:rPr>
          <w:rFonts w:cs="Tahoma"/>
          <w:color w:val="auto"/>
        </w:rPr>
        <w:t xml:space="preserve">en contra de la respuesta del Sujeto Obligado, </w:t>
      </w:r>
      <w:r w:rsidR="003D5AAD" w:rsidRPr="00FC3BE5">
        <w:rPr>
          <w:rFonts w:eastAsia="Calibri" w:cs="Tahoma"/>
          <w:b/>
          <w:color w:val="auto"/>
        </w:rPr>
        <w:t>Ayuntamiento de Toluca</w:t>
      </w:r>
      <w:r w:rsidRPr="008D0189">
        <w:rPr>
          <w:rFonts w:cs="Tahoma"/>
          <w:color w:val="auto"/>
        </w:rPr>
        <w:t xml:space="preserve">, a la solicitud de acceso a la información </w:t>
      </w:r>
      <w:r w:rsidR="002C3558" w:rsidRPr="008D0189">
        <w:rPr>
          <w:rFonts w:cs="Tahoma"/>
          <w:color w:val="auto"/>
        </w:rPr>
        <w:t xml:space="preserve">pública </w:t>
      </w:r>
      <w:r w:rsidR="002D3E65">
        <w:rPr>
          <w:rFonts w:eastAsia="Calibri" w:cs="Tahoma"/>
          <w:color w:val="auto"/>
        </w:rPr>
        <w:t>02824</w:t>
      </w:r>
      <w:r w:rsidR="009816A7" w:rsidRPr="009816A7">
        <w:rPr>
          <w:rFonts w:eastAsia="Calibri" w:cs="Tahoma"/>
          <w:color w:val="auto"/>
        </w:rPr>
        <w:t>/TOLUCA/IP/2025</w:t>
      </w:r>
      <w:r w:rsidR="003D5AAD">
        <w:rPr>
          <w:rFonts w:eastAsia="Calibri" w:cs="Tahoma"/>
          <w:color w:val="auto"/>
        </w:rPr>
        <w:t xml:space="preserve">, </w:t>
      </w:r>
      <w:r w:rsidRPr="008D0189">
        <w:rPr>
          <w:rFonts w:cs="Tahoma"/>
          <w:color w:val="auto"/>
        </w:rPr>
        <w:t>se emite</w:t>
      </w:r>
      <w:r w:rsidRPr="008D0189">
        <w:rPr>
          <w:rFonts w:cs="Tahoma"/>
          <w:bCs/>
          <w:color w:val="auto"/>
        </w:rPr>
        <w:t xml:space="preserve"> la presente Resolución, con base en los Antecedentes y Considerandos que se exponen a continuación:</w:t>
      </w:r>
      <w:r w:rsidR="002D3E65">
        <w:rPr>
          <w:rFonts w:cs="Tahoma"/>
          <w:bCs/>
          <w:color w:val="auto"/>
        </w:rPr>
        <w:t xml:space="preserve"> </w:t>
      </w:r>
    </w:p>
    <w:p w14:paraId="134E03A6" w14:textId="5F6E8CA4" w:rsidR="00DB3DC5" w:rsidRPr="008D0189" w:rsidRDefault="00455DCB" w:rsidP="00147554">
      <w:pPr>
        <w:tabs>
          <w:tab w:val="left" w:pos="1965"/>
        </w:tabs>
        <w:spacing w:after="0" w:line="360" w:lineRule="auto"/>
        <w:contextualSpacing/>
        <w:rPr>
          <w:rFonts w:eastAsia="Calibri" w:cs="Tahoma"/>
          <w:b/>
          <w:bCs/>
          <w:color w:val="FF0000"/>
          <w:lang w:val="es-ES"/>
        </w:rPr>
      </w:pPr>
      <w:r w:rsidRPr="008D0189">
        <w:rPr>
          <w:rFonts w:eastAsia="Calibri" w:cs="Tahoma"/>
          <w:b/>
          <w:bCs/>
          <w:color w:val="FF0000"/>
          <w:lang w:val="es-ES"/>
        </w:rPr>
        <w:tab/>
      </w:r>
    </w:p>
    <w:p w14:paraId="32EEB02D" w14:textId="734C012B" w:rsidR="00DB3DC5" w:rsidRPr="008D0189" w:rsidRDefault="00737CF6" w:rsidP="00147554">
      <w:pPr>
        <w:pStyle w:val="Ttulo1"/>
        <w:spacing w:before="0" w:line="360" w:lineRule="auto"/>
        <w:jc w:val="center"/>
        <w:rPr>
          <w:rFonts w:ascii="Palatino Linotype" w:hAnsi="Palatino Linotype"/>
          <w:b/>
          <w:color w:val="000000" w:themeColor="text1"/>
          <w:sz w:val="22"/>
          <w:szCs w:val="22"/>
        </w:rPr>
      </w:pPr>
      <w:bookmarkStart w:id="0" w:name="_Toc208312892"/>
      <w:bookmarkStart w:id="1" w:name="_Toc225435436"/>
      <w:r w:rsidRPr="008D0189">
        <w:rPr>
          <w:rFonts w:ascii="Palatino Linotype" w:hAnsi="Palatino Linotype"/>
          <w:b/>
          <w:color w:val="000000" w:themeColor="text1"/>
          <w:sz w:val="22"/>
          <w:szCs w:val="22"/>
        </w:rPr>
        <w:t>A N T E C E D E N T E S</w:t>
      </w:r>
      <w:bookmarkEnd w:id="0"/>
      <w:bookmarkEnd w:id="1"/>
    </w:p>
    <w:p w14:paraId="09E98305" w14:textId="77777777" w:rsidR="00DB3DC5" w:rsidRPr="008D0189" w:rsidRDefault="00DB3DC5" w:rsidP="00147554">
      <w:pPr>
        <w:spacing w:after="0" w:line="360" w:lineRule="auto"/>
        <w:contextualSpacing/>
        <w:jc w:val="center"/>
        <w:rPr>
          <w:rFonts w:eastAsia="Calibri" w:cs="Tahoma"/>
          <w:b/>
          <w:bCs/>
          <w:color w:val="auto"/>
          <w:lang w:val="es-ES"/>
        </w:rPr>
      </w:pPr>
    </w:p>
    <w:p w14:paraId="5E541408" w14:textId="7E0BBF99" w:rsidR="00DB3DC5" w:rsidRPr="008D0189" w:rsidRDefault="00DB3DC5" w:rsidP="00147554">
      <w:pPr>
        <w:pStyle w:val="Ttulo2"/>
        <w:spacing w:before="0" w:line="360" w:lineRule="auto"/>
        <w:rPr>
          <w:rFonts w:ascii="Palatino Linotype" w:eastAsia="Calibri" w:hAnsi="Palatino Linotype"/>
          <w:b/>
          <w:color w:val="000000" w:themeColor="text1"/>
          <w:sz w:val="22"/>
          <w:szCs w:val="22"/>
          <w:lang w:val="es-ES"/>
        </w:rPr>
      </w:pPr>
      <w:bookmarkStart w:id="2" w:name="_Toc208312893"/>
      <w:bookmarkStart w:id="3" w:name="_Toc225435437"/>
      <w:r w:rsidRPr="008D0189">
        <w:rPr>
          <w:rFonts w:ascii="Palatino Linotype" w:eastAsia="Calibri" w:hAnsi="Palatino Linotype"/>
          <w:b/>
          <w:color w:val="000000" w:themeColor="text1"/>
          <w:sz w:val="22"/>
          <w:szCs w:val="22"/>
          <w:lang w:val="es-ES"/>
        </w:rPr>
        <w:t>I. Presentación</w:t>
      </w:r>
      <w:r w:rsidR="00737CF6" w:rsidRPr="008D0189">
        <w:rPr>
          <w:rFonts w:ascii="Palatino Linotype" w:eastAsia="Calibri" w:hAnsi="Palatino Linotype"/>
          <w:b/>
          <w:color w:val="000000" w:themeColor="text1"/>
          <w:sz w:val="22"/>
          <w:szCs w:val="22"/>
          <w:lang w:val="es-ES"/>
        </w:rPr>
        <w:t xml:space="preserve"> de la solicitud de información</w:t>
      </w:r>
      <w:bookmarkEnd w:id="2"/>
      <w:bookmarkEnd w:id="3"/>
    </w:p>
    <w:p w14:paraId="5A91601B" w14:textId="77777777" w:rsidR="00DB3DC5" w:rsidRPr="008D0189" w:rsidRDefault="00DB3DC5" w:rsidP="00147554">
      <w:pPr>
        <w:spacing w:after="0" w:line="360" w:lineRule="auto"/>
        <w:contextualSpacing/>
        <w:rPr>
          <w:rFonts w:eastAsia="Calibri" w:cs="Tahoma"/>
          <w:b/>
          <w:bCs/>
          <w:color w:val="auto"/>
          <w:lang w:val="es-ES"/>
        </w:rPr>
      </w:pPr>
    </w:p>
    <w:p w14:paraId="1620C68D" w14:textId="557E0D71" w:rsidR="00DB3DC5" w:rsidRPr="008D0189" w:rsidRDefault="00DB3DC5" w:rsidP="00147554">
      <w:pPr>
        <w:spacing w:after="0" w:line="360" w:lineRule="auto"/>
        <w:contextualSpacing/>
        <w:rPr>
          <w:rFonts w:cs="Tahoma"/>
          <w:color w:val="auto"/>
        </w:rPr>
      </w:pPr>
      <w:r w:rsidRPr="008D0189">
        <w:rPr>
          <w:rFonts w:eastAsia="Calibri" w:cs="Tahoma"/>
          <w:color w:val="auto"/>
          <w:lang w:val="es-ES"/>
        </w:rPr>
        <w:t xml:space="preserve">Con fecha </w:t>
      </w:r>
      <w:r w:rsidR="002D3E65">
        <w:rPr>
          <w:rFonts w:eastAsia="Calibri" w:cs="Tahoma"/>
          <w:color w:val="auto"/>
          <w:lang w:val="es-ES"/>
        </w:rPr>
        <w:t>quince de mayo</w:t>
      </w:r>
      <w:r w:rsidR="00DF5FF7">
        <w:rPr>
          <w:rFonts w:eastAsia="Calibri" w:cs="Tahoma"/>
          <w:color w:val="auto"/>
          <w:lang w:val="es-ES"/>
        </w:rPr>
        <w:t xml:space="preserve"> de dos mil veinticinco </w:t>
      </w:r>
      <w:r w:rsidR="003D5AAD">
        <w:rPr>
          <w:rFonts w:eastAsia="Calibri" w:cs="Tahoma"/>
          <w:color w:val="auto"/>
          <w:lang w:val="es-ES"/>
        </w:rPr>
        <w:t>la persona s</w:t>
      </w:r>
      <w:r w:rsidR="0046538F" w:rsidRPr="008D0189">
        <w:rPr>
          <w:rFonts w:eastAsia="Calibri" w:cs="Tahoma"/>
          <w:color w:val="auto"/>
          <w:lang w:val="es-ES"/>
        </w:rPr>
        <w:t>olicitante</w:t>
      </w:r>
      <w:r w:rsidRPr="008D0189">
        <w:rPr>
          <w:rFonts w:eastAsia="Calibri" w:cs="Tahoma"/>
          <w:color w:val="auto"/>
          <w:lang w:val="es-ES"/>
        </w:rPr>
        <w:t xml:space="preserve"> presentó </w:t>
      </w:r>
      <w:r w:rsidR="0046538F" w:rsidRPr="008D0189">
        <w:rPr>
          <w:rFonts w:eastAsia="Calibri" w:cs="Tahoma"/>
          <w:color w:val="auto"/>
          <w:lang w:val="es-ES"/>
        </w:rPr>
        <w:t>un requerimiento</w:t>
      </w:r>
      <w:r w:rsidR="00087796" w:rsidRPr="008D0189">
        <w:rPr>
          <w:rFonts w:eastAsia="Calibri" w:cs="Tahoma"/>
          <w:color w:val="auto"/>
          <w:lang w:val="es-ES"/>
        </w:rPr>
        <w:t xml:space="preserve"> </w:t>
      </w:r>
      <w:r w:rsidRPr="008D0189">
        <w:rPr>
          <w:rFonts w:eastAsia="Calibri" w:cs="Tahoma"/>
          <w:color w:val="auto"/>
          <w:lang w:val="es-ES"/>
        </w:rPr>
        <w:t xml:space="preserve">de acceso a la información, a través del Sistema de Acceso a la Información Mexiquense (SAIMEX), ante </w:t>
      </w:r>
      <w:r w:rsidR="001303D6" w:rsidRPr="008D0189">
        <w:rPr>
          <w:rFonts w:eastAsia="Calibri" w:cs="Tahoma"/>
          <w:color w:val="auto"/>
          <w:lang w:val="es-ES"/>
        </w:rPr>
        <w:t xml:space="preserve">el </w:t>
      </w:r>
      <w:r w:rsidR="00E015E7" w:rsidRPr="008D0189">
        <w:rPr>
          <w:rFonts w:eastAsia="Calibri" w:cs="Tahoma"/>
          <w:color w:val="auto"/>
        </w:rPr>
        <w:t xml:space="preserve">Ayuntamiento de </w:t>
      </w:r>
      <w:r w:rsidR="003D5AAD">
        <w:rPr>
          <w:rFonts w:eastAsia="Calibri" w:cs="Tahoma"/>
          <w:color w:val="auto"/>
        </w:rPr>
        <w:t>Toluca</w:t>
      </w:r>
      <w:r w:rsidRPr="008D0189">
        <w:rPr>
          <w:rFonts w:eastAsia="Calibri" w:cs="Times New Roman"/>
          <w:color w:val="auto"/>
        </w:rPr>
        <w:t>,</w:t>
      </w:r>
      <w:r w:rsidRPr="008D0189">
        <w:rPr>
          <w:rFonts w:eastAsia="Calibri" w:cs="Times New Roman"/>
          <w:b/>
          <w:color w:val="auto"/>
        </w:rPr>
        <w:t xml:space="preserve"> </w:t>
      </w:r>
      <w:r w:rsidRPr="008D0189">
        <w:rPr>
          <w:rFonts w:cs="Tahoma"/>
          <w:color w:val="auto"/>
        </w:rPr>
        <w:t>en los siguientes términos:</w:t>
      </w:r>
    </w:p>
    <w:p w14:paraId="143ECF6C" w14:textId="0F6230CE" w:rsidR="00345BB5" w:rsidRPr="008D0189" w:rsidRDefault="00345BB5" w:rsidP="00147554">
      <w:pPr>
        <w:tabs>
          <w:tab w:val="left" w:pos="4667"/>
        </w:tabs>
        <w:spacing w:after="0" w:line="360" w:lineRule="auto"/>
        <w:ind w:right="567"/>
        <w:contextualSpacing/>
        <w:rPr>
          <w:rFonts w:cs="Tahoma"/>
          <w:b/>
          <w:bCs/>
          <w:i/>
          <w:color w:val="FF0000"/>
        </w:rPr>
      </w:pPr>
    </w:p>
    <w:p w14:paraId="12CAD14F" w14:textId="77777777" w:rsidR="006A54BB" w:rsidRPr="008D0189" w:rsidRDefault="00087796" w:rsidP="00147554">
      <w:pPr>
        <w:spacing w:after="0" w:line="360" w:lineRule="auto"/>
        <w:ind w:left="567" w:right="567"/>
        <w:contextualSpacing/>
        <w:rPr>
          <w:rFonts w:eastAsia="Times New Roman" w:cs="Arial"/>
          <w:b/>
          <w:bCs/>
          <w:i/>
          <w:iCs/>
          <w:color w:val="auto"/>
          <w:sz w:val="20"/>
          <w:lang w:eastAsia="es-ES"/>
        </w:rPr>
      </w:pPr>
      <w:r w:rsidRPr="008D0189">
        <w:rPr>
          <w:rFonts w:eastAsia="Times New Roman" w:cs="Arial"/>
          <w:b/>
          <w:bCs/>
          <w:i/>
          <w:iCs/>
          <w:color w:val="auto"/>
          <w:sz w:val="20"/>
          <w:lang w:eastAsia="es-ES"/>
        </w:rPr>
        <w:t>“DESCRIPCIÓN CLARA Y PRECISA DE LA INFORMACIÓN SOLICITADA.</w:t>
      </w:r>
    </w:p>
    <w:p w14:paraId="5D13BEEC" w14:textId="6AABB07B" w:rsidR="00087796" w:rsidRPr="008D0189" w:rsidRDefault="002D3E65" w:rsidP="00147554">
      <w:pPr>
        <w:spacing w:after="0" w:line="360" w:lineRule="auto"/>
        <w:ind w:left="567" w:right="567"/>
        <w:contextualSpacing/>
        <w:rPr>
          <w:rFonts w:eastAsia="Times New Roman" w:cs="Arial"/>
          <w:b/>
          <w:bCs/>
          <w:i/>
          <w:iCs/>
          <w:color w:val="auto"/>
          <w:sz w:val="20"/>
          <w:lang w:eastAsia="es-ES"/>
        </w:rPr>
      </w:pPr>
      <w:r w:rsidRPr="002D3E65">
        <w:rPr>
          <w:rFonts w:eastAsia="Times New Roman" w:cs="Arial"/>
          <w:bCs/>
          <w:i/>
          <w:iCs/>
          <w:color w:val="auto"/>
          <w:sz w:val="20"/>
          <w:lang w:eastAsia="es-ES"/>
        </w:rPr>
        <w:t>PROGRAMA ANUAL DE COMUNICIACIÓN SOCIAL, CONVENIOS O CONTRATOS CON TELEVISORAS, RADIO Y OTROS MEDIOS DE COMUNICIACIÓN, EL PRESUPUETO ASIGNADO Y EJERICDO EL AVANCE DEL PROGRAMA DE COMUNCIAICIÓN SOCIAL. DE LA ADMINISTRACIÓN ACTUAL</w:t>
      </w:r>
      <w:r w:rsidR="001303D6" w:rsidRPr="008D0189">
        <w:rPr>
          <w:rFonts w:eastAsia="Times New Roman" w:cs="Arial"/>
          <w:bCs/>
          <w:i/>
          <w:iCs/>
          <w:color w:val="auto"/>
          <w:sz w:val="20"/>
          <w:lang w:eastAsia="es-ES"/>
        </w:rPr>
        <w:t>”</w:t>
      </w:r>
      <w:r w:rsidR="00E015E7" w:rsidRPr="008D0189">
        <w:rPr>
          <w:rFonts w:eastAsia="Times New Roman" w:cs="Arial"/>
          <w:bCs/>
          <w:i/>
          <w:iCs/>
          <w:color w:val="auto"/>
          <w:sz w:val="20"/>
          <w:lang w:eastAsia="es-ES"/>
        </w:rPr>
        <w:t xml:space="preserve"> (Sic.)</w:t>
      </w:r>
    </w:p>
    <w:p w14:paraId="2EDD6100" w14:textId="6FE1F0B2" w:rsidR="006E7A45" w:rsidRPr="008D0189" w:rsidRDefault="006E7A45" w:rsidP="00147554">
      <w:pPr>
        <w:spacing w:after="0" w:line="360" w:lineRule="auto"/>
        <w:ind w:right="567"/>
        <w:contextualSpacing/>
        <w:rPr>
          <w:rFonts w:eastAsia="Times New Roman" w:cs="Arial"/>
          <w:bCs/>
          <w:i/>
          <w:iCs/>
          <w:color w:val="auto"/>
          <w:sz w:val="20"/>
          <w:lang w:eastAsia="es-ES"/>
        </w:rPr>
      </w:pPr>
    </w:p>
    <w:p w14:paraId="115716E2" w14:textId="77777777" w:rsidR="00087796" w:rsidRPr="008D0189" w:rsidRDefault="00087796" w:rsidP="00147554">
      <w:pPr>
        <w:spacing w:after="0" w:line="360" w:lineRule="auto"/>
        <w:ind w:left="567" w:right="567"/>
        <w:contextualSpacing/>
        <w:rPr>
          <w:rFonts w:eastAsia="Times New Roman" w:cs="Arial"/>
          <w:b/>
          <w:bCs/>
          <w:i/>
          <w:iCs/>
          <w:color w:val="auto"/>
          <w:sz w:val="20"/>
          <w:lang w:eastAsia="es-ES"/>
        </w:rPr>
      </w:pPr>
      <w:r w:rsidRPr="008D0189">
        <w:rPr>
          <w:rFonts w:eastAsia="Times New Roman" w:cs="Arial"/>
          <w:b/>
          <w:bCs/>
          <w:i/>
          <w:iCs/>
          <w:color w:val="auto"/>
          <w:sz w:val="20"/>
          <w:lang w:eastAsia="es-ES"/>
        </w:rPr>
        <w:t>“MODALIDAD DE ENTREGA</w:t>
      </w:r>
    </w:p>
    <w:p w14:paraId="51EFACDE" w14:textId="3DDF5A09" w:rsidR="004E0A7C" w:rsidRPr="008D0189" w:rsidRDefault="00087796" w:rsidP="00147554">
      <w:pPr>
        <w:spacing w:after="0" w:line="360" w:lineRule="auto"/>
        <w:ind w:left="567" w:right="567"/>
        <w:contextualSpacing/>
        <w:rPr>
          <w:rFonts w:eastAsia="Times New Roman" w:cs="Arial"/>
          <w:bCs/>
          <w:i/>
          <w:iCs/>
          <w:color w:val="auto"/>
          <w:sz w:val="20"/>
          <w:lang w:eastAsia="es-ES"/>
        </w:rPr>
      </w:pPr>
      <w:r w:rsidRPr="008D0189">
        <w:rPr>
          <w:rFonts w:eastAsia="Times New Roman" w:cs="Arial"/>
          <w:bCs/>
          <w:i/>
          <w:iCs/>
          <w:color w:val="auto"/>
          <w:sz w:val="20"/>
          <w:lang w:eastAsia="es-ES"/>
        </w:rPr>
        <w:t>A través del SAIMEX”</w:t>
      </w:r>
    </w:p>
    <w:p w14:paraId="045ED7BB" w14:textId="77777777" w:rsidR="00C63772" w:rsidRDefault="00C63772" w:rsidP="00147554">
      <w:pPr>
        <w:spacing w:after="0" w:line="360" w:lineRule="auto"/>
        <w:ind w:right="567"/>
        <w:contextualSpacing/>
        <w:rPr>
          <w:rFonts w:eastAsia="Times New Roman" w:cs="Arial"/>
          <w:bCs/>
          <w:i/>
          <w:iCs/>
          <w:color w:val="auto"/>
          <w:sz w:val="20"/>
          <w:lang w:eastAsia="es-ES"/>
        </w:rPr>
      </w:pPr>
    </w:p>
    <w:p w14:paraId="6BDD54F7" w14:textId="6D69D6F2" w:rsidR="00345BB5" w:rsidRPr="008D0189" w:rsidRDefault="00DB3DC5" w:rsidP="00147554">
      <w:pPr>
        <w:pStyle w:val="Ttulo2"/>
        <w:spacing w:before="0" w:line="360" w:lineRule="auto"/>
        <w:rPr>
          <w:rFonts w:ascii="Palatino Linotype" w:eastAsia="Calibri" w:hAnsi="Palatino Linotype"/>
          <w:b/>
          <w:color w:val="000000" w:themeColor="text1"/>
          <w:sz w:val="22"/>
          <w:szCs w:val="22"/>
        </w:rPr>
      </w:pPr>
      <w:bookmarkStart w:id="4" w:name="_Toc208312894"/>
      <w:bookmarkStart w:id="5" w:name="_Toc225435438"/>
      <w:r w:rsidRPr="008D0189">
        <w:rPr>
          <w:rFonts w:ascii="Palatino Linotype" w:eastAsia="Calibri" w:hAnsi="Palatino Linotype"/>
          <w:b/>
          <w:color w:val="000000" w:themeColor="text1"/>
          <w:sz w:val="22"/>
          <w:szCs w:val="22"/>
        </w:rPr>
        <w:t>II. Respuesta</w:t>
      </w:r>
      <w:r w:rsidR="00076681" w:rsidRPr="008D0189">
        <w:rPr>
          <w:rFonts w:ascii="Palatino Linotype" w:eastAsia="Calibri" w:hAnsi="Palatino Linotype"/>
          <w:b/>
          <w:color w:val="000000" w:themeColor="text1"/>
          <w:sz w:val="22"/>
          <w:szCs w:val="22"/>
        </w:rPr>
        <w:t xml:space="preserve"> del Sujeto Obligado</w:t>
      </w:r>
      <w:bookmarkEnd w:id="4"/>
      <w:bookmarkEnd w:id="5"/>
    </w:p>
    <w:p w14:paraId="1067FFA6" w14:textId="77777777" w:rsidR="001303D6" w:rsidRPr="008D0189" w:rsidRDefault="001303D6" w:rsidP="00147554">
      <w:pPr>
        <w:spacing w:after="0" w:line="360" w:lineRule="auto"/>
      </w:pPr>
    </w:p>
    <w:p w14:paraId="73A0D7D8" w14:textId="136F56F3" w:rsidR="006A54BB" w:rsidRDefault="00C603CC" w:rsidP="00147554">
      <w:pPr>
        <w:spacing w:after="0" w:line="360" w:lineRule="auto"/>
      </w:pPr>
      <w:r>
        <w:t xml:space="preserve">En fecha </w:t>
      </w:r>
      <w:r w:rsidR="002D3E65">
        <w:t>cuatro de junio</w:t>
      </w:r>
      <w:r w:rsidR="006A54BB" w:rsidRPr="008D0189">
        <w:t xml:space="preserve"> de dos mil veinticinco el Sujeto Obligado notifico</w:t>
      </w:r>
      <w:r w:rsidR="002D3E65">
        <w:t>, a</w:t>
      </w:r>
      <w:r w:rsidR="006A54BB" w:rsidRPr="008D0189">
        <w:t xml:space="preserve"> través del Sistema de Acceso a la Información Mexique</w:t>
      </w:r>
      <w:r w:rsidR="003D5AAD">
        <w:t>nse (SAIMEX), la respuesta a la solicitud</w:t>
      </w:r>
      <w:r w:rsidR="006A54BB" w:rsidRPr="008D0189">
        <w:t xml:space="preserve"> de acceso a la infor</w:t>
      </w:r>
      <w:r w:rsidR="00E015E7" w:rsidRPr="008D0189">
        <w:t xml:space="preserve">mación pública, </w:t>
      </w:r>
      <w:r w:rsidR="003D5AAD">
        <w:t>en los siguientes términos:</w:t>
      </w:r>
    </w:p>
    <w:p w14:paraId="600BAAD0" w14:textId="77777777" w:rsidR="00C36FC5" w:rsidRPr="008D0189" w:rsidRDefault="00C36FC5" w:rsidP="00147554">
      <w:pPr>
        <w:spacing w:after="0" w:line="360" w:lineRule="auto"/>
      </w:pPr>
    </w:p>
    <w:p w14:paraId="1C5FECAD" w14:textId="106FB278" w:rsidR="00C36FC5" w:rsidRDefault="008570E3" w:rsidP="00147554">
      <w:pPr>
        <w:spacing w:after="0" w:line="360" w:lineRule="auto"/>
      </w:pPr>
      <w:r>
        <w:t xml:space="preserve">i) </w:t>
      </w:r>
      <w:r w:rsidR="002D3E65">
        <w:t xml:space="preserve">Oficio </w:t>
      </w:r>
      <w:r w:rsidR="003D5AAD" w:rsidRPr="008D0189">
        <w:t>número</w:t>
      </w:r>
      <w:r w:rsidR="002D3E65">
        <w:t xml:space="preserve"> 202010000/01759/2025</w:t>
      </w:r>
      <w:r w:rsidR="003D5AAD">
        <w:t>,</w:t>
      </w:r>
      <w:r w:rsidR="006A54BB" w:rsidRPr="008D0189">
        <w:t xml:space="preserve"> del </w:t>
      </w:r>
      <w:r w:rsidR="002D3E65">
        <w:t>veintiuno de mayo</w:t>
      </w:r>
      <w:r w:rsidR="00AC22E8">
        <w:t xml:space="preserve"> </w:t>
      </w:r>
      <w:r w:rsidR="006A54BB" w:rsidRPr="008D0189">
        <w:t xml:space="preserve">de dos mil veinticinco, </w:t>
      </w:r>
      <w:r w:rsidR="003D5AAD">
        <w:t xml:space="preserve">suscrito por el </w:t>
      </w:r>
      <w:r w:rsidR="002D3E65">
        <w:t>Tesorero Municipal</w:t>
      </w:r>
      <w:r w:rsidR="00790A2E" w:rsidRPr="008D0189">
        <w:t xml:space="preserve"> y dirigido al </w:t>
      </w:r>
      <w:r w:rsidR="002D3E65">
        <w:t>Titular de la Unidad de Transparencia</w:t>
      </w:r>
      <w:r w:rsidR="00790A2E" w:rsidRPr="008D0189">
        <w:t xml:space="preserve"> mediante el cual </w:t>
      </w:r>
      <w:r w:rsidR="003D5AAD">
        <w:t xml:space="preserve">informa </w:t>
      </w:r>
      <w:r w:rsidR="002D3E65">
        <w:t>lo siguiente:</w:t>
      </w:r>
    </w:p>
    <w:p w14:paraId="1D622040" w14:textId="77777777" w:rsidR="006E7A45" w:rsidRPr="003D5AAD" w:rsidRDefault="006E7A45" w:rsidP="00147554">
      <w:pPr>
        <w:pStyle w:val="Prrafodelista"/>
        <w:spacing w:after="0" w:line="360" w:lineRule="auto"/>
        <w:ind w:left="567"/>
      </w:pPr>
    </w:p>
    <w:p w14:paraId="2955BA00" w14:textId="77777777" w:rsidR="003E32F8" w:rsidRDefault="003E32F8" w:rsidP="00147554">
      <w:pPr>
        <w:tabs>
          <w:tab w:val="left" w:pos="4667"/>
        </w:tabs>
        <w:spacing w:after="0" w:line="360" w:lineRule="auto"/>
        <w:ind w:left="567" w:right="567"/>
        <w:rPr>
          <w:i/>
          <w:iCs/>
          <w:color w:val="auto"/>
          <w:sz w:val="20"/>
          <w:szCs w:val="20"/>
        </w:rPr>
      </w:pPr>
      <w:r w:rsidRPr="008D0189">
        <w:rPr>
          <w:i/>
          <w:iCs/>
          <w:color w:val="auto"/>
          <w:sz w:val="20"/>
          <w:szCs w:val="20"/>
        </w:rPr>
        <w:t>”…</w:t>
      </w:r>
    </w:p>
    <w:p w14:paraId="566FA525" w14:textId="65831622" w:rsidR="00E93FA3" w:rsidRDefault="002D3E65" w:rsidP="00E93FA3">
      <w:pPr>
        <w:tabs>
          <w:tab w:val="left" w:pos="4667"/>
        </w:tabs>
        <w:spacing w:after="0" w:line="360" w:lineRule="auto"/>
        <w:ind w:left="567" w:right="567"/>
        <w:rPr>
          <w:i/>
          <w:iCs/>
          <w:color w:val="auto"/>
          <w:sz w:val="20"/>
          <w:szCs w:val="20"/>
        </w:rPr>
      </w:pPr>
      <w:r>
        <w:rPr>
          <w:i/>
          <w:iCs/>
          <w:color w:val="auto"/>
          <w:sz w:val="20"/>
          <w:szCs w:val="20"/>
        </w:rPr>
        <w:t>Respecto al presupuesto asignado y el presupuesto aprobado por el cabildo se podrá encontrar adjunto en la siguiente liga: Gaceta_no.08-2025 (fecha24</w:t>
      </w:r>
      <w:r w:rsidR="00E93FA3">
        <w:rPr>
          <w:i/>
          <w:iCs/>
          <w:color w:val="auto"/>
          <w:sz w:val="20"/>
          <w:szCs w:val="20"/>
        </w:rPr>
        <w:t>-02-2025) VIENEELPPTO.2025.pdf</w:t>
      </w:r>
      <w:r w:rsidR="008B0AD6">
        <w:rPr>
          <w:i/>
          <w:iCs/>
          <w:color w:val="auto"/>
          <w:sz w:val="20"/>
          <w:szCs w:val="20"/>
        </w:rPr>
        <w:t>.</w:t>
      </w:r>
      <w:r w:rsidR="00E93FA3">
        <w:rPr>
          <w:i/>
          <w:iCs/>
          <w:color w:val="auto"/>
          <w:sz w:val="20"/>
          <w:szCs w:val="20"/>
        </w:rPr>
        <w:t xml:space="preserve"> </w:t>
      </w:r>
      <w:r w:rsidR="008B0AD6">
        <w:rPr>
          <w:i/>
          <w:iCs/>
          <w:color w:val="auto"/>
          <w:sz w:val="20"/>
          <w:szCs w:val="20"/>
        </w:rPr>
        <w:t xml:space="preserve"> </w:t>
      </w:r>
      <w:r w:rsidR="00E93FA3">
        <w:rPr>
          <w:i/>
          <w:iCs/>
          <w:color w:val="auto"/>
          <w:sz w:val="20"/>
          <w:szCs w:val="20"/>
        </w:rPr>
        <w:t xml:space="preserve">No omito mencionar que la información se encuentra de manera general y no particular, así mismo respecto del presupuesto ejercido hasta la fecha le informo que hasta el momento se encuentra publicado el primer trimestre del 2025, en la página oficial </w:t>
      </w:r>
      <w:hyperlink r:id="rId8" w:history="1">
        <w:r w:rsidR="00E93FA3" w:rsidRPr="00EF6CD0">
          <w:rPr>
            <w:rStyle w:val="Hipervnculo"/>
            <w:i/>
            <w:iCs/>
            <w:sz w:val="20"/>
            <w:szCs w:val="20"/>
          </w:rPr>
          <w:t>https://www2.toluca.gob.mx/informacion-fiscal-toluca</w:t>
        </w:r>
      </w:hyperlink>
      <w:r w:rsidR="0030341A">
        <w:rPr>
          <w:i/>
          <w:iCs/>
          <w:color w:val="auto"/>
          <w:sz w:val="20"/>
          <w:szCs w:val="20"/>
        </w:rPr>
        <w:t>”</w:t>
      </w:r>
    </w:p>
    <w:p w14:paraId="3BC751B6" w14:textId="77777777" w:rsidR="00AC22E8" w:rsidRPr="008D0189" w:rsidRDefault="00AC22E8" w:rsidP="00147554">
      <w:pPr>
        <w:tabs>
          <w:tab w:val="left" w:pos="4667"/>
        </w:tabs>
        <w:spacing w:after="0" w:line="360" w:lineRule="auto"/>
        <w:ind w:right="567"/>
        <w:rPr>
          <w:i/>
          <w:iCs/>
          <w:color w:val="auto"/>
          <w:sz w:val="20"/>
          <w:szCs w:val="20"/>
        </w:rPr>
      </w:pPr>
    </w:p>
    <w:p w14:paraId="57C5A32B" w14:textId="1C0728C8" w:rsidR="00E93FA3" w:rsidRDefault="00E93FA3" w:rsidP="00E93FA3">
      <w:pPr>
        <w:spacing w:after="0" w:line="360" w:lineRule="auto"/>
      </w:pPr>
      <w:r>
        <w:t xml:space="preserve">ii) Oficio </w:t>
      </w:r>
      <w:r w:rsidRPr="008D0189">
        <w:t>número</w:t>
      </w:r>
      <w:r>
        <w:t xml:space="preserve"> 200012000/714/2025,</w:t>
      </w:r>
      <w:r w:rsidRPr="008D0189">
        <w:t xml:space="preserve"> del </w:t>
      </w:r>
      <w:r>
        <w:t xml:space="preserve">veinticinco de mayo </w:t>
      </w:r>
      <w:r w:rsidRPr="008D0189">
        <w:t xml:space="preserve">de dos mil veinticinco, </w:t>
      </w:r>
      <w:r>
        <w:t>suscrito por el Coordinador General</w:t>
      </w:r>
      <w:r w:rsidRPr="008D0189">
        <w:t xml:space="preserve"> y dirigido </w:t>
      </w:r>
      <w:r>
        <w:t>a quien corresponda</w:t>
      </w:r>
      <w:r w:rsidRPr="008D0189">
        <w:t xml:space="preserve"> mediante el cual </w:t>
      </w:r>
      <w:r>
        <w:t>informa lo siguiente:</w:t>
      </w:r>
    </w:p>
    <w:p w14:paraId="5411896D" w14:textId="77777777" w:rsidR="00E93FA3" w:rsidRPr="003D5AAD" w:rsidRDefault="00E93FA3" w:rsidP="00E93FA3">
      <w:pPr>
        <w:pStyle w:val="Prrafodelista"/>
        <w:spacing w:after="0" w:line="360" w:lineRule="auto"/>
        <w:ind w:left="567"/>
      </w:pPr>
    </w:p>
    <w:p w14:paraId="3FD20E83" w14:textId="77777777" w:rsidR="00E93FA3" w:rsidRDefault="00E93FA3" w:rsidP="00E93FA3">
      <w:pPr>
        <w:tabs>
          <w:tab w:val="left" w:pos="4667"/>
        </w:tabs>
        <w:spacing w:after="0" w:line="360" w:lineRule="auto"/>
        <w:ind w:left="567" w:right="567"/>
        <w:rPr>
          <w:i/>
          <w:iCs/>
          <w:color w:val="auto"/>
          <w:sz w:val="20"/>
          <w:szCs w:val="20"/>
        </w:rPr>
      </w:pPr>
      <w:r w:rsidRPr="008D0189">
        <w:rPr>
          <w:i/>
          <w:iCs/>
          <w:color w:val="auto"/>
          <w:sz w:val="20"/>
          <w:szCs w:val="20"/>
        </w:rPr>
        <w:t>”…</w:t>
      </w:r>
    </w:p>
    <w:p w14:paraId="4CC9E06E" w14:textId="613967BB" w:rsidR="00AC22E8" w:rsidRDefault="00E93FA3" w:rsidP="00E93FA3">
      <w:pPr>
        <w:tabs>
          <w:tab w:val="left" w:pos="4667"/>
        </w:tabs>
        <w:spacing w:after="0" w:line="360" w:lineRule="auto"/>
        <w:ind w:left="567" w:right="567"/>
        <w:rPr>
          <w:i/>
          <w:iCs/>
          <w:color w:val="auto"/>
          <w:sz w:val="20"/>
          <w:szCs w:val="20"/>
        </w:rPr>
      </w:pPr>
      <w:r>
        <w:rPr>
          <w:i/>
          <w:iCs/>
          <w:color w:val="auto"/>
          <w:sz w:val="20"/>
          <w:szCs w:val="20"/>
        </w:rPr>
        <w:t xml:space="preserve">Me permito informarle a usted que el Programa de trabajo de la coordinación general de comunicación social, se encuentra en la página web del ayuntamiento de Toluca, ingresando en el siguiente link. </w:t>
      </w:r>
      <w:hyperlink r:id="rId9" w:history="1">
        <w:r w:rsidRPr="00EF6CD0">
          <w:rPr>
            <w:rStyle w:val="Hipervnculo"/>
            <w:i/>
            <w:iCs/>
            <w:sz w:val="20"/>
            <w:szCs w:val="20"/>
          </w:rPr>
          <w:t>https://www2.toluca.gob.mx/wp-content/uploads/2025/05/PROGRAMA-ANUAL-2025.pdf</w:t>
        </w:r>
      </w:hyperlink>
      <w:r>
        <w:rPr>
          <w:i/>
          <w:iCs/>
          <w:color w:val="auto"/>
          <w:sz w:val="20"/>
          <w:szCs w:val="20"/>
        </w:rPr>
        <w:t xml:space="preserve"> </w:t>
      </w:r>
    </w:p>
    <w:p w14:paraId="06FB1ECE" w14:textId="77777777" w:rsidR="00880B42" w:rsidRDefault="00880B42" w:rsidP="00147554">
      <w:pPr>
        <w:tabs>
          <w:tab w:val="left" w:pos="4667"/>
        </w:tabs>
        <w:spacing w:after="0" w:line="360" w:lineRule="auto"/>
        <w:ind w:left="567" w:right="567"/>
        <w:rPr>
          <w:i/>
          <w:iCs/>
          <w:color w:val="auto"/>
          <w:sz w:val="20"/>
          <w:szCs w:val="20"/>
        </w:rPr>
      </w:pPr>
    </w:p>
    <w:p w14:paraId="01207F76" w14:textId="31FFE3D3" w:rsidR="00E93FA3" w:rsidRDefault="00E93FA3" w:rsidP="00E93FA3">
      <w:pPr>
        <w:spacing w:after="0" w:line="360" w:lineRule="auto"/>
      </w:pPr>
      <w:r>
        <w:t xml:space="preserve">iii) Oficio sin </w:t>
      </w:r>
      <w:r w:rsidRPr="008D0189">
        <w:t>número</w:t>
      </w:r>
      <w:r>
        <w:t>,</w:t>
      </w:r>
      <w:r w:rsidRPr="008D0189">
        <w:t xml:space="preserve"> del </w:t>
      </w:r>
      <w:r>
        <w:t xml:space="preserve">cuatro de junio </w:t>
      </w:r>
      <w:r w:rsidRPr="008D0189">
        <w:t xml:space="preserve">de dos mil veinticinco, </w:t>
      </w:r>
      <w:r>
        <w:t xml:space="preserve">suscrito por el Titular de la Unidad de Transparencia </w:t>
      </w:r>
      <w:r w:rsidRPr="008D0189">
        <w:t xml:space="preserve">y dirigido al </w:t>
      </w:r>
      <w:r>
        <w:t>Solicitante</w:t>
      </w:r>
      <w:r w:rsidRPr="008D0189">
        <w:t xml:space="preserve"> mediante el cual </w:t>
      </w:r>
      <w:r>
        <w:t>informa lo siguiente:</w:t>
      </w:r>
    </w:p>
    <w:p w14:paraId="56C68E68" w14:textId="77777777" w:rsidR="00E93FA3" w:rsidRPr="003D5AAD" w:rsidRDefault="00E93FA3" w:rsidP="00E93FA3">
      <w:pPr>
        <w:pStyle w:val="Prrafodelista"/>
        <w:spacing w:after="0" w:line="360" w:lineRule="auto"/>
        <w:ind w:left="567"/>
      </w:pPr>
    </w:p>
    <w:p w14:paraId="50A17BE1" w14:textId="0A30766B" w:rsidR="00E93FA3" w:rsidRDefault="00E93FA3" w:rsidP="00E93FA3">
      <w:pPr>
        <w:tabs>
          <w:tab w:val="left" w:pos="4667"/>
        </w:tabs>
        <w:spacing w:after="0" w:line="360" w:lineRule="auto"/>
        <w:ind w:left="567" w:right="567"/>
        <w:rPr>
          <w:i/>
          <w:iCs/>
          <w:color w:val="auto"/>
          <w:sz w:val="20"/>
          <w:szCs w:val="20"/>
        </w:rPr>
      </w:pPr>
      <w:r w:rsidRPr="008D0189">
        <w:rPr>
          <w:i/>
          <w:iCs/>
          <w:color w:val="auto"/>
          <w:sz w:val="20"/>
          <w:szCs w:val="20"/>
        </w:rPr>
        <w:t>”…</w:t>
      </w:r>
      <w:r>
        <w:rPr>
          <w:i/>
          <w:iCs/>
          <w:color w:val="auto"/>
          <w:sz w:val="20"/>
          <w:szCs w:val="20"/>
        </w:rPr>
        <w:t xml:space="preserve"> Hago de su conocimiento que la </w:t>
      </w:r>
      <w:r w:rsidR="006C180F">
        <w:rPr>
          <w:i/>
          <w:iCs/>
          <w:color w:val="auto"/>
          <w:sz w:val="20"/>
          <w:szCs w:val="20"/>
        </w:rPr>
        <w:t>Dirección</w:t>
      </w:r>
      <w:r>
        <w:rPr>
          <w:i/>
          <w:iCs/>
          <w:color w:val="auto"/>
          <w:sz w:val="20"/>
          <w:szCs w:val="20"/>
        </w:rPr>
        <w:t xml:space="preserve"> de </w:t>
      </w:r>
      <w:r w:rsidR="006C180F">
        <w:rPr>
          <w:i/>
          <w:iCs/>
          <w:color w:val="auto"/>
          <w:sz w:val="20"/>
          <w:szCs w:val="20"/>
        </w:rPr>
        <w:t>Administración</w:t>
      </w:r>
      <w:r>
        <w:rPr>
          <w:i/>
          <w:iCs/>
          <w:color w:val="auto"/>
          <w:sz w:val="20"/>
          <w:szCs w:val="20"/>
        </w:rPr>
        <w:t xml:space="preserve"> y Servidora </w:t>
      </w:r>
      <w:r w:rsidR="006C180F">
        <w:rPr>
          <w:i/>
          <w:iCs/>
          <w:color w:val="auto"/>
          <w:sz w:val="20"/>
          <w:szCs w:val="20"/>
        </w:rPr>
        <w:t>pública</w:t>
      </w:r>
      <w:r>
        <w:rPr>
          <w:i/>
          <w:iCs/>
          <w:color w:val="auto"/>
          <w:sz w:val="20"/>
          <w:szCs w:val="20"/>
        </w:rPr>
        <w:t xml:space="preserve"> habilitada, informo que la dirección de recursos materiales, después de haber realizado una búsqueda exhaustiva y razonable en los archivos que obran en esta dirección y sus departamentos, informa que referente a la </w:t>
      </w:r>
      <w:r w:rsidR="006C180F">
        <w:rPr>
          <w:i/>
          <w:iCs/>
          <w:color w:val="auto"/>
          <w:sz w:val="20"/>
          <w:szCs w:val="20"/>
        </w:rPr>
        <w:t>información</w:t>
      </w:r>
      <w:r>
        <w:rPr>
          <w:i/>
          <w:iCs/>
          <w:color w:val="auto"/>
          <w:sz w:val="20"/>
          <w:szCs w:val="20"/>
        </w:rPr>
        <w:t xml:space="preserve"> solicitada, no se localizaron convenios o contratos celebrados con </w:t>
      </w:r>
      <w:r w:rsidR="006C180F">
        <w:rPr>
          <w:i/>
          <w:iCs/>
          <w:color w:val="auto"/>
          <w:sz w:val="20"/>
          <w:szCs w:val="20"/>
        </w:rPr>
        <w:t>“TELEVISORAS, RADIOS Y OTROS MEDIOS DE COMUNICACIÓN”</w:t>
      </w:r>
    </w:p>
    <w:p w14:paraId="5E1A4991" w14:textId="77777777" w:rsidR="00E93FA3" w:rsidRDefault="00E93FA3" w:rsidP="00147554">
      <w:pPr>
        <w:tabs>
          <w:tab w:val="left" w:pos="4667"/>
        </w:tabs>
        <w:spacing w:after="0" w:line="360" w:lineRule="auto"/>
        <w:ind w:left="567" w:right="567"/>
        <w:rPr>
          <w:i/>
          <w:iCs/>
          <w:color w:val="auto"/>
          <w:sz w:val="20"/>
          <w:szCs w:val="20"/>
        </w:rPr>
      </w:pPr>
    </w:p>
    <w:p w14:paraId="6867D521" w14:textId="67290D74" w:rsidR="00DB3DC5" w:rsidRPr="008D0189" w:rsidRDefault="00DB3DC5" w:rsidP="00147554">
      <w:pPr>
        <w:pStyle w:val="Ttulo2"/>
        <w:spacing w:before="0" w:line="360" w:lineRule="auto"/>
        <w:rPr>
          <w:rFonts w:ascii="Palatino Linotype" w:eastAsia="Calibri" w:hAnsi="Palatino Linotype"/>
          <w:b/>
          <w:color w:val="000000" w:themeColor="text1"/>
          <w:sz w:val="22"/>
          <w:szCs w:val="22"/>
        </w:rPr>
      </w:pPr>
      <w:bookmarkStart w:id="6" w:name="_Toc208312895"/>
      <w:bookmarkStart w:id="7" w:name="_Toc225435439"/>
      <w:r w:rsidRPr="008D0189">
        <w:rPr>
          <w:rFonts w:ascii="Palatino Linotype" w:eastAsia="Calibri" w:hAnsi="Palatino Linotype"/>
          <w:b/>
          <w:color w:val="000000" w:themeColor="text1"/>
          <w:sz w:val="22"/>
          <w:szCs w:val="22"/>
        </w:rPr>
        <w:t>III. Interpo</w:t>
      </w:r>
      <w:r w:rsidR="00076681" w:rsidRPr="008D0189">
        <w:rPr>
          <w:rFonts w:ascii="Palatino Linotype" w:eastAsia="Calibri" w:hAnsi="Palatino Linotype"/>
          <w:b/>
          <w:color w:val="000000" w:themeColor="text1"/>
          <w:sz w:val="22"/>
          <w:szCs w:val="22"/>
        </w:rPr>
        <w:t>sición del Recurso de Revisión</w:t>
      </w:r>
      <w:bookmarkEnd w:id="6"/>
      <w:bookmarkEnd w:id="7"/>
    </w:p>
    <w:p w14:paraId="462885A3" w14:textId="77777777" w:rsidR="009A627C" w:rsidRPr="008D0189" w:rsidRDefault="009A627C" w:rsidP="00147554">
      <w:pPr>
        <w:spacing w:after="0" w:line="360" w:lineRule="auto"/>
        <w:contextualSpacing/>
        <w:rPr>
          <w:rFonts w:eastAsia="Times New Roman" w:cs="Tahoma"/>
          <w:bCs/>
          <w:color w:val="FF0000"/>
          <w:lang w:eastAsia="es-ES"/>
        </w:rPr>
      </w:pPr>
    </w:p>
    <w:p w14:paraId="240D95DA" w14:textId="117CD9C3" w:rsidR="00DB3DC5" w:rsidRPr="008D0189" w:rsidRDefault="00DB3DC5" w:rsidP="00147554">
      <w:pPr>
        <w:widowControl w:val="0"/>
        <w:spacing w:after="0" w:line="360" w:lineRule="auto"/>
        <w:contextualSpacing/>
        <w:rPr>
          <w:rFonts w:eastAsia="Calibri" w:cs="Times New Roman"/>
          <w:bCs/>
          <w:color w:val="auto"/>
        </w:rPr>
      </w:pPr>
      <w:r w:rsidRPr="008D0189">
        <w:rPr>
          <w:rFonts w:eastAsia="Calibri" w:cs="Times New Roman"/>
          <w:bCs/>
          <w:color w:val="auto"/>
        </w:rPr>
        <w:t xml:space="preserve">Con fecha </w:t>
      </w:r>
      <w:r w:rsidR="006C180F">
        <w:rPr>
          <w:rFonts w:eastAsia="Calibri" w:cs="Times New Roman"/>
          <w:bCs/>
          <w:color w:val="auto"/>
        </w:rPr>
        <w:t>veinticinco de junio</w:t>
      </w:r>
      <w:r w:rsidR="00E40ED9" w:rsidRPr="008D0189">
        <w:rPr>
          <w:rFonts w:eastAsia="Calibri" w:cs="Times New Roman"/>
          <w:bCs/>
          <w:color w:val="auto"/>
        </w:rPr>
        <w:t xml:space="preserve"> de dos mil veinticinco</w:t>
      </w:r>
      <w:r w:rsidRPr="008D0189">
        <w:rPr>
          <w:rFonts w:eastAsia="Calibri" w:cs="Times New Roman"/>
          <w:bCs/>
          <w:color w:val="auto"/>
        </w:rPr>
        <w:t>,</w:t>
      </w:r>
      <w:r w:rsidR="00991A73" w:rsidRPr="008D0189">
        <w:rPr>
          <w:rFonts w:eastAsia="Calibri" w:cs="Times New Roman"/>
          <w:bCs/>
          <w:color w:val="auto"/>
        </w:rPr>
        <w:t xml:space="preserve"> </w:t>
      </w:r>
      <w:r w:rsidRPr="008D0189">
        <w:rPr>
          <w:rFonts w:eastAsia="Calibri" w:cs="Times New Roman"/>
          <w:bCs/>
          <w:color w:val="auto"/>
          <w:lang w:val="es-ES"/>
        </w:rPr>
        <w:t xml:space="preserve">se recibió en este Instituto, a través del Sistema de Acceso a la Información Mexiquense (SAIMEX), </w:t>
      </w:r>
      <w:r w:rsidR="00002991" w:rsidRPr="008D0189">
        <w:rPr>
          <w:rFonts w:eastAsia="Calibri" w:cs="Times New Roman"/>
          <w:bCs/>
          <w:color w:val="auto"/>
          <w:lang w:val="es-ES"/>
        </w:rPr>
        <w:t>el</w:t>
      </w:r>
      <w:r w:rsidR="006A0867" w:rsidRPr="008D0189">
        <w:rPr>
          <w:rFonts w:eastAsia="Calibri" w:cs="Times New Roman"/>
          <w:bCs/>
          <w:color w:val="auto"/>
          <w:lang w:val="es-ES"/>
        </w:rPr>
        <w:t xml:space="preserve"> </w:t>
      </w:r>
      <w:r w:rsidRPr="008D0189">
        <w:rPr>
          <w:rFonts w:eastAsia="Calibri" w:cs="Times New Roman"/>
          <w:bCs/>
          <w:color w:val="auto"/>
          <w:lang w:val="es-ES"/>
        </w:rPr>
        <w:t>Recurso de Revisión interpuesto por la parte Recurrente, en contra de la respuesta del Sujeto Obligado</w:t>
      </w:r>
      <w:r w:rsidR="00667107" w:rsidRPr="008D0189">
        <w:rPr>
          <w:rFonts w:eastAsia="Calibri" w:cs="Times New Roman"/>
          <w:color w:val="auto"/>
        </w:rPr>
        <w:t>,</w:t>
      </w:r>
      <w:r w:rsidR="005400EE" w:rsidRPr="008D0189">
        <w:rPr>
          <w:rFonts w:eastAsia="Calibri" w:cs="Times New Roman"/>
          <w:color w:val="auto"/>
        </w:rPr>
        <w:t xml:space="preserve"> </w:t>
      </w:r>
      <w:r w:rsidRPr="008D0189">
        <w:rPr>
          <w:rFonts w:eastAsia="Times New Roman" w:cs="Tahoma"/>
          <w:bCs/>
          <w:color w:val="auto"/>
          <w:lang w:val="es-ES" w:eastAsia="es-ES"/>
        </w:rPr>
        <w:t>en los siguientes términos:</w:t>
      </w:r>
    </w:p>
    <w:p w14:paraId="726EA126" w14:textId="77777777" w:rsidR="006A2B38" w:rsidRPr="008D0189" w:rsidRDefault="006A2B38" w:rsidP="006C180F">
      <w:pPr>
        <w:tabs>
          <w:tab w:val="left" w:pos="4667"/>
        </w:tabs>
        <w:spacing w:after="0" w:line="360" w:lineRule="auto"/>
        <w:ind w:right="567"/>
        <w:contextualSpacing/>
        <w:rPr>
          <w:rFonts w:cs="Tahoma"/>
          <w:b/>
          <w:bCs/>
          <w:i/>
          <w:color w:val="FF0000"/>
          <w:sz w:val="20"/>
          <w:szCs w:val="20"/>
        </w:rPr>
      </w:pPr>
    </w:p>
    <w:p w14:paraId="0E422949" w14:textId="77777777" w:rsidR="006A0867" w:rsidRPr="008D0189" w:rsidRDefault="006A0867" w:rsidP="00147554">
      <w:pPr>
        <w:tabs>
          <w:tab w:val="left" w:pos="4667"/>
        </w:tabs>
        <w:spacing w:after="0" w:line="360" w:lineRule="auto"/>
        <w:ind w:left="567" w:right="567"/>
        <w:rPr>
          <w:b/>
          <w:i/>
          <w:iCs/>
          <w:color w:val="auto"/>
          <w:sz w:val="20"/>
          <w:szCs w:val="20"/>
        </w:rPr>
      </w:pPr>
      <w:r w:rsidRPr="008D0189">
        <w:rPr>
          <w:b/>
          <w:i/>
          <w:iCs/>
          <w:color w:val="auto"/>
          <w:sz w:val="20"/>
          <w:szCs w:val="20"/>
        </w:rPr>
        <w:t>“ACTO IMPUGNADO</w:t>
      </w:r>
    </w:p>
    <w:p w14:paraId="199F28DE" w14:textId="1F058001" w:rsidR="006A0867" w:rsidRPr="008D0189" w:rsidRDefault="006C180F" w:rsidP="00147554">
      <w:pPr>
        <w:tabs>
          <w:tab w:val="left" w:pos="4667"/>
        </w:tabs>
        <w:spacing w:after="0" w:line="360" w:lineRule="auto"/>
        <w:ind w:left="567" w:right="567"/>
        <w:rPr>
          <w:i/>
          <w:iCs/>
          <w:color w:val="auto"/>
          <w:sz w:val="20"/>
          <w:szCs w:val="20"/>
        </w:rPr>
      </w:pPr>
      <w:r w:rsidRPr="006C180F">
        <w:rPr>
          <w:i/>
          <w:iCs/>
          <w:color w:val="auto"/>
          <w:sz w:val="20"/>
          <w:szCs w:val="20"/>
        </w:rPr>
        <w:t xml:space="preserve">El sujeto obligado niega la </w:t>
      </w:r>
      <w:proofErr w:type="spellStart"/>
      <w:r w:rsidRPr="006C180F">
        <w:rPr>
          <w:i/>
          <w:iCs/>
          <w:color w:val="auto"/>
          <w:sz w:val="20"/>
          <w:szCs w:val="20"/>
        </w:rPr>
        <w:t>informaicón</w:t>
      </w:r>
      <w:proofErr w:type="spellEnd"/>
      <w:r w:rsidRPr="006C180F">
        <w:rPr>
          <w:i/>
          <w:iCs/>
          <w:color w:val="auto"/>
          <w:sz w:val="20"/>
          <w:szCs w:val="20"/>
        </w:rPr>
        <w:t xml:space="preserve"> es su obligación entregarla ya que ellos la generaron se solicita se entregue es una obligación esa </w:t>
      </w:r>
      <w:proofErr w:type="spellStart"/>
      <w:r w:rsidRPr="006C180F">
        <w:rPr>
          <w:i/>
          <w:iCs/>
          <w:color w:val="auto"/>
          <w:sz w:val="20"/>
          <w:szCs w:val="20"/>
        </w:rPr>
        <w:t>justificaicón</w:t>
      </w:r>
      <w:proofErr w:type="spellEnd"/>
      <w:r w:rsidRPr="006C180F">
        <w:rPr>
          <w:i/>
          <w:iCs/>
          <w:color w:val="auto"/>
          <w:sz w:val="20"/>
          <w:szCs w:val="20"/>
        </w:rPr>
        <w:t xml:space="preserve"> no es </w:t>
      </w:r>
      <w:proofErr w:type="spellStart"/>
      <w:r w:rsidRPr="006C180F">
        <w:rPr>
          <w:i/>
          <w:iCs/>
          <w:color w:val="auto"/>
          <w:sz w:val="20"/>
          <w:szCs w:val="20"/>
        </w:rPr>
        <w:t>valida</w:t>
      </w:r>
      <w:proofErr w:type="spellEnd"/>
      <w:r w:rsidRPr="006C180F">
        <w:rPr>
          <w:i/>
          <w:iCs/>
          <w:color w:val="auto"/>
          <w:sz w:val="20"/>
          <w:szCs w:val="20"/>
        </w:rPr>
        <w:t xml:space="preserve"> esperamos </w:t>
      </w:r>
      <w:proofErr w:type="spellStart"/>
      <w:r w:rsidRPr="006C180F">
        <w:rPr>
          <w:i/>
          <w:iCs/>
          <w:color w:val="auto"/>
          <w:sz w:val="20"/>
          <w:szCs w:val="20"/>
        </w:rPr>
        <w:t>imfoem</w:t>
      </w:r>
      <w:proofErr w:type="spellEnd"/>
      <w:r w:rsidRPr="006C180F">
        <w:rPr>
          <w:i/>
          <w:iCs/>
          <w:color w:val="auto"/>
          <w:sz w:val="20"/>
          <w:szCs w:val="20"/>
        </w:rPr>
        <w:t xml:space="preserve"> garantice y haga valer </w:t>
      </w:r>
      <w:proofErr w:type="spellStart"/>
      <w:r w:rsidRPr="006C180F">
        <w:rPr>
          <w:i/>
          <w:iCs/>
          <w:color w:val="auto"/>
          <w:sz w:val="20"/>
          <w:szCs w:val="20"/>
        </w:rPr>
        <w:t>nuetsro</w:t>
      </w:r>
      <w:proofErr w:type="spellEnd"/>
      <w:r w:rsidRPr="006C180F">
        <w:rPr>
          <w:i/>
          <w:iCs/>
          <w:color w:val="auto"/>
          <w:sz w:val="20"/>
          <w:szCs w:val="20"/>
        </w:rPr>
        <w:t xml:space="preserve"> </w:t>
      </w:r>
      <w:proofErr w:type="spellStart"/>
      <w:r w:rsidRPr="006C180F">
        <w:rPr>
          <w:i/>
          <w:iCs/>
          <w:color w:val="auto"/>
          <w:sz w:val="20"/>
          <w:szCs w:val="20"/>
        </w:rPr>
        <w:t>deecho</w:t>
      </w:r>
      <w:proofErr w:type="spellEnd"/>
      <w:r w:rsidRPr="006C180F">
        <w:rPr>
          <w:i/>
          <w:iCs/>
          <w:color w:val="auto"/>
          <w:sz w:val="20"/>
          <w:szCs w:val="20"/>
        </w:rPr>
        <w:t xml:space="preserve"> y no los solape como siempre parece que los tiene comprados se solicita se atienda mi solicitud.</w:t>
      </w:r>
      <w:r w:rsidRPr="008A4D35">
        <w:rPr>
          <w:i/>
          <w:iCs/>
          <w:color w:val="auto"/>
          <w:sz w:val="20"/>
          <w:szCs w:val="20"/>
        </w:rPr>
        <w:t>”</w:t>
      </w:r>
      <w:r w:rsidR="00283F5C" w:rsidRPr="008D0189">
        <w:rPr>
          <w:i/>
          <w:iCs/>
          <w:color w:val="auto"/>
          <w:sz w:val="20"/>
          <w:szCs w:val="20"/>
        </w:rPr>
        <w:t xml:space="preserve"> (Sic.)</w:t>
      </w:r>
    </w:p>
    <w:p w14:paraId="349885DE" w14:textId="77777777" w:rsidR="006A0867" w:rsidRPr="008D0189" w:rsidRDefault="006A0867" w:rsidP="00147554">
      <w:pPr>
        <w:tabs>
          <w:tab w:val="left" w:pos="4667"/>
        </w:tabs>
        <w:spacing w:after="0" w:line="360" w:lineRule="auto"/>
        <w:ind w:left="567" w:right="567"/>
        <w:rPr>
          <w:rFonts w:cs="Tahoma"/>
          <w:bCs/>
          <w:i/>
          <w:color w:val="FF0000"/>
          <w:sz w:val="20"/>
          <w:szCs w:val="20"/>
        </w:rPr>
      </w:pPr>
    </w:p>
    <w:p w14:paraId="09EF88BF" w14:textId="77777777" w:rsidR="006A0867" w:rsidRPr="008D0189" w:rsidRDefault="006A0867" w:rsidP="00147554">
      <w:pPr>
        <w:tabs>
          <w:tab w:val="left" w:pos="4667"/>
        </w:tabs>
        <w:spacing w:after="0" w:line="360" w:lineRule="auto"/>
        <w:ind w:left="567" w:right="567"/>
        <w:rPr>
          <w:rFonts w:cs="Tahoma"/>
          <w:b/>
          <w:bCs/>
          <w:i/>
          <w:color w:val="auto"/>
          <w:sz w:val="20"/>
          <w:szCs w:val="20"/>
        </w:rPr>
      </w:pPr>
      <w:r w:rsidRPr="008D0189">
        <w:rPr>
          <w:rFonts w:cs="Tahoma"/>
          <w:b/>
          <w:bCs/>
          <w:i/>
          <w:color w:val="auto"/>
          <w:sz w:val="20"/>
          <w:szCs w:val="20"/>
        </w:rPr>
        <w:t>“RAZONES O MOTIVOS DE LA INCONFORMIDAD</w:t>
      </w:r>
    </w:p>
    <w:p w14:paraId="702646C1" w14:textId="11AAD06A" w:rsidR="00667107" w:rsidRPr="008D0189" w:rsidRDefault="006C180F" w:rsidP="00147554">
      <w:pPr>
        <w:tabs>
          <w:tab w:val="left" w:pos="4667"/>
        </w:tabs>
        <w:spacing w:after="0" w:line="360" w:lineRule="auto"/>
        <w:ind w:left="567" w:right="567"/>
        <w:rPr>
          <w:i/>
          <w:iCs/>
          <w:color w:val="auto"/>
          <w:sz w:val="20"/>
          <w:szCs w:val="20"/>
        </w:rPr>
      </w:pPr>
      <w:r w:rsidRPr="006C180F">
        <w:rPr>
          <w:i/>
          <w:iCs/>
          <w:color w:val="auto"/>
          <w:sz w:val="20"/>
          <w:szCs w:val="20"/>
        </w:rPr>
        <w:t xml:space="preserve">El sujeto obligado niega la </w:t>
      </w:r>
      <w:proofErr w:type="spellStart"/>
      <w:r w:rsidRPr="006C180F">
        <w:rPr>
          <w:i/>
          <w:iCs/>
          <w:color w:val="auto"/>
          <w:sz w:val="20"/>
          <w:szCs w:val="20"/>
        </w:rPr>
        <w:t>informaicón</w:t>
      </w:r>
      <w:proofErr w:type="spellEnd"/>
      <w:r w:rsidRPr="006C180F">
        <w:rPr>
          <w:i/>
          <w:iCs/>
          <w:color w:val="auto"/>
          <w:sz w:val="20"/>
          <w:szCs w:val="20"/>
        </w:rPr>
        <w:t xml:space="preserve"> es su obligación entregarla ya que ellos la generaron se solicita se entregue es una obligación esa </w:t>
      </w:r>
      <w:proofErr w:type="spellStart"/>
      <w:r w:rsidRPr="006C180F">
        <w:rPr>
          <w:i/>
          <w:iCs/>
          <w:color w:val="auto"/>
          <w:sz w:val="20"/>
          <w:szCs w:val="20"/>
        </w:rPr>
        <w:t>justificaicón</w:t>
      </w:r>
      <w:proofErr w:type="spellEnd"/>
      <w:r w:rsidRPr="006C180F">
        <w:rPr>
          <w:i/>
          <w:iCs/>
          <w:color w:val="auto"/>
          <w:sz w:val="20"/>
          <w:szCs w:val="20"/>
        </w:rPr>
        <w:t xml:space="preserve"> no es </w:t>
      </w:r>
      <w:proofErr w:type="spellStart"/>
      <w:r w:rsidRPr="006C180F">
        <w:rPr>
          <w:i/>
          <w:iCs/>
          <w:color w:val="auto"/>
          <w:sz w:val="20"/>
          <w:szCs w:val="20"/>
        </w:rPr>
        <w:t>valida</w:t>
      </w:r>
      <w:proofErr w:type="spellEnd"/>
      <w:r w:rsidRPr="006C180F">
        <w:rPr>
          <w:i/>
          <w:iCs/>
          <w:color w:val="auto"/>
          <w:sz w:val="20"/>
          <w:szCs w:val="20"/>
        </w:rPr>
        <w:t xml:space="preserve"> esperamos </w:t>
      </w:r>
      <w:proofErr w:type="spellStart"/>
      <w:r w:rsidRPr="006C180F">
        <w:rPr>
          <w:i/>
          <w:iCs/>
          <w:color w:val="auto"/>
          <w:sz w:val="20"/>
          <w:szCs w:val="20"/>
        </w:rPr>
        <w:t>imfoem</w:t>
      </w:r>
      <w:proofErr w:type="spellEnd"/>
      <w:r w:rsidRPr="006C180F">
        <w:rPr>
          <w:i/>
          <w:iCs/>
          <w:color w:val="auto"/>
          <w:sz w:val="20"/>
          <w:szCs w:val="20"/>
        </w:rPr>
        <w:t xml:space="preserve"> garantice y haga valer </w:t>
      </w:r>
      <w:proofErr w:type="spellStart"/>
      <w:r w:rsidRPr="006C180F">
        <w:rPr>
          <w:i/>
          <w:iCs/>
          <w:color w:val="auto"/>
          <w:sz w:val="20"/>
          <w:szCs w:val="20"/>
        </w:rPr>
        <w:t>nuetsro</w:t>
      </w:r>
      <w:proofErr w:type="spellEnd"/>
      <w:r w:rsidRPr="006C180F">
        <w:rPr>
          <w:i/>
          <w:iCs/>
          <w:color w:val="auto"/>
          <w:sz w:val="20"/>
          <w:szCs w:val="20"/>
        </w:rPr>
        <w:t xml:space="preserve"> </w:t>
      </w:r>
      <w:proofErr w:type="spellStart"/>
      <w:r w:rsidRPr="006C180F">
        <w:rPr>
          <w:i/>
          <w:iCs/>
          <w:color w:val="auto"/>
          <w:sz w:val="20"/>
          <w:szCs w:val="20"/>
        </w:rPr>
        <w:t>deecho</w:t>
      </w:r>
      <w:proofErr w:type="spellEnd"/>
      <w:r w:rsidRPr="006C180F">
        <w:rPr>
          <w:i/>
          <w:iCs/>
          <w:color w:val="auto"/>
          <w:sz w:val="20"/>
          <w:szCs w:val="20"/>
        </w:rPr>
        <w:t xml:space="preserve"> y no los solape como siempre parece que los tiene comprados se solicita se atienda mi solicitud</w:t>
      </w:r>
      <w:proofErr w:type="gramStart"/>
      <w:r w:rsidRPr="006C180F">
        <w:rPr>
          <w:i/>
          <w:iCs/>
          <w:color w:val="auto"/>
          <w:sz w:val="20"/>
          <w:szCs w:val="20"/>
        </w:rPr>
        <w:t>.</w:t>
      </w:r>
      <w:r w:rsidR="008A4D35" w:rsidRPr="008A4D35">
        <w:rPr>
          <w:i/>
          <w:iCs/>
          <w:color w:val="auto"/>
          <w:sz w:val="20"/>
          <w:szCs w:val="20"/>
        </w:rPr>
        <w:t>.</w:t>
      </w:r>
      <w:r w:rsidR="002F28F9" w:rsidRPr="008D0189">
        <w:rPr>
          <w:i/>
          <w:iCs/>
          <w:color w:val="auto"/>
          <w:sz w:val="20"/>
          <w:szCs w:val="20"/>
        </w:rPr>
        <w:t>”</w:t>
      </w:r>
      <w:proofErr w:type="gramEnd"/>
      <w:r w:rsidR="002F28F9" w:rsidRPr="008D0189">
        <w:rPr>
          <w:i/>
          <w:iCs/>
          <w:color w:val="auto"/>
          <w:sz w:val="20"/>
          <w:szCs w:val="20"/>
        </w:rPr>
        <w:t xml:space="preserve"> </w:t>
      </w:r>
      <w:r w:rsidR="00283F5C" w:rsidRPr="008D0189">
        <w:rPr>
          <w:i/>
          <w:iCs/>
          <w:color w:val="auto"/>
          <w:sz w:val="20"/>
          <w:szCs w:val="20"/>
        </w:rPr>
        <w:t>(Sic.)</w:t>
      </w:r>
    </w:p>
    <w:p w14:paraId="5EF80AD3" w14:textId="77777777" w:rsidR="00667107" w:rsidRDefault="00667107" w:rsidP="00147554">
      <w:pPr>
        <w:tabs>
          <w:tab w:val="left" w:pos="4667"/>
        </w:tabs>
        <w:spacing w:after="0" w:line="360" w:lineRule="auto"/>
        <w:ind w:right="567"/>
        <w:rPr>
          <w:i/>
          <w:iCs/>
          <w:color w:val="auto"/>
          <w:sz w:val="20"/>
          <w:szCs w:val="20"/>
        </w:rPr>
      </w:pPr>
    </w:p>
    <w:p w14:paraId="7DBAC7FB" w14:textId="77777777" w:rsidR="006C180F" w:rsidRPr="008D0189" w:rsidRDefault="006C180F" w:rsidP="00147554">
      <w:pPr>
        <w:tabs>
          <w:tab w:val="left" w:pos="4667"/>
        </w:tabs>
        <w:spacing w:after="0" w:line="360" w:lineRule="auto"/>
        <w:ind w:right="567"/>
        <w:rPr>
          <w:i/>
          <w:iCs/>
          <w:color w:val="auto"/>
          <w:sz w:val="20"/>
          <w:szCs w:val="20"/>
        </w:rPr>
      </w:pPr>
    </w:p>
    <w:p w14:paraId="2D3CE335" w14:textId="2BF858B6" w:rsidR="00DB3DC5" w:rsidRPr="008D0189" w:rsidRDefault="00DB3DC5" w:rsidP="00147554">
      <w:pPr>
        <w:pStyle w:val="Ttulo2"/>
        <w:spacing w:before="0" w:line="360" w:lineRule="auto"/>
        <w:rPr>
          <w:rFonts w:ascii="Palatino Linotype" w:eastAsia="Batang" w:hAnsi="Palatino Linotype"/>
          <w:b/>
          <w:color w:val="000000" w:themeColor="text1"/>
          <w:sz w:val="22"/>
          <w:szCs w:val="22"/>
        </w:rPr>
      </w:pPr>
      <w:bookmarkStart w:id="8" w:name="_Toc208312896"/>
      <w:bookmarkStart w:id="9" w:name="_Toc225435440"/>
      <w:r w:rsidRPr="008D0189">
        <w:rPr>
          <w:rFonts w:ascii="Palatino Linotype" w:eastAsia="Calibri" w:hAnsi="Palatino Linotype"/>
          <w:b/>
          <w:color w:val="000000" w:themeColor="text1"/>
          <w:sz w:val="22"/>
          <w:szCs w:val="22"/>
        </w:rPr>
        <w:t xml:space="preserve">IV. </w:t>
      </w:r>
      <w:r w:rsidRPr="008D0189">
        <w:rPr>
          <w:rFonts w:ascii="Palatino Linotype" w:eastAsia="Batang" w:hAnsi="Palatino Linotype"/>
          <w:b/>
          <w:color w:val="000000" w:themeColor="text1"/>
          <w:sz w:val="22"/>
          <w:szCs w:val="22"/>
        </w:rPr>
        <w:t>Trámite del Recurso de Revisión</w:t>
      </w:r>
      <w:r w:rsidRPr="008D0189">
        <w:rPr>
          <w:rFonts w:ascii="Palatino Linotype" w:eastAsia="Calibri" w:hAnsi="Palatino Linotype"/>
          <w:b/>
          <w:color w:val="000000" w:themeColor="text1"/>
          <w:sz w:val="22"/>
          <w:szCs w:val="22"/>
        </w:rPr>
        <w:t xml:space="preserve"> </w:t>
      </w:r>
      <w:r w:rsidR="00076681" w:rsidRPr="008D0189">
        <w:rPr>
          <w:rFonts w:ascii="Palatino Linotype" w:eastAsia="Batang" w:hAnsi="Palatino Linotype"/>
          <w:b/>
          <w:color w:val="000000" w:themeColor="text1"/>
          <w:sz w:val="22"/>
          <w:szCs w:val="22"/>
        </w:rPr>
        <w:t>ante este Instituto</w:t>
      </w:r>
      <w:bookmarkEnd w:id="8"/>
      <w:bookmarkEnd w:id="9"/>
    </w:p>
    <w:p w14:paraId="13E537D5" w14:textId="77777777" w:rsidR="00DB3DC5" w:rsidRPr="008D0189" w:rsidRDefault="00DB3DC5" w:rsidP="00147554">
      <w:pPr>
        <w:spacing w:after="0" w:line="360" w:lineRule="auto"/>
        <w:contextualSpacing/>
        <w:rPr>
          <w:rFonts w:eastAsia="Batang" w:cs="Tahoma"/>
          <w:b/>
          <w:bCs/>
          <w:color w:val="FF0000"/>
        </w:rPr>
      </w:pPr>
    </w:p>
    <w:p w14:paraId="5B9B961B" w14:textId="400077B2" w:rsidR="00DB3DC5" w:rsidRPr="008D0189" w:rsidRDefault="00DB3DC5" w:rsidP="00147554">
      <w:pPr>
        <w:spacing w:after="0" w:line="360" w:lineRule="auto"/>
        <w:contextualSpacing/>
        <w:rPr>
          <w:rFonts w:eastAsia="Batang" w:cs="Tahoma"/>
          <w:b/>
          <w:bCs/>
          <w:color w:val="auto"/>
        </w:rPr>
      </w:pPr>
      <w:bookmarkStart w:id="10" w:name="_Toc208312897"/>
      <w:bookmarkStart w:id="11" w:name="_Toc225435441"/>
      <w:r w:rsidRPr="008D0189">
        <w:rPr>
          <w:rStyle w:val="Ttulo2Car"/>
          <w:rFonts w:ascii="Palatino Linotype" w:hAnsi="Palatino Linotype"/>
          <w:b/>
          <w:color w:val="000000" w:themeColor="text1"/>
          <w:sz w:val="22"/>
          <w:szCs w:val="22"/>
        </w:rPr>
        <w:t>a) Turno del Medio de Impugnación.</w:t>
      </w:r>
      <w:bookmarkEnd w:id="10"/>
      <w:bookmarkEnd w:id="11"/>
      <w:r w:rsidRPr="008D0189">
        <w:rPr>
          <w:rFonts w:eastAsia="Batang" w:cs="Tahoma"/>
          <w:b/>
          <w:bCs/>
        </w:rPr>
        <w:t xml:space="preserve"> </w:t>
      </w:r>
      <w:r w:rsidRPr="008D0189">
        <w:rPr>
          <w:rFonts w:eastAsia="Batang" w:cs="Tahoma"/>
          <w:bCs/>
          <w:color w:val="auto"/>
        </w:rPr>
        <w:t xml:space="preserve">El </w:t>
      </w:r>
      <w:r w:rsidR="006C180F">
        <w:rPr>
          <w:rFonts w:eastAsia="Batang" w:cs="Tahoma"/>
          <w:bCs/>
          <w:color w:val="auto"/>
        </w:rPr>
        <w:t>veinticinco de junio</w:t>
      </w:r>
      <w:r w:rsidR="00E063FC" w:rsidRPr="008D0189">
        <w:rPr>
          <w:rFonts w:eastAsia="Batang" w:cs="Tahoma"/>
          <w:bCs/>
          <w:color w:val="auto"/>
        </w:rPr>
        <w:t xml:space="preserve"> </w:t>
      </w:r>
      <w:r w:rsidR="00B732D1" w:rsidRPr="008D0189">
        <w:rPr>
          <w:rFonts w:eastAsia="Times New Roman" w:cs="Tahoma"/>
          <w:bCs/>
          <w:color w:val="auto"/>
          <w:lang w:eastAsia="es-ES"/>
        </w:rPr>
        <w:t xml:space="preserve">de dos mil </w:t>
      </w:r>
      <w:r w:rsidR="00667107" w:rsidRPr="008D0189">
        <w:rPr>
          <w:rFonts w:eastAsia="Times New Roman" w:cs="Tahoma"/>
          <w:bCs/>
          <w:color w:val="auto"/>
          <w:lang w:eastAsia="es-ES"/>
        </w:rPr>
        <w:t>veinticinco</w:t>
      </w:r>
      <w:r w:rsidRPr="008D0189">
        <w:rPr>
          <w:rFonts w:eastAsia="Batang" w:cs="Tahoma"/>
          <w:bCs/>
          <w:color w:val="auto"/>
        </w:rPr>
        <w:t>,</w:t>
      </w:r>
      <w:r w:rsidR="00790A2E" w:rsidRPr="008D0189">
        <w:rPr>
          <w:rFonts w:eastAsia="Batang" w:cs="Tahoma"/>
          <w:bCs/>
          <w:color w:val="auto"/>
        </w:rPr>
        <w:t xml:space="preserve"> </w:t>
      </w:r>
      <w:r w:rsidRPr="008D0189">
        <w:rPr>
          <w:rFonts w:eastAsia="Batang" w:cs="Tahoma"/>
          <w:bCs/>
          <w:color w:val="auto"/>
        </w:rPr>
        <w:t xml:space="preserve">el </w:t>
      </w:r>
      <w:r w:rsidRPr="008D0189">
        <w:rPr>
          <w:rFonts w:eastAsia="Calibri" w:cs="Tahoma"/>
          <w:color w:val="auto"/>
          <w:lang w:val="es-ES"/>
        </w:rPr>
        <w:t>Sistema de Acceso a la Información Mexiquense (SAIMEX),</w:t>
      </w:r>
      <w:r w:rsidRPr="008D0189">
        <w:rPr>
          <w:rFonts w:eastAsia="Batang" w:cs="Tahoma"/>
          <w:bCs/>
          <w:color w:val="auto"/>
        </w:rPr>
        <w:t xml:space="preserve"> </w:t>
      </w:r>
      <w:r w:rsidR="0089704B" w:rsidRPr="008D0189">
        <w:rPr>
          <w:rFonts w:eastAsia="Batang" w:cs="Tahoma"/>
          <w:bCs/>
          <w:color w:val="auto"/>
          <w:lang w:val="es-ES_tradnl"/>
        </w:rPr>
        <w:t xml:space="preserve">asignó </w:t>
      </w:r>
      <w:r w:rsidR="0003316E" w:rsidRPr="008D0189">
        <w:rPr>
          <w:rFonts w:eastAsia="Batang" w:cs="Tahoma"/>
          <w:bCs/>
          <w:color w:val="auto"/>
          <w:lang w:val="es-ES_tradnl"/>
        </w:rPr>
        <w:t>el</w:t>
      </w:r>
      <w:r w:rsidR="0089704B" w:rsidRPr="008D0189">
        <w:rPr>
          <w:rFonts w:eastAsia="Batang" w:cs="Tahoma"/>
          <w:bCs/>
          <w:color w:val="auto"/>
          <w:lang w:val="es-ES_tradnl"/>
        </w:rPr>
        <w:t xml:space="preserve"> número de expediente </w:t>
      </w:r>
      <w:r w:rsidR="00880B42">
        <w:rPr>
          <w:rFonts w:eastAsia="Batang" w:cs="Tahoma"/>
          <w:b/>
          <w:color w:val="auto"/>
          <w:lang w:val="es-ES_tradnl"/>
        </w:rPr>
        <w:t>0</w:t>
      </w:r>
      <w:r w:rsidR="006C180F">
        <w:rPr>
          <w:rFonts w:eastAsia="Batang" w:cs="Tahoma"/>
          <w:b/>
          <w:color w:val="auto"/>
          <w:lang w:val="es-ES_tradnl"/>
        </w:rPr>
        <w:t>777</w:t>
      </w:r>
      <w:r w:rsidR="00880B42">
        <w:rPr>
          <w:rFonts w:eastAsia="Batang" w:cs="Tahoma"/>
          <w:b/>
          <w:color w:val="auto"/>
          <w:lang w:val="es-ES_tradnl"/>
        </w:rPr>
        <w:t>6</w:t>
      </w:r>
      <w:r w:rsidR="0095305F" w:rsidRPr="008D0189">
        <w:rPr>
          <w:rFonts w:eastAsia="Batang" w:cs="Tahoma"/>
          <w:b/>
          <w:color w:val="auto"/>
          <w:lang w:val="es-ES_tradnl"/>
        </w:rPr>
        <w:t>/INFOEM/IP/RR/2025</w:t>
      </w:r>
      <w:r w:rsidRPr="008D0189">
        <w:rPr>
          <w:rFonts w:eastAsia="Batang" w:cs="Tahoma"/>
          <w:bCs/>
          <w:color w:val="auto"/>
        </w:rPr>
        <w:t xml:space="preserve">, al Medio de Impugnación que nos ocupa, con base en el sistema aprobado por el Pleno de este Órgano Garante y lo turnó al </w:t>
      </w:r>
      <w:r w:rsidRPr="008D0189">
        <w:rPr>
          <w:rFonts w:eastAsia="Batang" w:cs="Tahoma"/>
          <w:b/>
          <w:color w:val="auto"/>
        </w:rPr>
        <w:t>Comisionado Ponente Luis Gustavo Parra Noriega</w:t>
      </w:r>
      <w:r w:rsidRPr="008D0189">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8D0189" w:rsidRDefault="00DB3DC5" w:rsidP="00147554">
      <w:pPr>
        <w:spacing w:after="0" w:line="360" w:lineRule="auto"/>
        <w:contextualSpacing/>
        <w:rPr>
          <w:rFonts w:eastAsia="Batang" w:cs="Tahoma"/>
          <w:bCs/>
          <w:color w:val="FF0000"/>
        </w:rPr>
      </w:pPr>
    </w:p>
    <w:p w14:paraId="2B3B5A4B" w14:textId="106E89B9" w:rsidR="00DB3DC5" w:rsidRPr="008D0189" w:rsidRDefault="00DB3DC5" w:rsidP="00147554">
      <w:pPr>
        <w:spacing w:after="0" w:line="360" w:lineRule="auto"/>
        <w:contextualSpacing/>
        <w:rPr>
          <w:rFonts w:eastAsia="Times New Roman" w:cs="Tahoma"/>
          <w:bCs/>
          <w:color w:val="auto"/>
          <w:lang w:val="es-ES_tradnl" w:eastAsia="es-ES"/>
        </w:rPr>
      </w:pPr>
      <w:bookmarkStart w:id="12" w:name="_Toc208312898"/>
      <w:bookmarkStart w:id="13" w:name="_Toc225435442"/>
      <w:r w:rsidRPr="008D0189">
        <w:rPr>
          <w:rStyle w:val="Ttulo2Car"/>
          <w:rFonts w:ascii="Palatino Linotype" w:hAnsi="Palatino Linotype"/>
          <w:b/>
          <w:color w:val="000000" w:themeColor="text1"/>
          <w:sz w:val="22"/>
          <w:szCs w:val="22"/>
        </w:rPr>
        <w:t>b) Admisión de</w:t>
      </w:r>
      <w:r w:rsidR="00EA3D68" w:rsidRPr="008D0189">
        <w:rPr>
          <w:rStyle w:val="Ttulo2Car"/>
          <w:rFonts w:ascii="Palatino Linotype" w:hAnsi="Palatino Linotype"/>
          <w:b/>
          <w:color w:val="000000" w:themeColor="text1"/>
          <w:sz w:val="22"/>
          <w:szCs w:val="22"/>
        </w:rPr>
        <w:t>l</w:t>
      </w:r>
      <w:r w:rsidRPr="008D0189">
        <w:rPr>
          <w:rStyle w:val="Ttulo2Car"/>
          <w:rFonts w:ascii="Palatino Linotype" w:hAnsi="Palatino Linotype"/>
          <w:b/>
          <w:color w:val="000000" w:themeColor="text1"/>
          <w:sz w:val="22"/>
          <w:szCs w:val="22"/>
        </w:rPr>
        <w:t xml:space="preserve"> Recurso de Revisión.</w:t>
      </w:r>
      <w:bookmarkEnd w:id="12"/>
      <w:bookmarkEnd w:id="13"/>
      <w:r w:rsidRPr="008D0189">
        <w:rPr>
          <w:rFonts w:eastAsia="Times New Roman" w:cs="Tahoma"/>
          <w:b/>
          <w:bCs/>
          <w:lang w:val="es-ES_tradnl" w:eastAsia="es-ES"/>
        </w:rPr>
        <w:t xml:space="preserve"> </w:t>
      </w:r>
      <w:r w:rsidRPr="008D0189">
        <w:rPr>
          <w:rFonts w:eastAsia="Times New Roman" w:cs="Tahoma"/>
          <w:bCs/>
          <w:color w:val="auto"/>
          <w:lang w:val="es-ES_tradnl" w:eastAsia="es-ES"/>
        </w:rPr>
        <w:t xml:space="preserve">El </w:t>
      </w:r>
      <w:r w:rsidR="006C180F">
        <w:rPr>
          <w:rFonts w:eastAsia="Times New Roman" w:cs="Tahoma"/>
          <w:bCs/>
          <w:color w:val="auto"/>
          <w:lang w:val="es-ES_tradnl" w:eastAsia="es-ES"/>
        </w:rPr>
        <w:t>treinta de junio</w:t>
      </w:r>
      <w:r w:rsidR="006778B9" w:rsidRPr="008D0189">
        <w:rPr>
          <w:rFonts w:eastAsia="Batang" w:cs="Tahoma"/>
          <w:bCs/>
          <w:color w:val="auto"/>
        </w:rPr>
        <w:t xml:space="preserve"> </w:t>
      </w:r>
      <w:r w:rsidR="00B732D1" w:rsidRPr="008D0189">
        <w:rPr>
          <w:rFonts w:eastAsia="Batang" w:cs="Tahoma"/>
          <w:bCs/>
          <w:color w:val="auto"/>
        </w:rPr>
        <w:t>de dos mil veinticinco</w:t>
      </w:r>
      <w:r w:rsidRPr="008D0189">
        <w:rPr>
          <w:rFonts w:eastAsia="Times New Roman" w:cs="Tahoma"/>
          <w:bCs/>
          <w:color w:val="auto"/>
          <w:lang w:val="es-ES_tradnl" w:eastAsia="es-ES"/>
        </w:rPr>
        <w:t>, se acordó la admisión de</w:t>
      </w:r>
      <w:r w:rsidR="0003316E" w:rsidRPr="008D0189">
        <w:rPr>
          <w:rFonts w:eastAsia="Times New Roman" w:cs="Tahoma"/>
          <w:bCs/>
          <w:color w:val="auto"/>
          <w:lang w:val="es-ES_tradnl" w:eastAsia="es-ES"/>
        </w:rPr>
        <w:t>l</w:t>
      </w:r>
      <w:r w:rsidRPr="008D0189">
        <w:rPr>
          <w:rFonts w:eastAsia="Times New Roman" w:cs="Tahoma"/>
          <w:bCs/>
          <w:color w:val="auto"/>
          <w:lang w:val="es-ES_tradnl" w:eastAsia="es-ES"/>
        </w:rPr>
        <w:t xml:space="preserve"> Recurso de Revisión interpuesto por </w:t>
      </w:r>
      <w:r w:rsidR="0003316E" w:rsidRPr="008D0189">
        <w:rPr>
          <w:rFonts w:eastAsia="Times New Roman" w:cs="Tahoma"/>
          <w:bCs/>
          <w:color w:val="auto"/>
          <w:lang w:val="es-ES_tradnl" w:eastAsia="es-ES"/>
        </w:rPr>
        <w:t>el</w:t>
      </w:r>
      <w:r w:rsidRPr="008D0189">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8D0189">
        <w:rPr>
          <w:rFonts w:eastAsia="Times New Roman" w:cs="Tahoma"/>
          <w:bCs/>
          <w:color w:val="auto"/>
          <w:lang w:val="es-ES_tradnl" w:eastAsia="es-ES"/>
        </w:rPr>
        <w:t>el</w:t>
      </w:r>
      <w:r w:rsidRPr="008D0189">
        <w:rPr>
          <w:rFonts w:eastAsia="Times New Roman" w:cs="Tahoma"/>
          <w:bCs/>
          <w:color w:val="auto"/>
          <w:lang w:val="es-ES_tradnl" w:eastAsia="es-ES"/>
        </w:rPr>
        <w:t xml:space="preserve"> cual fue debidamente notificado a las parte</w:t>
      </w:r>
      <w:r w:rsidR="00A322C2" w:rsidRPr="008D0189">
        <w:rPr>
          <w:rFonts w:eastAsia="Times New Roman" w:cs="Tahoma"/>
          <w:bCs/>
          <w:color w:val="auto"/>
          <w:lang w:val="es-ES_tradnl" w:eastAsia="es-ES"/>
        </w:rPr>
        <w:t xml:space="preserve">s, el </w:t>
      </w:r>
      <w:r w:rsidR="00B732D1" w:rsidRPr="008D0189">
        <w:rPr>
          <w:rFonts w:eastAsia="Times New Roman" w:cs="Tahoma"/>
          <w:bCs/>
          <w:color w:val="auto"/>
          <w:lang w:val="es-ES_tradnl" w:eastAsia="es-ES"/>
        </w:rPr>
        <w:t>mismo día</w:t>
      </w:r>
      <w:r w:rsidRPr="008D0189">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8D0189" w:rsidRDefault="00767EFB" w:rsidP="00147554">
      <w:pPr>
        <w:spacing w:after="0" w:line="360" w:lineRule="auto"/>
        <w:contextualSpacing/>
        <w:rPr>
          <w:rFonts w:eastAsia="Times New Roman" w:cs="Tahoma"/>
          <w:b/>
          <w:bCs/>
          <w:color w:val="auto"/>
          <w:lang w:eastAsia="es-ES"/>
        </w:rPr>
      </w:pPr>
    </w:p>
    <w:p w14:paraId="73E386DF" w14:textId="1060568C" w:rsidR="00FC63D3" w:rsidRDefault="002F28F9" w:rsidP="00147554">
      <w:pPr>
        <w:spacing w:after="0" w:line="360" w:lineRule="auto"/>
        <w:rPr>
          <w:rFonts w:cs="Tahoma"/>
          <w:lang w:val="es-ES_tradnl"/>
        </w:rPr>
      </w:pPr>
      <w:bookmarkStart w:id="14" w:name="_Toc208312899"/>
      <w:bookmarkStart w:id="15" w:name="_Toc225435443"/>
      <w:r w:rsidRPr="009F172E">
        <w:rPr>
          <w:rStyle w:val="Ttulo2Car"/>
          <w:rFonts w:ascii="Palatino Linotype" w:hAnsi="Palatino Linotype"/>
          <w:b/>
          <w:color w:val="auto"/>
          <w:sz w:val="22"/>
        </w:rPr>
        <w:t xml:space="preserve">c) </w:t>
      </w:r>
      <w:r w:rsidR="00551CAD" w:rsidRPr="009F172E">
        <w:rPr>
          <w:rStyle w:val="Ttulo2Car"/>
          <w:rFonts w:ascii="Palatino Linotype" w:hAnsi="Palatino Linotype"/>
          <w:b/>
          <w:color w:val="auto"/>
          <w:sz w:val="22"/>
        </w:rPr>
        <w:t>Informe Justificado</w:t>
      </w:r>
      <w:r w:rsidR="00283F5C" w:rsidRPr="009F172E">
        <w:rPr>
          <w:rStyle w:val="Ttulo2Car"/>
          <w:rFonts w:ascii="Palatino Linotype" w:hAnsi="Palatino Linotype"/>
          <w:b/>
          <w:color w:val="auto"/>
          <w:sz w:val="22"/>
        </w:rPr>
        <w:t>.</w:t>
      </w:r>
      <w:bookmarkEnd w:id="14"/>
      <w:bookmarkEnd w:id="15"/>
      <w:r w:rsidR="00283F5C" w:rsidRPr="008D0189">
        <w:rPr>
          <w:rFonts w:cs="Tahoma"/>
          <w:b/>
          <w:lang w:val="es-ES_tradnl"/>
        </w:rPr>
        <w:t xml:space="preserve"> </w:t>
      </w:r>
      <w:r w:rsidR="00283F5C" w:rsidRPr="008D0189">
        <w:rPr>
          <w:rFonts w:cs="Tahoma"/>
          <w:lang w:val="es-ES_tradnl"/>
        </w:rPr>
        <w:t xml:space="preserve">El </w:t>
      </w:r>
      <w:r w:rsidR="006C180F">
        <w:rPr>
          <w:rFonts w:cs="Tahoma"/>
          <w:lang w:val="es-ES_tradnl"/>
        </w:rPr>
        <w:t>nueve de julio</w:t>
      </w:r>
      <w:r w:rsidR="00283F5C" w:rsidRPr="008D0189">
        <w:rPr>
          <w:rFonts w:cs="Tahoma"/>
          <w:lang w:val="es-ES_tradnl"/>
        </w:rPr>
        <w:t xml:space="preserve"> de dos mil veinticinco, a través de Sistema de Acceso a la Información Mexiquense (SAIMEX), se recibió en este instituto el Informe Justificad</w:t>
      </w:r>
      <w:r w:rsidR="00FA6286">
        <w:rPr>
          <w:rFonts w:cs="Tahoma"/>
          <w:lang w:val="es-ES_tradnl"/>
        </w:rPr>
        <w:t>o por parte del Sujeto Obligado, donde medularmente se ratifica su respuesta inicial.</w:t>
      </w:r>
    </w:p>
    <w:p w14:paraId="7ABA0C53" w14:textId="77777777" w:rsidR="00FC63D3" w:rsidRPr="008D0189" w:rsidRDefault="00FC63D3" w:rsidP="00147554">
      <w:pPr>
        <w:tabs>
          <w:tab w:val="left" w:pos="4667"/>
        </w:tabs>
        <w:spacing w:after="0" w:line="360" w:lineRule="auto"/>
        <w:ind w:right="567"/>
        <w:rPr>
          <w:i/>
          <w:iCs/>
          <w:color w:val="auto"/>
          <w:sz w:val="20"/>
          <w:szCs w:val="20"/>
        </w:rPr>
      </w:pPr>
    </w:p>
    <w:p w14:paraId="4E77BAF9" w14:textId="56AD1298" w:rsidR="00FC63D3" w:rsidRDefault="00FC63D3" w:rsidP="00147554">
      <w:pPr>
        <w:tabs>
          <w:tab w:val="left" w:pos="4667"/>
        </w:tabs>
        <w:spacing w:after="0" w:line="360" w:lineRule="auto"/>
        <w:rPr>
          <w:iCs/>
          <w:color w:val="auto"/>
          <w:szCs w:val="20"/>
        </w:rPr>
      </w:pPr>
      <w:r w:rsidRPr="008D0189">
        <w:rPr>
          <w:b/>
          <w:iCs/>
          <w:color w:val="auto"/>
          <w:szCs w:val="20"/>
        </w:rPr>
        <w:t>d) Vista del Informe Justificado.</w:t>
      </w:r>
      <w:r w:rsidRPr="008D0189">
        <w:rPr>
          <w:iCs/>
          <w:color w:val="auto"/>
          <w:szCs w:val="20"/>
        </w:rPr>
        <w:t xml:space="preserve"> El </w:t>
      </w:r>
      <w:r w:rsidR="006C180F">
        <w:rPr>
          <w:iCs/>
          <w:color w:val="auto"/>
          <w:szCs w:val="20"/>
        </w:rPr>
        <w:t>dieciocho de marzo de dos mil veintiséis</w:t>
      </w:r>
      <w:r w:rsidRPr="008D0189">
        <w:rPr>
          <w:iCs/>
          <w:color w:val="auto"/>
          <w:szCs w:val="20"/>
        </w:rPr>
        <w:t xml:space="preserve">, se dictó acuerdo por medio del cual se puso a la vista del Recurrente el Informe Justificado entregado por el Sujeto Obligado, el cual fue notificado a las partes, </w:t>
      </w:r>
      <w:r w:rsidR="00FA6286">
        <w:rPr>
          <w:iCs/>
          <w:color w:val="auto"/>
          <w:szCs w:val="20"/>
        </w:rPr>
        <w:t>el mismo día, mes y</w:t>
      </w:r>
      <w:r w:rsidRPr="008D0189">
        <w:rPr>
          <w:iCs/>
          <w:color w:val="auto"/>
          <w:szCs w:val="20"/>
        </w:rPr>
        <w:t xml:space="preserve"> año, a través del Sistema de Acceso a la Información Mexiquense (SAIMEX).</w:t>
      </w:r>
    </w:p>
    <w:p w14:paraId="1EA69B0B" w14:textId="77777777" w:rsidR="008A4D35" w:rsidRDefault="008A4D35" w:rsidP="00147554">
      <w:pPr>
        <w:tabs>
          <w:tab w:val="left" w:pos="4667"/>
        </w:tabs>
        <w:spacing w:after="0" w:line="360" w:lineRule="auto"/>
        <w:rPr>
          <w:iCs/>
          <w:color w:val="auto"/>
          <w:szCs w:val="20"/>
        </w:rPr>
      </w:pPr>
    </w:p>
    <w:p w14:paraId="26716B7A" w14:textId="1B7CB995" w:rsidR="008A4D35" w:rsidRPr="008D0189" w:rsidRDefault="00880B42" w:rsidP="00147554">
      <w:pPr>
        <w:tabs>
          <w:tab w:val="left" w:pos="4667"/>
        </w:tabs>
        <w:spacing w:after="0" w:line="360" w:lineRule="auto"/>
        <w:rPr>
          <w:iCs/>
          <w:color w:val="auto"/>
          <w:szCs w:val="20"/>
        </w:rPr>
      </w:pPr>
      <w:r>
        <w:rPr>
          <w:b/>
          <w:iCs/>
          <w:color w:val="auto"/>
          <w:szCs w:val="20"/>
        </w:rPr>
        <w:lastRenderedPageBreak/>
        <w:t>e</w:t>
      </w:r>
      <w:r w:rsidR="008A4D35" w:rsidRPr="008A4D35">
        <w:rPr>
          <w:b/>
          <w:iCs/>
          <w:color w:val="auto"/>
          <w:szCs w:val="20"/>
        </w:rPr>
        <w:t>) Ampliación de plazo para resolver.</w:t>
      </w:r>
      <w:r w:rsidR="008A4D35">
        <w:rPr>
          <w:iCs/>
          <w:color w:val="auto"/>
          <w:szCs w:val="20"/>
        </w:rPr>
        <w:t xml:space="preserve"> </w:t>
      </w:r>
      <w:r w:rsidR="008A4D35" w:rsidRPr="008A4D35">
        <w:rPr>
          <w:iCs/>
          <w:color w:val="auto"/>
          <w:szCs w:val="20"/>
        </w:rPr>
        <w:t xml:space="preserve">El </w:t>
      </w:r>
      <w:r w:rsidR="00773FA5">
        <w:rPr>
          <w:iCs/>
          <w:color w:val="auto"/>
          <w:szCs w:val="20"/>
        </w:rPr>
        <w:t>diecinueve</w:t>
      </w:r>
      <w:r w:rsidR="006C180F">
        <w:rPr>
          <w:iCs/>
          <w:color w:val="auto"/>
          <w:szCs w:val="20"/>
        </w:rPr>
        <w:t xml:space="preserve"> de marzo de dos mil veintiséis</w:t>
      </w:r>
      <w:r w:rsidR="008A4D35">
        <w:rPr>
          <w:iCs/>
          <w:color w:val="auto"/>
          <w:szCs w:val="20"/>
        </w:rPr>
        <w:t xml:space="preserve">, el </w:t>
      </w:r>
      <w:r w:rsidR="008A4D35" w:rsidRPr="008A4D35">
        <w:rPr>
          <w:iCs/>
          <w:color w:val="auto"/>
          <w:szCs w:val="20"/>
        </w:rPr>
        <w:t>Comisionado Ponente, con fundamento en lo dispuesto por el</w:t>
      </w:r>
      <w:r w:rsidR="008A4D35">
        <w:rPr>
          <w:iCs/>
          <w:color w:val="auto"/>
          <w:szCs w:val="20"/>
        </w:rPr>
        <w:t xml:space="preserve"> artículo 181, párrafo tercero, </w:t>
      </w:r>
      <w:r w:rsidR="008A4D35" w:rsidRPr="008A4D35">
        <w:rPr>
          <w:iCs/>
          <w:color w:val="auto"/>
          <w:szCs w:val="20"/>
        </w:rPr>
        <w:t>de la Ley de Transparencia y Acceso a la Información</w:t>
      </w:r>
      <w:r w:rsidR="008A4D35">
        <w:rPr>
          <w:iCs/>
          <w:color w:val="auto"/>
          <w:szCs w:val="20"/>
        </w:rPr>
        <w:t xml:space="preserve"> Pública del Estado de México y Municipios, acordó </w:t>
      </w:r>
      <w:r w:rsidR="008A4D35" w:rsidRPr="008A4D35">
        <w:rPr>
          <w:iCs/>
          <w:color w:val="auto"/>
          <w:szCs w:val="20"/>
        </w:rPr>
        <w:t>ampliar por un periodo razonable, el pl</w:t>
      </w:r>
      <w:r w:rsidR="008A4D35">
        <w:rPr>
          <w:iCs/>
          <w:color w:val="auto"/>
          <w:szCs w:val="20"/>
        </w:rPr>
        <w:t xml:space="preserve">azo para resolver el Recurso de </w:t>
      </w:r>
      <w:r w:rsidR="008A4D35" w:rsidRPr="008A4D35">
        <w:rPr>
          <w:iCs/>
          <w:color w:val="auto"/>
          <w:szCs w:val="20"/>
        </w:rPr>
        <w:t>Revisión que nos ocupa; acto que fue notificado a las p</w:t>
      </w:r>
      <w:r w:rsidR="008A4D35">
        <w:rPr>
          <w:iCs/>
          <w:color w:val="auto"/>
          <w:szCs w:val="20"/>
        </w:rPr>
        <w:t xml:space="preserve">artes el mismo día, mediante el Sistema de Acceso a la </w:t>
      </w:r>
      <w:r w:rsidR="008A4D35" w:rsidRPr="008A4D35">
        <w:rPr>
          <w:iCs/>
          <w:color w:val="auto"/>
          <w:szCs w:val="20"/>
        </w:rPr>
        <w:t>Información Mexiquense (SAIMEX).</w:t>
      </w:r>
    </w:p>
    <w:p w14:paraId="4B1A20EB" w14:textId="77777777" w:rsidR="00FC63D3" w:rsidRPr="008D0189" w:rsidRDefault="00FC63D3" w:rsidP="00147554">
      <w:pPr>
        <w:tabs>
          <w:tab w:val="left" w:pos="4667"/>
        </w:tabs>
        <w:spacing w:after="0" w:line="360" w:lineRule="auto"/>
        <w:ind w:right="567"/>
        <w:rPr>
          <w:iCs/>
          <w:color w:val="auto"/>
          <w:szCs w:val="20"/>
        </w:rPr>
      </w:pPr>
    </w:p>
    <w:p w14:paraId="403F7296" w14:textId="7C1238BD" w:rsidR="00DB3DC5" w:rsidRPr="008D0189" w:rsidRDefault="00880B42" w:rsidP="00147554">
      <w:pPr>
        <w:autoSpaceDE w:val="0"/>
        <w:autoSpaceDN w:val="0"/>
        <w:adjustRightInd w:val="0"/>
        <w:spacing w:after="0" w:line="360" w:lineRule="auto"/>
        <w:ind w:right="-28"/>
        <w:contextualSpacing/>
        <w:rPr>
          <w:rFonts w:eastAsia="Calibri" w:cs="Tahoma"/>
          <w:bCs/>
        </w:rPr>
      </w:pPr>
      <w:bookmarkStart w:id="16" w:name="_Toc208312900"/>
      <w:bookmarkStart w:id="17" w:name="_Toc225435444"/>
      <w:r>
        <w:rPr>
          <w:rStyle w:val="Ttulo2Car"/>
          <w:rFonts w:ascii="Palatino Linotype" w:hAnsi="Palatino Linotype"/>
          <w:b/>
          <w:bCs/>
          <w:color w:val="000000" w:themeColor="text1"/>
          <w:sz w:val="22"/>
          <w:szCs w:val="22"/>
        </w:rPr>
        <w:t>f</w:t>
      </w:r>
      <w:r w:rsidR="0014339D" w:rsidRPr="008D0189">
        <w:rPr>
          <w:rStyle w:val="Ttulo2Car"/>
          <w:rFonts w:ascii="Palatino Linotype" w:hAnsi="Palatino Linotype"/>
          <w:b/>
          <w:bCs/>
          <w:color w:val="000000" w:themeColor="text1"/>
          <w:sz w:val="22"/>
          <w:szCs w:val="22"/>
        </w:rPr>
        <w:t xml:space="preserve">) </w:t>
      </w:r>
      <w:r w:rsidR="00DB3DC5" w:rsidRPr="008D0189">
        <w:rPr>
          <w:rStyle w:val="Ttulo2Car"/>
          <w:rFonts w:ascii="Palatino Linotype" w:hAnsi="Palatino Linotype"/>
          <w:b/>
          <w:bCs/>
          <w:color w:val="000000" w:themeColor="text1"/>
          <w:sz w:val="22"/>
          <w:szCs w:val="22"/>
        </w:rPr>
        <w:t>Cierre de instrucción.</w:t>
      </w:r>
      <w:bookmarkEnd w:id="16"/>
      <w:bookmarkEnd w:id="17"/>
      <w:r w:rsidR="00DB3DC5" w:rsidRPr="008D0189">
        <w:rPr>
          <w:rFonts w:eastAsia="Times New Roman" w:cs="Tahoma"/>
          <w:szCs w:val="24"/>
          <w:lang w:eastAsia="es-ES"/>
        </w:rPr>
        <w:t xml:space="preserve"> El </w:t>
      </w:r>
      <w:r w:rsidR="00773FA5">
        <w:rPr>
          <w:iCs/>
          <w:color w:val="auto"/>
          <w:szCs w:val="20"/>
        </w:rPr>
        <w:t>veintiséis</w:t>
      </w:r>
      <w:r w:rsidR="006C180F">
        <w:rPr>
          <w:iCs/>
          <w:color w:val="auto"/>
          <w:szCs w:val="20"/>
        </w:rPr>
        <w:t xml:space="preserve"> de marzo de dos mil veintiséis</w:t>
      </w:r>
      <w:r w:rsidR="00DB3DC5" w:rsidRPr="008D0189">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F28F9" w:rsidRPr="008D0189">
        <w:rPr>
          <w:rFonts w:eastAsia="Times New Roman" w:cs="Tahoma"/>
          <w:szCs w:val="24"/>
          <w:lang w:eastAsia="es-ES"/>
        </w:rPr>
        <w:t>catorce de dicho mes y año</w:t>
      </w:r>
      <w:r w:rsidR="00DB3DC5" w:rsidRPr="008D0189">
        <w:rPr>
          <w:rFonts w:eastAsia="Times New Roman" w:cs="Tahoma"/>
          <w:szCs w:val="24"/>
          <w:lang w:eastAsia="es-ES"/>
        </w:rPr>
        <w:t xml:space="preserve">, a través del </w:t>
      </w:r>
      <w:r w:rsidR="00DB3DC5" w:rsidRPr="008D0189">
        <w:rPr>
          <w:rFonts w:eastAsia="Times New Roman" w:cs="Tahoma"/>
          <w:szCs w:val="20"/>
          <w:lang w:val="es-ES" w:eastAsia="es-ES"/>
        </w:rPr>
        <w:t>Sistema de Acceso a la Información Mexiquense (SAIMEX)</w:t>
      </w:r>
      <w:r w:rsidR="00DB3DC5" w:rsidRPr="008D0189">
        <w:rPr>
          <w:rFonts w:eastAsia="Times New Roman" w:cs="Tahoma"/>
          <w:szCs w:val="24"/>
          <w:lang w:eastAsia="es-ES"/>
        </w:rPr>
        <w:t xml:space="preserve">. </w:t>
      </w:r>
    </w:p>
    <w:p w14:paraId="44D053F7" w14:textId="77777777" w:rsidR="0014339D" w:rsidRPr="008D0189" w:rsidRDefault="0014339D" w:rsidP="00147554">
      <w:pPr>
        <w:autoSpaceDE w:val="0"/>
        <w:autoSpaceDN w:val="0"/>
        <w:adjustRightInd w:val="0"/>
        <w:spacing w:after="0" w:line="360" w:lineRule="auto"/>
        <w:ind w:right="-28"/>
        <w:contextualSpacing/>
        <w:rPr>
          <w:rFonts w:eastAsia="Calibri" w:cs="Tahoma"/>
          <w:bCs/>
          <w:highlight w:val="red"/>
        </w:rPr>
      </w:pPr>
    </w:p>
    <w:p w14:paraId="5D1BB03E" w14:textId="77777777" w:rsidR="00DB3DC5" w:rsidRPr="008D0189" w:rsidRDefault="00DB3DC5" w:rsidP="00147554">
      <w:pPr>
        <w:spacing w:after="0" w:line="360" w:lineRule="auto"/>
        <w:contextualSpacing/>
        <w:rPr>
          <w:rFonts w:eastAsia="Times New Roman" w:cs="Tahoma"/>
          <w:szCs w:val="24"/>
          <w:lang w:eastAsia="es-ES"/>
        </w:rPr>
      </w:pPr>
      <w:r w:rsidRPr="008D0189">
        <w:rPr>
          <w:rFonts w:eastAsia="Times New Roman" w:cs="Tahoma"/>
          <w:szCs w:val="24"/>
          <w:lang w:eastAsia="es-ES"/>
        </w:rPr>
        <w:t>En razón de que fue debidamente sustanciado e integrado el expediente electrónico y no existe diligencia pendiente de desahogo, se emite la resolución que conforme a Derecho proceda, de acuerdo a los siguientes:</w:t>
      </w:r>
    </w:p>
    <w:p w14:paraId="57B73FEB" w14:textId="46162BBA" w:rsidR="006C180F" w:rsidRPr="008D0189" w:rsidRDefault="00076681" w:rsidP="00147554">
      <w:pPr>
        <w:tabs>
          <w:tab w:val="left" w:pos="2985"/>
        </w:tabs>
        <w:spacing w:after="0" w:line="360" w:lineRule="auto"/>
        <w:contextualSpacing/>
        <w:rPr>
          <w:rFonts w:eastAsia="Times New Roman" w:cs="Tahoma"/>
          <w:b/>
          <w:color w:val="auto"/>
          <w:lang w:val="es-ES" w:eastAsia="es-ES"/>
        </w:rPr>
      </w:pPr>
      <w:r w:rsidRPr="008D0189">
        <w:rPr>
          <w:rFonts w:eastAsia="Times New Roman" w:cs="Tahoma"/>
          <w:b/>
          <w:color w:val="auto"/>
          <w:lang w:val="es-ES" w:eastAsia="es-ES"/>
        </w:rPr>
        <w:tab/>
      </w:r>
    </w:p>
    <w:p w14:paraId="1AD6FB2C" w14:textId="338C6782" w:rsidR="00DB3DC5" w:rsidRPr="008D0189" w:rsidRDefault="00076681" w:rsidP="00147554">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8" w:name="_Toc208312901"/>
      <w:bookmarkStart w:id="19" w:name="_Toc225435445"/>
      <w:r w:rsidRPr="008D0189">
        <w:rPr>
          <w:rFonts w:ascii="Palatino Linotype" w:eastAsia="Times New Roman" w:hAnsi="Palatino Linotype"/>
          <w:b/>
          <w:color w:val="000000" w:themeColor="text1"/>
          <w:sz w:val="22"/>
          <w:szCs w:val="22"/>
          <w:lang w:val="es-ES" w:eastAsia="es-ES"/>
        </w:rPr>
        <w:t>C O N S I D E R A N D O S</w:t>
      </w:r>
      <w:bookmarkEnd w:id="18"/>
      <w:bookmarkEnd w:id="19"/>
    </w:p>
    <w:p w14:paraId="549853BE" w14:textId="77777777" w:rsidR="006C180F" w:rsidRPr="008D0189" w:rsidRDefault="006C180F" w:rsidP="00147554">
      <w:pPr>
        <w:spacing w:after="0" w:line="360" w:lineRule="auto"/>
        <w:contextualSpacing/>
        <w:jc w:val="center"/>
        <w:rPr>
          <w:rFonts w:eastAsia="Times New Roman" w:cs="Tahoma"/>
          <w:b/>
          <w:color w:val="auto"/>
          <w:lang w:val="es-ES" w:eastAsia="es-ES"/>
        </w:rPr>
      </w:pPr>
    </w:p>
    <w:p w14:paraId="377E7349" w14:textId="6D021A7A" w:rsidR="00DB3DC5" w:rsidRPr="008D0189" w:rsidRDefault="00DB3DC5" w:rsidP="00147554">
      <w:pPr>
        <w:pStyle w:val="Ttulo2"/>
        <w:spacing w:before="0" w:line="360" w:lineRule="auto"/>
        <w:rPr>
          <w:rFonts w:ascii="Palatino Linotype" w:eastAsia="Times New Roman" w:hAnsi="Palatino Linotype"/>
          <w:b/>
          <w:color w:val="000000" w:themeColor="text1"/>
          <w:sz w:val="22"/>
          <w:szCs w:val="22"/>
          <w:lang w:val="es-ES" w:eastAsia="es-ES"/>
        </w:rPr>
      </w:pPr>
      <w:bookmarkStart w:id="20" w:name="_Toc208312902"/>
      <w:bookmarkStart w:id="21" w:name="_Toc225435446"/>
      <w:r w:rsidRPr="008D0189">
        <w:rPr>
          <w:rFonts w:ascii="Palatino Linotype" w:eastAsia="Calibri" w:hAnsi="Palatino Linotype"/>
          <w:b/>
          <w:color w:val="000000" w:themeColor="text1"/>
          <w:sz w:val="22"/>
          <w:szCs w:val="22"/>
          <w:lang w:val="es-ES" w:eastAsia="es-MX"/>
        </w:rPr>
        <w:t xml:space="preserve">PRIMERO. </w:t>
      </w:r>
      <w:r w:rsidR="00076681" w:rsidRPr="008D0189">
        <w:rPr>
          <w:rFonts w:ascii="Palatino Linotype" w:eastAsia="Times New Roman" w:hAnsi="Palatino Linotype"/>
          <w:b/>
          <w:color w:val="000000" w:themeColor="text1"/>
          <w:sz w:val="22"/>
          <w:szCs w:val="22"/>
          <w:lang w:val="es-ES" w:eastAsia="es-ES"/>
        </w:rPr>
        <w:t>Competencia</w:t>
      </w:r>
      <w:bookmarkEnd w:id="20"/>
      <w:bookmarkEnd w:id="21"/>
    </w:p>
    <w:p w14:paraId="04BEA266" w14:textId="77777777" w:rsidR="00551CAD" w:rsidRPr="008D0189" w:rsidRDefault="00551CAD" w:rsidP="00147554">
      <w:pPr>
        <w:spacing w:after="0" w:line="360" w:lineRule="auto"/>
        <w:rPr>
          <w:lang w:val="es-ES" w:eastAsia="es-ES"/>
        </w:rPr>
      </w:pPr>
    </w:p>
    <w:p w14:paraId="3FC51EB9" w14:textId="77777777" w:rsidR="0086590C" w:rsidRPr="00A16B9F" w:rsidRDefault="0086590C" w:rsidP="0086590C">
      <w:pPr>
        <w:autoSpaceDE w:val="0"/>
        <w:autoSpaceDN w:val="0"/>
        <w:adjustRightInd w:val="0"/>
        <w:spacing w:after="0" w:line="360" w:lineRule="auto"/>
        <w:rPr>
          <w:rFonts w:cs="Tahoma"/>
          <w:color w:val="auto"/>
          <w:lang w:val="es-ES"/>
        </w:rPr>
      </w:pPr>
      <w:r w:rsidRPr="00E62B2F">
        <w:rPr>
          <w:rFonts w:cs="Tahoma"/>
          <w:color w:val="auto"/>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w:t>
      </w:r>
      <w:r w:rsidRPr="00E62B2F">
        <w:rPr>
          <w:rFonts w:cs="Tahoma"/>
          <w:color w:val="auto"/>
          <w:lang w:val="es-ES"/>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81CFF1" w14:textId="77777777" w:rsidR="00C0397C" w:rsidRDefault="00C0397C" w:rsidP="00147554">
      <w:pPr>
        <w:autoSpaceDE w:val="0"/>
        <w:autoSpaceDN w:val="0"/>
        <w:adjustRightInd w:val="0"/>
        <w:spacing w:after="0" w:line="360" w:lineRule="auto"/>
        <w:contextualSpacing/>
        <w:rPr>
          <w:rFonts w:eastAsia="Calibri" w:cs="Tahoma"/>
          <w:b/>
          <w:color w:val="auto"/>
          <w:szCs w:val="24"/>
          <w:lang w:val="es-ES" w:eastAsia="es-MX"/>
        </w:rPr>
      </w:pPr>
    </w:p>
    <w:p w14:paraId="0838700F" w14:textId="77777777" w:rsidR="0086590C" w:rsidRPr="008D0189" w:rsidRDefault="0086590C" w:rsidP="00147554">
      <w:pPr>
        <w:autoSpaceDE w:val="0"/>
        <w:autoSpaceDN w:val="0"/>
        <w:adjustRightInd w:val="0"/>
        <w:spacing w:after="0" w:line="360" w:lineRule="auto"/>
        <w:contextualSpacing/>
        <w:rPr>
          <w:rFonts w:eastAsia="Calibri" w:cs="Tahoma"/>
          <w:b/>
          <w:color w:val="auto"/>
          <w:szCs w:val="24"/>
          <w:lang w:val="es-ES" w:eastAsia="es-MX"/>
        </w:rPr>
      </w:pPr>
    </w:p>
    <w:p w14:paraId="77696DE3" w14:textId="217D106C" w:rsidR="00DB3DC5" w:rsidRPr="008D0189" w:rsidRDefault="00DB3DC5" w:rsidP="00147554">
      <w:pPr>
        <w:pStyle w:val="Ttulo2"/>
        <w:spacing w:before="0" w:line="360" w:lineRule="auto"/>
        <w:rPr>
          <w:rFonts w:ascii="Palatino Linotype" w:eastAsia="Times New Roman" w:hAnsi="Palatino Linotype"/>
          <w:b/>
          <w:color w:val="000000" w:themeColor="text1"/>
          <w:sz w:val="22"/>
          <w:szCs w:val="22"/>
          <w:lang w:val="es-ES" w:eastAsia="es-ES"/>
        </w:rPr>
      </w:pPr>
      <w:bookmarkStart w:id="22" w:name="_Toc208312903"/>
      <w:bookmarkStart w:id="23" w:name="_Toc225435447"/>
      <w:r w:rsidRPr="008D0189">
        <w:rPr>
          <w:rFonts w:ascii="Palatino Linotype" w:eastAsia="Calibri" w:hAnsi="Palatino Linotype"/>
          <w:b/>
          <w:color w:val="000000" w:themeColor="text1"/>
          <w:sz w:val="22"/>
          <w:szCs w:val="22"/>
          <w:lang w:val="es-ES" w:eastAsia="es-MX"/>
        </w:rPr>
        <w:t xml:space="preserve">SEGUNDO. </w:t>
      </w:r>
      <w:r w:rsidRPr="008D0189">
        <w:rPr>
          <w:rFonts w:ascii="Palatino Linotype" w:eastAsia="Times New Roman" w:hAnsi="Palatino Linotype"/>
          <w:b/>
          <w:color w:val="000000" w:themeColor="text1"/>
          <w:sz w:val="22"/>
          <w:szCs w:val="22"/>
          <w:lang w:val="es-ES" w:eastAsia="es-ES"/>
        </w:rPr>
        <w:t>Causales de</w:t>
      </w:r>
      <w:r w:rsidR="00076681" w:rsidRPr="008D0189">
        <w:rPr>
          <w:rFonts w:ascii="Palatino Linotype" w:eastAsia="Times New Roman" w:hAnsi="Palatino Linotype"/>
          <w:b/>
          <w:color w:val="000000" w:themeColor="text1"/>
          <w:sz w:val="22"/>
          <w:szCs w:val="22"/>
          <w:lang w:val="es-ES" w:eastAsia="es-ES"/>
        </w:rPr>
        <w:t xml:space="preserve"> improcedencia y sobreseimiento</w:t>
      </w:r>
      <w:bookmarkEnd w:id="22"/>
      <w:bookmarkEnd w:id="23"/>
      <w:r w:rsidRPr="008D0189">
        <w:rPr>
          <w:rFonts w:ascii="Palatino Linotype" w:eastAsia="Times New Roman" w:hAnsi="Palatino Linotype"/>
          <w:b/>
          <w:color w:val="000000" w:themeColor="text1"/>
          <w:sz w:val="22"/>
          <w:szCs w:val="22"/>
          <w:lang w:val="es-ES" w:eastAsia="es-ES"/>
        </w:rPr>
        <w:t xml:space="preserve"> </w:t>
      </w:r>
    </w:p>
    <w:p w14:paraId="55EBC3F1" w14:textId="77777777" w:rsidR="007B68D1" w:rsidRPr="008D0189" w:rsidRDefault="007B68D1" w:rsidP="00147554">
      <w:pPr>
        <w:spacing w:after="0" w:line="360" w:lineRule="auto"/>
        <w:rPr>
          <w:lang w:val="es-ES" w:eastAsia="es-ES"/>
        </w:rPr>
      </w:pPr>
    </w:p>
    <w:p w14:paraId="66568F72" w14:textId="77777777" w:rsidR="007B68D1" w:rsidRPr="008D0189" w:rsidRDefault="007B68D1" w:rsidP="00147554">
      <w:pPr>
        <w:spacing w:after="0" w:line="360" w:lineRule="auto"/>
        <w:rPr>
          <w:rFonts w:eastAsia="Palatino Linotype" w:cs="Palatino Linotype"/>
          <w:color w:val="000000"/>
          <w:lang w:eastAsia="es-MX"/>
        </w:rPr>
      </w:pPr>
      <w:r w:rsidRPr="008D0189">
        <w:rPr>
          <w:rFonts w:eastAsia="Palatino Linotype" w:cs="Palatino Linotype"/>
          <w:color w:val="000000"/>
          <w:lang w:eastAsia="es-MX"/>
        </w:rPr>
        <w:t xml:space="preserve">De las constancias que forma parte del Recurso de Revisión que se analiza, se advierte que previo al estudio del fondo de la </w:t>
      </w:r>
      <w:proofErr w:type="spellStart"/>
      <w:r w:rsidRPr="008D0189">
        <w:rPr>
          <w:rFonts w:eastAsia="Palatino Linotype" w:cs="Palatino Linotype"/>
          <w:i/>
          <w:color w:val="000000"/>
          <w:lang w:eastAsia="es-MX"/>
        </w:rPr>
        <w:t>litis</w:t>
      </w:r>
      <w:proofErr w:type="spellEnd"/>
      <w:r w:rsidRPr="008D0189">
        <w:rPr>
          <w:rFonts w:eastAsia="Palatino Linotype" w:cs="Palatino Linotype"/>
          <w:color w:val="000000"/>
          <w:lang w:eastAsia="es-MX"/>
        </w:rPr>
        <w:t>, es necesario estudiar las causales de improcedencia y sobreseimiento que se adviertan, para determinar lo que en Derecho proceda.</w:t>
      </w:r>
    </w:p>
    <w:p w14:paraId="21C9EADF" w14:textId="77777777" w:rsidR="007B68D1" w:rsidRPr="008D0189" w:rsidRDefault="007B68D1" w:rsidP="00147554">
      <w:pPr>
        <w:spacing w:after="0" w:line="360" w:lineRule="auto"/>
        <w:rPr>
          <w:rFonts w:eastAsia="Palatino Linotype" w:cs="Palatino Linotype"/>
          <w:color w:val="000000"/>
          <w:lang w:eastAsia="es-MX"/>
        </w:rPr>
      </w:pPr>
    </w:p>
    <w:p w14:paraId="5A443A69" w14:textId="77777777" w:rsidR="007B68D1" w:rsidRPr="008D0189" w:rsidRDefault="007B68D1" w:rsidP="00147554">
      <w:pPr>
        <w:spacing w:after="0" w:line="360" w:lineRule="auto"/>
        <w:rPr>
          <w:rFonts w:eastAsia="Palatino Linotype" w:cs="Palatino Linotype"/>
          <w:b/>
          <w:color w:val="000000"/>
          <w:lang w:eastAsia="es-MX"/>
        </w:rPr>
      </w:pPr>
      <w:r w:rsidRPr="008D0189">
        <w:rPr>
          <w:rFonts w:eastAsia="Palatino Linotype" w:cs="Palatino Linotype"/>
          <w:b/>
          <w:color w:val="000000"/>
          <w:lang w:eastAsia="es-MX"/>
        </w:rPr>
        <w:t>Causales de improcedencia</w:t>
      </w:r>
    </w:p>
    <w:p w14:paraId="0681C057" w14:textId="77777777" w:rsidR="007B68D1" w:rsidRPr="008D0189" w:rsidRDefault="007B68D1" w:rsidP="00147554">
      <w:pPr>
        <w:spacing w:after="0" w:line="360" w:lineRule="auto"/>
        <w:rPr>
          <w:rFonts w:eastAsia="Palatino Linotype" w:cs="Palatino Linotype"/>
          <w:color w:val="000000"/>
          <w:lang w:eastAsia="es-MX"/>
        </w:rPr>
      </w:pPr>
    </w:p>
    <w:p w14:paraId="3ABC7630" w14:textId="77777777" w:rsidR="007B68D1" w:rsidRPr="008D0189" w:rsidRDefault="007B68D1" w:rsidP="00147554">
      <w:pPr>
        <w:spacing w:after="0" w:line="360" w:lineRule="auto"/>
        <w:rPr>
          <w:rFonts w:eastAsia="Palatino Linotype" w:cs="Palatino Linotype"/>
          <w:color w:val="000000"/>
          <w:lang w:eastAsia="es-MX"/>
        </w:rPr>
      </w:pPr>
      <w:r w:rsidRPr="008D0189">
        <w:rPr>
          <w:rFonts w:eastAsia="Palatino Linotype" w:cs="Palatino Linotype"/>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B0EEC32" w14:textId="77777777" w:rsidR="007B68D1" w:rsidRPr="008D0189" w:rsidRDefault="007B68D1" w:rsidP="00147554">
      <w:pPr>
        <w:spacing w:after="0" w:line="360" w:lineRule="auto"/>
        <w:rPr>
          <w:rFonts w:eastAsia="Palatino Linotype" w:cs="Palatino Linotype"/>
          <w:color w:val="000000"/>
          <w:lang w:eastAsia="es-MX"/>
        </w:rPr>
      </w:pPr>
    </w:p>
    <w:p w14:paraId="3688356C" w14:textId="77777777" w:rsidR="007B68D1" w:rsidRPr="008D0189" w:rsidRDefault="007B68D1" w:rsidP="00147554">
      <w:pPr>
        <w:spacing w:after="0" w:line="360" w:lineRule="auto"/>
        <w:rPr>
          <w:rFonts w:eastAsia="Palatino Linotype" w:cs="Palatino Linotype"/>
          <w:color w:val="000000"/>
          <w:lang w:eastAsia="es-MX"/>
        </w:rPr>
      </w:pPr>
      <w:r w:rsidRPr="008D0189">
        <w:rPr>
          <w:rFonts w:eastAsia="Palatino Linotype" w:cs="Palatino Linotype"/>
          <w:color w:val="000000"/>
          <w:lang w:eastAsia="es-MX"/>
        </w:rPr>
        <w:t>En el presente caso, </w:t>
      </w:r>
      <w:r w:rsidRPr="008D0189">
        <w:rPr>
          <w:rFonts w:eastAsia="Palatino Linotype" w:cs="Palatino Linotype"/>
          <w:b/>
          <w:color w:val="000000"/>
          <w:lang w:eastAsia="es-MX"/>
        </w:rPr>
        <w:t>no se actualiza ninguna de las causales de improcedencia</w:t>
      </w:r>
      <w:r w:rsidRPr="008D0189">
        <w:rPr>
          <w:rFonts w:eastAsia="Palatino Linotype" w:cs="Palatino Linotype"/>
          <w:color w:val="000000"/>
          <w:lang w:eastAsia="es-MX"/>
        </w:rPr>
        <w:t xml:space="preserve"> establecidas en el ordenamiento jurídico previamente señalado, toda vez que: este Instituto no tiene </w:t>
      </w:r>
      <w:r w:rsidRPr="008D0189">
        <w:rPr>
          <w:rFonts w:eastAsia="Palatino Linotype" w:cs="Palatino Linotype"/>
          <w:color w:val="000000"/>
          <w:lang w:eastAsia="es-MX"/>
        </w:rPr>
        <w:lastRenderedPageBreak/>
        <w:t>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276426F" w14:textId="77777777" w:rsidR="007B68D1" w:rsidRPr="008D0189" w:rsidRDefault="007B68D1" w:rsidP="00147554">
      <w:pPr>
        <w:spacing w:after="0" w:line="360" w:lineRule="auto"/>
        <w:rPr>
          <w:rFonts w:eastAsia="Palatino Linotype" w:cs="Palatino Linotype"/>
          <w:color w:val="000000"/>
          <w:lang w:eastAsia="es-MX"/>
        </w:rPr>
      </w:pPr>
    </w:p>
    <w:p w14:paraId="2DDF59C4" w14:textId="55F3C350" w:rsidR="007B68D1" w:rsidRPr="008D0189" w:rsidRDefault="007B68D1" w:rsidP="00147554">
      <w:pPr>
        <w:spacing w:after="0" w:line="360" w:lineRule="auto"/>
        <w:rPr>
          <w:rFonts w:eastAsia="Palatino Linotype" w:cs="Palatino Linotype"/>
          <w:color w:val="000000"/>
          <w:lang w:eastAsia="es-MX"/>
        </w:rPr>
      </w:pPr>
      <w:r w:rsidRPr="008D0189">
        <w:rPr>
          <w:rFonts w:eastAsia="Palatino Linotype" w:cs="Palatino Linotype"/>
          <w:color w:val="000000"/>
          <w:lang w:eastAsia="es-MX"/>
        </w:rPr>
        <w:t xml:space="preserve">Por lo cual, se actualiza la causal de procedencia del Recurso de Revisión señalada en el artículo 179, fracción </w:t>
      </w:r>
      <w:r w:rsidR="00991A73" w:rsidRPr="008D0189">
        <w:rPr>
          <w:rFonts w:eastAsia="Palatino Linotype" w:cs="Palatino Linotype"/>
          <w:color w:val="000000"/>
          <w:lang w:eastAsia="es-MX"/>
        </w:rPr>
        <w:t>I</w:t>
      </w:r>
      <w:r w:rsidRPr="008D0189">
        <w:rPr>
          <w:rFonts w:eastAsia="Palatino Linotype" w:cs="Palatino Linotype"/>
          <w:color w:val="000000"/>
          <w:lang w:eastAsia="es-MX"/>
        </w:rPr>
        <w:t xml:space="preserve">, de la Ley en cita, pues la persona Recurrente se inconformó </w:t>
      </w:r>
      <w:r w:rsidR="00991A73" w:rsidRPr="008D0189">
        <w:rPr>
          <w:rFonts w:eastAsia="Palatino Linotype" w:cs="Palatino Linotype"/>
          <w:color w:val="000000"/>
          <w:lang w:eastAsia="es-MX"/>
        </w:rPr>
        <w:t xml:space="preserve">por la </w:t>
      </w:r>
      <w:r w:rsidR="0086590C">
        <w:rPr>
          <w:rFonts w:eastAsia="Palatino Linotype" w:cs="Palatino Linotype"/>
          <w:color w:val="000000"/>
          <w:lang w:eastAsia="es-MX"/>
        </w:rPr>
        <w:t>negativa de la información.</w:t>
      </w:r>
    </w:p>
    <w:p w14:paraId="6C838BF1" w14:textId="77777777" w:rsidR="007B68D1" w:rsidRPr="008D0189" w:rsidRDefault="007B68D1" w:rsidP="00147554">
      <w:pPr>
        <w:spacing w:after="0" w:line="360" w:lineRule="auto"/>
        <w:rPr>
          <w:rFonts w:eastAsia="Palatino Linotype" w:cs="Palatino Linotype"/>
          <w:color w:val="000000"/>
          <w:lang w:eastAsia="es-MX"/>
        </w:rPr>
      </w:pPr>
    </w:p>
    <w:p w14:paraId="0D9C914B" w14:textId="77777777" w:rsidR="007B68D1" w:rsidRPr="008D0189" w:rsidRDefault="007B68D1" w:rsidP="00147554">
      <w:pPr>
        <w:spacing w:after="0" w:line="360" w:lineRule="auto"/>
        <w:rPr>
          <w:rFonts w:eastAsia="Palatino Linotype" w:cs="Palatino Linotype"/>
          <w:color w:val="0D0D0D"/>
          <w:lang w:eastAsia="es-MX"/>
        </w:rPr>
      </w:pPr>
      <w:r w:rsidRPr="008D0189">
        <w:rPr>
          <w:rFonts w:eastAsia="Palatino Linotype" w:cs="Palatino Linotype"/>
          <w:b/>
          <w:color w:val="0D0D0D"/>
          <w:lang w:eastAsia="es-MX"/>
        </w:rPr>
        <w:t>Causales de sobreseimiento</w:t>
      </w:r>
    </w:p>
    <w:p w14:paraId="4A7E9DB9" w14:textId="77777777" w:rsidR="007B68D1" w:rsidRPr="008D0189" w:rsidRDefault="007B68D1" w:rsidP="00147554">
      <w:pPr>
        <w:spacing w:after="0" w:line="360" w:lineRule="auto"/>
        <w:rPr>
          <w:rFonts w:eastAsia="Palatino Linotype" w:cs="Palatino Linotype"/>
          <w:color w:val="0D0D0D"/>
          <w:lang w:eastAsia="es-MX"/>
        </w:rPr>
      </w:pPr>
    </w:p>
    <w:p w14:paraId="767593E0" w14:textId="77777777" w:rsidR="007B68D1" w:rsidRPr="008D0189" w:rsidRDefault="007B68D1" w:rsidP="00147554">
      <w:pPr>
        <w:spacing w:after="0" w:line="360" w:lineRule="auto"/>
        <w:rPr>
          <w:rFonts w:eastAsia="Palatino Linotype" w:cs="Palatino Linotype"/>
          <w:color w:val="0D0D0D"/>
          <w:lang w:eastAsia="es-MX"/>
        </w:rPr>
      </w:pPr>
      <w:r w:rsidRPr="008D0189">
        <w:rPr>
          <w:rFonts w:eastAsia="Palatino Linotype" w:cs="Palatino Linotype"/>
          <w:color w:val="0D0D0D"/>
          <w:lang w:eastAsia="es-MX"/>
        </w:rPr>
        <w:t>Por ser de previo y especial pronunciamiento, este Instituto analiza si se actualiza alguna causal de sobreseimiento.</w:t>
      </w:r>
    </w:p>
    <w:p w14:paraId="17B6F821" w14:textId="77777777" w:rsidR="007B68D1" w:rsidRPr="008D0189" w:rsidRDefault="007B68D1" w:rsidP="00147554">
      <w:pPr>
        <w:spacing w:after="0" w:line="360" w:lineRule="auto"/>
        <w:rPr>
          <w:rFonts w:eastAsia="Palatino Linotype" w:cs="Palatino Linotype"/>
          <w:color w:val="0D0D0D"/>
          <w:lang w:eastAsia="es-MX"/>
        </w:rPr>
      </w:pPr>
    </w:p>
    <w:p w14:paraId="6159D849" w14:textId="77777777" w:rsidR="007B68D1" w:rsidRPr="008D0189" w:rsidRDefault="007B68D1" w:rsidP="00147554">
      <w:pPr>
        <w:spacing w:after="0" w:line="360" w:lineRule="auto"/>
        <w:rPr>
          <w:rFonts w:eastAsia="Palatino Linotype" w:cs="Palatino Linotype"/>
          <w:color w:val="000000"/>
          <w:lang w:eastAsia="es-MX"/>
        </w:rPr>
      </w:pPr>
      <w:r w:rsidRPr="008D0189">
        <w:rPr>
          <w:rFonts w:eastAsia="Palatino Linotype" w:cs="Palatino Linotype"/>
          <w:color w:val="0D0D0D"/>
          <w:lang w:eastAsia="es-MX"/>
        </w:rPr>
        <w:t>Sobre el tema, e</w:t>
      </w:r>
      <w:r w:rsidRPr="008D0189">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ECB619A" w14:textId="77777777" w:rsidR="007B68D1" w:rsidRPr="008D0189" w:rsidRDefault="007B68D1" w:rsidP="00147554">
      <w:pPr>
        <w:spacing w:after="0" w:line="360" w:lineRule="auto"/>
        <w:rPr>
          <w:rFonts w:eastAsia="Palatino Linotype" w:cs="Palatino Linotype"/>
          <w:color w:val="000000"/>
          <w:lang w:eastAsia="es-MX"/>
        </w:rPr>
      </w:pPr>
    </w:p>
    <w:p w14:paraId="6B6C3F2A" w14:textId="77777777" w:rsidR="007B68D1" w:rsidRPr="008D0189" w:rsidRDefault="007B68D1" w:rsidP="00147554">
      <w:pPr>
        <w:spacing w:after="0" w:line="360" w:lineRule="auto"/>
        <w:rPr>
          <w:rFonts w:eastAsia="Palatino Linotype" w:cs="Palatino Linotype"/>
          <w:color w:val="0D0D0D"/>
          <w:lang w:eastAsia="es-MX"/>
        </w:rPr>
      </w:pPr>
      <w:r w:rsidRPr="008D0189">
        <w:rPr>
          <w:rFonts w:eastAsia="Palatino Linotype" w:cs="Palatino Linotype"/>
          <w:color w:val="0D0D0D"/>
          <w:lang w:eastAsia="es-MX"/>
        </w:rPr>
        <w:t xml:space="preserve">Por tales motivos, se considera procedente entrar al fondo del presente asunto. </w:t>
      </w:r>
    </w:p>
    <w:p w14:paraId="47EF9DCD" w14:textId="77777777" w:rsidR="00C63772" w:rsidRPr="008D0189" w:rsidRDefault="00C63772" w:rsidP="00147554">
      <w:pPr>
        <w:spacing w:after="0" w:line="360" w:lineRule="auto"/>
        <w:contextualSpacing/>
        <w:rPr>
          <w:rFonts w:eastAsia="Times New Roman" w:cs="Tahoma"/>
          <w:b/>
          <w:bCs/>
          <w:iCs/>
          <w:color w:val="auto"/>
          <w:lang w:val="es-ES" w:eastAsia="es-ES"/>
        </w:rPr>
      </w:pPr>
    </w:p>
    <w:p w14:paraId="633955FE" w14:textId="54B7B231" w:rsidR="00DB3DC5" w:rsidRPr="008D0189" w:rsidRDefault="00DB3DC5" w:rsidP="00147554">
      <w:pPr>
        <w:pStyle w:val="Ttulo2"/>
        <w:spacing w:before="0" w:line="360" w:lineRule="auto"/>
        <w:rPr>
          <w:rFonts w:ascii="Palatino Linotype" w:eastAsia="Times New Roman" w:hAnsi="Palatino Linotype"/>
          <w:b/>
          <w:color w:val="000000" w:themeColor="text1"/>
          <w:sz w:val="22"/>
          <w:szCs w:val="22"/>
          <w:lang w:val="es-ES" w:eastAsia="es-ES"/>
        </w:rPr>
      </w:pPr>
      <w:bookmarkStart w:id="24" w:name="_Toc208312904"/>
      <w:bookmarkStart w:id="25" w:name="_Toc225435448"/>
      <w:r w:rsidRPr="008D0189">
        <w:rPr>
          <w:rFonts w:ascii="Palatino Linotype" w:eastAsia="Times New Roman" w:hAnsi="Palatino Linotype"/>
          <w:b/>
          <w:color w:val="000000" w:themeColor="text1"/>
          <w:sz w:val="22"/>
          <w:szCs w:val="22"/>
          <w:lang w:val="es-ES" w:eastAsia="es-ES"/>
        </w:rPr>
        <w:t>TERCERO. De</w:t>
      </w:r>
      <w:r w:rsidR="00076681" w:rsidRPr="008D0189">
        <w:rPr>
          <w:rFonts w:ascii="Palatino Linotype" w:eastAsia="Times New Roman" w:hAnsi="Palatino Linotype"/>
          <w:b/>
          <w:color w:val="000000" w:themeColor="text1"/>
          <w:sz w:val="22"/>
          <w:szCs w:val="22"/>
          <w:lang w:val="es-ES" w:eastAsia="es-ES"/>
        </w:rPr>
        <w:t>terminación de la Controversia</w:t>
      </w:r>
      <w:bookmarkEnd w:id="24"/>
      <w:bookmarkEnd w:id="25"/>
    </w:p>
    <w:p w14:paraId="29A4CC8A" w14:textId="77777777" w:rsidR="00DB3DC5" w:rsidRPr="008D0189" w:rsidRDefault="00DB3DC5" w:rsidP="00147554">
      <w:pPr>
        <w:autoSpaceDE w:val="0"/>
        <w:autoSpaceDN w:val="0"/>
        <w:adjustRightInd w:val="0"/>
        <w:spacing w:after="0" w:line="360" w:lineRule="auto"/>
        <w:contextualSpacing/>
        <w:rPr>
          <w:rFonts w:eastAsia="Calibri" w:cs="Tahoma"/>
          <w:color w:val="FF0000"/>
          <w:lang w:val="es-ES" w:eastAsia="es-MX"/>
        </w:rPr>
      </w:pPr>
    </w:p>
    <w:p w14:paraId="3591B035" w14:textId="3121AB22" w:rsidR="00A326E3" w:rsidRDefault="007B68D1" w:rsidP="00147554">
      <w:pPr>
        <w:spacing w:after="0" w:line="360" w:lineRule="auto"/>
        <w:rPr>
          <w:rFonts w:eastAsia="Palatino Linotype" w:cs="Tahoma"/>
          <w:color w:val="000000"/>
          <w:lang w:eastAsia="es-MX"/>
        </w:rPr>
      </w:pPr>
      <w:r w:rsidRPr="008D0189">
        <w:rPr>
          <w:rFonts w:eastAsia="Palatino Linotype" w:cs="Tahoma"/>
          <w:color w:val="000000"/>
          <w:lang w:eastAsia="es-MX"/>
        </w:rPr>
        <w:lastRenderedPageBreak/>
        <w:t>Con el objetivo de ilustrar la controversia planteada, resulta conveniente precisar, que una vez realizado el estudio de las constancias que integran el expediente en el que se actúa, se despr</w:t>
      </w:r>
      <w:r w:rsidR="005C1CF0">
        <w:rPr>
          <w:rFonts w:eastAsia="Palatino Linotype" w:cs="Tahoma"/>
          <w:color w:val="000000"/>
          <w:lang w:eastAsia="es-MX"/>
        </w:rPr>
        <w:t xml:space="preserve">ende que el Particular requirió </w:t>
      </w:r>
      <w:r w:rsidR="00A326E3">
        <w:rPr>
          <w:rFonts w:eastAsia="Palatino Linotype" w:cs="Tahoma"/>
          <w:color w:val="000000"/>
          <w:lang w:eastAsia="es-MX"/>
        </w:rPr>
        <w:t>todos los contratos o convenios con televisoras, radio u otros medios de comunicación, así como de la Dirección de Comunicación Social del primero de enero al quince de mayo de dos mil veinticinco, lo siguiente:</w:t>
      </w:r>
    </w:p>
    <w:p w14:paraId="73AF14EF" w14:textId="77777777" w:rsidR="00A326E3" w:rsidRDefault="00A326E3" w:rsidP="00147554">
      <w:pPr>
        <w:spacing w:after="0" w:line="360" w:lineRule="auto"/>
        <w:rPr>
          <w:rFonts w:eastAsia="Palatino Linotype" w:cs="Tahoma"/>
          <w:color w:val="000000"/>
          <w:lang w:eastAsia="es-MX"/>
        </w:rPr>
      </w:pPr>
    </w:p>
    <w:p w14:paraId="307953BA" w14:textId="4FFAD9C6" w:rsidR="00A326E3" w:rsidRDefault="00A326E3" w:rsidP="00A326E3">
      <w:pPr>
        <w:pStyle w:val="Prrafodelista"/>
        <w:numPr>
          <w:ilvl w:val="0"/>
          <w:numId w:val="39"/>
        </w:numPr>
        <w:spacing w:after="0" w:line="360" w:lineRule="auto"/>
        <w:rPr>
          <w:rFonts w:eastAsia="Palatino Linotype" w:cs="Tahoma"/>
          <w:color w:val="000000"/>
          <w:lang w:eastAsia="es-MX"/>
        </w:rPr>
      </w:pPr>
      <w:r>
        <w:rPr>
          <w:rFonts w:eastAsia="Palatino Linotype" w:cs="Tahoma"/>
          <w:color w:val="000000"/>
          <w:lang w:eastAsia="es-MX"/>
        </w:rPr>
        <w:t>Programa Anual</w:t>
      </w:r>
    </w:p>
    <w:p w14:paraId="4EBCA43D" w14:textId="10B8EB1A" w:rsidR="00A326E3" w:rsidRDefault="00A326E3" w:rsidP="00A326E3">
      <w:pPr>
        <w:pStyle w:val="Prrafodelista"/>
        <w:numPr>
          <w:ilvl w:val="0"/>
          <w:numId w:val="39"/>
        </w:numPr>
        <w:spacing w:after="0" w:line="360" w:lineRule="auto"/>
        <w:rPr>
          <w:rFonts w:eastAsia="Palatino Linotype" w:cs="Tahoma"/>
          <w:color w:val="000000"/>
          <w:lang w:eastAsia="es-MX"/>
        </w:rPr>
      </w:pPr>
      <w:r>
        <w:rPr>
          <w:rFonts w:eastAsia="Palatino Linotype" w:cs="Tahoma"/>
          <w:color w:val="000000"/>
          <w:lang w:eastAsia="es-MX"/>
        </w:rPr>
        <w:t>Presupuesto Asignado y Ejercido</w:t>
      </w:r>
    </w:p>
    <w:p w14:paraId="211FFBAB" w14:textId="6F84A0ED" w:rsidR="00A326E3" w:rsidRPr="00A326E3" w:rsidRDefault="00A326E3" w:rsidP="00A326E3">
      <w:pPr>
        <w:pStyle w:val="Prrafodelista"/>
        <w:numPr>
          <w:ilvl w:val="0"/>
          <w:numId w:val="39"/>
        </w:numPr>
        <w:spacing w:after="0" w:line="360" w:lineRule="auto"/>
        <w:rPr>
          <w:rFonts w:eastAsia="Palatino Linotype" w:cs="Tahoma"/>
          <w:color w:val="000000"/>
          <w:lang w:eastAsia="es-MX"/>
        </w:rPr>
      </w:pPr>
      <w:r>
        <w:rPr>
          <w:rFonts w:eastAsia="Palatino Linotype" w:cs="Tahoma"/>
          <w:color w:val="000000"/>
          <w:lang w:eastAsia="es-MX"/>
        </w:rPr>
        <w:t xml:space="preserve">Avance </w:t>
      </w:r>
    </w:p>
    <w:p w14:paraId="3755C44A" w14:textId="77777777" w:rsidR="008570E3" w:rsidRDefault="008570E3" w:rsidP="00147554">
      <w:pPr>
        <w:spacing w:after="0" w:line="360" w:lineRule="auto"/>
        <w:rPr>
          <w:rFonts w:eastAsia="Palatino Linotype" w:cs="Tahoma"/>
          <w:color w:val="000000"/>
          <w:lang w:eastAsia="es-MX"/>
        </w:rPr>
      </w:pPr>
    </w:p>
    <w:p w14:paraId="34E2B683" w14:textId="645B9A00" w:rsidR="00DF5FF7" w:rsidRDefault="0029666E" w:rsidP="00147554">
      <w:pPr>
        <w:spacing w:after="0" w:line="360" w:lineRule="auto"/>
        <w:rPr>
          <w:rFonts w:cs="Tahoma"/>
          <w:bCs/>
          <w:iCs/>
          <w:lang w:val="es-ES"/>
        </w:rPr>
      </w:pPr>
      <w:r w:rsidRPr="008D0189">
        <w:rPr>
          <w:rFonts w:cs="Tahoma"/>
          <w:bCs/>
          <w:iCs/>
          <w:lang w:val="es-ES"/>
        </w:rPr>
        <w:t>En respuesta, el Sujeto Obligado,</w:t>
      </w:r>
      <w:r w:rsidR="002B4FF0">
        <w:rPr>
          <w:rFonts w:cs="Tahoma"/>
          <w:bCs/>
          <w:iCs/>
          <w:lang w:val="es-ES"/>
        </w:rPr>
        <w:t xml:space="preserve"> a través d</w:t>
      </w:r>
      <w:r w:rsidR="007308C0">
        <w:rPr>
          <w:rFonts w:cs="Tahoma"/>
          <w:bCs/>
          <w:iCs/>
          <w:lang w:val="es-ES"/>
        </w:rPr>
        <w:t xml:space="preserve">e la Tesorería, </w:t>
      </w:r>
      <w:r w:rsidR="00A326E3">
        <w:rPr>
          <w:rFonts w:cs="Tahoma"/>
          <w:bCs/>
          <w:iCs/>
          <w:lang w:val="es-ES"/>
        </w:rPr>
        <w:t>adjunto un link en formato cerrado para visualizar la información referente al presupuesto asignado y aprobado, por otro lado la Dirección de Administración refirió que después de una búsqueda exhaustiva no localizaron convenios o contratos con televisoras, radio, u otros medios de comunicación y finalmente el Coordinador General remitió un link en formato cerrado para visualizar el programa de trabajo de la dirección de Comunicación Social</w:t>
      </w:r>
      <w:r w:rsidR="005C1CF0">
        <w:rPr>
          <w:rFonts w:cs="Tahoma"/>
          <w:bCs/>
          <w:iCs/>
          <w:lang w:val="es-ES"/>
        </w:rPr>
        <w:t>;</w:t>
      </w:r>
      <w:r w:rsidR="00E704DC">
        <w:rPr>
          <w:rFonts w:cs="Tahoma"/>
          <w:bCs/>
          <w:iCs/>
          <w:lang w:val="es-ES"/>
        </w:rPr>
        <w:t xml:space="preserve"> por lo que el particular</w:t>
      </w:r>
      <w:r w:rsidRPr="008D0189">
        <w:rPr>
          <w:rFonts w:cs="Tahoma"/>
          <w:bCs/>
          <w:iCs/>
          <w:lang w:val="es-ES"/>
        </w:rPr>
        <w:t xml:space="preserve">, </w:t>
      </w:r>
      <w:r w:rsidR="00E704DC">
        <w:rPr>
          <w:rFonts w:cs="Tahoma"/>
          <w:bCs/>
          <w:iCs/>
          <w:lang w:val="es-ES"/>
        </w:rPr>
        <w:t xml:space="preserve">se inconformó </w:t>
      </w:r>
      <w:r w:rsidR="002B4FF0">
        <w:rPr>
          <w:rFonts w:cs="Tahoma"/>
          <w:bCs/>
          <w:iCs/>
          <w:lang w:val="es-ES"/>
        </w:rPr>
        <w:t xml:space="preserve">medularmente por la </w:t>
      </w:r>
      <w:r w:rsidR="00A326E3">
        <w:rPr>
          <w:rFonts w:cs="Tahoma"/>
          <w:bCs/>
          <w:iCs/>
          <w:lang w:val="es-ES"/>
        </w:rPr>
        <w:t>negativa de información</w:t>
      </w:r>
      <w:r w:rsidR="002B4FF0">
        <w:rPr>
          <w:rFonts w:cs="Tahoma"/>
          <w:bCs/>
          <w:iCs/>
          <w:lang w:val="es-ES"/>
        </w:rPr>
        <w:t>,</w:t>
      </w:r>
      <w:r w:rsidRPr="008D0189">
        <w:rPr>
          <w:rFonts w:cs="Tahoma"/>
          <w:bCs/>
          <w:iCs/>
          <w:lang w:val="es-ES"/>
        </w:rPr>
        <w:t xml:space="preserve"> lo cual se actualiza el supuesto previsto en el artículo 179, fracción </w:t>
      </w:r>
      <w:r w:rsidR="00C63772">
        <w:rPr>
          <w:rFonts w:cs="Tahoma"/>
          <w:bCs/>
          <w:iCs/>
          <w:lang w:val="es-ES"/>
        </w:rPr>
        <w:t>I</w:t>
      </w:r>
      <w:r w:rsidRPr="008D0189">
        <w:rPr>
          <w:rFonts w:cs="Tahoma"/>
          <w:bCs/>
          <w:iCs/>
          <w:lang w:val="es-ES"/>
        </w:rPr>
        <w:t xml:space="preserve">, de la Ley de Transparencia y Acceso a la Información Pública del Estado de México y Municipios. </w:t>
      </w:r>
    </w:p>
    <w:p w14:paraId="77E42A21" w14:textId="77777777" w:rsidR="00DF5FF7" w:rsidRDefault="00DF5FF7" w:rsidP="00147554">
      <w:pPr>
        <w:spacing w:after="0" w:line="360" w:lineRule="auto"/>
        <w:rPr>
          <w:rFonts w:cs="Tahoma"/>
          <w:bCs/>
          <w:iCs/>
          <w:lang w:val="es-ES"/>
        </w:rPr>
      </w:pPr>
    </w:p>
    <w:p w14:paraId="4982D823" w14:textId="11F90D9D" w:rsidR="007B68D1" w:rsidRPr="008D0189" w:rsidRDefault="0029666E" w:rsidP="00147554">
      <w:pPr>
        <w:spacing w:after="0" w:line="360" w:lineRule="auto"/>
        <w:rPr>
          <w:rFonts w:cs="Tahoma"/>
          <w:bCs/>
          <w:iCs/>
          <w:lang w:val="es-ES"/>
        </w:rPr>
      </w:pPr>
      <w:r w:rsidRPr="008D0189">
        <w:rPr>
          <w:rFonts w:cs="Tahoma"/>
          <w:bCs/>
          <w:iCs/>
          <w:lang w:val="es-ES"/>
        </w:rPr>
        <w:t xml:space="preserve">Así las cosas, una vez admitido y notificado el Recurso de Revisión a las partes, </w:t>
      </w:r>
      <w:r w:rsidR="00C16358" w:rsidRPr="008D0189">
        <w:rPr>
          <w:rFonts w:cs="Tahoma"/>
          <w:bCs/>
          <w:iCs/>
          <w:lang w:val="es-ES"/>
        </w:rPr>
        <w:t>el Sujeto Obligado rindió informe justific</w:t>
      </w:r>
      <w:r w:rsidR="00DF5FF7">
        <w:rPr>
          <w:rFonts w:cs="Tahoma"/>
          <w:bCs/>
          <w:iCs/>
          <w:lang w:val="es-ES"/>
        </w:rPr>
        <w:t>ado, por medio del cual ratificó</w:t>
      </w:r>
      <w:r w:rsidR="00C16358" w:rsidRPr="008D0189">
        <w:rPr>
          <w:rFonts w:cs="Tahoma"/>
          <w:bCs/>
          <w:iCs/>
          <w:lang w:val="es-ES"/>
        </w:rPr>
        <w:t xml:space="preserve"> su respuesta</w:t>
      </w:r>
      <w:r w:rsidR="00DF5FF7">
        <w:rPr>
          <w:rFonts w:cs="Tahoma"/>
          <w:bCs/>
          <w:iCs/>
          <w:lang w:val="es-ES"/>
        </w:rPr>
        <w:t xml:space="preserve"> inicial</w:t>
      </w:r>
      <w:r w:rsidR="004F08EE">
        <w:rPr>
          <w:rFonts w:cs="Tahoma"/>
          <w:bCs/>
          <w:iCs/>
          <w:lang w:val="es-ES"/>
        </w:rPr>
        <w:t>.</w:t>
      </w:r>
    </w:p>
    <w:p w14:paraId="7A48FDC3" w14:textId="77777777" w:rsidR="0029666E" w:rsidRPr="008D0189" w:rsidRDefault="0029666E" w:rsidP="00147554">
      <w:pPr>
        <w:spacing w:after="0" w:line="360" w:lineRule="auto"/>
        <w:rPr>
          <w:rFonts w:eastAsia="Palatino Linotype" w:cs="Palatino Linotype"/>
          <w:color w:val="000000"/>
          <w:lang w:eastAsia="es-MX"/>
        </w:rPr>
      </w:pPr>
    </w:p>
    <w:p w14:paraId="3BAA871D" w14:textId="77777777" w:rsidR="007B68D1" w:rsidRPr="008D0189" w:rsidRDefault="007B68D1" w:rsidP="00147554">
      <w:pPr>
        <w:tabs>
          <w:tab w:val="left" w:pos="4962"/>
        </w:tabs>
        <w:spacing w:after="0" w:line="360" w:lineRule="auto"/>
        <w:rPr>
          <w:rFonts w:eastAsia="Calibri" w:cs="Tahoma"/>
          <w:bCs/>
          <w:color w:val="000000"/>
          <w:lang w:eastAsia="es-MX"/>
        </w:rPr>
      </w:pPr>
      <w:r w:rsidRPr="008D0189">
        <w:rPr>
          <w:rFonts w:eastAsia="Calibri" w:cs="Tahoma"/>
          <w:iCs/>
          <w:color w:val="000000"/>
          <w:lang w:val="es-ES" w:eastAsia="es-ES_tradnl"/>
        </w:rPr>
        <w:t xml:space="preserve">Lo anterior, se desprende de las documentales que obran en el expediente de referencia, materia de la presente resolución, consistente en: la solicitud de acceso a la información </w:t>
      </w:r>
      <w:r w:rsidRPr="008D0189">
        <w:rPr>
          <w:rFonts w:eastAsia="Calibri" w:cs="Tahoma"/>
          <w:iCs/>
          <w:color w:val="000000"/>
          <w:lang w:eastAsia="es-ES_tradnl"/>
        </w:rPr>
        <w:t xml:space="preserve">y el escrito </w:t>
      </w:r>
      <w:proofErr w:type="spellStart"/>
      <w:r w:rsidRPr="008D0189">
        <w:rPr>
          <w:rFonts w:eastAsia="Calibri" w:cs="Tahoma"/>
          <w:iCs/>
          <w:color w:val="000000"/>
          <w:lang w:eastAsia="es-ES_tradnl"/>
        </w:rPr>
        <w:t>recursal</w:t>
      </w:r>
      <w:proofErr w:type="spellEnd"/>
      <w:r w:rsidRPr="008D0189">
        <w:rPr>
          <w:rFonts w:eastAsia="Calibri" w:cs="Tahoma"/>
          <w:iCs/>
          <w:color w:val="000000"/>
          <w:lang w:eastAsia="es-ES_tradnl"/>
        </w:rPr>
        <w:t xml:space="preserve">; </w:t>
      </w:r>
      <w:r w:rsidRPr="008D0189">
        <w:rPr>
          <w:rFonts w:eastAsia="Calibri" w:cs="Tahoma"/>
          <w:bCs/>
          <w:color w:val="000000"/>
          <w:lang w:eastAsia="es-MX"/>
        </w:rPr>
        <w:t xml:space="preserve">instrumentales que se toman en cuenta a efecto de resolver el presente medio </w:t>
      </w:r>
      <w:r w:rsidRPr="008D0189">
        <w:rPr>
          <w:rFonts w:eastAsia="Calibri" w:cs="Tahoma"/>
          <w:bCs/>
          <w:color w:val="000000"/>
          <w:lang w:eastAsia="es-MX"/>
        </w:rPr>
        <w:lastRenderedPageBreak/>
        <w:t>de impugnación, conforme a lo dispuesto por el artículo 185, fracción IV, de la Ley de Transparencia y Acceso a la Información Pública del Estado de México y Municipios.</w:t>
      </w:r>
    </w:p>
    <w:p w14:paraId="54D41AE7" w14:textId="77777777" w:rsidR="00DB3DC5" w:rsidRPr="008D0189" w:rsidRDefault="00DB3DC5" w:rsidP="00147554">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8D0189" w:rsidRDefault="00DB3DC5" w:rsidP="00147554">
      <w:pPr>
        <w:pStyle w:val="Ttulo2"/>
        <w:spacing w:before="0" w:line="360" w:lineRule="auto"/>
        <w:rPr>
          <w:rFonts w:ascii="Palatino Linotype" w:eastAsia="Times New Roman" w:hAnsi="Palatino Linotype"/>
          <w:b/>
          <w:color w:val="000000" w:themeColor="text1"/>
          <w:sz w:val="22"/>
          <w:szCs w:val="22"/>
          <w:lang w:eastAsia="es-ES"/>
        </w:rPr>
      </w:pPr>
      <w:bookmarkStart w:id="26" w:name="_Toc208312905"/>
      <w:bookmarkStart w:id="27" w:name="_Toc225435449"/>
      <w:r w:rsidRPr="008D0189">
        <w:rPr>
          <w:rFonts w:ascii="Palatino Linotype" w:eastAsia="Times New Roman" w:hAnsi="Palatino Linotype"/>
          <w:b/>
          <w:color w:val="000000" w:themeColor="text1"/>
          <w:sz w:val="22"/>
          <w:szCs w:val="22"/>
          <w:lang w:val="es-ES" w:eastAsia="es-ES"/>
        </w:rPr>
        <w:t xml:space="preserve">CUARTO. </w:t>
      </w:r>
      <w:r w:rsidRPr="008D0189">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8D0189">
        <w:rPr>
          <w:rFonts w:ascii="Palatino Linotype" w:eastAsia="Times New Roman" w:hAnsi="Palatino Linotype"/>
          <w:b/>
          <w:color w:val="000000" w:themeColor="text1"/>
          <w:sz w:val="22"/>
          <w:szCs w:val="22"/>
          <w:lang w:eastAsia="es-ES"/>
        </w:rPr>
        <w:t>acceso a la información pública</w:t>
      </w:r>
      <w:bookmarkEnd w:id="26"/>
      <w:bookmarkEnd w:id="27"/>
    </w:p>
    <w:p w14:paraId="1FA9DF31" w14:textId="77777777" w:rsidR="00DB3DC5" w:rsidRPr="008D0189" w:rsidRDefault="00DB3DC5" w:rsidP="00147554">
      <w:pPr>
        <w:autoSpaceDE w:val="0"/>
        <w:autoSpaceDN w:val="0"/>
        <w:adjustRightInd w:val="0"/>
        <w:spacing w:after="0" w:line="360" w:lineRule="auto"/>
        <w:contextualSpacing/>
        <w:rPr>
          <w:rFonts w:eastAsia="Times New Roman" w:cs="Tahoma"/>
          <w:bCs/>
          <w:iCs/>
          <w:color w:val="FF0000"/>
          <w:lang w:val="es-ES" w:eastAsia="es-ES"/>
        </w:rPr>
      </w:pPr>
    </w:p>
    <w:p w14:paraId="0F87FCD3" w14:textId="101FCA8B" w:rsidR="00551CAD" w:rsidRPr="008D0189" w:rsidRDefault="00551CAD" w:rsidP="00147554">
      <w:pPr>
        <w:spacing w:after="0" w:line="360" w:lineRule="auto"/>
        <w:rPr>
          <w:rFonts w:cs="Tahoma"/>
        </w:rPr>
      </w:pPr>
      <w:r w:rsidRPr="008D0189">
        <w:rPr>
          <w:rFonts w:cs="Tahoma"/>
        </w:rPr>
        <w:t xml:space="preserve">El artículo 6°, Apartado A), fracción I, de la Constitución Política de los Estados Unidos Mexicanos, establece que toda la información en posesión de cualquier autoridad, es pública y sólo podrá ser reservada temporalmente </w:t>
      </w:r>
      <w:r w:rsidR="00991A73" w:rsidRPr="008D0189">
        <w:rPr>
          <w:rFonts w:cs="Tahoma"/>
        </w:rPr>
        <w:t>por razones de interés público.</w:t>
      </w:r>
    </w:p>
    <w:p w14:paraId="199A86E3" w14:textId="77777777" w:rsidR="00991A73" w:rsidRPr="008D0189" w:rsidRDefault="00991A73" w:rsidP="00147554">
      <w:pPr>
        <w:spacing w:after="0" w:line="360" w:lineRule="auto"/>
        <w:rPr>
          <w:rFonts w:cs="Tahoma"/>
        </w:rPr>
      </w:pPr>
    </w:p>
    <w:p w14:paraId="2B1113AD" w14:textId="4795E639" w:rsidR="00551CAD" w:rsidRPr="008D0189" w:rsidRDefault="00551CAD" w:rsidP="00147554">
      <w:pPr>
        <w:spacing w:after="0" w:line="360" w:lineRule="auto"/>
        <w:rPr>
          <w:rFonts w:cs="Tahoma"/>
        </w:rPr>
      </w:pPr>
      <w:r w:rsidRPr="008D0189">
        <w:rPr>
          <w:rFonts w:cs="Tahoma"/>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w:t>
      </w:r>
      <w:r w:rsidR="00991A73" w:rsidRPr="008D0189">
        <w:rPr>
          <w:rFonts w:cs="Tahoma"/>
        </w:rPr>
        <w:t>stablezca la ley reglamentaria.</w:t>
      </w:r>
    </w:p>
    <w:p w14:paraId="5CADFB9C" w14:textId="77777777" w:rsidR="00991A73" w:rsidRPr="008D0189" w:rsidRDefault="00991A73" w:rsidP="00147554">
      <w:pPr>
        <w:spacing w:after="0" w:line="360" w:lineRule="auto"/>
        <w:rPr>
          <w:rFonts w:cs="Tahoma"/>
        </w:rPr>
      </w:pPr>
    </w:p>
    <w:p w14:paraId="492CA332" w14:textId="77777777" w:rsidR="00551CAD" w:rsidRPr="008D0189" w:rsidRDefault="00551CAD" w:rsidP="00147554">
      <w:pPr>
        <w:spacing w:after="0" w:line="360" w:lineRule="auto"/>
        <w:rPr>
          <w:rFonts w:cs="Tahoma"/>
        </w:rPr>
      </w:pPr>
      <w:r w:rsidRPr="008D0189">
        <w:rPr>
          <w:rFonts w:cs="Tahoma"/>
        </w:rPr>
        <w:t>Por su parte, la Ley de Transparencia y Acceso a la Información Pública del Estado de México y Municipios (Reglamentaria del artículo 5° de la Constitución Local), establece lo siguiente:</w:t>
      </w:r>
    </w:p>
    <w:p w14:paraId="507D9CB7" w14:textId="77777777" w:rsidR="00551CAD" w:rsidRPr="008D0189" w:rsidRDefault="00551CAD" w:rsidP="00147554">
      <w:pPr>
        <w:spacing w:after="0" w:line="360" w:lineRule="auto"/>
        <w:rPr>
          <w:rFonts w:cs="Tahoma"/>
        </w:rPr>
      </w:pPr>
    </w:p>
    <w:p w14:paraId="7DF1F35D" w14:textId="77777777" w:rsidR="00551CAD" w:rsidRPr="008D0189" w:rsidRDefault="00551CAD" w:rsidP="00147554">
      <w:pPr>
        <w:spacing w:after="0" w:line="360" w:lineRule="auto"/>
        <w:rPr>
          <w:rFonts w:cs="Tahoma"/>
        </w:rPr>
      </w:pPr>
      <w:r w:rsidRPr="008D0189">
        <w:rPr>
          <w:rFonts w:cs="Tahoma"/>
        </w:rPr>
        <w:t>El artículo 12, que, quienes generen, recopilen, administren, manejen, procesen, archiven o conserven información pública serán responsables de la misma.</w:t>
      </w:r>
    </w:p>
    <w:p w14:paraId="461243A6" w14:textId="77777777" w:rsidR="00551CAD" w:rsidRPr="008D0189" w:rsidRDefault="00551CAD" w:rsidP="00147554">
      <w:pPr>
        <w:spacing w:after="0" w:line="360" w:lineRule="auto"/>
        <w:rPr>
          <w:rFonts w:cs="Tahoma"/>
        </w:rPr>
      </w:pPr>
    </w:p>
    <w:p w14:paraId="10F96A0B" w14:textId="1FA12B9C" w:rsidR="00551CAD" w:rsidRPr="008D0189" w:rsidRDefault="00551CAD" w:rsidP="00147554">
      <w:pPr>
        <w:spacing w:after="0" w:line="360" w:lineRule="auto"/>
        <w:rPr>
          <w:rFonts w:cs="Tahoma"/>
        </w:rPr>
      </w:pPr>
      <w:r w:rsidRPr="008D0189">
        <w:rPr>
          <w:rFonts w:cs="Tahoma"/>
        </w:rPr>
        <w:t>El artículo 18, que, los Sujetos Obligados deberán documentar todo acto que derive del ejercicio de sus facultades, competencias o funciones, considerando desde su origen la eventual publicidad y reutilización de la información que generen.</w:t>
      </w:r>
    </w:p>
    <w:p w14:paraId="0512D46B" w14:textId="77777777" w:rsidR="00551CAD" w:rsidRPr="008D0189" w:rsidRDefault="00551CAD" w:rsidP="00147554">
      <w:pPr>
        <w:spacing w:after="0" w:line="360" w:lineRule="auto"/>
        <w:rPr>
          <w:rFonts w:cs="Tahoma"/>
        </w:rPr>
      </w:pPr>
    </w:p>
    <w:p w14:paraId="5C4690D8" w14:textId="41213A72" w:rsidR="00CD4067" w:rsidRDefault="00551CAD" w:rsidP="00147554">
      <w:pPr>
        <w:spacing w:after="0" w:line="360" w:lineRule="auto"/>
        <w:rPr>
          <w:rFonts w:cs="Tahoma"/>
        </w:rPr>
      </w:pPr>
      <w:r w:rsidRPr="008D0189">
        <w:rPr>
          <w:rFonts w:cs="Tahoma"/>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07AB8E" w14:textId="77777777" w:rsidR="00382AAD" w:rsidRPr="00DF5FF7" w:rsidRDefault="00382AAD" w:rsidP="00147554">
      <w:pPr>
        <w:spacing w:after="0" w:line="360" w:lineRule="auto"/>
        <w:rPr>
          <w:rFonts w:cs="Tahoma"/>
        </w:rPr>
      </w:pPr>
    </w:p>
    <w:p w14:paraId="3EB23114" w14:textId="33FEEC26" w:rsidR="00DB3DC5" w:rsidRPr="008D0189" w:rsidRDefault="00076681" w:rsidP="00147554">
      <w:pPr>
        <w:pStyle w:val="Ttulo2"/>
        <w:spacing w:before="0" w:line="360" w:lineRule="auto"/>
        <w:rPr>
          <w:rFonts w:ascii="Palatino Linotype" w:eastAsia="Times New Roman" w:hAnsi="Palatino Linotype"/>
          <w:b/>
          <w:color w:val="000000" w:themeColor="text1"/>
          <w:sz w:val="22"/>
          <w:szCs w:val="22"/>
          <w:lang w:val="es-ES" w:eastAsia="es-ES"/>
        </w:rPr>
      </w:pPr>
      <w:bookmarkStart w:id="28" w:name="_Toc208312906"/>
      <w:bookmarkStart w:id="29" w:name="_Toc225435450"/>
      <w:r w:rsidRPr="008D0189">
        <w:rPr>
          <w:rFonts w:ascii="Palatino Linotype" w:eastAsia="Times New Roman" w:hAnsi="Palatino Linotype"/>
          <w:b/>
          <w:color w:val="000000" w:themeColor="text1"/>
          <w:sz w:val="22"/>
          <w:szCs w:val="22"/>
          <w:lang w:val="es-ES" w:eastAsia="es-ES"/>
        </w:rPr>
        <w:t xml:space="preserve">QUINTO. </w:t>
      </w:r>
      <w:r w:rsidR="00DB3DC5" w:rsidRPr="008D0189">
        <w:rPr>
          <w:rFonts w:ascii="Palatino Linotype" w:eastAsia="Times New Roman" w:hAnsi="Palatino Linotype"/>
          <w:b/>
          <w:color w:val="000000" w:themeColor="text1"/>
          <w:sz w:val="22"/>
          <w:szCs w:val="22"/>
          <w:lang w:val="es-ES" w:eastAsia="es-ES"/>
        </w:rPr>
        <w:t>E</w:t>
      </w:r>
      <w:r w:rsidRPr="008D0189">
        <w:rPr>
          <w:rFonts w:ascii="Palatino Linotype" w:eastAsia="Times New Roman" w:hAnsi="Palatino Linotype"/>
          <w:b/>
          <w:color w:val="000000" w:themeColor="text1"/>
          <w:sz w:val="22"/>
          <w:szCs w:val="22"/>
          <w:lang w:val="es-ES" w:eastAsia="es-ES"/>
        </w:rPr>
        <w:t>studio de Fondo</w:t>
      </w:r>
      <w:bookmarkEnd w:id="28"/>
      <w:bookmarkEnd w:id="29"/>
    </w:p>
    <w:p w14:paraId="5511A115" w14:textId="238AA78D" w:rsidR="00DB3DC5" w:rsidRPr="008D0189" w:rsidRDefault="00DB3DC5" w:rsidP="00147554">
      <w:pPr>
        <w:spacing w:after="0" w:line="360" w:lineRule="auto"/>
        <w:contextualSpacing/>
        <w:rPr>
          <w:rFonts w:eastAsia="Times New Roman" w:cs="Tahoma"/>
          <w:b/>
          <w:bCs/>
          <w:iCs/>
          <w:color w:val="auto"/>
          <w:lang w:val="es-ES" w:eastAsia="es-ES"/>
        </w:rPr>
      </w:pPr>
    </w:p>
    <w:p w14:paraId="002EA64E" w14:textId="40A2D4CB" w:rsidR="00EF6A7C" w:rsidRDefault="006E26AA" w:rsidP="00147554">
      <w:pPr>
        <w:spacing w:after="0" w:line="360" w:lineRule="auto"/>
        <w:contextualSpacing/>
        <w:rPr>
          <w:rFonts w:eastAsia="Times New Roman" w:cs="Tahoma"/>
          <w:iCs/>
          <w:color w:val="auto"/>
          <w:lang w:val="es-ES" w:eastAsia="es-ES"/>
        </w:rPr>
      </w:pPr>
      <w:r w:rsidRPr="008D0189">
        <w:rPr>
          <w:rFonts w:eastAsia="Times New Roman" w:cs="Tahoma"/>
          <w:iCs/>
          <w:color w:val="auto"/>
          <w:lang w:val="es-ES" w:eastAsia="es-ES"/>
        </w:rPr>
        <w:t xml:space="preserve">Expuestas las posturas de las partes, se procede al análisis </w:t>
      </w:r>
      <w:r w:rsidR="00760353">
        <w:rPr>
          <w:rFonts w:eastAsia="Times New Roman" w:cs="Tahoma"/>
          <w:iCs/>
          <w:color w:val="auto"/>
          <w:lang w:val="es-ES" w:eastAsia="es-ES"/>
        </w:rPr>
        <w:t xml:space="preserve">de los agravios hechos valer por la persona Recurrente, sin embargo, en principio es necesario contextualizar la solicitud de información. </w:t>
      </w:r>
      <w:r w:rsidR="00DF5FF7">
        <w:rPr>
          <w:rFonts w:eastAsia="Times New Roman" w:cs="Tahoma"/>
          <w:iCs/>
          <w:color w:val="auto"/>
          <w:lang w:val="es-ES" w:eastAsia="es-ES"/>
        </w:rPr>
        <w:t xml:space="preserve"> </w:t>
      </w:r>
    </w:p>
    <w:p w14:paraId="155909A7" w14:textId="77777777" w:rsidR="00962A37" w:rsidRDefault="00962A37" w:rsidP="00147554">
      <w:pPr>
        <w:spacing w:after="0" w:line="360" w:lineRule="auto"/>
        <w:contextualSpacing/>
        <w:rPr>
          <w:rFonts w:eastAsia="Times New Roman" w:cs="Tahoma"/>
          <w:iCs/>
          <w:color w:val="auto"/>
          <w:lang w:val="es-ES" w:eastAsia="es-ES"/>
        </w:rPr>
      </w:pPr>
    </w:p>
    <w:p w14:paraId="3443F2AF" w14:textId="50659017" w:rsidR="009653D1" w:rsidRPr="00C8527A" w:rsidRDefault="009653D1" w:rsidP="009653D1">
      <w:pPr>
        <w:pStyle w:val="Prrafodelista"/>
        <w:numPr>
          <w:ilvl w:val="0"/>
          <w:numId w:val="40"/>
        </w:numPr>
        <w:spacing w:after="0" w:line="360" w:lineRule="auto"/>
        <w:rPr>
          <w:rFonts w:eastAsia="Times New Roman" w:cs="Tahoma"/>
          <w:b/>
          <w:iCs/>
          <w:color w:val="auto"/>
          <w:lang w:val="es-ES" w:eastAsia="es-ES"/>
        </w:rPr>
      </w:pPr>
      <w:r w:rsidRPr="00C8527A">
        <w:rPr>
          <w:rFonts w:eastAsia="Times New Roman" w:cs="Tahoma"/>
          <w:b/>
          <w:iCs/>
          <w:color w:val="auto"/>
          <w:lang w:val="es-ES" w:eastAsia="es-ES"/>
        </w:rPr>
        <w:t>Convenios o Contratos</w:t>
      </w:r>
    </w:p>
    <w:p w14:paraId="6355AC01" w14:textId="77777777" w:rsidR="009653D1" w:rsidRPr="009653D1" w:rsidRDefault="009653D1" w:rsidP="009653D1">
      <w:pPr>
        <w:spacing w:after="0" w:line="360" w:lineRule="auto"/>
        <w:ind w:left="360"/>
        <w:rPr>
          <w:rFonts w:eastAsia="Times New Roman" w:cs="Tahoma"/>
          <w:iCs/>
          <w:color w:val="auto"/>
          <w:lang w:val="es-ES" w:eastAsia="es-ES"/>
        </w:rPr>
      </w:pPr>
    </w:p>
    <w:p w14:paraId="7F3C4299" w14:textId="77777777" w:rsidR="006E16E0" w:rsidRDefault="006E16E0" w:rsidP="00147554">
      <w:pPr>
        <w:spacing w:after="0" w:line="360" w:lineRule="auto"/>
      </w:pPr>
      <w:r w:rsidRPr="00342CEB">
        <w:t>Sobre el tema,</w:t>
      </w:r>
      <w:r>
        <w:t xml:space="preserve"> López Olvera, Miguel Alejandro </w:t>
      </w:r>
      <w:proofErr w:type="spellStart"/>
      <w:r>
        <w:t>Cancino</w:t>
      </w:r>
      <w:proofErr w:type="spellEnd"/>
      <w:r>
        <w:t xml:space="preserve"> Gómez, Rodolfo. (2020). “La Contratación Pública y el Sistema Nacional Anticorrupción”. (p. 4) la </w:t>
      </w:r>
      <w:r>
        <w:rPr>
          <w:b/>
        </w:rPr>
        <w:t>contratación pública</w:t>
      </w:r>
      <w: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0522FE49" w14:textId="77777777" w:rsidR="006E16E0" w:rsidRDefault="006E16E0" w:rsidP="00147554">
      <w:pPr>
        <w:spacing w:after="0" w:line="360" w:lineRule="auto"/>
        <w:rPr>
          <w:rFonts w:eastAsia="Calibri" w:cs="Times New Roman"/>
        </w:rPr>
      </w:pPr>
    </w:p>
    <w:p w14:paraId="2A81E55A" w14:textId="77777777" w:rsidR="006E16E0" w:rsidRDefault="006E16E0" w:rsidP="00147554">
      <w:pPr>
        <w:spacing w:after="0" w:line="360" w:lineRule="auto"/>
        <w:rPr>
          <w:rFonts w:eastAsia="Calibri" w:cs="Tahoma"/>
        </w:rPr>
      </w:pPr>
      <w:r>
        <w:rPr>
          <w:rFonts w:eastAsia="Calibri" w:cs="Tahoma"/>
        </w:rPr>
        <w:t xml:space="preserve">Por otra parte, los artículos 1°, fracción I, y 4°de la Ley de la de Contratación Pública del Estado de México y Municipios, especifica que las Dependencias, serán las encargados de realizar los actos relativos a la planeación, programación, </w:t>
      </w:r>
      <w:proofErr w:type="spellStart"/>
      <w:r>
        <w:rPr>
          <w:rFonts w:eastAsia="Calibri" w:cs="Tahoma"/>
        </w:rPr>
        <w:t>presupuestación</w:t>
      </w:r>
      <w:proofErr w:type="spellEnd"/>
      <w:r>
        <w:rPr>
          <w:rFonts w:eastAsia="Calibri" w:cs="Tahoma"/>
        </w:rPr>
        <w:t xml:space="preserve">, ejecución y control de la adquisición (bienes muebles e inmuebles), arrendamiento (bienes muebles e inmuebles), y la contratación de servicios de cualquier naturaleza. </w:t>
      </w:r>
    </w:p>
    <w:p w14:paraId="54487553" w14:textId="77777777" w:rsidR="006E16E0" w:rsidRDefault="006E16E0" w:rsidP="00147554">
      <w:pPr>
        <w:spacing w:after="0" w:line="360" w:lineRule="auto"/>
        <w:rPr>
          <w:rFonts w:eastAsia="Calibri" w:cs="Tahoma"/>
        </w:rPr>
      </w:pPr>
    </w:p>
    <w:p w14:paraId="7AC9E3DD" w14:textId="77777777" w:rsidR="006E16E0" w:rsidRDefault="006E16E0" w:rsidP="00147554">
      <w:pPr>
        <w:spacing w:after="0" w:line="360" w:lineRule="auto"/>
        <w:rPr>
          <w:rFonts w:eastAsia="Calibri" w:cs="Tahoma"/>
        </w:rPr>
      </w:pPr>
      <w:r>
        <w:rPr>
          <w:rFonts w:eastAsia="Calibri" w:cs="Tahoma"/>
        </w:rPr>
        <w:lastRenderedPageBreak/>
        <w:t>En ese contexto, conforme a los artículos 26 y 27 de dicho ordenamiento jurídico, las adquisiciones, arrendamientos y servicios, se adjudicarán a través de procedimientos de licitación pública, invitación restringida y adjudicación directa.</w:t>
      </w:r>
    </w:p>
    <w:p w14:paraId="2E379903" w14:textId="77777777" w:rsidR="006E16E0" w:rsidRDefault="006E16E0" w:rsidP="00147554">
      <w:pPr>
        <w:spacing w:after="0" w:line="360" w:lineRule="auto"/>
      </w:pPr>
    </w:p>
    <w:p w14:paraId="25F5C828" w14:textId="77777777" w:rsidR="006E16E0" w:rsidRDefault="006E16E0" w:rsidP="00147554">
      <w:pPr>
        <w:spacing w:after="0" w:line="360" w:lineRule="auto"/>
        <w:rPr>
          <w:rFonts w:eastAsia="Calibri" w:cs="Tahoma"/>
          <w:lang w:val="es-ES"/>
        </w:rPr>
      </w:pPr>
      <w:r>
        <w:rPr>
          <w:rFonts w:eastAsia="Calibri" w:cs="Times New Roman"/>
        </w:rPr>
        <w:t xml:space="preserve">Ahora bien, sobre los documentos peticionados, se trae </w:t>
      </w:r>
      <w:r>
        <w:rPr>
          <w:rFonts w:eastAsia="Calibri" w:cs="Tahoma"/>
          <w:lang w:val="es-ES"/>
        </w:rPr>
        <w:t xml:space="preserve">a colación el artículo 12.38 del Código Administrativo del Estado de México y el 65 de la Ley de Contratación Pública del Estado de México y Municipios, que establecen que la adjudicación de un procedimiento de </w:t>
      </w:r>
      <w:r>
        <w:rPr>
          <w:rFonts w:eastAsia="Calibri" w:cs="Tahoma"/>
          <w:b/>
          <w:bCs/>
          <w:lang w:val="es-ES"/>
        </w:rPr>
        <w:t>adquisición y arrendamiento de bienes, contratación de servicios y ejecución de obra,</w:t>
      </w:r>
      <w:r>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14:paraId="610C659F" w14:textId="77777777" w:rsidR="006E16E0" w:rsidRDefault="006E16E0" w:rsidP="00147554">
      <w:pPr>
        <w:spacing w:after="0" w:line="360" w:lineRule="auto"/>
        <w:rPr>
          <w:rFonts w:eastAsia="Calibri" w:cs="Times New Roman"/>
        </w:rPr>
      </w:pPr>
    </w:p>
    <w:p w14:paraId="33A35C5B" w14:textId="77777777" w:rsidR="006E16E0" w:rsidRDefault="006E16E0" w:rsidP="00147554">
      <w:pPr>
        <w:spacing w:after="0" w:line="360" w:lineRule="auto"/>
        <w:rPr>
          <w:rFonts w:eastAsia="Calibri" w:cs="Tahoma"/>
          <w:lang w:val="es-ES"/>
        </w:rPr>
      </w:pPr>
      <w:r>
        <w:rPr>
          <w:rFonts w:eastAsia="Calibri" w:cs="Tahoma"/>
          <w:lang w:val="es-ES"/>
        </w:rPr>
        <w:t>Además, que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14:paraId="6C59D09B" w14:textId="77777777" w:rsidR="00962A37" w:rsidRPr="006E16E0" w:rsidRDefault="00962A37" w:rsidP="00147554">
      <w:pPr>
        <w:spacing w:after="0" w:line="360" w:lineRule="auto"/>
        <w:rPr>
          <w:b/>
          <w:lang w:val="es-ES"/>
        </w:rPr>
      </w:pPr>
    </w:p>
    <w:p w14:paraId="4CA4BB3A" w14:textId="6F0B08AF" w:rsidR="00962A37" w:rsidRPr="00A247FC" w:rsidRDefault="00962A37" w:rsidP="00147554">
      <w:pPr>
        <w:widowControl w:val="0"/>
        <w:spacing w:after="0" w:line="360" w:lineRule="auto"/>
        <w:rPr>
          <w:color w:val="000000"/>
        </w:rPr>
      </w:pPr>
      <w:r w:rsidRPr="00A247FC">
        <w:rPr>
          <w:color w:val="000000"/>
        </w:rPr>
        <w:t xml:space="preserve">Así mismo, el artículo 92 fracciones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A247FC">
        <w:rPr>
          <w:b/>
          <w:color w:val="000000"/>
        </w:rPr>
        <w:t>que incluye la versión pública del expediente respectivo y de los contratos celebrados.</w:t>
      </w:r>
      <w:r w:rsidRPr="00A247FC">
        <w:rPr>
          <w:color w:val="000000"/>
        </w:rPr>
        <w:t xml:space="preserve"> </w:t>
      </w:r>
    </w:p>
    <w:p w14:paraId="726A5DCC" w14:textId="77777777" w:rsidR="00AD42D9" w:rsidRDefault="00AD42D9" w:rsidP="00147554">
      <w:pPr>
        <w:spacing w:after="0" w:line="360" w:lineRule="auto"/>
        <w:ind w:right="-93"/>
      </w:pPr>
    </w:p>
    <w:p w14:paraId="759D4B20" w14:textId="198C9505" w:rsidR="00AD42D9" w:rsidRDefault="00AD42D9" w:rsidP="00AD42D9">
      <w:pPr>
        <w:pStyle w:val="Prrafodelista"/>
        <w:numPr>
          <w:ilvl w:val="0"/>
          <w:numId w:val="40"/>
        </w:numPr>
        <w:spacing w:after="0" w:line="360" w:lineRule="auto"/>
        <w:ind w:right="-93"/>
        <w:rPr>
          <w:b/>
        </w:rPr>
      </w:pPr>
      <w:r w:rsidRPr="00C36759">
        <w:rPr>
          <w:b/>
        </w:rPr>
        <w:t xml:space="preserve">Programa </w:t>
      </w:r>
      <w:r w:rsidR="00C36759">
        <w:rPr>
          <w:b/>
        </w:rPr>
        <w:t xml:space="preserve">Anual </w:t>
      </w:r>
      <w:r w:rsidRPr="00C36759">
        <w:rPr>
          <w:b/>
        </w:rPr>
        <w:t>de Trabajo</w:t>
      </w:r>
    </w:p>
    <w:p w14:paraId="2BBCF729" w14:textId="77777777" w:rsidR="00C36759" w:rsidRPr="00C36759" w:rsidRDefault="00C36759" w:rsidP="00C36759">
      <w:pPr>
        <w:pStyle w:val="Prrafodelista"/>
        <w:spacing w:after="0" w:line="360" w:lineRule="auto"/>
        <w:ind w:right="-93"/>
        <w:rPr>
          <w:b/>
        </w:rPr>
      </w:pPr>
    </w:p>
    <w:p w14:paraId="0FF3B2E4" w14:textId="77777777" w:rsidR="00C36759" w:rsidRPr="00C36759" w:rsidRDefault="00C36759" w:rsidP="00147554">
      <w:pPr>
        <w:spacing w:after="0" w:line="360" w:lineRule="auto"/>
        <w:ind w:right="-93"/>
        <w:rPr>
          <w:b/>
          <w:u w:val="single"/>
        </w:rPr>
      </w:pPr>
      <w:r>
        <w:lastRenderedPageBreak/>
        <w:t xml:space="preserve">Sobre el tema, el artículo 31 fracciones I Bis y XXI de la Ley Orgánica Municipal del Estado de México refiere que </w:t>
      </w:r>
      <w:r w:rsidRPr="00C36759">
        <w:rPr>
          <w:b/>
          <w:u w:val="single"/>
        </w:rPr>
        <w:t>dentro de las atribuciones de los ayuntamientos se encuentra el aprobar e implementar programas y acciones, así como formular, aprobar y ejecutar los planes de desarrollo municipal y los programas correspondientes.</w:t>
      </w:r>
    </w:p>
    <w:p w14:paraId="329F7E4C" w14:textId="77777777" w:rsidR="00C36759" w:rsidRDefault="00C36759" w:rsidP="00147554">
      <w:pPr>
        <w:spacing w:after="0" w:line="360" w:lineRule="auto"/>
        <w:ind w:right="-93"/>
      </w:pPr>
    </w:p>
    <w:p w14:paraId="2E57F9BF" w14:textId="1322A1A2" w:rsidR="00AD42D9" w:rsidRDefault="00C36759" w:rsidP="00147554">
      <w:pPr>
        <w:spacing w:after="0" w:line="360" w:lineRule="auto"/>
        <w:ind w:right="-93"/>
      </w:pPr>
      <w:r>
        <w:t>En esa misma consecución de ideas, el artículo 115 con relación en el 114 establece que cada ayuntamiento elaborará su plan de desarrollo municipal y los programas de trabajo necesarios para su ejecución en forma democrática y participativa.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7A64B904" w14:textId="77777777" w:rsidR="00C36759" w:rsidRDefault="00C36759" w:rsidP="00147554">
      <w:pPr>
        <w:spacing w:after="0" w:line="360" w:lineRule="auto"/>
        <w:ind w:right="-93"/>
      </w:pPr>
    </w:p>
    <w:p w14:paraId="490E0BF4" w14:textId="77777777" w:rsidR="00C36759" w:rsidRDefault="00C36759" w:rsidP="00C36759">
      <w:pPr>
        <w:tabs>
          <w:tab w:val="left" w:pos="4962"/>
        </w:tabs>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AED7CF6" w14:textId="77777777" w:rsidR="00C36759" w:rsidRDefault="00C36759" w:rsidP="00C36759">
      <w:pPr>
        <w:tabs>
          <w:tab w:val="left" w:pos="4962"/>
        </w:tabs>
        <w:spacing w:after="0" w:line="360" w:lineRule="auto"/>
      </w:pPr>
    </w:p>
    <w:p w14:paraId="43DFC3BB" w14:textId="77777777" w:rsidR="00C36759" w:rsidRDefault="00C36759" w:rsidP="00C36759">
      <w:pPr>
        <w:tabs>
          <w:tab w:val="left" w:pos="4962"/>
        </w:tabs>
        <w:spacing w:after="0" w:line="360" w:lineRule="auto"/>
      </w:pPr>
      <w: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0F3D892" w14:textId="77777777" w:rsidR="00AD42D9" w:rsidRDefault="00AD42D9" w:rsidP="00147554">
      <w:pPr>
        <w:spacing w:after="0" w:line="360" w:lineRule="auto"/>
        <w:ind w:right="-93"/>
      </w:pPr>
    </w:p>
    <w:p w14:paraId="136CE640" w14:textId="2ED9FBD1" w:rsidR="004260BE" w:rsidRDefault="004260BE" w:rsidP="00147554">
      <w:pPr>
        <w:spacing w:after="0" w:line="360" w:lineRule="auto"/>
        <w:ind w:right="-93"/>
      </w:pPr>
      <w:r>
        <w:t xml:space="preserve">En ese contexto dentro del Manual de Organización de la Presidencia de Toluca vigente en su numeral 2000012000 contara con una Coordinación General de Comunicación Social </w:t>
      </w:r>
      <w:r>
        <w:lastRenderedPageBreak/>
        <w:t>encargada de planear y coordinar la estrategia de comunicación social orientada a dar a conocer entre la población de Toluca, la información relacionada con la gestión de las dependencias de la administración pública municipal, así como distribuir entre los medios masivos de comunicación, información sobre las actividades, obras y programas realizados por la administración municipal;</w:t>
      </w:r>
    </w:p>
    <w:p w14:paraId="53C9F2BA" w14:textId="77777777" w:rsidR="004260BE" w:rsidRDefault="004260BE" w:rsidP="00147554">
      <w:pPr>
        <w:spacing w:after="0" w:line="360" w:lineRule="auto"/>
        <w:ind w:right="-93"/>
      </w:pPr>
    </w:p>
    <w:p w14:paraId="5ABD6F4F" w14:textId="68637004" w:rsidR="006E16E0" w:rsidRDefault="006E16E0" w:rsidP="00147554">
      <w:pPr>
        <w:spacing w:after="0" w:line="360" w:lineRule="auto"/>
        <w:ind w:right="-93"/>
        <w:rPr>
          <w:color w:val="000000"/>
        </w:rPr>
      </w:pPr>
      <w:r w:rsidRPr="0080569C">
        <w:rPr>
          <w:color w:val="000000"/>
        </w:rPr>
        <w:t>De lo anterior, se advierte que</w:t>
      </w:r>
      <w:r>
        <w:rPr>
          <w:color w:val="000000"/>
        </w:rPr>
        <w:t xml:space="preserve">, el Sujeto Obligado cuenta con atribuciones para generar, administrar y poseer la información solicitada, y que la pretensión de la persona Recurrente es </w:t>
      </w:r>
      <w:r w:rsidR="00C36759">
        <w:rPr>
          <w:rFonts w:eastAsia="Palatino Linotype" w:cs="Tahoma"/>
          <w:color w:val="000000"/>
          <w:lang w:eastAsia="es-MX"/>
        </w:rPr>
        <w:t>obtener los contratos o convenios con televisoras, radio u otros medios de comunicación</w:t>
      </w:r>
      <w:r w:rsidR="00C36759">
        <w:rPr>
          <w:color w:val="000000"/>
        </w:rPr>
        <w:t xml:space="preserve"> </w:t>
      </w:r>
      <w:r>
        <w:rPr>
          <w:color w:val="000000"/>
        </w:rPr>
        <w:t>celebrados del primero de enero al cuatro de marzo de dos mil veinticinco</w:t>
      </w:r>
      <w:proofErr w:type="gramStart"/>
      <w:r>
        <w:rPr>
          <w:color w:val="000000"/>
        </w:rPr>
        <w:t xml:space="preserve">, </w:t>
      </w:r>
      <w:r w:rsidR="00C36759">
        <w:rPr>
          <w:color w:val="000000"/>
        </w:rPr>
        <w:t xml:space="preserve"> </w:t>
      </w:r>
      <w:r w:rsidR="00C36759">
        <w:rPr>
          <w:rFonts w:eastAsia="Palatino Linotype" w:cs="Tahoma"/>
          <w:color w:val="000000"/>
          <w:lang w:eastAsia="es-MX"/>
        </w:rPr>
        <w:t>así</w:t>
      </w:r>
      <w:proofErr w:type="gramEnd"/>
      <w:r w:rsidR="00C36759">
        <w:rPr>
          <w:rFonts w:eastAsia="Palatino Linotype" w:cs="Tahoma"/>
          <w:color w:val="000000"/>
          <w:lang w:eastAsia="es-MX"/>
        </w:rPr>
        <w:t xml:space="preserve"> como de la Dirección de Comunicación Social, su programa anual, avance y presupuesto ejercido y asignado</w:t>
      </w:r>
      <w:r>
        <w:rPr>
          <w:color w:val="000000"/>
        </w:rPr>
        <w:t>.</w:t>
      </w:r>
    </w:p>
    <w:p w14:paraId="6218F48B" w14:textId="77777777" w:rsidR="00AD42D9" w:rsidRDefault="00AD42D9" w:rsidP="00147554">
      <w:pPr>
        <w:spacing w:after="0" w:line="360" w:lineRule="auto"/>
        <w:ind w:right="-93"/>
        <w:rPr>
          <w:color w:val="000000"/>
        </w:rPr>
      </w:pPr>
    </w:p>
    <w:p w14:paraId="58FBEA2C" w14:textId="33ACC97E" w:rsidR="003838BE" w:rsidRDefault="005E4832" w:rsidP="00147554">
      <w:pPr>
        <w:spacing w:after="0" w:line="360" w:lineRule="auto"/>
        <w:ind w:right="-93"/>
        <w:rPr>
          <w:color w:val="0D0D0D"/>
        </w:rPr>
      </w:pPr>
      <w:r>
        <w:rPr>
          <w:color w:val="000000"/>
        </w:rPr>
        <w:t>Ahora bien, de las constancias que obran en el expediente, se logra vislumbrar que el Sujeto Obligado turno la solicitud de información a la Tesorería Municipal y a las Direcciones Generales de Administración</w:t>
      </w:r>
      <w:r w:rsidR="00AF1BC7">
        <w:rPr>
          <w:color w:val="000000"/>
        </w:rPr>
        <w:t>, Recursos Materiales</w:t>
      </w:r>
      <w:r>
        <w:rPr>
          <w:color w:val="000000"/>
        </w:rPr>
        <w:t xml:space="preserve"> y </w:t>
      </w:r>
      <w:r w:rsidR="004260BE">
        <w:rPr>
          <w:color w:val="000000"/>
        </w:rPr>
        <w:t>de Comunicación Social</w:t>
      </w:r>
      <w:r w:rsidR="003838BE">
        <w:rPr>
          <w:color w:val="000000"/>
        </w:rPr>
        <w:t xml:space="preserve">; </w:t>
      </w:r>
      <w:r w:rsidR="003838BE">
        <w:t xml:space="preserve">por lo que, es oportuno hacer referencia al </w:t>
      </w:r>
      <w:r w:rsidR="003838BE">
        <w:rPr>
          <w:b/>
        </w:rPr>
        <w:t>procedimiento de búsqueda que deben de seguir los Sujetos Obligados para localizar la información</w:t>
      </w:r>
      <w:r w:rsidR="003838BE">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C3C9661" w14:textId="77777777" w:rsidR="006E16E0" w:rsidRPr="006E16E0" w:rsidRDefault="006E16E0" w:rsidP="00147554">
      <w:pPr>
        <w:spacing w:after="0" w:line="360" w:lineRule="auto"/>
        <w:contextualSpacing/>
        <w:rPr>
          <w:rFonts w:eastAsia="Times New Roman" w:cs="Tahoma"/>
          <w:iCs/>
          <w:color w:val="auto"/>
          <w:lang w:eastAsia="es-ES"/>
        </w:rPr>
      </w:pPr>
    </w:p>
    <w:p w14:paraId="50E2BD87" w14:textId="09C7C82D" w:rsidR="006E16E0" w:rsidRDefault="003838BE" w:rsidP="00147554">
      <w:pPr>
        <w:spacing w:after="0" w:line="360" w:lineRule="auto"/>
        <w:contextualSpacing/>
        <w:rPr>
          <w:rFonts w:eastAsia="Times New Roman" w:cs="Tahoma"/>
          <w:iCs/>
          <w:color w:val="auto"/>
          <w:lang w:eastAsia="es-ES"/>
        </w:rPr>
      </w:pPr>
      <w:r>
        <w:rPr>
          <w:rFonts w:eastAsia="Times New Roman" w:cs="Tahoma"/>
          <w:iCs/>
          <w:color w:val="auto"/>
          <w:lang w:eastAsia="es-ES"/>
        </w:rPr>
        <w:t>Así, los artículos 3.2, 3.21, 3.31. 3.36, 3.38</w:t>
      </w:r>
      <w:r w:rsidR="00C10DD3">
        <w:rPr>
          <w:rFonts w:eastAsia="Times New Roman" w:cs="Tahoma"/>
          <w:iCs/>
          <w:color w:val="auto"/>
          <w:lang w:eastAsia="es-ES"/>
        </w:rPr>
        <w:t>, 3.40</w:t>
      </w:r>
      <w:r>
        <w:rPr>
          <w:rFonts w:eastAsia="Times New Roman" w:cs="Tahoma"/>
          <w:iCs/>
          <w:color w:val="auto"/>
          <w:lang w:eastAsia="es-ES"/>
        </w:rPr>
        <w:t xml:space="preserve"> </w:t>
      </w:r>
      <w:r w:rsidR="00C10DD3">
        <w:rPr>
          <w:rFonts w:eastAsia="Times New Roman" w:cs="Tahoma"/>
          <w:iCs/>
          <w:color w:val="auto"/>
          <w:lang w:eastAsia="es-ES"/>
        </w:rPr>
        <w:t xml:space="preserve">y 3.46 </w:t>
      </w:r>
      <w:r>
        <w:rPr>
          <w:rFonts w:eastAsia="Times New Roman" w:cs="Tahoma"/>
          <w:iCs/>
          <w:color w:val="auto"/>
          <w:lang w:eastAsia="es-ES"/>
        </w:rPr>
        <w:t xml:space="preserve">del Código Reglamentario Municipal de Toluca, establece que el Sujeto Obligado cuenta con diversas unidades administrativas para el ejercicio de sus funciones, entre las cuales se encuentran las siguientes: </w:t>
      </w:r>
    </w:p>
    <w:p w14:paraId="70D7FF3C" w14:textId="77777777" w:rsidR="003838BE" w:rsidRDefault="003838BE" w:rsidP="00147554">
      <w:pPr>
        <w:spacing w:after="0" w:line="360" w:lineRule="auto"/>
        <w:contextualSpacing/>
        <w:rPr>
          <w:rFonts w:eastAsia="Times New Roman" w:cs="Tahoma"/>
          <w:iCs/>
          <w:color w:val="auto"/>
          <w:lang w:eastAsia="es-ES"/>
        </w:rPr>
      </w:pPr>
    </w:p>
    <w:p w14:paraId="052B6AAF" w14:textId="4BE5FF8E" w:rsidR="003838BE" w:rsidRDefault="003838BE" w:rsidP="00147554">
      <w:pPr>
        <w:pStyle w:val="Prrafodelista"/>
        <w:numPr>
          <w:ilvl w:val="0"/>
          <w:numId w:val="31"/>
        </w:numPr>
        <w:spacing w:after="0" w:line="360" w:lineRule="auto"/>
        <w:rPr>
          <w:rFonts w:eastAsia="Times New Roman" w:cs="Tahoma"/>
          <w:b/>
          <w:bCs/>
          <w:iCs/>
          <w:color w:val="auto"/>
          <w:lang w:eastAsia="es-ES"/>
        </w:rPr>
      </w:pPr>
      <w:r w:rsidRPr="003838BE">
        <w:rPr>
          <w:rFonts w:eastAsia="Times New Roman" w:cs="Tahoma"/>
          <w:b/>
          <w:bCs/>
          <w:iCs/>
          <w:color w:val="auto"/>
          <w:lang w:eastAsia="es-ES"/>
        </w:rPr>
        <w:t>Tesorería Municipal:</w:t>
      </w:r>
      <w:r>
        <w:rPr>
          <w:rFonts w:eastAsia="Times New Roman" w:cs="Tahoma"/>
          <w:b/>
          <w:bCs/>
          <w:iCs/>
          <w:color w:val="auto"/>
          <w:lang w:eastAsia="es-ES"/>
        </w:rPr>
        <w:t xml:space="preserve"> </w:t>
      </w:r>
      <w:r>
        <w:rPr>
          <w:rFonts w:eastAsia="Times New Roman" w:cs="Tahoma"/>
          <w:iCs/>
          <w:color w:val="auto"/>
          <w:lang w:eastAsia="es-ES"/>
        </w:rPr>
        <w:t xml:space="preserve">Que supervisa el registro y </w:t>
      </w:r>
      <w:r>
        <w:t>control de las operaciones financieras presupuestales y contables; así como, revisa y autoriza la integración de los informes mensuales y la cuenta pública.</w:t>
      </w:r>
    </w:p>
    <w:p w14:paraId="3D215680" w14:textId="77777777" w:rsidR="003838BE" w:rsidRPr="003838BE" w:rsidRDefault="003838BE" w:rsidP="00147554">
      <w:pPr>
        <w:pStyle w:val="Prrafodelista"/>
        <w:spacing w:after="0" w:line="360" w:lineRule="auto"/>
        <w:rPr>
          <w:rFonts w:eastAsia="Times New Roman" w:cs="Tahoma"/>
          <w:b/>
          <w:bCs/>
          <w:iCs/>
          <w:color w:val="auto"/>
          <w:lang w:eastAsia="es-ES"/>
        </w:rPr>
      </w:pPr>
    </w:p>
    <w:p w14:paraId="4AAEC073" w14:textId="1F166D26" w:rsidR="003838BE" w:rsidRPr="00AF1BC7" w:rsidRDefault="003838BE" w:rsidP="00147554">
      <w:pPr>
        <w:pStyle w:val="Prrafodelista"/>
        <w:numPr>
          <w:ilvl w:val="0"/>
          <w:numId w:val="31"/>
        </w:numPr>
        <w:spacing w:after="0" w:line="360" w:lineRule="auto"/>
        <w:rPr>
          <w:rFonts w:eastAsia="Times New Roman" w:cs="Tahoma"/>
          <w:b/>
          <w:bCs/>
          <w:iCs/>
          <w:color w:val="auto"/>
          <w:lang w:eastAsia="es-ES"/>
        </w:rPr>
      </w:pPr>
      <w:r w:rsidRPr="003838BE">
        <w:rPr>
          <w:rFonts w:eastAsia="Times New Roman" w:cs="Tahoma"/>
          <w:b/>
          <w:bCs/>
          <w:iCs/>
          <w:color w:val="auto"/>
          <w:lang w:eastAsia="es-ES"/>
        </w:rPr>
        <w:t>Dirección General de Administración:</w:t>
      </w:r>
      <w:r>
        <w:rPr>
          <w:rFonts w:eastAsia="Times New Roman" w:cs="Tahoma"/>
          <w:b/>
          <w:bCs/>
          <w:iCs/>
          <w:color w:val="auto"/>
          <w:lang w:eastAsia="es-ES"/>
        </w:rPr>
        <w:t xml:space="preserve"> </w:t>
      </w:r>
      <w:r>
        <w:rPr>
          <w:rFonts w:eastAsia="Times New Roman" w:cs="Tahoma"/>
          <w:iCs/>
          <w:color w:val="auto"/>
          <w:lang w:eastAsia="es-ES"/>
        </w:rPr>
        <w:t xml:space="preserve">Que revisa, suscribe y vigila todos aquellos contratos que se formalicen con proveedores o contratistas, así como, su ejecución y ejercicio, relativos a fallos de adjudicación de procesos de licitación pública o de sus excepciones. </w:t>
      </w:r>
    </w:p>
    <w:p w14:paraId="437F4F99" w14:textId="77777777" w:rsidR="00AF1BC7" w:rsidRPr="00AF1BC7" w:rsidRDefault="00AF1BC7" w:rsidP="00AF1BC7">
      <w:pPr>
        <w:pStyle w:val="Prrafodelista"/>
        <w:rPr>
          <w:rFonts w:eastAsia="Times New Roman" w:cs="Tahoma"/>
          <w:b/>
          <w:bCs/>
          <w:iCs/>
          <w:color w:val="auto"/>
          <w:lang w:eastAsia="es-ES"/>
        </w:rPr>
      </w:pPr>
    </w:p>
    <w:p w14:paraId="06BAB35B" w14:textId="02E9E286" w:rsidR="00AF1BC7" w:rsidRDefault="00AF1BC7" w:rsidP="00147554">
      <w:pPr>
        <w:pStyle w:val="Prrafodelista"/>
        <w:numPr>
          <w:ilvl w:val="0"/>
          <w:numId w:val="31"/>
        </w:numPr>
        <w:spacing w:after="0" w:line="360" w:lineRule="auto"/>
        <w:rPr>
          <w:rFonts w:eastAsia="Times New Roman" w:cs="Tahoma"/>
          <w:b/>
          <w:bCs/>
          <w:iCs/>
          <w:color w:val="auto"/>
          <w:lang w:eastAsia="es-ES"/>
        </w:rPr>
      </w:pPr>
      <w:r>
        <w:rPr>
          <w:rFonts w:eastAsia="Times New Roman" w:cs="Tahoma"/>
          <w:b/>
          <w:bCs/>
          <w:iCs/>
          <w:color w:val="auto"/>
          <w:lang w:eastAsia="es-ES"/>
        </w:rPr>
        <w:t xml:space="preserve">Dirección de Recursos Materiales: </w:t>
      </w:r>
      <w:r>
        <w:t>Coordinar y supervisar los procedimientos administrativos relacionados con la adquisición de bienes y contratación de servicios, solicitados por las áreas usuarias que conforman la Administración pública municipal.</w:t>
      </w:r>
    </w:p>
    <w:p w14:paraId="45A9C01C" w14:textId="77777777" w:rsidR="006E16E0" w:rsidRDefault="006E16E0" w:rsidP="00147554">
      <w:pPr>
        <w:spacing w:after="0" w:line="360" w:lineRule="auto"/>
        <w:ind w:right="-28"/>
        <w:rPr>
          <w:b/>
        </w:rPr>
      </w:pPr>
    </w:p>
    <w:p w14:paraId="7A96819F" w14:textId="7DE48401" w:rsidR="00204F92" w:rsidRDefault="00C10DD3" w:rsidP="00147554">
      <w:pPr>
        <w:spacing w:after="0" w:line="360" w:lineRule="auto"/>
        <w:rPr>
          <w:rFonts w:eastAsia="Palatino Linotype" w:cs="Palatino Linotype"/>
        </w:rPr>
      </w:pPr>
      <w:r>
        <w:rPr>
          <w:rFonts w:eastAsia="Palatino Linotype" w:cs="Palatino Linotype"/>
        </w:rPr>
        <w:t xml:space="preserve">Conforme a lo anterior, se logra vislumbrar que el Sujeto Obligado turno la solicitud </w:t>
      </w:r>
      <w:proofErr w:type="gramStart"/>
      <w:r>
        <w:rPr>
          <w:rFonts w:eastAsia="Palatino Linotype" w:cs="Palatino Linotype"/>
        </w:rPr>
        <w:t xml:space="preserve">a </w:t>
      </w:r>
      <w:r w:rsidR="004260BE">
        <w:rPr>
          <w:rFonts w:eastAsia="Palatino Linotype" w:cs="Palatino Linotype"/>
        </w:rPr>
        <w:t xml:space="preserve"> las</w:t>
      </w:r>
      <w:proofErr w:type="gramEnd"/>
      <w:r w:rsidR="004260BE">
        <w:rPr>
          <w:rFonts w:eastAsia="Palatino Linotype" w:cs="Palatino Linotype"/>
        </w:rPr>
        <w:t xml:space="preserve"> </w:t>
      </w:r>
      <w:r>
        <w:rPr>
          <w:rFonts w:eastAsia="Palatino Linotype" w:cs="Palatino Linotype"/>
        </w:rPr>
        <w:t xml:space="preserve">unidades administrativas </w:t>
      </w:r>
      <w:r w:rsidR="004260BE">
        <w:rPr>
          <w:rFonts w:eastAsia="Palatino Linotype" w:cs="Palatino Linotype"/>
        </w:rPr>
        <w:t xml:space="preserve">competentes para conocer de lo peticionado, por lo que </w:t>
      </w:r>
      <w:r>
        <w:rPr>
          <w:rFonts w:eastAsia="Palatino Linotype" w:cs="Palatino Linotype"/>
        </w:rPr>
        <w:t>cumplió con e</w:t>
      </w:r>
      <w:r w:rsidR="004260BE">
        <w:rPr>
          <w:rFonts w:eastAsia="Palatino Linotype" w:cs="Palatino Linotype"/>
        </w:rPr>
        <w:t xml:space="preserve">l procedimiento de búsqueda. </w:t>
      </w:r>
      <w:r>
        <w:rPr>
          <w:rFonts w:eastAsia="Palatino Linotype" w:cs="Palatino Linotype"/>
        </w:rPr>
        <w:t>Establecido lo anterior, se procede analizar la respuesta entregada por el Sujeto Obligado.</w:t>
      </w:r>
    </w:p>
    <w:p w14:paraId="1D92923A" w14:textId="77777777" w:rsidR="00C10DD3" w:rsidRDefault="00C10DD3" w:rsidP="00147554">
      <w:pPr>
        <w:spacing w:after="0" w:line="360" w:lineRule="auto"/>
        <w:rPr>
          <w:rFonts w:eastAsia="Palatino Linotype" w:cs="Palatino Linotype"/>
        </w:rPr>
      </w:pPr>
    </w:p>
    <w:p w14:paraId="7D106656" w14:textId="6799483D" w:rsidR="00C10DD3" w:rsidRDefault="00C10DD3" w:rsidP="00147554">
      <w:pPr>
        <w:spacing w:after="0" w:line="360" w:lineRule="auto"/>
        <w:rPr>
          <w:rFonts w:eastAsia="Palatino Linotype" w:cs="Palatino Linotype"/>
        </w:rPr>
      </w:pPr>
      <w:r>
        <w:rPr>
          <w:rFonts w:eastAsia="Palatino Linotype" w:cs="Palatino Linotype"/>
        </w:rPr>
        <w:t xml:space="preserve">En ese orden de ideas, </w:t>
      </w:r>
      <w:r w:rsidR="004260BE">
        <w:rPr>
          <w:rFonts w:eastAsia="Palatino Linotype" w:cs="Palatino Linotype"/>
        </w:rPr>
        <w:t>la Dirección de Administración</w:t>
      </w:r>
      <w:r w:rsidR="00AF1BC7">
        <w:rPr>
          <w:rFonts w:eastAsia="Palatino Linotype" w:cs="Palatino Linotype"/>
        </w:rPr>
        <w:t xml:space="preserve"> y Recursos Materiales </w:t>
      </w:r>
      <w:r>
        <w:rPr>
          <w:rFonts w:eastAsia="Palatino Linotype" w:cs="Palatino Linotype"/>
        </w:rPr>
        <w:t xml:space="preserve">señalaron que después de realizar una búsqueda exhaustiva y razonable en sus archivos, no habían localizado </w:t>
      </w:r>
      <w:r w:rsidR="00AF1BC7">
        <w:rPr>
          <w:rFonts w:eastAsia="Palatino Linotype" w:cs="Palatino Linotype"/>
        </w:rPr>
        <w:t>algún archivo relativo a los contratos celebrados con alguna televisora, radio u otros medios de comunicación.</w:t>
      </w:r>
      <w:r>
        <w:rPr>
          <w:rFonts w:eastAsia="Palatino Linotype" w:cs="Palatino Linotype"/>
        </w:rPr>
        <w:t xml:space="preserve"> </w:t>
      </w:r>
    </w:p>
    <w:p w14:paraId="45B3F1DE" w14:textId="77777777" w:rsidR="00147554" w:rsidRDefault="00147554" w:rsidP="00147554">
      <w:pPr>
        <w:spacing w:after="0" w:line="360" w:lineRule="auto"/>
        <w:rPr>
          <w:rFonts w:eastAsia="Palatino Linotype" w:cs="Palatino Linotype"/>
        </w:rPr>
      </w:pPr>
    </w:p>
    <w:p w14:paraId="44C8256E" w14:textId="77777777" w:rsidR="00147554" w:rsidRDefault="00147554" w:rsidP="00147554">
      <w:pPr>
        <w:spacing w:after="0" w:line="360" w:lineRule="auto"/>
        <w:rPr>
          <w:color w:val="auto"/>
        </w:rPr>
      </w:pPr>
      <w:r>
        <w:t>Conforme a lo anterior, se logra vislumbrar que la información es inexistente</w:t>
      </w:r>
      <w:r>
        <w:rPr>
          <w:color w:val="auto"/>
        </w:rPr>
        <w:t xml:space="preserve">; sobre el tema, se trae a manera de analogía el Criterio orientador, con clave de control SO/014/2017, emitido </w:t>
      </w:r>
      <w:r>
        <w:rPr>
          <w:color w:val="auto"/>
        </w:rPr>
        <w:lastRenderedPageBreak/>
        <w:t xml:space="preserve">por el entonces Instituto Nacional de Transparencia, Acceso a la Información Pública y Protección de Datos Personales en el Estado de México y Municipios, del cual se desprende que la inexistencia de la información, es una cuestión de hecho que se le atribuye a la misma, cuando ésta no se encuentra en los archivos del sujeto obligado. </w:t>
      </w:r>
    </w:p>
    <w:p w14:paraId="4D50D436" w14:textId="77777777" w:rsidR="00147554" w:rsidRDefault="00147554" w:rsidP="00147554">
      <w:pPr>
        <w:spacing w:after="0" w:line="360" w:lineRule="auto"/>
        <w:contextualSpacing/>
        <w:rPr>
          <w:color w:val="FF0000"/>
        </w:rPr>
      </w:pPr>
    </w:p>
    <w:p w14:paraId="30EA00FF" w14:textId="77777777" w:rsidR="00147554" w:rsidRDefault="00147554" w:rsidP="00147554">
      <w:pPr>
        <w:spacing w:after="0" w:line="360" w:lineRule="auto"/>
        <w:contextualSpacing/>
        <w:rPr>
          <w:color w:val="auto"/>
        </w:rPr>
      </w:pPr>
      <w:r>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C350743" w14:textId="77777777" w:rsidR="00147554" w:rsidRDefault="00147554" w:rsidP="00147554">
      <w:pPr>
        <w:spacing w:after="0" w:line="360" w:lineRule="auto"/>
        <w:contextualSpacing/>
        <w:rPr>
          <w:color w:val="FF0000"/>
        </w:rPr>
      </w:pPr>
    </w:p>
    <w:p w14:paraId="396459E6" w14:textId="77777777" w:rsidR="00147554" w:rsidRDefault="00147554" w:rsidP="00147554">
      <w:pPr>
        <w:spacing w:after="0" w:line="360" w:lineRule="auto"/>
        <w:contextualSpacing/>
        <w:rPr>
          <w:color w:val="auto"/>
        </w:rPr>
      </w:pPr>
      <w:r>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59D9AE1C" w14:textId="77777777" w:rsidR="00147554" w:rsidRDefault="00147554" w:rsidP="00147554">
      <w:pPr>
        <w:spacing w:after="0" w:line="360" w:lineRule="auto"/>
        <w:contextualSpacing/>
        <w:rPr>
          <w:color w:val="FF0000"/>
        </w:rPr>
      </w:pPr>
    </w:p>
    <w:p w14:paraId="3C0AAF44" w14:textId="74403983" w:rsidR="00147554" w:rsidRDefault="00147554" w:rsidP="00147554">
      <w:pPr>
        <w:spacing w:after="0" w:line="360" w:lineRule="auto"/>
        <w:contextualSpacing/>
        <w:rPr>
          <w:color w:val="auto"/>
        </w:rPr>
      </w:pPr>
      <w:r>
        <w:rPr>
          <w:color w:val="auto"/>
        </w:rPr>
        <w:t xml:space="preserve">En ese sentido, este Instituto realizó una búsqueda en la fracción XXIX, del Portal de Información Pública de Oficio Mexiquense del Ayuntamiento de Toluca, del primer trimestre </w:t>
      </w:r>
      <w:r w:rsidR="00AF1BC7">
        <w:rPr>
          <w:color w:val="auto"/>
        </w:rPr>
        <w:t xml:space="preserve">y segundo trimestre </w:t>
      </w:r>
      <w:r>
        <w:rPr>
          <w:color w:val="auto"/>
        </w:rPr>
        <w:t xml:space="preserve">del presente ejercicio fiscal y se logró vislumbra que del primero de enero al treinta y uno de </w:t>
      </w:r>
      <w:r w:rsidR="00B75BA3">
        <w:rPr>
          <w:color w:val="auto"/>
        </w:rPr>
        <w:t>junio</w:t>
      </w:r>
      <w:r>
        <w:rPr>
          <w:color w:val="auto"/>
        </w:rPr>
        <w:t xml:space="preserve"> de dos mil veinticinco, no se llevó a cabo la contratación de </w:t>
      </w:r>
      <w:r w:rsidR="004260BE">
        <w:rPr>
          <w:color w:val="auto"/>
        </w:rPr>
        <w:t>algún servicio</w:t>
      </w:r>
      <w:r w:rsidR="00B75BA3">
        <w:rPr>
          <w:color w:val="auto"/>
        </w:rPr>
        <w:t xml:space="preserve"> relacionado con alguna televisora, radio o cualquier medio de comunicación, </w:t>
      </w:r>
      <w:r>
        <w:rPr>
          <w:color w:val="auto"/>
        </w:rPr>
        <w:t>tal como se muestra a continuación:</w:t>
      </w:r>
    </w:p>
    <w:p w14:paraId="2CA4D84D" w14:textId="77777777" w:rsidR="00147554" w:rsidRDefault="00147554" w:rsidP="00147554">
      <w:pPr>
        <w:spacing w:after="0" w:line="360" w:lineRule="auto"/>
        <w:contextualSpacing/>
        <w:rPr>
          <w:color w:val="auto"/>
        </w:rPr>
      </w:pPr>
    </w:p>
    <w:p w14:paraId="7954FB1B" w14:textId="5240896A" w:rsidR="00147554" w:rsidRDefault="00B75BA3" w:rsidP="00147554">
      <w:pPr>
        <w:spacing w:after="0" w:line="360" w:lineRule="auto"/>
        <w:contextualSpacing/>
        <w:rPr>
          <w:color w:val="auto"/>
        </w:rPr>
      </w:pPr>
      <w:r w:rsidRPr="00B75BA3">
        <w:rPr>
          <w:noProof/>
          <w:color w:val="auto"/>
          <w:lang w:eastAsia="es-MX"/>
        </w:rPr>
        <w:drawing>
          <wp:inline distT="0" distB="0" distL="0" distR="0" wp14:anchorId="10E47882" wp14:editId="7C6971D0">
            <wp:extent cx="5671185" cy="80708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807085"/>
                    </a:xfrm>
                    <a:prstGeom prst="rect">
                      <a:avLst/>
                    </a:prstGeom>
                  </pic:spPr>
                </pic:pic>
              </a:graphicData>
            </a:graphic>
          </wp:inline>
        </w:drawing>
      </w:r>
    </w:p>
    <w:p w14:paraId="77F9FF00" w14:textId="77777777" w:rsidR="00147554" w:rsidRDefault="00147554" w:rsidP="00147554">
      <w:pPr>
        <w:spacing w:after="0" w:line="360" w:lineRule="auto"/>
        <w:contextualSpacing/>
        <w:rPr>
          <w:color w:val="auto"/>
        </w:rPr>
      </w:pPr>
    </w:p>
    <w:p w14:paraId="0EF9550C" w14:textId="722C5781" w:rsidR="00147554" w:rsidRDefault="00147554" w:rsidP="00147554">
      <w:pPr>
        <w:spacing w:after="0" w:line="360" w:lineRule="auto"/>
        <w:contextualSpacing/>
        <w:rPr>
          <w:color w:val="FF0000"/>
        </w:rPr>
      </w:pPr>
      <w:r>
        <w:rPr>
          <w:color w:val="auto"/>
        </w:rPr>
        <w:lastRenderedPageBreak/>
        <w:t>Por lo anterior, se logra colegir que la in</w:t>
      </w:r>
      <w:r w:rsidR="00B75BA3">
        <w:rPr>
          <w:color w:val="auto"/>
        </w:rPr>
        <w:t xml:space="preserve">formación </w:t>
      </w:r>
      <w:r>
        <w:rPr>
          <w:color w:val="auto"/>
        </w:rPr>
        <w:t>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0E405DEB" w14:textId="77777777" w:rsidR="00147554" w:rsidRDefault="00147554" w:rsidP="00147554">
      <w:pPr>
        <w:spacing w:after="0" w:line="360" w:lineRule="auto"/>
        <w:contextualSpacing/>
        <w:rPr>
          <w:color w:val="FF0000"/>
        </w:rPr>
      </w:pPr>
    </w:p>
    <w:p w14:paraId="565FA875" w14:textId="77777777" w:rsidR="00147554" w:rsidRPr="00147554" w:rsidRDefault="00147554" w:rsidP="00147554">
      <w:pPr>
        <w:spacing w:after="0" w:line="360" w:lineRule="auto"/>
        <w:contextualSpacing/>
        <w:rPr>
          <w:color w:val="auto"/>
        </w:rPr>
      </w:pPr>
      <w:r>
        <w:rPr>
          <w:color w:val="auto"/>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w:t>
      </w:r>
      <w:r w:rsidRPr="00147554">
        <w:rPr>
          <w:color w:val="auto"/>
        </w:rPr>
        <w:t>declare formalmente la inexistencia, cuando del análisis a la normatividad aplicables no se desprenda obligación alguna de contar con la información solicitada, ni se advierta algún otro elemento de convicción que apunto a su existencia.</w:t>
      </w:r>
    </w:p>
    <w:p w14:paraId="385E0B7E" w14:textId="77777777" w:rsidR="00147554" w:rsidRDefault="00147554" w:rsidP="00147554">
      <w:pPr>
        <w:spacing w:after="0" w:line="360" w:lineRule="auto"/>
        <w:rPr>
          <w:rFonts w:eastAsia="Palatino Linotype" w:cs="Palatino Linotype"/>
        </w:rPr>
      </w:pPr>
    </w:p>
    <w:p w14:paraId="5150451D" w14:textId="064DFD1A" w:rsidR="00147554" w:rsidRDefault="00147554" w:rsidP="00147554">
      <w:pPr>
        <w:spacing w:after="0" w:line="360" w:lineRule="auto"/>
        <w:rPr>
          <w:rFonts w:eastAsia="Palatino Linotype" w:cs="Palatino Linotype"/>
        </w:rPr>
      </w:pPr>
      <w:r>
        <w:rPr>
          <w:rFonts w:eastAsia="Palatino Linotype" w:cs="Palatino Linotype"/>
        </w:rPr>
        <w:t>Lo cual aconteció pues el área competente precisó las razones por las cuales no contaba con lo peticionado, a sa</w:t>
      </w:r>
      <w:r w:rsidR="00B75BA3">
        <w:rPr>
          <w:rFonts w:eastAsia="Palatino Linotype" w:cs="Palatino Linotype"/>
        </w:rPr>
        <w:t>ber, que no se habían realizado contratación alguna relacionada con radiocomunicaciones</w:t>
      </w:r>
      <w:r>
        <w:rPr>
          <w:rFonts w:eastAsia="Palatino Linotype" w:cs="Palatino Linotype"/>
        </w:rPr>
        <w:t>, durante el periodo solicitado, lo cual fue acreditado por este Instituto, y, por lo tanto, la respuesta entregada por el área fue correcta.</w:t>
      </w:r>
    </w:p>
    <w:p w14:paraId="45D1B36B" w14:textId="77777777" w:rsidR="00C10DD3" w:rsidRDefault="00C10DD3" w:rsidP="00147554">
      <w:pPr>
        <w:spacing w:after="0" w:line="360" w:lineRule="auto"/>
        <w:ind w:right="-93"/>
        <w:rPr>
          <w:color w:val="000000"/>
        </w:rPr>
      </w:pPr>
    </w:p>
    <w:p w14:paraId="4BCBEE38" w14:textId="060910FC" w:rsidR="00C554F3" w:rsidRPr="008620F6" w:rsidRDefault="00C554F3" w:rsidP="00C554F3">
      <w:pPr>
        <w:spacing w:after="0" w:line="360" w:lineRule="auto"/>
      </w:pPr>
      <w:r w:rsidRPr="00B75BA3">
        <w:rPr>
          <w:color w:val="000000"/>
        </w:rPr>
        <w:t xml:space="preserve">Ahora bien, la Tesorería Municipal mencionó que la información </w:t>
      </w:r>
      <w:r w:rsidR="00B75BA3" w:rsidRPr="00B75BA3">
        <w:rPr>
          <w:color w:val="000000"/>
        </w:rPr>
        <w:t>referente al presupuesto asignado y ejercido por área</w:t>
      </w:r>
      <w:r w:rsidRPr="00B75BA3">
        <w:rPr>
          <w:color w:val="000000"/>
        </w:rPr>
        <w:t xml:space="preserve"> </w:t>
      </w:r>
      <w:r w:rsidRPr="00B75BA3">
        <w:t>se encontraba</w:t>
      </w:r>
      <w:r w:rsidR="00B75BA3" w:rsidRPr="00B75BA3">
        <w:t xml:space="preserve"> de manera general y no particular en un link remitido, misma que esta publica en el sitio oficial del ayuntamiento de Toluca.</w:t>
      </w:r>
    </w:p>
    <w:p w14:paraId="697EA6C5" w14:textId="77777777" w:rsidR="00C554F3" w:rsidRPr="008620F6" w:rsidRDefault="00C554F3" w:rsidP="00C554F3">
      <w:pPr>
        <w:spacing w:after="0" w:line="360" w:lineRule="auto"/>
      </w:pPr>
    </w:p>
    <w:p w14:paraId="3AD0B7E5" w14:textId="6A7B6D1B" w:rsidR="00C554F3" w:rsidRPr="008620F6" w:rsidRDefault="00C554F3" w:rsidP="00C554F3">
      <w:pPr>
        <w:spacing w:after="0" w:line="360" w:lineRule="auto"/>
        <w:ind w:right="-28"/>
        <w:contextualSpacing/>
        <w:rPr>
          <w:rFonts w:cs="Tahoma"/>
          <w:color w:val="0D0D0D" w:themeColor="text1" w:themeTint="F2"/>
          <w:lang w:val="es-ES"/>
        </w:rPr>
      </w:pPr>
      <w:bookmarkStart w:id="30" w:name="_Hlk198139041"/>
      <w:r w:rsidRPr="008620F6">
        <w:rPr>
          <w:rFonts w:cs="Tahoma"/>
          <w:color w:val="0D0D0D" w:themeColor="text1" w:themeTint="F2"/>
          <w:lang w:val="es-ES"/>
        </w:rPr>
        <w:t>Sobre el tema, el artículo 4</w:t>
      </w:r>
      <w:r>
        <w:rPr>
          <w:rFonts w:cs="Tahoma"/>
          <w:color w:val="0D0D0D" w:themeColor="text1" w:themeTint="F2"/>
          <w:lang w:val="es-ES"/>
        </w:rPr>
        <w:t>o</w:t>
      </w:r>
      <w:r w:rsidRPr="008620F6">
        <w:rPr>
          <w:rFonts w:cs="Tahoma"/>
          <w:color w:val="0D0D0D" w:themeColor="text1" w:themeTint="F2"/>
          <w:lang w:val="es-ES"/>
        </w:rPr>
        <w:t>,</w:t>
      </w:r>
      <w:r>
        <w:rPr>
          <w:rFonts w:cs="Tahoma"/>
          <w:color w:val="0D0D0D" w:themeColor="text1" w:themeTint="F2"/>
          <w:lang w:val="es-ES"/>
        </w:rPr>
        <w:t xml:space="preserve"> </w:t>
      </w:r>
      <w:r w:rsidRPr="008620F6">
        <w:rPr>
          <w:rFonts w:cs="Tahoma"/>
          <w:color w:val="0D0D0D" w:themeColor="text1" w:themeTint="F2"/>
          <w:lang w:val="es-ES"/>
        </w:rPr>
        <w:t xml:space="preserve">fracción IV, de la Ley General de Contabilidad Gubernamental, con relación, al Manual Único de Contabilidad Gubernamental para las Dependencias y Entidades Públicas del gobierno y Municipios del Estado de México, establecen que la </w:t>
      </w:r>
      <w:r w:rsidRPr="008620F6">
        <w:rPr>
          <w:rFonts w:cs="Tahoma"/>
          <w:color w:val="0D0D0D" w:themeColor="text1" w:themeTint="F2"/>
          <w:lang w:val="es-ES"/>
        </w:rPr>
        <w:lastRenderedPageBreak/>
        <w:t>contabilidad gubernamental es la técnica que sustenta los sistemas de contabilidad gubernamental y que se utiliza para el registro de las transacciones que llevan a cabo los entes públicos; cuyo fin es facilitar el registro y la fiscalización de los activos, pasivos, ingresos y gastos.</w:t>
      </w:r>
    </w:p>
    <w:p w14:paraId="12E8DE64" w14:textId="77777777" w:rsidR="001905DC" w:rsidRDefault="001905DC" w:rsidP="001905DC">
      <w:pPr>
        <w:spacing w:after="0" w:line="360" w:lineRule="auto"/>
      </w:pPr>
    </w:p>
    <w:p w14:paraId="0CFFB0A5" w14:textId="28E498DE" w:rsidR="001905DC" w:rsidRDefault="001905DC" w:rsidP="001905DC">
      <w:pPr>
        <w:spacing w:after="0" w:line="360" w:lineRule="auto"/>
        <w:rPr>
          <w:rFonts w:cs="Tahoma"/>
          <w:color w:val="0D0D0D" w:themeColor="text1" w:themeTint="F2"/>
          <w:lang w:val="es-ES"/>
        </w:rPr>
      </w:pPr>
      <w:r>
        <w:t xml:space="preserve">Por otro lado, lo que </w:t>
      </w:r>
      <w:r>
        <w:rPr>
          <w:rFonts w:cs="Tahoma"/>
          <w:color w:val="0D0D0D" w:themeColor="text1" w:themeTint="F2"/>
          <w:lang w:val="es-ES"/>
        </w:rPr>
        <w:t>concierne al Programa anual de comunicación social de igual manera remitió un link en formato cerrado para visualizar dicho programa.</w:t>
      </w:r>
    </w:p>
    <w:p w14:paraId="720708C8" w14:textId="77777777" w:rsidR="001905DC" w:rsidRDefault="001905DC" w:rsidP="001905DC">
      <w:pPr>
        <w:spacing w:after="0" w:line="360" w:lineRule="auto"/>
        <w:rPr>
          <w:rFonts w:cs="Tahoma"/>
          <w:color w:val="0D0D0D" w:themeColor="text1" w:themeTint="F2"/>
          <w:lang w:val="es-ES"/>
        </w:rPr>
      </w:pPr>
    </w:p>
    <w:p w14:paraId="611B5E8C" w14:textId="77777777" w:rsidR="001905DC" w:rsidRDefault="001905DC" w:rsidP="001905DC">
      <w:pPr>
        <w:spacing w:after="0" w:line="360" w:lineRule="auto"/>
      </w:pPr>
      <w: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A341194" w14:textId="77777777" w:rsidR="001905DC" w:rsidRDefault="001905DC" w:rsidP="001905DC">
      <w:pPr>
        <w:spacing w:after="0" w:line="360" w:lineRule="auto"/>
      </w:pPr>
      <w:r>
        <w:t> </w:t>
      </w:r>
    </w:p>
    <w:p w14:paraId="7A933E91" w14:textId="77777777" w:rsidR="001905DC" w:rsidRDefault="001905DC" w:rsidP="001905DC">
      <w:pPr>
        <w:numPr>
          <w:ilvl w:val="0"/>
          <w:numId w:val="41"/>
        </w:numPr>
        <w:spacing w:after="0" w:line="360" w:lineRule="auto"/>
      </w:pPr>
      <w:r>
        <w:rPr>
          <w:b/>
          <w:bCs/>
        </w:rPr>
        <w:t>Dato abierto:</w:t>
      </w:r>
      <w: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DD43EC7" w14:textId="77777777" w:rsidR="001905DC" w:rsidRDefault="001905DC" w:rsidP="001905DC">
      <w:pPr>
        <w:spacing w:after="0" w:line="360" w:lineRule="auto"/>
      </w:pPr>
      <w:r>
        <w:t> </w:t>
      </w:r>
    </w:p>
    <w:p w14:paraId="52794D1B" w14:textId="77777777" w:rsidR="001905DC" w:rsidRDefault="001905DC" w:rsidP="001905DC">
      <w:pPr>
        <w:numPr>
          <w:ilvl w:val="0"/>
          <w:numId w:val="41"/>
        </w:numPr>
        <w:spacing w:after="0" w:line="360" w:lineRule="auto"/>
      </w:pPr>
      <w:r>
        <w:rPr>
          <w:b/>
          <w:bCs/>
        </w:rPr>
        <w:t>Formato accesible:</w:t>
      </w:r>
      <w: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28FE58B" w14:textId="77777777" w:rsidR="001905DC" w:rsidRDefault="001905DC" w:rsidP="001905DC">
      <w:pPr>
        <w:spacing w:after="0" w:line="360" w:lineRule="auto"/>
      </w:pPr>
      <w:r>
        <w:t> </w:t>
      </w:r>
    </w:p>
    <w:p w14:paraId="3565CC14" w14:textId="77777777" w:rsidR="001905DC" w:rsidRDefault="001905DC" w:rsidP="001905DC">
      <w:pPr>
        <w:spacing w:after="0" w:line="360" w:lineRule="auto"/>
      </w:pPr>
      <w:r>
        <w:t xml:space="preserve">Conforme a lo anterior, se considera que en el caso de que la información peticionada obre en ligas electrónicas, el Sujeto Obligado deberá privilegiar la entrega de estas, en datos </w:t>
      </w:r>
      <w:r>
        <w:lastRenderedPageBreak/>
        <w:t>abiertos, es decir, en un formato que permita la accesibilidad y facilidad a las personas Particulares, para obtener la información contenida estas.</w:t>
      </w:r>
    </w:p>
    <w:p w14:paraId="1D52F927" w14:textId="77777777" w:rsidR="001905DC" w:rsidRDefault="001905DC" w:rsidP="001905DC">
      <w:pPr>
        <w:spacing w:after="0" w:line="360" w:lineRule="auto"/>
      </w:pPr>
      <w:r>
        <w:t> </w:t>
      </w:r>
    </w:p>
    <w:p w14:paraId="132D1780" w14:textId="77777777" w:rsidR="001905DC" w:rsidRDefault="001905DC" w:rsidP="001905DC">
      <w:pPr>
        <w:spacing w:after="0" w:line="360" w:lineRule="auto"/>
      </w:pPr>
      <w: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3EB442B" w14:textId="77777777" w:rsidR="001905DC" w:rsidRDefault="001905DC" w:rsidP="001905DC">
      <w:pPr>
        <w:spacing w:after="0" w:line="360" w:lineRule="auto"/>
      </w:pPr>
    </w:p>
    <w:p w14:paraId="33A30814" w14:textId="77777777" w:rsidR="001905DC" w:rsidRDefault="001905DC" w:rsidP="001905DC">
      <w:pPr>
        <w:spacing w:after="0" w:line="360" w:lineRule="auto"/>
      </w:pPr>
      <w:r>
        <w:t xml:space="preserve">Cómo se logra observar, el Sujeto Obligado si bien señaló una página electrónica y que la información se encontraba en ella, omitió proporcionar en formato abierto, lo cual implica la dificultad de acceder a la misma, pues se traduce al hecho de que la Particular tendría que colocar cada dígito alfanumérico, y cuya equivocación implicaría no acceder a la información contenida en las mismas; de igual forma omitió y señalar el paso a paso para localizar la información. </w:t>
      </w:r>
    </w:p>
    <w:p w14:paraId="1079B4AB" w14:textId="77777777" w:rsidR="001905DC" w:rsidRDefault="001905DC" w:rsidP="001905DC">
      <w:pPr>
        <w:spacing w:after="0" w:line="360" w:lineRule="auto"/>
      </w:pPr>
    </w:p>
    <w:p w14:paraId="3058CDC7" w14:textId="302DDF61" w:rsidR="001905DC" w:rsidRPr="001905DC" w:rsidRDefault="001905DC" w:rsidP="001905DC">
      <w:pPr>
        <w:spacing w:after="0" w:line="360" w:lineRule="auto"/>
      </w:pPr>
      <w:r>
        <w:t>Además, este Organismo Garante revisó las ligas electrónicas remitidas y direcciona primeramente al portal proactiva fiscal de distintos años</w:t>
      </w:r>
      <w:r>
        <w:rPr>
          <w:i/>
          <w:iCs/>
        </w:rPr>
        <w:t>,</w:t>
      </w:r>
      <w:r>
        <w:t xml:space="preserve"> sin embargo, dicho sitio no arroja información alguna sobre lo solicitado, en segunda instancia remite a un documento </w:t>
      </w:r>
      <w:proofErr w:type="spellStart"/>
      <w:r>
        <w:t>pdf</w:t>
      </w:r>
      <w:proofErr w:type="spellEnd"/>
      <w:r>
        <w:t xml:space="preserve">, desglosando el </w:t>
      </w:r>
      <w:proofErr w:type="spellStart"/>
      <w:r>
        <w:t>PbRM</w:t>
      </w:r>
      <w:proofErr w:type="spellEnd"/>
      <w:r>
        <w:t xml:space="preserve"> de cada área, que abarca más de mil fojas, por tanto, no satisface la solicitud. </w:t>
      </w:r>
    </w:p>
    <w:bookmarkEnd w:id="30"/>
    <w:p w14:paraId="6ADF6148" w14:textId="77777777" w:rsidR="001905DC" w:rsidRDefault="001905DC" w:rsidP="00C554F3">
      <w:pPr>
        <w:spacing w:after="0" w:line="360" w:lineRule="auto"/>
        <w:rPr>
          <w:rFonts w:cs="Tahoma"/>
          <w:color w:val="0D0D0D" w:themeColor="text1" w:themeTint="F2"/>
          <w:lang w:val="es-ES"/>
        </w:rPr>
      </w:pPr>
    </w:p>
    <w:p w14:paraId="5B6F6022" w14:textId="1C7A1A4E" w:rsidR="00C554F3" w:rsidRDefault="001905DC" w:rsidP="00C554F3">
      <w:pPr>
        <w:spacing w:after="0" w:line="360" w:lineRule="auto"/>
        <w:rPr>
          <w:rFonts w:eastAsia="Times New Roman" w:cs="Tahoma"/>
          <w:lang w:val="es-ES" w:eastAsia="es-ES"/>
        </w:rPr>
      </w:pPr>
      <w:r w:rsidRPr="008B0AD6">
        <w:rPr>
          <w:rFonts w:cs="Tahoma"/>
          <w:bCs/>
          <w:iCs/>
        </w:rPr>
        <w:t>En ese contexto, la respuesta emitida en base al programa anual de comunicación</w:t>
      </w:r>
      <w:r w:rsidR="00C554F3" w:rsidRPr="008B0AD6">
        <w:rPr>
          <w:rFonts w:cs="Tahoma"/>
          <w:bCs/>
          <w:iCs/>
        </w:rPr>
        <w:t xml:space="preserve"> </w:t>
      </w:r>
      <w:r w:rsidR="008B0AD6">
        <w:rPr>
          <w:rFonts w:cs="Tahoma"/>
          <w:bCs/>
          <w:iCs/>
        </w:rPr>
        <w:t xml:space="preserve">y presupuesto asignado, </w:t>
      </w:r>
      <w:r w:rsidR="00C554F3" w:rsidRPr="008B0AD6">
        <w:rPr>
          <w:rFonts w:cs="Tahoma"/>
          <w:bCs/>
          <w:iCs/>
        </w:rPr>
        <w:t xml:space="preserve">se considera </w:t>
      </w:r>
      <w:r w:rsidRPr="008B0AD6">
        <w:rPr>
          <w:rFonts w:cs="Tahoma"/>
          <w:bCs/>
          <w:iCs/>
        </w:rPr>
        <w:t xml:space="preserve">que </w:t>
      </w:r>
      <w:r w:rsidR="00C554F3" w:rsidRPr="008B0AD6">
        <w:rPr>
          <w:rFonts w:cs="Tahoma"/>
          <w:bCs/>
          <w:iCs/>
        </w:rPr>
        <w:t xml:space="preserve">es </w:t>
      </w:r>
      <w:r w:rsidR="00C554F3" w:rsidRPr="008B0AD6">
        <w:rPr>
          <w:rFonts w:cs="Tahoma"/>
          <w:b/>
          <w:bCs/>
          <w:iCs/>
        </w:rPr>
        <w:t>incongruente</w:t>
      </w:r>
      <w:r w:rsidR="00C554F3">
        <w:rPr>
          <w:rFonts w:cs="Tahoma"/>
          <w:b/>
          <w:bCs/>
          <w:iCs/>
        </w:rPr>
        <w:t xml:space="preserve">, </w:t>
      </w:r>
      <w:r w:rsidR="00C554F3">
        <w:rPr>
          <w:rFonts w:cs="Tahoma"/>
          <w:bCs/>
          <w:iCs/>
        </w:rPr>
        <w:t xml:space="preserve">pues la pretensión del Recurrente, no es obtener los </w:t>
      </w:r>
      <w:proofErr w:type="spellStart"/>
      <w:r>
        <w:rPr>
          <w:rFonts w:cs="Tahoma"/>
          <w:bCs/>
          <w:iCs/>
        </w:rPr>
        <w:t>PbRM</w:t>
      </w:r>
      <w:proofErr w:type="spellEnd"/>
      <w:r>
        <w:rPr>
          <w:rFonts w:cs="Tahoma"/>
          <w:bCs/>
          <w:iCs/>
        </w:rPr>
        <w:t xml:space="preserve"> de las áreas que conforman el ayuntamiento, </w:t>
      </w:r>
      <w:r w:rsidR="008B0AD6">
        <w:rPr>
          <w:rFonts w:cs="Tahoma"/>
          <w:bCs/>
          <w:iCs/>
        </w:rPr>
        <w:t xml:space="preserve">ni conocer los estados de variación, </w:t>
      </w:r>
      <w:r>
        <w:rPr>
          <w:rFonts w:cs="Tahoma"/>
          <w:bCs/>
          <w:iCs/>
        </w:rPr>
        <w:t>si no el programa anual de la dirección de comunicación social</w:t>
      </w:r>
      <w:r w:rsidR="008B0AD6">
        <w:rPr>
          <w:rFonts w:cs="Tahoma"/>
          <w:bCs/>
          <w:iCs/>
        </w:rPr>
        <w:t xml:space="preserve"> y el presupuesto </w:t>
      </w:r>
      <w:r w:rsidR="008B0AD6">
        <w:rPr>
          <w:rFonts w:cs="Tahoma"/>
          <w:bCs/>
          <w:iCs/>
        </w:rPr>
        <w:lastRenderedPageBreak/>
        <w:t>asignado y ejercido al área de comunicación social</w:t>
      </w:r>
      <w:r w:rsidR="00C554F3">
        <w:rPr>
          <w:rFonts w:cs="Tahoma"/>
          <w:bCs/>
          <w:iCs/>
        </w:rPr>
        <w:t xml:space="preserve">; </w:t>
      </w:r>
      <w:r w:rsidR="00C554F3">
        <w:rPr>
          <w:rFonts w:eastAsia="Times New Roman" w:cs="Tahoma"/>
          <w:bCs/>
          <w:iCs/>
          <w:lang w:val="es-ES" w:eastAsia="es-ES"/>
        </w:rPr>
        <w:t>s</w:t>
      </w:r>
      <w:r w:rsidR="00C554F3">
        <w:rPr>
          <w:rFonts w:eastAsia="Calibri" w:cs="Tahoma"/>
          <w:lang w:val="es-ES"/>
        </w:rPr>
        <w:t xml:space="preserve">obre el tema </w:t>
      </w:r>
      <w:r w:rsidR="00C554F3">
        <w:rPr>
          <w:rFonts w:eastAsia="Calibri" w:cs="Times New Roman"/>
        </w:rPr>
        <w:t xml:space="preserve">el </w:t>
      </w:r>
      <w:r w:rsidR="00C554F3">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5AC7DF14" w14:textId="77777777" w:rsidR="00C554F3" w:rsidRDefault="00C554F3" w:rsidP="00C554F3">
      <w:pPr>
        <w:spacing w:after="0" w:line="360" w:lineRule="auto"/>
        <w:rPr>
          <w:rFonts w:eastAsia="Times New Roman" w:cs="Tahoma"/>
          <w:lang w:val="es-ES" w:eastAsia="es-ES"/>
        </w:rPr>
      </w:pPr>
    </w:p>
    <w:p w14:paraId="01BC39AB" w14:textId="189263C1" w:rsidR="00147554" w:rsidRPr="00AE6646" w:rsidRDefault="00C554F3" w:rsidP="00AE6646">
      <w:pPr>
        <w:tabs>
          <w:tab w:val="center" w:pos="4522"/>
        </w:tabs>
        <w:spacing w:after="0" w:line="360" w:lineRule="auto"/>
        <w:rPr>
          <w:rFonts w:eastAsia="Calibri" w:cs="Times New Roman"/>
          <w:color w:val="000000"/>
        </w:rPr>
      </w:pPr>
      <w:r>
        <w:rPr>
          <w:rFonts w:eastAsia="Calibri" w:cs="Times New Roman"/>
          <w:color w:val="000000"/>
        </w:rPr>
        <w:t xml:space="preserve">Situación que se robustece, con </w:t>
      </w:r>
      <w:r>
        <w:rPr>
          <w:rFonts w:eastAsia="Calibri" w:cs="Tahoma"/>
          <w:bCs/>
          <w:lang w:val="es-ES"/>
        </w:rPr>
        <w:t>el Criterio Orientador</w:t>
      </w:r>
      <w:r>
        <w:rPr>
          <w:rFonts w:eastAsia="Calibri" w:cs="Tahoma"/>
          <w:bCs/>
          <w:lang w:val="x-none"/>
        </w:rPr>
        <w:t xml:space="preserve">, con clave de control </w:t>
      </w:r>
      <w:r>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Pr>
          <w:rFonts w:eastAsia="Calibri" w:cs="Times New Roman"/>
          <w:color w:val="000000"/>
        </w:rPr>
        <w:t xml:space="preserve">establece que todo acto administrativo debe apegarse al </w:t>
      </w:r>
      <w:r>
        <w:rPr>
          <w:rFonts w:eastAsia="Calibri" w:cs="Times New Roman"/>
          <w:b/>
          <w:bCs/>
          <w:color w:val="000000"/>
        </w:rPr>
        <w:t>principio de congruencia</w:t>
      </w:r>
      <w:r>
        <w:rPr>
          <w:rFonts w:eastAsia="Calibri" w:cs="Times New Roman"/>
          <w:color w:val="000000"/>
        </w:rPr>
        <w:t xml:space="preserve">, entendiendo por éste que </w:t>
      </w:r>
      <w:r>
        <w:rPr>
          <w:rFonts w:eastAsia="Calibri" w:cs="Tahoma"/>
          <w:bCs/>
          <w:iCs/>
        </w:rPr>
        <w:t>exista concordancia entre el requerimiento formulado por el particular y la respuesta proporcionada por el sujeto obligado</w:t>
      </w:r>
      <w:r>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w:t>
      </w:r>
      <w:r w:rsidR="00AE6646">
        <w:rPr>
          <w:rFonts w:eastAsia="Calibri" w:cs="Times New Roman"/>
          <w:color w:val="000000"/>
        </w:rPr>
        <w:t xml:space="preserve">r la solicitud correspondiente. </w:t>
      </w:r>
      <w:r>
        <w:rPr>
          <w:color w:val="000000"/>
        </w:rPr>
        <w:t xml:space="preserve">Por lo que, se logra vislumbrar que </w:t>
      </w:r>
      <w:r w:rsidR="001905DC">
        <w:rPr>
          <w:color w:val="000000"/>
        </w:rPr>
        <w:t>la Coordinación General</w:t>
      </w:r>
      <w:r>
        <w:rPr>
          <w:color w:val="000000"/>
        </w:rPr>
        <w:t xml:space="preserve"> no atendió de manera correcta la solicitud de información, pues como ya se mencionó, es información que </w:t>
      </w:r>
      <w:r w:rsidR="001905DC">
        <w:rPr>
          <w:color w:val="000000"/>
        </w:rPr>
        <w:t>debe tener.</w:t>
      </w:r>
    </w:p>
    <w:p w14:paraId="71304009" w14:textId="77777777" w:rsidR="00C554F3" w:rsidRPr="00AF49D2" w:rsidRDefault="00C554F3" w:rsidP="00C554F3">
      <w:pPr>
        <w:spacing w:after="0" w:line="360" w:lineRule="auto"/>
        <w:rPr>
          <w:rFonts w:eastAsia="Calibri" w:cs="Tahoma"/>
          <w:bCs/>
          <w:color w:val="000000"/>
        </w:rPr>
      </w:pPr>
    </w:p>
    <w:p w14:paraId="021B1902" w14:textId="3F1A3C17" w:rsidR="006F6E68" w:rsidRDefault="007D08EB" w:rsidP="0039793A">
      <w:pPr>
        <w:spacing w:after="0" w:line="360" w:lineRule="auto"/>
        <w:ind w:right="-28"/>
        <w:rPr>
          <w:color w:val="auto"/>
        </w:rPr>
      </w:pPr>
      <w:r w:rsidRPr="007D08EB">
        <w:rPr>
          <w:color w:val="auto"/>
        </w:rPr>
        <w:t>Conforme a lo anterior,</w:t>
      </w:r>
      <w:r w:rsidR="00C554F3">
        <w:rPr>
          <w:color w:val="auto"/>
        </w:rPr>
        <w:t xml:space="preserve"> se considera que el agravio es </w:t>
      </w:r>
      <w:r w:rsidR="00C554F3">
        <w:rPr>
          <w:b/>
          <w:bCs/>
          <w:color w:val="auto"/>
        </w:rPr>
        <w:t xml:space="preserve">PARCIALMENTE FUNDADO, </w:t>
      </w:r>
      <w:r w:rsidR="00C554F3">
        <w:rPr>
          <w:color w:val="auto"/>
        </w:rPr>
        <w:t xml:space="preserve">pues si bien desde respuesta señaló que no contaba con la información relacionada con contratos </w:t>
      </w:r>
      <w:r w:rsidR="00AE6646">
        <w:rPr>
          <w:color w:val="auto"/>
        </w:rPr>
        <w:t>o convenios derivados de medios de comunicación, televisoras o radios</w:t>
      </w:r>
      <w:r w:rsidR="00C554F3">
        <w:rPr>
          <w:color w:val="auto"/>
        </w:rPr>
        <w:t xml:space="preserve">, por no haberse realizado, omitió </w:t>
      </w:r>
      <w:r w:rsidR="00F561D6">
        <w:rPr>
          <w:color w:val="auto"/>
        </w:rPr>
        <w:t>remitir la información referente al avance, presupuesto asignado y ejercido así como programa anual de la dirección de comunicación social al quince de mayo de dos mil veinticinco.</w:t>
      </w:r>
    </w:p>
    <w:p w14:paraId="45AA4028" w14:textId="77777777" w:rsidR="00EB63BB" w:rsidRDefault="00EB63BB" w:rsidP="00147554">
      <w:pPr>
        <w:spacing w:after="0" w:line="360" w:lineRule="auto"/>
        <w:ind w:right="-28"/>
        <w:rPr>
          <w:color w:val="auto"/>
        </w:rPr>
      </w:pPr>
    </w:p>
    <w:p w14:paraId="7D42944C" w14:textId="4446E7BA" w:rsidR="0030341A" w:rsidRDefault="007D08EB" w:rsidP="0085386D">
      <w:pPr>
        <w:spacing w:after="0" w:line="360" w:lineRule="auto"/>
        <w:ind w:right="-28"/>
        <w:rPr>
          <w:color w:val="auto"/>
        </w:rPr>
      </w:pPr>
      <w:r w:rsidRPr="007D08EB">
        <w:rPr>
          <w:color w:val="auto"/>
        </w:rPr>
        <w:t>De tal circunstancia, para atender el requerimiento de información, el</w:t>
      </w:r>
      <w:r>
        <w:rPr>
          <w:color w:val="auto"/>
        </w:rPr>
        <w:t xml:space="preserve"> Ayuntamiento de Tolu</w:t>
      </w:r>
      <w:r w:rsidRPr="007D08EB">
        <w:rPr>
          <w:color w:val="auto"/>
        </w:rPr>
        <w:t>c</w:t>
      </w:r>
      <w:r>
        <w:rPr>
          <w:color w:val="auto"/>
        </w:rPr>
        <w:t>a</w:t>
      </w:r>
      <w:r w:rsidRPr="007D08EB">
        <w:rPr>
          <w:color w:val="auto"/>
        </w:rPr>
        <w:t xml:space="preserve"> deberá realizar una búsqueda exhaust</w:t>
      </w:r>
      <w:r>
        <w:rPr>
          <w:color w:val="auto"/>
        </w:rPr>
        <w:t xml:space="preserve">iva y razonable en las unidades </w:t>
      </w:r>
      <w:r w:rsidRPr="007D08EB">
        <w:rPr>
          <w:color w:val="auto"/>
        </w:rPr>
        <w:t>administrativas competentes, en términos del artículo 1</w:t>
      </w:r>
      <w:r>
        <w:rPr>
          <w:color w:val="auto"/>
        </w:rPr>
        <w:t xml:space="preserve">62 de la Ley de Transparencia y </w:t>
      </w:r>
      <w:r w:rsidRPr="007D08EB">
        <w:rPr>
          <w:color w:val="auto"/>
        </w:rPr>
        <w:t>Acceso a la Información Pública del Estado de México y Municipios, a efect</w:t>
      </w:r>
      <w:r>
        <w:rPr>
          <w:color w:val="auto"/>
        </w:rPr>
        <w:t xml:space="preserve">o de que entregue </w:t>
      </w:r>
      <w:r w:rsidR="0030341A">
        <w:rPr>
          <w:color w:val="auto"/>
        </w:rPr>
        <w:t xml:space="preserve">el </w:t>
      </w:r>
      <w:r w:rsidR="0030341A">
        <w:rPr>
          <w:color w:val="auto"/>
        </w:rPr>
        <w:lastRenderedPageBreak/>
        <w:t xml:space="preserve">Programa Anual de Trabajo de la </w:t>
      </w:r>
      <w:r w:rsidR="007769D7">
        <w:rPr>
          <w:color w:val="auto"/>
        </w:rPr>
        <w:t>Coordinación General</w:t>
      </w:r>
      <w:r w:rsidR="0030341A">
        <w:rPr>
          <w:color w:val="auto"/>
        </w:rPr>
        <w:t xml:space="preserve"> Comunicación Social, así como, el Avance a l</w:t>
      </w:r>
      <w:r w:rsidR="007769D7">
        <w:rPr>
          <w:color w:val="auto"/>
        </w:rPr>
        <w:t xml:space="preserve">as actividades establecidas </w:t>
      </w:r>
      <w:r w:rsidR="0030341A">
        <w:rPr>
          <w:color w:val="auto"/>
        </w:rPr>
        <w:t>y el presupuesto asignado y ejercido.</w:t>
      </w:r>
    </w:p>
    <w:p w14:paraId="7E60E703" w14:textId="77777777" w:rsidR="0030341A" w:rsidRDefault="0030341A" w:rsidP="0085386D">
      <w:pPr>
        <w:spacing w:after="0" w:line="360" w:lineRule="auto"/>
        <w:ind w:right="-28"/>
        <w:rPr>
          <w:color w:val="auto"/>
        </w:rPr>
      </w:pPr>
    </w:p>
    <w:p w14:paraId="67C00B59" w14:textId="780497DA" w:rsidR="007D08EB" w:rsidRPr="007D08EB" w:rsidRDefault="0039793A" w:rsidP="00147554">
      <w:pPr>
        <w:spacing w:after="0" w:line="360" w:lineRule="auto"/>
        <w:ind w:right="-28"/>
        <w:rPr>
          <w:color w:val="auto"/>
        </w:rPr>
      </w:pPr>
      <w:r>
        <w:rPr>
          <w:color w:val="auto"/>
        </w:rPr>
        <w:t>D</w:t>
      </w:r>
      <w:r w:rsidR="007D08EB" w:rsidRPr="007D08EB">
        <w:rPr>
          <w:color w:val="auto"/>
        </w:rPr>
        <w:t>icha situaci</w:t>
      </w:r>
      <w:r w:rsidR="007D08EB">
        <w:rPr>
          <w:color w:val="auto"/>
        </w:rPr>
        <w:t xml:space="preserve">ón toma sustento en el artículo </w:t>
      </w:r>
      <w:r w:rsidR="007D08EB" w:rsidRPr="007D08EB">
        <w:rPr>
          <w:color w:val="auto"/>
        </w:rPr>
        <w:t>12 de la Ley de Transparencia y Acceso a la Información</w:t>
      </w:r>
      <w:r w:rsidR="007D08EB">
        <w:rPr>
          <w:color w:val="auto"/>
        </w:rPr>
        <w:t xml:space="preserve"> Pública del Estado de México y </w:t>
      </w:r>
      <w:r w:rsidR="007D08EB" w:rsidRPr="007D08EB">
        <w:rPr>
          <w:color w:val="auto"/>
        </w:rPr>
        <w:t>Municipios, que establece que los Sujetos Obligados sólo es</w:t>
      </w:r>
      <w:r w:rsidR="007D08EB">
        <w:rPr>
          <w:color w:val="auto"/>
        </w:rPr>
        <w:t xml:space="preserve">tán constreñidos a proporcionar </w:t>
      </w:r>
      <w:r w:rsidR="007D08EB" w:rsidRPr="007D08EB">
        <w:rPr>
          <w:color w:val="auto"/>
        </w:rPr>
        <w:t>la información pública que obre en sus archivos, en el estado e</w:t>
      </w:r>
      <w:r w:rsidR="007D08EB">
        <w:rPr>
          <w:color w:val="auto"/>
        </w:rPr>
        <w:t xml:space="preserve">n que esta se encuentre; por lo que, la entrega </w:t>
      </w:r>
      <w:r w:rsidR="007D08EB" w:rsidRPr="007D08EB">
        <w:rPr>
          <w:color w:val="auto"/>
        </w:rPr>
        <w:t>no comprende el procesamiento de la mi</w:t>
      </w:r>
      <w:r w:rsidR="007D08EB">
        <w:rPr>
          <w:color w:val="auto"/>
        </w:rPr>
        <w:t xml:space="preserve">sma, ni presentarla conforme al </w:t>
      </w:r>
      <w:r w:rsidR="007D08EB" w:rsidRPr="007D08EB">
        <w:rPr>
          <w:color w:val="auto"/>
        </w:rPr>
        <w:t>interés del Solicitante.</w:t>
      </w:r>
    </w:p>
    <w:p w14:paraId="4D8033E4" w14:textId="77777777" w:rsidR="007D08EB" w:rsidRPr="007D08EB" w:rsidRDefault="007D08EB" w:rsidP="00147554">
      <w:pPr>
        <w:spacing w:after="0" w:line="360" w:lineRule="auto"/>
        <w:ind w:right="-28"/>
        <w:rPr>
          <w:color w:val="auto"/>
        </w:rPr>
      </w:pPr>
    </w:p>
    <w:p w14:paraId="3FA2AD46" w14:textId="570B565F" w:rsidR="007D08EB" w:rsidRPr="007D08EB" w:rsidRDefault="007D08EB" w:rsidP="00147554">
      <w:pPr>
        <w:spacing w:after="0" w:line="360" w:lineRule="auto"/>
        <w:ind w:right="-28"/>
        <w:rPr>
          <w:color w:val="auto"/>
        </w:rPr>
      </w:pPr>
      <w:r w:rsidRPr="007D08EB">
        <w:rPr>
          <w:color w:val="auto"/>
        </w:rPr>
        <w:t>De esta manera, el derecho de acceso a la información pública</w:t>
      </w:r>
      <w:r>
        <w:rPr>
          <w:color w:val="auto"/>
        </w:rPr>
        <w:t xml:space="preserve"> se satisface en aquellos casos </w:t>
      </w:r>
      <w:r w:rsidRPr="007D08EB">
        <w:rPr>
          <w:color w:val="auto"/>
        </w:rPr>
        <w:t>en que se entregue el soporte documental en el que conste</w:t>
      </w:r>
      <w:r>
        <w:rPr>
          <w:color w:val="auto"/>
        </w:rPr>
        <w:t xml:space="preserve"> la información solicitada, sin </w:t>
      </w:r>
      <w:r w:rsidRPr="007D08EB">
        <w:rPr>
          <w:color w:val="auto"/>
        </w:rPr>
        <w:t>necesidad de elaborar documentos ad hoc; lo cual, de conformidad con en el artículo 160</w:t>
      </w:r>
      <w:r>
        <w:rPr>
          <w:color w:val="auto"/>
        </w:rPr>
        <w:t xml:space="preserve"> de </w:t>
      </w:r>
      <w:r w:rsidRPr="007D08EB">
        <w:rPr>
          <w:color w:val="auto"/>
        </w:rPr>
        <w:t>la Ley de Transparencia y Acceso a la Información</w:t>
      </w:r>
      <w:r>
        <w:rPr>
          <w:color w:val="auto"/>
        </w:rPr>
        <w:t xml:space="preserve"> Pública del Estado de México y </w:t>
      </w:r>
      <w:r w:rsidRPr="007D08EB">
        <w:rPr>
          <w:color w:val="auto"/>
        </w:rPr>
        <w:t>Municipios, el cual refiere que los sujetos obligados deberán e</w:t>
      </w:r>
      <w:r>
        <w:rPr>
          <w:color w:val="auto"/>
        </w:rPr>
        <w:t xml:space="preserve">ntregar la información que obre </w:t>
      </w:r>
      <w:r w:rsidRPr="007D08EB">
        <w:rPr>
          <w:color w:val="auto"/>
        </w:rPr>
        <w:t>en sus archivos.</w:t>
      </w:r>
    </w:p>
    <w:p w14:paraId="5EDE2E2B" w14:textId="77777777" w:rsidR="007D08EB" w:rsidRPr="007D08EB" w:rsidRDefault="007D08EB" w:rsidP="00147554">
      <w:pPr>
        <w:spacing w:after="0" w:line="360" w:lineRule="auto"/>
        <w:ind w:right="-28"/>
        <w:rPr>
          <w:color w:val="auto"/>
        </w:rPr>
      </w:pPr>
    </w:p>
    <w:p w14:paraId="6CCF6D8A" w14:textId="62C07AC6" w:rsidR="0039793A" w:rsidRPr="0039793A" w:rsidRDefault="007D08EB" w:rsidP="0039793A">
      <w:pPr>
        <w:spacing w:after="0" w:line="360" w:lineRule="auto"/>
        <w:ind w:right="-28"/>
        <w:rPr>
          <w:rFonts w:eastAsia="Palatino Linotype" w:cs="Palatino Linotype"/>
          <w:color w:val="000000"/>
          <w:lang w:eastAsia="es-MX"/>
        </w:rPr>
      </w:pPr>
      <w:r w:rsidRPr="007D08EB">
        <w:rPr>
          <w:color w:val="auto"/>
        </w:rPr>
        <w:t>De tales circunstancias, se concluye que los sujetos oblig</w:t>
      </w:r>
      <w:r>
        <w:rPr>
          <w:color w:val="auto"/>
        </w:rPr>
        <w:t xml:space="preserve">ados únicamente se encuentran </w:t>
      </w:r>
      <w:r w:rsidRPr="007D08EB">
        <w:rPr>
          <w:color w:val="auto"/>
        </w:rPr>
        <w:t>constreñidos a proporcionar los documentos que den cuent</w:t>
      </w:r>
      <w:r>
        <w:rPr>
          <w:color w:val="auto"/>
        </w:rPr>
        <w:t xml:space="preserve">a de la información solicitada, </w:t>
      </w:r>
      <w:r w:rsidRPr="007D08EB">
        <w:rPr>
          <w:color w:val="auto"/>
        </w:rPr>
        <w:t xml:space="preserve">como obren en sus archivos, sin tener que elaborarlos a las </w:t>
      </w:r>
      <w:r>
        <w:rPr>
          <w:color w:val="auto"/>
        </w:rPr>
        <w:t xml:space="preserve">necesidades del Recurrente; por </w:t>
      </w:r>
      <w:r w:rsidRPr="007D08EB">
        <w:rPr>
          <w:color w:val="auto"/>
        </w:rPr>
        <w:t>lo que, en el pre</w:t>
      </w:r>
      <w:r>
        <w:rPr>
          <w:color w:val="auto"/>
        </w:rPr>
        <w:t xml:space="preserve">sente caso, deberá proporcionar </w:t>
      </w:r>
      <w:r w:rsidR="0039793A">
        <w:rPr>
          <w:rFonts w:eastAsia="Palatino Linotype" w:cs="Tahoma"/>
          <w:color w:val="000000"/>
          <w:lang w:eastAsia="es-MX"/>
        </w:rPr>
        <w:t xml:space="preserve">la información </w:t>
      </w:r>
      <w:r w:rsidR="00E25C2C" w:rsidRPr="00E25C2C">
        <w:rPr>
          <w:rFonts w:eastAsia="Palatino Linotype" w:cs="Tahoma"/>
          <w:color w:val="000000"/>
          <w:lang w:eastAsia="es-MX"/>
        </w:rPr>
        <w:t>faltante</w:t>
      </w:r>
      <w:r w:rsidR="007769D7">
        <w:rPr>
          <w:rFonts w:eastAsia="Palatino Linotype" w:cs="Tahoma"/>
          <w:color w:val="000000"/>
          <w:lang w:eastAsia="es-MX"/>
        </w:rPr>
        <w:t xml:space="preserve">; lo cual toma relevancia, pues este Instituto localizó el formato PbRM-01c </w:t>
      </w:r>
      <w:proofErr w:type="spellStart"/>
      <w:r w:rsidR="007769D7">
        <w:rPr>
          <w:rFonts w:eastAsia="Palatino Linotype" w:cs="Tahoma"/>
          <w:color w:val="000000"/>
          <w:lang w:eastAsia="es-MX"/>
        </w:rPr>
        <w:t>Prgrama</w:t>
      </w:r>
      <w:proofErr w:type="spellEnd"/>
      <w:r w:rsidR="007769D7">
        <w:rPr>
          <w:rFonts w:eastAsia="Palatino Linotype" w:cs="Tahoma"/>
          <w:color w:val="000000"/>
          <w:lang w:eastAsia="es-MX"/>
        </w:rPr>
        <w:t xml:space="preserve"> Anual de Metas y Actividades por Proyecto de la Coordinación General de Comunicación Social, que establece las actividades a realizar relacionadas con el Proyecto “Difusión y comunicación institucional”.</w:t>
      </w:r>
    </w:p>
    <w:p w14:paraId="442D2823" w14:textId="77777777" w:rsidR="0039793A" w:rsidRPr="0039793A" w:rsidRDefault="0039793A" w:rsidP="0039793A">
      <w:pPr>
        <w:tabs>
          <w:tab w:val="center" w:pos="4522"/>
        </w:tabs>
        <w:spacing w:after="0" w:line="360" w:lineRule="auto"/>
        <w:rPr>
          <w:rFonts w:eastAsia="Palatino Linotype" w:cs="Palatino Linotype"/>
          <w:color w:val="000000"/>
          <w:lang w:eastAsia="es-MX"/>
        </w:rPr>
      </w:pPr>
    </w:p>
    <w:p w14:paraId="1369A31B" w14:textId="171D50A3" w:rsidR="0039793A" w:rsidRPr="0039793A" w:rsidRDefault="0039793A" w:rsidP="0039793A">
      <w:pPr>
        <w:spacing w:after="0" w:line="360" w:lineRule="auto"/>
        <w:rPr>
          <w:rFonts w:eastAsia="Palatino Linotype" w:cs="Palatino Linotype"/>
          <w:color w:val="000000"/>
          <w:lang w:eastAsia="es-MX"/>
        </w:rPr>
      </w:pPr>
      <w:r w:rsidRPr="0039793A">
        <w:rPr>
          <w:rFonts w:eastAsia="Palatino Linotype" w:cs="Palatino Linotype"/>
          <w:color w:val="000000"/>
          <w:lang w:eastAsia="es-MX"/>
        </w:rPr>
        <w:t>Finalmente, el Sujeto Obligado, deberá elabora</w:t>
      </w:r>
      <w:r w:rsidR="00E25C2C">
        <w:rPr>
          <w:rFonts w:eastAsia="Palatino Linotype" w:cs="Palatino Linotype"/>
          <w:color w:val="000000"/>
          <w:lang w:eastAsia="es-MX"/>
        </w:rPr>
        <w:t>r la versión pública</w:t>
      </w:r>
      <w:r w:rsidRPr="0039793A">
        <w:rPr>
          <w:rFonts w:eastAsia="Palatino Linotype" w:cs="Palatino Linotype"/>
          <w:color w:val="000000"/>
          <w:lang w:eastAsia="es-MX"/>
        </w:rPr>
        <w:t xml:space="preserve">; al respecto, conforme al artículo 3°, fracción XLV, relacionado con el 137, ambos de la Ley de Transparencia y Acceso </w:t>
      </w:r>
      <w:r w:rsidRPr="0039793A">
        <w:rPr>
          <w:rFonts w:eastAsia="Palatino Linotype" w:cs="Palatino Linotype"/>
          <w:color w:val="000000"/>
          <w:lang w:eastAsia="es-MX"/>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6A2F4DC" w14:textId="77777777" w:rsidR="0039793A" w:rsidRPr="0039793A" w:rsidRDefault="0039793A" w:rsidP="0039793A">
      <w:pPr>
        <w:spacing w:after="0" w:line="360" w:lineRule="auto"/>
        <w:rPr>
          <w:rFonts w:eastAsia="Palatino Linotype" w:cs="Palatino Linotype"/>
          <w:color w:val="000000"/>
          <w:lang w:eastAsia="es-MX"/>
        </w:rPr>
      </w:pPr>
    </w:p>
    <w:p w14:paraId="449882A6" w14:textId="77777777" w:rsidR="0039793A" w:rsidRPr="0039793A" w:rsidRDefault="0039793A" w:rsidP="0039793A">
      <w:pPr>
        <w:spacing w:after="0" w:line="360" w:lineRule="auto"/>
        <w:rPr>
          <w:rFonts w:eastAsia="Palatino Linotype" w:cs="Palatino Linotype"/>
          <w:color w:val="000000"/>
          <w:lang w:eastAsia="es-MX"/>
        </w:rPr>
      </w:pPr>
      <w:r w:rsidRPr="0039793A">
        <w:rPr>
          <w:rFonts w:eastAsia="Palatino Linotype" w:cs="Palatino Linotype"/>
          <w:color w:val="000000"/>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596683A" w14:textId="77777777" w:rsidR="00EB63BB" w:rsidRPr="008D0189" w:rsidRDefault="00EB63BB" w:rsidP="00147554">
      <w:pPr>
        <w:spacing w:after="0" w:line="360" w:lineRule="auto"/>
        <w:ind w:right="-28"/>
        <w:rPr>
          <w:color w:val="000000"/>
        </w:rPr>
      </w:pPr>
    </w:p>
    <w:p w14:paraId="534C133D" w14:textId="72101808" w:rsidR="001A7A00" w:rsidRPr="008D0189" w:rsidRDefault="002A0B3A" w:rsidP="00147554">
      <w:pPr>
        <w:pStyle w:val="Ttulo2"/>
        <w:spacing w:before="0" w:line="360" w:lineRule="auto"/>
        <w:rPr>
          <w:rFonts w:ascii="Palatino Linotype" w:eastAsia="Calibri" w:hAnsi="Palatino Linotype"/>
          <w:b/>
          <w:color w:val="000000" w:themeColor="text1"/>
          <w:sz w:val="22"/>
          <w:szCs w:val="22"/>
        </w:rPr>
      </w:pPr>
      <w:bookmarkStart w:id="31" w:name="_Toc208312907"/>
      <w:bookmarkStart w:id="32" w:name="_Toc225435451"/>
      <w:r w:rsidRPr="008D0189">
        <w:rPr>
          <w:rFonts w:ascii="Palatino Linotype" w:eastAsia="Calibri" w:hAnsi="Palatino Linotype"/>
          <w:b/>
          <w:color w:val="000000" w:themeColor="text1"/>
          <w:sz w:val="22"/>
          <w:szCs w:val="22"/>
        </w:rPr>
        <w:t>SEXTO. Decisión</w:t>
      </w:r>
      <w:bookmarkEnd w:id="31"/>
      <w:bookmarkEnd w:id="32"/>
    </w:p>
    <w:p w14:paraId="14380C76" w14:textId="77777777" w:rsidR="001A7A00" w:rsidRPr="008D0189" w:rsidRDefault="001A7A00" w:rsidP="00147554">
      <w:pPr>
        <w:spacing w:after="0" w:line="360" w:lineRule="auto"/>
      </w:pPr>
    </w:p>
    <w:p w14:paraId="119EE3D8" w14:textId="24041B96" w:rsidR="0022374D" w:rsidRDefault="00BF5CCB" w:rsidP="00147554">
      <w:pPr>
        <w:spacing w:after="0" w:line="360" w:lineRule="auto"/>
        <w:rPr>
          <w:rFonts w:cs="Tahoma"/>
        </w:rPr>
      </w:pPr>
      <w:r w:rsidRPr="00BF5CCB">
        <w:rPr>
          <w:rFonts w:cs="Tahoma"/>
        </w:rPr>
        <w:t>Con fundamento en el artículo 186, fracción III, de la Ley</w:t>
      </w:r>
      <w:r w:rsidR="00564F0E">
        <w:rPr>
          <w:rFonts w:cs="Tahoma"/>
        </w:rPr>
        <w:t xml:space="preserve"> de Transparencia y Acceso a la </w:t>
      </w:r>
      <w:r w:rsidRPr="00BF5CCB">
        <w:rPr>
          <w:rFonts w:cs="Tahoma"/>
        </w:rPr>
        <w:t>Información Pública del Estado de México y Municipios, este Instituto considera procedente</w:t>
      </w:r>
      <w:r w:rsidR="00564F0E">
        <w:rPr>
          <w:rFonts w:cs="Tahoma"/>
        </w:rPr>
        <w:t xml:space="preserve"> </w:t>
      </w:r>
      <w:r w:rsidR="0039793A" w:rsidRPr="0039793A">
        <w:rPr>
          <w:rFonts w:cs="Tahoma"/>
          <w:b/>
          <w:bCs/>
        </w:rPr>
        <w:t>MODIFI</w:t>
      </w:r>
      <w:r w:rsidRPr="0039793A">
        <w:rPr>
          <w:rFonts w:cs="Tahoma"/>
          <w:b/>
          <w:bCs/>
        </w:rPr>
        <w:t>C</w:t>
      </w:r>
      <w:r w:rsidRPr="00BF5CCB">
        <w:rPr>
          <w:rFonts w:cs="Tahoma"/>
          <w:b/>
        </w:rPr>
        <w:t>AR</w:t>
      </w:r>
      <w:r w:rsidRPr="00BF5CCB">
        <w:rPr>
          <w:rFonts w:cs="Tahoma"/>
        </w:rPr>
        <w:t xml:space="preserve"> la respuesta otorgada por el Sujeto Obligado, a efecto de que entregue, </w:t>
      </w:r>
      <w:r>
        <w:rPr>
          <w:rFonts w:cs="Tahoma"/>
        </w:rPr>
        <w:t>lo</w:t>
      </w:r>
      <w:r w:rsidR="00564F0E">
        <w:rPr>
          <w:rFonts w:cs="Tahoma"/>
        </w:rPr>
        <w:t xml:space="preserve"> </w:t>
      </w:r>
      <w:r w:rsidRPr="00BF5CCB">
        <w:rPr>
          <w:rFonts w:cs="Tahoma"/>
        </w:rPr>
        <w:t>requerido.</w:t>
      </w:r>
    </w:p>
    <w:p w14:paraId="73170BDD" w14:textId="77777777" w:rsidR="00BF5CCB" w:rsidRPr="00BF5CCB" w:rsidRDefault="00BF5CCB" w:rsidP="00147554">
      <w:pPr>
        <w:spacing w:after="0" w:line="360" w:lineRule="auto"/>
        <w:rPr>
          <w:rFonts w:cs="Tahoma"/>
        </w:rPr>
      </w:pPr>
    </w:p>
    <w:p w14:paraId="084AF2EA" w14:textId="77777777" w:rsidR="006816DD" w:rsidRPr="008D0189" w:rsidRDefault="006816DD" w:rsidP="00147554">
      <w:pPr>
        <w:spacing w:after="0" w:line="360" w:lineRule="auto"/>
        <w:rPr>
          <w:rFonts w:eastAsia="Times New Roman" w:cs="Tahoma"/>
          <w:b/>
          <w:bCs/>
          <w:iCs/>
          <w:color w:val="auto"/>
          <w:lang w:val="es-ES" w:eastAsia="es-ES"/>
        </w:rPr>
      </w:pPr>
      <w:r w:rsidRPr="008D0189">
        <w:rPr>
          <w:rFonts w:eastAsia="Times New Roman" w:cs="Tahoma"/>
          <w:b/>
          <w:bCs/>
          <w:iCs/>
          <w:color w:val="auto"/>
          <w:lang w:val="es-ES" w:eastAsia="es-ES"/>
        </w:rPr>
        <w:t>Términos de la Resolución para conocimiento del Particular</w:t>
      </w:r>
    </w:p>
    <w:p w14:paraId="3E55B7DA" w14:textId="77777777" w:rsidR="006816DD" w:rsidRPr="008D0189" w:rsidRDefault="006816DD" w:rsidP="00147554">
      <w:pPr>
        <w:spacing w:after="0" w:line="360" w:lineRule="auto"/>
        <w:rPr>
          <w:rFonts w:eastAsia="Times New Roman" w:cs="Tahoma"/>
          <w:b/>
          <w:bCs/>
          <w:iCs/>
          <w:color w:val="auto"/>
          <w:lang w:val="es-ES" w:eastAsia="es-ES"/>
        </w:rPr>
      </w:pPr>
    </w:p>
    <w:p w14:paraId="7571DCB8" w14:textId="31FC8B09" w:rsidR="00E25C2C" w:rsidRDefault="006816DD" w:rsidP="00147554">
      <w:pPr>
        <w:spacing w:after="0" w:line="360" w:lineRule="auto"/>
        <w:rPr>
          <w:rFonts w:eastAsia="Times New Roman" w:cs="Tahoma"/>
          <w:bCs/>
          <w:iCs/>
          <w:color w:val="auto"/>
          <w:lang w:val="es-ES" w:eastAsia="es-ES"/>
        </w:rPr>
      </w:pPr>
      <w:r w:rsidRPr="008D0189">
        <w:rPr>
          <w:rFonts w:eastAsia="Times New Roman" w:cs="Tahoma"/>
          <w:bCs/>
          <w:iCs/>
          <w:color w:val="auto"/>
          <w:lang w:val="es-ES" w:eastAsia="es-ES"/>
        </w:rPr>
        <w:t xml:space="preserve">Se le hace del conocimiento al Particular, que, en el presente caso, se le da la razón, pues </w:t>
      </w:r>
      <w:r w:rsidRPr="008D0189">
        <w:rPr>
          <w:rFonts w:eastAsia="Times New Roman" w:cs="Tahoma"/>
          <w:bCs/>
          <w:iCs/>
          <w:color w:val="auto"/>
          <w:lang w:eastAsia="es-ES"/>
        </w:rPr>
        <w:t xml:space="preserve">el Sujeto Obligado </w:t>
      </w:r>
      <w:r w:rsidR="00E25C2C">
        <w:rPr>
          <w:rFonts w:eastAsia="Times New Roman" w:cs="Tahoma"/>
          <w:bCs/>
          <w:iCs/>
          <w:color w:val="auto"/>
          <w:lang w:val="es-ES" w:eastAsia="es-ES"/>
        </w:rPr>
        <w:t xml:space="preserve">refirió </w:t>
      </w:r>
      <w:r w:rsidR="00E25C2C">
        <w:rPr>
          <w:color w:val="auto"/>
        </w:rPr>
        <w:t>desde respuesta que no contaba con la información relacionada con contratos o convenios derivados de medios de comunicación, televisoras o radios, por no haberse realizado, lo cierto es que omitió remitir la información referente al avance, presupuesto asignado y ejercido así como programa anual de la dirección de comunicación social</w:t>
      </w:r>
      <w:r w:rsidR="0033756D">
        <w:rPr>
          <w:rFonts w:eastAsia="Times New Roman" w:cs="Tahoma"/>
          <w:bCs/>
          <w:iCs/>
          <w:color w:val="auto"/>
          <w:lang w:val="es-ES" w:eastAsia="es-ES"/>
        </w:rPr>
        <w:t xml:space="preserve">, aunado a que lo solicitado corresponde a obligaciones de transparencia. </w:t>
      </w:r>
    </w:p>
    <w:p w14:paraId="51D58F3C" w14:textId="77777777" w:rsidR="00E25C2C" w:rsidRDefault="00E25C2C" w:rsidP="00147554">
      <w:pPr>
        <w:spacing w:after="0" w:line="360" w:lineRule="auto"/>
        <w:rPr>
          <w:rFonts w:eastAsia="Times New Roman" w:cs="Tahoma"/>
          <w:bCs/>
          <w:iCs/>
          <w:color w:val="auto"/>
          <w:lang w:val="es-ES" w:eastAsia="es-ES"/>
        </w:rPr>
      </w:pPr>
    </w:p>
    <w:p w14:paraId="2827F186" w14:textId="2C2D7156" w:rsidR="00F80D51" w:rsidRDefault="00F80D51" w:rsidP="00147554">
      <w:pPr>
        <w:spacing w:after="0" w:line="360" w:lineRule="auto"/>
        <w:rPr>
          <w:rFonts w:eastAsia="Calibri" w:cs="Times New Roman"/>
          <w:color w:val="auto"/>
        </w:rPr>
      </w:pPr>
      <w:r>
        <w:rPr>
          <w:rFonts w:eastAsia="Calibri" w:cs="Times New Roman"/>
          <w:color w:val="auto"/>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8342F73" w14:textId="77777777" w:rsidR="001A7A00" w:rsidRPr="008D0189" w:rsidRDefault="001A7A00" w:rsidP="00147554">
      <w:pPr>
        <w:spacing w:after="0" w:line="360" w:lineRule="auto"/>
        <w:rPr>
          <w:rFonts w:eastAsia="Calibri" w:cs="Times New Roman"/>
          <w:color w:val="000000"/>
        </w:rPr>
      </w:pPr>
    </w:p>
    <w:p w14:paraId="2543C26A" w14:textId="752AB81E" w:rsidR="0062276C" w:rsidRDefault="006816DD" w:rsidP="00147554">
      <w:pPr>
        <w:spacing w:after="0" w:line="360" w:lineRule="auto"/>
        <w:rPr>
          <w:rFonts w:eastAsia="Times New Roman" w:cs="Tahoma"/>
          <w:bCs/>
          <w:iCs/>
          <w:color w:val="auto"/>
          <w:lang w:eastAsia="es-ES"/>
        </w:rPr>
      </w:pPr>
      <w:r w:rsidRPr="008D0189">
        <w:rPr>
          <w:rFonts w:eastAsia="Times New Roman" w:cs="Tahoma"/>
          <w:bCs/>
          <w:iCs/>
          <w:color w:val="auto"/>
          <w:lang w:eastAsia="es-ES"/>
        </w:rPr>
        <w:t>Por lo expuesto y fundado, este Pleno:</w:t>
      </w:r>
    </w:p>
    <w:p w14:paraId="5F76B0A9" w14:textId="77777777" w:rsidR="00963200" w:rsidRPr="008D0189" w:rsidRDefault="00963200" w:rsidP="00147554">
      <w:pPr>
        <w:spacing w:after="0" w:line="360" w:lineRule="auto"/>
        <w:rPr>
          <w:rFonts w:eastAsia="Times New Roman" w:cs="Tahoma"/>
          <w:bCs/>
          <w:iCs/>
          <w:color w:val="auto"/>
          <w:lang w:eastAsia="es-ES"/>
        </w:rPr>
      </w:pPr>
    </w:p>
    <w:p w14:paraId="7919B441" w14:textId="77777777" w:rsidR="002A0B3A" w:rsidRPr="008D0189" w:rsidRDefault="002A0B3A" w:rsidP="00147554">
      <w:pPr>
        <w:pStyle w:val="Ttulo1"/>
        <w:spacing w:before="0" w:line="360" w:lineRule="auto"/>
        <w:jc w:val="center"/>
        <w:rPr>
          <w:rFonts w:ascii="Palatino Linotype" w:eastAsia="Calibri" w:hAnsi="Palatino Linotype"/>
          <w:b/>
          <w:color w:val="000000" w:themeColor="text1"/>
          <w:sz w:val="22"/>
          <w:szCs w:val="22"/>
        </w:rPr>
      </w:pPr>
      <w:bookmarkStart w:id="33" w:name="_Toc208312908"/>
      <w:bookmarkStart w:id="34" w:name="_Toc225435452"/>
      <w:r w:rsidRPr="008D0189">
        <w:rPr>
          <w:rFonts w:ascii="Palatino Linotype" w:eastAsia="Calibri" w:hAnsi="Palatino Linotype"/>
          <w:b/>
          <w:color w:val="000000" w:themeColor="text1"/>
          <w:sz w:val="22"/>
          <w:szCs w:val="22"/>
        </w:rPr>
        <w:t>R E S U E L V E:</w:t>
      </w:r>
      <w:bookmarkEnd w:id="33"/>
      <w:bookmarkEnd w:id="34"/>
    </w:p>
    <w:p w14:paraId="6A252915" w14:textId="77777777" w:rsidR="002A0B3A" w:rsidRPr="008D0189" w:rsidRDefault="002A0B3A" w:rsidP="00147554">
      <w:pPr>
        <w:spacing w:after="0" w:line="360" w:lineRule="auto"/>
        <w:ind w:right="-91"/>
        <w:contextualSpacing/>
        <w:jc w:val="center"/>
        <w:rPr>
          <w:rFonts w:eastAsia="Calibri" w:cs="Tahoma"/>
          <w:b/>
          <w:bCs/>
          <w:color w:val="auto"/>
        </w:rPr>
      </w:pPr>
    </w:p>
    <w:p w14:paraId="123C63BB" w14:textId="38781E38" w:rsidR="003F4B27" w:rsidRPr="00BF5CCB" w:rsidRDefault="000D36EC" w:rsidP="00147554">
      <w:pPr>
        <w:spacing w:after="0" w:line="360" w:lineRule="auto"/>
      </w:pPr>
      <w:r w:rsidRPr="008D0189">
        <w:rPr>
          <w:b/>
        </w:rPr>
        <w:t xml:space="preserve">PRIMERO. </w:t>
      </w:r>
      <w:r w:rsidR="003F4B27" w:rsidRPr="00A247FC">
        <w:rPr>
          <w:b/>
        </w:rPr>
        <w:t xml:space="preserve">. </w:t>
      </w:r>
      <w:r w:rsidR="003F4B27" w:rsidRPr="00A247FC">
        <w:t xml:space="preserve">Se </w:t>
      </w:r>
      <w:r w:rsidR="0039793A">
        <w:rPr>
          <w:b/>
        </w:rPr>
        <w:t>MODIFI</w:t>
      </w:r>
      <w:r w:rsidR="00BF5CCB" w:rsidRPr="00BF5CCB">
        <w:rPr>
          <w:b/>
        </w:rPr>
        <w:t>CA</w:t>
      </w:r>
      <w:r w:rsidR="00BF5CCB" w:rsidRPr="00BF5CCB">
        <w:t xml:space="preserve"> la respuesta entregada por el Ayuntamiento de Toluca, a la solicitud de información </w:t>
      </w:r>
      <w:r w:rsidR="00E25C2C">
        <w:rPr>
          <w:rFonts w:eastAsia="Palatino Linotype" w:cs="Palatino Linotype"/>
          <w:color w:val="000000"/>
          <w:lang w:eastAsia="es-MX"/>
        </w:rPr>
        <w:t>02824</w:t>
      </w:r>
      <w:r w:rsidR="00BF5CCB" w:rsidRPr="00BF5CCB">
        <w:rPr>
          <w:rFonts w:eastAsia="Palatino Linotype" w:cs="Palatino Linotype"/>
          <w:color w:val="000000"/>
          <w:lang w:eastAsia="es-MX"/>
        </w:rPr>
        <w:t>/TOLUCA/IP/2025</w:t>
      </w:r>
      <w:r w:rsidR="00BF5CCB" w:rsidRPr="00BF5CCB">
        <w:t xml:space="preserve">, por resultar </w:t>
      </w:r>
      <w:r w:rsidR="00BF5CCB" w:rsidRPr="0030341A">
        <w:rPr>
          <w:b/>
          <w:bCs/>
        </w:rPr>
        <w:t>FUNDADAS</w:t>
      </w:r>
      <w:r w:rsidR="00BF5CCB" w:rsidRPr="00BF5CCB">
        <w:t xml:space="preserve"> las razones o motivos de inconformidad hechos valer por la persona Recurrente, en términos de los considerandos QUINTO y SEXTO de la presente Resolución.</w:t>
      </w:r>
    </w:p>
    <w:p w14:paraId="54C35AA0" w14:textId="77777777" w:rsidR="00BF5CCB" w:rsidRDefault="00BF5CCB" w:rsidP="00147554">
      <w:pPr>
        <w:spacing w:after="0" w:line="360" w:lineRule="auto"/>
      </w:pPr>
    </w:p>
    <w:p w14:paraId="0FDC02D9" w14:textId="27354BA5" w:rsidR="00BF5CCB" w:rsidRDefault="003F4B27" w:rsidP="00147554">
      <w:pPr>
        <w:spacing w:after="0" w:line="360" w:lineRule="auto"/>
        <w:rPr>
          <w:rFonts w:eastAsia="Palatino Linotype" w:cs="Palatino Linotype"/>
        </w:rPr>
      </w:pPr>
      <w:r w:rsidRPr="00A247FC">
        <w:rPr>
          <w:rFonts w:eastAsia="Calibri" w:cs="Tahoma"/>
          <w:b/>
          <w:bCs/>
          <w:iCs/>
          <w:color w:val="auto"/>
        </w:rPr>
        <w:t xml:space="preserve">SEGUNDO. </w:t>
      </w:r>
      <w:r w:rsidR="00BF5CCB">
        <w:rPr>
          <w:rFonts w:eastAsia="Palatino Linotype" w:cs="Palatino Linotype"/>
        </w:rPr>
        <w:t xml:space="preserve">Se </w:t>
      </w:r>
      <w:r w:rsidR="00BF5CCB">
        <w:rPr>
          <w:rFonts w:eastAsia="Palatino Linotype" w:cs="Palatino Linotype"/>
          <w:b/>
        </w:rPr>
        <w:t>ORDENA</w:t>
      </w:r>
      <w:r w:rsidR="00BF5CCB">
        <w:rPr>
          <w:rFonts w:eastAsia="Palatino Linotype" w:cs="Palatino Linotype"/>
        </w:rPr>
        <w:t xml:space="preserve"> al Ente Recurrido</w:t>
      </w:r>
      <w:r w:rsidR="00BF5CCB">
        <w:rPr>
          <w:rFonts w:eastAsia="Palatino Linotype" w:cs="Palatino Linotype"/>
          <w:b/>
        </w:rPr>
        <w:t xml:space="preserve">, </w:t>
      </w:r>
      <w:r w:rsidR="00BF5CCB">
        <w:rPr>
          <w:rFonts w:eastAsia="Palatino Linotype" w:cs="Palatino Linotype"/>
        </w:rPr>
        <w:t>a efecto de que previa búsqueda exhaustiva y razonable, en los archivos de las unidades administrativas competentes, entregue a través del Sistema de Acceso a la Información Mexiquense (SAIMEX), en su caso</w:t>
      </w:r>
      <w:r w:rsidR="0039793A">
        <w:rPr>
          <w:rFonts w:eastAsia="Palatino Linotype" w:cs="Palatino Linotype"/>
        </w:rPr>
        <w:t>,</w:t>
      </w:r>
      <w:r w:rsidR="00BF5CCB">
        <w:rPr>
          <w:rFonts w:eastAsia="Palatino Linotype" w:cs="Palatino Linotype"/>
        </w:rPr>
        <w:t xml:space="preserve"> en versión pública, </w:t>
      </w:r>
      <w:r w:rsidR="00E25C2C">
        <w:rPr>
          <w:rFonts w:eastAsia="Palatino Linotype" w:cs="Palatino Linotype"/>
        </w:rPr>
        <w:t xml:space="preserve">respecto </w:t>
      </w:r>
      <w:r w:rsidR="007769D7">
        <w:rPr>
          <w:rFonts w:eastAsia="Palatino Linotype" w:cs="Palatino Linotype"/>
        </w:rPr>
        <w:t>a la Coordinación General</w:t>
      </w:r>
      <w:r w:rsidR="00E25C2C">
        <w:rPr>
          <w:rFonts w:eastAsia="Palatino Linotype" w:cs="Palatino Linotype"/>
        </w:rPr>
        <w:t xml:space="preserve"> de Comunicación Social</w:t>
      </w:r>
      <w:r w:rsidR="007769D7">
        <w:rPr>
          <w:rFonts w:eastAsia="Palatino Linotype" w:cs="Palatino Linotype"/>
        </w:rPr>
        <w:t>,</w:t>
      </w:r>
      <w:r w:rsidR="00E25C2C">
        <w:rPr>
          <w:rFonts w:eastAsia="Palatino Linotype" w:cs="Palatino Linotype"/>
        </w:rPr>
        <w:t xml:space="preserve"> </w:t>
      </w:r>
      <w:r w:rsidR="0039793A">
        <w:rPr>
          <w:rFonts w:eastAsia="Palatino Linotype" w:cs="Palatino Linotype"/>
        </w:rPr>
        <w:t xml:space="preserve">del primero de enero al </w:t>
      </w:r>
      <w:r w:rsidR="00E25C2C">
        <w:rPr>
          <w:rFonts w:eastAsia="Palatino Linotype" w:cs="Palatino Linotype"/>
        </w:rPr>
        <w:t>quince de mayo</w:t>
      </w:r>
      <w:r w:rsidR="0039793A">
        <w:rPr>
          <w:rFonts w:eastAsia="Palatino Linotype" w:cs="Palatino Linotype"/>
        </w:rPr>
        <w:t xml:space="preserve"> de dos mil veinticinco, </w:t>
      </w:r>
      <w:r w:rsidR="007769D7">
        <w:rPr>
          <w:rFonts w:eastAsia="Palatino Linotype" w:cs="Palatino Linotype"/>
        </w:rPr>
        <w:t>los documentos</w:t>
      </w:r>
      <w:r w:rsidR="00E25C2C">
        <w:rPr>
          <w:rFonts w:eastAsia="Palatino Linotype" w:cs="Palatino Linotype"/>
        </w:rPr>
        <w:t xml:space="preserve"> donde conste</w:t>
      </w:r>
      <w:r w:rsidR="0039793A">
        <w:rPr>
          <w:rFonts w:eastAsia="Palatino Linotype" w:cs="Palatino Linotype"/>
        </w:rPr>
        <w:t xml:space="preserve"> lo siguiente:</w:t>
      </w:r>
    </w:p>
    <w:p w14:paraId="4C550E73" w14:textId="77777777" w:rsidR="00BF5CCB" w:rsidRDefault="00BF5CCB" w:rsidP="00147554">
      <w:pPr>
        <w:spacing w:after="0" w:line="360" w:lineRule="auto"/>
        <w:rPr>
          <w:rFonts w:eastAsia="Palatino Linotype" w:cs="Palatino Linotype"/>
        </w:rPr>
      </w:pPr>
    </w:p>
    <w:p w14:paraId="70CEA464" w14:textId="673F3C1C" w:rsidR="00E25C2C" w:rsidRPr="00E25C2C" w:rsidRDefault="00E25C2C" w:rsidP="00E25C2C">
      <w:pPr>
        <w:pStyle w:val="Prrafodelista"/>
        <w:numPr>
          <w:ilvl w:val="0"/>
          <w:numId w:val="38"/>
        </w:numPr>
        <w:spacing w:after="0" w:line="360" w:lineRule="auto"/>
        <w:ind w:left="851" w:right="-28"/>
        <w:rPr>
          <w:rFonts w:eastAsia="Palatino Linotype" w:cs="Tahoma"/>
          <w:color w:val="000000"/>
          <w:lang w:eastAsia="es-MX"/>
        </w:rPr>
      </w:pPr>
      <w:r>
        <w:rPr>
          <w:rFonts w:eastAsia="Palatino Linotype" w:cs="Tahoma"/>
          <w:color w:val="000000"/>
          <w:lang w:eastAsia="es-MX"/>
        </w:rPr>
        <w:t>Programa Anual</w:t>
      </w:r>
      <w:r w:rsidR="007769D7">
        <w:rPr>
          <w:rFonts w:eastAsia="Palatino Linotype" w:cs="Tahoma"/>
          <w:color w:val="000000"/>
          <w:lang w:eastAsia="es-MX"/>
        </w:rPr>
        <w:t xml:space="preserve"> de Trabajo;</w:t>
      </w:r>
    </w:p>
    <w:p w14:paraId="0C5CBDD7" w14:textId="5E8E54BD" w:rsidR="005247C0" w:rsidRDefault="00E25C2C" w:rsidP="002D3E65">
      <w:pPr>
        <w:pStyle w:val="Prrafodelista"/>
        <w:numPr>
          <w:ilvl w:val="0"/>
          <w:numId w:val="38"/>
        </w:numPr>
        <w:spacing w:after="0" w:line="360" w:lineRule="auto"/>
        <w:ind w:left="851" w:right="-28"/>
        <w:rPr>
          <w:rFonts w:eastAsia="Palatino Linotype" w:cs="Tahoma"/>
          <w:color w:val="000000"/>
          <w:lang w:eastAsia="es-MX"/>
        </w:rPr>
      </w:pPr>
      <w:r>
        <w:rPr>
          <w:rFonts w:eastAsia="Palatino Linotype" w:cs="Tahoma"/>
          <w:color w:val="000000"/>
          <w:lang w:eastAsia="es-MX"/>
        </w:rPr>
        <w:t xml:space="preserve">Avance </w:t>
      </w:r>
      <w:r w:rsidR="007769D7">
        <w:rPr>
          <w:rFonts w:eastAsia="Palatino Linotype" w:cs="Tahoma"/>
          <w:color w:val="000000"/>
          <w:lang w:eastAsia="es-MX"/>
        </w:rPr>
        <w:t>de los proyectos establecidos en el Programa referido en el numeral 1, y</w:t>
      </w:r>
    </w:p>
    <w:p w14:paraId="4EC4D93C" w14:textId="5455E19D" w:rsidR="00E25C2C" w:rsidRDefault="00FC3BE5" w:rsidP="002D3E65">
      <w:pPr>
        <w:pStyle w:val="Prrafodelista"/>
        <w:numPr>
          <w:ilvl w:val="0"/>
          <w:numId w:val="38"/>
        </w:numPr>
        <w:spacing w:after="0" w:line="360" w:lineRule="auto"/>
        <w:ind w:left="851" w:right="-28"/>
        <w:rPr>
          <w:rFonts w:eastAsia="Palatino Linotype" w:cs="Tahoma"/>
          <w:color w:val="000000"/>
          <w:lang w:eastAsia="es-MX"/>
        </w:rPr>
      </w:pPr>
      <w:r>
        <w:rPr>
          <w:rFonts w:eastAsia="Palatino Linotype" w:cs="Tahoma"/>
          <w:color w:val="000000"/>
          <w:lang w:eastAsia="es-MX"/>
        </w:rPr>
        <w:t xml:space="preserve">Presupuesto asignado </w:t>
      </w:r>
      <w:bookmarkStart w:id="35" w:name="_GoBack"/>
      <w:bookmarkEnd w:id="35"/>
      <w:r w:rsidR="00E25C2C">
        <w:rPr>
          <w:rFonts w:eastAsia="Palatino Linotype" w:cs="Tahoma"/>
          <w:color w:val="000000"/>
          <w:lang w:eastAsia="es-MX"/>
        </w:rPr>
        <w:t xml:space="preserve">y ejercido </w:t>
      </w:r>
      <w:r w:rsidR="007769D7">
        <w:rPr>
          <w:rFonts w:eastAsia="Palatino Linotype" w:cs="Tahoma"/>
          <w:color w:val="000000"/>
          <w:lang w:eastAsia="es-MX"/>
        </w:rPr>
        <w:t>por el área.</w:t>
      </w:r>
    </w:p>
    <w:p w14:paraId="7A0B8149" w14:textId="77777777" w:rsidR="0039793A" w:rsidRDefault="0039793A" w:rsidP="00147554">
      <w:pPr>
        <w:spacing w:after="0" w:line="360" w:lineRule="auto"/>
        <w:ind w:right="-91"/>
        <w:rPr>
          <w:rFonts w:eastAsia="Palatino Linotype" w:cs="Palatino Linotype"/>
        </w:rPr>
      </w:pPr>
    </w:p>
    <w:p w14:paraId="18BE81AB" w14:textId="7B6E567E" w:rsidR="005247C0" w:rsidRPr="005247C0" w:rsidRDefault="005247C0" w:rsidP="00147554">
      <w:pPr>
        <w:spacing w:after="0" w:line="360" w:lineRule="auto"/>
        <w:ind w:right="-91"/>
        <w:rPr>
          <w:rFonts w:eastAsia="Palatino Linotype" w:cs="Palatino Linotype"/>
        </w:rPr>
      </w:pPr>
      <w:r w:rsidRPr="005247C0">
        <w:rPr>
          <w:rFonts w:eastAsia="Palatino Linotype" w:cs="Palatino Linotype"/>
        </w:rPr>
        <w:t xml:space="preserve">Además, </w:t>
      </w:r>
      <w:r w:rsidR="0039793A">
        <w:rPr>
          <w:rFonts w:eastAsia="Palatino Linotype" w:cs="Palatino Linotype"/>
        </w:rPr>
        <w:t xml:space="preserve">de ser necesario, </w:t>
      </w:r>
      <w:r w:rsidRPr="005247C0">
        <w:rPr>
          <w:rFonts w:eastAsia="Palatino Linotype" w:cs="Palatino Linotype"/>
        </w:rPr>
        <w:t xml:space="preserve">deberá proporcionar el Acuerdo de Clasificación donde el Comité de Transparencia, confirme la eliminación de los datos o información, en la versión pública, </w:t>
      </w:r>
      <w:r w:rsidRPr="005247C0">
        <w:rPr>
          <w:rFonts w:eastAsia="Palatino Linotype" w:cs="Palatino Linotype"/>
        </w:rPr>
        <w:lastRenderedPageBreak/>
        <w:t>de conformidad con los artículos 49, fracciones II y VIII, 132, fracción II y 143, fracción I, de la Ley de Transparencia y Acceso a la Información Pública del Estado de México y Municipios.</w:t>
      </w:r>
    </w:p>
    <w:p w14:paraId="76181E20" w14:textId="77777777" w:rsidR="00BF5CCB" w:rsidRPr="005247C0" w:rsidRDefault="00BF5CCB" w:rsidP="00147554">
      <w:pPr>
        <w:spacing w:after="0" w:line="360" w:lineRule="auto"/>
        <w:ind w:right="-91"/>
        <w:rPr>
          <w:rFonts w:eastAsia="Palatino Linotype" w:cs="Palatino Linotype"/>
        </w:rPr>
      </w:pPr>
    </w:p>
    <w:p w14:paraId="2B68BBDA" w14:textId="72DA0EBE" w:rsidR="005247C0" w:rsidRDefault="005247C0" w:rsidP="00147554">
      <w:pPr>
        <w:spacing w:after="0" w:line="360" w:lineRule="auto"/>
        <w:ind w:right="-28"/>
        <w:rPr>
          <w:rFonts w:eastAsia="Palatino Linotype" w:cs="Palatino Linotype"/>
        </w:rPr>
      </w:pPr>
      <w:r>
        <w:rPr>
          <w:rFonts w:eastAsia="Palatino Linotype" w:cs="Palatino Linotype"/>
          <w:b/>
        </w:rPr>
        <w:t xml:space="preserve">TERCERO. NOTIFÍQUESE POR SAIMEX </w:t>
      </w:r>
      <w:r>
        <w:rPr>
          <w:rFonts w:eastAsia="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6BFB68DE" w14:textId="77777777" w:rsidR="005247C0" w:rsidRDefault="005247C0" w:rsidP="00147554">
      <w:pPr>
        <w:tabs>
          <w:tab w:val="left" w:pos="6882"/>
        </w:tabs>
        <w:spacing w:after="0" w:line="360" w:lineRule="auto"/>
        <w:rPr>
          <w:rFonts w:eastAsia="Palatino Linotype" w:cs="Palatino Linotype"/>
        </w:rPr>
      </w:pPr>
      <w:r>
        <w:rPr>
          <w:rFonts w:eastAsia="Palatino Linotype" w:cs="Palatino Linotype"/>
        </w:rPr>
        <w:tab/>
      </w:r>
    </w:p>
    <w:p w14:paraId="26F30236" w14:textId="77777777" w:rsidR="005247C0" w:rsidRDefault="005247C0" w:rsidP="00147554">
      <w:pPr>
        <w:spacing w:after="0" w:line="360" w:lineRule="auto"/>
        <w:rPr>
          <w:rFonts w:eastAsia="Palatino Linotype" w:cs="Palatino Linotype"/>
        </w:rPr>
      </w:pPr>
      <w:r>
        <w:rPr>
          <w:rFonts w:eastAsia="Palatino Linotype" w:cs="Palatino Linotype"/>
          <w:b/>
        </w:rPr>
        <w:t>CUARTO. NOTIFÍQUESE POR SAIMEX</w:t>
      </w:r>
      <w:r>
        <w:rPr>
          <w:rFonts w:eastAsia="Palatino Linotype" w:cs="Palatino Linotype"/>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A8AB4E" w14:textId="77777777" w:rsidR="005247C0" w:rsidRDefault="005247C0" w:rsidP="00147554">
      <w:pPr>
        <w:spacing w:after="0" w:line="360" w:lineRule="auto"/>
        <w:rPr>
          <w:rFonts w:eastAsia="Palatino Linotype" w:cs="Palatino Linotype"/>
          <w:b/>
        </w:rPr>
      </w:pPr>
    </w:p>
    <w:p w14:paraId="7146A7F6" w14:textId="3D989261" w:rsidR="00A9056D" w:rsidRPr="008D0189" w:rsidRDefault="003F4B27" w:rsidP="00147554">
      <w:pPr>
        <w:spacing w:after="0" w:line="360" w:lineRule="auto"/>
        <w:rPr>
          <w:color w:val="FF0000"/>
        </w:rPr>
      </w:pPr>
      <w:r w:rsidRPr="00A247FC">
        <w:rPr>
          <w:rFonts w:eastAsia="Calibri" w:cs="Tahoma"/>
          <w:bCs/>
        </w:rPr>
        <w:t>ASÍ LO RESUELVE, POR </w:t>
      </w:r>
      <w:r w:rsidRPr="00A247FC">
        <w:rPr>
          <w:rFonts w:eastAsia="Calibri" w:cs="Tahoma"/>
          <w:b/>
          <w:bCs/>
        </w:rPr>
        <w:t>UNANIMIDAD</w:t>
      </w:r>
      <w:r w:rsidRPr="00A247F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4C2293">
        <w:rPr>
          <w:rFonts w:eastAsia="Calibri" w:cs="Tahoma"/>
          <w:bCs/>
        </w:rPr>
        <w:t xml:space="preserve">PEÑA, EN LA </w:t>
      </w:r>
      <w:r w:rsidR="00B632BD">
        <w:rPr>
          <w:rFonts w:eastAsia="Calibri" w:cs="Tahoma"/>
          <w:bCs/>
        </w:rPr>
        <w:t>DÉ</w:t>
      </w:r>
      <w:r w:rsidR="006F54FA">
        <w:rPr>
          <w:rFonts w:eastAsia="Calibri" w:cs="Tahoma"/>
          <w:bCs/>
        </w:rPr>
        <w:t>CIMA PRIMERA</w:t>
      </w:r>
      <w:r w:rsidRPr="004C2293">
        <w:rPr>
          <w:rFonts w:eastAsia="Calibri" w:cs="Tahoma"/>
          <w:bCs/>
        </w:rPr>
        <w:t xml:space="preserve"> SESIÓN </w:t>
      </w:r>
      <w:r w:rsidRPr="005247C0">
        <w:rPr>
          <w:rFonts w:eastAsia="Calibri" w:cs="Tahoma"/>
          <w:bCs/>
        </w:rPr>
        <w:lastRenderedPageBreak/>
        <w:t xml:space="preserve">ORDINARIA, CELEBRADA EL </w:t>
      </w:r>
      <w:r w:rsidR="006F54FA">
        <w:rPr>
          <w:rFonts w:eastAsia="Calibri" w:cs="Tahoma"/>
          <w:bCs/>
        </w:rPr>
        <w:t>VEINTICINCO DE MARZO</w:t>
      </w:r>
      <w:r w:rsidRPr="00A247FC">
        <w:rPr>
          <w:rFonts w:eastAsia="Calibri" w:cs="Tahoma"/>
          <w:bCs/>
        </w:rPr>
        <w:t xml:space="preserve"> DE DOS MIL VEINTI</w:t>
      </w:r>
      <w:r w:rsidR="006F54FA">
        <w:rPr>
          <w:rFonts w:eastAsia="Calibri" w:cs="Tahoma"/>
          <w:bCs/>
        </w:rPr>
        <w:t>SEIS</w:t>
      </w:r>
      <w:r w:rsidRPr="00A247FC">
        <w:rPr>
          <w:rFonts w:eastAsia="Calibri" w:cs="Tahoma"/>
          <w:bCs/>
        </w:rPr>
        <w:t>, ANTE EL SECRETARIO TÉCNICO DEL PLENO, ALEXIS TAPIA RAMÍREZ</w:t>
      </w:r>
      <w:r w:rsidR="006F54FA">
        <w:rPr>
          <w:rFonts w:eastAsia="Calibri" w:cs="Tahoma"/>
          <w:bCs/>
        </w:rPr>
        <w:t>.</w:t>
      </w:r>
    </w:p>
    <w:p w14:paraId="15A13D10" w14:textId="77777777" w:rsidR="00A9056D" w:rsidRPr="008D0189" w:rsidRDefault="00A9056D" w:rsidP="00147554">
      <w:pPr>
        <w:spacing w:after="0" w:line="360" w:lineRule="auto"/>
        <w:rPr>
          <w:color w:val="FF0000"/>
        </w:rPr>
      </w:pPr>
    </w:p>
    <w:p w14:paraId="36F176C9" w14:textId="77777777" w:rsidR="00A9056D" w:rsidRPr="008D0189" w:rsidRDefault="00A9056D" w:rsidP="00147554">
      <w:pPr>
        <w:spacing w:after="0" w:line="360" w:lineRule="auto"/>
        <w:rPr>
          <w:color w:val="FF0000"/>
        </w:rPr>
      </w:pPr>
    </w:p>
    <w:p w14:paraId="4D86D97F" w14:textId="77777777" w:rsidR="00A9056D" w:rsidRPr="008D0189" w:rsidRDefault="00A9056D" w:rsidP="00147554">
      <w:pPr>
        <w:spacing w:after="0" w:line="360" w:lineRule="auto"/>
        <w:rPr>
          <w:color w:val="FF0000"/>
        </w:rPr>
      </w:pPr>
    </w:p>
    <w:p w14:paraId="06DD7401" w14:textId="77777777" w:rsidR="00A9056D" w:rsidRPr="008D0189" w:rsidRDefault="00A9056D" w:rsidP="00147554">
      <w:pPr>
        <w:spacing w:after="0" w:line="360" w:lineRule="auto"/>
        <w:rPr>
          <w:color w:val="FF0000"/>
        </w:rPr>
      </w:pPr>
    </w:p>
    <w:p w14:paraId="436CEB7B" w14:textId="77777777" w:rsidR="00A9056D" w:rsidRPr="008D0189" w:rsidRDefault="00A9056D" w:rsidP="00147554">
      <w:pPr>
        <w:spacing w:after="0" w:line="360" w:lineRule="auto"/>
        <w:rPr>
          <w:color w:val="FF0000"/>
        </w:rPr>
      </w:pPr>
    </w:p>
    <w:p w14:paraId="465D31F1" w14:textId="5DE2F320" w:rsidR="007B68D1" w:rsidRDefault="007B68D1" w:rsidP="00147554">
      <w:pPr>
        <w:spacing w:after="0" w:line="360" w:lineRule="auto"/>
        <w:jc w:val="left"/>
        <w:rPr>
          <w:color w:val="FF0000"/>
        </w:rPr>
      </w:pPr>
    </w:p>
    <w:p w14:paraId="7C875112" w14:textId="77777777" w:rsidR="000A440A" w:rsidRDefault="000A440A" w:rsidP="00147554">
      <w:pPr>
        <w:spacing w:after="0" w:line="360" w:lineRule="auto"/>
        <w:jc w:val="left"/>
        <w:rPr>
          <w:color w:val="FF0000"/>
        </w:rPr>
      </w:pPr>
    </w:p>
    <w:p w14:paraId="08C0B970" w14:textId="77777777" w:rsidR="005247C0" w:rsidRDefault="005247C0" w:rsidP="00147554">
      <w:pPr>
        <w:spacing w:after="0" w:line="360" w:lineRule="auto"/>
        <w:jc w:val="left"/>
        <w:rPr>
          <w:color w:val="FF0000"/>
        </w:rPr>
      </w:pPr>
    </w:p>
    <w:p w14:paraId="6496B8F4" w14:textId="77777777" w:rsidR="005247C0" w:rsidRDefault="005247C0" w:rsidP="00147554">
      <w:pPr>
        <w:spacing w:after="0" w:line="360" w:lineRule="auto"/>
        <w:jc w:val="left"/>
        <w:rPr>
          <w:color w:val="FF0000"/>
        </w:rPr>
      </w:pPr>
    </w:p>
    <w:p w14:paraId="6E3E2908" w14:textId="77777777" w:rsidR="000A440A" w:rsidRDefault="000A440A" w:rsidP="00147554">
      <w:pPr>
        <w:spacing w:after="0" w:line="360" w:lineRule="auto"/>
        <w:jc w:val="left"/>
        <w:rPr>
          <w:color w:val="FF0000"/>
        </w:rPr>
      </w:pPr>
    </w:p>
    <w:p w14:paraId="7BC75557" w14:textId="77777777" w:rsidR="00BE0192" w:rsidRDefault="00BE0192" w:rsidP="00147554">
      <w:pPr>
        <w:spacing w:after="0" w:line="360" w:lineRule="auto"/>
        <w:jc w:val="left"/>
        <w:rPr>
          <w:color w:val="FF0000"/>
        </w:rPr>
      </w:pPr>
    </w:p>
    <w:p w14:paraId="2921E68A" w14:textId="77777777" w:rsidR="00BE0192" w:rsidRDefault="00BE0192" w:rsidP="00147554">
      <w:pPr>
        <w:spacing w:after="0" w:line="360" w:lineRule="auto"/>
        <w:jc w:val="left"/>
        <w:rPr>
          <w:color w:val="FF0000"/>
        </w:rPr>
      </w:pPr>
    </w:p>
    <w:p w14:paraId="61B8FDBB" w14:textId="77777777" w:rsidR="000A440A" w:rsidRDefault="000A440A" w:rsidP="00147554">
      <w:pPr>
        <w:spacing w:after="0" w:line="360" w:lineRule="auto"/>
        <w:jc w:val="left"/>
        <w:rPr>
          <w:color w:val="FF0000"/>
        </w:rPr>
      </w:pPr>
    </w:p>
    <w:p w14:paraId="10EAE972" w14:textId="77777777" w:rsidR="000A440A" w:rsidRDefault="000A440A" w:rsidP="00147554">
      <w:pPr>
        <w:spacing w:after="0" w:line="360" w:lineRule="auto"/>
        <w:jc w:val="left"/>
        <w:rPr>
          <w:color w:val="FF0000"/>
        </w:rPr>
      </w:pPr>
    </w:p>
    <w:p w14:paraId="1F0A6D38" w14:textId="77777777" w:rsidR="000A440A" w:rsidRDefault="000A440A" w:rsidP="00147554">
      <w:pPr>
        <w:spacing w:after="0" w:line="360" w:lineRule="auto"/>
        <w:jc w:val="left"/>
        <w:rPr>
          <w:color w:val="FF0000"/>
        </w:rPr>
      </w:pPr>
    </w:p>
    <w:p w14:paraId="6E0CB6A9" w14:textId="77777777" w:rsidR="000A440A" w:rsidRDefault="000A440A" w:rsidP="00147554">
      <w:pPr>
        <w:spacing w:after="0" w:line="360" w:lineRule="auto"/>
        <w:jc w:val="left"/>
        <w:rPr>
          <w:color w:val="FF0000"/>
        </w:rPr>
      </w:pPr>
    </w:p>
    <w:p w14:paraId="78C86FDF" w14:textId="77777777" w:rsidR="000A440A" w:rsidRDefault="000A440A" w:rsidP="00147554">
      <w:pPr>
        <w:spacing w:after="0" w:line="360" w:lineRule="auto"/>
        <w:jc w:val="left"/>
        <w:rPr>
          <w:color w:val="FF0000"/>
        </w:rPr>
      </w:pPr>
    </w:p>
    <w:p w14:paraId="3C78AF3B" w14:textId="77777777" w:rsidR="000A440A" w:rsidRDefault="000A440A" w:rsidP="00147554">
      <w:pPr>
        <w:spacing w:after="0" w:line="360" w:lineRule="auto"/>
        <w:jc w:val="left"/>
        <w:rPr>
          <w:color w:val="FF0000"/>
        </w:rPr>
      </w:pPr>
    </w:p>
    <w:p w14:paraId="7CE72F97" w14:textId="77777777" w:rsidR="000A440A" w:rsidRDefault="000A440A" w:rsidP="00147554">
      <w:pPr>
        <w:spacing w:after="0" w:line="360" w:lineRule="auto"/>
        <w:jc w:val="left"/>
        <w:rPr>
          <w:color w:val="FF0000"/>
        </w:rPr>
      </w:pPr>
    </w:p>
    <w:p w14:paraId="4C19A6CC" w14:textId="77777777" w:rsidR="000A440A" w:rsidRDefault="000A440A" w:rsidP="00147554">
      <w:pPr>
        <w:spacing w:after="0" w:line="360" w:lineRule="auto"/>
        <w:jc w:val="left"/>
        <w:rPr>
          <w:color w:val="FF0000"/>
        </w:rPr>
      </w:pPr>
    </w:p>
    <w:p w14:paraId="0F20AC2A" w14:textId="77777777" w:rsidR="000A440A" w:rsidRDefault="000A440A" w:rsidP="00147554">
      <w:pPr>
        <w:spacing w:after="0" w:line="360" w:lineRule="auto"/>
        <w:jc w:val="left"/>
        <w:rPr>
          <w:color w:val="FF0000"/>
        </w:rPr>
      </w:pPr>
    </w:p>
    <w:p w14:paraId="737988BE" w14:textId="77777777" w:rsidR="000A440A" w:rsidRDefault="000A440A" w:rsidP="00147554">
      <w:pPr>
        <w:spacing w:after="0" w:line="360" w:lineRule="auto"/>
        <w:jc w:val="left"/>
        <w:rPr>
          <w:color w:val="FF0000"/>
        </w:rPr>
      </w:pPr>
    </w:p>
    <w:p w14:paraId="187FD7CA" w14:textId="77777777" w:rsidR="000A440A" w:rsidRDefault="000A440A" w:rsidP="00147554">
      <w:pPr>
        <w:spacing w:after="0" w:line="360" w:lineRule="auto"/>
        <w:jc w:val="left"/>
        <w:rPr>
          <w:color w:val="FF0000"/>
        </w:rPr>
      </w:pPr>
    </w:p>
    <w:p w14:paraId="7B86101C" w14:textId="77777777" w:rsidR="000A440A" w:rsidRDefault="000A440A" w:rsidP="00147554">
      <w:pPr>
        <w:spacing w:after="0" w:line="360" w:lineRule="auto"/>
        <w:jc w:val="left"/>
        <w:rPr>
          <w:color w:val="FF0000"/>
        </w:rPr>
      </w:pPr>
    </w:p>
    <w:p w14:paraId="6124F70F" w14:textId="77777777" w:rsidR="000A440A" w:rsidRDefault="000A440A" w:rsidP="00147554">
      <w:pPr>
        <w:spacing w:after="0" w:line="360" w:lineRule="auto"/>
        <w:jc w:val="left"/>
        <w:rPr>
          <w:color w:val="FF0000"/>
        </w:rPr>
      </w:pPr>
    </w:p>
    <w:p w14:paraId="6217AFF5" w14:textId="77777777" w:rsidR="00773FA5" w:rsidRPr="008D0189" w:rsidRDefault="00773FA5" w:rsidP="00147554">
      <w:pPr>
        <w:spacing w:after="0" w:line="360" w:lineRule="auto"/>
        <w:jc w:val="left"/>
        <w:rPr>
          <w:color w:val="FF0000"/>
        </w:rPr>
      </w:pPr>
    </w:p>
    <w:sectPr w:rsidR="00773FA5" w:rsidRPr="008D0189" w:rsidSect="007F271C">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956C4" w14:textId="77777777" w:rsidR="004326F3" w:rsidRDefault="004326F3" w:rsidP="00DB3DC5">
      <w:pPr>
        <w:spacing w:after="0" w:line="240" w:lineRule="auto"/>
      </w:pPr>
      <w:r>
        <w:separator/>
      </w:r>
    </w:p>
  </w:endnote>
  <w:endnote w:type="continuationSeparator" w:id="0">
    <w:p w14:paraId="52AB8517" w14:textId="77777777" w:rsidR="004326F3" w:rsidRDefault="004326F3"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71EF021" w14:textId="77777777" w:rsidR="00AE6646" w:rsidRDefault="00AE66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3797">
              <w:rPr>
                <w:b/>
                <w:bCs/>
                <w:noProof/>
              </w:rPr>
              <w:t>26</w:t>
            </w:r>
            <w:r>
              <w:rPr>
                <w:b/>
                <w:bCs/>
                <w:sz w:val="24"/>
                <w:szCs w:val="24"/>
              </w:rPr>
              <w:fldChar w:fldCharType="end"/>
            </w:r>
          </w:p>
        </w:sdtContent>
      </w:sdt>
    </w:sdtContent>
  </w:sdt>
  <w:p w14:paraId="68EED6E3" w14:textId="77777777" w:rsidR="00AE6646" w:rsidRDefault="00AE66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4AF1A6A" w14:textId="77777777" w:rsidR="00AE6646" w:rsidRDefault="00AE66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379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3797">
              <w:rPr>
                <w:b/>
                <w:bCs/>
                <w:noProof/>
              </w:rPr>
              <w:t>26</w:t>
            </w:r>
            <w:r>
              <w:rPr>
                <w:b/>
                <w:bCs/>
                <w:sz w:val="24"/>
                <w:szCs w:val="24"/>
              </w:rPr>
              <w:fldChar w:fldCharType="end"/>
            </w:r>
          </w:p>
        </w:sdtContent>
      </w:sdt>
    </w:sdtContent>
  </w:sdt>
  <w:p w14:paraId="5C9540ED" w14:textId="77777777" w:rsidR="00AE6646" w:rsidRDefault="00AE66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208A12E" w14:textId="77777777" w:rsidR="00AE6646" w:rsidRDefault="00AE66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37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3797">
              <w:rPr>
                <w:b/>
                <w:bCs/>
                <w:noProof/>
              </w:rPr>
              <w:t>26</w:t>
            </w:r>
            <w:r>
              <w:rPr>
                <w:b/>
                <w:bCs/>
                <w:sz w:val="24"/>
                <w:szCs w:val="24"/>
              </w:rPr>
              <w:fldChar w:fldCharType="end"/>
            </w:r>
          </w:p>
        </w:sdtContent>
      </w:sdt>
    </w:sdtContent>
  </w:sdt>
  <w:p w14:paraId="601C40B8" w14:textId="77777777" w:rsidR="00AE6646" w:rsidRDefault="00AE66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FDC4E" w14:textId="77777777" w:rsidR="004326F3" w:rsidRDefault="004326F3" w:rsidP="00DB3DC5">
      <w:pPr>
        <w:spacing w:after="0" w:line="240" w:lineRule="auto"/>
      </w:pPr>
      <w:r>
        <w:separator/>
      </w:r>
    </w:p>
  </w:footnote>
  <w:footnote w:type="continuationSeparator" w:id="0">
    <w:p w14:paraId="042548DA" w14:textId="77777777" w:rsidR="004326F3" w:rsidRDefault="004326F3"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AE6646" w:rsidRPr="00E152D8" w14:paraId="04B090CA" w14:textId="77777777" w:rsidTr="00347876">
      <w:trPr>
        <w:trHeight w:val="132"/>
      </w:trPr>
      <w:tc>
        <w:tcPr>
          <w:tcW w:w="2691" w:type="dxa"/>
        </w:tcPr>
        <w:p w14:paraId="476D4D83" w14:textId="77777777" w:rsidR="00AE6646" w:rsidRPr="00E152D8" w:rsidRDefault="00AE6646"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AE6646" w:rsidRPr="00EE1572" w:rsidRDefault="00AE6646" w:rsidP="00347876">
          <w:pPr>
            <w:tabs>
              <w:tab w:val="right" w:pos="8838"/>
            </w:tabs>
            <w:ind w:left="-28" w:right="-32"/>
            <w:rPr>
              <w:rFonts w:eastAsia="Calibri" w:cs="Tahoma"/>
            </w:rPr>
          </w:pPr>
          <w:r w:rsidRPr="00EE1572">
            <w:rPr>
              <w:rFonts w:eastAsia="Calibri" w:cs="Tahoma"/>
            </w:rPr>
            <w:t>03846/INFOEM/IP/RR/2020</w:t>
          </w:r>
        </w:p>
      </w:tc>
    </w:tr>
    <w:tr w:rsidR="00AE6646" w:rsidRPr="00E152D8" w14:paraId="1A944E3B" w14:textId="77777777" w:rsidTr="00347876">
      <w:trPr>
        <w:trHeight w:val="261"/>
      </w:trPr>
      <w:tc>
        <w:tcPr>
          <w:tcW w:w="2691" w:type="dxa"/>
        </w:tcPr>
        <w:p w14:paraId="04AF3D79" w14:textId="77777777" w:rsidR="00AE6646" w:rsidRPr="00E152D8" w:rsidRDefault="00AE664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AE6646" w:rsidRPr="00EE1572" w:rsidRDefault="00AE6646" w:rsidP="00347876">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AE6646" w:rsidRPr="00E152D8" w14:paraId="51F43EE6" w14:textId="77777777" w:rsidTr="00347876">
      <w:trPr>
        <w:trHeight w:val="261"/>
      </w:trPr>
      <w:tc>
        <w:tcPr>
          <w:tcW w:w="2691" w:type="dxa"/>
        </w:tcPr>
        <w:p w14:paraId="4689E914" w14:textId="77777777" w:rsidR="00AE6646" w:rsidRPr="00E152D8" w:rsidRDefault="00AE6646"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AE6646" w:rsidRPr="00E152D8" w:rsidRDefault="00AE6646"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AE6646" w:rsidRDefault="004326F3">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46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5"/>
      <w:gridCol w:w="3756"/>
    </w:tblGrid>
    <w:tr w:rsidR="00AE6646" w:rsidRPr="00E152D8" w14:paraId="6AD70801" w14:textId="77777777" w:rsidTr="0030341A">
      <w:trPr>
        <w:trHeight w:val="152"/>
      </w:trPr>
      <w:tc>
        <w:tcPr>
          <w:tcW w:w="2705" w:type="dxa"/>
          <w:vAlign w:val="center"/>
        </w:tcPr>
        <w:p w14:paraId="4714C583" w14:textId="77777777" w:rsidR="00AE6646" w:rsidRPr="00E152D8" w:rsidRDefault="00AE6646"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3756" w:type="dxa"/>
        </w:tcPr>
        <w:p w14:paraId="02EA1FEA" w14:textId="2464EE27" w:rsidR="00AE6646" w:rsidRPr="00051642" w:rsidRDefault="00AE6646" w:rsidP="002D3E65">
          <w:pPr>
            <w:tabs>
              <w:tab w:val="right" w:pos="8838"/>
            </w:tabs>
            <w:ind w:left="-113" w:right="57"/>
            <w:rPr>
              <w:rFonts w:eastAsia="Calibri" w:cs="Tahoma"/>
            </w:rPr>
          </w:pPr>
          <w:r>
            <w:rPr>
              <w:rFonts w:eastAsia="Calibri" w:cs="Tahoma"/>
              <w:lang w:val="es-MX"/>
            </w:rPr>
            <w:t>07776</w:t>
          </w:r>
          <w:r w:rsidRPr="001E2583">
            <w:rPr>
              <w:rFonts w:eastAsia="Calibri" w:cs="Tahoma"/>
              <w:lang w:val="es-MX"/>
            </w:rPr>
            <w:t>/INFOEM/IP/RR/2025</w:t>
          </w:r>
        </w:p>
      </w:tc>
    </w:tr>
    <w:tr w:rsidR="00AE6646" w:rsidRPr="00E152D8" w14:paraId="7FF5EABC" w14:textId="77777777" w:rsidTr="0030341A">
      <w:trPr>
        <w:trHeight w:val="301"/>
      </w:trPr>
      <w:tc>
        <w:tcPr>
          <w:tcW w:w="2705" w:type="dxa"/>
        </w:tcPr>
        <w:p w14:paraId="565B10D1" w14:textId="77777777" w:rsidR="00AE6646" w:rsidRPr="00E152D8" w:rsidRDefault="00AE664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756" w:type="dxa"/>
        </w:tcPr>
        <w:p w14:paraId="7EA0F578" w14:textId="5EF5948B" w:rsidR="00AE6646" w:rsidRPr="00051642" w:rsidRDefault="00AE6646" w:rsidP="002F28F9">
          <w:pPr>
            <w:tabs>
              <w:tab w:val="left" w:pos="2728"/>
              <w:tab w:val="right" w:pos="8838"/>
            </w:tabs>
            <w:ind w:left="-113" w:right="-108"/>
            <w:rPr>
              <w:rFonts w:eastAsia="Calibri" w:cs="Tahoma"/>
              <w:lang w:val="es-MX"/>
            </w:rPr>
          </w:pPr>
          <w:r w:rsidRPr="003D5AAD">
            <w:rPr>
              <w:rFonts w:eastAsia="Calibri" w:cs="Tahoma"/>
              <w:lang w:val="es-MX"/>
            </w:rPr>
            <w:t>Ayuntamiento de Toluca</w:t>
          </w:r>
        </w:p>
      </w:tc>
    </w:tr>
    <w:tr w:rsidR="00AE6646" w:rsidRPr="00E152D8" w14:paraId="3156BE5F" w14:textId="77777777" w:rsidTr="0030341A">
      <w:trPr>
        <w:trHeight w:val="301"/>
      </w:trPr>
      <w:tc>
        <w:tcPr>
          <w:tcW w:w="2705" w:type="dxa"/>
        </w:tcPr>
        <w:p w14:paraId="183B2F1A" w14:textId="77777777" w:rsidR="00AE6646" w:rsidRPr="00E152D8" w:rsidRDefault="00AE6646" w:rsidP="00347876">
          <w:pPr>
            <w:tabs>
              <w:tab w:val="right" w:pos="8838"/>
            </w:tabs>
            <w:ind w:right="-105"/>
            <w:rPr>
              <w:rFonts w:eastAsia="Calibri" w:cs="Tahoma"/>
              <w:b/>
              <w:lang w:val="es-MX"/>
            </w:rPr>
          </w:pPr>
          <w:r w:rsidRPr="00E152D8">
            <w:rPr>
              <w:rFonts w:eastAsia="Calibri" w:cs="Tahoma"/>
              <w:b/>
              <w:lang w:val="es-MX"/>
            </w:rPr>
            <w:t>Comisionado Ponente:</w:t>
          </w:r>
        </w:p>
      </w:tc>
      <w:tc>
        <w:tcPr>
          <w:tcW w:w="3756" w:type="dxa"/>
        </w:tcPr>
        <w:p w14:paraId="318AB537" w14:textId="77777777" w:rsidR="00AE6646" w:rsidRPr="00E152D8" w:rsidRDefault="00AE6646"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AE6646" w:rsidRDefault="004326F3"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AE6646" w:rsidRPr="00E152D8" w14:paraId="773597DE" w14:textId="77777777" w:rsidTr="006A54BB">
      <w:trPr>
        <w:trHeight w:val="132"/>
      </w:trPr>
      <w:tc>
        <w:tcPr>
          <w:tcW w:w="2551" w:type="dxa"/>
        </w:tcPr>
        <w:p w14:paraId="4FCB3AA3" w14:textId="77777777" w:rsidR="00AE6646" w:rsidRPr="00E152D8" w:rsidRDefault="00AE6646" w:rsidP="00347876">
          <w:pPr>
            <w:tabs>
              <w:tab w:val="right" w:pos="8838"/>
            </w:tabs>
            <w:ind w:right="-105"/>
            <w:rPr>
              <w:rFonts w:eastAsia="Calibri" w:cs="Tahoma"/>
              <w:b/>
              <w:lang w:val="es-MX"/>
            </w:rPr>
          </w:pPr>
          <w:r w:rsidRPr="00E152D8">
            <w:rPr>
              <w:rFonts w:eastAsia="Calibri" w:cs="Tahoma"/>
              <w:b/>
              <w:lang w:val="es-MX"/>
            </w:rPr>
            <w:t>Recurso de Revisión:</w:t>
          </w:r>
        </w:p>
      </w:tc>
      <w:tc>
        <w:tcPr>
          <w:tcW w:w="3827" w:type="dxa"/>
        </w:tcPr>
        <w:p w14:paraId="42955DA0" w14:textId="19F0340C" w:rsidR="00AE6646" w:rsidRPr="00051642" w:rsidRDefault="00AE6646" w:rsidP="002D3E65">
          <w:pPr>
            <w:tabs>
              <w:tab w:val="right" w:pos="8838"/>
            </w:tabs>
            <w:ind w:left="-113" w:right="-32"/>
            <w:rPr>
              <w:rFonts w:eastAsia="Calibri" w:cs="Tahoma"/>
            </w:rPr>
          </w:pPr>
          <w:r>
            <w:rPr>
              <w:rFonts w:eastAsia="Calibri" w:cs="Tahoma"/>
              <w:lang w:val="es-MX"/>
            </w:rPr>
            <w:t>07776</w:t>
          </w:r>
          <w:r w:rsidRPr="001E2583">
            <w:rPr>
              <w:rFonts w:eastAsia="Calibri" w:cs="Tahoma"/>
              <w:lang w:val="es-MX"/>
            </w:rPr>
            <w:t>/INFOEM/IP/RR/2025</w:t>
          </w:r>
        </w:p>
      </w:tc>
    </w:tr>
    <w:tr w:rsidR="00AE6646" w:rsidRPr="00E152D8" w14:paraId="202FB661" w14:textId="77777777" w:rsidTr="006A54BB">
      <w:trPr>
        <w:trHeight w:val="132"/>
      </w:trPr>
      <w:tc>
        <w:tcPr>
          <w:tcW w:w="2551" w:type="dxa"/>
          <w:shd w:val="clear" w:color="auto" w:fill="auto"/>
        </w:tcPr>
        <w:p w14:paraId="5E100A32" w14:textId="77777777" w:rsidR="00AE6646" w:rsidRPr="00E152D8" w:rsidRDefault="00AE6646"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7" w:type="dxa"/>
          <w:shd w:val="clear" w:color="auto" w:fill="auto"/>
        </w:tcPr>
        <w:p w14:paraId="28640565" w14:textId="502347D1" w:rsidR="00AE6646" w:rsidRPr="00E21446" w:rsidRDefault="00AE6646" w:rsidP="001303D6">
          <w:pPr>
            <w:tabs>
              <w:tab w:val="right" w:pos="8838"/>
            </w:tabs>
            <w:ind w:left="-107"/>
            <w:rPr>
              <w:rFonts w:eastAsia="Calibri" w:cs="Tahoma"/>
              <w:lang w:val="es-MX"/>
            </w:rPr>
          </w:pPr>
        </w:p>
      </w:tc>
    </w:tr>
    <w:tr w:rsidR="00AE6646" w:rsidRPr="00E152D8" w14:paraId="1BA9B09B" w14:textId="77777777" w:rsidTr="006A54BB">
      <w:trPr>
        <w:trHeight w:val="261"/>
      </w:trPr>
      <w:tc>
        <w:tcPr>
          <w:tcW w:w="2551" w:type="dxa"/>
        </w:tcPr>
        <w:p w14:paraId="6174740A" w14:textId="77777777" w:rsidR="00AE6646" w:rsidRPr="00E152D8" w:rsidRDefault="00AE664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7" w:type="dxa"/>
        </w:tcPr>
        <w:p w14:paraId="4B948471" w14:textId="4173A959" w:rsidR="00AE6646" w:rsidRPr="00051642" w:rsidRDefault="00AE6646" w:rsidP="001A3A3E">
          <w:pPr>
            <w:tabs>
              <w:tab w:val="right" w:pos="8838"/>
            </w:tabs>
            <w:ind w:left="-113" w:right="-32"/>
            <w:rPr>
              <w:rFonts w:eastAsia="Calibri" w:cs="Tahoma"/>
              <w:lang w:val="es-MX"/>
            </w:rPr>
          </w:pPr>
          <w:r w:rsidRPr="003D5AAD">
            <w:rPr>
              <w:rFonts w:eastAsia="Calibri" w:cs="Tahoma"/>
              <w:lang w:val="es-MX"/>
            </w:rPr>
            <w:t>Ayuntamiento de Toluca</w:t>
          </w:r>
        </w:p>
      </w:tc>
    </w:tr>
    <w:tr w:rsidR="00AE6646" w:rsidRPr="00E152D8" w14:paraId="3F18AACD" w14:textId="77777777" w:rsidTr="006A54BB">
      <w:trPr>
        <w:trHeight w:val="261"/>
      </w:trPr>
      <w:tc>
        <w:tcPr>
          <w:tcW w:w="2551" w:type="dxa"/>
        </w:tcPr>
        <w:p w14:paraId="57E8DDB5" w14:textId="77777777" w:rsidR="00AE6646" w:rsidRPr="00E152D8" w:rsidRDefault="00AE6646" w:rsidP="00347876">
          <w:pPr>
            <w:tabs>
              <w:tab w:val="right" w:pos="8838"/>
            </w:tabs>
            <w:ind w:right="-105"/>
            <w:rPr>
              <w:rFonts w:eastAsia="Calibri" w:cs="Tahoma"/>
              <w:b/>
              <w:lang w:val="es-MX"/>
            </w:rPr>
          </w:pPr>
          <w:r w:rsidRPr="00E152D8">
            <w:rPr>
              <w:rFonts w:eastAsia="Calibri" w:cs="Tahoma"/>
              <w:b/>
              <w:lang w:val="es-MX"/>
            </w:rPr>
            <w:t>Comisionado Ponente:</w:t>
          </w:r>
        </w:p>
      </w:tc>
      <w:tc>
        <w:tcPr>
          <w:tcW w:w="3827" w:type="dxa"/>
        </w:tcPr>
        <w:p w14:paraId="1B8E59D3" w14:textId="77777777" w:rsidR="00AE6646" w:rsidRPr="00E152D8" w:rsidRDefault="00AE6646"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AE6646" w:rsidRDefault="004326F3"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85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EB6"/>
    <w:multiLevelType w:val="hybridMultilevel"/>
    <w:tmpl w:val="7D28C3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E7486"/>
    <w:multiLevelType w:val="hybridMultilevel"/>
    <w:tmpl w:val="39A84A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3AD433B"/>
    <w:multiLevelType w:val="hybridMultilevel"/>
    <w:tmpl w:val="04301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044233"/>
    <w:multiLevelType w:val="multilevel"/>
    <w:tmpl w:val="B6A2F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2A4579"/>
    <w:multiLevelType w:val="hybridMultilevel"/>
    <w:tmpl w:val="019631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AF3A2E"/>
    <w:multiLevelType w:val="hybridMultilevel"/>
    <w:tmpl w:val="8A7E7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DC101BF"/>
    <w:multiLevelType w:val="hybridMultilevel"/>
    <w:tmpl w:val="4B8E1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3D7909"/>
    <w:multiLevelType w:val="multilevel"/>
    <w:tmpl w:val="52D4FBE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98D0E77"/>
    <w:multiLevelType w:val="hybridMultilevel"/>
    <w:tmpl w:val="33303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6614C3"/>
    <w:multiLevelType w:val="multilevel"/>
    <w:tmpl w:val="4D5AC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B64DF"/>
    <w:multiLevelType w:val="hybridMultilevel"/>
    <w:tmpl w:val="BAA6E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D51750"/>
    <w:multiLevelType w:val="multilevel"/>
    <w:tmpl w:val="405685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A933CC7"/>
    <w:multiLevelType w:val="hybridMultilevel"/>
    <w:tmpl w:val="C2748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CF05E8"/>
    <w:multiLevelType w:val="hybridMultilevel"/>
    <w:tmpl w:val="0DB40E9C"/>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6361FF2"/>
    <w:multiLevelType w:val="multilevel"/>
    <w:tmpl w:val="7BF849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514255"/>
    <w:multiLevelType w:val="hybridMultilevel"/>
    <w:tmpl w:val="CA001D3C"/>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1273E1"/>
    <w:multiLevelType w:val="hybridMultilevel"/>
    <w:tmpl w:val="A0CAFA9C"/>
    <w:lvl w:ilvl="0" w:tplc="F6C228C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3A06C2"/>
    <w:multiLevelType w:val="hybridMultilevel"/>
    <w:tmpl w:val="CA001D3C"/>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BE16CF"/>
    <w:multiLevelType w:val="hybridMultilevel"/>
    <w:tmpl w:val="6E1228C0"/>
    <w:lvl w:ilvl="0" w:tplc="62F01616">
      <w:start w:val="1"/>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3" w15:restartNumberingAfterBreak="0">
    <w:nsid w:val="7200310E"/>
    <w:multiLevelType w:val="multilevel"/>
    <w:tmpl w:val="41082B8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2D807D5"/>
    <w:multiLevelType w:val="hybridMultilevel"/>
    <w:tmpl w:val="6ABC321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E5E8E"/>
    <w:multiLevelType w:val="multilevel"/>
    <w:tmpl w:val="7E027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361068"/>
    <w:multiLevelType w:val="multilevel"/>
    <w:tmpl w:val="3E8E37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4E20CF"/>
    <w:multiLevelType w:val="hybridMultilevel"/>
    <w:tmpl w:val="B87C23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505DB5"/>
    <w:multiLevelType w:val="multilevel"/>
    <w:tmpl w:val="8672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9A015B"/>
    <w:multiLevelType w:val="hybridMultilevel"/>
    <w:tmpl w:val="67546AB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3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num>
  <w:num w:numId="14">
    <w:abstractNumId w:val="26"/>
  </w:num>
  <w:num w:numId="15">
    <w:abstractNumId w:val="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9"/>
  </w:num>
  <w:num w:numId="19">
    <w:abstractNumId w:val="27"/>
  </w:num>
  <w:num w:numId="20">
    <w:abstractNumId w:val="37"/>
  </w:num>
  <w:num w:numId="21">
    <w:abstractNumId w:val="20"/>
  </w:num>
  <w:num w:numId="22">
    <w:abstractNumId w:val="5"/>
  </w:num>
  <w:num w:numId="23">
    <w:abstractNumId w:val="34"/>
  </w:num>
  <w:num w:numId="24">
    <w:abstractNumId w:val="11"/>
  </w:num>
  <w:num w:numId="25">
    <w:abstractNumId w:val="30"/>
  </w:num>
  <w:num w:numId="26">
    <w:abstractNumId w:val="31"/>
  </w:num>
  <w:num w:numId="27">
    <w:abstractNumId w:val="29"/>
  </w:num>
  <w:num w:numId="28">
    <w:abstractNumId w:val="19"/>
  </w:num>
  <w:num w:numId="29">
    <w:abstractNumId w:val="7"/>
  </w:num>
  <w:num w:numId="30">
    <w:abstractNumId w:val="0"/>
  </w:num>
  <w:num w:numId="31">
    <w:abstractNumId w:val="2"/>
  </w:num>
  <w:num w:numId="32">
    <w:abstractNumId w:val="8"/>
  </w:num>
  <w:num w:numId="33">
    <w:abstractNumId w:val="13"/>
  </w:num>
  <w:num w:numId="34">
    <w:abstractNumId w:val="12"/>
  </w:num>
  <w:num w:numId="35">
    <w:abstractNumId w:val="9"/>
  </w:num>
  <w:num w:numId="36">
    <w:abstractNumId w:val="10"/>
  </w:num>
  <w:num w:numId="37">
    <w:abstractNumId w:val="22"/>
  </w:num>
  <w:num w:numId="38">
    <w:abstractNumId w:val="24"/>
  </w:num>
  <w:num w:numId="39">
    <w:abstractNumId w:val="17"/>
  </w:num>
  <w:num w:numId="40">
    <w:abstractNumId w:val="14"/>
  </w:num>
  <w:num w:numId="4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2D51"/>
    <w:rsid w:val="00003D94"/>
    <w:rsid w:val="000045A6"/>
    <w:rsid w:val="00006636"/>
    <w:rsid w:val="00007F3F"/>
    <w:rsid w:val="000115BF"/>
    <w:rsid w:val="0003316E"/>
    <w:rsid w:val="000362D0"/>
    <w:rsid w:val="0004161E"/>
    <w:rsid w:val="00041844"/>
    <w:rsid w:val="00041AD6"/>
    <w:rsid w:val="00042509"/>
    <w:rsid w:val="00043CDA"/>
    <w:rsid w:val="00046A88"/>
    <w:rsid w:val="0005386D"/>
    <w:rsid w:val="000539BD"/>
    <w:rsid w:val="00053BC6"/>
    <w:rsid w:val="000558EC"/>
    <w:rsid w:val="00055A6A"/>
    <w:rsid w:val="00060685"/>
    <w:rsid w:val="00060723"/>
    <w:rsid w:val="00062E08"/>
    <w:rsid w:val="00063884"/>
    <w:rsid w:val="00065B0B"/>
    <w:rsid w:val="000716E3"/>
    <w:rsid w:val="00076681"/>
    <w:rsid w:val="00080393"/>
    <w:rsid w:val="00081ABD"/>
    <w:rsid w:val="000821F8"/>
    <w:rsid w:val="00087796"/>
    <w:rsid w:val="00093651"/>
    <w:rsid w:val="00094584"/>
    <w:rsid w:val="00096AE4"/>
    <w:rsid w:val="000A0A70"/>
    <w:rsid w:val="000A2D13"/>
    <w:rsid w:val="000A440A"/>
    <w:rsid w:val="000A5FCD"/>
    <w:rsid w:val="000B2239"/>
    <w:rsid w:val="000B70D0"/>
    <w:rsid w:val="000C1FDB"/>
    <w:rsid w:val="000C45AA"/>
    <w:rsid w:val="000C52C4"/>
    <w:rsid w:val="000C7591"/>
    <w:rsid w:val="000D36EC"/>
    <w:rsid w:val="000D4873"/>
    <w:rsid w:val="000D49DD"/>
    <w:rsid w:val="000E2D83"/>
    <w:rsid w:val="000E392B"/>
    <w:rsid w:val="000F5064"/>
    <w:rsid w:val="000F5268"/>
    <w:rsid w:val="000F74C0"/>
    <w:rsid w:val="00107769"/>
    <w:rsid w:val="00110D4D"/>
    <w:rsid w:val="00112545"/>
    <w:rsid w:val="001140A5"/>
    <w:rsid w:val="001154ED"/>
    <w:rsid w:val="001236D1"/>
    <w:rsid w:val="0013015C"/>
    <w:rsid w:val="001303D6"/>
    <w:rsid w:val="00132927"/>
    <w:rsid w:val="001333F6"/>
    <w:rsid w:val="001334D1"/>
    <w:rsid w:val="001410F8"/>
    <w:rsid w:val="001431B9"/>
    <w:rsid w:val="0014339D"/>
    <w:rsid w:val="00147554"/>
    <w:rsid w:val="00147F38"/>
    <w:rsid w:val="00153932"/>
    <w:rsid w:val="00155A01"/>
    <w:rsid w:val="00156035"/>
    <w:rsid w:val="0015730E"/>
    <w:rsid w:val="001609BD"/>
    <w:rsid w:val="001613BB"/>
    <w:rsid w:val="00164855"/>
    <w:rsid w:val="00166789"/>
    <w:rsid w:val="0017501F"/>
    <w:rsid w:val="0018355D"/>
    <w:rsid w:val="00183736"/>
    <w:rsid w:val="001849BC"/>
    <w:rsid w:val="001905DC"/>
    <w:rsid w:val="00191491"/>
    <w:rsid w:val="00195CF5"/>
    <w:rsid w:val="001A0F43"/>
    <w:rsid w:val="001A2B03"/>
    <w:rsid w:val="001A3275"/>
    <w:rsid w:val="001A3A3E"/>
    <w:rsid w:val="001A7A00"/>
    <w:rsid w:val="001B6F42"/>
    <w:rsid w:val="001C137C"/>
    <w:rsid w:val="001C67A5"/>
    <w:rsid w:val="001C7AC2"/>
    <w:rsid w:val="001E2583"/>
    <w:rsid w:val="001E3C40"/>
    <w:rsid w:val="001E59AF"/>
    <w:rsid w:val="001E7C66"/>
    <w:rsid w:val="001F22AA"/>
    <w:rsid w:val="001F3934"/>
    <w:rsid w:val="001F5C0B"/>
    <w:rsid w:val="00202D93"/>
    <w:rsid w:val="00203961"/>
    <w:rsid w:val="00204F92"/>
    <w:rsid w:val="0020547F"/>
    <w:rsid w:val="00207046"/>
    <w:rsid w:val="00213634"/>
    <w:rsid w:val="00222A22"/>
    <w:rsid w:val="00223665"/>
    <w:rsid w:val="0022374D"/>
    <w:rsid w:val="002263C0"/>
    <w:rsid w:val="00230BC7"/>
    <w:rsid w:val="00231708"/>
    <w:rsid w:val="0023213D"/>
    <w:rsid w:val="002324D1"/>
    <w:rsid w:val="002353CB"/>
    <w:rsid w:val="00235C24"/>
    <w:rsid w:val="002415DE"/>
    <w:rsid w:val="00241D49"/>
    <w:rsid w:val="00243A71"/>
    <w:rsid w:val="00245EE3"/>
    <w:rsid w:val="002470F9"/>
    <w:rsid w:val="00250655"/>
    <w:rsid w:val="0025077A"/>
    <w:rsid w:val="00251B33"/>
    <w:rsid w:val="00251B87"/>
    <w:rsid w:val="00254457"/>
    <w:rsid w:val="00254F36"/>
    <w:rsid w:val="00264675"/>
    <w:rsid w:val="00264E74"/>
    <w:rsid w:val="00267FB5"/>
    <w:rsid w:val="002705C2"/>
    <w:rsid w:val="00271E47"/>
    <w:rsid w:val="00275938"/>
    <w:rsid w:val="00283F5C"/>
    <w:rsid w:val="00283FFB"/>
    <w:rsid w:val="0028756B"/>
    <w:rsid w:val="00293277"/>
    <w:rsid w:val="00293C56"/>
    <w:rsid w:val="0029666E"/>
    <w:rsid w:val="00297A5A"/>
    <w:rsid w:val="002A0B3A"/>
    <w:rsid w:val="002A3F0C"/>
    <w:rsid w:val="002A40A0"/>
    <w:rsid w:val="002A5DB0"/>
    <w:rsid w:val="002B4FF0"/>
    <w:rsid w:val="002C19D9"/>
    <w:rsid w:val="002C3558"/>
    <w:rsid w:val="002C3A3C"/>
    <w:rsid w:val="002D117D"/>
    <w:rsid w:val="002D3879"/>
    <w:rsid w:val="002D3E65"/>
    <w:rsid w:val="002E2644"/>
    <w:rsid w:val="002F1D02"/>
    <w:rsid w:val="002F28F9"/>
    <w:rsid w:val="002F3681"/>
    <w:rsid w:val="002F4410"/>
    <w:rsid w:val="002F68F5"/>
    <w:rsid w:val="002F6AF8"/>
    <w:rsid w:val="002F7D8F"/>
    <w:rsid w:val="00301078"/>
    <w:rsid w:val="0030341A"/>
    <w:rsid w:val="0030377D"/>
    <w:rsid w:val="00306FB6"/>
    <w:rsid w:val="00313596"/>
    <w:rsid w:val="003145F9"/>
    <w:rsid w:val="0031767E"/>
    <w:rsid w:val="0032289C"/>
    <w:rsid w:val="003241A8"/>
    <w:rsid w:val="00331F46"/>
    <w:rsid w:val="0033756D"/>
    <w:rsid w:val="0033782D"/>
    <w:rsid w:val="00342CEB"/>
    <w:rsid w:val="00344846"/>
    <w:rsid w:val="00345375"/>
    <w:rsid w:val="00345BB5"/>
    <w:rsid w:val="00347876"/>
    <w:rsid w:val="003556D5"/>
    <w:rsid w:val="0036051C"/>
    <w:rsid w:val="00363DED"/>
    <w:rsid w:val="00365137"/>
    <w:rsid w:val="003727BC"/>
    <w:rsid w:val="00382AAD"/>
    <w:rsid w:val="00382B56"/>
    <w:rsid w:val="003837EE"/>
    <w:rsid w:val="003838BE"/>
    <w:rsid w:val="00387E7C"/>
    <w:rsid w:val="003905B1"/>
    <w:rsid w:val="00390BA0"/>
    <w:rsid w:val="00392B1B"/>
    <w:rsid w:val="00393A36"/>
    <w:rsid w:val="00394286"/>
    <w:rsid w:val="00394344"/>
    <w:rsid w:val="00397810"/>
    <w:rsid w:val="0039793A"/>
    <w:rsid w:val="003A123A"/>
    <w:rsid w:val="003A2254"/>
    <w:rsid w:val="003B04E1"/>
    <w:rsid w:val="003B3103"/>
    <w:rsid w:val="003B3DC8"/>
    <w:rsid w:val="003C0399"/>
    <w:rsid w:val="003C2A46"/>
    <w:rsid w:val="003C74A7"/>
    <w:rsid w:val="003D5AAD"/>
    <w:rsid w:val="003D7C81"/>
    <w:rsid w:val="003E1FAA"/>
    <w:rsid w:val="003E32F8"/>
    <w:rsid w:val="003E55F1"/>
    <w:rsid w:val="003E5ADD"/>
    <w:rsid w:val="003E6429"/>
    <w:rsid w:val="003E678B"/>
    <w:rsid w:val="003F4B27"/>
    <w:rsid w:val="003F5D4E"/>
    <w:rsid w:val="003F5EB5"/>
    <w:rsid w:val="003F63DA"/>
    <w:rsid w:val="003F670D"/>
    <w:rsid w:val="00411430"/>
    <w:rsid w:val="00415F0B"/>
    <w:rsid w:val="00417F5B"/>
    <w:rsid w:val="004260BE"/>
    <w:rsid w:val="004326F3"/>
    <w:rsid w:val="004327D0"/>
    <w:rsid w:val="00444157"/>
    <w:rsid w:val="004500E2"/>
    <w:rsid w:val="00454437"/>
    <w:rsid w:val="004552D8"/>
    <w:rsid w:val="00455DCB"/>
    <w:rsid w:val="00456B51"/>
    <w:rsid w:val="00460FFC"/>
    <w:rsid w:val="004610AE"/>
    <w:rsid w:val="0046538F"/>
    <w:rsid w:val="00471182"/>
    <w:rsid w:val="004714D3"/>
    <w:rsid w:val="004724CB"/>
    <w:rsid w:val="00476402"/>
    <w:rsid w:val="00476986"/>
    <w:rsid w:val="0048544A"/>
    <w:rsid w:val="004908D0"/>
    <w:rsid w:val="004935D0"/>
    <w:rsid w:val="0049737D"/>
    <w:rsid w:val="004A1217"/>
    <w:rsid w:val="004A535E"/>
    <w:rsid w:val="004A5AD5"/>
    <w:rsid w:val="004B2876"/>
    <w:rsid w:val="004B4B36"/>
    <w:rsid w:val="004B52B2"/>
    <w:rsid w:val="004C1DB3"/>
    <w:rsid w:val="004C2293"/>
    <w:rsid w:val="004D1B2D"/>
    <w:rsid w:val="004D4504"/>
    <w:rsid w:val="004E0A7C"/>
    <w:rsid w:val="004E5AB1"/>
    <w:rsid w:val="004E6A57"/>
    <w:rsid w:val="004E75C3"/>
    <w:rsid w:val="004F08EE"/>
    <w:rsid w:val="004F74F5"/>
    <w:rsid w:val="005032B4"/>
    <w:rsid w:val="00505C1F"/>
    <w:rsid w:val="0050623A"/>
    <w:rsid w:val="005225BB"/>
    <w:rsid w:val="005247C0"/>
    <w:rsid w:val="00525C55"/>
    <w:rsid w:val="00530E22"/>
    <w:rsid w:val="00537251"/>
    <w:rsid w:val="005400EE"/>
    <w:rsid w:val="00540E22"/>
    <w:rsid w:val="00551CAD"/>
    <w:rsid w:val="00554562"/>
    <w:rsid w:val="00561626"/>
    <w:rsid w:val="00561B10"/>
    <w:rsid w:val="005620CE"/>
    <w:rsid w:val="005634C6"/>
    <w:rsid w:val="00564F0E"/>
    <w:rsid w:val="0057282C"/>
    <w:rsid w:val="0057399D"/>
    <w:rsid w:val="0057545A"/>
    <w:rsid w:val="00575B03"/>
    <w:rsid w:val="0057629E"/>
    <w:rsid w:val="005811D2"/>
    <w:rsid w:val="00581D38"/>
    <w:rsid w:val="0058439E"/>
    <w:rsid w:val="00585308"/>
    <w:rsid w:val="00587337"/>
    <w:rsid w:val="00587799"/>
    <w:rsid w:val="005902EF"/>
    <w:rsid w:val="005913D6"/>
    <w:rsid w:val="00596D1D"/>
    <w:rsid w:val="00597282"/>
    <w:rsid w:val="005A538C"/>
    <w:rsid w:val="005A6BEC"/>
    <w:rsid w:val="005A7DC1"/>
    <w:rsid w:val="005B1F76"/>
    <w:rsid w:val="005B54BB"/>
    <w:rsid w:val="005B6363"/>
    <w:rsid w:val="005B7EE7"/>
    <w:rsid w:val="005C1CF0"/>
    <w:rsid w:val="005C2558"/>
    <w:rsid w:val="005C459D"/>
    <w:rsid w:val="005C53C7"/>
    <w:rsid w:val="005C5C23"/>
    <w:rsid w:val="005C6124"/>
    <w:rsid w:val="005C6199"/>
    <w:rsid w:val="005D04FC"/>
    <w:rsid w:val="005D2E38"/>
    <w:rsid w:val="005D3D54"/>
    <w:rsid w:val="005D732B"/>
    <w:rsid w:val="005E4832"/>
    <w:rsid w:val="005E6D9C"/>
    <w:rsid w:val="005F5C7B"/>
    <w:rsid w:val="005F66FA"/>
    <w:rsid w:val="00606D73"/>
    <w:rsid w:val="00606D94"/>
    <w:rsid w:val="00614F87"/>
    <w:rsid w:val="00621A17"/>
    <w:rsid w:val="0062276C"/>
    <w:rsid w:val="00623947"/>
    <w:rsid w:val="006343FA"/>
    <w:rsid w:val="006400F1"/>
    <w:rsid w:val="00642D53"/>
    <w:rsid w:val="0064639F"/>
    <w:rsid w:val="006513E1"/>
    <w:rsid w:val="00653139"/>
    <w:rsid w:val="00655864"/>
    <w:rsid w:val="00660C85"/>
    <w:rsid w:val="00661EFD"/>
    <w:rsid w:val="00662953"/>
    <w:rsid w:val="00662BF2"/>
    <w:rsid w:val="006651F1"/>
    <w:rsid w:val="00667107"/>
    <w:rsid w:val="00672292"/>
    <w:rsid w:val="00673579"/>
    <w:rsid w:val="006760A0"/>
    <w:rsid w:val="006778B9"/>
    <w:rsid w:val="006816DD"/>
    <w:rsid w:val="0068386C"/>
    <w:rsid w:val="0068420C"/>
    <w:rsid w:val="00687D24"/>
    <w:rsid w:val="006945D2"/>
    <w:rsid w:val="006A0867"/>
    <w:rsid w:val="006A12A6"/>
    <w:rsid w:val="006A2B38"/>
    <w:rsid w:val="006A54BB"/>
    <w:rsid w:val="006A68A6"/>
    <w:rsid w:val="006B1CAC"/>
    <w:rsid w:val="006B21D5"/>
    <w:rsid w:val="006B6340"/>
    <w:rsid w:val="006C180F"/>
    <w:rsid w:val="006C3439"/>
    <w:rsid w:val="006D3F66"/>
    <w:rsid w:val="006D4CD8"/>
    <w:rsid w:val="006D5835"/>
    <w:rsid w:val="006D6FB5"/>
    <w:rsid w:val="006E16E0"/>
    <w:rsid w:val="006E26AA"/>
    <w:rsid w:val="006E5BE2"/>
    <w:rsid w:val="006E6293"/>
    <w:rsid w:val="006E7A45"/>
    <w:rsid w:val="006F2524"/>
    <w:rsid w:val="006F3A6C"/>
    <w:rsid w:val="006F52E8"/>
    <w:rsid w:val="006F54FA"/>
    <w:rsid w:val="006F61A6"/>
    <w:rsid w:val="006F6E68"/>
    <w:rsid w:val="007115CB"/>
    <w:rsid w:val="00711A43"/>
    <w:rsid w:val="007146FE"/>
    <w:rsid w:val="00717549"/>
    <w:rsid w:val="00720B8C"/>
    <w:rsid w:val="007308C0"/>
    <w:rsid w:val="007309C0"/>
    <w:rsid w:val="00732089"/>
    <w:rsid w:val="00734447"/>
    <w:rsid w:val="00735FFA"/>
    <w:rsid w:val="007366CA"/>
    <w:rsid w:val="0073758B"/>
    <w:rsid w:val="00737CF6"/>
    <w:rsid w:val="00742C37"/>
    <w:rsid w:val="007475D7"/>
    <w:rsid w:val="00760353"/>
    <w:rsid w:val="00760E91"/>
    <w:rsid w:val="00761C2B"/>
    <w:rsid w:val="00763706"/>
    <w:rsid w:val="0076543C"/>
    <w:rsid w:val="00767EFB"/>
    <w:rsid w:val="007719F0"/>
    <w:rsid w:val="00771B61"/>
    <w:rsid w:val="00773FA5"/>
    <w:rsid w:val="007769D7"/>
    <w:rsid w:val="00780EC7"/>
    <w:rsid w:val="00784C5C"/>
    <w:rsid w:val="007850C7"/>
    <w:rsid w:val="00790A2E"/>
    <w:rsid w:val="007911D8"/>
    <w:rsid w:val="00793460"/>
    <w:rsid w:val="00795C9D"/>
    <w:rsid w:val="007A0FD6"/>
    <w:rsid w:val="007B5D0A"/>
    <w:rsid w:val="007B68D1"/>
    <w:rsid w:val="007B7AAB"/>
    <w:rsid w:val="007C11CD"/>
    <w:rsid w:val="007C35E6"/>
    <w:rsid w:val="007C5098"/>
    <w:rsid w:val="007D0769"/>
    <w:rsid w:val="007D08EB"/>
    <w:rsid w:val="007D1412"/>
    <w:rsid w:val="007D7977"/>
    <w:rsid w:val="007E364C"/>
    <w:rsid w:val="007E568C"/>
    <w:rsid w:val="007E71F5"/>
    <w:rsid w:val="007F08B3"/>
    <w:rsid w:val="007F179C"/>
    <w:rsid w:val="007F18AA"/>
    <w:rsid w:val="007F271C"/>
    <w:rsid w:val="007F30B4"/>
    <w:rsid w:val="007F313E"/>
    <w:rsid w:val="007F316D"/>
    <w:rsid w:val="00804A92"/>
    <w:rsid w:val="0080569C"/>
    <w:rsid w:val="00810125"/>
    <w:rsid w:val="00810F12"/>
    <w:rsid w:val="00811A30"/>
    <w:rsid w:val="00812FC7"/>
    <w:rsid w:val="00814335"/>
    <w:rsid w:val="00823B83"/>
    <w:rsid w:val="008264D1"/>
    <w:rsid w:val="00826E2F"/>
    <w:rsid w:val="00827355"/>
    <w:rsid w:val="00837B92"/>
    <w:rsid w:val="00842679"/>
    <w:rsid w:val="00846D60"/>
    <w:rsid w:val="00852BB1"/>
    <w:rsid w:val="0085311A"/>
    <w:rsid w:val="0085342E"/>
    <w:rsid w:val="0085386D"/>
    <w:rsid w:val="00854F21"/>
    <w:rsid w:val="00855635"/>
    <w:rsid w:val="008570E3"/>
    <w:rsid w:val="0085731D"/>
    <w:rsid w:val="0086590C"/>
    <w:rsid w:val="008665C5"/>
    <w:rsid w:val="00871B37"/>
    <w:rsid w:val="00871B5E"/>
    <w:rsid w:val="008726C4"/>
    <w:rsid w:val="00876B0D"/>
    <w:rsid w:val="00880B42"/>
    <w:rsid w:val="00882D62"/>
    <w:rsid w:val="0088315D"/>
    <w:rsid w:val="0088326C"/>
    <w:rsid w:val="00885D3F"/>
    <w:rsid w:val="0089704B"/>
    <w:rsid w:val="008A119D"/>
    <w:rsid w:val="008A310A"/>
    <w:rsid w:val="008A4D35"/>
    <w:rsid w:val="008B092D"/>
    <w:rsid w:val="008B0AD6"/>
    <w:rsid w:val="008B2C31"/>
    <w:rsid w:val="008B41D3"/>
    <w:rsid w:val="008C169C"/>
    <w:rsid w:val="008C3E58"/>
    <w:rsid w:val="008D0189"/>
    <w:rsid w:val="008D1B96"/>
    <w:rsid w:val="008E11C5"/>
    <w:rsid w:val="008E279B"/>
    <w:rsid w:val="008E777E"/>
    <w:rsid w:val="008F42E3"/>
    <w:rsid w:val="008F6C27"/>
    <w:rsid w:val="00903685"/>
    <w:rsid w:val="0090575C"/>
    <w:rsid w:val="00906BD3"/>
    <w:rsid w:val="00914B0A"/>
    <w:rsid w:val="00920351"/>
    <w:rsid w:val="00920B2C"/>
    <w:rsid w:val="00920C0F"/>
    <w:rsid w:val="009232AA"/>
    <w:rsid w:val="00937303"/>
    <w:rsid w:val="00940303"/>
    <w:rsid w:val="00942350"/>
    <w:rsid w:val="009459A1"/>
    <w:rsid w:val="00947568"/>
    <w:rsid w:val="00950B98"/>
    <w:rsid w:val="0095305F"/>
    <w:rsid w:val="00962A37"/>
    <w:rsid w:val="00963200"/>
    <w:rsid w:val="00963FF5"/>
    <w:rsid w:val="009653D1"/>
    <w:rsid w:val="0097330C"/>
    <w:rsid w:val="00974A6B"/>
    <w:rsid w:val="00977AF9"/>
    <w:rsid w:val="009816A7"/>
    <w:rsid w:val="00984103"/>
    <w:rsid w:val="00986D27"/>
    <w:rsid w:val="00991A73"/>
    <w:rsid w:val="009923AC"/>
    <w:rsid w:val="00992875"/>
    <w:rsid w:val="00992B43"/>
    <w:rsid w:val="00993137"/>
    <w:rsid w:val="009937B3"/>
    <w:rsid w:val="00994337"/>
    <w:rsid w:val="009966A3"/>
    <w:rsid w:val="00997B21"/>
    <w:rsid w:val="009A3161"/>
    <w:rsid w:val="009A3569"/>
    <w:rsid w:val="009A35D2"/>
    <w:rsid w:val="009A627C"/>
    <w:rsid w:val="009B365B"/>
    <w:rsid w:val="009B51EF"/>
    <w:rsid w:val="009B6275"/>
    <w:rsid w:val="009C0D40"/>
    <w:rsid w:val="009C1C46"/>
    <w:rsid w:val="009C3492"/>
    <w:rsid w:val="009C7586"/>
    <w:rsid w:val="009E78FF"/>
    <w:rsid w:val="009F13CF"/>
    <w:rsid w:val="009F172E"/>
    <w:rsid w:val="009F4EA5"/>
    <w:rsid w:val="009F55E8"/>
    <w:rsid w:val="00A06E0F"/>
    <w:rsid w:val="00A1763C"/>
    <w:rsid w:val="00A215E3"/>
    <w:rsid w:val="00A234A1"/>
    <w:rsid w:val="00A26C2A"/>
    <w:rsid w:val="00A271A4"/>
    <w:rsid w:val="00A305C7"/>
    <w:rsid w:val="00A322C2"/>
    <w:rsid w:val="00A326E3"/>
    <w:rsid w:val="00A34F7D"/>
    <w:rsid w:val="00A4013F"/>
    <w:rsid w:val="00A43914"/>
    <w:rsid w:val="00A447FF"/>
    <w:rsid w:val="00A5086A"/>
    <w:rsid w:val="00A555FF"/>
    <w:rsid w:val="00A63EA5"/>
    <w:rsid w:val="00A7319C"/>
    <w:rsid w:val="00A75DA4"/>
    <w:rsid w:val="00A87DB7"/>
    <w:rsid w:val="00A9056D"/>
    <w:rsid w:val="00A9339B"/>
    <w:rsid w:val="00A94AFB"/>
    <w:rsid w:val="00A94CDA"/>
    <w:rsid w:val="00AA0161"/>
    <w:rsid w:val="00AA08E2"/>
    <w:rsid w:val="00AA2962"/>
    <w:rsid w:val="00AA53B5"/>
    <w:rsid w:val="00AA7588"/>
    <w:rsid w:val="00AB2611"/>
    <w:rsid w:val="00AC0DB0"/>
    <w:rsid w:val="00AC1C4A"/>
    <w:rsid w:val="00AC22E8"/>
    <w:rsid w:val="00AC29A0"/>
    <w:rsid w:val="00AD3CF8"/>
    <w:rsid w:val="00AD42D9"/>
    <w:rsid w:val="00AD6680"/>
    <w:rsid w:val="00AE1849"/>
    <w:rsid w:val="00AE1EB7"/>
    <w:rsid w:val="00AE1F48"/>
    <w:rsid w:val="00AE2855"/>
    <w:rsid w:val="00AE490F"/>
    <w:rsid w:val="00AE6646"/>
    <w:rsid w:val="00AE6AB4"/>
    <w:rsid w:val="00AF1BC7"/>
    <w:rsid w:val="00AF587D"/>
    <w:rsid w:val="00B000C5"/>
    <w:rsid w:val="00B06616"/>
    <w:rsid w:val="00B12570"/>
    <w:rsid w:val="00B1258B"/>
    <w:rsid w:val="00B133AD"/>
    <w:rsid w:val="00B1383C"/>
    <w:rsid w:val="00B17F6D"/>
    <w:rsid w:val="00B26046"/>
    <w:rsid w:val="00B311BD"/>
    <w:rsid w:val="00B34338"/>
    <w:rsid w:val="00B417C3"/>
    <w:rsid w:val="00B456E9"/>
    <w:rsid w:val="00B557DF"/>
    <w:rsid w:val="00B60C67"/>
    <w:rsid w:val="00B60D25"/>
    <w:rsid w:val="00B6148C"/>
    <w:rsid w:val="00B6194D"/>
    <w:rsid w:val="00B61AF1"/>
    <w:rsid w:val="00B632BD"/>
    <w:rsid w:val="00B65D21"/>
    <w:rsid w:val="00B67328"/>
    <w:rsid w:val="00B7094E"/>
    <w:rsid w:val="00B71113"/>
    <w:rsid w:val="00B732D1"/>
    <w:rsid w:val="00B73840"/>
    <w:rsid w:val="00B75BA3"/>
    <w:rsid w:val="00B75FCB"/>
    <w:rsid w:val="00B7798E"/>
    <w:rsid w:val="00B83462"/>
    <w:rsid w:val="00B83636"/>
    <w:rsid w:val="00B841F8"/>
    <w:rsid w:val="00B86C3D"/>
    <w:rsid w:val="00B91678"/>
    <w:rsid w:val="00BA7F47"/>
    <w:rsid w:val="00BB36D2"/>
    <w:rsid w:val="00BB4E97"/>
    <w:rsid w:val="00BB54A2"/>
    <w:rsid w:val="00BC29F2"/>
    <w:rsid w:val="00BC2AE8"/>
    <w:rsid w:val="00BD5D0F"/>
    <w:rsid w:val="00BD7749"/>
    <w:rsid w:val="00BE0192"/>
    <w:rsid w:val="00BE3A60"/>
    <w:rsid w:val="00BE4762"/>
    <w:rsid w:val="00BF1471"/>
    <w:rsid w:val="00BF53E4"/>
    <w:rsid w:val="00BF5CCB"/>
    <w:rsid w:val="00BF77B7"/>
    <w:rsid w:val="00C0397C"/>
    <w:rsid w:val="00C07213"/>
    <w:rsid w:val="00C10DD3"/>
    <w:rsid w:val="00C14171"/>
    <w:rsid w:val="00C14C5B"/>
    <w:rsid w:val="00C16358"/>
    <w:rsid w:val="00C16720"/>
    <w:rsid w:val="00C17EBF"/>
    <w:rsid w:val="00C2129B"/>
    <w:rsid w:val="00C213A5"/>
    <w:rsid w:val="00C337E5"/>
    <w:rsid w:val="00C36759"/>
    <w:rsid w:val="00C36FC5"/>
    <w:rsid w:val="00C53CDF"/>
    <w:rsid w:val="00C54015"/>
    <w:rsid w:val="00C554F3"/>
    <w:rsid w:val="00C57809"/>
    <w:rsid w:val="00C57B5B"/>
    <w:rsid w:val="00C603CC"/>
    <w:rsid w:val="00C63772"/>
    <w:rsid w:val="00C63797"/>
    <w:rsid w:val="00C66273"/>
    <w:rsid w:val="00C666BF"/>
    <w:rsid w:val="00C75D0F"/>
    <w:rsid w:val="00C764ED"/>
    <w:rsid w:val="00C821DD"/>
    <w:rsid w:val="00C8279F"/>
    <w:rsid w:val="00C8507B"/>
    <w:rsid w:val="00C8527A"/>
    <w:rsid w:val="00C8608C"/>
    <w:rsid w:val="00C92204"/>
    <w:rsid w:val="00C977DC"/>
    <w:rsid w:val="00CA01FE"/>
    <w:rsid w:val="00CA0F13"/>
    <w:rsid w:val="00CA13E3"/>
    <w:rsid w:val="00CB0D27"/>
    <w:rsid w:val="00CB16D3"/>
    <w:rsid w:val="00CB2058"/>
    <w:rsid w:val="00CB2FA4"/>
    <w:rsid w:val="00CB5438"/>
    <w:rsid w:val="00CC1CAB"/>
    <w:rsid w:val="00CC450F"/>
    <w:rsid w:val="00CD1E3A"/>
    <w:rsid w:val="00CD369E"/>
    <w:rsid w:val="00CD4067"/>
    <w:rsid w:val="00CE67CA"/>
    <w:rsid w:val="00CE7148"/>
    <w:rsid w:val="00CF039D"/>
    <w:rsid w:val="00CF4407"/>
    <w:rsid w:val="00D0244F"/>
    <w:rsid w:val="00D03F17"/>
    <w:rsid w:val="00D07290"/>
    <w:rsid w:val="00D0783F"/>
    <w:rsid w:val="00D07C54"/>
    <w:rsid w:val="00D10B74"/>
    <w:rsid w:val="00D23948"/>
    <w:rsid w:val="00D3439C"/>
    <w:rsid w:val="00D42759"/>
    <w:rsid w:val="00D46D56"/>
    <w:rsid w:val="00D526D5"/>
    <w:rsid w:val="00D554AA"/>
    <w:rsid w:val="00D57224"/>
    <w:rsid w:val="00D60E83"/>
    <w:rsid w:val="00D74C1C"/>
    <w:rsid w:val="00D77576"/>
    <w:rsid w:val="00D82902"/>
    <w:rsid w:val="00D84338"/>
    <w:rsid w:val="00D84809"/>
    <w:rsid w:val="00D873EA"/>
    <w:rsid w:val="00D9398F"/>
    <w:rsid w:val="00D93EAF"/>
    <w:rsid w:val="00D94B54"/>
    <w:rsid w:val="00D95C1D"/>
    <w:rsid w:val="00D96AF9"/>
    <w:rsid w:val="00DB3DC5"/>
    <w:rsid w:val="00DC044C"/>
    <w:rsid w:val="00DC3EDC"/>
    <w:rsid w:val="00DC42DF"/>
    <w:rsid w:val="00DC58FF"/>
    <w:rsid w:val="00DD2397"/>
    <w:rsid w:val="00DD2E0C"/>
    <w:rsid w:val="00DD6EB5"/>
    <w:rsid w:val="00DE10DC"/>
    <w:rsid w:val="00DE70D4"/>
    <w:rsid w:val="00DF083F"/>
    <w:rsid w:val="00DF096A"/>
    <w:rsid w:val="00DF1B85"/>
    <w:rsid w:val="00DF4490"/>
    <w:rsid w:val="00DF5EAA"/>
    <w:rsid w:val="00DF5FF7"/>
    <w:rsid w:val="00E00696"/>
    <w:rsid w:val="00E015E7"/>
    <w:rsid w:val="00E063FC"/>
    <w:rsid w:val="00E070C6"/>
    <w:rsid w:val="00E118B0"/>
    <w:rsid w:val="00E128CD"/>
    <w:rsid w:val="00E25C2C"/>
    <w:rsid w:val="00E27874"/>
    <w:rsid w:val="00E27B39"/>
    <w:rsid w:val="00E306BC"/>
    <w:rsid w:val="00E33F28"/>
    <w:rsid w:val="00E369CA"/>
    <w:rsid w:val="00E406AF"/>
    <w:rsid w:val="00E40ED9"/>
    <w:rsid w:val="00E42315"/>
    <w:rsid w:val="00E4792C"/>
    <w:rsid w:val="00E5000A"/>
    <w:rsid w:val="00E50298"/>
    <w:rsid w:val="00E50564"/>
    <w:rsid w:val="00E526F6"/>
    <w:rsid w:val="00E52725"/>
    <w:rsid w:val="00E52B01"/>
    <w:rsid w:val="00E558A0"/>
    <w:rsid w:val="00E57F17"/>
    <w:rsid w:val="00E704DC"/>
    <w:rsid w:val="00E73B06"/>
    <w:rsid w:val="00E74042"/>
    <w:rsid w:val="00E75F0E"/>
    <w:rsid w:val="00E808E0"/>
    <w:rsid w:val="00E9083F"/>
    <w:rsid w:val="00E91037"/>
    <w:rsid w:val="00E93FA3"/>
    <w:rsid w:val="00EA1D88"/>
    <w:rsid w:val="00EA2599"/>
    <w:rsid w:val="00EA276A"/>
    <w:rsid w:val="00EA3D68"/>
    <w:rsid w:val="00EA6588"/>
    <w:rsid w:val="00EB01C4"/>
    <w:rsid w:val="00EB4348"/>
    <w:rsid w:val="00EB4479"/>
    <w:rsid w:val="00EB5363"/>
    <w:rsid w:val="00EB626C"/>
    <w:rsid w:val="00EB63BB"/>
    <w:rsid w:val="00EC6A0E"/>
    <w:rsid w:val="00EC7BE9"/>
    <w:rsid w:val="00ED5E22"/>
    <w:rsid w:val="00EE0DB6"/>
    <w:rsid w:val="00EE20E8"/>
    <w:rsid w:val="00EF404F"/>
    <w:rsid w:val="00EF5567"/>
    <w:rsid w:val="00EF6A7C"/>
    <w:rsid w:val="00F04C5A"/>
    <w:rsid w:val="00F063F0"/>
    <w:rsid w:val="00F06455"/>
    <w:rsid w:val="00F11FC0"/>
    <w:rsid w:val="00F263CA"/>
    <w:rsid w:val="00F26F2D"/>
    <w:rsid w:val="00F3234B"/>
    <w:rsid w:val="00F32C94"/>
    <w:rsid w:val="00F41ED1"/>
    <w:rsid w:val="00F444A2"/>
    <w:rsid w:val="00F45132"/>
    <w:rsid w:val="00F467D3"/>
    <w:rsid w:val="00F532E9"/>
    <w:rsid w:val="00F561D6"/>
    <w:rsid w:val="00F6023B"/>
    <w:rsid w:val="00F61205"/>
    <w:rsid w:val="00F6177A"/>
    <w:rsid w:val="00F653FF"/>
    <w:rsid w:val="00F66F7C"/>
    <w:rsid w:val="00F75544"/>
    <w:rsid w:val="00F760F9"/>
    <w:rsid w:val="00F80D51"/>
    <w:rsid w:val="00F846C5"/>
    <w:rsid w:val="00F8681C"/>
    <w:rsid w:val="00F87269"/>
    <w:rsid w:val="00F87FF3"/>
    <w:rsid w:val="00F92554"/>
    <w:rsid w:val="00F938F7"/>
    <w:rsid w:val="00FA48AE"/>
    <w:rsid w:val="00FA6286"/>
    <w:rsid w:val="00FB3AE3"/>
    <w:rsid w:val="00FB54D7"/>
    <w:rsid w:val="00FB6AB3"/>
    <w:rsid w:val="00FB6C10"/>
    <w:rsid w:val="00FB750B"/>
    <w:rsid w:val="00FC2E9A"/>
    <w:rsid w:val="00FC3BE5"/>
    <w:rsid w:val="00FC3D54"/>
    <w:rsid w:val="00FC63D3"/>
    <w:rsid w:val="00FD19DD"/>
    <w:rsid w:val="00FE2A49"/>
    <w:rsid w:val="00FF443C"/>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0D"/>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55196614">
      <w:bodyDiv w:val="1"/>
      <w:marLeft w:val="0"/>
      <w:marRight w:val="0"/>
      <w:marTop w:val="0"/>
      <w:marBottom w:val="0"/>
      <w:divBdr>
        <w:top w:val="none" w:sz="0" w:space="0" w:color="auto"/>
        <w:left w:val="none" w:sz="0" w:space="0" w:color="auto"/>
        <w:bottom w:val="none" w:sz="0" w:space="0" w:color="auto"/>
        <w:right w:val="none" w:sz="0" w:space="0" w:color="auto"/>
      </w:divBdr>
    </w:div>
    <w:div w:id="198126295">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54506052">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679694545">
      <w:bodyDiv w:val="1"/>
      <w:marLeft w:val="0"/>
      <w:marRight w:val="0"/>
      <w:marTop w:val="0"/>
      <w:marBottom w:val="0"/>
      <w:divBdr>
        <w:top w:val="none" w:sz="0" w:space="0" w:color="auto"/>
        <w:left w:val="none" w:sz="0" w:space="0" w:color="auto"/>
        <w:bottom w:val="none" w:sz="0" w:space="0" w:color="auto"/>
        <w:right w:val="none" w:sz="0" w:space="0" w:color="auto"/>
      </w:divBdr>
    </w:div>
    <w:div w:id="695931268">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65225514">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996232013">
      <w:bodyDiv w:val="1"/>
      <w:marLeft w:val="0"/>
      <w:marRight w:val="0"/>
      <w:marTop w:val="0"/>
      <w:marBottom w:val="0"/>
      <w:divBdr>
        <w:top w:val="none" w:sz="0" w:space="0" w:color="auto"/>
        <w:left w:val="none" w:sz="0" w:space="0" w:color="auto"/>
        <w:bottom w:val="none" w:sz="0" w:space="0" w:color="auto"/>
        <w:right w:val="none" w:sz="0" w:space="0" w:color="auto"/>
      </w:divBdr>
      <w:divsChild>
        <w:div w:id="247616461">
          <w:marLeft w:val="0"/>
          <w:marRight w:val="0"/>
          <w:marTop w:val="120"/>
          <w:marBottom w:val="0"/>
          <w:divBdr>
            <w:top w:val="none" w:sz="0" w:space="0" w:color="auto"/>
            <w:left w:val="none" w:sz="0" w:space="0" w:color="auto"/>
            <w:bottom w:val="none" w:sz="0" w:space="0" w:color="auto"/>
            <w:right w:val="none" w:sz="0" w:space="0" w:color="auto"/>
          </w:divBdr>
          <w:divsChild>
            <w:div w:id="886533185">
              <w:marLeft w:val="0"/>
              <w:marRight w:val="0"/>
              <w:marTop w:val="0"/>
              <w:marBottom w:val="0"/>
              <w:divBdr>
                <w:top w:val="none" w:sz="0" w:space="0" w:color="auto"/>
                <w:left w:val="none" w:sz="0" w:space="0" w:color="auto"/>
                <w:bottom w:val="none" w:sz="0" w:space="0" w:color="auto"/>
                <w:right w:val="none" w:sz="0" w:space="0" w:color="auto"/>
              </w:divBdr>
              <w:divsChild>
                <w:div w:id="1298998669">
                  <w:marLeft w:val="0"/>
                  <w:marRight w:val="0"/>
                  <w:marTop w:val="0"/>
                  <w:marBottom w:val="0"/>
                  <w:divBdr>
                    <w:top w:val="none" w:sz="0" w:space="0" w:color="auto"/>
                    <w:left w:val="none" w:sz="0" w:space="0" w:color="auto"/>
                    <w:bottom w:val="none" w:sz="0" w:space="0" w:color="auto"/>
                    <w:right w:val="none" w:sz="0" w:space="0" w:color="auto"/>
                  </w:divBdr>
                  <w:divsChild>
                    <w:div w:id="2504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073814104">
      <w:bodyDiv w:val="1"/>
      <w:marLeft w:val="0"/>
      <w:marRight w:val="0"/>
      <w:marTop w:val="0"/>
      <w:marBottom w:val="0"/>
      <w:divBdr>
        <w:top w:val="none" w:sz="0" w:space="0" w:color="auto"/>
        <w:left w:val="none" w:sz="0" w:space="0" w:color="auto"/>
        <w:bottom w:val="none" w:sz="0" w:space="0" w:color="auto"/>
        <w:right w:val="none" w:sz="0" w:space="0" w:color="auto"/>
      </w:divBdr>
    </w:div>
    <w:div w:id="1098912258">
      <w:bodyDiv w:val="1"/>
      <w:marLeft w:val="0"/>
      <w:marRight w:val="0"/>
      <w:marTop w:val="0"/>
      <w:marBottom w:val="0"/>
      <w:divBdr>
        <w:top w:val="none" w:sz="0" w:space="0" w:color="auto"/>
        <w:left w:val="none" w:sz="0" w:space="0" w:color="auto"/>
        <w:bottom w:val="none" w:sz="0" w:space="0" w:color="auto"/>
        <w:right w:val="none" w:sz="0" w:space="0" w:color="auto"/>
      </w:divBdr>
    </w:div>
    <w:div w:id="1132401839">
      <w:bodyDiv w:val="1"/>
      <w:marLeft w:val="0"/>
      <w:marRight w:val="0"/>
      <w:marTop w:val="0"/>
      <w:marBottom w:val="0"/>
      <w:divBdr>
        <w:top w:val="none" w:sz="0" w:space="0" w:color="auto"/>
        <w:left w:val="none" w:sz="0" w:space="0" w:color="auto"/>
        <w:bottom w:val="none" w:sz="0" w:space="0" w:color="auto"/>
        <w:right w:val="none" w:sz="0" w:space="0" w:color="auto"/>
      </w:divBdr>
    </w:div>
    <w:div w:id="1199706977">
      <w:bodyDiv w:val="1"/>
      <w:marLeft w:val="0"/>
      <w:marRight w:val="0"/>
      <w:marTop w:val="0"/>
      <w:marBottom w:val="0"/>
      <w:divBdr>
        <w:top w:val="none" w:sz="0" w:space="0" w:color="auto"/>
        <w:left w:val="none" w:sz="0" w:space="0" w:color="auto"/>
        <w:bottom w:val="none" w:sz="0" w:space="0" w:color="auto"/>
        <w:right w:val="none" w:sz="0" w:space="0" w:color="auto"/>
      </w:divBdr>
    </w:div>
    <w:div w:id="1220943861">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378624128">
      <w:bodyDiv w:val="1"/>
      <w:marLeft w:val="0"/>
      <w:marRight w:val="0"/>
      <w:marTop w:val="0"/>
      <w:marBottom w:val="0"/>
      <w:divBdr>
        <w:top w:val="none" w:sz="0" w:space="0" w:color="auto"/>
        <w:left w:val="none" w:sz="0" w:space="0" w:color="auto"/>
        <w:bottom w:val="none" w:sz="0" w:space="0" w:color="auto"/>
        <w:right w:val="none" w:sz="0" w:space="0" w:color="auto"/>
      </w:divBdr>
      <w:divsChild>
        <w:div w:id="864756883">
          <w:marLeft w:val="0"/>
          <w:marRight w:val="0"/>
          <w:marTop w:val="120"/>
          <w:marBottom w:val="0"/>
          <w:divBdr>
            <w:top w:val="none" w:sz="0" w:space="0" w:color="auto"/>
            <w:left w:val="none" w:sz="0" w:space="0" w:color="auto"/>
            <w:bottom w:val="none" w:sz="0" w:space="0" w:color="auto"/>
            <w:right w:val="none" w:sz="0" w:space="0" w:color="auto"/>
          </w:divBdr>
          <w:divsChild>
            <w:div w:id="621493774">
              <w:marLeft w:val="0"/>
              <w:marRight w:val="0"/>
              <w:marTop w:val="0"/>
              <w:marBottom w:val="0"/>
              <w:divBdr>
                <w:top w:val="none" w:sz="0" w:space="0" w:color="auto"/>
                <w:left w:val="none" w:sz="0" w:space="0" w:color="auto"/>
                <w:bottom w:val="none" w:sz="0" w:space="0" w:color="auto"/>
                <w:right w:val="none" w:sz="0" w:space="0" w:color="auto"/>
              </w:divBdr>
              <w:divsChild>
                <w:div w:id="609313153">
                  <w:marLeft w:val="0"/>
                  <w:marRight w:val="0"/>
                  <w:marTop w:val="0"/>
                  <w:marBottom w:val="0"/>
                  <w:divBdr>
                    <w:top w:val="none" w:sz="0" w:space="0" w:color="auto"/>
                    <w:left w:val="none" w:sz="0" w:space="0" w:color="auto"/>
                    <w:bottom w:val="none" w:sz="0" w:space="0" w:color="auto"/>
                    <w:right w:val="none" w:sz="0" w:space="0" w:color="auto"/>
                  </w:divBdr>
                  <w:divsChild>
                    <w:div w:id="3594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4314">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487090877">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78203963">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89286071">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6828732">
      <w:bodyDiv w:val="1"/>
      <w:marLeft w:val="0"/>
      <w:marRight w:val="0"/>
      <w:marTop w:val="0"/>
      <w:marBottom w:val="0"/>
      <w:divBdr>
        <w:top w:val="none" w:sz="0" w:space="0" w:color="auto"/>
        <w:left w:val="none" w:sz="0" w:space="0" w:color="auto"/>
        <w:bottom w:val="none" w:sz="0" w:space="0" w:color="auto"/>
        <w:right w:val="none" w:sz="0" w:space="0" w:color="auto"/>
      </w:divBdr>
    </w:div>
    <w:div w:id="1707177720">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43354243">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09704679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informacion-fiscal-tolu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2.toluca.gob.mx/wp-content/uploads/2025/05/PROGRAMA-ANUAL-2025.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F101-48B0-4898-9295-CC8B37DE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6301</Words>
  <Characters>34659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2026-03-27T16:32:00Z</cp:lastPrinted>
  <dcterms:created xsi:type="dcterms:W3CDTF">2026-03-27T16:32:00Z</dcterms:created>
  <dcterms:modified xsi:type="dcterms:W3CDTF">2026-03-27T16:32:00Z</dcterms:modified>
</cp:coreProperties>
</file>