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8DD7F" w14:textId="7C85E9EF"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66071F" w:rsidRPr="001630EE">
        <w:rPr>
          <w:rFonts w:eastAsia="Palatino Linotype" w:cs="Palatino Linotype"/>
          <w:b/>
          <w:bCs/>
          <w:color w:val="000000"/>
          <w:szCs w:val="24"/>
        </w:rPr>
        <w:t xml:space="preserve">cinco </w:t>
      </w:r>
      <w:r w:rsidR="00AD7EA3" w:rsidRPr="001630EE">
        <w:rPr>
          <w:rFonts w:eastAsia="Palatino Linotype" w:cs="Palatino Linotype"/>
          <w:b/>
          <w:bCs/>
          <w:color w:val="000000"/>
          <w:szCs w:val="24"/>
        </w:rPr>
        <w:t>de febrero de dos mil veintiséis</w:t>
      </w:r>
      <w:r w:rsidRPr="001630EE">
        <w:rPr>
          <w:rFonts w:eastAsia="Palatino Linotype" w:cs="Palatino Linotype"/>
          <w:color w:val="000000"/>
          <w:szCs w:val="24"/>
        </w:rPr>
        <w:t>.</w:t>
      </w:r>
    </w:p>
    <w:p w14:paraId="37D60E94"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p>
    <w:p w14:paraId="29FA1B82" w14:textId="36C6585B"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b/>
          <w:color w:val="000000"/>
          <w:szCs w:val="24"/>
        </w:rPr>
        <w:t>VISTO</w:t>
      </w:r>
      <w:r w:rsidRPr="001630EE">
        <w:rPr>
          <w:rFonts w:eastAsia="Palatino Linotype" w:cs="Palatino Linotype"/>
          <w:color w:val="000000"/>
          <w:szCs w:val="24"/>
        </w:rPr>
        <w:t xml:space="preserve"> el expediente electrónico formado con motivo del recurso de revisión número </w:t>
      </w:r>
      <w:bookmarkStart w:id="0" w:name="_GoBack"/>
      <w:r w:rsidRPr="001630EE">
        <w:rPr>
          <w:rFonts w:eastAsia="Palatino Linotype" w:cs="Palatino Linotype"/>
          <w:b/>
          <w:color w:val="000000"/>
          <w:szCs w:val="24"/>
        </w:rPr>
        <w:t>0</w:t>
      </w:r>
      <w:r w:rsidR="00CA34E6" w:rsidRPr="001630EE">
        <w:rPr>
          <w:rFonts w:eastAsia="Palatino Linotype" w:cs="Palatino Linotype"/>
          <w:b/>
          <w:color w:val="000000"/>
          <w:szCs w:val="24"/>
        </w:rPr>
        <w:t>8455</w:t>
      </w:r>
      <w:r w:rsidRPr="001630EE">
        <w:rPr>
          <w:rFonts w:eastAsia="Palatino Linotype" w:cs="Palatino Linotype"/>
          <w:b/>
          <w:color w:val="000000"/>
          <w:szCs w:val="24"/>
        </w:rPr>
        <w:t>/INFOEM/IP/RR/2025</w:t>
      </w:r>
      <w:bookmarkEnd w:id="0"/>
      <w:r w:rsidRPr="001630EE">
        <w:rPr>
          <w:rFonts w:eastAsia="Palatino Linotype" w:cs="Palatino Linotype"/>
          <w:color w:val="000000"/>
          <w:szCs w:val="24"/>
        </w:rPr>
        <w:t>, interpuesto por</w:t>
      </w:r>
      <w:r w:rsidRPr="001630EE">
        <w:rPr>
          <w:rFonts w:cs="Arial"/>
          <w:szCs w:val="24"/>
        </w:rPr>
        <w:t xml:space="preserve"> </w:t>
      </w:r>
      <w:r w:rsidRPr="001630EE">
        <w:rPr>
          <w:rFonts w:cs="Arial"/>
          <w:b/>
          <w:bCs/>
          <w:szCs w:val="24"/>
        </w:rPr>
        <w:t xml:space="preserve">un particular que no proporciono nombre o seudónimo </w:t>
      </w:r>
      <w:r w:rsidRPr="001630EE">
        <w:rPr>
          <w:rFonts w:eastAsia="Palatino Linotype" w:cs="Palatino Linotype"/>
          <w:color w:val="000000"/>
          <w:szCs w:val="24"/>
        </w:rPr>
        <w:t xml:space="preserve">en lo sucesivo el </w:t>
      </w:r>
      <w:r w:rsidRPr="001630EE">
        <w:rPr>
          <w:rFonts w:eastAsia="Palatino Linotype" w:cs="Palatino Linotype"/>
          <w:b/>
          <w:color w:val="000000"/>
          <w:szCs w:val="24"/>
        </w:rPr>
        <w:t>Recurrente</w:t>
      </w:r>
      <w:r w:rsidRPr="001630EE">
        <w:rPr>
          <w:rFonts w:eastAsia="Palatino Linotype" w:cs="Palatino Linotype"/>
          <w:color w:val="000000"/>
          <w:szCs w:val="24"/>
        </w:rPr>
        <w:t>, en contra de la respuesta del</w:t>
      </w:r>
      <w:r w:rsidRPr="001630EE">
        <w:rPr>
          <w:rFonts w:eastAsia="Palatino Linotype" w:cs="Palatino Linotype"/>
          <w:b/>
          <w:color w:val="000000"/>
          <w:szCs w:val="24"/>
        </w:rPr>
        <w:t xml:space="preserve"> </w:t>
      </w:r>
      <w:r w:rsidR="00CA34E6" w:rsidRPr="001630EE">
        <w:rPr>
          <w:b/>
          <w:bCs/>
          <w:color w:val="000000"/>
          <w:szCs w:val="24"/>
        </w:rPr>
        <w:t>Ayuntamiento de Jocotitlán,</w:t>
      </w:r>
      <w:r w:rsidRPr="001630EE">
        <w:rPr>
          <w:rFonts w:eastAsia="Palatino Linotype" w:cs="Palatino Linotype"/>
          <w:color w:val="000000"/>
          <w:szCs w:val="24"/>
        </w:rPr>
        <w:t xml:space="preserve"> en lo subsecuente</w:t>
      </w:r>
      <w:r w:rsidRPr="001630EE">
        <w:rPr>
          <w:rFonts w:eastAsia="Palatino Linotype" w:cs="Palatino Linotype"/>
          <w:b/>
          <w:color w:val="000000"/>
          <w:szCs w:val="24"/>
        </w:rPr>
        <w:t xml:space="preserve"> </w:t>
      </w:r>
      <w:r w:rsidRPr="001630EE">
        <w:rPr>
          <w:rFonts w:eastAsia="Palatino Linotype" w:cs="Palatino Linotype"/>
          <w:color w:val="000000"/>
          <w:szCs w:val="24"/>
        </w:rPr>
        <w:t>el</w:t>
      </w:r>
      <w:r w:rsidRPr="001630EE">
        <w:rPr>
          <w:rFonts w:eastAsia="Palatino Linotype" w:cs="Palatino Linotype"/>
          <w:b/>
          <w:color w:val="000000"/>
          <w:szCs w:val="24"/>
        </w:rPr>
        <w:t xml:space="preserve"> Sujeto Obligado, </w:t>
      </w:r>
      <w:r w:rsidRPr="001630EE">
        <w:rPr>
          <w:rFonts w:eastAsia="Palatino Linotype" w:cs="Palatino Linotype"/>
          <w:color w:val="000000"/>
          <w:szCs w:val="24"/>
        </w:rPr>
        <w:t>se procede a dictar la presente resolución.</w:t>
      </w:r>
    </w:p>
    <w:p w14:paraId="11450E08" w14:textId="77777777" w:rsidR="00CA34E6" w:rsidRPr="001630EE" w:rsidRDefault="00CA34E6" w:rsidP="002C388D">
      <w:pPr>
        <w:pBdr>
          <w:top w:val="nil"/>
          <w:left w:val="nil"/>
          <w:bottom w:val="nil"/>
          <w:right w:val="nil"/>
          <w:between w:val="nil"/>
        </w:pBdr>
        <w:contextualSpacing/>
        <w:rPr>
          <w:rFonts w:eastAsia="Palatino Linotype" w:cs="Palatino Linotype"/>
          <w:color w:val="000000"/>
          <w:szCs w:val="24"/>
        </w:rPr>
      </w:pPr>
    </w:p>
    <w:p w14:paraId="7AFE2410" w14:textId="77777777" w:rsidR="003B2909" w:rsidRPr="001630EE" w:rsidRDefault="003B2909" w:rsidP="002C388D">
      <w:pPr>
        <w:pStyle w:val="Ttulo1"/>
        <w:spacing w:before="0" w:after="0"/>
        <w:jc w:val="center"/>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t>A N T E C E D E N T E S</w:t>
      </w:r>
    </w:p>
    <w:p w14:paraId="02BA71DA" w14:textId="77777777" w:rsidR="003B2909" w:rsidRPr="001630EE" w:rsidRDefault="003B2909" w:rsidP="002C388D">
      <w:pPr>
        <w:pBdr>
          <w:top w:val="nil"/>
          <w:left w:val="nil"/>
          <w:bottom w:val="nil"/>
          <w:right w:val="nil"/>
          <w:between w:val="nil"/>
        </w:pBdr>
        <w:contextualSpacing/>
        <w:rPr>
          <w:rFonts w:eastAsia="Palatino Linotype" w:cs="Palatino Linotype"/>
          <w:b/>
          <w:bCs/>
          <w:szCs w:val="24"/>
        </w:rPr>
      </w:pPr>
    </w:p>
    <w:p w14:paraId="45AE6B5F" w14:textId="77777777" w:rsidR="003B2909" w:rsidRPr="001630EE" w:rsidRDefault="003B2909" w:rsidP="002C388D">
      <w:pPr>
        <w:pStyle w:val="Ttulo2"/>
        <w:spacing w:before="0" w:after="0"/>
        <w:rPr>
          <w:rFonts w:eastAsia="Palatino Linotype"/>
          <w:b/>
          <w:bCs/>
        </w:rPr>
      </w:pPr>
      <w:r w:rsidRPr="001630EE">
        <w:rPr>
          <w:rFonts w:ascii="Palatino Linotype" w:eastAsia="Palatino Linotype" w:hAnsi="Palatino Linotype"/>
          <w:b/>
          <w:bCs/>
          <w:color w:val="auto"/>
          <w:sz w:val="24"/>
          <w:szCs w:val="24"/>
        </w:rPr>
        <w:t>PRIMERO. De la Solicitud de Información</w:t>
      </w:r>
      <w:r w:rsidRPr="001630EE">
        <w:rPr>
          <w:rFonts w:eastAsia="Palatino Linotype"/>
          <w:b/>
          <w:bCs/>
        </w:rPr>
        <w:t>.</w:t>
      </w:r>
    </w:p>
    <w:p w14:paraId="4F59F7AD" w14:textId="75AC3B2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 xml:space="preserve">Con fecha </w:t>
      </w:r>
      <w:r w:rsidR="00CA34E6" w:rsidRPr="001630EE">
        <w:rPr>
          <w:rFonts w:eastAsia="Palatino Linotype" w:cs="Palatino Linotype"/>
          <w:color w:val="000000"/>
          <w:szCs w:val="24"/>
        </w:rPr>
        <w:t>doce</w:t>
      </w:r>
      <w:r w:rsidR="006F2063" w:rsidRPr="001630EE">
        <w:rPr>
          <w:rFonts w:eastAsia="Palatino Linotype" w:cs="Palatino Linotype"/>
          <w:color w:val="000000"/>
          <w:szCs w:val="24"/>
        </w:rPr>
        <w:t xml:space="preserve"> de junio </w:t>
      </w:r>
      <w:r w:rsidRPr="001630EE">
        <w:rPr>
          <w:rFonts w:eastAsia="Palatino Linotype" w:cs="Palatino Linotype"/>
          <w:color w:val="000000"/>
          <w:szCs w:val="24"/>
        </w:rPr>
        <w:t xml:space="preserve">de dos mil veinticinco, el Recurrente presentó mediante el Sistema de Acceso a la Información Mexiquense (SAIMEX), solicitud de información registrada con el número de </w:t>
      </w:r>
      <w:r w:rsidRPr="001630EE">
        <w:rPr>
          <w:rFonts w:eastAsia="Palatino Linotype" w:cs="Palatino Linotype"/>
          <w:szCs w:val="24"/>
        </w:rPr>
        <w:t>expediente</w:t>
      </w:r>
      <w:r w:rsidRPr="001630EE">
        <w:rPr>
          <w:b/>
          <w:bCs/>
        </w:rPr>
        <w:t> </w:t>
      </w:r>
      <w:r w:rsidR="00CA34E6" w:rsidRPr="001630EE">
        <w:rPr>
          <w:b/>
          <w:bCs/>
        </w:rPr>
        <w:t>00151/JOCOTIT/IP/2025</w:t>
      </w:r>
      <w:r w:rsidRPr="001630EE">
        <w:rPr>
          <w:rFonts w:eastAsia="Palatino Linotype" w:cs="Palatino Linotype"/>
          <w:szCs w:val="24"/>
        </w:rPr>
        <w:t>,</w:t>
      </w:r>
      <w:r w:rsidRPr="001630EE">
        <w:rPr>
          <w:rFonts w:eastAsia="Palatino Linotype" w:cs="Palatino Linotype"/>
          <w:b/>
          <w:szCs w:val="24"/>
        </w:rPr>
        <w:t xml:space="preserve"> </w:t>
      </w:r>
      <w:r w:rsidRPr="001630EE">
        <w:rPr>
          <w:rFonts w:eastAsia="Palatino Linotype" w:cs="Palatino Linotype"/>
          <w:color w:val="000000"/>
          <w:szCs w:val="24"/>
        </w:rPr>
        <w:t>mediante la cual solicitó información en el tenor siguiente:</w:t>
      </w:r>
    </w:p>
    <w:p w14:paraId="4D736379" w14:textId="77777777" w:rsidR="00CA34E6" w:rsidRPr="001630EE" w:rsidRDefault="00CA34E6" w:rsidP="002C388D">
      <w:pPr>
        <w:pBdr>
          <w:top w:val="nil"/>
          <w:left w:val="nil"/>
          <w:bottom w:val="nil"/>
          <w:right w:val="nil"/>
          <w:between w:val="nil"/>
        </w:pBdr>
        <w:contextualSpacing/>
        <w:rPr>
          <w:rFonts w:eastAsia="Palatino Linotype" w:cs="Palatino Linotype"/>
          <w:color w:val="000000"/>
          <w:szCs w:val="24"/>
        </w:rPr>
      </w:pPr>
    </w:p>
    <w:p w14:paraId="497F825C" w14:textId="0CB31683" w:rsidR="003B2909" w:rsidRPr="001630EE" w:rsidRDefault="003B2909" w:rsidP="002C388D">
      <w:pPr>
        <w:pStyle w:val="Fundamentos"/>
        <w:spacing w:line="360" w:lineRule="auto"/>
        <w:rPr>
          <w:sz w:val="24"/>
        </w:rPr>
      </w:pPr>
      <w:r w:rsidRPr="001630EE">
        <w:rPr>
          <w:sz w:val="24"/>
        </w:rPr>
        <w:t>“</w:t>
      </w:r>
      <w:r w:rsidR="00CA34E6" w:rsidRPr="001630EE">
        <w:rPr>
          <w:szCs w:val="22"/>
        </w:rPr>
        <w:t>solicito el convenio EL PODER DE ALFABETIZAR, que se firmo con el Instituto Nacional para la educación de los adultos INEA Y EL AYUNTAMIENTO DE JOCOTITLÁN</w:t>
      </w:r>
      <w:r w:rsidRPr="001630EE">
        <w:rPr>
          <w:sz w:val="24"/>
        </w:rPr>
        <w:t>”  (Sic)</w:t>
      </w:r>
    </w:p>
    <w:p w14:paraId="3BB8ED72"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p>
    <w:p w14:paraId="407A0914" w14:textId="77777777" w:rsidR="003B2909" w:rsidRPr="001630EE" w:rsidRDefault="003B2909" w:rsidP="002C388D">
      <w:pPr>
        <w:pBdr>
          <w:top w:val="nil"/>
          <w:left w:val="nil"/>
          <w:bottom w:val="nil"/>
          <w:right w:val="nil"/>
          <w:between w:val="nil"/>
        </w:pBdr>
        <w:contextualSpacing/>
        <w:rPr>
          <w:rFonts w:eastAsia="Palatino Linotype" w:cs="Palatino Linotype"/>
          <w:b/>
          <w:color w:val="000000"/>
          <w:szCs w:val="24"/>
        </w:rPr>
      </w:pPr>
      <w:r w:rsidRPr="001630EE">
        <w:rPr>
          <w:rFonts w:eastAsia="Palatino Linotype" w:cs="Palatino Linotype"/>
          <w:color w:val="000000"/>
          <w:szCs w:val="24"/>
        </w:rPr>
        <w:t xml:space="preserve">Modalidad de entrega: </w:t>
      </w:r>
      <w:r w:rsidRPr="001630EE">
        <w:rPr>
          <w:rFonts w:eastAsia="Palatino Linotype" w:cs="Palatino Linotype"/>
          <w:b/>
          <w:color w:val="000000"/>
          <w:szCs w:val="24"/>
        </w:rPr>
        <w:t>A través del SAIMEX</w:t>
      </w:r>
      <w:r w:rsidRPr="001630EE">
        <w:rPr>
          <w:rFonts w:eastAsia="Palatino Linotype" w:cs="Palatino Linotype"/>
          <w:color w:val="000000"/>
          <w:szCs w:val="24"/>
        </w:rPr>
        <w:t>.</w:t>
      </w:r>
    </w:p>
    <w:p w14:paraId="24BB15DD"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p>
    <w:p w14:paraId="384291B5" w14:textId="77777777" w:rsidR="003B2909" w:rsidRPr="001630EE" w:rsidRDefault="003B2909" w:rsidP="002C388D">
      <w:pPr>
        <w:pStyle w:val="Ttulo2"/>
        <w:spacing w:before="0" w:after="0"/>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lastRenderedPageBreak/>
        <w:t>SEGUNDO. De la Respuesta del Sujeto Obligado.</w:t>
      </w:r>
    </w:p>
    <w:p w14:paraId="16AB6CA4" w14:textId="7AFD51F1" w:rsidR="00CA34E6" w:rsidRPr="001630EE" w:rsidRDefault="00CA34E6"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De las constancias que obran en el expediente electrónico, se observa que el día tres de julio de dos mil veinticinco, el Sujeto Obligado dio respuesta a la solicitud de información manifestando lo siguiente:</w:t>
      </w:r>
    </w:p>
    <w:p w14:paraId="49739A6E" w14:textId="77777777" w:rsidR="00CA34E6" w:rsidRPr="001630EE" w:rsidRDefault="00CA34E6" w:rsidP="002C388D">
      <w:pPr>
        <w:pBdr>
          <w:top w:val="nil"/>
          <w:left w:val="nil"/>
          <w:bottom w:val="nil"/>
          <w:right w:val="nil"/>
          <w:between w:val="nil"/>
        </w:pBdr>
        <w:contextualSpacing/>
        <w:rPr>
          <w:rFonts w:eastAsia="Palatino Linotype" w:cs="Palatino Linotype"/>
          <w:color w:val="000000"/>
          <w:szCs w:val="24"/>
        </w:rPr>
      </w:pPr>
    </w:p>
    <w:p w14:paraId="7E25A768" w14:textId="77777777" w:rsidR="00CA34E6" w:rsidRPr="001630EE" w:rsidRDefault="00CA34E6" w:rsidP="002C388D">
      <w:pPr>
        <w:pBdr>
          <w:top w:val="nil"/>
          <w:left w:val="nil"/>
          <w:bottom w:val="nil"/>
          <w:right w:val="nil"/>
          <w:between w:val="nil"/>
        </w:pBdr>
        <w:ind w:left="567" w:right="567"/>
        <w:contextualSpacing/>
        <w:jc w:val="right"/>
        <w:rPr>
          <w:rFonts w:eastAsia="Palatino Linotype" w:cs="Palatino Linotype"/>
          <w:i/>
          <w:color w:val="000000"/>
          <w:szCs w:val="24"/>
        </w:rPr>
      </w:pPr>
      <w:r w:rsidRPr="001630EE">
        <w:rPr>
          <w:rFonts w:eastAsia="Palatino Linotype" w:cs="Palatino Linotype"/>
          <w:i/>
          <w:color w:val="000000"/>
          <w:szCs w:val="24"/>
        </w:rPr>
        <w:t>“Folio de la solicitud: 00151/JOCOTIT/IP/2025</w:t>
      </w:r>
    </w:p>
    <w:p w14:paraId="7D288D87" w14:textId="77777777" w:rsidR="00CA34E6" w:rsidRPr="001630EE" w:rsidRDefault="00CA34E6" w:rsidP="002C388D">
      <w:pPr>
        <w:pBdr>
          <w:top w:val="nil"/>
          <w:left w:val="nil"/>
          <w:bottom w:val="nil"/>
          <w:right w:val="nil"/>
          <w:between w:val="nil"/>
        </w:pBdr>
        <w:ind w:left="567" w:right="567"/>
        <w:contextualSpacing/>
        <w:rPr>
          <w:rFonts w:eastAsia="Palatino Linotype" w:cs="Palatino Linotype"/>
          <w:i/>
          <w:color w:val="000000"/>
          <w:szCs w:val="24"/>
        </w:rPr>
      </w:pPr>
    </w:p>
    <w:p w14:paraId="05942C75" w14:textId="77777777" w:rsidR="00CA34E6" w:rsidRPr="001630EE" w:rsidRDefault="00CA34E6" w:rsidP="002C388D">
      <w:pPr>
        <w:pBdr>
          <w:top w:val="nil"/>
          <w:left w:val="nil"/>
          <w:bottom w:val="nil"/>
          <w:right w:val="nil"/>
          <w:between w:val="nil"/>
        </w:pBdr>
        <w:ind w:left="567" w:right="567"/>
        <w:contextualSpacing/>
        <w:rPr>
          <w:rFonts w:eastAsia="Palatino Linotype" w:cs="Palatino Linotype"/>
          <w:i/>
          <w:color w:val="000000"/>
          <w:szCs w:val="24"/>
        </w:rPr>
      </w:pPr>
      <w:r w:rsidRPr="001630EE">
        <w:rPr>
          <w:rFonts w:eastAsia="Palatino Linotype" w:cs="Palatino Linotype"/>
          <w:i/>
          <w:color w:val="000000"/>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CA694F" w14:textId="77777777" w:rsidR="00CA34E6" w:rsidRPr="001630EE" w:rsidRDefault="00CA34E6" w:rsidP="002C388D">
      <w:pPr>
        <w:pBdr>
          <w:top w:val="nil"/>
          <w:left w:val="nil"/>
          <w:bottom w:val="nil"/>
          <w:right w:val="nil"/>
          <w:between w:val="nil"/>
        </w:pBdr>
        <w:ind w:left="567" w:right="567"/>
        <w:contextualSpacing/>
        <w:rPr>
          <w:rFonts w:eastAsia="Palatino Linotype" w:cs="Palatino Linotype"/>
          <w:i/>
          <w:color w:val="000000"/>
          <w:szCs w:val="24"/>
        </w:rPr>
      </w:pPr>
    </w:p>
    <w:p w14:paraId="207A38BB" w14:textId="77777777" w:rsidR="00CA34E6" w:rsidRPr="001630EE" w:rsidRDefault="00CA34E6" w:rsidP="002C388D">
      <w:pPr>
        <w:pBdr>
          <w:top w:val="nil"/>
          <w:left w:val="nil"/>
          <w:bottom w:val="nil"/>
          <w:right w:val="nil"/>
          <w:between w:val="nil"/>
        </w:pBdr>
        <w:ind w:left="567" w:right="567"/>
        <w:contextualSpacing/>
        <w:rPr>
          <w:rFonts w:eastAsia="Palatino Linotype" w:cs="Palatino Linotype"/>
          <w:i/>
          <w:color w:val="000000"/>
          <w:szCs w:val="24"/>
        </w:rPr>
      </w:pPr>
      <w:r w:rsidRPr="001630EE">
        <w:rPr>
          <w:rFonts w:eastAsia="Palatino Linotype" w:cs="Palatino Linotype"/>
          <w:i/>
          <w:color w:val="000000"/>
          <w:szCs w:val="24"/>
        </w:rPr>
        <w:t>En atención a su solicitud con número de folio 00151/JOCOTIT/IP/2025 donde solicita: solicito el convenio EL PODER DE ALFABETIZAR, que se firmo con el Instituto Nacional para la educación de los adultos INEA Y EL AYUNTAMIENTO DE JOCOTITLÁN. Me permito adjuntar la información solicitada.</w:t>
      </w:r>
    </w:p>
    <w:p w14:paraId="4B36B984" w14:textId="77777777" w:rsidR="00CA34E6" w:rsidRPr="001630EE" w:rsidRDefault="00CA34E6" w:rsidP="002C388D">
      <w:pPr>
        <w:pBdr>
          <w:top w:val="nil"/>
          <w:left w:val="nil"/>
          <w:bottom w:val="nil"/>
          <w:right w:val="nil"/>
          <w:between w:val="nil"/>
        </w:pBdr>
        <w:ind w:left="567" w:right="567"/>
        <w:contextualSpacing/>
        <w:rPr>
          <w:rFonts w:eastAsia="Palatino Linotype" w:cs="Palatino Linotype"/>
          <w:i/>
          <w:color w:val="000000"/>
          <w:szCs w:val="24"/>
        </w:rPr>
      </w:pPr>
    </w:p>
    <w:p w14:paraId="0BDF2891" w14:textId="77777777" w:rsidR="00CA34E6" w:rsidRPr="001630EE" w:rsidRDefault="00CA34E6" w:rsidP="002C388D">
      <w:pPr>
        <w:pBdr>
          <w:top w:val="nil"/>
          <w:left w:val="nil"/>
          <w:bottom w:val="nil"/>
          <w:right w:val="nil"/>
          <w:between w:val="nil"/>
        </w:pBdr>
        <w:ind w:left="567" w:right="567"/>
        <w:contextualSpacing/>
        <w:rPr>
          <w:rFonts w:eastAsia="Palatino Linotype" w:cs="Palatino Linotype"/>
          <w:i/>
          <w:color w:val="000000"/>
          <w:szCs w:val="24"/>
        </w:rPr>
      </w:pPr>
      <w:r w:rsidRPr="001630EE">
        <w:rPr>
          <w:rFonts w:eastAsia="Palatino Linotype" w:cs="Palatino Linotype"/>
          <w:i/>
          <w:color w:val="000000"/>
          <w:szCs w:val="24"/>
        </w:rPr>
        <w:t>ATENTAMENTE</w:t>
      </w:r>
    </w:p>
    <w:p w14:paraId="51C613E0" w14:textId="0B23F2DC" w:rsidR="00CA34E6" w:rsidRPr="001630EE" w:rsidRDefault="00CA34E6" w:rsidP="002C388D">
      <w:pPr>
        <w:pBdr>
          <w:top w:val="nil"/>
          <w:left w:val="nil"/>
          <w:bottom w:val="nil"/>
          <w:right w:val="nil"/>
          <w:between w:val="nil"/>
        </w:pBdr>
        <w:ind w:left="567" w:right="567"/>
        <w:contextualSpacing/>
        <w:rPr>
          <w:rFonts w:eastAsia="Palatino Linotype" w:cs="Palatino Linotype"/>
          <w:i/>
          <w:color w:val="000000"/>
          <w:szCs w:val="24"/>
        </w:rPr>
      </w:pPr>
      <w:r w:rsidRPr="001630EE">
        <w:rPr>
          <w:rFonts w:eastAsia="Palatino Linotype" w:cs="Palatino Linotype"/>
          <w:i/>
          <w:color w:val="000000"/>
          <w:szCs w:val="24"/>
        </w:rPr>
        <w:t>L.A. LIZETH LÓPEZ CARDENAS” (sic)</w:t>
      </w:r>
    </w:p>
    <w:p w14:paraId="36F54AA6" w14:textId="77777777" w:rsidR="00CA34E6" w:rsidRPr="001630EE" w:rsidRDefault="00CA34E6" w:rsidP="002C388D">
      <w:pPr>
        <w:pBdr>
          <w:top w:val="nil"/>
          <w:left w:val="nil"/>
          <w:bottom w:val="nil"/>
          <w:right w:val="nil"/>
          <w:between w:val="nil"/>
        </w:pBdr>
        <w:contextualSpacing/>
        <w:rPr>
          <w:rFonts w:eastAsia="Palatino Linotype" w:cs="Palatino Linotype"/>
          <w:color w:val="000000"/>
          <w:szCs w:val="24"/>
        </w:rPr>
      </w:pPr>
    </w:p>
    <w:p w14:paraId="7B3D86B6" w14:textId="101EB6D6" w:rsidR="00CA34E6" w:rsidRPr="001630EE" w:rsidRDefault="00CA34E6" w:rsidP="002C388D">
      <w:pPr>
        <w:pBdr>
          <w:top w:val="nil"/>
          <w:left w:val="nil"/>
          <w:bottom w:val="nil"/>
          <w:right w:val="nil"/>
          <w:between w:val="nil"/>
        </w:pBdr>
        <w:contextualSpacing/>
        <w:rPr>
          <w:rFonts w:eastAsia="Palatino Linotype" w:cs="Palatino Linotype"/>
          <w:b/>
          <w:bCs/>
          <w:color w:val="000000" w:themeColor="text1"/>
          <w:lang w:val="es-ES"/>
        </w:rPr>
      </w:pPr>
      <w:r w:rsidRPr="001630EE">
        <w:rPr>
          <w:rFonts w:eastAsia="Palatino Linotype" w:cs="Palatino Linotype"/>
          <w:color w:val="000000" w:themeColor="text1"/>
          <w:lang w:val="es-ES"/>
        </w:rPr>
        <w:t xml:space="preserve">El Sujeto Obligado adjuntó a su respuesta los documentos electrónicos denominados </w:t>
      </w:r>
      <w:r w:rsidRPr="001630EE">
        <w:rPr>
          <w:rFonts w:eastAsia="Palatino Linotype" w:cs="Palatino Linotype"/>
          <w:b/>
          <w:i/>
          <w:color w:val="000000" w:themeColor="text1"/>
          <w:lang w:val="es-ES"/>
        </w:rPr>
        <w:t>“</w:t>
      </w:r>
      <w:r w:rsidRPr="001630EE">
        <w:rPr>
          <w:rFonts w:eastAsia="Palatino Linotype" w:cs="Palatino Linotype"/>
          <w:b/>
          <w:bCs/>
          <w:i/>
          <w:iCs/>
          <w:color w:val="000000" w:themeColor="text1"/>
        </w:rPr>
        <w:t>00151JOCOTITIP2025 JUR.pdf</w:t>
      </w:r>
      <w:r w:rsidRPr="001630EE">
        <w:rPr>
          <w:rFonts w:eastAsia="Palatino Linotype" w:cs="Palatino Linotype"/>
          <w:b/>
          <w:bCs/>
          <w:i/>
          <w:color w:val="000000" w:themeColor="text1"/>
          <w:lang w:val="es-ES"/>
        </w:rPr>
        <w:t>”</w:t>
      </w:r>
      <w:r w:rsidRPr="001630EE">
        <w:rPr>
          <w:rFonts w:eastAsia="Palatino Linotype" w:cs="Palatino Linotype"/>
          <w:b/>
          <w:bCs/>
          <w:color w:val="000000" w:themeColor="text1"/>
          <w:lang w:val="es-ES"/>
        </w:rPr>
        <w:t xml:space="preserve"> </w:t>
      </w:r>
      <w:r w:rsidRPr="001630EE">
        <w:rPr>
          <w:rFonts w:eastAsia="Palatino Linotype" w:cs="Palatino Linotype"/>
          <w:bCs/>
          <w:color w:val="000000" w:themeColor="text1"/>
          <w:lang w:val="es-ES"/>
        </w:rPr>
        <w:t xml:space="preserve">y </w:t>
      </w:r>
      <w:r w:rsidRPr="001630EE">
        <w:rPr>
          <w:rFonts w:eastAsia="Palatino Linotype" w:cs="Palatino Linotype"/>
          <w:b/>
          <w:bCs/>
          <w:i/>
          <w:color w:val="000000" w:themeColor="text1"/>
          <w:lang w:val="es-ES"/>
        </w:rPr>
        <w:t>“00151JOCOTITIP2025 EDUCACION.pdf”</w:t>
      </w:r>
      <w:r w:rsidRPr="001630EE">
        <w:rPr>
          <w:rFonts w:eastAsia="Palatino Linotype" w:cs="Palatino Linotype"/>
          <w:i/>
          <w:color w:val="000000" w:themeColor="text1"/>
          <w:lang w:val="es-ES"/>
        </w:rPr>
        <w:t>,</w:t>
      </w:r>
      <w:r w:rsidRPr="001630EE">
        <w:rPr>
          <w:rFonts w:eastAsia="Palatino Linotype" w:cs="Palatino Linotype"/>
          <w:color w:val="000000" w:themeColor="text1"/>
          <w:lang w:val="es-ES"/>
        </w:rPr>
        <w:t xml:space="preserve"> cuyo contenido no se reproduce por ser del conocimiento de las partes; no obstante, será motivo de análisis en el estudio correspondiente.</w:t>
      </w:r>
    </w:p>
    <w:p w14:paraId="65F8354D" w14:textId="77777777" w:rsidR="003B2909" w:rsidRPr="001630EE" w:rsidRDefault="003B2909" w:rsidP="002C388D">
      <w:pPr>
        <w:pStyle w:val="Ttulo2"/>
        <w:spacing w:before="0" w:after="0"/>
        <w:rPr>
          <w:rFonts w:ascii="Palatino Linotype" w:eastAsia="Palatino Linotype" w:hAnsi="Palatino Linotype"/>
          <w:color w:val="auto"/>
          <w:sz w:val="28"/>
          <w:szCs w:val="28"/>
        </w:rPr>
      </w:pPr>
      <w:r w:rsidRPr="001630EE">
        <w:rPr>
          <w:rFonts w:ascii="Palatino Linotype" w:eastAsia="Palatino Linotype" w:hAnsi="Palatino Linotype"/>
          <w:b/>
          <w:bCs/>
          <w:color w:val="auto"/>
          <w:sz w:val="28"/>
          <w:szCs w:val="28"/>
        </w:rPr>
        <w:lastRenderedPageBreak/>
        <w:t>TERCERO. Del recurso de revisión</w:t>
      </w:r>
      <w:r w:rsidRPr="001630EE">
        <w:rPr>
          <w:rFonts w:ascii="Palatino Linotype" w:eastAsia="Palatino Linotype" w:hAnsi="Palatino Linotype"/>
          <w:color w:val="auto"/>
          <w:sz w:val="28"/>
          <w:szCs w:val="28"/>
        </w:rPr>
        <w:t>.</w:t>
      </w:r>
    </w:p>
    <w:p w14:paraId="7E21A808" w14:textId="13B70659"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 xml:space="preserve">Inconforme con la respuesta emitida por el Sujeto Obligado, el Recurrente interpuso el presente recurso de revisión el día </w:t>
      </w:r>
      <w:r w:rsidR="00CA34E6" w:rsidRPr="001630EE">
        <w:rPr>
          <w:rFonts w:eastAsia="Palatino Linotype" w:cs="Palatino Linotype"/>
          <w:b/>
          <w:color w:val="000000"/>
          <w:szCs w:val="24"/>
        </w:rPr>
        <w:t>once de julio</w:t>
      </w:r>
      <w:r w:rsidRPr="001630EE">
        <w:rPr>
          <w:rFonts w:eastAsia="Palatino Linotype" w:cs="Palatino Linotype"/>
          <w:b/>
          <w:color w:val="000000"/>
          <w:szCs w:val="24"/>
        </w:rPr>
        <w:t xml:space="preserve"> de dos mil veinticinco</w:t>
      </w:r>
      <w:r w:rsidRPr="001630EE">
        <w:rPr>
          <w:rFonts w:eastAsia="Palatino Linotype" w:cs="Palatino Linotype"/>
          <w:color w:val="000000"/>
          <w:szCs w:val="24"/>
        </w:rPr>
        <w:t xml:space="preserve">, el cual se registró con el expediente número </w:t>
      </w:r>
      <w:r w:rsidRPr="001630EE">
        <w:rPr>
          <w:rFonts w:eastAsia="Palatino Linotype" w:cs="Palatino Linotype"/>
          <w:b/>
          <w:color w:val="000000"/>
          <w:szCs w:val="24"/>
        </w:rPr>
        <w:t>0</w:t>
      </w:r>
      <w:r w:rsidR="00CA34E6" w:rsidRPr="001630EE">
        <w:rPr>
          <w:rFonts w:eastAsia="Palatino Linotype" w:cs="Palatino Linotype"/>
          <w:b/>
          <w:color w:val="000000"/>
          <w:szCs w:val="24"/>
        </w:rPr>
        <w:t>8455</w:t>
      </w:r>
      <w:r w:rsidRPr="001630EE">
        <w:rPr>
          <w:rFonts w:eastAsia="Palatino Linotype" w:cs="Palatino Linotype"/>
          <w:b/>
          <w:color w:val="000000"/>
          <w:szCs w:val="24"/>
        </w:rPr>
        <w:t>/INFOEM/IP/RR/2025</w:t>
      </w:r>
      <w:r w:rsidRPr="001630EE">
        <w:rPr>
          <w:rFonts w:eastAsia="Palatino Linotype" w:cs="Palatino Linotype"/>
          <w:color w:val="000000"/>
          <w:szCs w:val="24"/>
        </w:rPr>
        <w:t>, manifestando lo siguiente:</w:t>
      </w:r>
    </w:p>
    <w:p w14:paraId="6C382BAC"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p>
    <w:p w14:paraId="41F04D8F" w14:textId="6DC53509" w:rsidR="003B2909" w:rsidRPr="001630EE" w:rsidRDefault="00CA34E6" w:rsidP="002C388D">
      <w:pPr>
        <w:contextualSpacing/>
        <w:rPr>
          <w:rFonts w:eastAsia="Palatino Linotype" w:cs="Palatino Linotype"/>
          <w:b/>
        </w:rPr>
      </w:pPr>
      <w:r w:rsidRPr="001630EE">
        <w:rPr>
          <w:rFonts w:eastAsia="Palatino Linotype" w:cs="Palatino Linotype"/>
          <w:b/>
        </w:rPr>
        <w:t xml:space="preserve">Acto Impugnado: </w:t>
      </w:r>
    </w:p>
    <w:p w14:paraId="3ADC4C54" w14:textId="30969177" w:rsidR="003B2909" w:rsidRPr="001630EE" w:rsidRDefault="003B2909" w:rsidP="002C388D">
      <w:pPr>
        <w:rPr>
          <w:i/>
          <w:iCs/>
          <w:szCs w:val="24"/>
        </w:rPr>
      </w:pPr>
      <w:r w:rsidRPr="001630EE">
        <w:t>“</w:t>
      </w:r>
      <w:r w:rsidR="00CA34E6" w:rsidRPr="001630EE">
        <w:rPr>
          <w:i/>
          <w:color w:val="000000"/>
          <w:szCs w:val="24"/>
        </w:rPr>
        <w:t>No entregaron informacion</w:t>
      </w:r>
      <w:r w:rsidRPr="001630EE">
        <w:rPr>
          <w:i/>
          <w:iCs/>
          <w:szCs w:val="24"/>
        </w:rPr>
        <w:t>” (Sic)</w:t>
      </w:r>
    </w:p>
    <w:p w14:paraId="4190839E" w14:textId="77777777" w:rsidR="00CA34E6" w:rsidRPr="001630EE" w:rsidRDefault="00CA34E6" w:rsidP="002C388D">
      <w:pPr>
        <w:rPr>
          <w:iCs/>
          <w:szCs w:val="24"/>
        </w:rPr>
      </w:pPr>
    </w:p>
    <w:p w14:paraId="60162D39" w14:textId="2A651BC5" w:rsidR="00CA34E6" w:rsidRPr="001630EE" w:rsidRDefault="00CA34E6" w:rsidP="002C388D">
      <w:pPr>
        <w:rPr>
          <w:rFonts w:eastAsia="Palatino Linotype" w:cs="Palatino Linotype"/>
          <w:b/>
        </w:rPr>
      </w:pPr>
      <w:r w:rsidRPr="001630EE">
        <w:rPr>
          <w:rFonts w:eastAsia="Palatino Linotype" w:cs="Palatino Linotype"/>
          <w:b/>
        </w:rPr>
        <w:t>Razones o Motivos de Inconformidad:</w:t>
      </w:r>
    </w:p>
    <w:p w14:paraId="30690324" w14:textId="65A06BE8" w:rsidR="003B2909" w:rsidRPr="001630EE" w:rsidRDefault="00CA34E6" w:rsidP="002C388D">
      <w:pPr>
        <w:pBdr>
          <w:top w:val="nil"/>
          <w:left w:val="nil"/>
          <w:bottom w:val="nil"/>
          <w:right w:val="nil"/>
          <w:between w:val="nil"/>
        </w:pBdr>
        <w:contextualSpacing/>
        <w:rPr>
          <w:rFonts w:eastAsia="Palatino Linotype" w:cs="Palatino Linotype"/>
          <w:i/>
        </w:rPr>
      </w:pPr>
      <w:r w:rsidRPr="001630EE">
        <w:rPr>
          <w:rFonts w:eastAsia="Palatino Linotype" w:cs="Palatino Linotype"/>
          <w:i/>
        </w:rPr>
        <w:t>“Pido se entregue la información que se solicito” (Sic)</w:t>
      </w:r>
    </w:p>
    <w:p w14:paraId="47AA40A3" w14:textId="77777777" w:rsidR="003B2909" w:rsidRPr="001630EE" w:rsidRDefault="003B2909" w:rsidP="002C388D">
      <w:pPr>
        <w:pBdr>
          <w:top w:val="nil"/>
          <w:left w:val="nil"/>
          <w:bottom w:val="nil"/>
          <w:right w:val="nil"/>
          <w:between w:val="nil"/>
        </w:pBdr>
        <w:contextualSpacing/>
        <w:rPr>
          <w:rFonts w:eastAsia="Palatino Linotype" w:cs="Palatino Linotype"/>
          <w:i/>
          <w:color w:val="000000"/>
          <w:szCs w:val="24"/>
        </w:rPr>
      </w:pPr>
    </w:p>
    <w:p w14:paraId="697E8EC5" w14:textId="77777777" w:rsidR="003B2909" w:rsidRPr="001630EE" w:rsidRDefault="003B2909" w:rsidP="002C388D">
      <w:pPr>
        <w:pStyle w:val="Ttulo2"/>
        <w:spacing w:before="0" w:after="0"/>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t>CUARTO. Del turno y admisión del recurso de revisión.</w:t>
      </w:r>
    </w:p>
    <w:p w14:paraId="37380870" w14:textId="500669F5"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 xml:space="preserve">Medio de impugnación que le fue turnado al </w:t>
      </w:r>
      <w:r w:rsidRPr="001630EE">
        <w:rPr>
          <w:rFonts w:eastAsia="Palatino Linotype" w:cs="Palatino Linotype"/>
          <w:b/>
          <w:color w:val="000000"/>
          <w:szCs w:val="24"/>
        </w:rPr>
        <w:t>Comisionado Presidente José Martínez Vilchis</w:t>
      </w:r>
      <w:r w:rsidRPr="001630EE">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1630EE">
        <w:rPr>
          <w:rFonts w:eastAsia="Palatino Linotype" w:cs="Palatino Linotype"/>
          <w:b/>
          <w:bCs/>
          <w:color w:val="000000"/>
          <w:szCs w:val="24"/>
        </w:rPr>
        <w:t xml:space="preserve"> </w:t>
      </w:r>
      <w:r w:rsidR="00CA34E6" w:rsidRPr="001630EE">
        <w:rPr>
          <w:rFonts w:eastAsia="Palatino Linotype" w:cs="Palatino Linotype"/>
          <w:b/>
          <w:bCs/>
          <w:color w:val="000000"/>
          <w:szCs w:val="24"/>
        </w:rPr>
        <w:t xml:space="preserve">cuatro </w:t>
      </w:r>
      <w:r w:rsidRPr="001630EE">
        <w:rPr>
          <w:rFonts w:eastAsia="Palatino Linotype" w:cs="Palatino Linotype"/>
          <w:b/>
          <w:bCs/>
          <w:color w:val="000000"/>
          <w:szCs w:val="24"/>
        </w:rPr>
        <w:t>de agosto de dos mil veinticinco</w:t>
      </w:r>
      <w:r w:rsidRPr="001630EE">
        <w:rPr>
          <w:rFonts w:eastAsia="Palatino Linotype" w:cs="Palatino Linotype"/>
          <w:color w:val="000000"/>
          <w:szCs w:val="24"/>
        </w:rPr>
        <w:t xml:space="preserve">, </w:t>
      </w:r>
      <w:r w:rsidRPr="001630EE">
        <w:rPr>
          <w:rFonts w:eastAsia="Palatino Linotype" w:cs="Palatino Linotype"/>
          <w:szCs w:val="24"/>
        </w:rPr>
        <w:t>otorgándose</w:t>
      </w:r>
      <w:r w:rsidRPr="001630EE">
        <w:rPr>
          <w:rFonts w:eastAsia="Palatino Linotype" w:cs="Palatino Linotype"/>
          <w:color w:val="000000"/>
          <w:szCs w:val="24"/>
        </w:rPr>
        <w:t xml:space="preserve"> en él un plazo de siete días para que las partes manifestaran lo que a su derecho corresponda en términos del numeral ya citado.</w:t>
      </w:r>
    </w:p>
    <w:p w14:paraId="7BA8879A"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p>
    <w:p w14:paraId="0B6713C3" w14:textId="77777777" w:rsidR="003B2909" w:rsidRPr="001630EE" w:rsidRDefault="003B2909" w:rsidP="002C388D">
      <w:pPr>
        <w:pStyle w:val="Ttulo2"/>
        <w:spacing w:before="0" w:after="0"/>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t>QUINTO. De la etapa de instrucción.</w:t>
      </w:r>
    </w:p>
    <w:p w14:paraId="0C6DDA36" w14:textId="4D1D497C"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Una vez abierta la etapa de i</w:t>
      </w:r>
      <w:r w:rsidR="00CA34E6" w:rsidRPr="001630EE">
        <w:rPr>
          <w:rFonts w:eastAsia="Palatino Linotype" w:cs="Palatino Linotype"/>
          <w:color w:val="000000"/>
          <w:szCs w:val="24"/>
        </w:rPr>
        <w:t>nstrucción, el Sujeto Obligado fue omiso en  rendir</w:t>
      </w:r>
      <w:r w:rsidRPr="001630EE">
        <w:rPr>
          <w:rFonts w:eastAsia="Palatino Linotype" w:cs="Palatino Linotype"/>
          <w:color w:val="000000"/>
          <w:szCs w:val="24"/>
        </w:rPr>
        <w:t xml:space="preserve"> su informe </w:t>
      </w:r>
      <w:r w:rsidR="00CA34E6" w:rsidRPr="001630EE">
        <w:rPr>
          <w:rFonts w:eastAsia="Palatino Linotype" w:cs="Palatino Linotype"/>
          <w:color w:val="000000"/>
          <w:szCs w:val="24"/>
        </w:rPr>
        <w:t xml:space="preserve">justificado. </w:t>
      </w:r>
      <w:r w:rsidRPr="001630EE">
        <w:rPr>
          <w:rFonts w:eastAsia="Palatino Linotype" w:cs="Palatino Linotype"/>
          <w:color w:val="000000"/>
          <w:szCs w:val="24"/>
        </w:rPr>
        <w:t xml:space="preserve">Por su parte, el Recurrente no realizó manifestaciones, vertió alegatos ni presentó pruebas que a su derecho convinieran. </w:t>
      </w:r>
    </w:p>
    <w:p w14:paraId="0CCF526A" w14:textId="77777777" w:rsidR="003B2909" w:rsidRPr="001630EE" w:rsidRDefault="003B2909" w:rsidP="002C388D">
      <w:pPr>
        <w:pStyle w:val="Ttulo2"/>
        <w:spacing w:before="0" w:after="0"/>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lastRenderedPageBreak/>
        <w:t>SEXTO. Del cierre de instrucción.</w:t>
      </w:r>
    </w:p>
    <w:p w14:paraId="089976EA" w14:textId="3BBE3584"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Así, una vez transcurrido el término legal, se decretó el cierre de instrucción en fecha</w:t>
      </w:r>
      <w:r w:rsidRPr="001630EE">
        <w:rPr>
          <w:rFonts w:eastAsia="Palatino Linotype" w:cs="Palatino Linotype"/>
          <w:b/>
          <w:color w:val="000000"/>
          <w:szCs w:val="24"/>
        </w:rPr>
        <w:t xml:space="preserve"> </w:t>
      </w:r>
      <w:r w:rsidR="00CA34E6" w:rsidRPr="001630EE">
        <w:rPr>
          <w:rFonts w:eastAsia="Palatino Linotype" w:cs="Palatino Linotype"/>
          <w:b/>
          <w:color w:val="000000"/>
          <w:szCs w:val="24"/>
        </w:rPr>
        <w:t>nueve</w:t>
      </w:r>
      <w:r w:rsidRPr="001630EE">
        <w:rPr>
          <w:rFonts w:eastAsia="Palatino Linotype" w:cs="Palatino Linotype"/>
          <w:b/>
          <w:color w:val="000000"/>
          <w:szCs w:val="24"/>
        </w:rPr>
        <w:t xml:space="preserve"> de septiembre de dos mil veinticuatro</w:t>
      </w:r>
      <w:r w:rsidRPr="001630EE">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0273B0A6" w14:textId="77777777" w:rsidR="003B2909" w:rsidRPr="001630EE" w:rsidRDefault="003B2909" w:rsidP="002C388D">
      <w:pPr>
        <w:pBdr>
          <w:top w:val="nil"/>
          <w:left w:val="nil"/>
          <w:bottom w:val="nil"/>
          <w:right w:val="nil"/>
          <w:between w:val="nil"/>
        </w:pBdr>
        <w:contextualSpacing/>
        <w:rPr>
          <w:rFonts w:eastAsiaTheme="minorHAnsi" w:cstheme="minorBidi"/>
          <w:szCs w:val="24"/>
          <w:lang w:eastAsia="en-US"/>
        </w:rPr>
      </w:pPr>
    </w:p>
    <w:p w14:paraId="2B4C8847" w14:textId="77777777" w:rsidR="003B2909" w:rsidRPr="001630EE" w:rsidRDefault="003B2909" w:rsidP="002C388D">
      <w:pPr>
        <w:keepNext/>
        <w:keepLines/>
        <w:outlineLvl w:val="1"/>
        <w:rPr>
          <w:rFonts w:cs="Palatino Linotype"/>
          <w:color w:val="000000"/>
        </w:rPr>
      </w:pPr>
      <w:r w:rsidRPr="001630EE">
        <w:rPr>
          <w:b/>
          <w:color w:val="000000" w:themeColor="text1"/>
          <w:sz w:val="28"/>
          <w:szCs w:val="28"/>
        </w:rPr>
        <w:t xml:space="preserve">SÉPTIMO. </w:t>
      </w:r>
      <w:r w:rsidRPr="001630EE">
        <w:rPr>
          <w:rFonts w:cs="Arial"/>
          <w:b/>
          <w:sz w:val="28"/>
        </w:rPr>
        <w:t>De la ampliación del término para resolver.</w:t>
      </w:r>
    </w:p>
    <w:p w14:paraId="3214D992" w14:textId="30635249" w:rsidR="003B2909" w:rsidRPr="001630EE" w:rsidRDefault="003B2909" w:rsidP="002C388D">
      <w:pPr>
        <w:contextualSpacing/>
      </w:pPr>
      <w:r w:rsidRPr="001630EE">
        <w:t>De las constancias que integran el expediente electrónico, se advierte que han transcurrido los términos de Ley, para la emisión de la resolución en el presente recurso de revisión, por lo que en fecha</w:t>
      </w:r>
      <w:r w:rsidRPr="001630EE">
        <w:rPr>
          <w:b/>
        </w:rPr>
        <w:t xml:space="preserve"> </w:t>
      </w:r>
      <w:r w:rsidR="00CA34E6" w:rsidRPr="001630EE">
        <w:rPr>
          <w:b/>
        </w:rPr>
        <w:t>seis de noviembre</w:t>
      </w:r>
      <w:r w:rsidRPr="001630EE">
        <w:rPr>
          <w:b/>
        </w:rPr>
        <w:t xml:space="preserve"> de dos mil veinticinco</w:t>
      </w:r>
      <w:r w:rsidRPr="001630EE">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4EB9559" w14:textId="77777777" w:rsidR="003B2909" w:rsidRPr="001630EE" w:rsidRDefault="003B2909" w:rsidP="002C388D">
      <w:pPr>
        <w:contextualSpacing/>
      </w:pPr>
    </w:p>
    <w:p w14:paraId="3CCD52F8" w14:textId="77777777" w:rsidR="003B2909" w:rsidRPr="001630EE" w:rsidRDefault="003B2909" w:rsidP="002C388D">
      <w:pPr>
        <w:pStyle w:val="Ttulo1"/>
        <w:spacing w:before="0" w:after="0"/>
        <w:jc w:val="center"/>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t>C O N S I D E R A N D O</w:t>
      </w:r>
    </w:p>
    <w:p w14:paraId="2BF4D38E" w14:textId="77777777" w:rsidR="003B2909" w:rsidRPr="001630EE" w:rsidRDefault="003B2909" w:rsidP="002C388D"/>
    <w:p w14:paraId="6A64B1CB" w14:textId="77777777" w:rsidR="003B2909" w:rsidRPr="001630EE" w:rsidRDefault="003B2909" w:rsidP="002C388D">
      <w:pPr>
        <w:pStyle w:val="Ttulo2"/>
        <w:spacing w:before="0" w:after="0"/>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t>PRIMERO. De la competencia.</w:t>
      </w:r>
    </w:p>
    <w:p w14:paraId="3405B654"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w:t>
      </w:r>
      <w:r w:rsidRPr="001630EE">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A307879"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p>
    <w:p w14:paraId="108AB07F" w14:textId="77777777" w:rsidR="003B2909" w:rsidRPr="001630EE" w:rsidRDefault="003B2909" w:rsidP="002C388D">
      <w:pPr>
        <w:pStyle w:val="Ttulo2"/>
        <w:spacing w:before="0" w:after="0"/>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t xml:space="preserve">SEGUNDO. Sobre los alcances del recurso de revisión. </w:t>
      </w:r>
    </w:p>
    <w:p w14:paraId="33A1B940" w14:textId="77777777" w:rsidR="003B2909" w:rsidRPr="001630EE" w:rsidRDefault="003B2909" w:rsidP="002C388D">
      <w:r w:rsidRPr="001630E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D589A0D" w14:textId="77777777" w:rsidR="00CA34E6" w:rsidRPr="001630EE" w:rsidRDefault="00CA34E6" w:rsidP="002C388D"/>
    <w:p w14:paraId="5E4CA02B" w14:textId="77777777" w:rsidR="003B2909" w:rsidRPr="001630EE" w:rsidRDefault="003B2909" w:rsidP="002C388D">
      <w:pPr>
        <w:autoSpaceDE w:val="0"/>
        <w:autoSpaceDN w:val="0"/>
        <w:adjustRightInd w:val="0"/>
        <w:spacing w:line="240" w:lineRule="auto"/>
        <w:rPr>
          <w:rFonts w:eastAsia="Times New Roman" w:cs="Arial"/>
          <w:b/>
          <w:szCs w:val="24"/>
          <w:lang w:val="es-ES" w:eastAsia="es-ES"/>
        </w:rPr>
      </w:pPr>
      <w:r w:rsidRPr="001630EE">
        <w:rPr>
          <w:rFonts w:cs="Arial"/>
          <w:b/>
          <w:sz w:val="28"/>
        </w:rPr>
        <w:t xml:space="preserve">TERCERO. </w:t>
      </w:r>
      <w:r w:rsidRPr="001630EE">
        <w:rPr>
          <w:rFonts w:eastAsia="Times New Roman" w:cs="Arial"/>
          <w:b/>
          <w:sz w:val="28"/>
          <w:szCs w:val="28"/>
          <w:lang w:val="es-ES" w:eastAsia="es-ES"/>
        </w:rPr>
        <w:t>Cuestiones de previo y especial pronunciamiento</w:t>
      </w:r>
    </w:p>
    <w:p w14:paraId="3CA97C3F" w14:textId="77777777" w:rsidR="003B2909" w:rsidRPr="001630EE" w:rsidRDefault="003B2909" w:rsidP="002C388D">
      <w:pPr>
        <w:autoSpaceDE w:val="0"/>
        <w:autoSpaceDN w:val="0"/>
        <w:adjustRightInd w:val="0"/>
        <w:rPr>
          <w:rFonts w:eastAsia="Times New Roman" w:cs="Times New Roman"/>
          <w:szCs w:val="24"/>
        </w:rPr>
      </w:pPr>
      <w:r w:rsidRPr="001630EE">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21381243" w14:textId="77777777" w:rsidR="00CA34E6" w:rsidRPr="001630EE" w:rsidRDefault="00CA34E6" w:rsidP="002C388D">
      <w:pPr>
        <w:autoSpaceDE w:val="0"/>
        <w:autoSpaceDN w:val="0"/>
        <w:adjustRightInd w:val="0"/>
        <w:rPr>
          <w:rFonts w:eastAsia="Times New Roman" w:cs="Times New Roman"/>
          <w:szCs w:val="24"/>
        </w:rPr>
      </w:pPr>
    </w:p>
    <w:p w14:paraId="4D104292" w14:textId="77777777" w:rsidR="003B2909" w:rsidRPr="001630EE" w:rsidRDefault="003B2909" w:rsidP="002C388D">
      <w:pPr>
        <w:autoSpaceDE w:val="0"/>
        <w:autoSpaceDN w:val="0"/>
        <w:adjustRightInd w:val="0"/>
        <w:ind w:left="360" w:firstLine="348"/>
        <w:rPr>
          <w:rFonts w:eastAsia="Times New Roman" w:cs="Times New Roman"/>
          <w:i/>
          <w:sz w:val="22"/>
        </w:rPr>
      </w:pPr>
      <w:r w:rsidRPr="001630EE">
        <w:rPr>
          <w:rFonts w:eastAsia="Times New Roman" w:cs="Times New Roman"/>
          <w:i/>
          <w:sz w:val="22"/>
        </w:rPr>
        <w:t>“Artículo 180. El recurso de revisión contendrá:</w:t>
      </w:r>
    </w:p>
    <w:p w14:paraId="03D6B209" w14:textId="77777777" w:rsidR="003B2909" w:rsidRPr="001630EE" w:rsidRDefault="003B2909" w:rsidP="002C388D">
      <w:pPr>
        <w:numPr>
          <w:ilvl w:val="0"/>
          <w:numId w:val="1"/>
        </w:numPr>
        <w:autoSpaceDE w:val="0"/>
        <w:autoSpaceDN w:val="0"/>
        <w:adjustRightInd w:val="0"/>
        <w:rPr>
          <w:rFonts w:eastAsia="Times New Roman" w:cs="Times New Roman"/>
          <w:i/>
          <w:sz w:val="22"/>
          <w:lang w:val="es-ES" w:eastAsia="es-ES"/>
        </w:rPr>
      </w:pPr>
      <w:r w:rsidRPr="001630EE">
        <w:rPr>
          <w:rFonts w:eastAsia="Times New Roman" w:cs="Times New Roman"/>
          <w:i/>
          <w:sz w:val="22"/>
          <w:lang w:val="es-ES" w:eastAsia="es-ES"/>
        </w:rPr>
        <w:t>EL sujeto obligado ante la cual se presentó la solicitud;</w:t>
      </w:r>
    </w:p>
    <w:p w14:paraId="5E78B253" w14:textId="77777777" w:rsidR="003B2909" w:rsidRPr="001630EE" w:rsidRDefault="003B2909" w:rsidP="002C388D">
      <w:pPr>
        <w:numPr>
          <w:ilvl w:val="0"/>
          <w:numId w:val="1"/>
        </w:numPr>
        <w:autoSpaceDE w:val="0"/>
        <w:autoSpaceDN w:val="0"/>
        <w:adjustRightInd w:val="0"/>
        <w:rPr>
          <w:rFonts w:eastAsia="Times New Roman" w:cs="Times New Roman"/>
          <w:i/>
          <w:sz w:val="22"/>
          <w:lang w:val="es-ES" w:eastAsia="es-ES"/>
        </w:rPr>
      </w:pPr>
      <w:r w:rsidRPr="001630EE">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575DF6B0" w14:textId="77777777" w:rsidR="003B2909" w:rsidRPr="001630EE" w:rsidRDefault="003B2909" w:rsidP="002C388D">
      <w:pPr>
        <w:numPr>
          <w:ilvl w:val="0"/>
          <w:numId w:val="1"/>
        </w:numPr>
        <w:autoSpaceDE w:val="0"/>
        <w:autoSpaceDN w:val="0"/>
        <w:adjustRightInd w:val="0"/>
        <w:rPr>
          <w:rFonts w:eastAsia="Times New Roman" w:cs="Times New Roman"/>
          <w:i/>
          <w:sz w:val="22"/>
          <w:lang w:val="es-ES" w:eastAsia="es-ES"/>
        </w:rPr>
      </w:pPr>
      <w:r w:rsidRPr="001630EE">
        <w:rPr>
          <w:rFonts w:eastAsia="Times New Roman" w:cs="Times New Roman"/>
          <w:i/>
          <w:sz w:val="22"/>
          <w:lang w:val="es-ES" w:eastAsia="es-ES"/>
        </w:rPr>
        <w:lastRenderedPageBreak/>
        <w:t>El número de folio de respuesta de la solicitud de acceso;</w:t>
      </w:r>
    </w:p>
    <w:p w14:paraId="4ACDA44A" w14:textId="77777777" w:rsidR="003B2909" w:rsidRPr="001630EE" w:rsidRDefault="003B2909" w:rsidP="002C388D">
      <w:pPr>
        <w:autoSpaceDE w:val="0"/>
        <w:autoSpaceDN w:val="0"/>
        <w:adjustRightInd w:val="0"/>
        <w:ind w:left="1080"/>
        <w:rPr>
          <w:rFonts w:eastAsia="Times New Roman" w:cs="Times New Roman"/>
          <w:i/>
          <w:sz w:val="22"/>
        </w:rPr>
      </w:pPr>
      <w:r w:rsidRPr="001630EE">
        <w:rPr>
          <w:rFonts w:eastAsia="Times New Roman" w:cs="Times New Roman"/>
          <w:i/>
          <w:sz w:val="22"/>
        </w:rPr>
        <w:t>IV. La fecha en que fue notificada la respuesta al solicitante o tuvo conocimiento del acto reclamado, o de presentación de la solicitud, en caso de falta de respuesta;</w:t>
      </w:r>
    </w:p>
    <w:p w14:paraId="4E24895E" w14:textId="77777777" w:rsidR="003B2909" w:rsidRPr="001630EE" w:rsidRDefault="003B2909" w:rsidP="002C388D">
      <w:pPr>
        <w:autoSpaceDE w:val="0"/>
        <w:autoSpaceDN w:val="0"/>
        <w:adjustRightInd w:val="0"/>
        <w:ind w:left="732" w:firstLine="348"/>
        <w:rPr>
          <w:rFonts w:eastAsia="Times New Roman" w:cs="Times New Roman"/>
          <w:i/>
          <w:sz w:val="22"/>
        </w:rPr>
      </w:pPr>
      <w:r w:rsidRPr="001630EE">
        <w:rPr>
          <w:rFonts w:eastAsia="Times New Roman" w:cs="Times New Roman"/>
          <w:i/>
          <w:sz w:val="22"/>
        </w:rPr>
        <w:t>V. El acto que se recurre;</w:t>
      </w:r>
    </w:p>
    <w:p w14:paraId="6AB6B6DC" w14:textId="77777777" w:rsidR="003B2909" w:rsidRPr="001630EE" w:rsidRDefault="003B2909" w:rsidP="002C388D">
      <w:pPr>
        <w:autoSpaceDE w:val="0"/>
        <w:autoSpaceDN w:val="0"/>
        <w:adjustRightInd w:val="0"/>
        <w:ind w:left="732" w:firstLine="348"/>
        <w:rPr>
          <w:rFonts w:eastAsia="Times New Roman" w:cs="Times New Roman"/>
          <w:i/>
          <w:sz w:val="22"/>
        </w:rPr>
      </w:pPr>
      <w:r w:rsidRPr="001630EE">
        <w:rPr>
          <w:rFonts w:eastAsia="Times New Roman" w:cs="Times New Roman"/>
          <w:i/>
          <w:sz w:val="22"/>
        </w:rPr>
        <w:t>VI. Las razones o motivos de inconformidad;</w:t>
      </w:r>
    </w:p>
    <w:p w14:paraId="7E91FC58" w14:textId="77777777" w:rsidR="003B2909" w:rsidRPr="001630EE" w:rsidRDefault="003B2909" w:rsidP="002C388D">
      <w:pPr>
        <w:autoSpaceDE w:val="0"/>
        <w:autoSpaceDN w:val="0"/>
        <w:adjustRightInd w:val="0"/>
        <w:ind w:left="1080"/>
        <w:rPr>
          <w:rFonts w:eastAsia="Times New Roman" w:cs="Times New Roman"/>
          <w:i/>
          <w:sz w:val="22"/>
        </w:rPr>
      </w:pPr>
      <w:r w:rsidRPr="001630EE">
        <w:rPr>
          <w:rFonts w:eastAsia="Times New Roman" w:cs="Times New Roman"/>
          <w:i/>
          <w:sz w:val="22"/>
        </w:rPr>
        <w:t>VII. La copia de la respuesta que se impugna y, en su caso, de la notificación correspondiente, en el caso de respuesta de la solicitud; y</w:t>
      </w:r>
    </w:p>
    <w:p w14:paraId="418AC7C9" w14:textId="77777777" w:rsidR="003B2909" w:rsidRPr="001630EE" w:rsidRDefault="003B2909" w:rsidP="002C388D">
      <w:pPr>
        <w:autoSpaceDE w:val="0"/>
        <w:autoSpaceDN w:val="0"/>
        <w:adjustRightInd w:val="0"/>
        <w:ind w:left="732" w:firstLine="348"/>
        <w:rPr>
          <w:rFonts w:eastAsia="Times New Roman" w:cs="Times New Roman"/>
          <w:i/>
          <w:sz w:val="22"/>
        </w:rPr>
      </w:pPr>
      <w:r w:rsidRPr="001630EE">
        <w:rPr>
          <w:rFonts w:eastAsia="Times New Roman" w:cs="Times New Roman"/>
          <w:i/>
          <w:sz w:val="22"/>
        </w:rPr>
        <w:t>VIII. Firma del recurrente, en su caso, cuando se presente por escrito, requisito sin el cual se dará trámite al recurso.</w:t>
      </w:r>
    </w:p>
    <w:p w14:paraId="041F41C4" w14:textId="77777777" w:rsidR="003B2909" w:rsidRPr="001630EE" w:rsidRDefault="003B2909" w:rsidP="002C388D">
      <w:pPr>
        <w:autoSpaceDE w:val="0"/>
        <w:autoSpaceDN w:val="0"/>
        <w:adjustRightInd w:val="0"/>
        <w:ind w:left="1080"/>
        <w:rPr>
          <w:rFonts w:eastAsia="Times New Roman" w:cs="Times New Roman"/>
          <w:i/>
          <w:sz w:val="22"/>
        </w:rPr>
      </w:pPr>
      <w:r w:rsidRPr="001630EE">
        <w:rPr>
          <w:rFonts w:eastAsia="Times New Roman" w:cs="Times New Roman"/>
          <w:i/>
          <w:sz w:val="22"/>
        </w:rPr>
        <w:t>Adicionalmente, se podrán anexar las pruebas y demás elementos que considere procedentes someter a juicio del Instituto.</w:t>
      </w:r>
    </w:p>
    <w:p w14:paraId="3E2AA437" w14:textId="77777777" w:rsidR="003B2909" w:rsidRPr="001630EE" w:rsidRDefault="003B2909" w:rsidP="002C388D">
      <w:pPr>
        <w:autoSpaceDE w:val="0"/>
        <w:autoSpaceDN w:val="0"/>
        <w:adjustRightInd w:val="0"/>
        <w:ind w:left="732" w:firstLine="348"/>
        <w:rPr>
          <w:rFonts w:eastAsia="Times New Roman" w:cs="Times New Roman"/>
          <w:i/>
          <w:sz w:val="22"/>
        </w:rPr>
      </w:pPr>
      <w:r w:rsidRPr="001630EE">
        <w:rPr>
          <w:rFonts w:eastAsia="Times New Roman" w:cs="Times New Roman"/>
          <w:i/>
          <w:sz w:val="22"/>
        </w:rPr>
        <w:t>En ningún caso será necesario que el particular ratifique el recurso de revisión interpuesto.</w:t>
      </w:r>
    </w:p>
    <w:p w14:paraId="04EAABAC" w14:textId="77777777" w:rsidR="003B2909" w:rsidRPr="001630EE" w:rsidRDefault="003B2909" w:rsidP="002C388D">
      <w:pPr>
        <w:autoSpaceDE w:val="0"/>
        <w:autoSpaceDN w:val="0"/>
        <w:adjustRightInd w:val="0"/>
        <w:ind w:left="1080"/>
        <w:rPr>
          <w:rFonts w:eastAsia="Times New Roman" w:cs="Times New Roman"/>
          <w:b/>
          <w:i/>
          <w:sz w:val="22"/>
          <w:u w:val="single"/>
        </w:rPr>
      </w:pPr>
      <w:r w:rsidRPr="001630EE">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39C8A938" w14:textId="77777777" w:rsidR="003B2909" w:rsidRPr="001630EE" w:rsidRDefault="003B2909" w:rsidP="002C388D">
      <w:pPr>
        <w:autoSpaceDE w:val="0"/>
        <w:autoSpaceDN w:val="0"/>
        <w:adjustRightInd w:val="0"/>
        <w:ind w:left="1080"/>
        <w:rPr>
          <w:rFonts w:eastAsia="Times New Roman" w:cs="Times New Roman"/>
          <w:b/>
          <w:i/>
          <w:sz w:val="22"/>
          <w:u w:val="single"/>
        </w:rPr>
      </w:pPr>
    </w:p>
    <w:p w14:paraId="6210AAF9" w14:textId="77777777" w:rsidR="003B2909" w:rsidRPr="001630EE" w:rsidRDefault="003B2909" w:rsidP="002C388D">
      <w:pPr>
        <w:rPr>
          <w:rFonts w:eastAsia="Times New Roman" w:cs="Arial"/>
          <w:szCs w:val="24"/>
          <w:lang w:val="es-ES" w:eastAsia="es-ES"/>
        </w:rPr>
      </w:pPr>
      <w:r w:rsidRPr="001630EE">
        <w:rPr>
          <w:rFonts w:eastAsia="Times New Roman" w:cs="Segoe UI"/>
          <w:szCs w:val="24"/>
          <w:lang w:val="es-ES" w:eastAsia="es-ES"/>
        </w:rPr>
        <w:t xml:space="preserve">Cabe señalar que </w:t>
      </w:r>
      <w:r w:rsidRPr="001630EE">
        <w:rPr>
          <w:rFonts w:eastAsia="Times New Roman" w:cs="Segoe UI"/>
          <w:b/>
          <w:szCs w:val="24"/>
          <w:lang w:val="es-ES" w:eastAsia="es-ES"/>
        </w:rPr>
        <w:t>El Recurrente</w:t>
      </w:r>
      <w:r w:rsidRPr="001630EE">
        <w:rPr>
          <w:rFonts w:eastAsia="Times New Roman" w:cs="Segoe UI"/>
          <w:szCs w:val="24"/>
          <w:lang w:val="es-ES" w:eastAsia="es-ES"/>
        </w:rPr>
        <w:t xml:space="preserve"> ejerció de manera anónima su derecho al acceso a la información</w:t>
      </w:r>
      <w:r w:rsidRPr="001630EE">
        <w:rPr>
          <w:rFonts w:eastAsia="Times New Roman" w:cs="Times New Roman"/>
          <w:szCs w:val="24"/>
          <w:lang w:val="es-ES" w:eastAsia="es-ES"/>
        </w:rPr>
        <w:t xml:space="preserve">, sin embargo no es motivo para desechar las </w:t>
      </w:r>
      <w:r w:rsidRPr="001630EE">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B1AD543" w14:textId="77777777" w:rsidR="00CA34E6" w:rsidRPr="001630EE" w:rsidRDefault="00CA34E6" w:rsidP="002C388D">
      <w:pPr>
        <w:rPr>
          <w:rFonts w:eastAsia="Times New Roman" w:cs="Arial"/>
          <w:szCs w:val="24"/>
          <w:lang w:val="es-ES" w:eastAsia="es-ES"/>
        </w:rPr>
      </w:pPr>
    </w:p>
    <w:p w14:paraId="347C064C" w14:textId="77777777" w:rsidR="003B2909" w:rsidRPr="001630EE" w:rsidRDefault="003B2909" w:rsidP="002C388D">
      <w:pPr>
        <w:ind w:left="851" w:right="851"/>
        <w:rPr>
          <w:rFonts w:eastAsia="Times New Roman" w:cs="Arial"/>
          <w:b/>
          <w:i/>
          <w:sz w:val="22"/>
          <w:lang w:val="es-ES" w:eastAsia="es-ES"/>
        </w:rPr>
      </w:pPr>
      <w:r w:rsidRPr="001630EE">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630EE">
        <w:rPr>
          <w:rFonts w:eastAsia="Times New Roman" w:cs="Arial"/>
          <w:b/>
          <w:i/>
          <w:sz w:val="22"/>
          <w:lang w:val="es-ES" w:eastAsia="es-ES"/>
        </w:rPr>
        <w:t>[Sic]</w:t>
      </w:r>
    </w:p>
    <w:p w14:paraId="4F7464F3" w14:textId="77777777" w:rsidR="00CA34E6" w:rsidRPr="001630EE" w:rsidRDefault="00CA34E6" w:rsidP="002C388D">
      <w:pPr>
        <w:rPr>
          <w:rFonts w:eastAsia="Times New Roman" w:cs="Times New Roman"/>
          <w:szCs w:val="24"/>
          <w:lang w:val="es-ES" w:eastAsia="es-ES"/>
        </w:rPr>
      </w:pPr>
    </w:p>
    <w:p w14:paraId="4ABAB89B" w14:textId="77777777" w:rsidR="003B2909" w:rsidRPr="001630EE" w:rsidRDefault="003B2909" w:rsidP="002C388D">
      <w:pPr>
        <w:rPr>
          <w:rFonts w:eastAsia="Times New Roman" w:cs="Times New Roman"/>
          <w:szCs w:val="24"/>
          <w:lang w:val="es-ES" w:eastAsia="es-ES"/>
        </w:rPr>
      </w:pPr>
      <w:r w:rsidRPr="001630EE">
        <w:rPr>
          <w:rFonts w:eastAsia="Times New Roman" w:cs="Times New Roman"/>
          <w:szCs w:val="24"/>
          <w:lang w:val="es-ES" w:eastAsia="es-ES"/>
        </w:rPr>
        <w:lastRenderedPageBreak/>
        <w:t xml:space="preserve">Robusteciendo lo anterior se encuentra lo dispuesto en el artículo 5 párrafos </w:t>
      </w:r>
      <w:r w:rsidRPr="001630EE">
        <w:rPr>
          <w:rFonts w:eastAsia="Times New Roman" w:cs="Arial"/>
          <w:szCs w:val="24"/>
          <w:lang w:val="es-ES" w:eastAsia="es-ES"/>
        </w:rPr>
        <w:t>vigésimo, vigésimo primero</w:t>
      </w:r>
      <w:r w:rsidRPr="001630EE">
        <w:rPr>
          <w:rFonts w:eastAsia="Times New Roman" w:cs="Arial"/>
          <w:szCs w:val="24"/>
          <w:lang w:eastAsia="es-ES"/>
        </w:rPr>
        <w:t xml:space="preserve"> y vigésimo segundo</w:t>
      </w:r>
      <w:r w:rsidRPr="001630EE">
        <w:rPr>
          <w:rFonts w:eastAsia="Times New Roman" w:cs="Times New Roman"/>
          <w:szCs w:val="24"/>
          <w:lang w:val="es-ES" w:eastAsia="es-ES"/>
        </w:rPr>
        <w:t>, de la Constitución Política del Estado Libre y Soberano de México, se establece lo siguiente:</w:t>
      </w:r>
    </w:p>
    <w:p w14:paraId="7F216782" w14:textId="77777777" w:rsidR="00CA34E6" w:rsidRPr="001630EE" w:rsidRDefault="00CA34E6" w:rsidP="002C388D">
      <w:pPr>
        <w:rPr>
          <w:rFonts w:eastAsia="Times New Roman" w:cs="Times New Roman"/>
          <w:szCs w:val="24"/>
          <w:lang w:val="es-ES" w:eastAsia="es-ES"/>
        </w:rPr>
      </w:pPr>
    </w:p>
    <w:p w14:paraId="7848EF71" w14:textId="77777777" w:rsidR="003B2909" w:rsidRPr="001630EE" w:rsidRDefault="003B2909" w:rsidP="002C388D">
      <w:pPr>
        <w:ind w:left="851" w:right="851"/>
        <w:rPr>
          <w:rFonts w:eastAsia="Times New Roman" w:cs="Times New Roman"/>
          <w:b/>
          <w:i/>
          <w:sz w:val="22"/>
          <w:u w:val="single"/>
          <w:lang w:val="es-ES" w:eastAsia="es-ES"/>
        </w:rPr>
      </w:pPr>
      <w:r w:rsidRPr="001630EE">
        <w:rPr>
          <w:rFonts w:eastAsia="Times New Roman" w:cs="Times New Roman"/>
          <w:b/>
          <w:i/>
          <w:sz w:val="22"/>
          <w:u w:val="single"/>
          <w:lang w:val="es-ES" w:eastAsia="es-ES"/>
        </w:rPr>
        <w:t>Constitución Política del Estado Libre y Soberano de México</w:t>
      </w:r>
    </w:p>
    <w:p w14:paraId="2116B9CA" w14:textId="77777777" w:rsidR="003B2909" w:rsidRPr="001630EE" w:rsidRDefault="003B2909" w:rsidP="002C388D">
      <w:pPr>
        <w:ind w:left="851" w:right="851"/>
        <w:rPr>
          <w:rFonts w:eastAsia="Times New Roman" w:cs="Times New Roman"/>
          <w:i/>
          <w:sz w:val="22"/>
          <w:lang w:val="es-ES" w:eastAsia="es-ES"/>
        </w:rPr>
      </w:pPr>
      <w:r w:rsidRPr="001630EE">
        <w:rPr>
          <w:rFonts w:eastAsia="Times New Roman" w:cs="Times New Roman"/>
          <w:i/>
          <w:sz w:val="22"/>
          <w:lang w:val="es-ES" w:eastAsia="es-ES"/>
        </w:rPr>
        <w:t>“</w:t>
      </w:r>
      <w:r w:rsidRPr="001630EE">
        <w:rPr>
          <w:rFonts w:eastAsia="Times New Roman" w:cs="Times New Roman"/>
          <w:b/>
          <w:i/>
          <w:sz w:val="22"/>
          <w:lang w:val="es-ES" w:eastAsia="es-ES"/>
        </w:rPr>
        <w:t>Artículo 5</w:t>
      </w:r>
      <w:r w:rsidRPr="001630EE">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FE2380C" w14:textId="77777777" w:rsidR="003B2909" w:rsidRPr="001630EE" w:rsidRDefault="003B2909" w:rsidP="002C388D">
      <w:pPr>
        <w:ind w:left="851" w:right="851"/>
        <w:rPr>
          <w:rFonts w:eastAsia="Times New Roman" w:cs="Times New Roman"/>
          <w:i/>
          <w:sz w:val="22"/>
          <w:lang w:val="es-ES" w:eastAsia="es-ES"/>
        </w:rPr>
      </w:pPr>
      <w:r w:rsidRPr="001630EE">
        <w:rPr>
          <w:rFonts w:eastAsia="Times New Roman" w:cs="Times New Roman"/>
          <w:i/>
          <w:sz w:val="22"/>
          <w:lang w:val="es-ES" w:eastAsia="es-ES"/>
        </w:rPr>
        <w:t>(…)</w:t>
      </w:r>
    </w:p>
    <w:p w14:paraId="248D1102" w14:textId="77777777" w:rsidR="003B2909" w:rsidRPr="001630EE" w:rsidRDefault="003B2909" w:rsidP="002C388D">
      <w:pPr>
        <w:ind w:left="851" w:right="851"/>
        <w:rPr>
          <w:rFonts w:eastAsia="Times New Roman" w:cs="Times New Roman"/>
          <w:b/>
          <w:i/>
          <w:sz w:val="22"/>
          <w:lang w:val="es-ES" w:eastAsia="es-ES"/>
        </w:rPr>
      </w:pPr>
      <w:r w:rsidRPr="001630EE">
        <w:rPr>
          <w:rFonts w:eastAsia="Times New Roman" w:cs="Times New Roman"/>
          <w:i/>
          <w:sz w:val="22"/>
          <w:lang w:val="es-ES" w:eastAsia="es-ES"/>
        </w:rPr>
        <w:t xml:space="preserve">transparencia, acceso a la información pública y a la protección de datos personales en posesión de los sujetos obligados en los términos que establezca la ley. (…)” </w:t>
      </w:r>
      <w:r w:rsidRPr="001630EE">
        <w:rPr>
          <w:rFonts w:eastAsia="Times New Roman" w:cs="Times New Roman"/>
          <w:b/>
          <w:i/>
          <w:sz w:val="22"/>
          <w:lang w:val="es-ES" w:eastAsia="es-ES"/>
        </w:rPr>
        <w:t>[Sic]</w:t>
      </w:r>
    </w:p>
    <w:p w14:paraId="3F8CD7E5" w14:textId="77777777" w:rsidR="00CA34E6" w:rsidRPr="001630EE" w:rsidRDefault="00CA34E6" w:rsidP="002C388D">
      <w:pPr>
        <w:ind w:left="851" w:right="851"/>
        <w:rPr>
          <w:rFonts w:eastAsia="Times New Roman" w:cs="Times New Roman"/>
          <w:b/>
          <w:i/>
          <w:sz w:val="22"/>
          <w:lang w:val="es-ES" w:eastAsia="es-ES"/>
        </w:rPr>
      </w:pPr>
    </w:p>
    <w:p w14:paraId="52D23BE3" w14:textId="77777777" w:rsidR="003B2909" w:rsidRPr="001630EE" w:rsidRDefault="003B2909" w:rsidP="002C388D">
      <w:pPr>
        <w:autoSpaceDE w:val="0"/>
        <w:autoSpaceDN w:val="0"/>
        <w:adjustRightInd w:val="0"/>
        <w:rPr>
          <w:rFonts w:eastAsia="Times New Roman" w:cs="Arial"/>
          <w:szCs w:val="24"/>
          <w:lang w:val="es-ES"/>
        </w:rPr>
      </w:pPr>
      <w:r w:rsidRPr="001630EE">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630EE">
        <w:rPr>
          <w:rFonts w:eastAsia="Times New Roman" w:cs="Times New Roman"/>
          <w:b/>
          <w:szCs w:val="24"/>
          <w:u w:val="single"/>
          <w:lang w:val="es-ES" w:eastAsia="es-ES"/>
        </w:rPr>
        <w:t>incluso, la solicitud de acceso a la información pueda ser anónima</w:t>
      </w:r>
      <w:r w:rsidRPr="001630EE">
        <w:rPr>
          <w:rFonts w:eastAsia="Times New Roman" w:cs="Times New Roman"/>
          <w:szCs w:val="24"/>
          <w:lang w:val="es-ES" w:eastAsia="es-ES"/>
        </w:rPr>
        <w:t xml:space="preserve"> o no contener un nombre que identifique al solicitante o que permita tener certeza sobre su identidad. </w:t>
      </w:r>
      <w:r w:rsidRPr="001630EE">
        <w:rPr>
          <w:rFonts w:eastAsia="Times New Roman" w:cs="Arial"/>
          <w:szCs w:val="24"/>
          <w:lang w:val="es-ES"/>
        </w:rPr>
        <w:t>En conclusión, se cubrieron los requisitos de procedencia y procedibilidad y conforme a las constancias que obran en el expediente.</w:t>
      </w:r>
    </w:p>
    <w:p w14:paraId="66505C36" w14:textId="77777777" w:rsidR="003B2909" w:rsidRPr="001630EE" w:rsidRDefault="003B2909" w:rsidP="002C388D">
      <w:pPr>
        <w:autoSpaceDE w:val="0"/>
        <w:autoSpaceDN w:val="0"/>
        <w:adjustRightInd w:val="0"/>
        <w:rPr>
          <w:rFonts w:ascii="Times New Roman" w:eastAsia="Times New Roman" w:hAnsi="Times New Roman" w:cs="Arial"/>
          <w:b/>
          <w:sz w:val="28"/>
          <w:szCs w:val="24"/>
          <w:lang w:val="es-ES" w:eastAsia="es-ES"/>
        </w:rPr>
      </w:pPr>
    </w:p>
    <w:p w14:paraId="33EE8146" w14:textId="77777777" w:rsidR="003B2909" w:rsidRPr="001630EE" w:rsidRDefault="003B2909" w:rsidP="002C388D">
      <w:pPr>
        <w:pStyle w:val="Prrafodelista"/>
        <w:autoSpaceDE w:val="0"/>
        <w:autoSpaceDN w:val="0"/>
        <w:adjustRightInd w:val="0"/>
        <w:ind w:left="0"/>
        <w:rPr>
          <w:rFonts w:cs="Arial"/>
          <w:b/>
          <w:sz w:val="28"/>
        </w:rPr>
      </w:pPr>
      <w:r w:rsidRPr="001630EE">
        <w:rPr>
          <w:rFonts w:cs="Arial"/>
          <w:b/>
          <w:sz w:val="28"/>
        </w:rPr>
        <w:lastRenderedPageBreak/>
        <w:t>CUARTO. De las causas de improcedencia.</w:t>
      </w:r>
    </w:p>
    <w:p w14:paraId="5FE2255B" w14:textId="77777777" w:rsidR="003B2909" w:rsidRPr="001630EE" w:rsidRDefault="003B2909" w:rsidP="002C388D">
      <w:pPr>
        <w:pStyle w:val="Prrafodelista"/>
        <w:autoSpaceDE w:val="0"/>
        <w:autoSpaceDN w:val="0"/>
        <w:adjustRightInd w:val="0"/>
        <w:ind w:left="0"/>
        <w:rPr>
          <w:rFonts w:cs="Arial"/>
        </w:rPr>
      </w:pPr>
      <w:r w:rsidRPr="001630EE">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1C0067A" w14:textId="77777777" w:rsidR="003B2909" w:rsidRPr="001630EE" w:rsidRDefault="003B2909" w:rsidP="002C388D">
      <w:pPr>
        <w:pStyle w:val="Prrafodelista"/>
        <w:autoSpaceDE w:val="0"/>
        <w:autoSpaceDN w:val="0"/>
        <w:adjustRightInd w:val="0"/>
        <w:ind w:left="0"/>
        <w:rPr>
          <w:rFonts w:cs="Arial"/>
        </w:rPr>
      </w:pPr>
    </w:p>
    <w:p w14:paraId="3EC537CF" w14:textId="77777777" w:rsidR="003B2909" w:rsidRPr="001630EE" w:rsidRDefault="003B2909" w:rsidP="002C388D">
      <w:pPr>
        <w:pStyle w:val="Prrafodelista"/>
        <w:autoSpaceDE w:val="0"/>
        <w:autoSpaceDN w:val="0"/>
        <w:adjustRightInd w:val="0"/>
        <w:ind w:left="0"/>
        <w:rPr>
          <w:rFonts w:cs="Arial"/>
        </w:rPr>
      </w:pPr>
      <w:r w:rsidRPr="001630EE">
        <w:rPr>
          <w:rFonts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630EE">
        <w:rPr>
          <w:rStyle w:val="Refdenotaalpie"/>
          <w:rFonts w:cs="Arial"/>
        </w:rPr>
        <w:footnoteReference w:id="1"/>
      </w:r>
      <w:r w:rsidRPr="001630EE">
        <w:rPr>
          <w:rFonts w:cs="Arial"/>
        </w:rPr>
        <w:t>.</w:t>
      </w:r>
    </w:p>
    <w:p w14:paraId="2EFAD09A" w14:textId="77777777" w:rsidR="003B2909" w:rsidRPr="001630EE" w:rsidRDefault="003B2909" w:rsidP="002C388D">
      <w:pPr>
        <w:pStyle w:val="Prrafodelista"/>
        <w:autoSpaceDE w:val="0"/>
        <w:autoSpaceDN w:val="0"/>
        <w:adjustRightInd w:val="0"/>
        <w:ind w:left="0"/>
        <w:rPr>
          <w:rFonts w:cs="Arial"/>
        </w:rPr>
      </w:pPr>
      <w:r w:rsidRPr="001630EE">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7216A9A" w14:textId="77777777" w:rsidR="003B2909" w:rsidRPr="001630EE" w:rsidRDefault="003B2909" w:rsidP="002C388D">
      <w:pPr>
        <w:pStyle w:val="Prrafodelista"/>
        <w:autoSpaceDE w:val="0"/>
        <w:autoSpaceDN w:val="0"/>
        <w:adjustRightInd w:val="0"/>
        <w:ind w:left="0"/>
        <w:rPr>
          <w:rFonts w:cs="Arial"/>
        </w:rPr>
      </w:pPr>
    </w:p>
    <w:p w14:paraId="08037ACD" w14:textId="77777777" w:rsidR="003B2909" w:rsidRPr="001630EE" w:rsidRDefault="003B2909" w:rsidP="002C388D">
      <w:pPr>
        <w:pStyle w:val="Ttulo2"/>
        <w:spacing w:before="0" w:after="0"/>
        <w:rPr>
          <w:rFonts w:ascii="Palatino Linotype" w:eastAsia="Palatino Linotype" w:hAnsi="Palatino Linotype"/>
          <w:b/>
          <w:bCs/>
          <w:color w:val="auto"/>
          <w:sz w:val="28"/>
          <w:szCs w:val="28"/>
        </w:rPr>
      </w:pPr>
      <w:r w:rsidRPr="001630EE">
        <w:rPr>
          <w:rFonts w:ascii="Palatino Linotype" w:eastAsia="Palatino Linotype" w:hAnsi="Palatino Linotype"/>
          <w:b/>
          <w:bCs/>
          <w:color w:val="auto"/>
          <w:sz w:val="28"/>
          <w:szCs w:val="28"/>
        </w:rPr>
        <w:t>QUINTO. Estudio y resolución del asunto.</w:t>
      </w:r>
    </w:p>
    <w:p w14:paraId="088AD0AF"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074849E"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p>
    <w:p w14:paraId="21108056" w14:textId="77777777" w:rsidR="003B2909"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Por tanto, es conveniente recordar que el hoy Recurrente requirió del Sujeto Obligado, de la actual administración, lo siguiente:</w:t>
      </w:r>
    </w:p>
    <w:p w14:paraId="11181C0B" w14:textId="42FEDD4D" w:rsidR="003B2909" w:rsidRPr="001630EE" w:rsidRDefault="00CA34E6" w:rsidP="002C388D">
      <w:pPr>
        <w:pStyle w:val="Prrafodelista"/>
        <w:numPr>
          <w:ilvl w:val="0"/>
          <w:numId w:val="7"/>
        </w:numPr>
        <w:pBdr>
          <w:top w:val="nil"/>
          <w:left w:val="nil"/>
          <w:bottom w:val="nil"/>
          <w:right w:val="nil"/>
          <w:between w:val="nil"/>
        </w:pBdr>
        <w:rPr>
          <w:rFonts w:eastAsia="Palatino Linotype" w:cs="Palatino Linotype"/>
          <w:color w:val="000000"/>
          <w:szCs w:val="24"/>
        </w:rPr>
      </w:pPr>
      <w:r w:rsidRPr="001630EE">
        <w:rPr>
          <w:rFonts w:eastAsia="Palatino Linotype" w:cs="Palatino Linotype"/>
          <w:color w:val="000000"/>
          <w:szCs w:val="24"/>
        </w:rPr>
        <w:lastRenderedPageBreak/>
        <w:t>El convenio “El poder de alfabetizar”, que se firmó con el Instituto Nacional para la educación de los adultos INEA y el Ayuntamiento de Jocotitlán.</w:t>
      </w:r>
      <w:r w:rsidR="006B75AF" w:rsidRPr="001630EE">
        <w:rPr>
          <w:rFonts w:eastAsia="Palatino Linotype" w:cs="Palatino Linotype"/>
          <w:color w:val="000000"/>
          <w:szCs w:val="24"/>
        </w:rPr>
        <w:t xml:space="preserve"> </w:t>
      </w:r>
    </w:p>
    <w:p w14:paraId="467CB1E8" w14:textId="77777777" w:rsidR="00CA34E6" w:rsidRPr="001630EE" w:rsidRDefault="00CA34E6" w:rsidP="002C388D">
      <w:pPr>
        <w:pBdr>
          <w:top w:val="nil"/>
          <w:left w:val="nil"/>
          <w:bottom w:val="nil"/>
          <w:right w:val="nil"/>
          <w:between w:val="nil"/>
        </w:pBdr>
        <w:contextualSpacing/>
        <w:rPr>
          <w:rFonts w:eastAsia="Palatino Linotype" w:cs="Palatino Linotype"/>
          <w:color w:val="000000"/>
          <w:szCs w:val="24"/>
        </w:rPr>
      </w:pPr>
    </w:p>
    <w:p w14:paraId="2B539995" w14:textId="77777777" w:rsidR="003B2909" w:rsidRPr="001630EE" w:rsidRDefault="003B2909" w:rsidP="002C388D">
      <w:pPr>
        <w:pBdr>
          <w:top w:val="nil"/>
          <w:left w:val="nil"/>
          <w:bottom w:val="nil"/>
          <w:right w:val="nil"/>
          <w:between w:val="nil"/>
        </w:pBdr>
        <w:contextualSpacing/>
      </w:pPr>
      <w:r w:rsidRPr="001630EE">
        <w:rPr>
          <w:rFonts w:eastAsia="Palatino Linotype" w:cs="Palatino Linotype"/>
          <w:color w:val="000000"/>
          <w:szCs w:val="24"/>
        </w:rPr>
        <w:t>Por lo que atento a la solicitud de información el Sujeto Obligado</w:t>
      </w:r>
      <w:r w:rsidRPr="001630EE">
        <w:t xml:space="preserve"> emitió su respuesta por medio de los archivos electrónicos denominados; </w:t>
      </w:r>
    </w:p>
    <w:p w14:paraId="38C1F071" w14:textId="77777777" w:rsidR="00CA34E6" w:rsidRPr="001630EE" w:rsidRDefault="00CA34E6" w:rsidP="002C388D">
      <w:pPr>
        <w:pBdr>
          <w:top w:val="nil"/>
          <w:left w:val="nil"/>
          <w:bottom w:val="nil"/>
          <w:right w:val="nil"/>
          <w:between w:val="nil"/>
        </w:pBdr>
        <w:contextualSpacing/>
      </w:pPr>
    </w:p>
    <w:p w14:paraId="364D5569" w14:textId="77777777" w:rsidR="00AD7EF9" w:rsidRPr="001630EE" w:rsidRDefault="00AD7EF9" w:rsidP="002C388D">
      <w:pPr>
        <w:pStyle w:val="Prrafodelista"/>
        <w:numPr>
          <w:ilvl w:val="0"/>
          <w:numId w:val="8"/>
        </w:numPr>
        <w:rPr>
          <w:i/>
          <w:szCs w:val="24"/>
        </w:rPr>
      </w:pPr>
      <w:r w:rsidRPr="001630EE">
        <w:rPr>
          <w:rFonts w:cs="Arial"/>
          <w:b/>
          <w:bCs/>
          <w:i/>
          <w:szCs w:val="24"/>
        </w:rPr>
        <w:t>00151JOCOTITIP2025 JUR.pdf</w:t>
      </w:r>
      <w:r w:rsidR="00CC2A7E" w:rsidRPr="001630EE">
        <w:rPr>
          <w:rFonts w:cs="Arial"/>
          <w:b/>
          <w:bCs/>
          <w:i/>
          <w:szCs w:val="24"/>
        </w:rPr>
        <w:t xml:space="preserve">: </w:t>
      </w:r>
      <w:r w:rsidRPr="001630EE">
        <w:rPr>
          <w:rFonts w:cs="Arial"/>
          <w:bCs/>
          <w:szCs w:val="24"/>
        </w:rPr>
        <w:t>Consta del oficio número CCJC/JOC/INT/084/2025, signado por el Coordinador de la Consejería Jurídica y Consultiva de Jocotitlán, mediante el cual medularmente refiere que de acuerdo con la protección de datos personales, no es procedente darle copia del Convenio ya que de acuerdo al artículo 16 de la Ley de Protección de Datos Personales referente al uso de estos con responsabilidad.</w:t>
      </w:r>
    </w:p>
    <w:p w14:paraId="711809DC" w14:textId="7719C05A" w:rsidR="00C70C96" w:rsidRPr="001630EE" w:rsidRDefault="00AD7EF9" w:rsidP="002C388D">
      <w:pPr>
        <w:pStyle w:val="Prrafodelista"/>
        <w:numPr>
          <w:ilvl w:val="0"/>
          <w:numId w:val="8"/>
        </w:numPr>
        <w:rPr>
          <w:i/>
          <w:szCs w:val="24"/>
        </w:rPr>
      </w:pPr>
      <w:r w:rsidRPr="001630EE">
        <w:rPr>
          <w:rFonts w:cs="Arial"/>
          <w:b/>
          <w:bCs/>
          <w:i/>
          <w:szCs w:val="24"/>
        </w:rPr>
        <w:t>00151JOCOTITIP2025 EDUCACION.pdf</w:t>
      </w:r>
      <w:r w:rsidR="00C70C96" w:rsidRPr="001630EE">
        <w:rPr>
          <w:rFonts w:cs="Arial"/>
          <w:b/>
          <w:bCs/>
          <w:i/>
          <w:szCs w:val="24"/>
        </w:rPr>
        <w:t xml:space="preserve">: </w:t>
      </w:r>
      <w:r w:rsidRPr="001630EE">
        <w:rPr>
          <w:rFonts w:cs="Arial"/>
          <w:bCs/>
          <w:szCs w:val="24"/>
        </w:rPr>
        <w:t>Consta del oficio número DECYS/314/2025, signado por el Director de Educación, Cultura y Salud, mediante el cual, medularmente informa que tiene conocimiento de la firma de dicho convenio, el cual está en resguardo en la Coordinación de la Consejería Jurídica y Consultiva de Jocotitlán.</w:t>
      </w:r>
    </w:p>
    <w:p w14:paraId="423F4225" w14:textId="77777777" w:rsidR="00CC2A7E" w:rsidRPr="001630EE" w:rsidRDefault="00CC2A7E" w:rsidP="002C388D"/>
    <w:p w14:paraId="1E3E13F4" w14:textId="4796FDF3" w:rsidR="00C70C96" w:rsidRPr="001630EE" w:rsidRDefault="003B2909" w:rsidP="002C388D">
      <w:pPr>
        <w:pBdr>
          <w:top w:val="nil"/>
          <w:left w:val="nil"/>
          <w:bottom w:val="nil"/>
          <w:right w:val="nil"/>
          <w:between w:val="nil"/>
        </w:pBdr>
        <w:contextualSpacing/>
        <w:rPr>
          <w:rFonts w:eastAsia="Palatino Linotype" w:cs="Palatino Linotype"/>
          <w:color w:val="000000"/>
          <w:szCs w:val="24"/>
        </w:rPr>
      </w:pPr>
      <w:r w:rsidRPr="001630EE">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00AD7EF9" w:rsidRPr="001630EE">
        <w:rPr>
          <w:rFonts w:eastAsia="Palatino Linotype" w:cs="Palatino Linotype"/>
          <w:color w:val="000000"/>
          <w:szCs w:val="24"/>
        </w:rPr>
        <w:t xml:space="preserve">: </w:t>
      </w:r>
      <w:r w:rsidR="00AD7EF9" w:rsidRPr="001630EE">
        <w:rPr>
          <w:color w:val="000000"/>
          <w:szCs w:val="24"/>
        </w:rPr>
        <w:t>“</w:t>
      </w:r>
      <w:r w:rsidR="00AD7EF9" w:rsidRPr="001630EE">
        <w:rPr>
          <w:i/>
          <w:color w:val="000000"/>
          <w:sz w:val="22"/>
        </w:rPr>
        <w:t>No entregaron informacion</w:t>
      </w:r>
      <w:r w:rsidR="00AD7EF9" w:rsidRPr="001630EE">
        <w:rPr>
          <w:i/>
          <w:iCs/>
          <w:color w:val="000000"/>
          <w:szCs w:val="24"/>
        </w:rPr>
        <w:t>”,</w:t>
      </w:r>
      <w:r w:rsidRPr="001630EE">
        <w:rPr>
          <w:i/>
          <w:iCs/>
          <w:color w:val="000000"/>
          <w:szCs w:val="24"/>
        </w:rPr>
        <w:t xml:space="preserve"> </w:t>
      </w:r>
      <w:r w:rsidRPr="001630EE">
        <w:rPr>
          <w:color w:val="000000"/>
          <w:szCs w:val="24"/>
        </w:rPr>
        <w:t xml:space="preserve"> y como razones o motivos de inconformidad “</w:t>
      </w:r>
      <w:r w:rsidR="00AD7EF9" w:rsidRPr="001630EE">
        <w:rPr>
          <w:i/>
          <w:color w:val="000000"/>
          <w:sz w:val="22"/>
        </w:rPr>
        <w:t>Pido se entregue la información que se solicito</w:t>
      </w:r>
      <w:r w:rsidRPr="001630EE">
        <w:rPr>
          <w:i/>
          <w:iCs/>
          <w:color w:val="000000"/>
          <w:szCs w:val="24"/>
        </w:rPr>
        <w:t xml:space="preserve">” </w:t>
      </w:r>
      <w:r w:rsidRPr="001630EE">
        <w:rPr>
          <w:rFonts w:eastAsia="Palatino Linotype" w:cs="Palatino Linotype"/>
          <w:color w:val="000000"/>
          <w:szCs w:val="24"/>
        </w:rPr>
        <w:t>en este sentido el Recurrente considero que el Sujeto Obligado no le dio cuenta de</w:t>
      </w:r>
      <w:r w:rsidR="00BA7214" w:rsidRPr="001630EE">
        <w:rPr>
          <w:rFonts w:eastAsia="Palatino Linotype" w:cs="Palatino Linotype"/>
          <w:color w:val="000000"/>
          <w:szCs w:val="24"/>
        </w:rPr>
        <w:t xml:space="preserve">l convenio </w:t>
      </w:r>
      <w:r w:rsidR="00BA7214" w:rsidRPr="001630EE">
        <w:rPr>
          <w:rFonts w:eastAsia="Palatino Linotype" w:cs="Palatino Linotype"/>
          <w:color w:val="000000"/>
          <w:szCs w:val="24"/>
        </w:rPr>
        <w:lastRenderedPageBreak/>
        <w:t>“El poder de alfabetizar”, que se firmó con el Instituto Nacional para la educación de los adultos INEA y el Ayuntamiento de Jocotitlán</w:t>
      </w:r>
      <w:r w:rsidR="00C70C96" w:rsidRPr="001630EE">
        <w:rPr>
          <w:rFonts w:eastAsia="Palatino Linotype" w:cs="Palatino Linotype"/>
          <w:color w:val="000000"/>
          <w:szCs w:val="24"/>
        </w:rPr>
        <w:t xml:space="preserve">. </w:t>
      </w:r>
    </w:p>
    <w:p w14:paraId="6F400ED2" w14:textId="77777777" w:rsidR="00C26BFD" w:rsidRPr="001630EE" w:rsidRDefault="00C26BFD" w:rsidP="002C388D">
      <w:pPr>
        <w:pBdr>
          <w:top w:val="nil"/>
          <w:left w:val="nil"/>
          <w:bottom w:val="nil"/>
          <w:right w:val="nil"/>
          <w:between w:val="nil"/>
        </w:pBdr>
        <w:contextualSpacing/>
        <w:rPr>
          <w:color w:val="000000"/>
          <w:szCs w:val="24"/>
        </w:rPr>
      </w:pPr>
    </w:p>
    <w:p w14:paraId="454BECC2" w14:textId="77777777" w:rsidR="00C26BFD" w:rsidRPr="001630EE" w:rsidRDefault="00C26BFD" w:rsidP="002C388D">
      <w:pPr>
        <w:pStyle w:val="infoemcitas"/>
        <w:tabs>
          <w:tab w:val="left" w:pos="7655"/>
        </w:tabs>
        <w:spacing w:before="0" w:after="0"/>
        <w:ind w:left="0" w:right="0"/>
        <w:rPr>
          <w:rFonts w:cs="Arial"/>
          <w:i w:val="0"/>
          <w:noProof/>
          <w:color w:val="000000"/>
          <w:sz w:val="24"/>
          <w:lang w:eastAsia="es-MX"/>
        </w:rPr>
      </w:pPr>
      <w:r w:rsidRPr="001630EE">
        <w:rPr>
          <w:i w:val="0"/>
          <w:sz w:val="24"/>
          <w:szCs w:val="24"/>
        </w:rPr>
        <w:t xml:space="preserve">Así las cosas, hasta aquí lo expuesto, resulta inconcuso que </w:t>
      </w:r>
      <w:r w:rsidRPr="001630EE">
        <w:rPr>
          <w:b/>
          <w:i w:val="0"/>
          <w:sz w:val="24"/>
          <w:szCs w:val="24"/>
        </w:rPr>
        <w:t xml:space="preserve">El Sujeto Obligado </w:t>
      </w:r>
      <w:r w:rsidRPr="001630EE">
        <w:rPr>
          <w:rFonts w:cs="Arial"/>
          <w:i w:val="0"/>
          <w:noProof/>
          <w:color w:val="000000"/>
          <w:sz w:val="24"/>
          <w:lang w:eastAsia="es-MX"/>
        </w:rPr>
        <w:t xml:space="preserve">no satisfizo el derecho de acceso a la información pública ejercido por </w:t>
      </w:r>
      <w:r w:rsidRPr="001630EE">
        <w:rPr>
          <w:rFonts w:cs="Arial"/>
          <w:b/>
          <w:i w:val="0"/>
          <w:noProof/>
          <w:color w:val="000000"/>
          <w:sz w:val="24"/>
          <w:lang w:eastAsia="es-MX"/>
        </w:rPr>
        <w:t xml:space="preserve">El Recurrente, </w:t>
      </w:r>
      <w:r w:rsidRPr="001630EE">
        <w:rPr>
          <w:rFonts w:cs="Arial"/>
          <w:i w:val="0"/>
          <w:noProof/>
          <w:color w:val="000000"/>
          <w:sz w:val="24"/>
          <w:lang w:eastAsia="es-MX"/>
        </w:rPr>
        <w:t>al tenerse por actualizada la hipotesis prevista en el artículo 179, fracción I de la Ley de Transparencia y Acceso a la Información Pública del Estado de México y Municipios, cuyo contenido literal es el siguiente:</w:t>
      </w:r>
    </w:p>
    <w:p w14:paraId="3652B02F" w14:textId="77777777" w:rsidR="00C26BFD" w:rsidRPr="001630EE" w:rsidRDefault="00C26BFD" w:rsidP="002C388D">
      <w:pPr>
        <w:pStyle w:val="infoemcitas"/>
        <w:tabs>
          <w:tab w:val="left" w:pos="7655"/>
        </w:tabs>
        <w:spacing w:before="0" w:after="0"/>
        <w:ind w:left="0" w:right="0"/>
        <w:rPr>
          <w:rFonts w:cs="Arial"/>
          <w:i w:val="0"/>
          <w:noProof/>
          <w:color w:val="000000"/>
          <w:sz w:val="24"/>
          <w:lang w:eastAsia="es-MX"/>
        </w:rPr>
      </w:pPr>
    </w:p>
    <w:p w14:paraId="0CC6AED6" w14:textId="77777777" w:rsidR="00C26BFD" w:rsidRPr="001630EE" w:rsidRDefault="00C26BFD" w:rsidP="002C388D">
      <w:pPr>
        <w:pStyle w:val="Citas"/>
        <w:spacing w:before="0" w:after="0"/>
      </w:pPr>
      <w:r w:rsidRPr="001630EE">
        <w:t>“Artículo 179. El recurso de revisión es un medio de protección que la Ley otorga a los particulares, para hacer valer su derecho de acceso a la información pública, y procederá en contra de las siguientes causas:</w:t>
      </w:r>
    </w:p>
    <w:p w14:paraId="3D2E11D9" w14:textId="77777777" w:rsidR="00C26BFD" w:rsidRPr="001630EE" w:rsidRDefault="00C26BFD" w:rsidP="002C388D">
      <w:pPr>
        <w:pStyle w:val="Citas"/>
        <w:spacing w:before="0" w:after="0"/>
        <w:rPr>
          <w:b/>
          <w:bCs/>
          <w:noProof/>
          <w:color w:val="000000"/>
          <w:sz w:val="24"/>
          <w:lang w:eastAsia="es-MX"/>
        </w:rPr>
      </w:pPr>
      <w:r w:rsidRPr="001630EE">
        <w:t xml:space="preserve">I. La negativa a la información solicitada;” </w:t>
      </w:r>
      <w:r w:rsidRPr="001630EE">
        <w:rPr>
          <w:b/>
          <w:bCs/>
        </w:rPr>
        <w:t>(Sic)</w:t>
      </w:r>
    </w:p>
    <w:p w14:paraId="1F5970DF" w14:textId="77777777" w:rsidR="00C26BFD" w:rsidRPr="001630EE" w:rsidRDefault="00C26BFD" w:rsidP="002C388D">
      <w:pPr>
        <w:pBdr>
          <w:top w:val="nil"/>
          <w:left w:val="nil"/>
          <w:bottom w:val="nil"/>
          <w:right w:val="nil"/>
          <w:between w:val="nil"/>
        </w:pBdr>
        <w:contextualSpacing/>
      </w:pPr>
    </w:p>
    <w:p w14:paraId="4E903D19" w14:textId="77777777" w:rsidR="003B2909" w:rsidRPr="001630EE" w:rsidRDefault="003B2909" w:rsidP="002C388D">
      <w:pPr>
        <w:rPr>
          <w:rFonts w:eastAsia="Times New Roman" w:cs="Times New Roman"/>
          <w:szCs w:val="24"/>
          <w:lang w:eastAsia="es-ES"/>
        </w:rPr>
      </w:pPr>
      <w:r w:rsidRPr="001630EE">
        <w:rPr>
          <w:rFonts w:cs="Arial"/>
          <w:szCs w:val="24"/>
        </w:rPr>
        <w:t xml:space="preserve">En este tenor, es necesario subrayar que </w:t>
      </w:r>
      <w:r w:rsidRPr="001630EE">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B5DBC7A" w14:textId="77777777" w:rsidR="00AD7EF9" w:rsidRPr="001630EE" w:rsidRDefault="00AD7EF9" w:rsidP="002C388D">
      <w:pPr>
        <w:rPr>
          <w:rFonts w:eastAsia="Times New Roman" w:cs="Times New Roman"/>
          <w:szCs w:val="24"/>
          <w:lang w:eastAsia="es-ES"/>
        </w:rPr>
      </w:pPr>
    </w:p>
    <w:p w14:paraId="0E84D089"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b/>
          <w:i/>
          <w:szCs w:val="24"/>
          <w:lang w:eastAsia="es-ES"/>
        </w:rPr>
        <w:t>“Artículo 4.</w:t>
      </w:r>
      <w:r w:rsidRPr="001630EE">
        <w:rPr>
          <w:rFonts w:eastAsia="Times New Roman" w:cs="Times New Roman"/>
          <w:i/>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40D331"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i/>
          <w:szCs w:val="24"/>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2B3DB"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i/>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3EEA7CC0"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b/>
          <w:i/>
          <w:szCs w:val="24"/>
          <w:lang w:eastAsia="es-ES"/>
        </w:rPr>
        <w:t>Artículo 12.</w:t>
      </w:r>
      <w:r w:rsidRPr="001630EE">
        <w:rPr>
          <w:rFonts w:eastAsia="Times New Roman" w:cs="Times New Roman"/>
          <w:i/>
          <w:szCs w:val="24"/>
          <w:lang w:eastAsia="es-ES"/>
        </w:rPr>
        <w:t xml:space="preserve"> Quienes generen, recopilen, administren, manejen, procesen, archiven o conserven información pública serán responsables de la misma en los términos de las disposiciones jurídicas aplicables.</w:t>
      </w:r>
    </w:p>
    <w:p w14:paraId="44C0A153"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i/>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F9C33F"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i/>
          <w:szCs w:val="24"/>
          <w:lang w:eastAsia="es-ES"/>
        </w:rPr>
        <w:t>(…)</w:t>
      </w:r>
    </w:p>
    <w:p w14:paraId="04C4166A" w14:textId="77777777" w:rsidR="003B2909" w:rsidRPr="001630EE" w:rsidRDefault="003B2909" w:rsidP="002C388D">
      <w:pPr>
        <w:ind w:left="851" w:right="851"/>
        <w:rPr>
          <w:rFonts w:eastAsia="Times New Roman" w:cs="Times New Roman"/>
          <w:b/>
          <w:i/>
          <w:szCs w:val="24"/>
          <w:lang w:eastAsia="es-ES"/>
        </w:rPr>
      </w:pPr>
      <w:r w:rsidRPr="001630EE">
        <w:rPr>
          <w:rFonts w:eastAsia="Times New Roman" w:cs="Times New Roman"/>
          <w:b/>
          <w:i/>
          <w:szCs w:val="24"/>
          <w:lang w:eastAsia="es-ES"/>
        </w:rPr>
        <w:t xml:space="preserve">Artículo 24. </w:t>
      </w:r>
    </w:p>
    <w:p w14:paraId="719CA1C5"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i/>
          <w:szCs w:val="24"/>
          <w:lang w:eastAsia="es-ES"/>
        </w:rPr>
        <w:t>(…)</w:t>
      </w:r>
    </w:p>
    <w:p w14:paraId="20F6E46D"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i/>
          <w:szCs w:val="24"/>
          <w:lang w:eastAsia="es-ES"/>
        </w:rPr>
        <w:lastRenderedPageBreak/>
        <w:t>Los sujetos obligados solo proporcionarán la información pública que generen, administren o posean en el ejercicio de sus atribuciones.”</w:t>
      </w:r>
    </w:p>
    <w:p w14:paraId="3AA5E5C4"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i/>
          <w:szCs w:val="24"/>
          <w:lang w:eastAsia="es-ES"/>
        </w:rPr>
        <w:t>(…)</w:t>
      </w:r>
    </w:p>
    <w:p w14:paraId="096C6493" w14:textId="77777777" w:rsidR="003B2909" w:rsidRPr="001630EE" w:rsidRDefault="003B2909" w:rsidP="002C388D">
      <w:pPr>
        <w:ind w:left="851" w:right="851"/>
        <w:rPr>
          <w:rFonts w:eastAsia="Times New Roman" w:cs="Times New Roman"/>
          <w:i/>
          <w:szCs w:val="24"/>
          <w:lang w:eastAsia="es-ES"/>
        </w:rPr>
      </w:pPr>
      <w:r w:rsidRPr="001630EE">
        <w:rPr>
          <w:rFonts w:eastAsia="Times New Roman" w:cs="Times New Roman"/>
          <w:b/>
          <w:i/>
          <w:szCs w:val="24"/>
          <w:lang w:eastAsia="es-ES"/>
        </w:rPr>
        <w:t>Artículo 160.</w:t>
      </w:r>
      <w:r w:rsidRPr="001630EE">
        <w:rPr>
          <w:rFonts w:eastAsia="Times New Roman" w:cs="Times New Roman"/>
          <w:i/>
          <w:szCs w:val="24"/>
          <w:lang w:eastAsia="es-ES"/>
        </w:rPr>
        <w:t xml:space="preserve"> Los sujetos obligados deberán otorgar acceso a los documentos que se </w:t>
      </w:r>
      <w:r w:rsidRPr="001630EE">
        <w:rPr>
          <w:rFonts w:eastAsia="Times New Roman" w:cs="Times New Roman"/>
          <w:b/>
          <w:i/>
          <w:szCs w:val="24"/>
          <w:lang w:eastAsia="es-ES"/>
        </w:rPr>
        <w:t xml:space="preserve"> </w:t>
      </w:r>
      <w:r w:rsidRPr="001630EE">
        <w:rPr>
          <w:rFonts w:eastAsia="Times New Roman" w:cs="Times New Roman"/>
          <w:i/>
          <w:szCs w:val="24"/>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E5B231C" w14:textId="77777777" w:rsidR="003B2909" w:rsidRPr="001630EE" w:rsidRDefault="003B2909" w:rsidP="002C388D">
      <w:pPr>
        <w:ind w:left="851" w:right="851"/>
        <w:rPr>
          <w:rFonts w:eastAsia="Times New Roman" w:cs="Times New Roman"/>
          <w:b/>
          <w:i/>
          <w:szCs w:val="24"/>
          <w:lang w:eastAsia="es-ES"/>
        </w:rPr>
      </w:pPr>
      <w:r w:rsidRPr="001630EE">
        <w:rPr>
          <w:rFonts w:eastAsia="Times New Roman" w:cs="Times New Roman"/>
          <w:i/>
          <w:szCs w:val="24"/>
          <w:lang w:eastAsia="es-ES"/>
        </w:rPr>
        <w:t>En caso que la información solicitada consista en bases de datos se deberá privilegiar la entrega de la misma en formatos abiertos.”</w:t>
      </w:r>
      <w:r w:rsidRPr="001630EE">
        <w:rPr>
          <w:rFonts w:eastAsia="Times New Roman" w:cs="Times New Roman"/>
          <w:b/>
          <w:i/>
          <w:szCs w:val="24"/>
          <w:lang w:eastAsia="es-ES"/>
        </w:rPr>
        <w:t>[Sic]</w:t>
      </w:r>
    </w:p>
    <w:p w14:paraId="295EBC7E" w14:textId="77777777" w:rsidR="003B2909" w:rsidRPr="001630EE" w:rsidRDefault="003B2909" w:rsidP="002C388D">
      <w:pPr>
        <w:rPr>
          <w:rFonts w:eastAsia="Times New Roman" w:cs="Times New Roman"/>
          <w:szCs w:val="24"/>
          <w:lang w:eastAsia="es-ES"/>
        </w:rPr>
      </w:pPr>
    </w:p>
    <w:p w14:paraId="3E989F4D" w14:textId="77777777" w:rsidR="008E373A" w:rsidRPr="001630EE" w:rsidRDefault="008E373A" w:rsidP="002C388D">
      <w:pPr>
        <w:tabs>
          <w:tab w:val="left" w:pos="709"/>
        </w:tabs>
        <w:contextualSpacing/>
        <w:rPr>
          <w:rFonts w:eastAsia="Times New Roman" w:cs="Arial"/>
        </w:rPr>
      </w:pPr>
      <w:r w:rsidRPr="001630EE">
        <w:rPr>
          <w:rFonts w:eastAsia="Times New Roman" w:cs="Arial"/>
        </w:rPr>
        <w:t xml:space="preserve">En esta misma tesitura, el derecho de acceso a la información pública, consiste en que la información solicitada conste en un soporte documental en cualquiera de sus formas, a saber: </w:t>
      </w:r>
      <w:r w:rsidRPr="001630EE">
        <w:rPr>
          <w:rFonts w:eastAsia="Times New Roman"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630EE">
        <w:rPr>
          <w:rFonts w:eastAsia="Times New Roman"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02412AA" w14:textId="77777777" w:rsidR="008E373A" w:rsidRPr="001630EE" w:rsidRDefault="008E373A" w:rsidP="002C388D">
      <w:pPr>
        <w:spacing w:line="240" w:lineRule="auto"/>
        <w:rPr>
          <w:rFonts w:ascii="Times New Roman" w:eastAsia="Times New Roman" w:hAnsi="Times New Roman" w:cs="Times New Roman"/>
          <w:szCs w:val="24"/>
          <w:lang w:eastAsia="es-ES"/>
        </w:rPr>
      </w:pPr>
    </w:p>
    <w:p w14:paraId="02ECA508" w14:textId="77777777" w:rsidR="008E373A" w:rsidRPr="001630EE" w:rsidRDefault="008E373A" w:rsidP="002C388D">
      <w:pPr>
        <w:ind w:left="567" w:right="616"/>
        <w:rPr>
          <w:rFonts w:eastAsia="Times New Roman" w:cs="Arial"/>
          <w:i/>
        </w:rPr>
      </w:pPr>
      <w:r w:rsidRPr="001630EE">
        <w:rPr>
          <w:rFonts w:eastAsia="Times New Roman" w:cs="Arial"/>
          <w:i/>
        </w:rPr>
        <w:t>“</w:t>
      </w:r>
      <w:r w:rsidRPr="001630EE">
        <w:rPr>
          <w:rFonts w:eastAsia="Times New Roman" w:cs="Arial"/>
          <w:b/>
          <w:i/>
        </w:rPr>
        <w:t xml:space="preserve">Artículo 3. </w:t>
      </w:r>
      <w:r w:rsidRPr="001630EE">
        <w:rPr>
          <w:rFonts w:eastAsia="Times New Roman" w:cs="Arial"/>
          <w:i/>
        </w:rPr>
        <w:t>Para los efectos de la presente Ley se entenderá por:</w:t>
      </w:r>
    </w:p>
    <w:p w14:paraId="4B83C9E5" w14:textId="77777777" w:rsidR="008E373A" w:rsidRPr="001630EE" w:rsidRDefault="008E373A" w:rsidP="002C388D">
      <w:pPr>
        <w:ind w:left="567" w:right="616"/>
        <w:rPr>
          <w:rFonts w:eastAsia="Times New Roman" w:cs="Arial"/>
          <w:i/>
        </w:rPr>
      </w:pPr>
      <w:r w:rsidRPr="001630EE">
        <w:rPr>
          <w:rFonts w:eastAsia="Times New Roman" w:cs="Arial"/>
          <w:i/>
        </w:rPr>
        <w:t>(…)</w:t>
      </w:r>
    </w:p>
    <w:p w14:paraId="19E541EE" w14:textId="77777777" w:rsidR="008E373A" w:rsidRPr="001630EE" w:rsidRDefault="008E373A" w:rsidP="002C388D">
      <w:pPr>
        <w:ind w:left="567" w:right="616"/>
        <w:rPr>
          <w:rFonts w:eastAsia="Times New Roman" w:cs="Arial"/>
          <w:i/>
        </w:rPr>
      </w:pPr>
      <w:r w:rsidRPr="001630EE">
        <w:rPr>
          <w:rFonts w:eastAsia="Times New Roman" w:cs="Arial"/>
          <w:b/>
          <w:i/>
        </w:rPr>
        <w:lastRenderedPageBreak/>
        <w:t>XI. Documento:</w:t>
      </w:r>
      <w:r w:rsidRPr="001630EE">
        <w:rPr>
          <w:rFonts w:eastAsia="Times New Roman" w:cs="Arial"/>
          <w:i/>
        </w:rPr>
        <w:t xml:space="preserve"> Los expedientes, reportes, estudios, actas, resoluciones, oficios, correspondencia, acuerdos, directivas, directrices, circulares, contratos, convenios, instructivos, notas, memorandos, estadísticas o bien, cualquier otro </w:t>
      </w:r>
      <w:r w:rsidRPr="001630EE">
        <w:rPr>
          <w:rFonts w:eastAsia="Times New Roman" w:cs="Arial"/>
          <w:b/>
          <w:i/>
          <w:u w:val="single"/>
        </w:rPr>
        <w:t>registro que documente el ejercicio de las facultades, funciones y competencias de los sujetos obligados</w:t>
      </w:r>
      <w:r w:rsidRPr="001630EE">
        <w:rPr>
          <w:rFonts w:eastAsia="Times New Roman" w:cs="Arial"/>
          <w:i/>
          <w:u w:val="single"/>
        </w:rPr>
        <w:t>,</w:t>
      </w:r>
      <w:r w:rsidRPr="001630EE">
        <w:rPr>
          <w:rFonts w:eastAsia="Times New Roman" w:cs="Arial"/>
          <w:i/>
        </w:rPr>
        <w:t xml:space="preserve"> sus servidores públicos e integrantes, </w:t>
      </w:r>
      <w:r w:rsidRPr="001630EE">
        <w:rPr>
          <w:rFonts w:eastAsia="Times New Roman" w:cs="Arial"/>
          <w:b/>
          <w:i/>
          <w:u w:val="single"/>
        </w:rPr>
        <w:t>sin importar su fuente o fecha de elaboración.</w:t>
      </w:r>
      <w:r w:rsidRPr="001630EE">
        <w:rPr>
          <w:rFonts w:eastAsia="Times New Roman" w:cs="Arial"/>
          <w:i/>
        </w:rPr>
        <w:t xml:space="preserve"> Los documentos podrán estar en cualquier medio, sea escrito, impreso, sonoro, visual, electrónico, informático u holográfico;</w:t>
      </w:r>
    </w:p>
    <w:p w14:paraId="0B1F02A8" w14:textId="77777777" w:rsidR="008E373A" w:rsidRPr="001630EE" w:rsidRDefault="008E373A" w:rsidP="002C388D">
      <w:pPr>
        <w:ind w:left="567" w:right="616"/>
        <w:rPr>
          <w:rFonts w:eastAsia="Times New Roman" w:cs="Arial"/>
          <w:i/>
        </w:rPr>
      </w:pPr>
      <w:r w:rsidRPr="001630EE">
        <w:rPr>
          <w:rFonts w:eastAsia="Times New Roman" w:cs="Arial"/>
          <w:i/>
        </w:rPr>
        <w:t>(…)”</w:t>
      </w:r>
    </w:p>
    <w:p w14:paraId="3FB5AD8A" w14:textId="77777777" w:rsidR="008E373A" w:rsidRPr="001630EE" w:rsidRDefault="008E373A" w:rsidP="002C388D">
      <w:pPr>
        <w:ind w:right="49"/>
        <w:contextualSpacing/>
        <w:rPr>
          <w:rFonts w:eastAsia="Times New Roman" w:cs="Arial"/>
        </w:rPr>
      </w:pPr>
    </w:p>
    <w:p w14:paraId="37CF5E0D" w14:textId="77777777" w:rsidR="008E373A" w:rsidRPr="001630EE" w:rsidRDefault="008E373A" w:rsidP="002C388D">
      <w:pPr>
        <w:ind w:right="49"/>
        <w:contextualSpacing/>
        <w:rPr>
          <w:rFonts w:eastAsia="MS Mincho"/>
        </w:rPr>
      </w:pPr>
      <w:r w:rsidRPr="001630EE">
        <w:rPr>
          <w:rFonts w:eastAsia="Times New Roman" w:cs="Arial"/>
        </w:rPr>
        <w:t xml:space="preserve">Además, </w:t>
      </w:r>
      <w:r w:rsidRPr="001630EE">
        <w:rPr>
          <w:rFonts w:eastAsia="MS Mincho"/>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2BA4292" w14:textId="77777777" w:rsidR="008E373A" w:rsidRPr="001630EE" w:rsidRDefault="008E373A" w:rsidP="002C388D">
      <w:pPr>
        <w:rPr>
          <w:rFonts w:eastAsia="Times New Roman" w:cs="Times New Roman"/>
          <w:szCs w:val="24"/>
          <w:lang w:eastAsia="es-ES"/>
        </w:rPr>
      </w:pPr>
    </w:p>
    <w:p w14:paraId="32720704" w14:textId="77777777" w:rsidR="003B2909" w:rsidRPr="001630EE" w:rsidRDefault="003B2909" w:rsidP="002C388D">
      <w:pPr>
        <w:rPr>
          <w:rFonts w:eastAsia="Times New Roman" w:cs="Times New Roman"/>
          <w:szCs w:val="24"/>
          <w:lang w:eastAsia="es-ES"/>
        </w:rPr>
      </w:pPr>
      <w:r w:rsidRPr="001630EE">
        <w:rPr>
          <w:rFonts w:eastAsia="Times New Roman" w:cs="Times New Roman"/>
          <w:szCs w:val="24"/>
          <w:lang w:eastAsia="es-ES"/>
        </w:rPr>
        <w:t xml:space="preserve">Así que la obligación de los </w:t>
      </w:r>
      <w:r w:rsidRPr="001630EE">
        <w:rPr>
          <w:rFonts w:eastAsia="Times New Roman" w:cs="Times New Roman"/>
          <w:b/>
          <w:szCs w:val="24"/>
          <w:lang w:eastAsia="es-ES"/>
        </w:rPr>
        <w:t>Sujetos Obligados</w:t>
      </w:r>
      <w:r w:rsidRPr="001630EE">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w:t>
      </w:r>
      <w:r w:rsidRPr="001630EE">
        <w:rPr>
          <w:rFonts w:eastAsia="Times New Roman" w:cs="Times New Roman"/>
          <w:szCs w:val="24"/>
          <w:lang w:eastAsia="es-ES"/>
        </w:rPr>
        <w:lastRenderedPageBreak/>
        <w:t xml:space="preserve">lugar que ésta se localice, de acuerdo a lo señalado por el artículo 166 </w:t>
      </w:r>
      <w:r w:rsidRPr="001630EE">
        <w:rPr>
          <w:rFonts w:eastAsia="Times New Roman" w:cs="Times New Roman"/>
          <w:bCs/>
          <w:szCs w:val="24"/>
          <w:lang w:eastAsia="es-ES"/>
        </w:rPr>
        <w:t>de la Ley local en la materia, que se reproduce de la siguiente forma</w:t>
      </w:r>
      <w:r w:rsidRPr="001630EE">
        <w:rPr>
          <w:rFonts w:eastAsia="Times New Roman" w:cs="Times New Roman"/>
          <w:szCs w:val="24"/>
          <w:lang w:eastAsia="es-ES"/>
        </w:rPr>
        <w:t>:</w:t>
      </w:r>
    </w:p>
    <w:p w14:paraId="1E8B2E27" w14:textId="77777777" w:rsidR="00C26BFD" w:rsidRPr="001630EE" w:rsidRDefault="00C26BFD" w:rsidP="002C388D">
      <w:pPr>
        <w:rPr>
          <w:rFonts w:eastAsia="Times New Roman" w:cs="Times New Roman"/>
          <w:szCs w:val="24"/>
          <w:lang w:eastAsia="es-ES"/>
        </w:rPr>
      </w:pPr>
    </w:p>
    <w:p w14:paraId="5B83E4BE" w14:textId="77777777" w:rsidR="003B2909" w:rsidRPr="001630EE" w:rsidRDefault="003B2909" w:rsidP="002C388D">
      <w:pPr>
        <w:ind w:left="851" w:right="851"/>
        <w:rPr>
          <w:rFonts w:eastAsia="Times New Roman" w:cs="Arial"/>
          <w:b/>
          <w:i/>
          <w:lang w:eastAsia="es-ES"/>
        </w:rPr>
      </w:pPr>
      <w:r w:rsidRPr="001630EE">
        <w:rPr>
          <w:rFonts w:eastAsia="Times New Roman" w:cs="Arial"/>
          <w:b/>
          <w:i/>
          <w:lang w:eastAsia="es-ES"/>
        </w:rPr>
        <w:t>“Artículo 166.</w:t>
      </w:r>
      <w:r w:rsidRPr="001630EE">
        <w:rPr>
          <w:rFonts w:eastAsia="Times New Roman"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1630EE">
        <w:rPr>
          <w:rFonts w:eastAsia="Times New Roman" w:cs="Arial"/>
          <w:b/>
          <w:i/>
          <w:lang w:eastAsia="es-ES"/>
        </w:rPr>
        <w:t>[Sic]</w:t>
      </w:r>
    </w:p>
    <w:p w14:paraId="6DEB2104" w14:textId="77777777" w:rsidR="003B2909" w:rsidRPr="001630EE" w:rsidRDefault="003B2909" w:rsidP="002C388D">
      <w:pPr>
        <w:pBdr>
          <w:top w:val="nil"/>
          <w:left w:val="nil"/>
          <w:bottom w:val="nil"/>
          <w:right w:val="nil"/>
          <w:between w:val="nil"/>
        </w:pBdr>
        <w:contextualSpacing/>
      </w:pPr>
    </w:p>
    <w:p w14:paraId="705E880B" w14:textId="427EB8E5" w:rsidR="009D6415" w:rsidRPr="001630EE" w:rsidRDefault="003B2909" w:rsidP="002C388D">
      <w:pPr>
        <w:pBdr>
          <w:top w:val="nil"/>
          <w:left w:val="nil"/>
          <w:bottom w:val="nil"/>
          <w:right w:val="nil"/>
          <w:between w:val="nil"/>
        </w:pBdr>
        <w:contextualSpacing/>
      </w:pPr>
      <w:r w:rsidRPr="001630EE">
        <w:t xml:space="preserve">Por lo que, se debe traer a efecto de establecer si la respuesta brindada por el Sujeto Obligado colma el derecho al acceso a la información del Recurrente se debe de traer a colación </w:t>
      </w:r>
      <w:r w:rsidR="00841A52" w:rsidRPr="001630EE">
        <w:t>lo establecido en</w:t>
      </w:r>
      <w:r w:rsidR="00C26BFD" w:rsidRPr="001630EE">
        <w:t xml:space="preserve"> la Ley Orgánica Municipal del Estado de México,</w:t>
      </w:r>
      <w:r w:rsidR="00841A52" w:rsidRPr="001630EE">
        <w:t xml:space="preserve"> el Bando Municipal, así como en el Reglamento de la Administración Pública Municipal de Jocotitlán, los cuales señalan lo siguiente:</w:t>
      </w:r>
    </w:p>
    <w:p w14:paraId="283BD20A" w14:textId="77777777" w:rsidR="00C26BFD" w:rsidRPr="001630EE" w:rsidRDefault="00C26BFD" w:rsidP="002C388D">
      <w:pPr>
        <w:pBdr>
          <w:top w:val="nil"/>
          <w:left w:val="nil"/>
          <w:bottom w:val="nil"/>
          <w:right w:val="nil"/>
          <w:between w:val="nil"/>
        </w:pBdr>
        <w:contextualSpacing/>
      </w:pPr>
    </w:p>
    <w:p w14:paraId="1A8FBA69" w14:textId="77777777" w:rsidR="00C26BFD" w:rsidRPr="001630EE" w:rsidRDefault="00C26BFD" w:rsidP="002C388D">
      <w:pPr>
        <w:pStyle w:val="Citas"/>
        <w:spacing w:before="0" w:after="0"/>
        <w:jc w:val="center"/>
        <w:rPr>
          <w:b/>
          <w:bCs/>
          <w:i w:val="0"/>
          <w:iCs/>
        </w:rPr>
      </w:pPr>
      <w:r w:rsidRPr="001630EE">
        <w:rPr>
          <w:b/>
          <w:bCs/>
          <w:i w:val="0"/>
          <w:iCs/>
        </w:rPr>
        <w:t>LEY ORGÁNICA MUNICIPAL DEL ESTADO DE MÉXICO</w:t>
      </w:r>
    </w:p>
    <w:p w14:paraId="16EF1D6C" w14:textId="77777777" w:rsidR="00C26BFD" w:rsidRPr="001630EE" w:rsidRDefault="00C26BFD" w:rsidP="002C388D">
      <w:pPr>
        <w:pStyle w:val="Citas"/>
        <w:spacing w:before="0" w:after="0"/>
      </w:pPr>
      <w:r w:rsidRPr="001630EE">
        <w:t>“Artículo 31.- Son atribuciones de los ayuntamientos:</w:t>
      </w:r>
    </w:p>
    <w:p w14:paraId="6E487273" w14:textId="77777777" w:rsidR="00C26BFD" w:rsidRPr="001630EE" w:rsidRDefault="00C26BFD" w:rsidP="002C388D">
      <w:pPr>
        <w:pStyle w:val="Citas"/>
        <w:spacing w:before="0" w:after="0"/>
      </w:pPr>
      <w:r w:rsidRPr="001630EE">
        <w:t>(…)</w:t>
      </w:r>
    </w:p>
    <w:p w14:paraId="6C5BAB26" w14:textId="77777777" w:rsidR="00C26BFD" w:rsidRPr="001630EE" w:rsidRDefault="00C26BFD" w:rsidP="002C388D">
      <w:pPr>
        <w:pStyle w:val="Citas"/>
        <w:spacing w:before="0" w:after="0"/>
        <w:rPr>
          <w:b/>
          <w:bCs/>
          <w:u w:val="single"/>
        </w:rPr>
      </w:pPr>
      <w:r w:rsidRPr="001630EE">
        <w:rPr>
          <w:b/>
          <w:bCs/>
          <w:u w:val="single"/>
        </w:rPr>
        <w:t>II. Celebrar convenios, cuando así fuese necesario, con las autoridades estatales competentes; en relación con la prestación de los servicios públicos a que se refiere el artículo 115, fracción III de la Constitución General, así como en lo referente a la administración de contribuciones fiscales;</w:t>
      </w:r>
    </w:p>
    <w:p w14:paraId="13C1B6EF" w14:textId="77777777" w:rsidR="00C26BFD" w:rsidRPr="001630EE" w:rsidRDefault="00C26BFD" w:rsidP="002C388D">
      <w:pPr>
        <w:pStyle w:val="Citas"/>
        <w:spacing w:before="0" w:after="0"/>
        <w:rPr>
          <w:b/>
          <w:bCs/>
        </w:rPr>
      </w:pPr>
      <w:r w:rsidRPr="001630EE">
        <w:t xml:space="preserve">(…)” </w:t>
      </w:r>
      <w:r w:rsidRPr="001630EE">
        <w:rPr>
          <w:b/>
          <w:bCs/>
        </w:rPr>
        <w:t>(Sic)</w:t>
      </w:r>
    </w:p>
    <w:p w14:paraId="3A5971A2" w14:textId="5E89E675" w:rsidR="00841A52" w:rsidRPr="001630EE" w:rsidRDefault="00841A52" w:rsidP="002C388D">
      <w:pPr>
        <w:pBdr>
          <w:top w:val="nil"/>
          <w:left w:val="nil"/>
          <w:bottom w:val="nil"/>
          <w:right w:val="nil"/>
          <w:between w:val="nil"/>
        </w:pBdr>
        <w:ind w:left="567" w:right="567"/>
        <w:contextualSpacing/>
        <w:jc w:val="center"/>
        <w:rPr>
          <w:b/>
          <w:i/>
        </w:rPr>
      </w:pPr>
      <w:r w:rsidRPr="001630EE">
        <w:rPr>
          <w:b/>
          <w:i/>
        </w:rPr>
        <w:t>“BANDO MUNICIPAL 2025</w:t>
      </w:r>
    </w:p>
    <w:p w14:paraId="291CB5EC" w14:textId="77777777" w:rsidR="00841A52" w:rsidRPr="001630EE" w:rsidRDefault="00841A52" w:rsidP="002C388D">
      <w:pPr>
        <w:pBdr>
          <w:top w:val="nil"/>
          <w:left w:val="nil"/>
          <w:bottom w:val="nil"/>
          <w:right w:val="nil"/>
          <w:between w:val="nil"/>
        </w:pBdr>
        <w:ind w:left="567" w:right="567"/>
        <w:contextualSpacing/>
        <w:jc w:val="center"/>
        <w:rPr>
          <w:b/>
          <w:i/>
        </w:rPr>
      </w:pPr>
      <w:r w:rsidRPr="001630EE">
        <w:rPr>
          <w:b/>
          <w:i/>
        </w:rPr>
        <w:t>Capítulo V</w:t>
      </w:r>
    </w:p>
    <w:p w14:paraId="70C6BBF3" w14:textId="4D7BF114" w:rsidR="00841A52" w:rsidRPr="001630EE" w:rsidRDefault="00841A52" w:rsidP="002C388D">
      <w:pPr>
        <w:pBdr>
          <w:top w:val="nil"/>
          <w:left w:val="nil"/>
          <w:bottom w:val="nil"/>
          <w:right w:val="nil"/>
          <w:between w:val="nil"/>
        </w:pBdr>
        <w:ind w:left="567" w:right="567"/>
        <w:contextualSpacing/>
        <w:jc w:val="center"/>
        <w:rPr>
          <w:b/>
          <w:i/>
        </w:rPr>
      </w:pPr>
      <w:r w:rsidRPr="001630EE">
        <w:rPr>
          <w:b/>
          <w:i/>
        </w:rPr>
        <w:t>De la Administración Municipal</w:t>
      </w:r>
    </w:p>
    <w:p w14:paraId="26DC7E02" w14:textId="3C5C60B5" w:rsidR="00841A52" w:rsidRPr="001630EE" w:rsidRDefault="00841A52" w:rsidP="002C388D">
      <w:pPr>
        <w:pBdr>
          <w:top w:val="nil"/>
          <w:left w:val="nil"/>
          <w:bottom w:val="nil"/>
          <w:right w:val="nil"/>
          <w:between w:val="nil"/>
        </w:pBdr>
        <w:ind w:left="567" w:right="567"/>
        <w:contextualSpacing/>
        <w:rPr>
          <w:i/>
        </w:rPr>
      </w:pPr>
      <w:r w:rsidRPr="001630EE">
        <w:rPr>
          <w:b/>
          <w:i/>
        </w:rPr>
        <w:lastRenderedPageBreak/>
        <w:t>Artículo 72.</w:t>
      </w:r>
      <w:r w:rsidRPr="001630EE">
        <w:rPr>
          <w:i/>
        </w:rPr>
        <w:t xml:space="preserve"> Para el estudio, planeación y despacho de los asuntos de la administración pública municipal, la Presidenta se auxiliará de las siguientes Dependencias, Unidades Administrativas, Organismos Desconcentrados, Organismos Descentralizados y Órgano Autónomo:</w:t>
      </w:r>
    </w:p>
    <w:p w14:paraId="3EF6E07D" w14:textId="4EFDD39E" w:rsidR="00841A52" w:rsidRPr="001630EE" w:rsidRDefault="00841A52" w:rsidP="002C388D">
      <w:pPr>
        <w:pBdr>
          <w:top w:val="nil"/>
          <w:left w:val="nil"/>
          <w:bottom w:val="nil"/>
          <w:right w:val="nil"/>
          <w:between w:val="nil"/>
        </w:pBdr>
        <w:ind w:left="567" w:right="567"/>
        <w:contextualSpacing/>
        <w:rPr>
          <w:i/>
        </w:rPr>
      </w:pPr>
      <w:r w:rsidRPr="001630EE">
        <w:rPr>
          <w:i/>
        </w:rPr>
        <w:t>(…)</w:t>
      </w:r>
    </w:p>
    <w:p w14:paraId="5B7B2058" w14:textId="77777777" w:rsidR="00841A52" w:rsidRPr="001630EE" w:rsidRDefault="00841A52" w:rsidP="002C388D">
      <w:pPr>
        <w:pBdr>
          <w:top w:val="nil"/>
          <w:left w:val="nil"/>
          <w:bottom w:val="nil"/>
          <w:right w:val="nil"/>
          <w:between w:val="nil"/>
        </w:pBdr>
        <w:ind w:left="567" w:right="567"/>
        <w:contextualSpacing/>
        <w:rPr>
          <w:i/>
        </w:rPr>
      </w:pPr>
      <w:r w:rsidRPr="001630EE">
        <w:rPr>
          <w:i/>
        </w:rPr>
        <w:t>Unidades Administrativas</w:t>
      </w:r>
    </w:p>
    <w:p w14:paraId="1D94B9EB" w14:textId="77777777" w:rsidR="00841A52" w:rsidRPr="001630EE" w:rsidRDefault="00841A52" w:rsidP="002C388D">
      <w:pPr>
        <w:pBdr>
          <w:top w:val="nil"/>
          <w:left w:val="nil"/>
          <w:bottom w:val="nil"/>
          <w:right w:val="nil"/>
          <w:between w:val="nil"/>
        </w:pBdr>
        <w:ind w:left="567" w:right="567"/>
        <w:contextualSpacing/>
        <w:rPr>
          <w:b/>
          <w:i/>
          <w:u w:val="single"/>
        </w:rPr>
      </w:pPr>
      <w:r w:rsidRPr="001630EE">
        <w:rPr>
          <w:b/>
          <w:i/>
          <w:u w:val="single"/>
        </w:rPr>
        <w:t>I. Coordinación de Consejería Jurídica y Consultiva;</w:t>
      </w:r>
    </w:p>
    <w:p w14:paraId="6DAD4010" w14:textId="77777777" w:rsidR="00841A52" w:rsidRPr="001630EE" w:rsidRDefault="00841A52" w:rsidP="002C388D">
      <w:pPr>
        <w:pBdr>
          <w:top w:val="nil"/>
          <w:left w:val="nil"/>
          <w:bottom w:val="nil"/>
          <w:right w:val="nil"/>
          <w:between w:val="nil"/>
        </w:pBdr>
        <w:ind w:left="567" w:right="567"/>
        <w:contextualSpacing/>
        <w:rPr>
          <w:i/>
        </w:rPr>
      </w:pPr>
      <w:r w:rsidRPr="001630EE">
        <w:rPr>
          <w:i/>
        </w:rPr>
        <w:t>II. Juzgado Cívico;</w:t>
      </w:r>
    </w:p>
    <w:p w14:paraId="2A7FA1E5" w14:textId="77777777" w:rsidR="00841A52" w:rsidRPr="001630EE" w:rsidRDefault="00841A52" w:rsidP="002C388D">
      <w:pPr>
        <w:pBdr>
          <w:top w:val="nil"/>
          <w:left w:val="nil"/>
          <w:bottom w:val="nil"/>
          <w:right w:val="nil"/>
          <w:between w:val="nil"/>
        </w:pBdr>
        <w:ind w:left="567" w:right="567"/>
        <w:contextualSpacing/>
        <w:rPr>
          <w:i/>
        </w:rPr>
      </w:pPr>
      <w:r w:rsidRPr="001630EE">
        <w:rPr>
          <w:i/>
        </w:rPr>
        <w:t>III. Coordinación Municipal de Protección Civil y Bomberos;</w:t>
      </w:r>
    </w:p>
    <w:p w14:paraId="7D72A03C" w14:textId="77777777" w:rsidR="00841A52" w:rsidRPr="001630EE" w:rsidRDefault="00841A52" w:rsidP="002C388D">
      <w:pPr>
        <w:pBdr>
          <w:top w:val="nil"/>
          <w:left w:val="nil"/>
          <w:bottom w:val="nil"/>
          <w:right w:val="nil"/>
          <w:between w:val="nil"/>
        </w:pBdr>
        <w:ind w:left="567" w:right="567"/>
        <w:contextualSpacing/>
        <w:rPr>
          <w:i/>
        </w:rPr>
      </w:pPr>
      <w:r w:rsidRPr="001630EE">
        <w:rPr>
          <w:i/>
        </w:rPr>
        <w:t>IV. Coordinación General Municipal de Mejora Regulatoria y Gobierno Digital;</w:t>
      </w:r>
    </w:p>
    <w:p w14:paraId="317A1A07" w14:textId="77777777" w:rsidR="00841A52" w:rsidRPr="001630EE" w:rsidRDefault="00841A52" w:rsidP="002C388D">
      <w:pPr>
        <w:pBdr>
          <w:top w:val="nil"/>
          <w:left w:val="nil"/>
          <w:bottom w:val="nil"/>
          <w:right w:val="nil"/>
          <w:between w:val="nil"/>
        </w:pBdr>
        <w:ind w:left="567" w:right="567"/>
        <w:contextualSpacing/>
        <w:rPr>
          <w:i/>
        </w:rPr>
      </w:pPr>
      <w:r w:rsidRPr="001630EE">
        <w:rPr>
          <w:i/>
        </w:rPr>
        <w:t>V. Coordinación de Unidad de Información, Planeación, Programación y Evaluación;</w:t>
      </w:r>
    </w:p>
    <w:p w14:paraId="34455EAD" w14:textId="77777777" w:rsidR="00841A52" w:rsidRPr="001630EE" w:rsidRDefault="00841A52" w:rsidP="002C388D">
      <w:pPr>
        <w:pBdr>
          <w:top w:val="nil"/>
          <w:left w:val="nil"/>
          <w:bottom w:val="nil"/>
          <w:right w:val="nil"/>
          <w:between w:val="nil"/>
        </w:pBdr>
        <w:ind w:left="567" w:right="567"/>
        <w:contextualSpacing/>
        <w:rPr>
          <w:i/>
        </w:rPr>
      </w:pPr>
      <w:r w:rsidRPr="001630EE">
        <w:rPr>
          <w:i/>
        </w:rPr>
        <w:t>VI. Coordinación de Transparencia;</w:t>
      </w:r>
    </w:p>
    <w:p w14:paraId="644DEE68" w14:textId="77777777" w:rsidR="00841A52" w:rsidRPr="001630EE" w:rsidRDefault="00841A52" w:rsidP="002C388D">
      <w:pPr>
        <w:pBdr>
          <w:top w:val="nil"/>
          <w:left w:val="nil"/>
          <w:bottom w:val="nil"/>
          <w:right w:val="nil"/>
          <w:between w:val="nil"/>
        </w:pBdr>
        <w:ind w:left="567" w:right="567"/>
        <w:contextualSpacing/>
        <w:rPr>
          <w:i/>
        </w:rPr>
      </w:pPr>
      <w:r w:rsidRPr="001630EE">
        <w:rPr>
          <w:i/>
        </w:rPr>
        <w:t>VII. Secretaría Particular de Presidencia;</w:t>
      </w:r>
    </w:p>
    <w:p w14:paraId="1CC00AA3" w14:textId="77777777" w:rsidR="00841A52" w:rsidRPr="001630EE" w:rsidRDefault="00841A52" w:rsidP="002C388D">
      <w:pPr>
        <w:pBdr>
          <w:top w:val="nil"/>
          <w:left w:val="nil"/>
          <w:bottom w:val="nil"/>
          <w:right w:val="nil"/>
          <w:between w:val="nil"/>
        </w:pBdr>
        <w:ind w:left="567" w:right="567"/>
        <w:contextualSpacing/>
        <w:rPr>
          <w:i/>
        </w:rPr>
      </w:pPr>
      <w:r w:rsidRPr="001630EE">
        <w:rPr>
          <w:i/>
        </w:rPr>
        <w:t>VIII. Coordinación de Secretaría Técnica y Logística;</w:t>
      </w:r>
    </w:p>
    <w:p w14:paraId="0E64D68D" w14:textId="77777777" w:rsidR="00841A52" w:rsidRPr="001630EE" w:rsidRDefault="00841A52" w:rsidP="002C388D">
      <w:pPr>
        <w:pBdr>
          <w:top w:val="nil"/>
          <w:left w:val="nil"/>
          <w:bottom w:val="nil"/>
          <w:right w:val="nil"/>
          <w:between w:val="nil"/>
        </w:pBdr>
        <w:ind w:left="567" w:right="567"/>
        <w:contextualSpacing/>
        <w:rPr>
          <w:i/>
        </w:rPr>
      </w:pPr>
      <w:r w:rsidRPr="001630EE">
        <w:rPr>
          <w:i/>
        </w:rPr>
        <w:t>IX. Coordinación de Comunicación Social;</w:t>
      </w:r>
    </w:p>
    <w:p w14:paraId="4D878FB3" w14:textId="77777777" w:rsidR="00841A52" w:rsidRPr="001630EE" w:rsidRDefault="00841A52" w:rsidP="002C388D">
      <w:pPr>
        <w:pBdr>
          <w:top w:val="nil"/>
          <w:left w:val="nil"/>
          <w:bottom w:val="nil"/>
          <w:right w:val="nil"/>
          <w:between w:val="nil"/>
        </w:pBdr>
        <w:ind w:left="567" w:right="567"/>
        <w:contextualSpacing/>
        <w:rPr>
          <w:i/>
        </w:rPr>
      </w:pPr>
      <w:r w:rsidRPr="001630EE">
        <w:rPr>
          <w:i/>
        </w:rPr>
        <w:t>X. Coordinación Municipal de Gobernación;</w:t>
      </w:r>
    </w:p>
    <w:p w14:paraId="64A0B3DF" w14:textId="77777777" w:rsidR="00841A52" w:rsidRPr="001630EE" w:rsidRDefault="00841A52" w:rsidP="002C388D">
      <w:pPr>
        <w:pBdr>
          <w:top w:val="nil"/>
          <w:left w:val="nil"/>
          <w:bottom w:val="nil"/>
          <w:right w:val="nil"/>
          <w:between w:val="nil"/>
        </w:pBdr>
        <w:ind w:left="567" w:right="567"/>
        <w:contextualSpacing/>
        <w:rPr>
          <w:i/>
        </w:rPr>
      </w:pPr>
      <w:r w:rsidRPr="001630EE">
        <w:rPr>
          <w:i/>
        </w:rPr>
        <w:t>XI. Oficialías de Registro Civil;</w:t>
      </w:r>
    </w:p>
    <w:p w14:paraId="042156CB" w14:textId="77777777" w:rsidR="00841A52" w:rsidRPr="001630EE" w:rsidRDefault="00841A52" w:rsidP="002C388D">
      <w:pPr>
        <w:pBdr>
          <w:top w:val="nil"/>
          <w:left w:val="nil"/>
          <w:bottom w:val="nil"/>
          <w:right w:val="nil"/>
          <w:between w:val="nil"/>
        </w:pBdr>
        <w:ind w:left="567" w:right="567"/>
        <w:contextualSpacing/>
        <w:rPr>
          <w:i/>
        </w:rPr>
      </w:pPr>
      <w:r w:rsidRPr="001630EE">
        <w:rPr>
          <w:i/>
        </w:rPr>
        <w:t>XII. Secretaría Técnica del Consejo Municipal de Seguridad Pública;</w:t>
      </w:r>
    </w:p>
    <w:p w14:paraId="0E0B68FD" w14:textId="77777777" w:rsidR="00841A52" w:rsidRPr="001630EE" w:rsidRDefault="00841A52" w:rsidP="002C388D">
      <w:pPr>
        <w:pBdr>
          <w:top w:val="nil"/>
          <w:left w:val="nil"/>
          <w:bottom w:val="nil"/>
          <w:right w:val="nil"/>
          <w:between w:val="nil"/>
        </w:pBdr>
        <w:ind w:left="567" w:right="567"/>
        <w:contextualSpacing/>
        <w:rPr>
          <w:i/>
        </w:rPr>
      </w:pPr>
      <w:r w:rsidRPr="001630EE">
        <w:rPr>
          <w:i/>
        </w:rPr>
        <w:t>XIII. Coordinación de Catastro; y</w:t>
      </w:r>
    </w:p>
    <w:p w14:paraId="7AAC2611" w14:textId="66C77113" w:rsidR="00841A52" w:rsidRPr="001630EE" w:rsidRDefault="00841A52" w:rsidP="002C388D">
      <w:pPr>
        <w:pBdr>
          <w:top w:val="nil"/>
          <w:left w:val="nil"/>
          <w:bottom w:val="nil"/>
          <w:right w:val="nil"/>
          <w:between w:val="nil"/>
        </w:pBdr>
        <w:ind w:left="567" w:right="567"/>
        <w:contextualSpacing/>
        <w:rPr>
          <w:i/>
        </w:rPr>
      </w:pPr>
      <w:r w:rsidRPr="001630EE">
        <w:rPr>
          <w:i/>
        </w:rPr>
        <w:t>XIV. Área Coordinadora de Archivos.</w:t>
      </w:r>
    </w:p>
    <w:p w14:paraId="0C49C477" w14:textId="4090EBEE" w:rsidR="00841A52" w:rsidRPr="001630EE" w:rsidRDefault="00841A52" w:rsidP="002C388D">
      <w:pPr>
        <w:pBdr>
          <w:top w:val="nil"/>
          <w:left w:val="nil"/>
          <w:bottom w:val="nil"/>
          <w:right w:val="nil"/>
          <w:between w:val="nil"/>
        </w:pBdr>
        <w:ind w:left="567" w:right="567"/>
        <w:contextualSpacing/>
        <w:rPr>
          <w:i/>
        </w:rPr>
      </w:pPr>
      <w:r w:rsidRPr="001630EE">
        <w:rPr>
          <w:i/>
        </w:rPr>
        <w:t>(…)</w:t>
      </w:r>
    </w:p>
    <w:p w14:paraId="2456F2F2" w14:textId="77777777" w:rsidR="00841A52" w:rsidRPr="001630EE" w:rsidRDefault="00841A52" w:rsidP="002C388D">
      <w:pPr>
        <w:pBdr>
          <w:top w:val="nil"/>
          <w:left w:val="nil"/>
          <w:bottom w:val="nil"/>
          <w:right w:val="nil"/>
          <w:between w:val="nil"/>
        </w:pBdr>
        <w:ind w:left="567" w:right="567"/>
        <w:contextualSpacing/>
        <w:rPr>
          <w:i/>
        </w:rPr>
      </w:pPr>
    </w:p>
    <w:p w14:paraId="12B7D897" w14:textId="426E7A6F" w:rsidR="00841A52" w:rsidRPr="001630EE" w:rsidRDefault="00841A52" w:rsidP="002C388D">
      <w:pPr>
        <w:pBdr>
          <w:top w:val="nil"/>
          <w:left w:val="nil"/>
          <w:bottom w:val="nil"/>
          <w:right w:val="nil"/>
          <w:between w:val="nil"/>
        </w:pBdr>
        <w:ind w:left="567" w:right="567"/>
        <w:contextualSpacing/>
        <w:jc w:val="center"/>
        <w:rPr>
          <w:b/>
          <w:i/>
        </w:rPr>
      </w:pPr>
      <w:r w:rsidRPr="001630EE">
        <w:rPr>
          <w:b/>
          <w:i/>
        </w:rPr>
        <w:t>REGLAMENTO DE LA ADMINISTRACIÓN PÚBLICA MUNICIPAL DE JOCOTITLÁN</w:t>
      </w:r>
    </w:p>
    <w:p w14:paraId="1816FEDD" w14:textId="67463682" w:rsidR="00841A52" w:rsidRPr="001630EE" w:rsidRDefault="00841A52" w:rsidP="002C388D">
      <w:pPr>
        <w:pBdr>
          <w:top w:val="nil"/>
          <w:left w:val="nil"/>
          <w:bottom w:val="nil"/>
          <w:right w:val="nil"/>
          <w:between w:val="nil"/>
        </w:pBdr>
        <w:ind w:left="567" w:right="567"/>
        <w:contextualSpacing/>
        <w:rPr>
          <w:i/>
        </w:rPr>
      </w:pPr>
      <w:r w:rsidRPr="001630EE">
        <w:rPr>
          <w:b/>
          <w:i/>
        </w:rPr>
        <w:lastRenderedPageBreak/>
        <w:t>Articulo 33.-</w:t>
      </w:r>
      <w:r w:rsidRPr="001630EE">
        <w:rPr>
          <w:i/>
        </w:rPr>
        <w:t xml:space="preserve"> La Coordinación Jurídica, coadyuvará con la Secretaría del Ayuntamiento, protegerá y defenderá jurídicamente los derechos e intereses del Ayuntamiento y a sus integrantes, dará apoyo técnico jurídico al Ayuntamiento, al Presidente Municipal y a las diversas dependencias, unidades administrativas y organismos que integran la Administración Pública Municipal; así mismo, ofrecerá asesoría jurídica a la comunidad, la cual tendrá las siguientes atribuciones:</w:t>
      </w:r>
    </w:p>
    <w:p w14:paraId="27129698" w14:textId="063C5089" w:rsidR="00841A52" w:rsidRPr="001630EE" w:rsidRDefault="00841A52" w:rsidP="002C388D">
      <w:pPr>
        <w:pBdr>
          <w:top w:val="nil"/>
          <w:left w:val="nil"/>
          <w:bottom w:val="nil"/>
          <w:right w:val="nil"/>
          <w:between w:val="nil"/>
        </w:pBdr>
        <w:ind w:left="567" w:right="567"/>
        <w:contextualSpacing/>
        <w:rPr>
          <w:i/>
        </w:rPr>
      </w:pPr>
      <w:r w:rsidRPr="001630EE">
        <w:rPr>
          <w:i/>
        </w:rPr>
        <w:t>I. Estudiar y analizar las leyes, reglamentos y demás disposiciones legales de aplicación municipal, para coadyuvar en la elaboración de anteproyectos de iniciativas y propuestas para el mejoramiento de la Administración Pública Municipal;</w:t>
      </w:r>
    </w:p>
    <w:p w14:paraId="10845C67" w14:textId="12BFC34D" w:rsidR="00841A52" w:rsidRPr="001630EE" w:rsidRDefault="00841A52" w:rsidP="002C388D">
      <w:pPr>
        <w:pBdr>
          <w:top w:val="nil"/>
          <w:left w:val="nil"/>
          <w:bottom w:val="nil"/>
          <w:right w:val="nil"/>
          <w:between w:val="nil"/>
        </w:pBdr>
        <w:ind w:left="567" w:right="567"/>
        <w:contextualSpacing/>
        <w:rPr>
          <w:b/>
          <w:i/>
          <w:u w:val="single"/>
        </w:rPr>
      </w:pPr>
      <w:r w:rsidRPr="001630EE">
        <w:rPr>
          <w:b/>
          <w:i/>
          <w:u w:val="single"/>
        </w:rPr>
        <w:t>II. Analizar, previamente a su aprobación, los contratos o convenios que acuerde celebrar el Ayuntamiento;</w:t>
      </w:r>
    </w:p>
    <w:p w14:paraId="4DBEDB54" w14:textId="5016448D" w:rsidR="00841A52" w:rsidRPr="001630EE" w:rsidRDefault="00841A52" w:rsidP="002C388D">
      <w:pPr>
        <w:pBdr>
          <w:top w:val="nil"/>
          <w:left w:val="nil"/>
          <w:bottom w:val="nil"/>
          <w:right w:val="nil"/>
          <w:between w:val="nil"/>
        </w:pBdr>
        <w:ind w:left="567" w:right="567"/>
        <w:contextualSpacing/>
        <w:rPr>
          <w:i/>
        </w:rPr>
      </w:pPr>
      <w:r w:rsidRPr="001630EE">
        <w:rPr>
          <w:i/>
        </w:rPr>
        <w:t>III. Dar asesoría y apoyo técnico jurídico a las Autoridades, Direcciones, Dependencias y Entidades Municipales, a fin de que sus actos se realicen de acuerdo con el marco jurídico vigente;</w:t>
      </w:r>
    </w:p>
    <w:p w14:paraId="59C4D200" w14:textId="1581113B" w:rsidR="00841A52" w:rsidRPr="001630EE" w:rsidRDefault="00841A52" w:rsidP="002C388D">
      <w:pPr>
        <w:pBdr>
          <w:top w:val="nil"/>
          <w:left w:val="nil"/>
          <w:bottom w:val="nil"/>
          <w:right w:val="nil"/>
          <w:between w:val="nil"/>
        </w:pBdr>
        <w:ind w:left="567" w:right="567"/>
        <w:contextualSpacing/>
        <w:rPr>
          <w:i/>
        </w:rPr>
      </w:pPr>
      <w:r w:rsidRPr="001630EE">
        <w:rPr>
          <w:i/>
        </w:rPr>
        <w:t>IV. Asesorar y brindar apoyo técnico jurídico al Presidente Municipal en la procuración y defensa de los intereses y derechos del Municipio; así mismo, al Síndico en la sustanciación de los recursos administrativos de su competencia;</w:t>
      </w:r>
    </w:p>
    <w:p w14:paraId="7EC2E984" w14:textId="48E75174" w:rsidR="00841A52" w:rsidRPr="001630EE" w:rsidRDefault="00841A52" w:rsidP="002C388D">
      <w:pPr>
        <w:pBdr>
          <w:top w:val="nil"/>
          <w:left w:val="nil"/>
          <w:bottom w:val="nil"/>
          <w:right w:val="nil"/>
          <w:between w:val="nil"/>
        </w:pBdr>
        <w:ind w:left="567" w:right="567"/>
        <w:contextualSpacing/>
        <w:rPr>
          <w:i/>
        </w:rPr>
      </w:pPr>
      <w:r w:rsidRPr="001630EE">
        <w:rPr>
          <w:i/>
        </w:rPr>
        <w:t>V. Patrocinar como abogado, con el personal a su cargo, al Ayuntamiento y a las Autoridades Municipales, en todos los juicios en que por razón de su cargo sean parte;</w:t>
      </w:r>
    </w:p>
    <w:p w14:paraId="152726F9" w14:textId="41FBF4B9" w:rsidR="00841A52" w:rsidRPr="001630EE" w:rsidRDefault="00841A52" w:rsidP="002C388D">
      <w:pPr>
        <w:pBdr>
          <w:top w:val="nil"/>
          <w:left w:val="nil"/>
          <w:bottom w:val="nil"/>
          <w:right w:val="nil"/>
          <w:between w:val="nil"/>
        </w:pBdr>
        <w:ind w:left="567" w:right="567"/>
        <w:contextualSpacing/>
        <w:rPr>
          <w:i/>
        </w:rPr>
      </w:pPr>
      <w:r w:rsidRPr="001630EE">
        <w:rPr>
          <w:i/>
        </w:rPr>
        <w:t>VI. Intervenir en los juicios, recursos y amparos promovidos en contra de actos de las Autoridades Municipales;</w:t>
      </w:r>
    </w:p>
    <w:p w14:paraId="1A0ED010" w14:textId="77777777" w:rsidR="00841A52" w:rsidRPr="001630EE" w:rsidRDefault="00841A52" w:rsidP="002C388D">
      <w:pPr>
        <w:pBdr>
          <w:top w:val="nil"/>
          <w:left w:val="nil"/>
          <w:bottom w:val="nil"/>
          <w:right w:val="nil"/>
          <w:between w:val="nil"/>
        </w:pBdr>
        <w:ind w:left="567" w:right="567"/>
        <w:contextualSpacing/>
        <w:rPr>
          <w:i/>
        </w:rPr>
      </w:pPr>
      <w:r w:rsidRPr="001630EE">
        <w:rPr>
          <w:i/>
        </w:rPr>
        <w:t>VII. Intervenir en los juicios laborales en que sea parte el Gobierno Municipal;</w:t>
      </w:r>
    </w:p>
    <w:p w14:paraId="16055935" w14:textId="2A74604C" w:rsidR="00841A52" w:rsidRPr="001630EE" w:rsidRDefault="00841A52" w:rsidP="002C388D">
      <w:pPr>
        <w:pBdr>
          <w:top w:val="nil"/>
          <w:left w:val="nil"/>
          <w:bottom w:val="nil"/>
          <w:right w:val="nil"/>
          <w:between w:val="nil"/>
        </w:pBdr>
        <w:ind w:left="567" w:right="567"/>
        <w:contextualSpacing/>
        <w:rPr>
          <w:i/>
        </w:rPr>
      </w:pPr>
      <w:r w:rsidRPr="001630EE">
        <w:rPr>
          <w:i/>
        </w:rPr>
        <w:lastRenderedPageBreak/>
        <w:t>VIII. Intervenir en materia penal, como coadyuvante del Ministerio Público o como defensor particular, en toda carpeta de investigación, noticia criminal o averiguación previa en que esté involucrado, o juicio penal en que sea parte el Gobierno Municipal;</w:t>
      </w:r>
    </w:p>
    <w:p w14:paraId="24DD0701" w14:textId="697F15E0" w:rsidR="00841A52" w:rsidRPr="001630EE" w:rsidRDefault="00841A52" w:rsidP="002C388D">
      <w:pPr>
        <w:pBdr>
          <w:top w:val="nil"/>
          <w:left w:val="nil"/>
          <w:bottom w:val="nil"/>
          <w:right w:val="nil"/>
          <w:between w:val="nil"/>
        </w:pBdr>
        <w:ind w:left="567" w:right="567"/>
        <w:contextualSpacing/>
        <w:rPr>
          <w:i/>
        </w:rPr>
      </w:pPr>
      <w:r w:rsidRPr="001630EE">
        <w:rPr>
          <w:i/>
        </w:rPr>
        <w:t>IX. Asesorar y apoyar a los miembros del Ayuntamiento en el cumplimiento de sus atribuciones, y en los juicios y trámites legales en que sean parte;</w:t>
      </w:r>
    </w:p>
    <w:p w14:paraId="235BD68F" w14:textId="4C016FE7" w:rsidR="00841A52" w:rsidRPr="001630EE" w:rsidRDefault="00841A52" w:rsidP="002C388D">
      <w:pPr>
        <w:pBdr>
          <w:top w:val="nil"/>
          <w:left w:val="nil"/>
          <w:bottom w:val="nil"/>
          <w:right w:val="nil"/>
          <w:between w:val="nil"/>
        </w:pBdr>
        <w:ind w:left="567" w:right="567"/>
        <w:contextualSpacing/>
      </w:pPr>
      <w:r w:rsidRPr="001630EE">
        <w:rPr>
          <w:i/>
        </w:rPr>
        <w:t>X. Las demás que le señalen expresamente el Ayuntamiento, Secretario del Ayuntamiento, Presidente Municipal, las Leyes, reglamentos y disposiciones jurídicas aplicables.” (SIC)</w:t>
      </w:r>
    </w:p>
    <w:p w14:paraId="08744E59" w14:textId="77777777" w:rsidR="00B460B4" w:rsidRPr="001630EE" w:rsidRDefault="00B460B4" w:rsidP="002C388D"/>
    <w:p w14:paraId="2FC87899" w14:textId="77777777" w:rsidR="00C26BFD" w:rsidRPr="001630EE" w:rsidRDefault="00C26BFD" w:rsidP="002C388D">
      <w:pPr>
        <w:rPr>
          <w:bCs/>
          <w:szCs w:val="24"/>
        </w:rPr>
      </w:pPr>
      <w:r w:rsidRPr="001630EE">
        <w:rPr>
          <w:rFonts w:cs="Arial"/>
          <w:szCs w:val="24"/>
        </w:rPr>
        <w:t xml:space="preserve">Por otra parte, es óbice mencionar que la información requerida estriba en las obligaciones de transparencia común, lo anterior con fundamento </w:t>
      </w:r>
      <w:r w:rsidRPr="001630EE">
        <w:rPr>
          <w:bCs/>
          <w:szCs w:val="24"/>
        </w:rPr>
        <w:t xml:space="preserve">en el artículo 24, fracción XII, 92, fracción XXXVII de la Ley de Transparencia y Acceso a la Información Pública del Estado de México y Municipios, porciones normativas que disponen a la literalidad lo siguiente: </w:t>
      </w:r>
    </w:p>
    <w:p w14:paraId="1D3DC854" w14:textId="77777777" w:rsidR="00C26BFD" w:rsidRPr="001630EE" w:rsidRDefault="00C26BFD" w:rsidP="002C388D">
      <w:pPr>
        <w:rPr>
          <w:bCs/>
        </w:rPr>
      </w:pPr>
    </w:p>
    <w:p w14:paraId="38C75C33" w14:textId="77777777" w:rsidR="00C26BFD" w:rsidRPr="001630EE" w:rsidRDefault="00C26BFD" w:rsidP="002C388D">
      <w:pPr>
        <w:ind w:left="851" w:right="851"/>
        <w:rPr>
          <w:i/>
        </w:rPr>
      </w:pPr>
      <w:r w:rsidRPr="001630EE">
        <w:rPr>
          <w:i/>
        </w:rPr>
        <w:t>“Artículo 24. Para el cumplimiento de los objetivos de esta Ley, los sujetos obligados deberán cumplir con las siguientes obligaciones, según corresponda, de acuerdo a su naturaleza:</w:t>
      </w:r>
    </w:p>
    <w:p w14:paraId="5328E977" w14:textId="77777777" w:rsidR="00C26BFD" w:rsidRPr="001630EE" w:rsidRDefault="00C26BFD" w:rsidP="002C388D">
      <w:pPr>
        <w:ind w:left="851" w:right="851"/>
        <w:rPr>
          <w:bCs/>
          <w:i/>
        </w:rPr>
      </w:pPr>
      <w:r w:rsidRPr="001630EE">
        <w:rPr>
          <w:bCs/>
          <w:i/>
        </w:rPr>
        <w:t>XII. Publicar y mantener actualizada la información relativa a las obligaciones generales de transparencia previstas en la presente Ley o determinadas así por el Instituto, y en general aquella que sea de interés público;</w:t>
      </w:r>
    </w:p>
    <w:p w14:paraId="63916B5F" w14:textId="77777777" w:rsidR="00C26BFD" w:rsidRPr="001630EE" w:rsidRDefault="00C26BFD" w:rsidP="002C388D">
      <w:pPr>
        <w:ind w:left="851" w:right="851"/>
        <w:rPr>
          <w:i/>
        </w:rPr>
      </w:pPr>
      <w:r w:rsidRPr="001630EE">
        <w:rPr>
          <w:i/>
        </w:rPr>
        <w:t xml:space="preserve">Artículo 92. Los sujetos obligados deberán poner a disposición del público de manera permanente y actualizada de forma sencilla, precisa y entendible, en los respectivos medios electrónicos, de acuerdo con sus facultades, atribuciones, </w:t>
      </w:r>
      <w:r w:rsidRPr="001630EE">
        <w:rPr>
          <w:i/>
        </w:rPr>
        <w:lastRenderedPageBreak/>
        <w:t>funciones u objeto social, según corresponda, la información, por lo menos, de los temas, documentos y políticas que a continuación se señalan:</w:t>
      </w:r>
    </w:p>
    <w:p w14:paraId="5CD0FFFD" w14:textId="77777777" w:rsidR="00C26BFD" w:rsidRPr="001630EE" w:rsidRDefault="00C26BFD" w:rsidP="002C388D">
      <w:pPr>
        <w:pStyle w:val="Citas"/>
        <w:tabs>
          <w:tab w:val="center" w:pos="4536"/>
        </w:tabs>
        <w:spacing w:before="0" w:after="0"/>
      </w:pPr>
      <w:r w:rsidRPr="001630EE">
        <w:t>(…)</w:t>
      </w:r>
      <w:r w:rsidRPr="001630EE">
        <w:tab/>
      </w:r>
    </w:p>
    <w:p w14:paraId="58F97D00" w14:textId="77777777" w:rsidR="00C26BFD" w:rsidRPr="001630EE" w:rsidRDefault="00C26BFD" w:rsidP="002C388D">
      <w:pPr>
        <w:pStyle w:val="Citas"/>
        <w:spacing w:before="0" w:after="0"/>
        <w:rPr>
          <w:b/>
          <w:bCs/>
          <w:u w:val="single"/>
        </w:rPr>
      </w:pPr>
      <w:r w:rsidRPr="001630EE">
        <w:rPr>
          <w:b/>
          <w:bCs/>
          <w:u w:val="single"/>
        </w:rPr>
        <w:t xml:space="preserve">XXXVII. Los convenios de coordinación, de concertación, entre otros, que suscriban con otros entes de los sectores público, social y privado; </w:t>
      </w:r>
    </w:p>
    <w:p w14:paraId="763D5F02" w14:textId="77777777" w:rsidR="00C26BFD" w:rsidRPr="001630EE" w:rsidRDefault="00C26BFD" w:rsidP="002C388D">
      <w:pPr>
        <w:pStyle w:val="Citas"/>
        <w:spacing w:before="0" w:after="0"/>
        <w:rPr>
          <w:b/>
          <w:bCs/>
          <w:color w:val="000000"/>
        </w:rPr>
      </w:pPr>
      <w:r w:rsidRPr="001630EE">
        <w:t xml:space="preserve">(…)” </w:t>
      </w:r>
      <w:r w:rsidRPr="001630EE">
        <w:rPr>
          <w:b/>
          <w:bCs/>
        </w:rPr>
        <w:t xml:space="preserve">(Sic) </w:t>
      </w:r>
    </w:p>
    <w:p w14:paraId="2B72D327" w14:textId="77777777" w:rsidR="00C26BFD" w:rsidRPr="001630EE" w:rsidRDefault="00C26BFD" w:rsidP="002C388D">
      <w:pPr>
        <w:pStyle w:val="Sinespaciado"/>
        <w:spacing w:line="360" w:lineRule="auto"/>
        <w:jc w:val="both"/>
        <w:rPr>
          <w:rFonts w:ascii="Verdana" w:hAnsi="Verdana"/>
          <w:color w:val="000000"/>
          <w:sz w:val="14"/>
          <w:szCs w:val="14"/>
        </w:rPr>
      </w:pPr>
    </w:p>
    <w:p w14:paraId="6F1B49B8" w14:textId="77777777" w:rsidR="00C26BFD" w:rsidRPr="001630EE" w:rsidRDefault="00C26BFD" w:rsidP="002C388D">
      <w:pPr>
        <w:pStyle w:val="Sinespaciado"/>
        <w:spacing w:line="360" w:lineRule="auto"/>
        <w:jc w:val="both"/>
        <w:rPr>
          <w:rFonts w:ascii="Verdana" w:hAnsi="Verdana"/>
          <w:color w:val="000000"/>
          <w:sz w:val="14"/>
          <w:szCs w:val="14"/>
        </w:rPr>
      </w:pPr>
    </w:p>
    <w:p w14:paraId="04E80DC9" w14:textId="77777777" w:rsidR="00C26BFD" w:rsidRPr="001630EE" w:rsidRDefault="00C26BFD" w:rsidP="002C388D">
      <w:pPr>
        <w:pStyle w:val="Prrafodelista"/>
        <w:autoSpaceDE w:val="0"/>
        <w:autoSpaceDN w:val="0"/>
        <w:adjustRightInd w:val="0"/>
        <w:ind w:left="0"/>
        <w:rPr>
          <w:rFonts w:eastAsia="MS Mincho"/>
        </w:rPr>
      </w:pPr>
      <w:r w:rsidRPr="001630EE">
        <w:rPr>
          <w:rFonts w:eastAsia="MS Mincho" w:cs="Tahoma"/>
        </w:rPr>
        <w:t xml:space="preserve">Así la Ley de Transparencia y Acceso a la Información Pública del Estado de México y Municipios </w:t>
      </w:r>
      <w:r w:rsidRPr="001630EE">
        <w:rPr>
          <w:rFonts w:eastAsia="Arial Unicode MS" w:cs="Arial"/>
        </w:rPr>
        <w:t xml:space="preserve">en el artículo 92 </w:t>
      </w:r>
      <w:r w:rsidRPr="001630EE">
        <w:rPr>
          <w:rFonts w:eastAsia="Arial Unicode MS"/>
        </w:rPr>
        <w:t xml:space="preserve">fracción XXXVII señala que la información requerida respecto de convenios se trata de una  obligación de transparencia común, esto es, información que por su naturaleza es pública y que los sujetos obligados  </w:t>
      </w:r>
      <w:r w:rsidRPr="001630EE">
        <w:rPr>
          <w:rFonts w:eastAsia="MS Mincho"/>
        </w:rPr>
        <w:t>deben poner a disposición del público de manera permanente y por tanto deberán mantenerla actualizada, en los respectivos medios electrónicos, de acuerdo con sus facultades, atribuciones, funciones u objeto social.</w:t>
      </w:r>
    </w:p>
    <w:p w14:paraId="663AFC68" w14:textId="77777777" w:rsidR="00C26BFD" w:rsidRPr="001630EE" w:rsidRDefault="00C26BFD" w:rsidP="002C388D">
      <w:pPr>
        <w:pStyle w:val="Prrafodelista"/>
        <w:autoSpaceDE w:val="0"/>
        <w:autoSpaceDN w:val="0"/>
        <w:adjustRightInd w:val="0"/>
        <w:ind w:left="0"/>
        <w:rPr>
          <w:rFonts w:eastAsia="MS Mincho"/>
        </w:rPr>
      </w:pPr>
    </w:p>
    <w:p w14:paraId="556587E6" w14:textId="77777777" w:rsidR="00C26BFD" w:rsidRPr="001630EE" w:rsidRDefault="00C26BFD" w:rsidP="002C388D">
      <w:pPr>
        <w:rPr>
          <w:rFonts w:cs="Arial"/>
          <w:szCs w:val="24"/>
        </w:rPr>
      </w:pPr>
      <w:r w:rsidRPr="001630EE">
        <w:rPr>
          <w:rFonts w:cs="Arial"/>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FF1FCF7" w14:textId="77777777" w:rsidR="00C26BFD" w:rsidRPr="001630EE" w:rsidRDefault="00C26BFD" w:rsidP="002C388D">
      <w:pPr>
        <w:rPr>
          <w:rFonts w:cs="Arial"/>
          <w:szCs w:val="24"/>
        </w:rPr>
      </w:pPr>
    </w:p>
    <w:p w14:paraId="331B5F04" w14:textId="77777777" w:rsidR="00C26BFD" w:rsidRPr="001630EE" w:rsidRDefault="00C26BFD" w:rsidP="002C388D">
      <w:pPr>
        <w:pStyle w:val="Citas"/>
        <w:spacing w:before="0" w:after="0"/>
      </w:pPr>
      <w:r w:rsidRPr="001630EE">
        <w:t xml:space="preserve">“Artículo 18. Los sujetos obligados deberán documentar todo acto que derive del ejercicio de sus facultades, competencias o funciones, considerando desde su origen la eventual publicidad y reutilización de la información que generen. </w:t>
      </w:r>
    </w:p>
    <w:p w14:paraId="3C18FBD6" w14:textId="77777777" w:rsidR="00C26BFD" w:rsidRPr="001630EE" w:rsidRDefault="00C26BFD" w:rsidP="002C388D">
      <w:pPr>
        <w:pStyle w:val="Citas"/>
        <w:spacing w:before="0" w:after="0"/>
      </w:pPr>
      <w:r w:rsidRPr="001630EE">
        <w:lastRenderedPageBreak/>
        <w:t xml:space="preserve">Artículo 19. Se presume que la información debe existir si se refiere a las facultades, competencias y funciones que los ordenamientos jurídicos aplicables otorgan a los sujetos obligados. </w:t>
      </w:r>
    </w:p>
    <w:p w14:paraId="2582235A" w14:textId="77777777" w:rsidR="00C26BFD" w:rsidRPr="001630EE" w:rsidRDefault="00C26BFD" w:rsidP="002C388D">
      <w:pPr>
        <w:pStyle w:val="Citas"/>
        <w:spacing w:before="0" w:after="0"/>
      </w:pPr>
      <w:r w:rsidRPr="001630EE">
        <w:t xml:space="preserve">En los casos en que ciertas facultades, competencias o funciones no se hayan ejercido, se debe motivar la respuesta en función de las causas que motiven tal circunstancia. </w:t>
      </w:r>
    </w:p>
    <w:p w14:paraId="0C92E8AC" w14:textId="77777777" w:rsidR="00C26BFD" w:rsidRPr="001630EE" w:rsidRDefault="00C26BFD" w:rsidP="002C388D">
      <w:pPr>
        <w:pStyle w:val="Citas"/>
        <w:spacing w:before="0" w:after="0"/>
        <w:rPr>
          <w:b/>
          <w:bCs/>
          <w:sz w:val="24"/>
          <w:szCs w:val="24"/>
        </w:rPr>
      </w:pPr>
      <w:r w:rsidRPr="001630EE">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630EE">
        <w:rPr>
          <w:b/>
          <w:bCs/>
        </w:rPr>
        <w:t>(Sic)</w:t>
      </w:r>
    </w:p>
    <w:p w14:paraId="60EC0C3C" w14:textId="4EEE8746" w:rsidR="00B460B4" w:rsidRPr="001630EE" w:rsidRDefault="00B460B4" w:rsidP="002C388D">
      <w:pPr>
        <w:rPr>
          <w:rFonts w:cs="Arial"/>
          <w:bCs/>
          <w:szCs w:val="24"/>
        </w:rPr>
      </w:pPr>
    </w:p>
    <w:p w14:paraId="0806B63D" w14:textId="77777777" w:rsidR="00C26BFD" w:rsidRPr="001630EE" w:rsidRDefault="00C26BFD" w:rsidP="002C388D">
      <w:pPr>
        <w:rPr>
          <w:szCs w:val="24"/>
        </w:rPr>
      </w:pPr>
      <w:r w:rsidRPr="001630EE">
        <w:rPr>
          <w:szCs w:val="24"/>
        </w:rPr>
        <w:t xml:space="preserve">Por otra parte, como fue referido en el antecedente quinto, </w:t>
      </w:r>
      <w:r w:rsidRPr="001630EE">
        <w:rPr>
          <w:b/>
          <w:bCs/>
          <w:szCs w:val="24"/>
        </w:rPr>
        <w:t xml:space="preserve">El Sujeto Obligado </w:t>
      </w:r>
      <w:r w:rsidRPr="001630EE">
        <w:rPr>
          <w:szCs w:val="24"/>
        </w:rPr>
        <w:t>fue omiso en rendir su informe justificado, luego entonces no subsanó la violación al derecho de acceso a la información, resultando procedente ordenar la entrega del convenio “El Poder de Alfabetizar”, el cual fue firmado con el Instituto Nacional para la Educación de los Adultos INEA y el Ayuntamiento de Jocotitlán.</w:t>
      </w:r>
    </w:p>
    <w:p w14:paraId="5A9E41B9" w14:textId="77777777" w:rsidR="003B2909" w:rsidRPr="001630EE" w:rsidRDefault="003B2909" w:rsidP="002C388D">
      <w:pPr>
        <w:rPr>
          <w:rFonts w:cs="Arial"/>
          <w:bCs/>
          <w:szCs w:val="24"/>
        </w:rPr>
      </w:pPr>
    </w:p>
    <w:p w14:paraId="49958CF3" w14:textId="77777777" w:rsidR="008E373A" w:rsidRPr="001630EE" w:rsidRDefault="008E373A" w:rsidP="002C388D">
      <w:pPr>
        <w:rPr>
          <w:rFonts w:eastAsia="Times New Roman" w:cs="Arial"/>
          <w:b/>
          <w:sz w:val="28"/>
          <w:szCs w:val="24"/>
          <w:lang w:val="es-ES" w:eastAsia="es-ES"/>
        </w:rPr>
      </w:pPr>
      <w:r w:rsidRPr="001630EE">
        <w:rPr>
          <w:rFonts w:eastAsia="Times New Roman" w:cs="Arial"/>
          <w:b/>
          <w:sz w:val="28"/>
          <w:szCs w:val="24"/>
          <w:lang w:val="es-ES" w:eastAsia="es-ES"/>
        </w:rPr>
        <w:t>De la Versión Pública.</w:t>
      </w:r>
    </w:p>
    <w:p w14:paraId="094D2238" w14:textId="77777777" w:rsidR="008E373A" w:rsidRPr="001630EE" w:rsidRDefault="008E373A" w:rsidP="002C388D">
      <w:pPr>
        <w:rPr>
          <w:szCs w:val="24"/>
        </w:rPr>
      </w:pPr>
      <w:r w:rsidRPr="001630EE">
        <w:rPr>
          <w:bCs/>
          <w:szCs w:val="24"/>
        </w:rPr>
        <w:t>A este respecto, los</w:t>
      </w:r>
      <w:r w:rsidRPr="001630EE">
        <w:rPr>
          <w:szCs w:val="24"/>
        </w:rPr>
        <w:t xml:space="preserve"> artículos 3, fracciones IX, XX, XXI y XLV; 51 y 52 de la Ley de Transparencia y Acceso a la Información Pública del Estado de México y Municipios establecen:</w:t>
      </w:r>
    </w:p>
    <w:p w14:paraId="66452E1B" w14:textId="77777777" w:rsidR="002C388D" w:rsidRPr="001630EE" w:rsidRDefault="002C388D" w:rsidP="002C388D">
      <w:pPr>
        <w:rPr>
          <w:szCs w:val="24"/>
        </w:rPr>
      </w:pPr>
    </w:p>
    <w:p w14:paraId="6F266CF2" w14:textId="77777777" w:rsidR="008E373A" w:rsidRPr="001630EE" w:rsidRDefault="008E373A" w:rsidP="002C388D">
      <w:pPr>
        <w:ind w:left="567" w:right="567"/>
        <w:rPr>
          <w:i/>
        </w:rPr>
      </w:pPr>
      <w:r w:rsidRPr="001630EE">
        <w:rPr>
          <w:rFonts w:cs="Arial"/>
          <w:b/>
          <w:bCs/>
          <w:i/>
          <w:noProof/>
        </w:rPr>
        <w:t>“</w:t>
      </w:r>
      <w:r w:rsidRPr="001630EE">
        <w:rPr>
          <w:rFonts w:cs="Arial"/>
          <w:b/>
          <w:bCs/>
          <w:i/>
        </w:rPr>
        <w:t xml:space="preserve">Artículo 3. </w:t>
      </w:r>
      <w:r w:rsidRPr="001630EE">
        <w:rPr>
          <w:i/>
        </w:rPr>
        <w:t xml:space="preserve">Para los efectos de la presente Ley se entenderá por: </w:t>
      </w:r>
    </w:p>
    <w:p w14:paraId="302E7F5E" w14:textId="77777777" w:rsidR="008E373A" w:rsidRPr="001630EE" w:rsidRDefault="008E373A" w:rsidP="002C388D">
      <w:pPr>
        <w:ind w:left="567" w:right="567"/>
        <w:rPr>
          <w:rFonts w:cs="Arial"/>
          <w:i/>
        </w:rPr>
      </w:pPr>
      <w:r w:rsidRPr="001630EE">
        <w:rPr>
          <w:rFonts w:cs="Arial"/>
          <w:b/>
          <w:i/>
        </w:rPr>
        <w:lastRenderedPageBreak/>
        <w:t>IX.</w:t>
      </w:r>
      <w:r w:rsidRPr="001630EE">
        <w:rPr>
          <w:rFonts w:cs="Arial"/>
          <w:i/>
        </w:rPr>
        <w:t xml:space="preserve"> </w:t>
      </w:r>
      <w:r w:rsidRPr="001630EE">
        <w:rPr>
          <w:rFonts w:cs="Arial"/>
          <w:b/>
          <w:i/>
        </w:rPr>
        <w:t xml:space="preserve">Datos personales: </w:t>
      </w:r>
      <w:r w:rsidRPr="001630EE">
        <w:rPr>
          <w:rFonts w:cs="Arial"/>
          <w:i/>
        </w:rPr>
        <w:t xml:space="preserve">La información concerniente a una persona, identificada o identificable según lo dispuesto por la Ley de Protección de Datos Personales del Estado de México; </w:t>
      </w:r>
    </w:p>
    <w:p w14:paraId="02D911F1" w14:textId="77777777" w:rsidR="008E373A" w:rsidRPr="001630EE" w:rsidRDefault="008E373A" w:rsidP="002C388D">
      <w:pPr>
        <w:ind w:left="567" w:right="567"/>
        <w:rPr>
          <w:rFonts w:cs="Arial"/>
          <w:i/>
        </w:rPr>
      </w:pPr>
      <w:r w:rsidRPr="001630EE">
        <w:rPr>
          <w:rFonts w:cs="Arial"/>
          <w:b/>
          <w:i/>
        </w:rPr>
        <w:t>XX.</w:t>
      </w:r>
      <w:r w:rsidRPr="001630EE">
        <w:rPr>
          <w:rFonts w:cs="Arial"/>
          <w:i/>
        </w:rPr>
        <w:t xml:space="preserve"> </w:t>
      </w:r>
      <w:r w:rsidRPr="001630EE">
        <w:rPr>
          <w:rFonts w:cs="Arial"/>
          <w:b/>
          <w:i/>
        </w:rPr>
        <w:t>Información clasificada:</w:t>
      </w:r>
      <w:r w:rsidRPr="001630EE">
        <w:rPr>
          <w:rFonts w:cs="Arial"/>
          <w:i/>
        </w:rPr>
        <w:t xml:space="preserve"> Aquella considerada por la presente Ley como reservada o confidencial; </w:t>
      </w:r>
    </w:p>
    <w:p w14:paraId="5C920764" w14:textId="77777777" w:rsidR="008E373A" w:rsidRPr="001630EE" w:rsidRDefault="008E373A" w:rsidP="002C388D">
      <w:pPr>
        <w:ind w:left="567" w:right="567"/>
        <w:rPr>
          <w:rFonts w:cs="Arial"/>
          <w:i/>
        </w:rPr>
      </w:pPr>
      <w:r w:rsidRPr="001630EE">
        <w:rPr>
          <w:rFonts w:cs="Arial"/>
          <w:b/>
          <w:i/>
        </w:rPr>
        <w:t>XXI.</w:t>
      </w:r>
      <w:r w:rsidRPr="001630EE">
        <w:rPr>
          <w:rFonts w:cs="Arial"/>
          <w:i/>
        </w:rPr>
        <w:t xml:space="preserve"> </w:t>
      </w:r>
      <w:r w:rsidRPr="001630EE">
        <w:rPr>
          <w:rFonts w:cs="Arial"/>
          <w:b/>
          <w:i/>
        </w:rPr>
        <w:t>Información confidencial</w:t>
      </w:r>
      <w:r w:rsidRPr="001630EE">
        <w:rPr>
          <w:rFonts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932740D" w14:textId="77777777" w:rsidR="008E373A" w:rsidRPr="001630EE" w:rsidRDefault="008E373A" w:rsidP="002C388D">
      <w:pPr>
        <w:ind w:left="567" w:right="567"/>
        <w:rPr>
          <w:rFonts w:cs="Arial"/>
          <w:i/>
        </w:rPr>
      </w:pPr>
      <w:r w:rsidRPr="001630EE">
        <w:rPr>
          <w:rFonts w:cs="Arial"/>
          <w:b/>
          <w:i/>
        </w:rPr>
        <w:t>XLV. Versión pública:</w:t>
      </w:r>
      <w:r w:rsidRPr="001630EE">
        <w:rPr>
          <w:rFonts w:cs="Arial"/>
          <w:i/>
        </w:rPr>
        <w:t xml:space="preserve"> Documento en el que se elimine, suprime o borra la información clasificada como reservada o confidencial para permitir su acceso. </w:t>
      </w:r>
    </w:p>
    <w:p w14:paraId="4F9AF6B5" w14:textId="77777777" w:rsidR="008E373A" w:rsidRPr="001630EE" w:rsidRDefault="008E373A" w:rsidP="002C388D">
      <w:pPr>
        <w:ind w:left="567" w:right="567"/>
        <w:rPr>
          <w:rFonts w:cs="Arial"/>
          <w:i/>
        </w:rPr>
      </w:pPr>
    </w:p>
    <w:p w14:paraId="06F74B62" w14:textId="77777777" w:rsidR="008E373A" w:rsidRPr="001630EE" w:rsidRDefault="008E373A" w:rsidP="002C388D">
      <w:pPr>
        <w:ind w:left="567" w:right="567"/>
        <w:rPr>
          <w:rFonts w:cs="Arial"/>
          <w:i/>
        </w:rPr>
      </w:pPr>
      <w:r w:rsidRPr="001630EE">
        <w:rPr>
          <w:rFonts w:cs="Arial"/>
          <w:b/>
          <w:i/>
        </w:rPr>
        <w:t>Artículo 51.</w:t>
      </w:r>
      <w:r w:rsidRPr="001630EE">
        <w:rPr>
          <w:rFonts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630EE">
        <w:rPr>
          <w:rFonts w:cs="Arial"/>
          <w:b/>
          <w:i/>
        </w:rPr>
        <w:t xml:space="preserve">y tendrá la responsabilidad de verificar en cada caso que la misma no sea confidencial o reservada. </w:t>
      </w:r>
      <w:r w:rsidRPr="001630EE">
        <w:rPr>
          <w:rFonts w:cs="Arial"/>
          <w:i/>
        </w:rPr>
        <w:t xml:space="preserve">Dicha Unidad contará con las facultades internas necesarias para gestionar la atención a las solicitudes de información en los términos de la Ley General y la presente Ley. </w:t>
      </w:r>
    </w:p>
    <w:p w14:paraId="5813A8F8" w14:textId="77777777" w:rsidR="008E373A" w:rsidRPr="001630EE" w:rsidRDefault="008E373A" w:rsidP="002C388D">
      <w:pPr>
        <w:ind w:left="567" w:right="567"/>
        <w:rPr>
          <w:rFonts w:cs="Arial"/>
          <w:bCs/>
          <w:noProof/>
        </w:rPr>
      </w:pPr>
      <w:r w:rsidRPr="001630EE">
        <w:rPr>
          <w:rFonts w:cs="Arial"/>
          <w:b/>
          <w:i/>
        </w:rPr>
        <w:t>Artículo 52.</w:t>
      </w:r>
      <w:r w:rsidRPr="001630EE">
        <w:rPr>
          <w:rFonts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w:t>
      </w:r>
      <w:r w:rsidRPr="001630EE">
        <w:rPr>
          <w:rFonts w:cs="Arial"/>
          <w:i/>
        </w:rPr>
        <w:lastRenderedPageBreak/>
        <w:t>siempre y cuando la resolución de referencia se someta a un proceso de disociación, es decir, no haga identificable al titular de tales datos personales.</w:t>
      </w:r>
      <w:r w:rsidRPr="001630EE">
        <w:rPr>
          <w:rFonts w:cs="Arial"/>
          <w:bCs/>
          <w:i/>
          <w:noProof/>
        </w:rPr>
        <w:t>”</w:t>
      </w:r>
    </w:p>
    <w:p w14:paraId="05461F0B" w14:textId="77777777" w:rsidR="008E373A" w:rsidRPr="001630EE" w:rsidRDefault="008E373A" w:rsidP="002C388D">
      <w:pPr>
        <w:rPr>
          <w:szCs w:val="24"/>
        </w:rPr>
      </w:pPr>
    </w:p>
    <w:p w14:paraId="6E21A084" w14:textId="77777777" w:rsidR="008E373A" w:rsidRPr="001630EE" w:rsidRDefault="008E373A" w:rsidP="002C388D">
      <w:pPr>
        <w:rPr>
          <w:szCs w:val="24"/>
        </w:rPr>
      </w:pPr>
      <w:r w:rsidRPr="001630EE">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1B17D8A6" w14:textId="77777777" w:rsidR="008E373A" w:rsidRPr="001630EE" w:rsidRDefault="008E373A" w:rsidP="002C388D">
      <w:pPr>
        <w:rPr>
          <w:szCs w:val="24"/>
        </w:rPr>
      </w:pPr>
    </w:p>
    <w:p w14:paraId="7CDF12F8" w14:textId="77777777" w:rsidR="008E373A" w:rsidRPr="001630EE" w:rsidRDefault="008E373A" w:rsidP="002C388D">
      <w:pPr>
        <w:rPr>
          <w:szCs w:val="24"/>
        </w:rPr>
      </w:pPr>
      <w:r w:rsidRPr="001630EE">
        <w:rPr>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14E7BCEA" w14:textId="77777777" w:rsidR="008E373A" w:rsidRPr="001630EE" w:rsidRDefault="008E373A" w:rsidP="002C388D">
      <w:pPr>
        <w:rPr>
          <w:szCs w:val="24"/>
        </w:rPr>
      </w:pPr>
    </w:p>
    <w:p w14:paraId="19472A90" w14:textId="77777777" w:rsidR="008E373A" w:rsidRPr="001630EE" w:rsidRDefault="008E373A" w:rsidP="002C388D">
      <w:pPr>
        <w:rPr>
          <w:rFonts w:eastAsia="Arial Unicode MS"/>
          <w:szCs w:val="24"/>
        </w:rPr>
      </w:pPr>
      <w:r w:rsidRPr="001630EE">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630EE">
        <w:rPr>
          <w:rFonts w:eastAsia="Arial Unicode MS"/>
          <w:color w:val="000000"/>
          <w:szCs w:val="24"/>
        </w:rPr>
        <w:t>el Sujeto Obligado</w:t>
      </w:r>
      <w:r w:rsidRPr="001630EE">
        <w:rPr>
          <w:rFonts w:eastAsia="Arial Unicode MS"/>
          <w:szCs w:val="24"/>
        </w:rPr>
        <w:t xml:space="preserve">, en ese contexto, todo dato personal susceptible de clasificación debe ser protegido. </w:t>
      </w:r>
    </w:p>
    <w:p w14:paraId="5A3889B6" w14:textId="77777777" w:rsidR="008E373A" w:rsidRPr="001630EE" w:rsidRDefault="008E373A" w:rsidP="002C388D">
      <w:pPr>
        <w:rPr>
          <w:rFonts w:eastAsia="Arial Unicode MS"/>
          <w:color w:val="000000"/>
          <w:szCs w:val="24"/>
        </w:rPr>
      </w:pPr>
    </w:p>
    <w:p w14:paraId="4607FC2F" w14:textId="77777777" w:rsidR="008E373A" w:rsidRPr="001630EE" w:rsidRDefault="008E373A" w:rsidP="002C388D">
      <w:pPr>
        <w:rPr>
          <w:rFonts w:cs="Arial"/>
          <w:szCs w:val="24"/>
        </w:rPr>
      </w:pPr>
      <w:r w:rsidRPr="001630EE">
        <w:rPr>
          <w:rFonts w:cs="Arial"/>
          <w:szCs w:val="24"/>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B627496" w14:textId="77777777" w:rsidR="008E373A" w:rsidRPr="001630EE" w:rsidRDefault="008E373A" w:rsidP="002C388D">
      <w:pPr>
        <w:ind w:left="567" w:right="567"/>
        <w:rPr>
          <w:rFonts w:cs="Arial"/>
          <w:i/>
        </w:rPr>
      </w:pPr>
      <w:r w:rsidRPr="001630EE">
        <w:rPr>
          <w:rFonts w:cs="Arial"/>
          <w:i/>
        </w:rPr>
        <w:t>"</w:t>
      </w:r>
      <w:r w:rsidRPr="001630EE">
        <w:rPr>
          <w:rFonts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630EE">
        <w:rPr>
          <w:rFonts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B1F6C58" w14:textId="77777777" w:rsidR="008E373A" w:rsidRPr="001630EE" w:rsidRDefault="008E373A" w:rsidP="002C388D">
      <w:pPr>
        <w:rPr>
          <w:rFonts w:cs="Arial"/>
          <w:szCs w:val="24"/>
        </w:rPr>
      </w:pPr>
    </w:p>
    <w:p w14:paraId="0F8C3B3F" w14:textId="77777777" w:rsidR="008E373A" w:rsidRPr="001630EE" w:rsidRDefault="008E373A" w:rsidP="002C388D">
      <w:pPr>
        <w:rPr>
          <w:rFonts w:cs="Arial"/>
          <w:szCs w:val="24"/>
        </w:rPr>
      </w:pPr>
      <w:r w:rsidRPr="001630EE">
        <w:rPr>
          <w:rFonts w:cs="Arial"/>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630EE">
        <w:rPr>
          <w:rFonts w:cs="Arial"/>
          <w:b/>
          <w:szCs w:val="24"/>
        </w:rPr>
        <w:t>Lineamientos Generales en Materia de Clasificación y Desclasificación de la Información, así como para la Elaboración de Versiones Públicas</w:t>
      </w:r>
      <w:r w:rsidRPr="001630EE">
        <w:rPr>
          <w:rFonts w:cs="Arial"/>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1C99A1C" w14:textId="77777777" w:rsidR="008E373A" w:rsidRPr="001630EE" w:rsidRDefault="008E373A" w:rsidP="002C388D">
      <w:pPr>
        <w:rPr>
          <w:rFonts w:cs="Arial"/>
          <w:szCs w:val="24"/>
        </w:rPr>
      </w:pPr>
    </w:p>
    <w:p w14:paraId="7E29DCD0" w14:textId="77777777" w:rsidR="008E373A" w:rsidRPr="001630EE" w:rsidRDefault="008E373A" w:rsidP="002C388D">
      <w:pPr>
        <w:tabs>
          <w:tab w:val="left" w:pos="7770"/>
          <w:tab w:val="right" w:pos="8838"/>
        </w:tabs>
        <w:rPr>
          <w:bCs/>
          <w:szCs w:val="24"/>
          <w:lang w:val="es-ES"/>
        </w:rPr>
      </w:pPr>
      <w:r w:rsidRPr="001630EE">
        <w:rPr>
          <w:b/>
          <w:bCs/>
          <w:szCs w:val="24"/>
          <w:lang w:val="es-ES"/>
        </w:rPr>
        <w:t xml:space="preserve">Firma del titular: </w:t>
      </w:r>
      <w:r w:rsidRPr="001630EE">
        <w:rPr>
          <w:bCs/>
          <w:szCs w:val="24"/>
          <w:lang w:val="es-ES"/>
        </w:rPr>
        <w:t xml:space="preserve">Tratándose de personas físicas en el rol de ciudadanos, es </w:t>
      </w:r>
      <w:r w:rsidRPr="001630EE">
        <w:rPr>
          <w:szCs w:val="24"/>
          <w:lang w:val="es-ES"/>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2709240E" w14:textId="77777777" w:rsidR="008E373A" w:rsidRPr="001630EE" w:rsidRDefault="008E373A" w:rsidP="002C388D">
      <w:pPr>
        <w:ind w:left="708"/>
        <w:rPr>
          <w:bCs/>
          <w:szCs w:val="24"/>
          <w:lang w:val="es-ES"/>
        </w:rPr>
      </w:pPr>
    </w:p>
    <w:p w14:paraId="24B8F6BE" w14:textId="77777777" w:rsidR="008E373A" w:rsidRPr="001630EE" w:rsidRDefault="008E373A" w:rsidP="002C388D">
      <w:pPr>
        <w:tabs>
          <w:tab w:val="left" w:pos="7770"/>
          <w:tab w:val="right" w:pos="8838"/>
        </w:tabs>
        <w:rPr>
          <w:bCs/>
          <w:szCs w:val="24"/>
          <w:lang w:val="es-ES"/>
        </w:rPr>
      </w:pPr>
      <w:r w:rsidRPr="001630EE">
        <w:rPr>
          <w:bCs/>
          <w:szCs w:val="24"/>
          <w:lang w:val="es-E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w:t>
      </w:r>
      <w:r w:rsidRPr="001630EE">
        <w:rPr>
          <w:bCs/>
          <w:szCs w:val="24"/>
          <w:lang w:val="es-ES"/>
        </w:rPr>
        <w:lastRenderedPageBreak/>
        <w:t>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r w:rsidRPr="001630EE">
        <w:rPr>
          <w:rFonts w:cs="Arial"/>
          <w:szCs w:val="24"/>
        </w:rPr>
        <w:t xml:space="preserve">. </w:t>
      </w:r>
    </w:p>
    <w:p w14:paraId="66DE9FB4" w14:textId="77777777" w:rsidR="008E373A" w:rsidRPr="001630EE" w:rsidRDefault="008E373A" w:rsidP="002C388D">
      <w:pPr>
        <w:rPr>
          <w:rFonts w:cs="Arial"/>
          <w:szCs w:val="24"/>
        </w:rPr>
      </w:pPr>
      <w:r w:rsidRPr="001630EE">
        <w:rPr>
          <w:rFonts w:cs="Arial"/>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5A19D94" w14:textId="77777777" w:rsidR="008E373A" w:rsidRPr="001630EE" w:rsidRDefault="008E373A" w:rsidP="002C388D">
      <w:pPr>
        <w:rPr>
          <w:rFonts w:eastAsia="Arial Unicode MS"/>
          <w:szCs w:val="24"/>
        </w:rPr>
      </w:pPr>
    </w:p>
    <w:p w14:paraId="2426DA6F" w14:textId="77777777" w:rsidR="008E373A" w:rsidRPr="001630EE" w:rsidRDefault="008E373A" w:rsidP="002C388D">
      <w:pPr>
        <w:rPr>
          <w:szCs w:val="24"/>
        </w:rPr>
      </w:pPr>
      <w:r w:rsidRPr="001630EE">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196997D" w14:textId="77777777" w:rsidR="008E373A" w:rsidRPr="001630EE" w:rsidRDefault="008E373A" w:rsidP="002C388D">
      <w:pPr>
        <w:rPr>
          <w:szCs w:val="24"/>
        </w:rPr>
      </w:pPr>
    </w:p>
    <w:p w14:paraId="098AF6A1" w14:textId="77777777" w:rsidR="008E373A" w:rsidRPr="001630EE" w:rsidRDefault="008E373A" w:rsidP="002C388D">
      <w:pPr>
        <w:rPr>
          <w:szCs w:val="24"/>
        </w:rPr>
      </w:pPr>
      <w:r w:rsidRPr="001630EE">
        <w:rPr>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w:t>
      </w:r>
      <w:r w:rsidRPr="001630EE">
        <w:rPr>
          <w:szCs w:val="24"/>
        </w:rPr>
        <w:lastRenderedPageBreak/>
        <w:t>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3242408" w14:textId="77777777" w:rsidR="008E373A" w:rsidRPr="001630EE" w:rsidRDefault="008E373A" w:rsidP="002C388D">
      <w:pPr>
        <w:rPr>
          <w:szCs w:val="24"/>
        </w:rPr>
      </w:pPr>
    </w:p>
    <w:p w14:paraId="0C8705F6" w14:textId="77777777" w:rsidR="008E373A" w:rsidRPr="001630EE" w:rsidRDefault="008E373A" w:rsidP="002C388D">
      <w:pPr>
        <w:rPr>
          <w:szCs w:val="24"/>
        </w:rPr>
      </w:pPr>
      <w:r w:rsidRPr="001630EE">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2FC6F4B" w14:textId="77777777" w:rsidR="008E373A" w:rsidRPr="001630EE" w:rsidRDefault="008E373A" w:rsidP="002C388D">
      <w:pPr>
        <w:ind w:left="567" w:right="567"/>
        <w:rPr>
          <w:i/>
        </w:rPr>
      </w:pPr>
      <w:r w:rsidRPr="001630EE">
        <w:rPr>
          <w:b/>
          <w:i/>
        </w:rPr>
        <w:t xml:space="preserve">“Artículo 49. </w:t>
      </w:r>
      <w:r w:rsidRPr="001630EE">
        <w:rPr>
          <w:i/>
        </w:rPr>
        <w:t>Los Comités de Transparencia tendrán las siguientes atribuciones:</w:t>
      </w:r>
    </w:p>
    <w:p w14:paraId="194665EE" w14:textId="77777777" w:rsidR="008E373A" w:rsidRPr="001630EE" w:rsidRDefault="008E373A" w:rsidP="002C388D">
      <w:pPr>
        <w:ind w:left="567" w:right="567"/>
        <w:rPr>
          <w:i/>
        </w:rPr>
      </w:pPr>
      <w:r w:rsidRPr="001630EE">
        <w:rPr>
          <w:b/>
          <w:i/>
        </w:rPr>
        <w:t>VIII.</w:t>
      </w:r>
      <w:r w:rsidRPr="001630EE">
        <w:rPr>
          <w:i/>
        </w:rPr>
        <w:t xml:space="preserve"> Aprobar, modificar o revocar la clasificación de la información;</w:t>
      </w:r>
    </w:p>
    <w:p w14:paraId="3CC116D8" w14:textId="77777777" w:rsidR="008E373A" w:rsidRPr="001630EE" w:rsidRDefault="008E373A" w:rsidP="002C388D">
      <w:pPr>
        <w:ind w:left="567" w:right="567"/>
        <w:rPr>
          <w:i/>
        </w:rPr>
      </w:pPr>
    </w:p>
    <w:p w14:paraId="56962137" w14:textId="77777777" w:rsidR="008E373A" w:rsidRPr="001630EE" w:rsidRDefault="008E373A" w:rsidP="002C388D">
      <w:pPr>
        <w:ind w:left="567" w:right="567"/>
        <w:rPr>
          <w:i/>
        </w:rPr>
      </w:pPr>
      <w:r w:rsidRPr="001630EE">
        <w:rPr>
          <w:b/>
          <w:i/>
        </w:rPr>
        <w:t>Artículo 132.</w:t>
      </w:r>
      <w:r w:rsidRPr="001630EE">
        <w:rPr>
          <w:i/>
        </w:rPr>
        <w:t xml:space="preserve"> La clasificación de la información se llevará a cabo en el momento en que:</w:t>
      </w:r>
    </w:p>
    <w:p w14:paraId="58851ABD" w14:textId="77777777" w:rsidR="008E373A" w:rsidRPr="001630EE" w:rsidRDefault="008E373A" w:rsidP="002C388D">
      <w:pPr>
        <w:ind w:left="567" w:right="567"/>
        <w:rPr>
          <w:i/>
        </w:rPr>
      </w:pPr>
      <w:r w:rsidRPr="001630EE">
        <w:rPr>
          <w:b/>
          <w:i/>
        </w:rPr>
        <w:t>I.</w:t>
      </w:r>
      <w:r w:rsidRPr="001630EE">
        <w:rPr>
          <w:i/>
        </w:rPr>
        <w:t xml:space="preserve"> Se reciba una solicitud de acceso a la información;</w:t>
      </w:r>
    </w:p>
    <w:p w14:paraId="055FA3C0" w14:textId="77777777" w:rsidR="008E373A" w:rsidRPr="001630EE" w:rsidRDefault="008E373A" w:rsidP="002C388D">
      <w:pPr>
        <w:ind w:left="567" w:right="567"/>
        <w:rPr>
          <w:i/>
        </w:rPr>
      </w:pPr>
      <w:r w:rsidRPr="001630EE">
        <w:rPr>
          <w:b/>
          <w:i/>
        </w:rPr>
        <w:t>II.</w:t>
      </w:r>
      <w:r w:rsidRPr="001630EE">
        <w:rPr>
          <w:i/>
        </w:rPr>
        <w:t xml:space="preserve"> Se determine mediante resolución de autoridad competente; o</w:t>
      </w:r>
    </w:p>
    <w:p w14:paraId="41199D1F" w14:textId="77777777" w:rsidR="008E373A" w:rsidRPr="001630EE" w:rsidRDefault="008E373A" w:rsidP="002C388D">
      <w:pPr>
        <w:ind w:left="567" w:right="567"/>
        <w:rPr>
          <w:b/>
          <w:i/>
        </w:rPr>
      </w:pPr>
      <w:r w:rsidRPr="001630EE">
        <w:rPr>
          <w:b/>
          <w:i/>
        </w:rPr>
        <w:t>III.</w:t>
      </w:r>
      <w:r w:rsidRPr="001630EE">
        <w:rPr>
          <w:i/>
        </w:rPr>
        <w:t xml:space="preserve"> Se generen versiones públicas para dar cumplimiento a las obligaciones de transparencia previstas en esta Ley.</w:t>
      </w:r>
      <w:r w:rsidRPr="001630EE">
        <w:rPr>
          <w:b/>
          <w:i/>
        </w:rPr>
        <w:t>”</w:t>
      </w:r>
    </w:p>
    <w:p w14:paraId="0EAD73B9" w14:textId="77777777" w:rsidR="008E373A" w:rsidRPr="001630EE" w:rsidRDefault="008E373A" w:rsidP="002C388D">
      <w:pPr>
        <w:ind w:right="567"/>
        <w:rPr>
          <w:b/>
          <w:i/>
        </w:rPr>
      </w:pPr>
    </w:p>
    <w:p w14:paraId="2F3D424C" w14:textId="77777777" w:rsidR="008E373A" w:rsidRPr="001630EE" w:rsidRDefault="008E373A" w:rsidP="002C388D">
      <w:pPr>
        <w:ind w:left="567" w:right="567"/>
        <w:rPr>
          <w:i/>
        </w:rPr>
      </w:pPr>
      <w:r w:rsidRPr="001630EE">
        <w:rPr>
          <w:b/>
          <w:i/>
        </w:rPr>
        <w:t>“Segundo.-</w:t>
      </w:r>
      <w:r w:rsidRPr="001630EE">
        <w:rPr>
          <w:i/>
        </w:rPr>
        <w:t xml:space="preserve"> Para efectos de los presentes Lineamientos Generales, se entenderá por:</w:t>
      </w:r>
    </w:p>
    <w:p w14:paraId="5C251907" w14:textId="77777777" w:rsidR="008E373A" w:rsidRPr="001630EE" w:rsidRDefault="008E373A" w:rsidP="002C388D">
      <w:pPr>
        <w:ind w:left="567" w:right="567"/>
        <w:rPr>
          <w:i/>
        </w:rPr>
      </w:pPr>
      <w:r w:rsidRPr="001630EE">
        <w:rPr>
          <w:i/>
        </w:rPr>
        <w:t>…</w:t>
      </w:r>
    </w:p>
    <w:p w14:paraId="163DFCF5" w14:textId="77777777" w:rsidR="008E373A" w:rsidRPr="001630EE" w:rsidRDefault="008E373A" w:rsidP="002C388D">
      <w:pPr>
        <w:ind w:left="567" w:right="567"/>
        <w:rPr>
          <w:i/>
        </w:rPr>
      </w:pPr>
      <w:r w:rsidRPr="001630EE">
        <w:rPr>
          <w:b/>
          <w:i/>
        </w:rPr>
        <w:t>XVIII.</w:t>
      </w:r>
      <w:r w:rsidRPr="001630EE">
        <w:rPr>
          <w:i/>
        </w:rPr>
        <w:t xml:space="preserve"> </w:t>
      </w:r>
      <w:r w:rsidRPr="001630EE">
        <w:rPr>
          <w:b/>
          <w:i/>
        </w:rPr>
        <w:t>Versión pública:</w:t>
      </w:r>
      <w:r w:rsidRPr="001630EE">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31E0D8E" w14:textId="77777777" w:rsidR="008E373A" w:rsidRPr="001630EE" w:rsidRDefault="008E373A" w:rsidP="002C388D">
      <w:pPr>
        <w:ind w:left="567" w:right="567"/>
        <w:rPr>
          <w:i/>
        </w:rPr>
      </w:pPr>
      <w:r w:rsidRPr="001630EE">
        <w:rPr>
          <w:b/>
          <w:i/>
        </w:rPr>
        <w:t>Cuarto.</w:t>
      </w:r>
      <w:r w:rsidRPr="001630EE">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FAF687" w14:textId="77777777" w:rsidR="008E373A" w:rsidRPr="001630EE" w:rsidRDefault="008E373A" w:rsidP="002C388D">
      <w:pPr>
        <w:ind w:left="567" w:right="567"/>
        <w:rPr>
          <w:i/>
        </w:rPr>
      </w:pPr>
      <w:r w:rsidRPr="001630EE">
        <w:rPr>
          <w:i/>
        </w:rPr>
        <w:t>Los Sujetos Obligados deberán aplicar, de manera estricta, las excepciones al derecho de acceso a la información y sólo podrán invocarlas cuando acrediten su procedencia.</w:t>
      </w:r>
    </w:p>
    <w:p w14:paraId="40D048C6" w14:textId="77777777" w:rsidR="008E373A" w:rsidRPr="001630EE" w:rsidRDefault="008E373A" w:rsidP="002C388D">
      <w:pPr>
        <w:ind w:left="567" w:right="567"/>
        <w:rPr>
          <w:b/>
          <w:i/>
        </w:rPr>
      </w:pPr>
    </w:p>
    <w:p w14:paraId="1184A275" w14:textId="77777777" w:rsidR="008E373A" w:rsidRPr="001630EE" w:rsidRDefault="008E373A" w:rsidP="002C388D">
      <w:pPr>
        <w:ind w:left="567" w:right="567"/>
        <w:rPr>
          <w:i/>
        </w:rPr>
      </w:pPr>
      <w:r w:rsidRPr="001630EE">
        <w:rPr>
          <w:b/>
          <w:i/>
        </w:rPr>
        <w:t>Quinto.</w:t>
      </w:r>
      <w:r w:rsidRPr="001630EE">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5923C5" w14:textId="77777777" w:rsidR="008E373A" w:rsidRPr="001630EE" w:rsidRDefault="008E373A" w:rsidP="002C388D">
      <w:pPr>
        <w:ind w:left="567" w:right="567"/>
        <w:rPr>
          <w:b/>
          <w:i/>
        </w:rPr>
      </w:pPr>
    </w:p>
    <w:p w14:paraId="7EBDF80E" w14:textId="77777777" w:rsidR="008E373A" w:rsidRPr="001630EE" w:rsidRDefault="008E373A" w:rsidP="002C388D">
      <w:pPr>
        <w:ind w:left="567" w:right="567"/>
        <w:rPr>
          <w:i/>
        </w:rPr>
      </w:pPr>
      <w:r w:rsidRPr="001630EE">
        <w:rPr>
          <w:b/>
          <w:i/>
        </w:rPr>
        <w:lastRenderedPageBreak/>
        <w:t>Sexto.</w:t>
      </w:r>
      <w:r w:rsidRPr="001630EE">
        <w:rPr>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8E239D4" w14:textId="77777777" w:rsidR="008E373A" w:rsidRPr="001630EE" w:rsidRDefault="008E373A" w:rsidP="002C388D">
      <w:pPr>
        <w:ind w:left="567" w:right="567"/>
        <w:rPr>
          <w:i/>
        </w:rPr>
      </w:pPr>
      <w:r w:rsidRPr="001630EE">
        <w:rPr>
          <w:i/>
        </w:rPr>
        <w:t>La clasificación de información se realizará conforme a un análisis caso por caso, mediante la aplicación de la prueba de daño y de interés público.</w:t>
      </w:r>
    </w:p>
    <w:p w14:paraId="79D166E2" w14:textId="77777777" w:rsidR="008E373A" w:rsidRPr="001630EE" w:rsidRDefault="008E373A" w:rsidP="002C388D">
      <w:pPr>
        <w:ind w:left="567" w:right="567"/>
        <w:rPr>
          <w:i/>
        </w:rPr>
      </w:pPr>
      <w:r w:rsidRPr="001630EE">
        <w:rPr>
          <w:b/>
          <w:i/>
        </w:rPr>
        <w:t>Séptimo.</w:t>
      </w:r>
      <w:r w:rsidRPr="001630EE">
        <w:rPr>
          <w:i/>
        </w:rPr>
        <w:t xml:space="preserve"> La clasificación de la información se llevará a cabo en el momento en que:</w:t>
      </w:r>
    </w:p>
    <w:p w14:paraId="7164E961" w14:textId="77777777" w:rsidR="008E373A" w:rsidRPr="001630EE" w:rsidRDefault="008E373A" w:rsidP="002C388D">
      <w:pPr>
        <w:ind w:left="567" w:right="567"/>
        <w:rPr>
          <w:i/>
        </w:rPr>
      </w:pPr>
      <w:r w:rsidRPr="001630EE">
        <w:rPr>
          <w:b/>
          <w:i/>
        </w:rPr>
        <w:t>I.</w:t>
      </w:r>
      <w:r w:rsidRPr="001630EE">
        <w:rPr>
          <w:i/>
        </w:rPr>
        <w:t xml:space="preserve"> Se reciba una solicitud de acceso a la información;</w:t>
      </w:r>
    </w:p>
    <w:p w14:paraId="475A230D" w14:textId="77777777" w:rsidR="008E373A" w:rsidRPr="001630EE" w:rsidRDefault="008E373A" w:rsidP="002C388D">
      <w:pPr>
        <w:ind w:left="567" w:right="567"/>
        <w:rPr>
          <w:i/>
        </w:rPr>
      </w:pPr>
      <w:r w:rsidRPr="001630EE">
        <w:rPr>
          <w:b/>
          <w:i/>
        </w:rPr>
        <w:t>II.</w:t>
      </w:r>
      <w:r w:rsidRPr="001630EE">
        <w:rPr>
          <w:i/>
        </w:rPr>
        <w:t xml:space="preserve"> Se determine mediante resolución de autoridad competente, o</w:t>
      </w:r>
    </w:p>
    <w:p w14:paraId="67FF8A74" w14:textId="77777777" w:rsidR="008E373A" w:rsidRPr="001630EE" w:rsidRDefault="008E373A" w:rsidP="002C388D">
      <w:pPr>
        <w:ind w:left="567" w:right="567"/>
        <w:rPr>
          <w:i/>
        </w:rPr>
      </w:pPr>
      <w:r w:rsidRPr="001630EE">
        <w:rPr>
          <w:b/>
          <w:i/>
        </w:rPr>
        <w:t>III.</w:t>
      </w:r>
      <w:r w:rsidRPr="001630EE">
        <w:rPr>
          <w:i/>
        </w:rPr>
        <w:t xml:space="preserve"> Se generen versiones públicas para dar cumplimiento a las obligaciones de transparencia previstas en la Ley General, la Ley Federal y las correspondientes de las entidades federativas.</w:t>
      </w:r>
    </w:p>
    <w:p w14:paraId="516F7116" w14:textId="77777777" w:rsidR="008E373A" w:rsidRPr="001630EE" w:rsidRDefault="008E373A" w:rsidP="002C388D">
      <w:pPr>
        <w:ind w:left="567" w:right="567"/>
        <w:rPr>
          <w:i/>
        </w:rPr>
      </w:pPr>
      <w:r w:rsidRPr="001630EE">
        <w:rPr>
          <w:i/>
        </w:rPr>
        <w:t>Los titulares de las áreas deberán revisar la clasificación al momento de la recepción de una solicitud de acceso a la información, para verificar si encuadra en una causal de reserva o de confidencialidad.</w:t>
      </w:r>
    </w:p>
    <w:p w14:paraId="3B5236E1" w14:textId="77777777" w:rsidR="008E373A" w:rsidRPr="001630EE" w:rsidRDefault="008E373A" w:rsidP="002C388D">
      <w:pPr>
        <w:ind w:left="567" w:right="567"/>
        <w:rPr>
          <w:b/>
          <w:i/>
        </w:rPr>
      </w:pPr>
    </w:p>
    <w:p w14:paraId="5C102011" w14:textId="77777777" w:rsidR="008E373A" w:rsidRPr="001630EE" w:rsidRDefault="008E373A" w:rsidP="002C388D">
      <w:pPr>
        <w:ind w:left="567" w:right="567"/>
        <w:rPr>
          <w:i/>
        </w:rPr>
      </w:pPr>
      <w:r w:rsidRPr="001630EE">
        <w:rPr>
          <w:b/>
          <w:i/>
        </w:rPr>
        <w:t>Octavo.</w:t>
      </w:r>
      <w:r w:rsidRPr="001630EE">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1AB0D35" w14:textId="77777777" w:rsidR="008E373A" w:rsidRPr="001630EE" w:rsidRDefault="008E373A" w:rsidP="002C388D">
      <w:pPr>
        <w:ind w:left="567" w:right="567"/>
        <w:rPr>
          <w:i/>
        </w:rPr>
      </w:pPr>
      <w:r w:rsidRPr="001630EE">
        <w:rPr>
          <w:i/>
        </w:rPr>
        <w:t>Para motivar la clasificación se deberán señalar las razones o circunstancias especiales que lo llevaron a concluir que el caso particular se ajusta al supuesto previsto por la norma legal invocada como fundamento.</w:t>
      </w:r>
    </w:p>
    <w:p w14:paraId="4A268CB6" w14:textId="77777777" w:rsidR="008E373A" w:rsidRPr="001630EE" w:rsidRDefault="008E373A" w:rsidP="002C388D">
      <w:pPr>
        <w:ind w:left="567" w:right="567"/>
        <w:rPr>
          <w:i/>
        </w:rPr>
      </w:pPr>
      <w:r w:rsidRPr="001630EE">
        <w:rPr>
          <w:i/>
        </w:rPr>
        <w:lastRenderedPageBreak/>
        <w:t>En caso de referirse a información reservada, la motivación de la clasificación también deberá comprender las circunstancias que justifican el establecimiento de determinado plazo de reserva.</w:t>
      </w:r>
    </w:p>
    <w:p w14:paraId="43F0EFAB" w14:textId="77777777" w:rsidR="008E373A" w:rsidRPr="001630EE" w:rsidRDefault="008E373A" w:rsidP="002C388D">
      <w:pPr>
        <w:ind w:left="567" w:right="567"/>
        <w:rPr>
          <w:i/>
        </w:rPr>
      </w:pPr>
    </w:p>
    <w:p w14:paraId="0D274CE3" w14:textId="77777777" w:rsidR="008E373A" w:rsidRPr="001630EE" w:rsidRDefault="008E373A" w:rsidP="002C388D">
      <w:pPr>
        <w:ind w:left="567" w:right="567"/>
        <w:rPr>
          <w:i/>
        </w:rPr>
      </w:pPr>
      <w:r w:rsidRPr="001630EE">
        <w:rPr>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BD6B2B" w14:textId="77777777" w:rsidR="008E373A" w:rsidRPr="001630EE" w:rsidRDefault="008E373A" w:rsidP="002C388D">
      <w:pPr>
        <w:ind w:left="567" w:right="567"/>
        <w:rPr>
          <w:i/>
        </w:rPr>
      </w:pPr>
      <w:r w:rsidRPr="001630EE">
        <w:rPr>
          <w:i/>
        </w:rPr>
        <w:t>Los documentos contenidos en los archivos históricos y los identificados como históricos confidenciales no serán susceptibles de clasificación como reservados.</w:t>
      </w:r>
    </w:p>
    <w:p w14:paraId="78C52E21" w14:textId="77777777" w:rsidR="008E373A" w:rsidRPr="001630EE" w:rsidRDefault="008E373A" w:rsidP="002C388D">
      <w:pPr>
        <w:ind w:left="567" w:right="567"/>
        <w:rPr>
          <w:b/>
          <w:i/>
        </w:rPr>
      </w:pPr>
    </w:p>
    <w:p w14:paraId="3F879C34" w14:textId="77777777" w:rsidR="008E373A" w:rsidRPr="001630EE" w:rsidRDefault="008E373A" w:rsidP="002C388D">
      <w:pPr>
        <w:ind w:left="567" w:right="567"/>
        <w:rPr>
          <w:i/>
        </w:rPr>
      </w:pPr>
      <w:r w:rsidRPr="001630EE">
        <w:rPr>
          <w:b/>
          <w:i/>
        </w:rPr>
        <w:t>Noveno.</w:t>
      </w:r>
      <w:r w:rsidRPr="001630EE">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80463D" w14:textId="77777777" w:rsidR="008E373A" w:rsidRPr="001630EE" w:rsidRDefault="008E373A" w:rsidP="002C388D">
      <w:pPr>
        <w:ind w:left="567" w:right="567"/>
        <w:rPr>
          <w:b/>
          <w:i/>
        </w:rPr>
      </w:pPr>
    </w:p>
    <w:p w14:paraId="641379B6" w14:textId="77777777" w:rsidR="008E373A" w:rsidRPr="001630EE" w:rsidRDefault="008E373A" w:rsidP="002C388D">
      <w:pPr>
        <w:ind w:left="567" w:right="567"/>
        <w:rPr>
          <w:i/>
        </w:rPr>
      </w:pPr>
      <w:r w:rsidRPr="001630EE">
        <w:rPr>
          <w:b/>
          <w:i/>
        </w:rPr>
        <w:t>Décimo.</w:t>
      </w:r>
      <w:r w:rsidRPr="001630EE">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A311601" w14:textId="77777777" w:rsidR="008E373A" w:rsidRPr="001630EE" w:rsidRDefault="008E373A" w:rsidP="002C388D">
      <w:pPr>
        <w:ind w:left="567" w:right="567"/>
        <w:rPr>
          <w:i/>
        </w:rPr>
      </w:pPr>
    </w:p>
    <w:p w14:paraId="28260ADE" w14:textId="77777777" w:rsidR="008E373A" w:rsidRPr="001630EE" w:rsidRDefault="008E373A" w:rsidP="002C388D">
      <w:pPr>
        <w:ind w:left="567" w:right="567"/>
        <w:rPr>
          <w:i/>
        </w:rPr>
      </w:pPr>
      <w:r w:rsidRPr="001630EE">
        <w:rPr>
          <w:i/>
        </w:rPr>
        <w:lastRenderedPageBreak/>
        <w:t>En ausencia de los titulares de las áreas, la información será clasificada o desclasificada por la persona que lo supla, en términos de la normativa que rija la actuación del sujeto obligado.</w:t>
      </w:r>
    </w:p>
    <w:p w14:paraId="567BACB5" w14:textId="77777777" w:rsidR="008E373A" w:rsidRPr="001630EE" w:rsidRDefault="008E373A" w:rsidP="002C388D">
      <w:pPr>
        <w:ind w:left="567" w:right="567"/>
        <w:rPr>
          <w:b/>
          <w:i/>
        </w:rPr>
      </w:pPr>
    </w:p>
    <w:p w14:paraId="619D6F39" w14:textId="77777777" w:rsidR="008E373A" w:rsidRPr="001630EE" w:rsidRDefault="008E373A" w:rsidP="002C388D">
      <w:pPr>
        <w:ind w:left="567" w:right="567"/>
        <w:rPr>
          <w:b/>
        </w:rPr>
      </w:pPr>
      <w:r w:rsidRPr="001630EE">
        <w:rPr>
          <w:b/>
          <w:i/>
        </w:rPr>
        <w:t>Décimo primero.</w:t>
      </w:r>
      <w:r w:rsidRPr="001630EE">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630EE">
        <w:rPr>
          <w:b/>
          <w:i/>
        </w:rPr>
        <w:t>”</w:t>
      </w:r>
    </w:p>
    <w:p w14:paraId="6FC0C4E1" w14:textId="77777777" w:rsidR="008E373A" w:rsidRPr="001630EE" w:rsidRDefault="008E373A" w:rsidP="002C388D">
      <w:pPr>
        <w:rPr>
          <w:rFonts w:cs="Arial"/>
          <w:i/>
        </w:rPr>
      </w:pPr>
    </w:p>
    <w:p w14:paraId="514DF083" w14:textId="77777777" w:rsidR="008E373A" w:rsidRPr="001630EE" w:rsidRDefault="008E373A" w:rsidP="002C388D">
      <w:pPr>
        <w:rPr>
          <w:szCs w:val="24"/>
        </w:rPr>
      </w:pPr>
      <w:r w:rsidRPr="001630EE">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10A656" w14:textId="77777777" w:rsidR="008E373A" w:rsidRPr="001630EE" w:rsidRDefault="008E373A" w:rsidP="002C388D">
      <w:pPr>
        <w:rPr>
          <w:szCs w:val="24"/>
        </w:rPr>
      </w:pPr>
      <w:r w:rsidRPr="001630EE">
        <w:rPr>
          <w:szCs w:val="24"/>
        </w:rPr>
        <w:t>Por tanto, la fundamentación y motivación consiste en la obligación que tiene todo ente público de expresar los preceptos jurídicos aplicables al asunto motivo del acto y las razones o argumentos de su actuar.</w:t>
      </w:r>
    </w:p>
    <w:p w14:paraId="37C9F56E" w14:textId="77777777" w:rsidR="008E373A" w:rsidRPr="001630EE" w:rsidRDefault="008E373A" w:rsidP="002C388D">
      <w:pPr>
        <w:rPr>
          <w:szCs w:val="24"/>
        </w:rPr>
      </w:pPr>
    </w:p>
    <w:p w14:paraId="59D93BAD" w14:textId="77777777" w:rsidR="008E373A" w:rsidRPr="001630EE" w:rsidRDefault="008E373A" w:rsidP="002C388D">
      <w:pPr>
        <w:rPr>
          <w:szCs w:val="24"/>
        </w:rPr>
      </w:pPr>
      <w:r w:rsidRPr="001630EE">
        <w:rPr>
          <w:szCs w:val="24"/>
        </w:rPr>
        <w:lastRenderedPageBreak/>
        <w:t>Al respecto, el máximo tribunal del país ha establecido jurisprudencia respecto a qué debe entenderse por fundamentación y motivación, en los siguientes términos:</w:t>
      </w:r>
    </w:p>
    <w:p w14:paraId="7147B059" w14:textId="77777777" w:rsidR="002C388D" w:rsidRPr="001630EE" w:rsidRDefault="002C388D" w:rsidP="002C388D">
      <w:pPr>
        <w:rPr>
          <w:szCs w:val="24"/>
        </w:rPr>
      </w:pPr>
    </w:p>
    <w:p w14:paraId="7DD336F5" w14:textId="77777777" w:rsidR="008E373A" w:rsidRPr="001630EE" w:rsidRDefault="008E373A" w:rsidP="002C388D">
      <w:pPr>
        <w:ind w:left="567" w:right="567"/>
        <w:rPr>
          <w:i/>
        </w:rPr>
      </w:pPr>
      <w:r w:rsidRPr="001630EE">
        <w:rPr>
          <w:b/>
          <w:i/>
        </w:rPr>
        <w:t xml:space="preserve">FUNDAMENTACIÓN Y MOTIVACIÓN. </w:t>
      </w:r>
      <w:r w:rsidRPr="001630EE">
        <w:rPr>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AF0506A" w14:textId="77777777" w:rsidR="008E373A" w:rsidRPr="001630EE" w:rsidRDefault="008E373A" w:rsidP="002C388D">
      <w:pPr>
        <w:rPr>
          <w:szCs w:val="24"/>
        </w:rPr>
      </w:pPr>
    </w:p>
    <w:p w14:paraId="6049AC47" w14:textId="77777777" w:rsidR="008E373A" w:rsidRPr="001630EE" w:rsidRDefault="008E373A" w:rsidP="002C388D">
      <w:pPr>
        <w:rPr>
          <w:szCs w:val="24"/>
        </w:rPr>
      </w:pPr>
      <w:r w:rsidRPr="001630EE">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E5E1174" w14:textId="77777777" w:rsidR="002C388D" w:rsidRPr="001630EE" w:rsidRDefault="002C388D" w:rsidP="002C388D">
      <w:pPr>
        <w:rPr>
          <w:szCs w:val="24"/>
        </w:rPr>
      </w:pPr>
    </w:p>
    <w:p w14:paraId="0562FB5C" w14:textId="77777777" w:rsidR="008E373A" w:rsidRPr="001630EE" w:rsidRDefault="008E373A" w:rsidP="002C388D">
      <w:pPr>
        <w:rPr>
          <w:szCs w:val="24"/>
        </w:rPr>
      </w:pPr>
      <w:r w:rsidRPr="001630EE">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EA5EC11" w14:textId="77777777" w:rsidR="002C388D" w:rsidRPr="001630EE" w:rsidRDefault="002C388D" w:rsidP="002C388D">
      <w:pPr>
        <w:rPr>
          <w:szCs w:val="24"/>
        </w:rPr>
      </w:pPr>
    </w:p>
    <w:p w14:paraId="4151AA8D" w14:textId="77777777" w:rsidR="008E373A" w:rsidRPr="001630EE" w:rsidRDefault="008E373A" w:rsidP="002C388D">
      <w:pPr>
        <w:ind w:left="567" w:right="567"/>
        <w:rPr>
          <w:i/>
        </w:rPr>
      </w:pPr>
      <w:r w:rsidRPr="001630EE">
        <w:rPr>
          <w:b/>
          <w:i/>
        </w:rPr>
        <w:t>FUNDAMENTACIÓN Y MOTIVACIÓN. EL ASPECTO FORMAL DE LA GARANTÍA Y SU FINALIDAD SE TRADUCEN EN EXPLICAR, JUSTIFICAR, POSIBILITAR LA DEFENSA Y COMUNICAR LA DECISIÓN</w:t>
      </w:r>
      <w:r w:rsidRPr="001630EE">
        <w:rPr>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w:t>
      </w:r>
      <w:r w:rsidRPr="001630EE">
        <w:rPr>
          <w:i/>
        </w:rPr>
        <w:lastRenderedPageBreak/>
        <w:t>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9D081B4" w14:textId="77777777" w:rsidR="002C388D" w:rsidRPr="001630EE" w:rsidRDefault="002C388D" w:rsidP="002C388D">
      <w:pPr>
        <w:ind w:left="567" w:right="567"/>
        <w:rPr>
          <w:i/>
        </w:rPr>
      </w:pPr>
    </w:p>
    <w:p w14:paraId="7508AA8D" w14:textId="77777777" w:rsidR="008E373A" w:rsidRPr="001630EE" w:rsidRDefault="008E373A" w:rsidP="002C388D">
      <w:pPr>
        <w:rPr>
          <w:szCs w:val="24"/>
        </w:rPr>
      </w:pPr>
      <w:r w:rsidRPr="001630EE">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883E06D" w14:textId="77777777" w:rsidR="008E373A" w:rsidRPr="001630EE" w:rsidRDefault="008E373A" w:rsidP="002C388D">
      <w:pPr>
        <w:rPr>
          <w:szCs w:val="24"/>
        </w:rPr>
      </w:pPr>
    </w:p>
    <w:p w14:paraId="2645A385" w14:textId="77777777" w:rsidR="008E373A" w:rsidRPr="001630EE" w:rsidRDefault="008E373A" w:rsidP="002C388D">
      <w:pPr>
        <w:rPr>
          <w:szCs w:val="24"/>
        </w:rPr>
      </w:pPr>
      <w:r w:rsidRPr="001630EE">
        <w:rPr>
          <w:szCs w:val="24"/>
        </w:rPr>
        <w:t>Por lo tanto, la entrega de documentos en su versión pública debe acompañarse necesariamente del Acuerdo del Comité de Transparencia del Sujeto Obligado</w:t>
      </w:r>
      <w:r w:rsidRPr="001630EE">
        <w:rPr>
          <w:b/>
          <w:szCs w:val="24"/>
        </w:rPr>
        <w:t xml:space="preserve"> </w:t>
      </w:r>
      <w:r w:rsidRPr="001630EE">
        <w:rPr>
          <w:szCs w:val="24"/>
        </w:rPr>
        <w:t xml:space="preserve">que la sustente, en el que se expongan los fundamentos y razones que llevaron a la autoridad a testar, suprimir o eliminar datos de dicho soporte documental, ya que el no hacerlo </w:t>
      </w:r>
      <w:r w:rsidRPr="001630EE">
        <w:rPr>
          <w:szCs w:val="24"/>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9EEAB3" w14:textId="77777777" w:rsidR="008E373A" w:rsidRPr="001630EE" w:rsidRDefault="008E373A" w:rsidP="002C388D">
      <w:pPr>
        <w:rPr>
          <w:szCs w:val="24"/>
        </w:rPr>
      </w:pPr>
    </w:p>
    <w:p w14:paraId="639EB682" w14:textId="066A6646" w:rsidR="008E373A" w:rsidRPr="001630EE" w:rsidRDefault="008E373A" w:rsidP="002C388D">
      <w:pPr>
        <w:tabs>
          <w:tab w:val="left" w:pos="709"/>
        </w:tabs>
        <w:ind w:right="51"/>
        <w:rPr>
          <w:szCs w:val="24"/>
        </w:rPr>
      </w:pPr>
      <w:r w:rsidRPr="001630EE">
        <w:rPr>
          <w:iCs/>
          <w:szCs w:val="24"/>
        </w:rPr>
        <w:t xml:space="preserve">En mérito de lo expuesto </w:t>
      </w:r>
      <w:r w:rsidRPr="001630EE">
        <w:rPr>
          <w:szCs w:val="24"/>
        </w:rPr>
        <w:t xml:space="preserve">en líneas anteriores, resultan </w:t>
      </w:r>
      <w:r w:rsidRPr="001630EE">
        <w:rPr>
          <w:i/>
          <w:szCs w:val="24"/>
        </w:rPr>
        <w:t>fundados</w:t>
      </w:r>
      <w:r w:rsidRPr="001630EE">
        <w:rPr>
          <w:szCs w:val="24"/>
        </w:rPr>
        <w:t xml:space="preserve"> los motivos de inconformidad vertidos por </w:t>
      </w:r>
      <w:r w:rsidRPr="001630EE">
        <w:rPr>
          <w:b/>
          <w:szCs w:val="24"/>
        </w:rPr>
        <w:t xml:space="preserve">el Recurrente, </w:t>
      </w:r>
      <w:r w:rsidRPr="001630EE">
        <w:rPr>
          <w:szCs w:val="24"/>
        </w:rPr>
        <w:t xml:space="preserve">por ello con fundamento en la </w:t>
      </w:r>
      <w:r w:rsidRPr="001630EE">
        <w:rPr>
          <w:i/>
          <w:szCs w:val="24"/>
        </w:rPr>
        <w:t>primera hipótesis</w:t>
      </w:r>
      <w:r w:rsidRPr="001630EE">
        <w:rPr>
          <w:szCs w:val="24"/>
        </w:rPr>
        <w:t xml:space="preserve"> del artículo 186 fracción III de la Ley de Transparencia y Acceso a la Información Pública del Estado de México y Municipios, se </w:t>
      </w:r>
      <w:r w:rsidRPr="001630EE">
        <w:rPr>
          <w:b/>
          <w:szCs w:val="24"/>
        </w:rPr>
        <w:t xml:space="preserve">REVOCA </w:t>
      </w:r>
      <w:r w:rsidRPr="001630EE">
        <w:rPr>
          <w:szCs w:val="24"/>
        </w:rPr>
        <w:t>la respuesta a la solicitud de información</w:t>
      </w:r>
      <w:r w:rsidRPr="001630EE">
        <w:rPr>
          <w:rFonts w:ascii="Verdana" w:hAnsi="Verdana"/>
          <w:b/>
          <w:bCs/>
          <w:color w:val="FF0000"/>
        </w:rPr>
        <w:t xml:space="preserve"> </w:t>
      </w:r>
      <w:r w:rsidR="002C388D" w:rsidRPr="001630EE">
        <w:rPr>
          <w:b/>
          <w:bCs/>
          <w:szCs w:val="24"/>
        </w:rPr>
        <w:t>00151/JOCOTIT/IP/2025</w:t>
      </w:r>
      <w:r w:rsidRPr="001630EE">
        <w:rPr>
          <w:b/>
          <w:bCs/>
          <w:szCs w:val="24"/>
        </w:rPr>
        <w:t xml:space="preserve"> </w:t>
      </w:r>
      <w:r w:rsidRPr="001630EE">
        <w:rPr>
          <w:b/>
          <w:bCs/>
        </w:rPr>
        <w:t>que</w:t>
      </w:r>
      <w:r w:rsidRPr="001630EE">
        <w:rPr>
          <w:rFonts w:ascii="Verdana" w:hAnsi="Verdana"/>
          <w:b/>
          <w:bCs/>
        </w:rPr>
        <w:t xml:space="preserve"> </w:t>
      </w:r>
      <w:r w:rsidRPr="001630EE">
        <w:rPr>
          <w:szCs w:val="24"/>
        </w:rPr>
        <w:t xml:space="preserve">ha sido materia del presente fallo. </w:t>
      </w:r>
    </w:p>
    <w:p w14:paraId="6CC3D8A2" w14:textId="5C8085B0" w:rsidR="003B2909" w:rsidRPr="001630EE" w:rsidRDefault="003B2909" w:rsidP="002C388D">
      <w:pPr>
        <w:rPr>
          <w:rFonts w:cs="Arial"/>
          <w:szCs w:val="24"/>
        </w:rPr>
      </w:pPr>
      <w:r w:rsidRPr="001630EE">
        <w:rPr>
          <w:rFonts w:cs="Arial"/>
          <w:szCs w:val="24"/>
        </w:rPr>
        <w:t xml:space="preserve"> </w:t>
      </w:r>
    </w:p>
    <w:p w14:paraId="305ABE88" w14:textId="77777777" w:rsidR="003B2909" w:rsidRPr="001630EE" w:rsidRDefault="003B2909" w:rsidP="002C388D">
      <w:pPr>
        <w:rPr>
          <w:rFonts w:eastAsia="Times New Roman" w:cs="Times New Roman"/>
          <w:szCs w:val="24"/>
          <w:lang w:eastAsia="es-ES"/>
        </w:rPr>
      </w:pPr>
      <w:r w:rsidRPr="001630EE">
        <w:rPr>
          <w:rFonts w:eastAsia="Times New Roman" w:cs="Times New Roman"/>
          <w:szCs w:val="24"/>
          <w:lang w:eastAsia="es-ES"/>
        </w:rPr>
        <w:t>Por lo antes expuesto y fundado es de resolverse y,</w:t>
      </w:r>
    </w:p>
    <w:p w14:paraId="244C2EAA" w14:textId="77777777" w:rsidR="003B2909" w:rsidRPr="001630EE" w:rsidRDefault="003B2909" w:rsidP="002C388D">
      <w:pPr>
        <w:rPr>
          <w:rFonts w:eastAsia="Times New Roman" w:cs="Times New Roman"/>
          <w:szCs w:val="24"/>
          <w:lang w:eastAsia="es-ES"/>
        </w:rPr>
      </w:pPr>
    </w:p>
    <w:p w14:paraId="19A6FFA2" w14:textId="77777777" w:rsidR="003B2909" w:rsidRPr="001630EE" w:rsidRDefault="003B2909" w:rsidP="002C388D">
      <w:pPr>
        <w:jc w:val="center"/>
        <w:rPr>
          <w:b/>
          <w:spacing w:val="60"/>
          <w:sz w:val="28"/>
          <w:szCs w:val="24"/>
        </w:rPr>
      </w:pPr>
      <w:r w:rsidRPr="001630EE">
        <w:rPr>
          <w:b/>
          <w:spacing w:val="60"/>
          <w:sz w:val="28"/>
          <w:szCs w:val="24"/>
        </w:rPr>
        <w:t>S E RESUELVE</w:t>
      </w:r>
    </w:p>
    <w:p w14:paraId="36A9B575" w14:textId="77777777" w:rsidR="003B2909" w:rsidRPr="001630EE" w:rsidRDefault="003B2909" w:rsidP="002C388D">
      <w:pPr>
        <w:rPr>
          <w:b/>
          <w:spacing w:val="60"/>
          <w:sz w:val="28"/>
          <w:szCs w:val="24"/>
        </w:rPr>
      </w:pPr>
    </w:p>
    <w:p w14:paraId="3BD4B1EB" w14:textId="15F62254" w:rsidR="008E373A" w:rsidRPr="001630EE" w:rsidRDefault="008E373A" w:rsidP="002C388D">
      <w:pPr>
        <w:rPr>
          <w:rFonts w:cs="Arial"/>
        </w:rPr>
      </w:pPr>
      <w:r w:rsidRPr="001630EE">
        <w:rPr>
          <w:rFonts w:cs="Arial"/>
          <w:b/>
          <w:szCs w:val="24"/>
        </w:rPr>
        <w:t>PRIMERO.</w:t>
      </w:r>
      <w:r w:rsidRPr="001630EE">
        <w:rPr>
          <w:rFonts w:cs="Arial"/>
          <w:szCs w:val="24"/>
        </w:rPr>
        <w:t xml:space="preserve"> Se </w:t>
      </w:r>
      <w:r w:rsidRPr="001630EE">
        <w:rPr>
          <w:rFonts w:cs="Arial"/>
          <w:b/>
          <w:szCs w:val="24"/>
        </w:rPr>
        <w:t xml:space="preserve">REVOCA </w:t>
      </w:r>
      <w:r w:rsidRPr="001630EE">
        <w:rPr>
          <w:rFonts w:cs="Arial"/>
          <w:szCs w:val="24"/>
        </w:rPr>
        <w:t xml:space="preserve">la respuesta entregada por </w:t>
      </w:r>
      <w:r w:rsidRPr="001630EE">
        <w:rPr>
          <w:rFonts w:cs="Arial"/>
          <w:b/>
          <w:szCs w:val="24"/>
        </w:rPr>
        <w:t xml:space="preserve">EL SUJETO OBLIGADO, </w:t>
      </w:r>
      <w:r w:rsidRPr="001630EE">
        <w:rPr>
          <w:rFonts w:cs="Arial"/>
          <w:szCs w:val="24"/>
        </w:rPr>
        <w:t xml:space="preserve">a la solicitud de información con número </w:t>
      </w:r>
      <w:r w:rsidR="002C388D" w:rsidRPr="001630EE">
        <w:rPr>
          <w:rFonts w:cs="Arial"/>
          <w:b/>
          <w:bCs/>
          <w:szCs w:val="24"/>
        </w:rPr>
        <w:t>00151/JOCOTIT/IP/2025</w:t>
      </w:r>
      <w:r w:rsidRPr="001630EE">
        <w:rPr>
          <w:rFonts w:cs="Arial"/>
          <w:b/>
          <w:bCs/>
          <w:szCs w:val="24"/>
        </w:rPr>
        <w:t xml:space="preserve"> </w:t>
      </w:r>
      <w:r w:rsidRPr="001630EE">
        <w:rPr>
          <w:rFonts w:cs="Arial"/>
        </w:rPr>
        <w:t xml:space="preserve">por resultar fundados los motivos de inconformidad que arguye </w:t>
      </w:r>
      <w:r w:rsidRPr="001630EE">
        <w:rPr>
          <w:rFonts w:cs="Arial"/>
          <w:b/>
        </w:rPr>
        <w:t xml:space="preserve">EL RECURRENTE, </w:t>
      </w:r>
      <w:r w:rsidRPr="001630EE">
        <w:rPr>
          <w:rFonts w:cs="Arial"/>
        </w:rPr>
        <w:t xml:space="preserve">en términos del </w:t>
      </w:r>
      <w:r w:rsidRPr="001630EE">
        <w:rPr>
          <w:rFonts w:cs="Arial"/>
          <w:b/>
        </w:rPr>
        <w:t xml:space="preserve">Considerando QUINTO </w:t>
      </w:r>
      <w:r w:rsidRPr="001630EE">
        <w:rPr>
          <w:rFonts w:cs="Arial"/>
        </w:rPr>
        <w:t xml:space="preserve">de la presente resolución. </w:t>
      </w:r>
    </w:p>
    <w:p w14:paraId="69BA4F5F" w14:textId="77777777" w:rsidR="008E373A" w:rsidRPr="001630EE" w:rsidRDefault="008E373A" w:rsidP="002C388D">
      <w:pPr>
        <w:rPr>
          <w:rFonts w:cs="Arial"/>
        </w:rPr>
      </w:pPr>
    </w:p>
    <w:p w14:paraId="2B83E8E6" w14:textId="38EF354C" w:rsidR="008E373A" w:rsidRPr="001630EE" w:rsidRDefault="008E373A" w:rsidP="002C388D">
      <w:pPr>
        <w:rPr>
          <w:rFonts w:cs="Arial"/>
          <w:szCs w:val="24"/>
        </w:rPr>
      </w:pPr>
      <w:r w:rsidRPr="001630EE">
        <w:rPr>
          <w:rFonts w:cs="Arial"/>
          <w:b/>
          <w:szCs w:val="24"/>
        </w:rPr>
        <w:lastRenderedPageBreak/>
        <w:t>SEGUNDO.</w:t>
      </w:r>
      <w:r w:rsidRPr="001630EE">
        <w:rPr>
          <w:rFonts w:cs="Arial"/>
          <w:szCs w:val="24"/>
        </w:rPr>
        <w:t xml:space="preserve"> Se </w:t>
      </w:r>
      <w:r w:rsidRPr="001630EE">
        <w:rPr>
          <w:rFonts w:cs="Arial"/>
          <w:b/>
          <w:szCs w:val="24"/>
        </w:rPr>
        <w:t>ORDENA</w:t>
      </w:r>
      <w:r w:rsidRPr="001630EE">
        <w:rPr>
          <w:rFonts w:cs="Arial"/>
          <w:szCs w:val="24"/>
        </w:rPr>
        <w:t xml:space="preserve"> al </w:t>
      </w:r>
      <w:r w:rsidRPr="001630EE">
        <w:rPr>
          <w:rFonts w:cs="Arial"/>
          <w:b/>
          <w:szCs w:val="24"/>
        </w:rPr>
        <w:t>SUJETO OBLIGADO</w:t>
      </w:r>
      <w:r w:rsidRPr="001630EE">
        <w:rPr>
          <w:rFonts w:cs="Arial"/>
          <w:szCs w:val="24"/>
        </w:rPr>
        <w:t xml:space="preserve"> haga entrega al</w:t>
      </w:r>
      <w:r w:rsidRPr="001630EE">
        <w:rPr>
          <w:rFonts w:cs="Arial"/>
          <w:b/>
          <w:szCs w:val="24"/>
        </w:rPr>
        <w:t xml:space="preserve"> RECURRENTE </w:t>
      </w:r>
      <w:r w:rsidRPr="001630EE">
        <w:rPr>
          <w:rFonts w:cs="Arial"/>
          <w:szCs w:val="24"/>
        </w:rPr>
        <w:t xml:space="preserve">en términos del Considerando </w:t>
      </w:r>
      <w:r w:rsidRPr="001630EE">
        <w:rPr>
          <w:rFonts w:cs="Arial"/>
          <w:b/>
          <w:szCs w:val="24"/>
        </w:rPr>
        <w:t xml:space="preserve">QUINTO </w:t>
      </w:r>
      <w:r w:rsidRPr="001630EE">
        <w:rPr>
          <w:rFonts w:cs="Arial"/>
          <w:szCs w:val="24"/>
        </w:rPr>
        <w:t>de esta resolución</w:t>
      </w:r>
      <w:r w:rsidRPr="001630EE">
        <w:rPr>
          <w:rFonts w:cs="Arial"/>
          <w:b/>
          <w:szCs w:val="24"/>
        </w:rPr>
        <w:t xml:space="preserve">, </w:t>
      </w:r>
      <w:r w:rsidRPr="001630EE">
        <w:rPr>
          <w:rFonts w:cs="Arial"/>
          <w:bCs/>
          <w:szCs w:val="24"/>
        </w:rPr>
        <w:t xml:space="preserve">haga entrega de ser procedente en versión pública </w:t>
      </w:r>
      <w:r w:rsidRPr="001630EE">
        <w:rPr>
          <w:rFonts w:cs="Arial"/>
          <w:szCs w:val="24"/>
        </w:rPr>
        <w:t xml:space="preserve">a través del Sistema de Acceso a la Información Mexiquense </w:t>
      </w:r>
      <w:r w:rsidRPr="001630EE">
        <w:rPr>
          <w:rFonts w:cs="Arial"/>
          <w:b/>
          <w:szCs w:val="24"/>
        </w:rPr>
        <w:t>(SAIMEX),</w:t>
      </w:r>
      <w:r w:rsidRPr="001630EE">
        <w:rPr>
          <w:color w:val="000000"/>
          <w:szCs w:val="24"/>
        </w:rPr>
        <w:t xml:space="preserve"> </w:t>
      </w:r>
      <w:r w:rsidRPr="001630EE">
        <w:rPr>
          <w:rFonts w:cs="Arial"/>
          <w:szCs w:val="24"/>
        </w:rPr>
        <w:t xml:space="preserve">lo siguiente: </w:t>
      </w:r>
    </w:p>
    <w:p w14:paraId="1E8FACD6" w14:textId="77777777" w:rsidR="002C388D" w:rsidRPr="001630EE" w:rsidRDefault="002C388D" w:rsidP="002C388D">
      <w:pPr>
        <w:rPr>
          <w:rFonts w:cs="Arial"/>
          <w:szCs w:val="24"/>
        </w:rPr>
      </w:pPr>
    </w:p>
    <w:p w14:paraId="21E73A82" w14:textId="18CFC80C" w:rsidR="008E373A" w:rsidRPr="001630EE" w:rsidRDefault="002C388D" w:rsidP="002C388D">
      <w:pPr>
        <w:pStyle w:val="Prrafodelista"/>
        <w:numPr>
          <w:ilvl w:val="0"/>
          <w:numId w:val="16"/>
        </w:numPr>
        <w:autoSpaceDE w:val="0"/>
        <w:autoSpaceDN w:val="0"/>
        <w:adjustRightInd w:val="0"/>
        <w:contextualSpacing w:val="0"/>
        <w:rPr>
          <w:iCs/>
          <w:szCs w:val="24"/>
        </w:rPr>
      </w:pPr>
      <w:r w:rsidRPr="001630EE">
        <w:rPr>
          <w:szCs w:val="24"/>
        </w:rPr>
        <w:t>Convenio “El Poder de Alfabetizar”, el cual fue firmado con el Instituto Nacional para la Educación de los Adultos INEA y el Ayuntamiento de Jocotitlán, al doce de junio de dos mil veinticinco.</w:t>
      </w:r>
    </w:p>
    <w:p w14:paraId="102050B9" w14:textId="77777777" w:rsidR="008E373A" w:rsidRPr="001630EE" w:rsidRDefault="008E373A" w:rsidP="002C388D">
      <w:pPr>
        <w:autoSpaceDE w:val="0"/>
        <w:autoSpaceDN w:val="0"/>
        <w:adjustRightInd w:val="0"/>
        <w:rPr>
          <w:i/>
          <w:iCs/>
        </w:rPr>
      </w:pPr>
    </w:p>
    <w:p w14:paraId="42C57377" w14:textId="77777777" w:rsidR="008E373A" w:rsidRPr="001630EE" w:rsidRDefault="008E373A" w:rsidP="002C388D">
      <w:pPr>
        <w:autoSpaceDE w:val="0"/>
        <w:autoSpaceDN w:val="0"/>
        <w:adjustRightInd w:val="0"/>
        <w:ind w:left="708"/>
        <w:rPr>
          <w:i/>
        </w:rPr>
      </w:pPr>
      <w:r w:rsidRPr="001630EE">
        <w:rPr>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Recurrente</w:t>
      </w:r>
    </w:p>
    <w:p w14:paraId="2BEB8728" w14:textId="77777777" w:rsidR="008E373A" w:rsidRPr="001630EE" w:rsidRDefault="008E373A" w:rsidP="002C388D">
      <w:pPr>
        <w:ind w:left="708"/>
        <w:rPr>
          <w:rFonts w:cs="Tahoma"/>
          <w:bCs/>
          <w:szCs w:val="24"/>
        </w:rPr>
      </w:pPr>
    </w:p>
    <w:p w14:paraId="3ED2082F" w14:textId="77777777" w:rsidR="008E373A" w:rsidRPr="001630EE" w:rsidRDefault="008E373A" w:rsidP="002C388D">
      <w:pPr>
        <w:rPr>
          <w:rFonts w:cstheme="minorHAnsi"/>
          <w:szCs w:val="24"/>
        </w:rPr>
      </w:pPr>
      <w:r w:rsidRPr="001630EE">
        <w:rPr>
          <w:rFonts w:eastAsia="Times New Roman" w:cs="Arial"/>
          <w:b/>
          <w:sz w:val="28"/>
          <w:szCs w:val="24"/>
          <w:lang w:eastAsia="es-ES"/>
        </w:rPr>
        <w:t>TERCERO</w:t>
      </w:r>
      <w:r w:rsidRPr="001630EE">
        <w:rPr>
          <w:rFonts w:eastAsia="Times New Roman" w:cs="Arial"/>
          <w:b/>
          <w:szCs w:val="24"/>
          <w:lang w:eastAsia="es-ES"/>
        </w:rPr>
        <w:t>.</w:t>
      </w:r>
      <w:r w:rsidRPr="001630EE">
        <w:rPr>
          <w:rFonts w:eastAsia="Times New Roman" w:cs="Arial"/>
          <w:szCs w:val="24"/>
          <w:lang w:eastAsia="es-ES"/>
        </w:rPr>
        <w:t xml:space="preserve"> </w:t>
      </w:r>
      <w:r w:rsidRPr="001630EE">
        <w:rPr>
          <w:rFonts w:cstheme="minorHAnsi"/>
          <w:b/>
          <w:szCs w:val="24"/>
        </w:rPr>
        <w:t>NOTIFÍQUESE</w:t>
      </w:r>
      <w:r w:rsidRPr="001630EE">
        <w:rPr>
          <w:rFonts w:cstheme="minorHAnsi"/>
          <w:i/>
          <w:szCs w:val="24"/>
        </w:rPr>
        <w:t xml:space="preserve"> </w:t>
      </w:r>
      <w:r w:rsidRPr="001630EE">
        <w:rPr>
          <w:rFonts w:cstheme="minorHAnsi"/>
          <w:szCs w:val="24"/>
        </w:rPr>
        <w:t xml:space="preserve">la presente resolución al Titular de la Unidad de Transparencia del Sujeto Obligado, vía </w:t>
      </w:r>
      <w:r w:rsidRPr="001630EE">
        <w:rPr>
          <w:rFonts w:cs="Arial"/>
          <w:szCs w:val="24"/>
        </w:rPr>
        <w:t xml:space="preserve">Sistema de Acceso a la Información Mexiquense </w:t>
      </w:r>
      <w:r w:rsidRPr="001630EE">
        <w:rPr>
          <w:rFonts w:cs="Arial"/>
          <w:b/>
          <w:szCs w:val="24"/>
        </w:rPr>
        <w:t xml:space="preserve">(SAIMEX) </w:t>
      </w:r>
      <w:r w:rsidRPr="001630EE">
        <w:rPr>
          <w:rFonts w:cstheme="minorHAnsi"/>
          <w:szCs w:val="24"/>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1630EE">
        <w:rPr>
          <w:rFonts w:cstheme="minorHAnsi"/>
          <w:szCs w:val="24"/>
        </w:rPr>
        <w:lastRenderedPageBreak/>
        <w:t>conformidad con lo previsto en los artículos 198, 200, fracción III; 214, 215 y 216 de la Ley  de Transparencia y Acceso a la Información Pública del Estado de México y Municipios.</w:t>
      </w:r>
    </w:p>
    <w:p w14:paraId="1A90C187" w14:textId="77777777" w:rsidR="008E373A" w:rsidRPr="001630EE" w:rsidRDefault="008E373A" w:rsidP="002C388D">
      <w:pPr>
        <w:rPr>
          <w:rFonts w:cstheme="minorHAnsi"/>
          <w:szCs w:val="24"/>
        </w:rPr>
      </w:pPr>
    </w:p>
    <w:p w14:paraId="3E5D1256" w14:textId="77777777" w:rsidR="008E373A" w:rsidRPr="001630EE" w:rsidRDefault="008E373A" w:rsidP="002C388D">
      <w:pPr>
        <w:autoSpaceDE w:val="0"/>
        <w:autoSpaceDN w:val="0"/>
        <w:adjustRightInd w:val="0"/>
        <w:rPr>
          <w:rFonts w:eastAsia="Times New Roman" w:cs="Arial"/>
          <w:szCs w:val="24"/>
          <w:lang w:val="es-ES" w:eastAsia="es-ES"/>
        </w:rPr>
      </w:pPr>
      <w:r w:rsidRPr="001630EE">
        <w:rPr>
          <w:rFonts w:eastAsia="Times New Roman" w:cs="Arial"/>
          <w:b/>
          <w:sz w:val="26"/>
          <w:szCs w:val="26"/>
          <w:lang w:eastAsia="es-ES"/>
        </w:rPr>
        <w:t>CUARTO.</w:t>
      </w:r>
      <w:r w:rsidRPr="001630EE">
        <w:rPr>
          <w:rFonts w:eastAsia="Times New Roman" w:cs="Arial"/>
          <w:b/>
          <w:szCs w:val="24"/>
          <w:lang w:eastAsia="es-ES"/>
        </w:rPr>
        <w:t xml:space="preserve"> </w:t>
      </w:r>
      <w:r w:rsidRPr="001630EE">
        <w:rPr>
          <w:rFonts w:eastAsia="Times New Roman" w:cs="Arial"/>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955339" w14:textId="77777777" w:rsidR="008E373A" w:rsidRPr="001630EE" w:rsidRDefault="008E373A" w:rsidP="002C388D">
      <w:pPr>
        <w:autoSpaceDE w:val="0"/>
        <w:autoSpaceDN w:val="0"/>
        <w:adjustRightInd w:val="0"/>
        <w:rPr>
          <w:rFonts w:eastAsia="Times New Roman" w:cs="Arial"/>
          <w:szCs w:val="24"/>
          <w:lang w:val="es-ES" w:eastAsia="es-ES"/>
        </w:rPr>
      </w:pPr>
    </w:p>
    <w:p w14:paraId="510E85E9" w14:textId="1C1EB824" w:rsidR="003B2909" w:rsidRPr="001630EE" w:rsidRDefault="00AD7EA3" w:rsidP="002C388D">
      <w:pPr>
        <w:autoSpaceDE w:val="0"/>
        <w:autoSpaceDN w:val="0"/>
        <w:adjustRightInd w:val="0"/>
      </w:pPr>
      <w:r w:rsidRPr="001630EE">
        <w:rPr>
          <w:rFonts w:cs="Arial"/>
          <w:b/>
          <w:noProof/>
          <w:sz w:val="28"/>
          <w:szCs w:val="28"/>
          <w:lang w:val="es-MX"/>
        </w:rPr>
        <mc:AlternateContent>
          <mc:Choice Requires="wps">
            <w:drawing>
              <wp:anchor distT="0" distB="0" distL="114300" distR="114300" simplePos="0" relativeHeight="251659264" behindDoc="0" locked="0" layoutInCell="1" allowOverlap="1" wp14:anchorId="618B109F" wp14:editId="67F39D96">
                <wp:simplePos x="0" y="0"/>
                <wp:positionH relativeFrom="column">
                  <wp:posOffset>57061</wp:posOffset>
                </wp:positionH>
                <wp:positionV relativeFrom="paragraph">
                  <wp:posOffset>1836641</wp:posOffset>
                </wp:positionV>
                <wp:extent cx="5752214" cy="3115339"/>
                <wp:effectExtent l="0" t="0" r="20320" b="27940"/>
                <wp:wrapNone/>
                <wp:docPr id="1" name="Conector recto 1"/>
                <wp:cNvGraphicFramePr/>
                <a:graphic xmlns:a="http://schemas.openxmlformats.org/drawingml/2006/main">
                  <a:graphicData uri="http://schemas.microsoft.com/office/word/2010/wordprocessingShape">
                    <wps:wsp>
                      <wps:cNvCnPr/>
                      <wps:spPr>
                        <a:xfrm>
                          <a:off x="0" y="0"/>
                          <a:ext cx="5752214" cy="31153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75D8508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4.6pt" to="457.45pt,3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" strokecolor="#5b9bd5 [3204]" strokeweight=".5pt">
                <v:stroke joinstyle="miter"/>
              </v:line>
            </w:pict>
          </mc:Fallback>
        </mc:AlternateContent>
      </w:r>
      <w:r w:rsidR="008E373A" w:rsidRPr="001630EE">
        <w:rPr>
          <w:rFonts w:cs="Arial"/>
          <w:b/>
          <w:sz w:val="28"/>
          <w:szCs w:val="28"/>
        </w:rPr>
        <w:t xml:space="preserve">QUINTO. </w:t>
      </w:r>
      <w:r w:rsidR="008E373A" w:rsidRPr="001630EE">
        <w:rPr>
          <w:rFonts w:eastAsia="Times New Roman" w:cs="Arial"/>
          <w:b/>
          <w:szCs w:val="24"/>
          <w:lang w:eastAsia="es-ES"/>
        </w:rPr>
        <w:t xml:space="preserve">NOTIFÍQUESE </w:t>
      </w:r>
      <w:r w:rsidR="008E373A" w:rsidRPr="001630EE">
        <w:rPr>
          <w:rFonts w:eastAsia="Times New Roman" w:cs="Arial"/>
          <w:szCs w:val="24"/>
          <w:lang w:eastAsia="es-ES"/>
        </w:rPr>
        <w:t xml:space="preserve">la presente resolución al </w:t>
      </w:r>
      <w:r w:rsidR="008E373A" w:rsidRPr="001630EE">
        <w:rPr>
          <w:rFonts w:eastAsia="Times New Roman" w:cs="Arial"/>
          <w:b/>
          <w:szCs w:val="24"/>
          <w:lang w:eastAsia="es-ES"/>
        </w:rPr>
        <w:t xml:space="preserve">RECURRENTE vía </w:t>
      </w:r>
      <w:r w:rsidR="008E373A" w:rsidRPr="001630EE">
        <w:rPr>
          <w:rFonts w:cs="Arial"/>
          <w:szCs w:val="24"/>
        </w:rPr>
        <w:t xml:space="preserve">Sistema de Acceso a la Información Mexiquense </w:t>
      </w:r>
      <w:r w:rsidR="008E373A" w:rsidRPr="001630EE">
        <w:rPr>
          <w:rFonts w:cs="Arial"/>
          <w:b/>
          <w:szCs w:val="24"/>
        </w:rPr>
        <w:t xml:space="preserve">(SAIMEX) </w:t>
      </w:r>
      <w:r w:rsidR="008E373A" w:rsidRPr="001630EE">
        <w:rPr>
          <w:rFonts w:cs="Arial"/>
          <w:szCs w:val="24"/>
        </w:rPr>
        <w:t>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r w:rsidR="008E373A" w:rsidRPr="001630EE">
        <w:t>.</w:t>
      </w:r>
    </w:p>
    <w:p w14:paraId="685F00CC" w14:textId="731B434F" w:rsidR="00AD7EA3" w:rsidRPr="001630EE" w:rsidRDefault="00AD7EA3" w:rsidP="002C388D">
      <w:pPr>
        <w:autoSpaceDE w:val="0"/>
        <w:autoSpaceDN w:val="0"/>
        <w:adjustRightInd w:val="0"/>
      </w:pPr>
    </w:p>
    <w:p w14:paraId="77F21B2B" w14:textId="7D68A041" w:rsidR="00AD7EA3" w:rsidRPr="001630EE" w:rsidRDefault="00AD7EA3" w:rsidP="002C388D">
      <w:pPr>
        <w:autoSpaceDE w:val="0"/>
        <w:autoSpaceDN w:val="0"/>
        <w:adjustRightInd w:val="0"/>
      </w:pPr>
    </w:p>
    <w:p w14:paraId="31D8E10A" w14:textId="7944A71E" w:rsidR="00AD7EA3" w:rsidRPr="001630EE" w:rsidRDefault="00AD7EA3" w:rsidP="002C388D">
      <w:pPr>
        <w:autoSpaceDE w:val="0"/>
        <w:autoSpaceDN w:val="0"/>
        <w:adjustRightInd w:val="0"/>
      </w:pPr>
    </w:p>
    <w:p w14:paraId="59CC2BE6" w14:textId="64EE1855" w:rsidR="00AD7EA3" w:rsidRPr="001630EE" w:rsidRDefault="00AD7EA3" w:rsidP="002C388D">
      <w:pPr>
        <w:autoSpaceDE w:val="0"/>
        <w:autoSpaceDN w:val="0"/>
        <w:adjustRightInd w:val="0"/>
      </w:pPr>
    </w:p>
    <w:p w14:paraId="1D28595C" w14:textId="495C3A77" w:rsidR="00AD7EA3" w:rsidRPr="001630EE" w:rsidRDefault="00AD7EA3" w:rsidP="002C388D">
      <w:pPr>
        <w:autoSpaceDE w:val="0"/>
        <w:autoSpaceDN w:val="0"/>
        <w:adjustRightInd w:val="0"/>
      </w:pPr>
    </w:p>
    <w:p w14:paraId="723BCE7B" w14:textId="755AD023" w:rsidR="00AD7EA3" w:rsidRPr="001630EE" w:rsidRDefault="00AD7EA3" w:rsidP="002C388D">
      <w:pPr>
        <w:autoSpaceDE w:val="0"/>
        <w:autoSpaceDN w:val="0"/>
        <w:adjustRightInd w:val="0"/>
      </w:pPr>
    </w:p>
    <w:p w14:paraId="37EFD151" w14:textId="252FAFED" w:rsidR="00AD7EA3" w:rsidRPr="001630EE" w:rsidRDefault="00AD7EA3" w:rsidP="002C388D">
      <w:pPr>
        <w:autoSpaceDE w:val="0"/>
        <w:autoSpaceDN w:val="0"/>
        <w:adjustRightInd w:val="0"/>
      </w:pPr>
    </w:p>
    <w:p w14:paraId="317CE014" w14:textId="77777777" w:rsidR="00AD7EA3" w:rsidRPr="001630EE" w:rsidRDefault="00AD7EA3" w:rsidP="002C388D">
      <w:pPr>
        <w:autoSpaceDE w:val="0"/>
        <w:autoSpaceDN w:val="0"/>
        <w:adjustRightInd w:val="0"/>
        <w:rPr>
          <w:rFonts w:cs="Arial"/>
          <w:szCs w:val="24"/>
        </w:rPr>
      </w:pPr>
    </w:p>
    <w:p w14:paraId="35341183" w14:textId="77777777" w:rsidR="003B2909" w:rsidRPr="001630EE" w:rsidRDefault="003B2909" w:rsidP="002C388D">
      <w:pPr>
        <w:rPr>
          <w:rFonts w:cs="Arial"/>
          <w:color w:val="000000"/>
          <w:szCs w:val="24"/>
        </w:rPr>
      </w:pPr>
    </w:p>
    <w:p w14:paraId="2990AE93" w14:textId="5E21D82A" w:rsidR="003B2909" w:rsidRPr="001630EE" w:rsidRDefault="003B2909" w:rsidP="002C388D">
      <w:pPr>
        <w:rPr>
          <w:rFonts w:cs="Arial"/>
          <w:szCs w:val="24"/>
          <w:lang w:val="es-MX"/>
        </w:rPr>
      </w:pPr>
      <w:r w:rsidRPr="001630EE">
        <w:rPr>
          <w:rFonts w:cs="Arial"/>
          <w:szCs w:val="24"/>
        </w:rPr>
        <w:lastRenderedPageBreak/>
        <w:t xml:space="preserve">ASÍ LO RESUELVE, POR </w:t>
      </w:r>
      <w:r w:rsidRPr="001630EE">
        <w:rPr>
          <w:rFonts w:cs="Arial"/>
          <w:b/>
          <w:bCs/>
          <w:szCs w:val="24"/>
        </w:rPr>
        <w:t>UNANIMIDAD DE VOTOS</w:t>
      </w:r>
      <w:r w:rsidRPr="001630EE">
        <w:rPr>
          <w:rFonts w:cs="Arial"/>
          <w:szCs w:val="24"/>
        </w:rPr>
        <w:t xml:space="preserve"> EL PLENO DEL</w:t>
      </w:r>
      <w:r w:rsidRPr="001630EE">
        <w:rPr>
          <w:rFonts w:eastAsia="Arial Unicode MS" w:cs="Arial"/>
          <w:szCs w:val="24"/>
        </w:rPr>
        <w:t xml:space="preserve"> INSTITUTO DE TRANSPARENCIA, ACCESO A LA INFORMACIÓN PÚBLICA Y PROTECCIÓN DE DATOS PERSONALES DEL ESTADO DE MÉXICO Y MUNICIPIOS</w:t>
      </w:r>
      <w:r w:rsidRPr="001630EE">
        <w:rPr>
          <w:rFonts w:cs="Arial"/>
          <w:szCs w:val="24"/>
        </w:rPr>
        <w:t>, CONFORMADO POR LOS COMISIONADOS JOSÉ MARTÍNEZ VILCHIS, MARÍA DEL ROSARIO MEJÍA AYALA, SHARON CRISTINA MORALES MARTÍNEZ, LUIS GUSTAVO PARRA NORIEGA Y GUADALUPE RAMÍREZ PEÑA</w:t>
      </w:r>
      <w:r w:rsidRPr="001630EE">
        <w:rPr>
          <w:rFonts w:cs="Arial"/>
          <w:szCs w:val="24"/>
          <w:u w:val="single"/>
        </w:rPr>
        <w:t>,</w:t>
      </w:r>
      <w:r w:rsidRPr="001630EE">
        <w:rPr>
          <w:rFonts w:cs="Arial"/>
          <w:szCs w:val="24"/>
        </w:rPr>
        <w:t xml:space="preserve"> EN LA </w:t>
      </w:r>
      <w:r w:rsidR="00AD7EA3" w:rsidRPr="001630EE">
        <w:rPr>
          <w:rFonts w:cs="Arial"/>
          <w:b/>
          <w:bCs/>
          <w:szCs w:val="24"/>
          <w:lang w:val="es-419"/>
        </w:rPr>
        <w:t>CUARTA</w:t>
      </w:r>
      <w:r w:rsidRPr="001630EE">
        <w:rPr>
          <w:rFonts w:cs="Arial"/>
          <w:b/>
          <w:bCs/>
          <w:szCs w:val="24"/>
          <w:lang w:val="es-419"/>
        </w:rPr>
        <w:t xml:space="preserve"> </w:t>
      </w:r>
      <w:r w:rsidR="007134AA" w:rsidRPr="001630EE">
        <w:rPr>
          <w:rFonts w:cs="Arial"/>
          <w:b/>
          <w:bCs/>
          <w:szCs w:val="24"/>
        </w:rPr>
        <w:t>SESIÓN ORDINARIA CELEBRADA EL</w:t>
      </w:r>
      <w:r w:rsidRPr="001630EE">
        <w:rPr>
          <w:rFonts w:cs="Arial"/>
          <w:b/>
          <w:bCs/>
          <w:szCs w:val="24"/>
        </w:rPr>
        <w:t xml:space="preserve"> </w:t>
      </w:r>
      <w:r w:rsidR="0066071F" w:rsidRPr="001630EE">
        <w:rPr>
          <w:rFonts w:cs="Arial"/>
          <w:b/>
          <w:bCs/>
          <w:szCs w:val="24"/>
        </w:rPr>
        <w:t xml:space="preserve">CINCO DE </w:t>
      </w:r>
      <w:r w:rsidR="00AD7EA3" w:rsidRPr="001630EE">
        <w:rPr>
          <w:rFonts w:cs="Arial"/>
          <w:b/>
          <w:bCs/>
          <w:szCs w:val="24"/>
        </w:rPr>
        <w:t xml:space="preserve">FEBRERO </w:t>
      </w:r>
      <w:r w:rsidR="007134AA" w:rsidRPr="001630EE">
        <w:rPr>
          <w:rFonts w:cs="Arial"/>
          <w:b/>
          <w:bCs/>
          <w:szCs w:val="24"/>
        </w:rPr>
        <w:t>DE DOS MIL VEINTISÉIS</w:t>
      </w:r>
      <w:r w:rsidRPr="001630EE">
        <w:rPr>
          <w:rFonts w:cs="Arial"/>
          <w:szCs w:val="24"/>
        </w:rPr>
        <w:t>, ANTE EL SECRETARIO TÉCNICO DEL PLENO, ALEXIS TAPIA RAMÍREZ. ---------------------------------------------------------------------------------------------------------------------------------------------------------------------------------------------------------------------------------------------------------------------</w:t>
      </w:r>
      <w:r w:rsidR="007134AA" w:rsidRPr="001630EE">
        <w:rPr>
          <w:rFonts w:cs="Arial"/>
          <w:szCs w:val="24"/>
        </w:rPr>
        <w:t>---------------------------------------------------------------------------------------------------------------------------------------------------------------------------------------------------------------------------------------------------------------------------------------------------------------------------------------------------------------------------------------------------------------------------------------------------------------------------------------------------------------------------------------------------------------------------------------------------------------------------------------------------------------------------------------------------------------------------------------------------------------------------------------------------------------------------------------------------------------------------------------------------------------------------------------------------------------------------------------------------------------------------------------------------------------------------------------------------------------------------------------------------------------------------------------------------------------------------------------------------------------------------------------------------------------------------------------------------------------------------------------------------------------------------------------------------------------------------------------------------------------------------------------------------------------------------------</w:t>
      </w:r>
    </w:p>
    <w:p w14:paraId="2E860B08" w14:textId="02E05134" w:rsidR="003B2909" w:rsidRDefault="002C388D" w:rsidP="002C388D">
      <w:pPr>
        <w:rPr>
          <w:rFonts w:cs="Arial"/>
          <w:sz w:val="20"/>
        </w:rPr>
      </w:pPr>
      <w:r w:rsidRPr="001630EE">
        <w:rPr>
          <w:rFonts w:cs="Arial"/>
          <w:sz w:val="20"/>
        </w:rPr>
        <w:t>JMV/CCR/</w:t>
      </w:r>
    </w:p>
    <w:p w14:paraId="6761EC46" w14:textId="77777777" w:rsidR="003B2909" w:rsidRDefault="003B2909" w:rsidP="002C388D">
      <w:pPr>
        <w:rPr>
          <w:rFonts w:cs="Arial"/>
          <w:sz w:val="20"/>
        </w:rPr>
      </w:pPr>
    </w:p>
    <w:p w14:paraId="32B22660" w14:textId="77777777" w:rsidR="003B2909" w:rsidRDefault="003B2909" w:rsidP="002C388D">
      <w:pPr>
        <w:rPr>
          <w:rFonts w:cs="Arial"/>
          <w:sz w:val="20"/>
        </w:rPr>
      </w:pPr>
    </w:p>
    <w:p w14:paraId="77770EC2"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2D7E192C"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599867A7"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46CD5420"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4E211D06"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6763615E"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6A9B4C74"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62D10143"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072A629A" w14:textId="77777777" w:rsidR="003B2909" w:rsidRPr="004B7011" w:rsidRDefault="003B2909" w:rsidP="002C388D">
      <w:pPr>
        <w:pBdr>
          <w:top w:val="nil"/>
          <w:left w:val="nil"/>
          <w:bottom w:val="nil"/>
          <w:right w:val="nil"/>
          <w:between w:val="nil"/>
        </w:pBdr>
        <w:contextualSpacing/>
        <w:rPr>
          <w:rFonts w:eastAsia="Palatino Linotype" w:cs="Palatino Linotype"/>
          <w:color w:val="000000"/>
          <w:sz w:val="20"/>
          <w:szCs w:val="20"/>
        </w:rPr>
      </w:pPr>
    </w:p>
    <w:p w14:paraId="001559B5" w14:textId="77777777" w:rsidR="003B2909" w:rsidRPr="004B7011" w:rsidRDefault="003B2909" w:rsidP="002C388D"/>
    <w:p w14:paraId="4E1F2B3A" w14:textId="77777777" w:rsidR="003B2909" w:rsidRDefault="003B2909" w:rsidP="002C388D"/>
    <w:p w14:paraId="1CCA2BF0" w14:textId="77777777" w:rsidR="003B2909" w:rsidRDefault="003B2909" w:rsidP="002C388D"/>
    <w:p w14:paraId="13044B77" w14:textId="77777777" w:rsidR="003B2909" w:rsidRDefault="003B2909" w:rsidP="002C388D"/>
    <w:p w14:paraId="26CFCD54" w14:textId="77777777" w:rsidR="003B2909" w:rsidRDefault="003B2909" w:rsidP="002C388D"/>
    <w:p w14:paraId="0D04D2BB" w14:textId="77777777" w:rsidR="003B2909" w:rsidRDefault="003B2909" w:rsidP="002C388D"/>
    <w:p w14:paraId="0D1500CA" w14:textId="77777777" w:rsidR="003B2909" w:rsidRPr="005350DB" w:rsidRDefault="003B2909" w:rsidP="002C388D"/>
    <w:p w14:paraId="79CC0957" w14:textId="77777777" w:rsidR="003B2909" w:rsidRDefault="003B2909" w:rsidP="002C388D"/>
    <w:p w14:paraId="238F4525" w14:textId="77777777" w:rsidR="003B2909" w:rsidRPr="001C5572" w:rsidRDefault="003B2909" w:rsidP="002C388D"/>
    <w:p w14:paraId="4A5C5DB4" w14:textId="77777777" w:rsidR="003B2909" w:rsidRDefault="003B2909" w:rsidP="002C388D"/>
    <w:p w14:paraId="5483A43F" w14:textId="77777777" w:rsidR="003B2909" w:rsidRDefault="003B2909" w:rsidP="002C388D"/>
    <w:p w14:paraId="5940E744" w14:textId="77777777" w:rsidR="003F0B03" w:rsidRDefault="003F0B03" w:rsidP="002C388D"/>
    <w:sectPr w:rsidR="003F0B03" w:rsidSect="003374FE">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DF9B9" w14:textId="77777777" w:rsidR="00DB5ACC" w:rsidRDefault="00DB5ACC" w:rsidP="003B2909">
      <w:pPr>
        <w:spacing w:line="240" w:lineRule="auto"/>
      </w:pPr>
      <w:r>
        <w:separator/>
      </w:r>
    </w:p>
  </w:endnote>
  <w:endnote w:type="continuationSeparator" w:id="0">
    <w:p w14:paraId="5B148110" w14:textId="77777777" w:rsidR="00DB5ACC" w:rsidRDefault="00DB5ACC" w:rsidP="003B2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BE96" w14:textId="4D510E7A" w:rsidR="00AD7EF9" w:rsidRPr="00871A91" w:rsidRDefault="00AD7EF9" w:rsidP="003374F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27E8">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27E8">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AA7A" w14:textId="6F590862" w:rsidR="00AD7EF9" w:rsidRPr="00871A91" w:rsidRDefault="00AD7EF9" w:rsidP="003374F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27E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27E8">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DC00F" w14:textId="77777777" w:rsidR="00DB5ACC" w:rsidRDefault="00DB5ACC" w:rsidP="003B2909">
      <w:pPr>
        <w:spacing w:line="240" w:lineRule="auto"/>
      </w:pPr>
      <w:r>
        <w:separator/>
      </w:r>
    </w:p>
  </w:footnote>
  <w:footnote w:type="continuationSeparator" w:id="0">
    <w:p w14:paraId="19D8BCB6" w14:textId="77777777" w:rsidR="00DB5ACC" w:rsidRDefault="00DB5ACC" w:rsidP="003B2909">
      <w:pPr>
        <w:spacing w:line="240" w:lineRule="auto"/>
      </w:pPr>
      <w:r>
        <w:continuationSeparator/>
      </w:r>
    </w:p>
  </w:footnote>
  <w:footnote w:id="1">
    <w:p w14:paraId="5A3CFE0B" w14:textId="77777777" w:rsidR="00AD7EF9" w:rsidRPr="00481AAF" w:rsidRDefault="00AD7EF9" w:rsidP="003B2909">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70EAD45E" w14:textId="77777777" w:rsidR="00AD7EF9" w:rsidRPr="00946E1F" w:rsidRDefault="00AD7EF9" w:rsidP="003B2909">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32608" w14:textId="77777777" w:rsidR="00AD7EF9" w:rsidRDefault="00DB5ACC">
    <w:pPr>
      <w:pStyle w:val="Encabezado"/>
    </w:pPr>
    <w:r>
      <w:rPr>
        <w:noProof/>
        <w:lang w:val="es-MX" w:eastAsia="es-MX"/>
      </w:rPr>
      <w:pict w14:anchorId="3D4C5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7D19E" w14:textId="2619354C" w:rsidR="00AD7EF9" w:rsidRDefault="00AD7EF9">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AD7EF9" w:rsidRPr="00B17577" w14:paraId="28A3592B" w14:textId="77777777" w:rsidTr="003374FE">
      <w:trPr>
        <w:trHeight w:val="227"/>
      </w:trPr>
      <w:tc>
        <w:tcPr>
          <w:tcW w:w="5103" w:type="dxa"/>
          <w:hideMark/>
        </w:tcPr>
        <w:p w14:paraId="7EC16733" w14:textId="77777777" w:rsidR="00AD7EF9" w:rsidRPr="00096248" w:rsidRDefault="00AD7EF9" w:rsidP="003374FE">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5CA10756" w14:textId="65643C13" w:rsidR="00AD7EF9" w:rsidRPr="00096248" w:rsidRDefault="00AD7EF9" w:rsidP="003374FE">
          <w:pPr>
            <w:spacing w:after="120" w:line="240" w:lineRule="auto"/>
            <w:ind w:right="71"/>
            <w:jc w:val="right"/>
            <w:rPr>
              <w:rFonts w:cs="Arial"/>
              <w:b/>
              <w:szCs w:val="24"/>
            </w:rPr>
          </w:pPr>
          <w:r>
            <w:rPr>
              <w:rFonts w:cs="Arial"/>
              <w:b/>
              <w:bCs/>
              <w:szCs w:val="24"/>
            </w:rPr>
            <w:t>08455</w:t>
          </w:r>
          <w:r w:rsidRPr="00096248">
            <w:rPr>
              <w:rFonts w:cs="Arial"/>
              <w:b/>
              <w:bCs/>
              <w:szCs w:val="24"/>
            </w:rPr>
            <w:t>/INFOEM/IP/RR/202</w:t>
          </w:r>
          <w:r>
            <w:rPr>
              <w:rFonts w:cs="Arial"/>
              <w:b/>
              <w:bCs/>
              <w:szCs w:val="24"/>
            </w:rPr>
            <w:t>5</w:t>
          </w:r>
        </w:p>
      </w:tc>
    </w:tr>
    <w:tr w:rsidR="00AD7EF9" w14:paraId="06F47A3F" w14:textId="77777777" w:rsidTr="003374FE">
      <w:trPr>
        <w:trHeight w:val="242"/>
      </w:trPr>
      <w:tc>
        <w:tcPr>
          <w:tcW w:w="5103" w:type="dxa"/>
          <w:hideMark/>
        </w:tcPr>
        <w:p w14:paraId="1DA081D1" w14:textId="77777777" w:rsidR="00AD7EF9" w:rsidRPr="00096248" w:rsidRDefault="00AD7EF9" w:rsidP="003374FE">
          <w:pPr>
            <w:spacing w:after="120" w:line="240" w:lineRule="auto"/>
            <w:ind w:right="69"/>
            <w:jc w:val="right"/>
            <w:rPr>
              <w:rFonts w:cs="Arial"/>
              <w:b/>
              <w:szCs w:val="24"/>
            </w:rPr>
          </w:pPr>
          <w:r w:rsidRPr="00096248">
            <w:rPr>
              <w:rFonts w:cs="Arial"/>
              <w:b/>
              <w:szCs w:val="24"/>
            </w:rPr>
            <w:t>Sujeto Obligado:</w:t>
          </w:r>
        </w:p>
      </w:tc>
      <w:tc>
        <w:tcPr>
          <w:tcW w:w="4395" w:type="dxa"/>
          <w:hideMark/>
        </w:tcPr>
        <w:p w14:paraId="31A0F56F" w14:textId="1BC89689" w:rsidR="00AD7EF9" w:rsidRPr="00096248" w:rsidRDefault="00AD7EF9" w:rsidP="003374FE">
          <w:pPr>
            <w:spacing w:after="120" w:line="240" w:lineRule="auto"/>
            <w:ind w:left="-81" w:right="71"/>
            <w:jc w:val="right"/>
            <w:rPr>
              <w:rFonts w:cs="Arial"/>
              <w:szCs w:val="24"/>
            </w:rPr>
          </w:pPr>
          <w:r w:rsidRPr="00CA34E6">
            <w:rPr>
              <w:b/>
              <w:bCs/>
              <w:color w:val="000000"/>
              <w:szCs w:val="24"/>
            </w:rPr>
            <w:t>Ayuntamiento de Jocotitlán</w:t>
          </w:r>
        </w:p>
      </w:tc>
    </w:tr>
    <w:tr w:rsidR="00AD7EF9" w:rsidRPr="00F63239" w14:paraId="540F5456" w14:textId="77777777" w:rsidTr="003374FE">
      <w:trPr>
        <w:trHeight w:val="342"/>
      </w:trPr>
      <w:tc>
        <w:tcPr>
          <w:tcW w:w="5103" w:type="dxa"/>
          <w:hideMark/>
        </w:tcPr>
        <w:p w14:paraId="6C026AF9" w14:textId="77777777" w:rsidR="00AD7EF9" w:rsidRPr="00096248" w:rsidRDefault="00AD7EF9" w:rsidP="003374FE">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33CEB31E" w14:textId="77777777" w:rsidR="00AD7EF9" w:rsidRDefault="00AD7EF9" w:rsidP="003374FE">
          <w:pPr>
            <w:spacing w:after="120" w:line="240" w:lineRule="auto"/>
            <w:ind w:left="-486" w:right="71" w:firstLine="567"/>
            <w:jc w:val="right"/>
            <w:rPr>
              <w:rFonts w:cs="Arial"/>
              <w:szCs w:val="24"/>
            </w:rPr>
          </w:pPr>
          <w:r w:rsidRPr="00096248">
            <w:rPr>
              <w:rFonts w:cs="Arial"/>
              <w:szCs w:val="24"/>
            </w:rPr>
            <w:t>José Martínez Vilchis</w:t>
          </w:r>
        </w:p>
        <w:p w14:paraId="1BBA45AA" w14:textId="77777777" w:rsidR="00AD7EF9" w:rsidRPr="00711916" w:rsidRDefault="00AD7EF9" w:rsidP="003374FE">
          <w:pPr>
            <w:spacing w:after="120" w:line="240" w:lineRule="auto"/>
            <w:ind w:left="-486" w:right="71" w:firstLine="567"/>
            <w:jc w:val="right"/>
            <w:rPr>
              <w:rFonts w:cs="Arial"/>
              <w:sz w:val="2"/>
              <w:szCs w:val="2"/>
            </w:rPr>
          </w:pPr>
        </w:p>
      </w:tc>
    </w:tr>
  </w:tbl>
  <w:p w14:paraId="6B234F51" w14:textId="77777777" w:rsidR="00AD7EF9" w:rsidRPr="00871A91" w:rsidRDefault="00DB5ACC">
    <w:pPr>
      <w:pStyle w:val="Encabezado"/>
      <w:rPr>
        <w:sz w:val="2"/>
      </w:rPr>
    </w:pPr>
    <w:r>
      <w:rPr>
        <w:noProof/>
        <w:lang w:val="es-MX" w:eastAsia="es-MX"/>
      </w:rPr>
      <w:pict w14:anchorId="35834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BBBF3" w14:textId="77777777" w:rsidR="00AD7EF9" w:rsidRDefault="00AD7EF9">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AD7EF9" w14:paraId="220C5685" w14:textId="77777777" w:rsidTr="003374FE">
      <w:trPr>
        <w:trHeight w:val="227"/>
      </w:trPr>
      <w:tc>
        <w:tcPr>
          <w:tcW w:w="5103" w:type="dxa"/>
          <w:hideMark/>
        </w:tcPr>
        <w:p w14:paraId="3DF649AC" w14:textId="77777777" w:rsidR="00AD7EF9" w:rsidRPr="00663A37" w:rsidRDefault="00AD7EF9" w:rsidP="003374FE">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2C7510A5" w14:textId="16DA3C5D" w:rsidR="00AD7EF9" w:rsidRPr="00C81ECD" w:rsidRDefault="00AD7EF9" w:rsidP="003374FE">
          <w:pPr>
            <w:spacing w:after="120" w:line="240" w:lineRule="auto"/>
            <w:ind w:left="-486" w:right="68" w:firstLine="558"/>
            <w:jc w:val="right"/>
            <w:rPr>
              <w:rFonts w:cs="Arial"/>
              <w:b/>
              <w:szCs w:val="24"/>
            </w:rPr>
          </w:pPr>
          <w:r>
            <w:rPr>
              <w:rFonts w:cs="Arial"/>
              <w:b/>
              <w:bCs/>
              <w:szCs w:val="24"/>
            </w:rPr>
            <w:t>08455/INFOEM/IP/RR/2025</w:t>
          </w:r>
        </w:p>
      </w:tc>
    </w:tr>
    <w:tr w:rsidR="00AD7EF9" w:rsidRPr="001F57CD" w14:paraId="0473FA9F" w14:textId="77777777" w:rsidTr="003374FE">
      <w:trPr>
        <w:trHeight w:val="196"/>
      </w:trPr>
      <w:tc>
        <w:tcPr>
          <w:tcW w:w="5103" w:type="dxa"/>
          <w:hideMark/>
        </w:tcPr>
        <w:p w14:paraId="4E5FF838" w14:textId="77777777" w:rsidR="00AD7EF9" w:rsidRPr="00663A37" w:rsidRDefault="00AD7EF9" w:rsidP="003374FE">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52C25642" w14:textId="14659E06" w:rsidR="00AD7EF9" w:rsidRPr="00663A37" w:rsidRDefault="007827E8" w:rsidP="003374FE">
          <w:pPr>
            <w:spacing w:after="120" w:line="240" w:lineRule="auto"/>
            <w:ind w:right="68"/>
            <w:jc w:val="right"/>
            <w:rPr>
              <w:rFonts w:cs="Arial"/>
              <w:szCs w:val="24"/>
            </w:rPr>
          </w:pPr>
          <w:r>
            <w:rPr>
              <w:rFonts w:cs="Arial"/>
              <w:szCs w:val="24"/>
            </w:rPr>
            <w:t>XXXX</w:t>
          </w:r>
        </w:p>
      </w:tc>
    </w:tr>
    <w:tr w:rsidR="00AD7EF9" w14:paraId="2DAA6B84" w14:textId="77777777" w:rsidTr="003374FE">
      <w:trPr>
        <w:trHeight w:val="242"/>
      </w:trPr>
      <w:tc>
        <w:tcPr>
          <w:tcW w:w="5103" w:type="dxa"/>
          <w:hideMark/>
        </w:tcPr>
        <w:p w14:paraId="706254AA" w14:textId="77777777" w:rsidR="00AD7EF9" w:rsidRPr="00663A37" w:rsidRDefault="00AD7EF9" w:rsidP="003374FE">
          <w:pPr>
            <w:spacing w:after="120" w:line="240" w:lineRule="auto"/>
            <w:ind w:right="68"/>
            <w:jc w:val="right"/>
            <w:rPr>
              <w:rFonts w:cs="Arial"/>
              <w:b/>
              <w:szCs w:val="24"/>
            </w:rPr>
          </w:pPr>
          <w:r w:rsidRPr="00663A37">
            <w:rPr>
              <w:rFonts w:cs="Arial"/>
              <w:b/>
              <w:szCs w:val="24"/>
            </w:rPr>
            <w:t>Sujeto Obligado:</w:t>
          </w:r>
        </w:p>
      </w:tc>
      <w:tc>
        <w:tcPr>
          <w:tcW w:w="4253" w:type="dxa"/>
          <w:hideMark/>
        </w:tcPr>
        <w:p w14:paraId="0756F2BA" w14:textId="05062AEE" w:rsidR="00AD7EF9" w:rsidRPr="007F5D63" w:rsidRDefault="00AD7EF9" w:rsidP="003374FE">
          <w:pPr>
            <w:spacing w:after="120" w:line="240" w:lineRule="auto"/>
            <w:ind w:left="-70" w:right="68"/>
            <w:jc w:val="right"/>
            <w:rPr>
              <w:rFonts w:cs="Arial"/>
              <w:b/>
              <w:bCs/>
              <w:szCs w:val="24"/>
            </w:rPr>
          </w:pPr>
          <w:r>
            <w:rPr>
              <w:bCs/>
              <w:color w:val="000000"/>
              <w:szCs w:val="24"/>
            </w:rPr>
            <w:t xml:space="preserve">          </w:t>
          </w:r>
          <w:r w:rsidRPr="00CA34E6">
            <w:rPr>
              <w:b/>
              <w:bCs/>
              <w:color w:val="000000"/>
              <w:szCs w:val="24"/>
            </w:rPr>
            <w:t>Ayuntamiento de Jocotitlán</w:t>
          </w:r>
        </w:p>
      </w:tc>
    </w:tr>
    <w:tr w:rsidR="00AD7EF9" w14:paraId="0955BD77" w14:textId="77777777" w:rsidTr="003374FE">
      <w:trPr>
        <w:trHeight w:val="342"/>
      </w:trPr>
      <w:tc>
        <w:tcPr>
          <w:tcW w:w="5103" w:type="dxa"/>
          <w:hideMark/>
        </w:tcPr>
        <w:p w14:paraId="7DEB654A" w14:textId="77777777" w:rsidR="00AD7EF9" w:rsidRPr="00663A37" w:rsidRDefault="00AD7EF9" w:rsidP="003374FE">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4A99CCE1" w14:textId="77777777" w:rsidR="00AD7EF9" w:rsidRPr="00663A37" w:rsidRDefault="00AD7EF9" w:rsidP="003374FE">
          <w:pPr>
            <w:spacing w:after="120" w:line="240" w:lineRule="auto"/>
            <w:ind w:left="-486" w:right="68" w:firstLine="567"/>
            <w:jc w:val="right"/>
            <w:rPr>
              <w:rFonts w:cs="Arial"/>
              <w:szCs w:val="24"/>
            </w:rPr>
          </w:pPr>
          <w:r w:rsidRPr="00663A37">
            <w:rPr>
              <w:rFonts w:cs="Arial"/>
              <w:szCs w:val="24"/>
            </w:rPr>
            <w:t>José Martínez Vilchis</w:t>
          </w:r>
        </w:p>
      </w:tc>
    </w:tr>
  </w:tbl>
  <w:p w14:paraId="39523D05" w14:textId="77777777" w:rsidR="00AD7EF9" w:rsidRPr="00871A91" w:rsidRDefault="00AD7EF9">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08C6FB84" wp14:editId="54ABB49E">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D4B8A"/>
    <w:multiLevelType w:val="hybridMultilevel"/>
    <w:tmpl w:val="D6F048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BB01B70"/>
    <w:multiLevelType w:val="hybridMultilevel"/>
    <w:tmpl w:val="D6F048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1D1F0C"/>
    <w:multiLevelType w:val="multilevel"/>
    <w:tmpl w:val="8E8E750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4E7E7209"/>
    <w:multiLevelType w:val="hybridMultilevel"/>
    <w:tmpl w:val="3BFE07BE"/>
    <w:lvl w:ilvl="0" w:tplc="E0A015AE">
      <w:start w:val="1"/>
      <w:numFmt w:val="bullet"/>
      <w:lvlText w:val=""/>
      <w:lvlJc w:val="left"/>
      <w:pPr>
        <w:ind w:left="720" w:hanging="360"/>
      </w:pPr>
      <w:rPr>
        <w:rFonts w:ascii="Symbol" w:eastAsia="Calibri" w:hAnsi="Symbol" w:cs="Arial" w:hint="default"/>
        <w:b/>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3952C0"/>
    <w:multiLevelType w:val="hybridMultilevel"/>
    <w:tmpl w:val="68A86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CD4755"/>
    <w:multiLevelType w:val="hybridMultilevel"/>
    <w:tmpl w:val="9EC46904"/>
    <w:lvl w:ilvl="0" w:tplc="080A0017">
      <w:start w:val="1"/>
      <w:numFmt w:val="lowerLetter"/>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62064578"/>
    <w:multiLevelType w:val="hybridMultilevel"/>
    <w:tmpl w:val="131C9262"/>
    <w:lvl w:ilvl="0" w:tplc="E528B548">
      <w:start w:val="1"/>
      <w:numFmt w:val="bullet"/>
      <w:lvlText w:val="-"/>
      <w:lvlJc w:val="left"/>
      <w:pPr>
        <w:ind w:left="1080" w:hanging="360"/>
      </w:pPr>
      <w:rPr>
        <w:rFonts w:ascii="Palatino Linotype" w:eastAsia="Calibri" w:hAnsi="Palatino Linotype"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912172B"/>
    <w:multiLevelType w:val="hybridMultilevel"/>
    <w:tmpl w:val="C764E552"/>
    <w:lvl w:ilvl="0" w:tplc="D77EA29C">
      <w:numFmt w:val="bullet"/>
      <w:lvlText w:val=""/>
      <w:lvlJc w:val="left"/>
      <w:pPr>
        <w:ind w:left="720" w:hanging="360"/>
      </w:pPr>
      <w:rPr>
        <w:rFonts w:ascii="Symbol" w:eastAsia="Calibr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6D48DA"/>
    <w:multiLevelType w:val="hybridMultilevel"/>
    <w:tmpl w:val="E9420D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DE7A31"/>
    <w:multiLevelType w:val="hybridMultilevel"/>
    <w:tmpl w:val="3AECD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E43B16"/>
    <w:multiLevelType w:val="hybridMultilevel"/>
    <w:tmpl w:val="D6F04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5"/>
  </w:num>
  <w:num w:numId="3">
    <w:abstractNumId w:val="2"/>
  </w:num>
  <w:num w:numId="4">
    <w:abstractNumId w:val="9"/>
  </w:num>
  <w:num w:numId="5">
    <w:abstractNumId w:val="11"/>
  </w:num>
  <w:num w:numId="6">
    <w:abstractNumId w:val="5"/>
  </w:num>
  <w:num w:numId="7">
    <w:abstractNumId w:val="1"/>
  </w:num>
  <w:num w:numId="8">
    <w:abstractNumId w:val="6"/>
  </w:num>
  <w:num w:numId="9">
    <w:abstractNumId w:val="7"/>
  </w:num>
  <w:num w:numId="10">
    <w:abstractNumId w:val="10"/>
  </w:num>
  <w:num w:numId="11">
    <w:abstractNumId w:val="4"/>
  </w:num>
  <w:num w:numId="12">
    <w:abstractNumId w:val="0"/>
  </w:num>
  <w:num w:numId="13">
    <w:abstractNumId w:val="13"/>
  </w:num>
  <w:num w:numId="14">
    <w:abstractNumId w:val="1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09"/>
    <w:rsid w:val="000D0B74"/>
    <w:rsid w:val="00145905"/>
    <w:rsid w:val="001630EE"/>
    <w:rsid w:val="00176220"/>
    <w:rsid w:val="001919C5"/>
    <w:rsid w:val="001D2D50"/>
    <w:rsid w:val="002C388D"/>
    <w:rsid w:val="0031643E"/>
    <w:rsid w:val="00335BCB"/>
    <w:rsid w:val="003374FE"/>
    <w:rsid w:val="0038057C"/>
    <w:rsid w:val="003B2909"/>
    <w:rsid w:val="003F0B03"/>
    <w:rsid w:val="00437780"/>
    <w:rsid w:val="00577195"/>
    <w:rsid w:val="0066071F"/>
    <w:rsid w:val="006B75AF"/>
    <w:rsid w:val="006F2063"/>
    <w:rsid w:val="006F70DC"/>
    <w:rsid w:val="007134AA"/>
    <w:rsid w:val="007671F0"/>
    <w:rsid w:val="007827E8"/>
    <w:rsid w:val="00804AE9"/>
    <w:rsid w:val="00841A52"/>
    <w:rsid w:val="00880D45"/>
    <w:rsid w:val="008E373A"/>
    <w:rsid w:val="009B2777"/>
    <w:rsid w:val="009D6415"/>
    <w:rsid w:val="00A0274F"/>
    <w:rsid w:val="00A15B3A"/>
    <w:rsid w:val="00A85E8C"/>
    <w:rsid w:val="00AD7EA3"/>
    <w:rsid w:val="00AD7EF9"/>
    <w:rsid w:val="00B460B4"/>
    <w:rsid w:val="00B84752"/>
    <w:rsid w:val="00BA7214"/>
    <w:rsid w:val="00BE1825"/>
    <w:rsid w:val="00C16513"/>
    <w:rsid w:val="00C26BFD"/>
    <w:rsid w:val="00C70C96"/>
    <w:rsid w:val="00C92E66"/>
    <w:rsid w:val="00CA34E6"/>
    <w:rsid w:val="00CC2A7E"/>
    <w:rsid w:val="00D103B8"/>
    <w:rsid w:val="00D8770E"/>
    <w:rsid w:val="00DB5ACC"/>
    <w:rsid w:val="00DD7440"/>
    <w:rsid w:val="00E55A10"/>
    <w:rsid w:val="00EA066A"/>
    <w:rsid w:val="00ED051F"/>
    <w:rsid w:val="00F93E83"/>
    <w:rsid w:val="00FC5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891032"/>
  <w15:chartTrackingRefBased/>
  <w15:docId w15:val="{798993B1-D2E7-41C1-9D6F-C3F65821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909"/>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B29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3B29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B2909"/>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3B2909"/>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2909"/>
    <w:pPr>
      <w:ind w:left="720"/>
      <w:contextualSpacing/>
    </w:pPr>
  </w:style>
  <w:style w:type="paragraph" w:styleId="Encabezado">
    <w:name w:val="header"/>
    <w:basedOn w:val="Normal"/>
    <w:link w:val="EncabezadoCar"/>
    <w:uiPriority w:val="99"/>
    <w:unhideWhenUsed/>
    <w:rsid w:val="003B2909"/>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B290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B2909"/>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B2909"/>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2909"/>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3B2909"/>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B290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3B2909"/>
    <w:rPr>
      <w:color w:val="0563C1" w:themeColor="hyperlink"/>
      <w:u w:val="single"/>
    </w:rPr>
  </w:style>
  <w:style w:type="paragraph" w:customStyle="1" w:styleId="Fundamentos">
    <w:name w:val="Fundamentos"/>
    <w:basedOn w:val="Normal"/>
    <w:qFormat/>
    <w:rsid w:val="003B2909"/>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3B290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B2909"/>
    <w:rPr>
      <w:rFonts w:ascii="Times New Roman" w:eastAsia="Times New Roman" w:hAnsi="Times New Roman" w:cs="Times New Roman"/>
      <w:sz w:val="24"/>
      <w:szCs w:val="24"/>
      <w:lang w:eastAsia="es-ES"/>
    </w:rPr>
  </w:style>
  <w:style w:type="paragraph" w:customStyle="1" w:styleId="INFOEM">
    <w:name w:val="INFOEM"/>
    <w:basedOn w:val="Normal"/>
    <w:qFormat/>
    <w:rsid w:val="003B2909"/>
    <w:pPr>
      <w:spacing w:before="240" w:after="160"/>
      <w:ind w:left="851" w:right="851"/>
    </w:pPr>
    <w:rPr>
      <w:rFonts w:eastAsiaTheme="minorHAnsi" w:cstheme="minorBidi"/>
      <w:i/>
      <w:sz w:val="22"/>
      <w:szCs w:val="14"/>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2909"/>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B2909"/>
    <w:rPr>
      <w:rFonts w:ascii="Calibri" w:eastAsia="Calibri" w:hAnsi="Calibri" w:cs="Times New Roman"/>
      <w:sz w:val="20"/>
      <w:szCs w:val="20"/>
    </w:rPr>
  </w:style>
  <w:style w:type="paragraph" w:styleId="Puesto">
    <w:name w:val="Title"/>
    <w:aliases w:val="Cita textual"/>
    <w:next w:val="Normal"/>
    <w:link w:val="PuestoCar"/>
    <w:uiPriority w:val="10"/>
    <w:qFormat/>
    <w:rsid w:val="00CC2A7E"/>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CC2A7E"/>
    <w:rPr>
      <w:rFonts w:ascii="Palatino Linotype" w:eastAsiaTheme="majorEastAsia" w:hAnsi="Palatino Linotype" w:cstheme="majorBidi"/>
      <w:i/>
      <w:kern w:val="28"/>
      <w:szCs w:val="56"/>
      <w:lang w:eastAsia="es-ES"/>
    </w:rPr>
  </w:style>
  <w:style w:type="paragraph" w:customStyle="1" w:styleId="Citas">
    <w:name w:val="Citas"/>
    <w:basedOn w:val="Normal"/>
    <w:qFormat/>
    <w:rsid w:val="00C26BFD"/>
    <w:pPr>
      <w:spacing w:before="240" w:after="160"/>
      <w:ind w:left="851" w:right="851"/>
    </w:pPr>
    <w:rPr>
      <w:rFonts w:eastAsiaTheme="minorHAnsi" w:cs="Arial"/>
      <w:i/>
      <w:sz w:val="22"/>
      <w:lang w:val="es-MX" w:eastAsia="en-US"/>
    </w:rPr>
  </w:style>
  <w:style w:type="paragraph" w:customStyle="1" w:styleId="infoemcitas">
    <w:name w:val="infoem citas"/>
    <w:basedOn w:val="Normal"/>
    <w:qFormat/>
    <w:rsid w:val="00C26BFD"/>
    <w:pPr>
      <w:spacing w:before="240" w:after="160"/>
      <w:ind w:left="851" w:right="851"/>
    </w:pPr>
    <w:rPr>
      <w:rFonts w:eastAsiaTheme="minorHAnsi" w:cstheme="minorBidi"/>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788022">
      <w:bodyDiv w:val="1"/>
      <w:marLeft w:val="0"/>
      <w:marRight w:val="0"/>
      <w:marTop w:val="0"/>
      <w:marBottom w:val="0"/>
      <w:divBdr>
        <w:top w:val="none" w:sz="0" w:space="0" w:color="auto"/>
        <w:left w:val="none" w:sz="0" w:space="0" w:color="auto"/>
        <w:bottom w:val="none" w:sz="0" w:space="0" w:color="auto"/>
        <w:right w:val="none" w:sz="0" w:space="0" w:color="auto"/>
      </w:divBdr>
    </w:div>
    <w:div w:id="20990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37</Pages>
  <Words>8251</Words>
  <Characters>45385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cp:lastPrinted>2026-02-06T19:57:00Z</cp:lastPrinted>
  <dcterms:created xsi:type="dcterms:W3CDTF">2026-01-27T01:05:00Z</dcterms:created>
  <dcterms:modified xsi:type="dcterms:W3CDTF">2026-03-11T19:30:00Z</dcterms:modified>
</cp:coreProperties>
</file>