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B1A5B" w14:textId="77777777" w:rsidR="00C7221D" w:rsidRPr="00B0563B" w:rsidRDefault="00802627">
      <w:pPr>
        <w:spacing w:line="360" w:lineRule="auto"/>
        <w:jc w:val="both"/>
        <w:rPr>
          <w:rFonts w:ascii="Palatino Linotype" w:eastAsia="Palatino Linotype" w:hAnsi="Palatino Linotype" w:cs="Palatino Linotype"/>
          <w:sz w:val="22"/>
          <w:szCs w:val="22"/>
        </w:rPr>
      </w:pPr>
      <w:bookmarkStart w:id="0" w:name="_GoBack"/>
      <w:bookmarkEnd w:id="0"/>
      <w:r w:rsidRPr="00B0563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once de marzo de dos mil veintiséis. </w:t>
      </w:r>
    </w:p>
    <w:p w14:paraId="7D4F0E97"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CEFA8AC"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VISTO</w:t>
      </w:r>
      <w:r w:rsidRPr="00B0563B">
        <w:rPr>
          <w:rFonts w:ascii="Palatino Linotype" w:eastAsia="Palatino Linotype" w:hAnsi="Palatino Linotype" w:cs="Palatino Linotype"/>
          <w:sz w:val="22"/>
          <w:szCs w:val="22"/>
        </w:rPr>
        <w:t xml:space="preserve"> el expediente formado con motivo del recurso de revisión </w:t>
      </w:r>
      <w:r w:rsidRPr="00B0563B">
        <w:rPr>
          <w:rFonts w:ascii="Palatino Linotype" w:eastAsia="Palatino Linotype" w:hAnsi="Palatino Linotype" w:cs="Palatino Linotype"/>
          <w:b/>
          <w:bCs/>
          <w:sz w:val="22"/>
          <w:szCs w:val="22"/>
        </w:rPr>
        <w:t>09699/INFOEM/IP/RR/2025</w:t>
      </w:r>
      <w:r w:rsidRPr="00B0563B">
        <w:rPr>
          <w:rFonts w:ascii="Palatino Linotype" w:eastAsia="Palatino Linotype" w:hAnsi="Palatino Linotype" w:cs="Palatino Linotype"/>
          <w:sz w:val="22"/>
          <w:szCs w:val="22"/>
        </w:rPr>
        <w:t>, interpuesto por</w:t>
      </w:r>
      <w:r w:rsidRPr="00B0563B">
        <w:rPr>
          <w:rFonts w:ascii="Palatino Linotype" w:eastAsia="Palatino Linotype" w:hAnsi="Palatino Linotype" w:cs="Palatino Linotype"/>
          <w:b/>
          <w:bCs/>
          <w:sz w:val="22"/>
          <w:szCs w:val="22"/>
        </w:rPr>
        <w:t xml:space="preserve"> un particular que no proporcionó nombre o seudónimo para ser identificado</w:t>
      </w:r>
      <w:r w:rsidRPr="00B0563B">
        <w:rPr>
          <w:rFonts w:ascii="Palatino Linotype" w:eastAsia="Palatino Linotype" w:hAnsi="Palatino Linotype" w:cs="Palatino Linotype"/>
          <w:sz w:val="22"/>
          <w:szCs w:val="22"/>
        </w:rPr>
        <w:t>, en lo sucesivo</w:t>
      </w:r>
      <w:r w:rsidRPr="00B0563B">
        <w:rPr>
          <w:rFonts w:ascii="Palatino Linotype" w:eastAsia="Palatino Linotype" w:hAnsi="Palatino Linotype" w:cs="Palatino Linotype"/>
          <w:b/>
          <w:bCs/>
          <w:sz w:val="22"/>
          <w:szCs w:val="22"/>
        </w:rPr>
        <w:t xml:space="preserve"> </w:t>
      </w:r>
      <w:r w:rsidRPr="00B0563B">
        <w:rPr>
          <w:rFonts w:ascii="Palatino Linotype" w:eastAsia="Palatino Linotype" w:hAnsi="Palatino Linotype" w:cs="Palatino Linotype"/>
          <w:sz w:val="22"/>
          <w:szCs w:val="22"/>
        </w:rPr>
        <w:t xml:space="preserve">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en contra de la respuesta a su solicitud de información con número de folio </w:t>
      </w:r>
      <w:r w:rsidRPr="00B0563B">
        <w:rPr>
          <w:rFonts w:ascii="Palatino Linotype" w:eastAsia="Palatino Linotype" w:hAnsi="Palatino Linotype" w:cs="Palatino Linotype"/>
          <w:b/>
          <w:bCs/>
          <w:sz w:val="22"/>
          <w:szCs w:val="22"/>
        </w:rPr>
        <w:t>04123/TOLUCA/IP/2025</w:t>
      </w:r>
      <w:r w:rsidRPr="00B0563B">
        <w:rPr>
          <w:rFonts w:ascii="Palatino Linotype" w:eastAsia="Palatino Linotype" w:hAnsi="Palatino Linotype" w:cs="Palatino Linotype"/>
          <w:sz w:val="22"/>
          <w:szCs w:val="22"/>
        </w:rPr>
        <w:t xml:space="preserve">, por parte del </w:t>
      </w:r>
      <w:r w:rsidRPr="00B0563B">
        <w:rPr>
          <w:rFonts w:ascii="Palatino Linotype" w:eastAsia="Palatino Linotype" w:hAnsi="Palatino Linotype" w:cs="Palatino Linotype"/>
          <w:b/>
          <w:bCs/>
          <w:sz w:val="22"/>
          <w:szCs w:val="22"/>
        </w:rPr>
        <w:t xml:space="preserve">Ayuntamiento de Toluca, </w:t>
      </w:r>
      <w:r w:rsidRPr="00B0563B">
        <w:rPr>
          <w:rFonts w:ascii="Palatino Linotype" w:eastAsia="Palatino Linotype" w:hAnsi="Palatino Linotype" w:cs="Palatino Linotype"/>
          <w:sz w:val="22"/>
          <w:szCs w:val="22"/>
        </w:rPr>
        <w:t xml:space="preserve">en lo sucesivo el </w:t>
      </w:r>
      <w:r w:rsidRPr="00B0563B">
        <w:rPr>
          <w:rFonts w:ascii="Palatino Linotype" w:eastAsia="Palatino Linotype" w:hAnsi="Palatino Linotype" w:cs="Palatino Linotype"/>
          <w:b/>
          <w:bCs/>
          <w:sz w:val="22"/>
          <w:szCs w:val="22"/>
        </w:rPr>
        <w:t xml:space="preserve">Sujeto Obligado, </w:t>
      </w:r>
      <w:r w:rsidRPr="00B0563B">
        <w:rPr>
          <w:rFonts w:ascii="Palatino Linotype" w:eastAsia="Palatino Linotype" w:hAnsi="Palatino Linotype" w:cs="Palatino Linotype"/>
          <w:sz w:val="22"/>
          <w:szCs w:val="22"/>
        </w:rPr>
        <w:t xml:space="preserve">se procede a dictar la presente resolución con base en los siguientes:  </w:t>
      </w:r>
    </w:p>
    <w:p w14:paraId="7126A506" w14:textId="77777777" w:rsidR="00C7221D" w:rsidRPr="00B0563B" w:rsidRDefault="00C7221D">
      <w:pPr>
        <w:spacing w:line="360" w:lineRule="auto"/>
        <w:jc w:val="center"/>
        <w:rPr>
          <w:rFonts w:ascii="Palatino Linotype" w:eastAsia="Palatino Linotype" w:hAnsi="Palatino Linotype" w:cs="Palatino Linotype"/>
          <w:b/>
          <w:bCs/>
          <w:sz w:val="22"/>
          <w:szCs w:val="22"/>
        </w:rPr>
      </w:pPr>
    </w:p>
    <w:p w14:paraId="7295CF83" w14:textId="77777777" w:rsidR="00C7221D" w:rsidRPr="00B0563B" w:rsidRDefault="00802627">
      <w:pPr>
        <w:spacing w:line="360" w:lineRule="auto"/>
        <w:jc w:val="center"/>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I. A N T E C E D E N T E S</w:t>
      </w:r>
    </w:p>
    <w:p w14:paraId="7846CA00" w14:textId="77777777" w:rsidR="00C7221D" w:rsidRPr="00B0563B" w:rsidRDefault="00C7221D">
      <w:pPr>
        <w:spacing w:line="360" w:lineRule="auto"/>
        <w:jc w:val="both"/>
        <w:rPr>
          <w:rFonts w:ascii="Palatino Linotype" w:eastAsia="Palatino Linotype" w:hAnsi="Palatino Linotype" w:cs="Palatino Linotype"/>
          <w:b/>
          <w:bCs/>
          <w:sz w:val="22"/>
          <w:szCs w:val="22"/>
        </w:rPr>
      </w:pPr>
    </w:p>
    <w:p w14:paraId="4EC0541D"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1. Solicitud de acceso a la información.</w:t>
      </w:r>
      <w:r w:rsidRPr="00B0563B">
        <w:rPr>
          <w:rFonts w:ascii="Palatino Linotype" w:eastAsia="Palatino Linotype" w:hAnsi="Palatino Linotype" w:cs="Palatino Linotype"/>
          <w:sz w:val="22"/>
          <w:szCs w:val="22"/>
        </w:rPr>
        <w:t xml:space="preserve"> Con fecha </w:t>
      </w:r>
      <w:r w:rsidRPr="00B0563B">
        <w:rPr>
          <w:rFonts w:ascii="Palatino Linotype" w:eastAsia="Palatino Linotype" w:hAnsi="Palatino Linotype" w:cs="Palatino Linotype"/>
          <w:b/>
          <w:bCs/>
          <w:sz w:val="22"/>
          <w:szCs w:val="22"/>
        </w:rPr>
        <w:t>cinco de agosto de dos mil veinticinco</w:t>
      </w:r>
      <w:r w:rsidRPr="00B0563B">
        <w:rPr>
          <w:rFonts w:ascii="Palatino Linotype" w:eastAsia="Palatino Linotype" w:hAnsi="Palatino Linotype" w:cs="Palatino Linotype"/>
          <w:sz w:val="22"/>
          <w:szCs w:val="22"/>
        </w:rPr>
        <w:t xml:space="preserv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formuló solicitud de acceso a información pública al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a través del Sistema de Acceso a la Información Mexiquense, en adelante </w:t>
      </w:r>
      <w:r w:rsidRPr="00B0563B">
        <w:rPr>
          <w:rFonts w:ascii="Palatino Linotype" w:eastAsia="Palatino Linotype" w:hAnsi="Palatino Linotype" w:cs="Palatino Linotype"/>
          <w:b/>
          <w:bCs/>
          <w:sz w:val="22"/>
          <w:szCs w:val="22"/>
        </w:rPr>
        <w:t>SAIMEX</w:t>
      </w:r>
      <w:r w:rsidRPr="00B0563B">
        <w:rPr>
          <w:rFonts w:ascii="Palatino Linotype" w:eastAsia="Palatino Linotype" w:hAnsi="Palatino Linotype" w:cs="Palatino Linotype"/>
          <w:sz w:val="22"/>
          <w:szCs w:val="22"/>
        </w:rPr>
        <w:t>;</w:t>
      </w:r>
      <w:r w:rsidRPr="00B0563B">
        <w:rPr>
          <w:rFonts w:ascii="Palatino Linotype" w:eastAsia="Palatino Linotype" w:hAnsi="Palatino Linotype" w:cs="Palatino Linotype"/>
          <w:b/>
          <w:bCs/>
          <w:sz w:val="22"/>
          <w:szCs w:val="22"/>
        </w:rPr>
        <w:t xml:space="preserve"> </w:t>
      </w:r>
      <w:r w:rsidRPr="00B0563B">
        <w:rPr>
          <w:rFonts w:ascii="Palatino Linotype" w:eastAsia="Palatino Linotype" w:hAnsi="Palatino Linotype" w:cs="Palatino Linotype"/>
          <w:sz w:val="22"/>
          <w:szCs w:val="22"/>
        </w:rPr>
        <w:t>requiriéndole lo siguiente:</w:t>
      </w:r>
    </w:p>
    <w:p w14:paraId="4367CEF3" w14:textId="77777777" w:rsidR="00C7221D" w:rsidRPr="00B0563B" w:rsidRDefault="00C7221D">
      <w:pPr>
        <w:spacing w:line="276" w:lineRule="auto"/>
        <w:ind w:left="851" w:right="616"/>
        <w:jc w:val="both"/>
        <w:rPr>
          <w:rFonts w:ascii="Palatino Linotype" w:eastAsia="Palatino Linotype" w:hAnsi="Palatino Linotype" w:cs="Palatino Linotype"/>
          <w:i/>
          <w:iCs/>
          <w:sz w:val="22"/>
          <w:szCs w:val="22"/>
        </w:rPr>
      </w:pPr>
    </w:p>
    <w:p w14:paraId="007B2822"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 xml:space="preserve">“Todos los </w:t>
      </w:r>
      <w:proofErr w:type="gramStart"/>
      <w:r w:rsidRPr="00B0563B">
        <w:rPr>
          <w:rFonts w:ascii="Palatino Linotype" w:eastAsia="Palatino Linotype" w:hAnsi="Palatino Linotype" w:cs="Palatino Linotype"/>
          <w:i/>
          <w:iCs/>
          <w:sz w:val="22"/>
          <w:szCs w:val="22"/>
        </w:rPr>
        <w:t>eventos realizadas</w:t>
      </w:r>
      <w:proofErr w:type="gramEnd"/>
      <w:r w:rsidRPr="00B0563B">
        <w:rPr>
          <w:rFonts w:ascii="Palatino Linotype" w:eastAsia="Palatino Linotype" w:hAnsi="Palatino Linotype" w:cs="Palatino Linotype"/>
          <w:i/>
          <w:iCs/>
          <w:sz w:val="22"/>
          <w:szCs w:val="22"/>
        </w:rPr>
        <w:t xml:space="preserve"> por cultura en la administración 2025 y cuanto costo cada uno, la lista y padrón de asistentes y beneficiarios sus bases de datos de todos los eventos fotografías de cada evento, contratos de los insumos adquiridos y facturas pagadas.” (sic) </w:t>
      </w:r>
    </w:p>
    <w:p w14:paraId="0FBF4A64" w14:textId="77777777" w:rsidR="00C7221D" w:rsidRPr="00B0563B" w:rsidRDefault="00C7221D">
      <w:pPr>
        <w:spacing w:line="360" w:lineRule="auto"/>
        <w:jc w:val="both"/>
        <w:rPr>
          <w:rFonts w:ascii="Palatino Linotype" w:eastAsia="Palatino Linotype" w:hAnsi="Palatino Linotype" w:cs="Palatino Linotype"/>
          <w:b/>
          <w:bCs/>
          <w:sz w:val="22"/>
          <w:szCs w:val="22"/>
        </w:rPr>
      </w:pPr>
    </w:p>
    <w:p w14:paraId="38958DFC"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Modalidad de Entrega:</w:t>
      </w:r>
      <w:r w:rsidRPr="00B0563B">
        <w:rPr>
          <w:rFonts w:ascii="Palatino Linotype" w:eastAsia="Palatino Linotype" w:hAnsi="Palatino Linotype" w:cs="Palatino Linotype"/>
          <w:sz w:val="22"/>
          <w:szCs w:val="22"/>
        </w:rPr>
        <w:t xml:space="preserve"> a través </w:t>
      </w:r>
      <w:r w:rsidRPr="00B0563B">
        <w:rPr>
          <w:rFonts w:ascii="Palatino Linotype" w:eastAsia="Palatino Linotype" w:hAnsi="Palatino Linotype" w:cs="Palatino Linotype"/>
          <w:b/>
          <w:bCs/>
          <w:sz w:val="22"/>
          <w:szCs w:val="22"/>
        </w:rPr>
        <w:t>de SAIMEX</w:t>
      </w:r>
    </w:p>
    <w:p w14:paraId="5C74CF9A" w14:textId="77777777" w:rsidR="00C7221D" w:rsidRPr="00B0563B" w:rsidRDefault="00C7221D">
      <w:pPr>
        <w:spacing w:line="360" w:lineRule="auto"/>
        <w:jc w:val="both"/>
        <w:rPr>
          <w:rFonts w:ascii="Palatino Linotype" w:eastAsia="Palatino Linotype" w:hAnsi="Palatino Linotype" w:cs="Palatino Linotype"/>
          <w:b/>
          <w:bCs/>
          <w:sz w:val="22"/>
          <w:szCs w:val="22"/>
        </w:rPr>
      </w:pPr>
      <w:bookmarkStart w:id="1" w:name="_heading=h.3dy6vkm" w:colFirst="0" w:colLast="0"/>
      <w:bookmarkEnd w:id="1"/>
    </w:p>
    <w:p w14:paraId="084D4162" w14:textId="77777777" w:rsidR="00C7221D" w:rsidRPr="00B0563B" w:rsidRDefault="00802627">
      <w:pPr>
        <w:spacing w:line="360" w:lineRule="auto"/>
        <w:jc w:val="both"/>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lastRenderedPageBreak/>
        <w:t xml:space="preserve">2. Respuesta. </w:t>
      </w:r>
      <w:r w:rsidRPr="00B0563B">
        <w:rPr>
          <w:rFonts w:ascii="Palatino Linotype" w:eastAsia="Palatino Linotype" w:hAnsi="Palatino Linotype" w:cs="Palatino Linotype"/>
          <w:sz w:val="22"/>
          <w:szCs w:val="22"/>
        </w:rPr>
        <w:t>Con fecha</w:t>
      </w:r>
      <w:r w:rsidRPr="00B0563B">
        <w:rPr>
          <w:rFonts w:ascii="Palatino Linotype" w:eastAsia="Palatino Linotype" w:hAnsi="Palatino Linotype" w:cs="Palatino Linotype"/>
          <w:b/>
          <w:bCs/>
          <w:sz w:val="22"/>
          <w:szCs w:val="22"/>
        </w:rPr>
        <w:t xml:space="preserve"> catorce de agosto de dos mil veinticinco</w:t>
      </w:r>
      <w:r w:rsidRPr="00B0563B">
        <w:rPr>
          <w:rFonts w:ascii="Palatino Linotype" w:eastAsia="Palatino Linotype" w:hAnsi="Palatino Linotype" w:cs="Palatino Linotype"/>
          <w:sz w:val="22"/>
          <w:szCs w:val="22"/>
        </w:rPr>
        <w:t xml:space="preserve">, el </w:t>
      </w:r>
      <w:r w:rsidRPr="00B0563B">
        <w:rPr>
          <w:rFonts w:ascii="Palatino Linotype" w:eastAsia="Palatino Linotype" w:hAnsi="Palatino Linotype" w:cs="Palatino Linotype"/>
          <w:b/>
          <w:bCs/>
          <w:sz w:val="22"/>
          <w:szCs w:val="22"/>
        </w:rPr>
        <w:t xml:space="preserve">Sujeto Obligado </w:t>
      </w:r>
      <w:r w:rsidRPr="00B0563B">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6D1F870" w14:textId="77777777" w:rsidR="00C7221D" w:rsidRPr="00B0563B" w:rsidRDefault="00C7221D">
      <w:pPr>
        <w:spacing w:line="276" w:lineRule="auto"/>
        <w:ind w:left="851" w:right="616"/>
        <w:jc w:val="both"/>
        <w:rPr>
          <w:rFonts w:ascii="Palatino Linotype" w:eastAsia="Palatino Linotype" w:hAnsi="Palatino Linotype" w:cs="Palatino Linotype"/>
          <w:i/>
          <w:iCs/>
          <w:sz w:val="22"/>
          <w:szCs w:val="22"/>
        </w:rPr>
      </w:pPr>
    </w:p>
    <w:p w14:paraId="10349E22"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A32FBB"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atención a la solicitud con folio 04123/TOLUCA/IP/2025, me permito adjuntar al presente la respuesta correspondiente, Sin más por el momento, reciba un saludo.</w:t>
      </w:r>
    </w:p>
    <w:p w14:paraId="086AE750"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ATENTAMENTE</w:t>
      </w:r>
    </w:p>
    <w:p w14:paraId="08389B64"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 xml:space="preserve">Dr. </w:t>
      </w:r>
      <w:proofErr w:type="spellStart"/>
      <w:r w:rsidRPr="00B0563B">
        <w:rPr>
          <w:rFonts w:ascii="Palatino Linotype" w:eastAsia="Palatino Linotype" w:hAnsi="Palatino Linotype" w:cs="Palatino Linotype"/>
          <w:i/>
          <w:iCs/>
          <w:sz w:val="22"/>
          <w:szCs w:val="22"/>
        </w:rPr>
        <w:t>Nahum</w:t>
      </w:r>
      <w:proofErr w:type="spellEnd"/>
      <w:r w:rsidRPr="00B0563B">
        <w:rPr>
          <w:rFonts w:ascii="Palatino Linotype" w:eastAsia="Palatino Linotype" w:hAnsi="Palatino Linotype" w:cs="Palatino Linotype"/>
          <w:i/>
          <w:iCs/>
          <w:sz w:val="22"/>
          <w:szCs w:val="22"/>
        </w:rPr>
        <w:t xml:space="preserve"> Miguel Mendoza Morales” (sic)</w:t>
      </w:r>
    </w:p>
    <w:p w14:paraId="7EAE0F0F" w14:textId="77777777" w:rsidR="00C7221D" w:rsidRPr="00B0563B" w:rsidRDefault="00C7221D">
      <w:pPr>
        <w:spacing w:line="360" w:lineRule="auto"/>
        <w:ind w:right="49"/>
        <w:jc w:val="both"/>
        <w:rPr>
          <w:rFonts w:ascii="Palatino Linotype" w:eastAsia="Palatino Linotype" w:hAnsi="Palatino Linotype" w:cs="Palatino Linotype"/>
          <w:b/>
          <w:bCs/>
          <w:sz w:val="22"/>
          <w:szCs w:val="22"/>
        </w:rPr>
      </w:pPr>
    </w:p>
    <w:p w14:paraId="7684BA71" w14:textId="77777777" w:rsidR="00C7221D" w:rsidRPr="00B0563B" w:rsidRDefault="00802627">
      <w:pP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Adjuntando a su respuesta los archivos electrónicos denominados</w:t>
      </w:r>
      <w:r w:rsidRPr="00B0563B">
        <w:rPr>
          <w:rFonts w:ascii="Palatino Linotype" w:eastAsia="Palatino Linotype" w:hAnsi="Palatino Linotype" w:cs="Palatino Linotype"/>
          <w:b/>
          <w:bCs/>
          <w:sz w:val="22"/>
          <w:szCs w:val="22"/>
        </w:rPr>
        <w:t xml:space="preserve"> </w:t>
      </w:r>
      <w:r w:rsidRPr="00B0563B">
        <w:rPr>
          <w:rFonts w:ascii="Palatino Linotype" w:eastAsia="Palatino Linotype" w:hAnsi="Palatino Linotype" w:cs="Palatino Linotype"/>
          <w:b/>
          <w:bCs/>
          <w:i/>
          <w:iCs/>
          <w:sz w:val="22"/>
          <w:szCs w:val="22"/>
        </w:rPr>
        <w:t>“4123.pdf, ESTADO-ANALITICO-DEL-</w:t>
      </w:r>
      <w:proofErr w:type="gramStart"/>
      <w:r w:rsidRPr="00B0563B">
        <w:rPr>
          <w:rFonts w:ascii="Palatino Linotype" w:eastAsia="Palatino Linotype" w:hAnsi="Palatino Linotype" w:cs="Palatino Linotype"/>
          <w:b/>
          <w:bCs/>
          <w:i/>
          <w:iCs/>
          <w:sz w:val="22"/>
          <w:szCs w:val="22"/>
        </w:rPr>
        <w:t>EJERC.-</w:t>
      </w:r>
      <w:proofErr w:type="gramEnd"/>
      <w:r w:rsidRPr="00B0563B">
        <w:rPr>
          <w:rFonts w:ascii="Palatino Linotype" w:eastAsia="Palatino Linotype" w:hAnsi="Palatino Linotype" w:cs="Palatino Linotype"/>
          <w:b/>
          <w:bCs/>
          <w:i/>
          <w:iCs/>
          <w:sz w:val="22"/>
          <w:szCs w:val="22"/>
        </w:rPr>
        <w:t>DE-PRES-DE-EGRESOS-CLAS-ADMINISTRATIVA-ENERO-A-MARZO-2025 (1).</w:t>
      </w:r>
      <w:proofErr w:type="spellStart"/>
      <w:r w:rsidRPr="00B0563B">
        <w:rPr>
          <w:rFonts w:ascii="Palatino Linotype" w:eastAsia="Palatino Linotype" w:hAnsi="Palatino Linotype" w:cs="Palatino Linotype"/>
          <w:b/>
          <w:bCs/>
          <w:i/>
          <w:iCs/>
          <w:sz w:val="22"/>
          <w:szCs w:val="22"/>
        </w:rPr>
        <w:t>pdf</w:t>
      </w:r>
      <w:proofErr w:type="spellEnd"/>
      <w:r w:rsidRPr="00B0563B">
        <w:rPr>
          <w:rFonts w:ascii="Palatino Linotype" w:eastAsia="Palatino Linotype" w:hAnsi="Palatino Linotype" w:cs="Palatino Linotype"/>
          <w:b/>
          <w:bCs/>
          <w:i/>
          <w:iCs/>
          <w:sz w:val="22"/>
          <w:szCs w:val="22"/>
        </w:rPr>
        <w:t xml:space="preserve">, ESTADO-ANALITICO-DEL-EJERC.-DE-PRES-DE-EGRESOS-CLAS-DE-FUNC.-ENERO-A-MARZO-2025.pdf, </w:t>
      </w:r>
      <w:proofErr w:type="spellStart"/>
      <w:r w:rsidRPr="00B0563B">
        <w:rPr>
          <w:rFonts w:ascii="Palatino Linotype" w:eastAsia="Palatino Linotype" w:hAnsi="Palatino Linotype" w:cs="Palatino Linotype"/>
          <w:b/>
          <w:bCs/>
          <w:i/>
          <w:iCs/>
          <w:sz w:val="22"/>
          <w:szCs w:val="22"/>
        </w:rPr>
        <w:t>contestacion</w:t>
      </w:r>
      <w:proofErr w:type="spellEnd"/>
      <w:r w:rsidRPr="00B0563B">
        <w:rPr>
          <w:rFonts w:ascii="Palatino Linotype" w:eastAsia="Palatino Linotype" w:hAnsi="Palatino Linotype" w:cs="Palatino Linotype"/>
          <w:b/>
          <w:bCs/>
          <w:i/>
          <w:iCs/>
          <w:sz w:val="22"/>
          <w:szCs w:val="22"/>
        </w:rPr>
        <w:t xml:space="preserve"> solicitud 4123.pdf </w:t>
      </w:r>
      <w:r w:rsidRPr="00B0563B">
        <w:rPr>
          <w:rFonts w:ascii="Palatino Linotype" w:eastAsia="Palatino Linotype" w:hAnsi="Palatino Linotype" w:cs="Palatino Linotype"/>
          <w:i/>
          <w:iCs/>
          <w:sz w:val="22"/>
          <w:szCs w:val="22"/>
        </w:rPr>
        <w:t xml:space="preserve">y </w:t>
      </w:r>
      <w:r w:rsidRPr="00B0563B">
        <w:rPr>
          <w:rFonts w:ascii="Palatino Linotype" w:eastAsia="Palatino Linotype" w:hAnsi="Palatino Linotype" w:cs="Palatino Linotype"/>
          <w:b/>
          <w:bCs/>
          <w:i/>
          <w:iCs/>
          <w:sz w:val="22"/>
          <w:szCs w:val="22"/>
        </w:rPr>
        <w:t xml:space="preserve">NOTIF. CIUDADANO S. 4123.pdf”, </w:t>
      </w:r>
      <w:r w:rsidRPr="00B0563B">
        <w:rPr>
          <w:rFonts w:ascii="Palatino Linotype" w:eastAsia="Palatino Linotype" w:hAnsi="Palatino Linotype" w:cs="Palatino Linotype"/>
          <w:sz w:val="22"/>
          <w:szCs w:val="22"/>
        </w:rPr>
        <w:t>cuyo contenido es el siguiente:</w:t>
      </w:r>
      <w:r w:rsidRPr="00B0563B">
        <w:rPr>
          <w:rFonts w:ascii="Palatino Linotype" w:eastAsia="Palatino Linotype" w:hAnsi="Palatino Linotype" w:cs="Palatino Linotype"/>
          <w:i/>
          <w:iCs/>
          <w:sz w:val="22"/>
          <w:szCs w:val="22"/>
        </w:rPr>
        <w:t xml:space="preserve"> </w:t>
      </w:r>
    </w:p>
    <w:p w14:paraId="5CF174F7" w14:textId="77777777" w:rsidR="00C7221D" w:rsidRPr="00B0563B" w:rsidRDefault="00C7221D">
      <w:pPr>
        <w:spacing w:line="360" w:lineRule="auto"/>
        <w:ind w:right="49"/>
        <w:jc w:val="both"/>
        <w:rPr>
          <w:rFonts w:ascii="Palatino Linotype" w:eastAsia="Palatino Linotype" w:hAnsi="Palatino Linotype" w:cs="Palatino Linotype"/>
          <w:sz w:val="22"/>
          <w:szCs w:val="22"/>
        </w:rPr>
      </w:pPr>
    </w:p>
    <w:p w14:paraId="36210192" w14:textId="77777777" w:rsidR="00C7221D" w:rsidRPr="00B0563B" w:rsidRDefault="00802627">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4123.pdf</w:t>
      </w:r>
      <w:r w:rsidRPr="00B0563B">
        <w:rPr>
          <w:rFonts w:ascii="Palatino Linotype" w:eastAsia="Palatino Linotype" w:hAnsi="Palatino Linotype" w:cs="Palatino Linotype"/>
          <w:sz w:val="22"/>
          <w:szCs w:val="22"/>
        </w:rPr>
        <w:t xml:space="preserve">: Oficio número 202010000/02727/2025 de fecha trece de agosto de dos mil veinticinco, suscrito por el Tesorero Municipal en el que informó la entrega de los siguientes documentos: </w:t>
      </w:r>
    </w:p>
    <w:p w14:paraId="2B460FB6" w14:textId="77777777" w:rsidR="00C7221D" w:rsidRPr="00B0563B" w:rsidRDefault="00802627">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“Estado Analítico del Ejercicio del Presupuesto de Egresos Clasificación Administrativa (enero a marzo de 2025).</w:t>
      </w:r>
    </w:p>
    <w:p w14:paraId="39D59282" w14:textId="77777777" w:rsidR="00C7221D" w:rsidRPr="00B0563B" w:rsidRDefault="00802627">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Estado Analítico del Ejercicio del Presupuesto de Egresos Clasificación Funcional (enero a marzo de 2025).</w:t>
      </w:r>
    </w:p>
    <w:p w14:paraId="51625373" w14:textId="77777777" w:rsidR="00C7221D" w:rsidRPr="00B0563B" w:rsidRDefault="00C7221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442854E5"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No omite mencionar que la información se encuentra integrada de forma general y no de forma particular; así mismo dicha información se encuentra pública en la </w:t>
      </w:r>
      <w:r w:rsidRPr="00B0563B">
        <w:rPr>
          <w:rFonts w:ascii="Palatino Linotype" w:eastAsia="Palatino Linotype" w:hAnsi="Palatino Linotype" w:cs="Palatino Linotype"/>
          <w:i/>
          <w:iCs/>
          <w:sz w:val="22"/>
          <w:szCs w:val="22"/>
        </w:rPr>
        <w:lastRenderedPageBreak/>
        <w:t xml:space="preserve">página oficial del Ayuntamiento de Toluca en la siguiente liga: </w:t>
      </w:r>
      <w:hyperlink r:id="rId8">
        <w:r w:rsidRPr="00B0563B">
          <w:rPr>
            <w:rFonts w:ascii="Palatino Linotype" w:eastAsia="Palatino Linotype" w:hAnsi="Palatino Linotype" w:cs="Palatino Linotype"/>
            <w:i/>
            <w:iCs/>
            <w:sz w:val="22"/>
            <w:szCs w:val="22"/>
            <w:u w:val="single"/>
          </w:rPr>
          <w:t>https://www2.toluca.gob.mx/informacion-fiscal-toluca/</w:t>
        </w:r>
      </w:hyperlink>
      <w:r w:rsidRPr="00B0563B">
        <w:rPr>
          <w:rFonts w:ascii="Palatino Linotype" w:eastAsia="Palatino Linotype" w:hAnsi="Palatino Linotype" w:cs="Palatino Linotype"/>
          <w:i/>
          <w:iCs/>
          <w:sz w:val="22"/>
          <w:szCs w:val="22"/>
        </w:rPr>
        <w:t xml:space="preserve">. </w:t>
      </w:r>
    </w:p>
    <w:p w14:paraId="5A4DA12B"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Cabe mencionar que los meses de abril, mayo, junio y julio del año que transcurre no se encuentran publicados ya que forman parte de la integración del segundo y tercer informe trimestral de 2025; dicha integración es normada por los Lineamientos del Órgano Superior de Fiscalización del Estado de México en materia de integración, presentación y envío de los informes trimestrales del ejercicio fiscal 2025, de las entidades fiscalizables del Estado de México; los cuales ya fueron emitidos por el OSFEM el día 01 de abril de 2025.</w:t>
      </w:r>
    </w:p>
    <w:p w14:paraId="6F2CCF80" w14:textId="77777777" w:rsidR="00C7221D" w:rsidRPr="00B0563B" w:rsidRDefault="00C7221D">
      <w:pPr>
        <w:spacing w:line="276" w:lineRule="auto"/>
        <w:ind w:left="851" w:right="616"/>
        <w:jc w:val="both"/>
        <w:rPr>
          <w:rFonts w:ascii="Palatino Linotype" w:eastAsia="Palatino Linotype" w:hAnsi="Palatino Linotype" w:cs="Palatino Linotype"/>
          <w:i/>
          <w:iCs/>
          <w:sz w:val="22"/>
          <w:szCs w:val="22"/>
        </w:rPr>
      </w:pPr>
    </w:p>
    <w:p w14:paraId="25215C62"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este sentido, se anexa al presente el Acuerdo 7/2025 publicado por el OSFEM por el que se emiten los lineamientos, fechas de capacitación y calendarización para la integración y presentación de los informes trimestrales estatales y municipales, establecidos en el anexo 1 de este Acuerdo, del ejercicio fiscal 2025.</w:t>
      </w:r>
    </w:p>
    <w:p w14:paraId="0BE1F140" w14:textId="77777777" w:rsidR="00C7221D" w:rsidRPr="00B0563B" w:rsidRDefault="00C7221D">
      <w:pPr>
        <w:spacing w:line="276" w:lineRule="auto"/>
        <w:ind w:left="851" w:right="616"/>
        <w:jc w:val="both"/>
        <w:rPr>
          <w:rFonts w:ascii="Palatino Linotype" w:eastAsia="Palatino Linotype" w:hAnsi="Palatino Linotype" w:cs="Palatino Linotype"/>
          <w:i/>
          <w:iCs/>
          <w:sz w:val="22"/>
          <w:szCs w:val="22"/>
        </w:rPr>
      </w:pPr>
    </w:p>
    <w:p w14:paraId="75F0C8F6"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Asimismo, se anexa el link directo de la página oficial del Órgano Superior de Fiscalización del Estado de México, en el apartado de Lineamientos, componentes informes trimestrales, Acuerdo 7/2025: </w:t>
      </w:r>
      <w:hyperlink r:id="rId9">
        <w:r w:rsidRPr="00B0563B">
          <w:rPr>
            <w:rFonts w:ascii="Palatino Linotype" w:eastAsia="Palatino Linotype" w:hAnsi="Palatino Linotype" w:cs="Palatino Linotype"/>
            <w:i/>
            <w:iCs/>
            <w:sz w:val="22"/>
            <w:szCs w:val="22"/>
            <w:u w:val="single"/>
          </w:rPr>
          <w:t>https://www.osfem.gob.mx/assets/conocenos/marco_normativo/acuerdos/2025/acuerdo_07_2025.pdf</w:t>
        </w:r>
      </w:hyperlink>
      <w:r w:rsidRPr="00B0563B">
        <w:rPr>
          <w:rFonts w:ascii="Palatino Linotype" w:eastAsia="Palatino Linotype" w:hAnsi="Palatino Linotype" w:cs="Palatino Linotype"/>
          <w:i/>
          <w:iCs/>
          <w:sz w:val="22"/>
          <w:szCs w:val="22"/>
        </w:rPr>
        <w:t xml:space="preserve"> “</w:t>
      </w:r>
    </w:p>
    <w:p w14:paraId="315A85B8" w14:textId="77777777" w:rsidR="00C7221D" w:rsidRPr="00B0563B" w:rsidRDefault="00C7221D">
      <w:pPr>
        <w:spacing w:line="276" w:lineRule="auto"/>
        <w:ind w:right="616"/>
        <w:jc w:val="both"/>
        <w:rPr>
          <w:rFonts w:ascii="Palatino Linotype" w:eastAsia="Palatino Linotype" w:hAnsi="Palatino Linotype" w:cs="Palatino Linotype"/>
          <w:i/>
          <w:iCs/>
          <w:sz w:val="22"/>
          <w:szCs w:val="22"/>
        </w:rPr>
      </w:pPr>
    </w:p>
    <w:p w14:paraId="78C8C386" w14:textId="77777777" w:rsidR="00C7221D" w:rsidRPr="00B0563B" w:rsidRDefault="00802627">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ESTADO-ANALITICO-DEL-</w:t>
      </w:r>
      <w:proofErr w:type="gramStart"/>
      <w:r w:rsidRPr="00B0563B">
        <w:rPr>
          <w:rFonts w:ascii="Palatino Linotype" w:eastAsia="Palatino Linotype" w:hAnsi="Palatino Linotype" w:cs="Palatino Linotype"/>
          <w:b/>
          <w:bCs/>
          <w:i/>
          <w:iCs/>
          <w:sz w:val="22"/>
          <w:szCs w:val="22"/>
        </w:rPr>
        <w:t>EJERC.-</w:t>
      </w:r>
      <w:proofErr w:type="gramEnd"/>
      <w:r w:rsidRPr="00B0563B">
        <w:rPr>
          <w:rFonts w:ascii="Palatino Linotype" w:eastAsia="Palatino Linotype" w:hAnsi="Palatino Linotype" w:cs="Palatino Linotype"/>
          <w:b/>
          <w:bCs/>
          <w:i/>
          <w:iCs/>
          <w:sz w:val="22"/>
          <w:szCs w:val="22"/>
        </w:rPr>
        <w:t>DE-PRES-DE-EGRESOS-CLAS-ADMINISTRATIVA-ENERO-A-MARZO-2025 (1).</w:t>
      </w:r>
      <w:proofErr w:type="spellStart"/>
      <w:r w:rsidRPr="00B0563B">
        <w:rPr>
          <w:rFonts w:ascii="Palatino Linotype" w:eastAsia="Palatino Linotype" w:hAnsi="Palatino Linotype" w:cs="Palatino Linotype"/>
          <w:b/>
          <w:bCs/>
          <w:i/>
          <w:iCs/>
          <w:sz w:val="22"/>
          <w:szCs w:val="22"/>
        </w:rPr>
        <w:t>pdf</w:t>
      </w:r>
      <w:proofErr w:type="spellEnd"/>
      <w:r w:rsidRPr="00B0563B">
        <w:rPr>
          <w:rFonts w:ascii="Palatino Linotype" w:eastAsia="Palatino Linotype" w:hAnsi="Palatino Linotype" w:cs="Palatino Linotype"/>
          <w:sz w:val="22"/>
          <w:szCs w:val="22"/>
        </w:rPr>
        <w:t xml:space="preserve">: Estado Analítico del Ejercicio del Presupuesto de Egresos Clasificación Administrativa del primero de enero al treinta y uno de marzo de dos mil veinticinco. </w:t>
      </w:r>
    </w:p>
    <w:p w14:paraId="4901EA29" w14:textId="77777777" w:rsidR="00C7221D" w:rsidRPr="00B0563B" w:rsidRDefault="00802627">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ESTADO-ANALITICO-DEL-EJERC.-DE-PRES-DE-EGRESOS-CLAS-DE-FUNC.-ENERO-A-MARZO-2025.pdf</w:t>
      </w:r>
      <w:r w:rsidRPr="00B0563B">
        <w:rPr>
          <w:rFonts w:ascii="Palatino Linotype" w:eastAsia="Palatino Linotype" w:hAnsi="Palatino Linotype" w:cs="Palatino Linotype"/>
          <w:sz w:val="22"/>
          <w:szCs w:val="22"/>
        </w:rPr>
        <w:t>: Estado Analítico del Ejercicio del Presupuesto de Egresos Clasificación Administrativa (Finalidad y Función), del primero de enero al treinta y uno de marzo de dos mil veinticinco.</w:t>
      </w:r>
    </w:p>
    <w:p w14:paraId="6980F1BF" w14:textId="77777777" w:rsidR="00C7221D" w:rsidRPr="00B0563B" w:rsidRDefault="00802627">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roofErr w:type="spellStart"/>
      <w:r w:rsidRPr="00B0563B">
        <w:rPr>
          <w:rFonts w:ascii="Palatino Linotype" w:eastAsia="Palatino Linotype" w:hAnsi="Palatino Linotype" w:cs="Palatino Linotype"/>
          <w:b/>
          <w:bCs/>
          <w:i/>
          <w:iCs/>
          <w:sz w:val="22"/>
          <w:szCs w:val="22"/>
        </w:rPr>
        <w:t>contestacion</w:t>
      </w:r>
      <w:proofErr w:type="spellEnd"/>
      <w:r w:rsidRPr="00B0563B">
        <w:rPr>
          <w:rFonts w:ascii="Palatino Linotype" w:eastAsia="Palatino Linotype" w:hAnsi="Palatino Linotype" w:cs="Palatino Linotype"/>
          <w:b/>
          <w:bCs/>
          <w:i/>
          <w:iCs/>
          <w:sz w:val="22"/>
          <w:szCs w:val="22"/>
        </w:rPr>
        <w:t xml:space="preserve"> solicitud 4123.pdf</w:t>
      </w:r>
      <w:r w:rsidRPr="00B0563B">
        <w:rPr>
          <w:rFonts w:ascii="Palatino Linotype" w:eastAsia="Palatino Linotype" w:hAnsi="Palatino Linotype" w:cs="Palatino Linotype"/>
          <w:sz w:val="22"/>
          <w:szCs w:val="22"/>
        </w:rPr>
        <w:t xml:space="preserve">: Oficio número 213010000/1389/2025 de fecha ocho de agosto de dos mil veinticinco, suscrito por la Directora de Cultura y Turismo en el que informó: </w:t>
      </w:r>
    </w:p>
    <w:p w14:paraId="12C717D6" w14:textId="77777777" w:rsidR="00C7221D" w:rsidRPr="00B0563B" w:rsidRDefault="00C7221D">
      <w:pPr>
        <w:spacing w:line="360" w:lineRule="auto"/>
        <w:ind w:right="49"/>
        <w:jc w:val="both"/>
        <w:rPr>
          <w:rFonts w:ascii="Palatino Linotype" w:eastAsia="Palatino Linotype" w:hAnsi="Palatino Linotype" w:cs="Palatino Linotype"/>
          <w:sz w:val="22"/>
          <w:szCs w:val="22"/>
        </w:rPr>
      </w:pPr>
    </w:p>
    <w:p w14:paraId="7AEA3259"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“La información relativa a los eventos realizados durante la administración 2025 puede ser consultada en los medios de comunicación oficial del Н. Ayuntamiento de Toluca, así como en las plataformas digitales de la Dirección General de Educación, Cultura y Turismo, disponibles en los siguientes sitios web: </w:t>
      </w:r>
      <w:hyperlink r:id="rId10">
        <w:r w:rsidRPr="00B0563B">
          <w:rPr>
            <w:rFonts w:ascii="Palatino Linotype" w:eastAsia="Palatino Linotype" w:hAnsi="Palatino Linotype" w:cs="Palatino Linotype"/>
            <w:i/>
            <w:iCs/>
            <w:sz w:val="22"/>
            <w:szCs w:val="22"/>
            <w:u w:val="single"/>
          </w:rPr>
          <w:t>https://www.toluca.gob.mx</w:t>
        </w:r>
      </w:hyperlink>
      <w:r w:rsidRPr="00B0563B">
        <w:rPr>
          <w:rFonts w:ascii="Palatino Linotype" w:eastAsia="Palatino Linotype" w:hAnsi="Palatino Linotype" w:cs="Palatino Linotype"/>
          <w:i/>
          <w:iCs/>
          <w:sz w:val="22"/>
          <w:szCs w:val="22"/>
        </w:rPr>
        <w:t xml:space="preserve">, Redes sociales oficiales y sitio institucional de la Dirección General </w:t>
      </w:r>
    </w:p>
    <w:p w14:paraId="059A76B9"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Las adquisiciones de bienes y servicios, así como la formalización de los contratos respectivos, se lleva a cabo a través de la Dirección General de Administración, en estricto cumplimiento de lo establecido por la Ley de Contratación Pública del Estado de México y Municipios. Por su parte, programación y calendarización de los pagos correspondientes a las facturas de dichos contratos es atribución de la Tesorería Municipal.</w:t>
      </w:r>
    </w:p>
    <w:p w14:paraId="11C94A63"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Los eventos culturales organizados por esta Dirección General son, en su mayoría, de carácter público y masivo, En los casos en, que se recaban datos personales, éstos se encuentran protegidos conforme a los artículos 3, fracciones VII y VII; 4; 18; 22; 23 y demás relativos de la Ley de Protección de Datos Personales en Posesión de Sujetos Obligados del Estado de México y Municipios, así como en los respectivos Avisos de Privacidad.</w:t>
      </w:r>
    </w:p>
    <w:p w14:paraId="72376DC3"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consecuencia, el entregar bases de datos con información personal de los asistentes, su difusión implicaría la vulneración del derecho a la protección de datos personales, reconocido en el artículo 16, párrafo segundo, de la Constitución Política de los Estados Unidos Mexicanos.</w:t>
      </w:r>
    </w:p>
    <w:p w14:paraId="537ABBB6"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El material fotográfico correspondiente a los eventos culturales realizados durante la administración 2025 se encuentra disponible para consulta pública en las plataformas oficiales ya referidas, en cumplimiento con el artículo 12, fracción II de la Ley de Transparencia Acceso a la Información Pública del Estado de México y Municipios.</w:t>
      </w:r>
    </w:p>
    <w:p w14:paraId="26802849"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atención al artículo 147 de la Ley de Transparencia Acceso a la Información Pública del Estado de México y Municipios, se orienta al solicitante para que dirija su requerimiento a las áreas competentes, a fin de que se le proporcione la información.”</w:t>
      </w:r>
    </w:p>
    <w:p w14:paraId="1D9632F7" w14:textId="77777777" w:rsidR="00C7221D" w:rsidRPr="00B0563B" w:rsidRDefault="00802627">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NOTIF. CIUDADANO S. 4123.pdf</w:t>
      </w:r>
      <w:r w:rsidRPr="00B0563B">
        <w:rPr>
          <w:rFonts w:ascii="Palatino Linotype" w:eastAsia="Palatino Linotype" w:hAnsi="Palatino Linotype" w:cs="Palatino Linotype"/>
          <w:sz w:val="22"/>
          <w:szCs w:val="22"/>
        </w:rPr>
        <w:t>: Oficio número 206010000/4700/2025 de fecha trece de agosto de dos mil veinticinco, suscrito por la Directora General de Administración, en el que informó que la Dirección de Recursos Materiales, después de haber realizado una búsqueda exhaustiva y razonable en los archivos que obran en la Dirección y sus Departamentos, informa que no se localizó la información solicitada; de conformidad con lo establecido en los artículos 12, segundo párrafo y 160 de la Ley de Transparencia y Acceso a la Información Pública del Estado de México y Municipios; los cuales establecen que los sujetos obligados sólo proporcionarán la información pública que se les requiera y que obre en sus archivos y en el estado en que ésta se encuentren y la obligación de proporcionar información no comprende el procesamiento de la misma, ni el presentarla conforme al interés del solicitante; no estarán obligados a generarla, resumirla, efectuar cálculos o practicar investigaciones.</w:t>
      </w:r>
    </w:p>
    <w:p w14:paraId="262DFB48" w14:textId="77777777" w:rsidR="00C7221D" w:rsidRPr="00B0563B" w:rsidRDefault="00C7221D">
      <w:pPr>
        <w:spacing w:line="360" w:lineRule="auto"/>
        <w:ind w:right="49"/>
        <w:jc w:val="both"/>
        <w:rPr>
          <w:rFonts w:ascii="Palatino Linotype" w:eastAsia="Palatino Linotype" w:hAnsi="Palatino Linotype" w:cs="Palatino Linotype"/>
          <w:sz w:val="22"/>
          <w:szCs w:val="22"/>
        </w:rPr>
      </w:pPr>
    </w:p>
    <w:p w14:paraId="4D0DD2EB" w14:textId="77777777" w:rsidR="00C7221D" w:rsidRPr="00B0563B" w:rsidRDefault="00802627">
      <w:pP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3. Interposición del recurso de revisión. </w:t>
      </w:r>
      <w:r w:rsidRPr="00B0563B">
        <w:rPr>
          <w:rFonts w:ascii="Palatino Linotype" w:eastAsia="Palatino Linotype" w:hAnsi="Palatino Linotype" w:cs="Palatino Linotype"/>
          <w:sz w:val="22"/>
          <w:szCs w:val="22"/>
        </w:rPr>
        <w:t xml:space="preserve">Inconforme con los términos de la respuesta emitida por parte del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el </w:t>
      </w:r>
      <w:r w:rsidRPr="00B0563B">
        <w:rPr>
          <w:rFonts w:ascii="Palatino Linotype" w:eastAsia="Palatino Linotype" w:hAnsi="Palatino Linotype" w:cs="Palatino Linotype"/>
          <w:b/>
          <w:bCs/>
          <w:sz w:val="22"/>
          <w:szCs w:val="22"/>
        </w:rPr>
        <w:t>diecinueve de agosto de dos mil veinticinco,</w:t>
      </w:r>
      <w:r w:rsidRPr="00B0563B">
        <w:rPr>
          <w:rFonts w:ascii="Palatino Linotype" w:eastAsia="Palatino Linotype" w:hAnsi="Palatino Linotype" w:cs="Palatino Linotype"/>
          <w:sz w:val="22"/>
          <w:szCs w:val="22"/>
        </w:rPr>
        <w:t xml:space="preserv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interpuso el recurso de revisión a través de </w:t>
      </w:r>
      <w:r w:rsidRPr="00B0563B">
        <w:rPr>
          <w:rFonts w:ascii="Palatino Linotype" w:eastAsia="Palatino Linotype" w:hAnsi="Palatino Linotype" w:cs="Palatino Linotype"/>
          <w:b/>
          <w:bCs/>
          <w:sz w:val="22"/>
          <w:szCs w:val="22"/>
        </w:rPr>
        <w:t xml:space="preserve">SAIMEX, </w:t>
      </w:r>
      <w:r w:rsidRPr="00B0563B">
        <w:rPr>
          <w:rFonts w:ascii="Palatino Linotype" w:eastAsia="Palatino Linotype" w:hAnsi="Palatino Linotype" w:cs="Palatino Linotype"/>
          <w:sz w:val="22"/>
          <w:szCs w:val="22"/>
        </w:rPr>
        <w:t>en donde se manifestó de la siguiente manera:</w:t>
      </w:r>
    </w:p>
    <w:p w14:paraId="26617271" w14:textId="77777777" w:rsidR="00C7221D" w:rsidRPr="00B0563B" w:rsidRDefault="00C7221D">
      <w:pPr>
        <w:spacing w:line="360" w:lineRule="auto"/>
        <w:ind w:right="49"/>
        <w:jc w:val="both"/>
        <w:rPr>
          <w:rFonts w:ascii="Palatino Linotype" w:eastAsia="Palatino Linotype" w:hAnsi="Palatino Linotype" w:cs="Palatino Linotype"/>
          <w:sz w:val="22"/>
          <w:szCs w:val="22"/>
        </w:rPr>
      </w:pPr>
    </w:p>
    <w:p w14:paraId="03701034" w14:textId="77777777" w:rsidR="00C7221D" w:rsidRPr="00B0563B" w:rsidRDefault="00802627">
      <w:pPr>
        <w:tabs>
          <w:tab w:val="left" w:pos="2745"/>
        </w:tabs>
        <w:spacing w:line="360" w:lineRule="auto"/>
        <w:ind w:left="851" w:right="616"/>
        <w:jc w:val="both"/>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 xml:space="preserve">Acto impugnado: </w:t>
      </w:r>
    </w:p>
    <w:p w14:paraId="7D2A4260" w14:textId="77777777" w:rsidR="00C7221D" w:rsidRPr="00B0563B" w:rsidRDefault="00802627">
      <w:pPr>
        <w:tabs>
          <w:tab w:val="left" w:pos="2745"/>
        </w:tabs>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“La opacidad a todo en ese municipio no entrega la información solicitada se pide se entregue conforme a la ley se entregue la información” (sic)</w:t>
      </w:r>
    </w:p>
    <w:p w14:paraId="59415283" w14:textId="77777777" w:rsidR="00C7221D" w:rsidRPr="00B0563B" w:rsidRDefault="00C7221D">
      <w:pPr>
        <w:tabs>
          <w:tab w:val="left" w:pos="2745"/>
        </w:tabs>
        <w:ind w:left="851" w:right="616"/>
        <w:jc w:val="both"/>
        <w:rPr>
          <w:rFonts w:ascii="Palatino Linotype" w:eastAsia="Palatino Linotype" w:hAnsi="Palatino Linotype" w:cs="Palatino Linotype"/>
          <w:i/>
          <w:iCs/>
          <w:sz w:val="22"/>
          <w:szCs w:val="22"/>
        </w:rPr>
      </w:pPr>
    </w:p>
    <w:p w14:paraId="3A074C53" w14:textId="77777777" w:rsidR="00C7221D" w:rsidRPr="00B0563B" w:rsidRDefault="00802627">
      <w:pPr>
        <w:spacing w:line="360" w:lineRule="auto"/>
        <w:ind w:left="851" w:right="616"/>
        <w:jc w:val="both"/>
        <w:rPr>
          <w:rFonts w:ascii="Palatino Linotype" w:eastAsia="Palatino Linotype" w:hAnsi="Palatino Linotype" w:cs="Palatino Linotype"/>
          <w:sz w:val="22"/>
          <w:szCs w:val="22"/>
        </w:rPr>
      </w:pPr>
      <w:bookmarkStart w:id="2" w:name="_heading=h.30j0zll" w:colFirst="0" w:colLast="0"/>
      <w:bookmarkEnd w:id="2"/>
      <w:r w:rsidRPr="00B0563B">
        <w:rPr>
          <w:rFonts w:ascii="Palatino Linotype" w:eastAsia="Palatino Linotype" w:hAnsi="Palatino Linotype" w:cs="Palatino Linotype"/>
          <w:b/>
          <w:bCs/>
          <w:sz w:val="22"/>
          <w:szCs w:val="22"/>
        </w:rPr>
        <w:t>Y Razones o motivos de inconformidad</w:t>
      </w:r>
      <w:r w:rsidRPr="00B0563B">
        <w:rPr>
          <w:rFonts w:ascii="Palatino Linotype" w:eastAsia="Palatino Linotype" w:hAnsi="Palatino Linotype" w:cs="Palatino Linotype"/>
          <w:sz w:val="22"/>
          <w:szCs w:val="22"/>
        </w:rPr>
        <w:t xml:space="preserve">: </w:t>
      </w:r>
    </w:p>
    <w:p w14:paraId="4507D2BC" w14:textId="77777777" w:rsidR="00C7221D" w:rsidRPr="00B0563B" w:rsidRDefault="00802627">
      <w:pPr>
        <w:tabs>
          <w:tab w:val="left" w:pos="2745"/>
        </w:tabs>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“La opacidad a todo en ese municipio no entrega la información solicitada se pide se entregue conforme a la ley se entregue la información.” (sic)</w:t>
      </w:r>
    </w:p>
    <w:p w14:paraId="582C542E" w14:textId="77777777" w:rsidR="00C7221D" w:rsidRPr="00B0563B" w:rsidRDefault="00C7221D">
      <w:pPr>
        <w:spacing w:line="360" w:lineRule="auto"/>
        <w:ind w:right="51"/>
        <w:jc w:val="both"/>
        <w:rPr>
          <w:rFonts w:ascii="Palatino Linotype" w:eastAsia="Palatino Linotype" w:hAnsi="Palatino Linotype" w:cs="Palatino Linotype"/>
          <w:b/>
          <w:bCs/>
          <w:sz w:val="22"/>
          <w:szCs w:val="22"/>
        </w:rPr>
      </w:pPr>
    </w:p>
    <w:p w14:paraId="37A65967" w14:textId="77777777" w:rsidR="00C7221D" w:rsidRPr="00B0563B" w:rsidRDefault="00802627">
      <w:pPr>
        <w:spacing w:line="360" w:lineRule="auto"/>
        <w:ind w:right="51"/>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4. Turno. </w:t>
      </w:r>
      <w:r w:rsidRPr="00B0563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0563B">
        <w:rPr>
          <w:rFonts w:ascii="Palatino Linotype" w:eastAsia="Palatino Linotype" w:hAnsi="Palatino Linotype" w:cs="Palatino Linotype"/>
          <w:b/>
          <w:bCs/>
          <w:sz w:val="22"/>
          <w:szCs w:val="22"/>
        </w:rPr>
        <w:t xml:space="preserve">Guadalupe Ramírez Peña, </w:t>
      </w:r>
      <w:r w:rsidRPr="00B0563B">
        <w:rPr>
          <w:rFonts w:ascii="Palatino Linotype" w:eastAsia="Palatino Linotype" w:hAnsi="Palatino Linotype" w:cs="Palatino Linotype"/>
          <w:sz w:val="22"/>
          <w:szCs w:val="22"/>
        </w:rPr>
        <w:t xml:space="preserve">a efecto de que analizara sobre su admisión o su </w:t>
      </w:r>
      <w:proofErr w:type="spellStart"/>
      <w:r w:rsidRPr="00B0563B">
        <w:rPr>
          <w:rFonts w:ascii="Palatino Linotype" w:eastAsia="Palatino Linotype" w:hAnsi="Palatino Linotype" w:cs="Palatino Linotype"/>
          <w:sz w:val="22"/>
          <w:szCs w:val="22"/>
        </w:rPr>
        <w:t>desechamiento</w:t>
      </w:r>
      <w:proofErr w:type="spellEnd"/>
      <w:r w:rsidRPr="00B0563B">
        <w:rPr>
          <w:rFonts w:ascii="Palatino Linotype" w:eastAsia="Palatino Linotype" w:hAnsi="Palatino Linotype" w:cs="Palatino Linotype"/>
          <w:sz w:val="22"/>
          <w:szCs w:val="22"/>
        </w:rPr>
        <w:t>.</w:t>
      </w:r>
    </w:p>
    <w:p w14:paraId="03C0A574" w14:textId="77777777" w:rsidR="00C7221D" w:rsidRPr="00B0563B" w:rsidRDefault="00C7221D">
      <w:pPr>
        <w:spacing w:line="360" w:lineRule="auto"/>
        <w:ind w:right="51"/>
        <w:jc w:val="both"/>
        <w:rPr>
          <w:rFonts w:ascii="Palatino Linotype" w:eastAsia="Palatino Linotype" w:hAnsi="Palatino Linotype" w:cs="Palatino Linotype"/>
          <w:sz w:val="22"/>
          <w:szCs w:val="22"/>
        </w:rPr>
      </w:pPr>
    </w:p>
    <w:p w14:paraId="10980F3D"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5. Admisión del Recurso de revisión.</w:t>
      </w:r>
      <w:r w:rsidRPr="00B0563B">
        <w:rPr>
          <w:rFonts w:ascii="Palatino Linotype" w:eastAsia="Palatino Linotype" w:hAnsi="Palatino Linotype" w:cs="Palatino Linotype"/>
          <w:sz w:val="22"/>
          <w:szCs w:val="22"/>
        </w:rPr>
        <w:t xml:space="preserve"> Con fecha</w:t>
      </w:r>
      <w:r w:rsidRPr="00B0563B">
        <w:rPr>
          <w:rFonts w:ascii="Palatino Linotype" w:eastAsia="Palatino Linotype" w:hAnsi="Palatino Linotype" w:cs="Palatino Linotype"/>
          <w:b/>
          <w:bCs/>
          <w:sz w:val="22"/>
          <w:szCs w:val="22"/>
        </w:rPr>
        <w:t xml:space="preserve"> veintidós de agosto de dos mil veinticinco, </w:t>
      </w:r>
      <w:r w:rsidRPr="00B0563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0563B">
        <w:rPr>
          <w:rFonts w:ascii="Palatino Linotype" w:eastAsia="Palatino Linotype" w:hAnsi="Palatino Linotype" w:cs="Palatino Linotype"/>
          <w:b/>
          <w:bCs/>
          <w:sz w:val="22"/>
          <w:szCs w:val="22"/>
        </w:rPr>
        <w:t xml:space="preserve">Sujeto Obligado </w:t>
      </w:r>
      <w:r w:rsidRPr="00B0563B">
        <w:rPr>
          <w:rFonts w:ascii="Palatino Linotype" w:eastAsia="Palatino Linotype" w:hAnsi="Palatino Linotype" w:cs="Palatino Linotype"/>
          <w:sz w:val="22"/>
          <w:szCs w:val="22"/>
        </w:rPr>
        <w:t>presentara su informe justificado.</w:t>
      </w:r>
    </w:p>
    <w:p w14:paraId="348D3E33"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997F65B" w14:textId="77777777" w:rsidR="00C7221D" w:rsidRPr="00B0563B" w:rsidRDefault="00802627">
      <w:pPr>
        <w:spacing w:line="360" w:lineRule="auto"/>
        <w:jc w:val="both"/>
        <w:rPr>
          <w:rFonts w:ascii="Palatino Linotype" w:eastAsia="Palatino Linotype" w:hAnsi="Palatino Linotype" w:cs="Palatino Linotype"/>
          <w:sz w:val="22"/>
          <w:szCs w:val="22"/>
        </w:rPr>
      </w:pPr>
      <w:bookmarkStart w:id="3" w:name="_heading=h.2s8eyo1" w:colFirst="0" w:colLast="0"/>
      <w:bookmarkEnd w:id="3"/>
      <w:r w:rsidRPr="00B0563B">
        <w:rPr>
          <w:rFonts w:ascii="Palatino Linotype" w:eastAsia="Palatino Linotype" w:hAnsi="Palatino Linotype" w:cs="Palatino Linotype"/>
          <w:b/>
          <w:bCs/>
          <w:sz w:val="22"/>
          <w:szCs w:val="22"/>
        </w:rPr>
        <w:t>6. Manifestaciones</w:t>
      </w:r>
      <w:r w:rsidRPr="00B0563B">
        <w:rPr>
          <w:rFonts w:ascii="Palatino Linotype" w:eastAsia="Palatino Linotype" w:hAnsi="Palatino Linotype" w:cs="Palatino Linotype"/>
          <w:sz w:val="22"/>
          <w:szCs w:val="22"/>
        </w:rPr>
        <w:t xml:space="preserv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en fecha </w:t>
      </w:r>
      <w:r w:rsidRPr="00B0563B">
        <w:rPr>
          <w:rFonts w:ascii="Palatino Linotype" w:eastAsia="Palatino Linotype" w:hAnsi="Palatino Linotype" w:cs="Palatino Linotype"/>
          <w:b/>
          <w:bCs/>
          <w:sz w:val="22"/>
          <w:szCs w:val="22"/>
        </w:rPr>
        <w:t>dos de septiembre de dos mil veinticinco</w:t>
      </w:r>
      <w:r w:rsidRPr="00B0563B">
        <w:rPr>
          <w:rFonts w:ascii="Palatino Linotype" w:eastAsia="Palatino Linotype" w:hAnsi="Palatino Linotype" w:cs="Palatino Linotype"/>
          <w:sz w:val="22"/>
          <w:szCs w:val="22"/>
        </w:rPr>
        <w:t xml:space="preserve">, rindió informe a través de los siguientes archivos electrónicos: </w:t>
      </w:r>
    </w:p>
    <w:p w14:paraId="45D2D401"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41C0720" w14:textId="77777777" w:rsidR="00C7221D" w:rsidRPr="00B0563B" w:rsidRDefault="00802627">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ANEXOS 09699-2025.pdf</w:t>
      </w:r>
      <w:r w:rsidRPr="00B0563B">
        <w:rPr>
          <w:rFonts w:ascii="Palatino Linotype" w:eastAsia="Palatino Linotype" w:hAnsi="Palatino Linotype" w:cs="Palatino Linotype"/>
          <w:sz w:val="22"/>
          <w:szCs w:val="22"/>
        </w:rPr>
        <w:t xml:space="preserve">: Oficios emitidos por el Tesorero Municipal, Directora General de Administración y la Directora de Cultura y Turismo en los que ratificaron la respuesta inicial. </w:t>
      </w:r>
    </w:p>
    <w:p w14:paraId="024A2B86" w14:textId="77777777" w:rsidR="00C7221D" w:rsidRPr="00B0563B" w:rsidRDefault="00802627">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Ratificación 09699.pdf</w:t>
      </w:r>
      <w:r w:rsidRPr="00B0563B">
        <w:rPr>
          <w:rFonts w:ascii="Palatino Linotype" w:eastAsia="Palatino Linotype" w:hAnsi="Palatino Linotype" w:cs="Palatino Linotype"/>
          <w:sz w:val="22"/>
          <w:szCs w:val="22"/>
        </w:rPr>
        <w:t xml:space="preserve">: Oficio de fecha dos de septiembre de dos mil veinticinco, suscrito por el Titular de la Unidad de Transparencia, en el que ratifica la respuesta emitida por la Dirección General de Educación, Cultura y Turismo, Tesorería Municipal y Dirección General de Administración. </w:t>
      </w:r>
    </w:p>
    <w:p w14:paraId="72745F6F"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757E2886"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Documentos que fueron hechos del conocimiento 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en fecha </w:t>
      </w:r>
      <w:r w:rsidRPr="00B0563B">
        <w:rPr>
          <w:rFonts w:ascii="Palatino Linotype" w:eastAsia="Palatino Linotype" w:hAnsi="Palatino Linotype" w:cs="Palatino Linotype"/>
          <w:b/>
          <w:bCs/>
          <w:sz w:val="22"/>
          <w:szCs w:val="22"/>
        </w:rPr>
        <w:t>veintiocho de enero de dos mil veintiséis</w:t>
      </w:r>
      <w:r w:rsidRPr="00B0563B">
        <w:rPr>
          <w:rFonts w:ascii="Palatino Linotype" w:eastAsia="Palatino Linotype" w:hAnsi="Palatino Linotype" w:cs="Palatino Linotype"/>
          <w:sz w:val="22"/>
          <w:szCs w:val="22"/>
        </w:rPr>
        <w:t xml:space="preserve">; sin embargo, fue omisa en emitir manifestaciones, alegatos o cualquier argumento que a su derecho conviniera, por lo que se tiene por </w:t>
      </w:r>
      <w:proofErr w:type="spellStart"/>
      <w:r w:rsidRPr="00B0563B">
        <w:rPr>
          <w:rFonts w:ascii="Palatino Linotype" w:eastAsia="Palatino Linotype" w:hAnsi="Palatino Linotype" w:cs="Palatino Linotype"/>
          <w:sz w:val="22"/>
          <w:szCs w:val="22"/>
        </w:rPr>
        <w:t>precluido</w:t>
      </w:r>
      <w:proofErr w:type="spellEnd"/>
      <w:r w:rsidRPr="00B0563B">
        <w:rPr>
          <w:rFonts w:ascii="Palatino Linotype" w:eastAsia="Palatino Linotype" w:hAnsi="Palatino Linotype" w:cs="Palatino Linotype"/>
          <w:sz w:val="22"/>
          <w:szCs w:val="22"/>
        </w:rPr>
        <w:t xml:space="preserve"> su derecho para tal efecto.</w:t>
      </w:r>
    </w:p>
    <w:p w14:paraId="03E58F8C"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18C0B2DF"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7. Ampliación del término para resolver</w:t>
      </w:r>
      <w:r w:rsidRPr="00B0563B">
        <w:rPr>
          <w:rFonts w:ascii="Palatino Linotype" w:eastAsia="Palatino Linotype" w:hAnsi="Palatino Linotype" w:cs="Palatino Linotype"/>
          <w:sz w:val="22"/>
          <w:szCs w:val="22"/>
        </w:rPr>
        <w:t xml:space="preserve">. El </w:t>
      </w:r>
      <w:r w:rsidRPr="00B0563B">
        <w:rPr>
          <w:rFonts w:ascii="Palatino Linotype" w:eastAsia="Palatino Linotype" w:hAnsi="Palatino Linotype" w:cs="Palatino Linotype"/>
          <w:b/>
          <w:bCs/>
          <w:sz w:val="22"/>
          <w:szCs w:val="22"/>
        </w:rPr>
        <w:t>veintiocho de enero de dos mil veintiséis</w:t>
      </w:r>
      <w:r w:rsidRPr="00B0563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39AD3A7" w14:textId="77777777" w:rsidR="00C7221D" w:rsidRPr="00B0563B" w:rsidRDefault="00C7221D">
      <w:pPr>
        <w:spacing w:line="360" w:lineRule="auto"/>
        <w:jc w:val="both"/>
        <w:rPr>
          <w:rFonts w:ascii="Palatino Linotype" w:eastAsia="Palatino Linotype" w:hAnsi="Palatino Linotype" w:cs="Palatino Linotype"/>
          <w:b/>
          <w:bCs/>
          <w:sz w:val="22"/>
          <w:szCs w:val="22"/>
        </w:rPr>
      </w:pPr>
    </w:p>
    <w:p w14:paraId="55B681D0"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59EE1BA"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B467C41"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ello, es menester precisar </w:t>
      </w:r>
      <w:proofErr w:type="gramStart"/>
      <w:r w:rsidRPr="00B0563B">
        <w:rPr>
          <w:rFonts w:ascii="Palatino Linotype" w:eastAsia="Palatino Linotype" w:hAnsi="Palatino Linotype" w:cs="Palatino Linotype"/>
          <w:sz w:val="22"/>
          <w:szCs w:val="22"/>
        </w:rPr>
        <w:t>que</w:t>
      </w:r>
      <w:proofErr w:type="gramEnd"/>
      <w:r w:rsidRPr="00B0563B">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6A19A1BA"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745E4DC9"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DB0377"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D20D85A"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18D2A9"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3564854"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 atentos a los siguientes criterios:</w:t>
      </w:r>
    </w:p>
    <w:p w14:paraId="30219B6E" w14:textId="77777777" w:rsidR="00C7221D" w:rsidRPr="00B0563B" w:rsidRDefault="00C7221D">
      <w:pPr>
        <w:spacing w:line="360" w:lineRule="auto"/>
        <w:jc w:val="both"/>
        <w:rPr>
          <w:rFonts w:ascii="Palatino Linotype" w:eastAsia="Palatino Linotype" w:hAnsi="Palatino Linotype" w:cs="Palatino Linotype"/>
          <w:strike/>
          <w:sz w:val="22"/>
          <w:szCs w:val="22"/>
        </w:rPr>
      </w:pPr>
    </w:p>
    <w:p w14:paraId="14549511" w14:textId="77777777" w:rsidR="00C7221D" w:rsidRPr="00B0563B" w:rsidRDefault="00802627">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Complejidad del Asunto:</w:t>
      </w:r>
      <w:r w:rsidRPr="00B0563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BE7794E" w14:textId="77777777" w:rsidR="00C7221D" w:rsidRPr="00B0563B" w:rsidRDefault="00802627">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Actividad Procesal del interesado</w:t>
      </w:r>
      <w:r w:rsidRPr="00B0563B">
        <w:rPr>
          <w:rFonts w:ascii="Palatino Linotype" w:eastAsia="Palatino Linotype" w:hAnsi="Palatino Linotype" w:cs="Palatino Linotype"/>
          <w:sz w:val="22"/>
          <w:szCs w:val="22"/>
        </w:rPr>
        <w:t>. Acciones u omisiones del interesado.</w:t>
      </w:r>
    </w:p>
    <w:p w14:paraId="4A256DCB" w14:textId="77777777" w:rsidR="00C7221D" w:rsidRPr="00B0563B" w:rsidRDefault="00802627">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Conducta de la Autoridad:</w:t>
      </w:r>
      <w:r w:rsidRPr="00B0563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F1D107" w14:textId="77777777" w:rsidR="00C7221D" w:rsidRPr="00B0563B" w:rsidRDefault="00802627">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La afectación generada en la situación jurídica de la persona involucrada en el proceso:</w:t>
      </w:r>
      <w:r w:rsidRPr="00B0563B">
        <w:rPr>
          <w:rFonts w:ascii="Palatino Linotype" w:eastAsia="Palatino Linotype" w:hAnsi="Palatino Linotype" w:cs="Palatino Linotype"/>
          <w:sz w:val="22"/>
          <w:szCs w:val="22"/>
        </w:rPr>
        <w:t xml:space="preserve"> Violación a sus derechos humanos.</w:t>
      </w:r>
    </w:p>
    <w:p w14:paraId="0FECA993"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05323071"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790FD4"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C611B5F"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0563B">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B0563B">
        <w:rPr>
          <w:rFonts w:ascii="Palatino Linotype" w:eastAsia="Palatino Linotype" w:hAnsi="Palatino Linotype" w:cs="Palatino Linotype"/>
          <w:sz w:val="22"/>
          <w:szCs w:val="22"/>
        </w:rPr>
        <w:t>, visible en la Gaceta del Seminario Judicial de la Federación con el registro digital 205635.</w:t>
      </w:r>
    </w:p>
    <w:p w14:paraId="4463DFF5" w14:textId="77777777" w:rsidR="00C7221D" w:rsidRPr="00B0563B" w:rsidRDefault="00C7221D">
      <w:pPr>
        <w:spacing w:line="360" w:lineRule="auto"/>
        <w:jc w:val="both"/>
        <w:rPr>
          <w:rFonts w:ascii="Palatino Linotype" w:eastAsia="Palatino Linotype" w:hAnsi="Palatino Linotype" w:cs="Palatino Linotype"/>
          <w:b/>
          <w:bCs/>
          <w:sz w:val="22"/>
          <w:szCs w:val="22"/>
        </w:rPr>
      </w:pPr>
    </w:p>
    <w:p w14:paraId="469388AE"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EF4A6A"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0B0677C3"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22D309C" w14:textId="77777777" w:rsidR="00C7221D" w:rsidRPr="00B0563B" w:rsidRDefault="00C7221D">
      <w:pPr>
        <w:spacing w:line="360" w:lineRule="auto"/>
        <w:ind w:left="851" w:right="900"/>
        <w:jc w:val="both"/>
        <w:rPr>
          <w:rFonts w:ascii="Palatino Linotype" w:eastAsia="Palatino Linotype" w:hAnsi="Palatino Linotype" w:cs="Palatino Linotype"/>
          <w:sz w:val="22"/>
          <w:szCs w:val="22"/>
        </w:rPr>
      </w:pPr>
    </w:p>
    <w:p w14:paraId="6AAE900F" w14:textId="77777777" w:rsidR="00C7221D" w:rsidRPr="00B0563B" w:rsidRDefault="00802627">
      <w:pP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 </w:t>
      </w:r>
      <w:r w:rsidRPr="00B0563B">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sz w:val="22"/>
          <w:szCs w:val="22"/>
        </w:rPr>
        <w:t xml:space="preserve"> consultable en el Seminario Judicial de la Federación y su gaceta, con el registro digital 2002351.</w:t>
      </w:r>
    </w:p>
    <w:p w14:paraId="45D982EA" w14:textId="77777777" w:rsidR="00C7221D" w:rsidRPr="00B0563B" w:rsidRDefault="00C7221D">
      <w:pPr>
        <w:spacing w:line="276" w:lineRule="auto"/>
        <w:ind w:left="851" w:right="616"/>
        <w:jc w:val="both"/>
        <w:rPr>
          <w:rFonts w:ascii="Palatino Linotype" w:eastAsia="Palatino Linotype" w:hAnsi="Palatino Linotype" w:cs="Palatino Linotype"/>
          <w:sz w:val="22"/>
          <w:szCs w:val="22"/>
        </w:rPr>
      </w:pPr>
    </w:p>
    <w:p w14:paraId="44802153" w14:textId="77777777" w:rsidR="00C7221D" w:rsidRPr="00B0563B" w:rsidRDefault="00802627">
      <w:pP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B0563B">
        <w:rPr>
          <w:rFonts w:ascii="Palatino Linotype" w:eastAsia="Palatino Linotype" w:hAnsi="Palatino Linotype" w:cs="Palatino Linotype"/>
          <w:sz w:val="22"/>
          <w:szCs w:val="22"/>
        </w:rPr>
        <w:t>, visible en el Seminario Judicial de la Federación y su gaceta, con el registro digital 2002350.</w:t>
      </w:r>
    </w:p>
    <w:p w14:paraId="028B5096" w14:textId="77777777" w:rsidR="00C7221D" w:rsidRPr="00B0563B" w:rsidRDefault="00C7221D">
      <w:pPr>
        <w:spacing w:line="360" w:lineRule="auto"/>
        <w:ind w:left="851" w:right="900"/>
        <w:jc w:val="both"/>
        <w:rPr>
          <w:rFonts w:ascii="Palatino Linotype" w:eastAsia="Palatino Linotype" w:hAnsi="Palatino Linotype" w:cs="Palatino Linotype"/>
          <w:sz w:val="22"/>
          <w:szCs w:val="22"/>
        </w:rPr>
      </w:pPr>
    </w:p>
    <w:p w14:paraId="359F3F64"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94FC250" w14:textId="77777777" w:rsidR="00C7221D" w:rsidRPr="00B0563B" w:rsidRDefault="00C7221D">
      <w:pPr>
        <w:spacing w:line="360" w:lineRule="auto"/>
        <w:jc w:val="both"/>
        <w:rPr>
          <w:rFonts w:ascii="Palatino Linotype" w:eastAsia="Palatino Linotype" w:hAnsi="Palatino Linotype" w:cs="Palatino Linotype"/>
          <w:b/>
          <w:bCs/>
          <w:sz w:val="22"/>
          <w:szCs w:val="22"/>
        </w:rPr>
      </w:pPr>
    </w:p>
    <w:p w14:paraId="43DE3F85"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8. Cierre de instrucción. </w:t>
      </w:r>
      <w:r w:rsidRPr="00B0563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B0563B">
        <w:rPr>
          <w:rFonts w:ascii="Palatino Linotype" w:eastAsia="Palatino Linotype" w:hAnsi="Palatino Linotype" w:cs="Palatino Linotype"/>
          <w:b/>
          <w:bCs/>
          <w:sz w:val="22"/>
          <w:szCs w:val="22"/>
        </w:rPr>
        <w:t xml:space="preserve">cuatro de marzo de dos mil veintiséis, </w:t>
      </w:r>
      <w:r w:rsidRPr="00B0563B">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40379D98" w14:textId="77777777" w:rsidR="00C7221D" w:rsidRPr="00B0563B" w:rsidRDefault="00C722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0A5A69D" w14:textId="77777777" w:rsidR="00C7221D" w:rsidRPr="00B0563B" w:rsidRDefault="00802627">
      <w:pPr>
        <w:spacing w:line="360" w:lineRule="auto"/>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DF59912" w14:textId="77777777" w:rsidR="00C7221D" w:rsidRPr="00B0563B" w:rsidRDefault="00802627">
      <w:pPr>
        <w:widowControl w:val="0"/>
        <w:spacing w:line="360" w:lineRule="auto"/>
        <w:jc w:val="center"/>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II. C O N S I D E R A N D O S</w:t>
      </w:r>
    </w:p>
    <w:p w14:paraId="31FE1EAF" w14:textId="77777777" w:rsidR="00C7221D" w:rsidRPr="00B0563B" w:rsidRDefault="00C7221D">
      <w:pPr>
        <w:widowControl w:val="0"/>
        <w:spacing w:line="360" w:lineRule="auto"/>
        <w:jc w:val="center"/>
        <w:rPr>
          <w:rFonts w:ascii="Palatino Linotype" w:eastAsia="Palatino Linotype" w:hAnsi="Palatino Linotype" w:cs="Palatino Linotype"/>
          <w:b/>
          <w:bCs/>
          <w:sz w:val="22"/>
          <w:szCs w:val="22"/>
        </w:rPr>
      </w:pPr>
    </w:p>
    <w:p w14:paraId="7CEBDC90"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Primero. Competencia.</w:t>
      </w:r>
      <w:r w:rsidRPr="00B0563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F797AF7"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726F6344" w14:textId="77777777" w:rsidR="00C7221D" w:rsidRPr="00B0563B" w:rsidRDefault="00802627">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B0563B">
        <w:rPr>
          <w:rFonts w:ascii="Palatino Linotype" w:eastAsia="Palatino Linotype" w:hAnsi="Palatino Linotype" w:cs="Palatino Linotype"/>
          <w:b/>
          <w:bCs/>
          <w:sz w:val="22"/>
          <w:szCs w:val="22"/>
        </w:rPr>
        <w:t xml:space="preserve">Segundo. Oportunidad y </w:t>
      </w:r>
      <w:proofErr w:type="spellStart"/>
      <w:r w:rsidRPr="00B0563B">
        <w:rPr>
          <w:rFonts w:ascii="Palatino Linotype" w:eastAsia="Palatino Linotype" w:hAnsi="Palatino Linotype" w:cs="Palatino Linotype"/>
          <w:b/>
          <w:bCs/>
          <w:sz w:val="22"/>
          <w:szCs w:val="22"/>
        </w:rPr>
        <w:t>Procedibilidad</w:t>
      </w:r>
      <w:proofErr w:type="spellEnd"/>
      <w:r w:rsidRPr="00B0563B">
        <w:rPr>
          <w:rFonts w:ascii="Palatino Linotype" w:eastAsia="Palatino Linotype" w:hAnsi="Palatino Linotype" w:cs="Palatino Linotype"/>
          <w:b/>
          <w:bCs/>
          <w:sz w:val="22"/>
          <w:szCs w:val="22"/>
        </w:rPr>
        <w:t xml:space="preserve"> del Recurso de Revisión</w:t>
      </w:r>
      <w:r w:rsidRPr="00B0563B">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B0563B">
        <w:rPr>
          <w:rFonts w:ascii="Palatino Linotype" w:eastAsia="Palatino Linotype" w:hAnsi="Palatino Linotype" w:cs="Palatino Linotype"/>
          <w:sz w:val="22"/>
          <w:szCs w:val="22"/>
        </w:rPr>
        <w:t>procedibilidad</w:t>
      </w:r>
      <w:proofErr w:type="spellEnd"/>
      <w:r w:rsidRPr="00B0563B">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36402C8D"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6F9F902"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0563B">
        <w:rPr>
          <w:rFonts w:ascii="Palatino Linotype" w:eastAsia="Palatino Linotype" w:hAnsi="Palatino Linotype" w:cs="Palatino Linotype"/>
          <w:b/>
          <w:bCs/>
          <w:sz w:val="22"/>
          <w:szCs w:val="22"/>
        </w:rPr>
        <w:t xml:space="preserve">Sujeto Obligado </w:t>
      </w:r>
      <w:r w:rsidRPr="00B0563B">
        <w:rPr>
          <w:rFonts w:ascii="Palatino Linotype" w:eastAsia="Palatino Linotype" w:hAnsi="Palatino Linotype" w:cs="Palatino Linotype"/>
          <w:sz w:val="22"/>
          <w:szCs w:val="22"/>
        </w:rPr>
        <w:t xml:space="preserve">remitió la respuesta a la solicitud de información el día </w:t>
      </w:r>
      <w:r w:rsidRPr="00B0563B">
        <w:rPr>
          <w:rFonts w:ascii="Palatino Linotype" w:eastAsia="Palatino Linotype" w:hAnsi="Palatino Linotype" w:cs="Palatino Linotype"/>
          <w:b/>
          <w:bCs/>
          <w:sz w:val="22"/>
          <w:szCs w:val="22"/>
        </w:rPr>
        <w:t xml:space="preserve">catorce de agosto de dos mil veinticinco, </w:t>
      </w:r>
      <w:r w:rsidRPr="00B0563B">
        <w:rPr>
          <w:rFonts w:ascii="Palatino Linotype" w:eastAsia="Palatino Linotype" w:hAnsi="Palatino Linotype" w:cs="Palatino Linotype"/>
          <w:sz w:val="22"/>
          <w:szCs w:val="22"/>
        </w:rPr>
        <w:t xml:space="preserve">mientras que el recurso de revisión interpuesto por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se tuvo por presentado el día </w:t>
      </w:r>
      <w:r w:rsidRPr="00B0563B">
        <w:rPr>
          <w:rFonts w:ascii="Palatino Linotype" w:eastAsia="Palatino Linotype" w:hAnsi="Palatino Linotype" w:cs="Palatino Linotype"/>
          <w:b/>
          <w:bCs/>
          <w:sz w:val="22"/>
          <w:szCs w:val="22"/>
        </w:rPr>
        <w:t>diecinueve de agosto de dos mil veinticinco</w:t>
      </w:r>
      <w:r w:rsidRPr="00B0563B">
        <w:rPr>
          <w:rFonts w:ascii="Palatino Linotype" w:eastAsia="Palatino Linotype" w:hAnsi="Palatino Linotype" w:cs="Palatino Linotype"/>
          <w:sz w:val="22"/>
          <w:szCs w:val="22"/>
        </w:rPr>
        <w:t>, esto es, al tercer día en que tuvo conocimiento de la respuesta impugnada.</w:t>
      </w:r>
    </w:p>
    <w:p w14:paraId="4ED2AF1F" w14:textId="77777777" w:rsidR="00C7221D" w:rsidRPr="00B0563B" w:rsidRDefault="00C7221D">
      <w:pPr>
        <w:spacing w:line="360" w:lineRule="auto"/>
        <w:jc w:val="both"/>
        <w:rPr>
          <w:rFonts w:ascii="Palatino Linotype" w:eastAsia="Palatino Linotype" w:hAnsi="Palatino Linotype" w:cs="Palatino Linotype"/>
          <w:sz w:val="22"/>
          <w:szCs w:val="22"/>
        </w:rPr>
      </w:pPr>
      <w:bookmarkStart w:id="5" w:name="_heading=h.3znysh7" w:colFirst="0" w:colLast="0"/>
      <w:bookmarkEnd w:id="5"/>
    </w:p>
    <w:p w14:paraId="03951999"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0A03B430"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B24525B"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4B783A62" w14:textId="77777777" w:rsidR="00C7221D" w:rsidRPr="00B0563B" w:rsidRDefault="00C7221D">
      <w:pPr>
        <w:spacing w:line="276" w:lineRule="auto"/>
        <w:ind w:left="851" w:right="616"/>
        <w:jc w:val="both"/>
        <w:rPr>
          <w:rFonts w:ascii="Palatino Linotype" w:eastAsia="Palatino Linotype" w:hAnsi="Palatino Linotype" w:cs="Palatino Linotype"/>
          <w:i/>
          <w:iCs/>
          <w:sz w:val="22"/>
          <w:szCs w:val="22"/>
        </w:rPr>
      </w:pPr>
    </w:p>
    <w:p w14:paraId="5E64ACD3"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179.</w:t>
      </w:r>
      <w:r w:rsidRPr="00B0563B">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5746F1B8" w14:textId="77777777" w:rsidR="00C7221D" w:rsidRPr="00B0563B" w:rsidRDefault="00C7221D">
      <w:pPr>
        <w:spacing w:line="276" w:lineRule="auto"/>
        <w:ind w:left="851" w:right="616"/>
        <w:jc w:val="both"/>
        <w:rPr>
          <w:rFonts w:ascii="Palatino Linotype" w:eastAsia="Palatino Linotype" w:hAnsi="Palatino Linotype" w:cs="Palatino Linotype"/>
          <w:i/>
          <w:iCs/>
          <w:sz w:val="22"/>
          <w:szCs w:val="22"/>
        </w:rPr>
      </w:pPr>
    </w:p>
    <w:p w14:paraId="57B3FC3B"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 La negativa a la información solicitada</w:t>
      </w:r>
      <w:r w:rsidRPr="00B0563B">
        <w:rPr>
          <w:rFonts w:ascii="Palatino Linotype" w:eastAsia="Palatino Linotype" w:hAnsi="Palatino Linotype" w:cs="Palatino Linotype"/>
          <w:i/>
          <w:iCs/>
          <w:sz w:val="22"/>
          <w:szCs w:val="22"/>
        </w:rPr>
        <w:t>; …”</w:t>
      </w:r>
    </w:p>
    <w:p w14:paraId="2EE03BDA" w14:textId="77777777" w:rsidR="00C7221D" w:rsidRPr="00B0563B" w:rsidRDefault="00C7221D">
      <w:pPr>
        <w:spacing w:line="360" w:lineRule="auto"/>
        <w:jc w:val="both"/>
        <w:rPr>
          <w:rFonts w:ascii="Palatino Linotype" w:eastAsia="Palatino Linotype" w:hAnsi="Palatino Linotype" w:cs="Palatino Linotype"/>
          <w:b/>
          <w:bCs/>
          <w:sz w:val="22"/>
          <w:szCs w:val="22"/>
        </w:rPr>
      </w:pPr>
    </w:p>
    <w:p w14:paraId="6B64DA8E"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Tercero. Materia de la revisión. </w:t>
      </w:r>
      <w:r w:rsidRPr="00B0563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0563B">
        <w:rPr>
          <w:rFonts w:ascii="Palatino Linotype" w:eastAsia="Palatino Linotype" w:hAnsi="Palatino Linotype" w:cs="Palatino Linotype"/>
          <w:b/>
          <w:bCs/>
          <w:sz w:val="22"/>
          <w:szCs w:val="22"/>
        </w:rPr>
        <w:t xml:space="preserve">verificar si la información proporcionada en respuesta por el Sujeto Obligado es adecuada y suficiente para satisfacer el derecho de acceso a la información pública </w:t>
      </w:r>
      <w:r w:rsidRPr="00B0563B">
        <w:rPr>
          <w:rFonts w:ascii="Palatino Linotype" w:eastAsia="Palatino Linotype" w:hAnsi="Palatino Linotype" w:cs="Palatino Linotype"/>
          <w:sz w:val="22"/>
          <w:szCs w:val="22"/>
        </w:rPr>
        <w:t xml:space="preserve">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o en su defecto, en caso de ser procedente, ordenar la entrega de información oportuna.</w:t>
      </w:r>
    </w:p>
    <w:p w14:paraId="17217AEA" w14:textId="77777777" w:rsidR="00C7221D" w:rsidRPr="00B0563B" w:rsidRDefault="00C7221D">
      <w:pPr>
        <w:spacing w:line="360" w:lineRule="auto"/>
        <w:jc w:val="both"/>
        <w:rPr>
          <w:rFonts w:ascii="Palatino Linotype" w:eastAsia="Palatino Linotype" w:hAnsi="Palatino Linotype" w:cs="Palatino Linotype"/>
          <w:b/>
          <w:bCs/>
          <w:sz w:val="22"/>
          <w:szCs w:val="22"/>
        </w:rPr>
      </w:pPr>
    </w:p>
    <w:p w14:paraId="7A752A43" w14:textId="77777777" w:rsidR="00C7221D" w:rsidRPr="00B0563B" w:rsidRDefault="00802627">
      <w:pPr>
        <w:spacing w:line="360" w:lineRule="auto"/>
        <w:jc w:val="both"/>
        <w:rPr>
          <w:rFonts w:ascii="Palatino Linotype" w:eastAsia="Palatino Linotype" w:hAnsi="Palatino Linotype" w:cs="Palatino Linotype"/>
          <w:sz w:val="22"/>
          <w:szCs w:val="22"/>
        </w:rPr>
      </w:pPr>
      <w:bookmarkStart w:id="6" w:name="_heading=h.2et92p0" w:colFirst="0" w:colLast="0"/>
      <w:bookmarkEnd w:id="6"/>
      <w:r w:rsidRPr="00B0563B">
        <w:rPr>
          <w:rFonts w:ascii="Palatino Linotype" w:eastAsia="Palatino Linotype" w:hAnsi="Palatino Linotype" w:cs="Palatino Linotype"/>
          <w:b/>
          <w:bCs/>
          <w:sz w:val="22"/>
          <w:szCs w:val="22"/>
        </w:rPr>
        <w:t xml:space="preserve">Cuarto. Estudio del asunto. </w:t>
      </w:r>
      <w:r w:rsidRPr="00B0563B">
        <w:rPr>
          <w:rFonts w:ascii="Palatino Linotype" w:eastAsia="Palatino Linotype" w:hAnsi="Palatino Linotype" w:cs="Palatino Linotype"/>
          <w:sz w:val="22"/>
          <w:szCs w:val="22"/>
        </w:rPr>
        <w:t xml:space="preserve">En principio, es conveniente analizar si la respuesta del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BE34293"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87DF384"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4</w:t>
      </w:r>
      <w:r w:rsidRPr="00B0563B">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F4015E"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B0563B">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E55B01"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B0563B">
        <w:rPr>
          <w:rFonts w:ascii="Palatino Linotype" w:eastAsia="Palatino Linotype" w:hAnsi="Palatino Linotype" w:cs="Palatino Linotype"/>
          <w:i/>
          <w:iCs/>
          <w:sz w:val="22"/>
          <w:szCs w:val="22"/>
        </w:rPr>
        <w:t>.”</w:t>
      </w:r>
    </w:p>
    <w:p w14:paraId="1AE0DF8D"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3FECE1D0"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D9FCE3D"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76B7E6A7"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12.-</w:t>
      </w:r>
      <w:r w:rsidRPr="00B0563B">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8189579" w14:textId="77777777" w:rsidR="00C7221D" w:rsidRPr="00B0563B" w:rsidRDefault="00C7221D">
      <w:pPr>
        <w:spacing w:line="276" w:lineRule="auto"/>
        <w:ind w:left="851" w:right="616"/>
        <w:jc w:val="both"/>
        <w:rPr>
          <w:rFonts w:ascii="Palatino Linotype" w:eastAsia="Palatino Linotype" w:hAnsi="Palatino Linotype" w:cs="Palatino Linotype"/>
          <w:i/>
          <w:iCs/>
          <w:sz w:val="22"/>
          <w:szCs w:val="22"/>
        </w:rPr>
      </w:pPr>
    </w:p>
    <w:p w14:paraId="322AFFBA"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6A141F6"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636C4777" w14:textId="77777777" w:rsidR="00C7221D" w:rsidRPr="00B0563B" w:rsidRDefault="00802627">
      <w:pPr>
        <w:spacing w:line="360" w:lineRule="auto"/>
        <w:ind w:right="-93"/>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BFE9CE9"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01D67A14" w14:textId="77777777" w:rsidR="00C7221D" w:rsidRPr="00B0563B" w:rsidRDefault="00802627">
      <w:pPr>
        <w:spacing w:line="360" w:lineRule="auto"/>
        <w:ind w:right="-93"/>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0563B">
        <w:rPr>
          <w:rFonts w:ascii="Palatino Linotype" w:eastAsia="Palatino Linotype" w:hAnsi="Palatino Linotype" w:cs="Palatino Linotype"/>
          <w:b/>
          <w:bCs/>
          <w:sz w:val="22"/>
          <w:szCs w:val="22"/>
        </w:rPr>
        <w:t xml:space="preserve"> </w:t>
      </w:r>
    </w:p>
    <w:p w14:paraId="1C16062B"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B0563B">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3F75C3E"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139A7EFB"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062F76"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6D579842" w14:textId="77777777" w:rsidR="00C7221D" w:rsidRPr="00B0563B" w:rsidRDefault="00802627">
      <w:pP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4790660" w14:textId="77777777" w:rsidR="00C7221D" w:rsidRPr="00B0563B" w:rsidRDefault="00C7221D">
      <w:pPr>
        <w:spacing w:line="360" w:lineRule="auto"/>
        <w:ind w:right="49"/>
        <w:jc w:val="both"/>
        <w:rPr>
          <w:rFonts w:ascii="Palatino Linotype" w:eastAsia="Palatino Linotype" w:hAnsi="Palatino Linotype" w:cs="Palatino Linotype"/>
          <w:sz w:val="22"/>
          <w:szCs w:val="22"/>
        </w:rPr>
      </w:pPr>
    </w:p>
    <w:p w14:paraId="41F66804"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0144CF" w14:textId="77777777" w:rsidR="00C7221D" w:rsidRPr="00B0563B" w:rsidRDefault="00C7221D">
      <w:pPr>
        <w:spacing w:line="360" w:lineRule="auto"/>
        <w:ind w:left="567" w:right="616"/>
        <w:jc w:val="both"/>
        <w:rPr>
          <w:rFonts w:ascii="Palatino Linotype" w:eastAsia="Palatino Linotype" w:hAnsi="Palatino Linotype" w:cs="Palatino Linotype"/>
          <w:i/>
          <w:iCs/>
          <w:sz w:val="22"/>
          <w:szCs w:val="22"/>
        </w:rPr>
      </w:pPr>
    </w:p>
    <w:p w14:paraId="3CB98D7E"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 xml:space="preserve">Artículo 3. </w:t>
      </w:r>
      <w:r w:rsidRPr="00B0563B">
        <w:rPr>
          <w:rFonts w:ascii="Palatino Linotype" w:eastAsia="Palatino Linotype" w:hAnsi="Palatino Linotype" w:cs="Palatino Linotype"/>
          <w:i/>
          <w:iCs/>
          <w:sz w:val="22"/>
          <w:szCs w:val="22"/>
        </w:rPr>
        <w:t>Para los efectos de la presente Ley se entenderá por:</w:t>
      </w:r>
    </w:p>
    <w:p w14:paraId="357601E0"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0B32C5D2"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XI. Documento:</w:t>
      </w:r>
      <w:r w:rsidRPr="00B0563B">
        <w:rPr>
          <w:rFonts w:ascii="Palatino Linotype" w:eastAsia="Palatino Linotype" w:hAnsi="Palatino Linotype" w:cs="Palatino Linotype"/>
          <w:i/>
          <w:iCs/>
          <w:sz w:val="22"/>
          <w:szCs w:val="22"/>
        </w:rPr>
        <w:t xml:space="preserve"> Los expedientes, reportes, estudios, actas</w:t>
      </w:r>
      <w:r w:rsidRPr="00B0563B">
        <w:rPr>
          <w:rFonts w:ascii="Palatino Linotype" w:eastAsia="Palatino Linotype" w:hAnsi="Palatino Linotype" w:cs="Palatino Linotype"/>
          <w:b/>
          <w:bCs/>
          <w:i/>
          <w:iCs/>
          <w:sz w:val="22"/>
          <w:szCs w:val="22"/>
        </w:rPr>
        <w:t>,</w:t>
      </w:r>
      <w:r w:rsidRPr="00B0563B">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5DBBBCB" w14:textId="77777777" w:rsidR="00C7221D" w:rsidRPr="00B0563B" w:rsidRDefault="00C7221D">
      <w:pPr>
        <w:spacing w:line="360" w:lineRule="auto"/>
        <w:ind w:left="851" w:right="899"/>
        <w:jc w:val="both"/>
        <w:rPr>
          <w:rFonts w:ascii="Palatino Linotype" w:eastAsia="Palatino Linotype" w:hAnsi="Palatino Linotype" w:cs="Palatino Linotype"/>
          <w:sz w:val="22"/>
          <w:szCs w:val="22"/>
        </w:rPr>
      </w:pPr>
    </w:p>
    <w:p w14:paraId="49C01E8E"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61162F"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99CF8CB"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sz w:val="22"/>
          <w:szCs w:val="22"/>
        </w:rPr>
        <w:t>“</w:t>
      </w:r>
      <w:r w:rsidRPr="00B0563B">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B0563B">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0156EC"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En </w:t>
      </w:r>
      <w:proofErr w:type="gramStart"/>
      <w:r w:rsidRPr="00B0563B">
        <w:rPr>
          <w:rFonts w:ascii="Palatino Linotype" w:eastAsia="Palatino Linotype" w:hAnsi="Palatino Linotype" w:cs="Palatino Linotype"/>
          <w:i/>
          <w:iCs/>
          <w:sz w:val="22"/>
          <w:szCs w:val="22"/>
        </w:rPr>
        <w:t>consecuencia</w:t>
      </w:r>
      <w:proofErr w:type="gramEnd"/>
      <w:r w:rsidRPr="00B0563B">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7C7040AC"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B0563B">
        <w:rPr>
          <w:rFonts w:ascii="Palatino Linotype" w:eastAsia="Palatino Linotype" w:hAnsi="Palatino Linotype" w:cs="Palatino Linotype"/>
          <w:i/>
          <w:iCs/>
          <w:sz w:val="22"/>
          <w:szCs w:val="22"/>
        </w:rPr>
        <w:t>que</w:t>
      </w:r>
      <w:proofErr w:type="gramEnd"/>
      <w:r w:rsidRPr="00B0563B">
        <w:rPr>
          <w:rFonts w:ascii="Palatino Linotype" w:eastAsia="Palatino Linotype" w:hAnsi="Palatino Linotype" w:cs="Palatino Linotype"/>
          <w:i/>
          <w:iCs/>
          <w:sz w:val="22"/>
          <w:szCs w:val="22"/>
        </w:rPr>
        <w:t xml:space="preserve"> en ejercicio de las atribuciones conferidas, sea generada por los Sujetos Obligados;</w:t>
      </w:r>
    </w:p>
    <w:p w14:paraId="796DF560"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B0563B">
        <w:rPr>
          <w:rFonts w:ascii="Palatino Linotype" w:eastAsia="Palatino Linotype" w:hAnsi="Palatino Linotype" w:cs="Palatino Linotype"/>
          <w:b/>
          <w:bCs/>
          <w:i/>
          <w:iCs/>
          <w:sz w:val="22"/>
          <w:szCs w:val="22"/>
        </w:rPr>
        <w:t>que</w:t>
      </w:r>
      <w:proofErr w:type="gramEnd"/>
      <w:r w:rsidRPr="00B0563B">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0A6B5D7D"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B0563B">
        <w:rPr>
          <w:rFonts w:ascii="Palatino Linotype" w:eastAsia="Palatino Linotype" w:hAnsi="Palatino Linotype" w:cs="Palatino Linotype"/>
          <w:b/>
          <w:bCs/>
          <w:i/>
          <w:iCs/>
          <w:sz w:val="22"/>
          <w:szCs w:val="22"/>
        </w:rPr>
        <w:t>que</w:t>
      </w:r>
      <w:proofErr w:type="gramEnd"/>
      <w:r w:rsidRPr="00B0563B">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14:paraId="53EE3064"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73C35E11" w14:textId="77777777" w:rsidR="00C7221D" w:rsidRPr="00B0563B" w:rsidRDefault="00802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Dicho lo anterior, se procede al análisis de los agravios hechos valer por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que actualizan la causal de procedencia prevista en la fracción I del artículo 179 de la Ley de Transparencia y Acceso a la Información del Estado de México y Municipios, relativa a la negativa de la información.</w:t>
      </w:r>
    </w:p>
    <w:p w14:paraId="28FCA80A"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FC756D4" w14:textId="77777777" w:rsidR="00C7221D" w:rsidRPr="00B0563B" w:rsidRDefault="00802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principio, resulta conveniente recordar que la pretensión del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es acceder a la información consistente en lo siguiente:</w:t>
      </w:r>
    </w:p>
    <w:p w14:paraId="1D5B02FF"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78EAD67" w14:textId="77777777" w:rsidR="00C7221D" w:rsidRPr="00B0563B" w:rsidRDefault="00802627">
      <w:pPr>
        <w:numPr>
          <w:ilvl w:val="0"/>
          <w:numId w:val="1"/>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De los eventos realizados por cultura, del primero de enero al cinco de agosto de dos mil veinticinco, lo siguiente: </w:t>
      </w:r>
    </w:p>
    <w:p w14:paraId="479F2E2C" w14:textId="77777777" w:rsidR="00C7221D" w:rsidRPr="00B0563B" w:rsidRDefault="00802627">
      <w:pPr>
        <w:numPr>
          <w:ilvl w:val="0"/>
          <w:numId w:val="5"/>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Costo de cada uno y facturas pagadas,</w:t>
      </w:r>
    </w:p>
    <w:p w14:paraId="40BB1B16" w14:textId="77777777" w:rsidR="00C7221D" w:rsidRPr="00B0563B" w:rsidRDefault="00802627">
      <w:pPr>
        <w:numPr>
          <w:ilvl w:val="0"/>
          <w:numId w:val="5"/>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Lista, padrón de asistentes y beneficiarios sus bases de datos de todos los eventos, </w:t>
      </w:r>
    </w:p>
    <w:p w14:paraId="650AF14F" w14:textId="77777777" w:rsidR="00C7221D" w:rsidRPr="00B0563B" w:rsidRDefault="00802627">
      <w:pPr>
        <w:numPr>
          <w:ilvl w:val="0"/>
          <w:numId w:val="5"/>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Fotografías de cada evento, </w:t>
      </w:r>
    </w:p>
    <w:p w14:paraId="6FD84720" w14:textId="77777777" w:rsidR="00C7221D" w:rsidRPr="00B0563B" w:rsidRDefault="00802627">
      <w:pPr>
        <w:numPr>
          <w:ilvl w:val="0"/>
          <w:numId w:val="5"/>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Contratos de los insumos adquiridos. </w:t>
      </w:r>
    </w:p>
    <w:p w14:paraId="572D9840" w14:textId="77777777" w:rsidR="00C7221D" w:rsidRPr="00B0563B" w:rsidRDefault="00C7221D">
      <w:p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p>
    <w:p w14:paraId="0B36B262" w14:textId="77777777" w:rsidR="00C7221D" w:rsidRPr="00B0563B" w:rsidRDefault="00802627">
      <w:pPr>
        <w:widowControl w:val="0"/>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respuesta,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a través de la Tesorería Municipal informó la entrega del Estado Analítico del Ejercicio del Presupuesto de Egresos Clasificación Administrativa del primero de enero al treinta y uno de marzo de 2025 y Estado Analítico del Ejercicio del Presupuesto de Egresos Clasificación Funcional (Finalidad y Función) de enero a marzo de 2025. No omite mencionar que la información se encuentra integrada de forma general y no de forma particular; así mismo dicha información se encuentra pública en la página oficial del Ayuntamiento de Toluca, proporcionando la liga para su consulta. </w:t>
      </w:r>
    </w:p>
    <w:p w14:paraId="4C6618FE" w14:textId="77777777" w:rsidR="00C7221D" w:rsidRPr="00B0563B" w:rsidRDefault="00C7221D">
      <w:pPr>
        <w:widowControl w:val="0"/>
        <w:spacing w:line="360" w:lineRule="auto"/>
        <w:jc w:val="both"/>
        <w:rPr>
          <w:rFonts w:ascii="Palatino Linotype" w:eastAsia="Palatino Linotype" w:hAnsi="Palatino Linotype" w:cs="Palatino Linotype"/>
          <w:sz w:val="22"/>
          <w:szCs w:val="22"/>
        </w:rPr>
      </w:pPr>
    </w:p>
    <w:p w14:paraId="03D99561" w14:textId="77777777" w:rsidR="00C7221D" w:rsidRPr="00B0563B" w:rsidRDefault="00802627">
      <w:pPr>
        <w:widowControl w:val="0"/>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Aunado a ello informó que los meses de abril, mayo, junio y julio del año que transcurre no se encuentran publicados ya que forman parte de la integración del segundo y tercer informe trimestral de 2025; dicha integración es normada por los Lineamientos del Órgano Superior de Fiscalización del Estado de México en materia de integración, presentación y envío de los informes trimestrales del ejercicio fiscal 2025, de las entidades fiscalizables del Estado de México; los cuales ya fueron emitidos por el OSFEM el día 01 de abril de 2025.</w:t>
      </w:r>
    </w:p>
    <w:p w14:paraId="4D445A31" w14:textId="77777777" w:rsidR="00C7221D" w:rsidRPr="00B0563B" w:rsidRDefault="00C7221D">
      <w:pPr>
        <w:widowControl w:val="0"/>
        <w:spacing w:line="360" w:lineRule="auto"/>
        <w:jc w:val="both"/>
        <w:rPr>
          <w:rFonts w:ascii="Palatino Linotype" w:eastAsia="Palatino Linotype" w:hAnsi="Palatino Linotype" w:cs="Palatino Linotype"/>
          <w:sz w:val="22"/>
          <w:szCs w:val="22"/>
        </w:rPr>
      </w:pPr>
    </w:p>
    <w:p w14:paraId="5244ED3B" w14:textId="77777777" w:rsidR="00C7221D" w:rsidRPr="00B0563B" w:rsidRDefault="00802627">
      <w:pPr>
        <w:widowControl w:val="0"/>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su parte la Directora de Cultura y Turismo hizo del conocimiento que la información relativa a los eventos realizados durante la administración 2025 puede ser consultada en los medios de comunicación oficial del Ayuntamiento de Toluca, así como en las plataformas digitales de la Dirección General de Educación, Cultura y Turismo, disponibles en los siguientes sitios web: </w:t>
      </w:r>
      <w:hyperlink r:id="rId11">
        <w:r w:rsidRPr="00B0563B">
          <w:rPr>
            <w:rFonts w:ascii="Palatino Linotype" w:eastAsia="Palatino Linotype" w:hAnsi="Palatino Linotype" w:cs="Palatino Linotype"/>
            <w:sz w:val="22"/>
            <w:szCs w:val="22"/>
            <w:u w:val="single"/>
          </w:rPr>
          <w:t>https://www.toluca.gob.mx</w:t>
        </w:r>
      </w:hyperlink>
      <w:r w:rsidRPr="00B0563B">
        <w:rPr>
          <w:rFonts w:ascii="Palatino Linotype" w:eastAsia="Palatino Linotype" w:hAnsi="Palatino Linotype" w:cs="Palatino Linotype"/>
          <w:sz w:val="22"/>
          <w:szCs w:val="22"/>
        </w:rPr>
        <w:t xml:space="preserve">, redes sociales oficiales y sitio institucional de la Dirección General. </w:t>
      </w:r>
    </w:p>
    <w:p w14:paraId="394DCBB2" w14:textId="77777777" w:rsidR="00C7221D" w:rsidRPr="00B0563B" w:rsidRDefault="00C7221D">
      <w:pPr>
        <w:widowControl w:val="0"/>
        <w:spacing w:line="360" w:lineRule="auto"/>
        <w:jc w:val="both"/>
        <w:rPr>
          <w:rFonts w:ascii="Palatino Linotype" w:eastAsia="Palatino Linotype" w:hAnsi="Palatino Linotype" w:cs="Palatino Linotype"/>
          <w:sz w:val="22"/>
          <w:szCs w:val="22"/>
        </w:rPr>
      </w:pPr>
    </w:p>
    <w:p w14:paraId="788C4EA4" w14:textId="77777777" w:rsidR="00C7221D" w:rsidRPr="00B0563B" w:rsidRDefault="00802627">
      <w:pPr>
        <w:widowControl w:val="0"/>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Del mismo modo informó que los eventos culturales organizados por esta Dirección son en su mayoría, de carácter público y masivo y en los casos en, que se recaban datos personales, éstos se encuentran protegidos conforme a los artículos 3, fracciones VII y VII; 4; 18; 22; 23 y demás relativos de la Ley de Protección de Datos Personales en Posesión de Sujetos Obligados del Estado de México y Municipios, así como en los respectivos Avisos de Privacidad. En consecuencia, el entregar bases de datos con información personal de los asistentes, su difusión implicaría la vulneración del derecho a la protección de datos personales, reconocido en el artículo 16, párrafo segundo, de la Constitución Política de los Estados Unidos Mexicanos.</w:t>
      </w:r>
    </w:p>
    <w:p w14:paraId="39B1E7C2" w14:textId="77777777" w:rsidR="00C7221D" w:rsidRPr="00B0563B" w:rsidRDefault="00C7221D">
      <w:pPr>
        <w:widowControl w:val="0"/>
        <w:spacing w:line="360" w:lineRule="auto"/>
        <w:jc w:val="both"/>
        <w:rPr>
          <w:rFonts w:ascii="Palatino Linotype" w:eastAsia="Palatino Linotype" w:hAnsi="Palatino Linotype" w:cs="Palatino Linotype"/>
          <w:sz w:val="22"/>
          <w:szCs w:val="22"/>
        </w:rPr>
      </w:pPr>
    </w:p>
    <w:p w14:paraId="7914D2D1" w14:textId="77777777" w:rsidR="00C7221D" w:rsidRPr="00B0563B" w:rsidRDefault="00802627">
      <w:pPr>
        <w:widowControl w:val="0"/>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Aunado a ello señaló que respecto al material fotográfico que correspondiente a los eventos culturales realizados durante la administración 2025, se encuentra disponible para consulta pública en las plataformas oficiales ya referidas, en cumplimiento con el artículo 12, fracción II de la Ley de Transparencia Acceso a la Información Pública del Estado de México y Municipios.</w:t>
      </w:r>
    </w:p>
    <w:p w14:paraId="2EE897DC" w14:textId="77777777" w:rsidR="00C7221D" w:rsidRPr="00B0563B" w:rsidRDefault="00C7221D">
      <w:pPr>
        <w:widowControl w:val="0"/>
        <w:spacing w:line="360" w:lineRule="auto"/>
        <w:jc w:val="both"/>
        <w:rPr>
          <w:rFonts w:ascii="Palatino Linotype" w:eastAsia="Palatino Linotype" w:hAnsi="Palatino Linotype" w:cs="Palatino Linotype"/>
          <w:sz w:val="22"/>
          <w:szCs w:val="22"/>
        </w:rPr>
      </w:pPr>
    </w:p>
    <w:p w14:paraId="2C16972F" w14:textId="77777777" w:rsidR="00C7221D" w:rsidRPr="00B0563B" w:rsidRDefault="00802627">
      <w:pPr>
        <w:widowControl w:val="0"/>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Finalmente, la Dirección de Recursos Materiales adscrita a la Dirección General de Administración informó que, después de haber realizado una búsqueda exhaustiva y razonable en sus archivos, no se localizó la información solicitada.</w:t>
      </w:r>
    </w:p>
    <w:p w14:paraId="79B2ABC1" w14:textId="77777777" w:rsidR="00C7221D" w:rsidRPr="00B0563B" w:rsidRDefault="00C7221D">
      <w:pPr>
        <w:widowControl w:val="0"/>
        <w:spacing w:line="360" w:lineRule="auto"/>
        <w:jc w:val="both"/>
        <w:rPr>
          <w:rFonts w:ascii="Palatino Linotype" w:eastAsia="Palatino Linotype" w:hAnsi="Palatino Linotype" w:cs="Palatino Linotype"/>
          <w:sz w:val="22"/>
          <w:szCs w:val="22"/>
        </w:rPr>
      </w:pPr>
    </w:p>
    <w:p w14:paraId="56740878"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Al no estar conforme con los términos de la respuesta otorgada a su solicitud, la persona solicitante interpuso el recurso de revisión que ahora nos ocupa, en el que señaló como motivo de inconformidad la negativa a la entrega de la información.</w:t>
      </w:r>
    </w:p>
    <w:p w14:paraId="3C75B916"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0B4A6480"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Durante el periodo de manifestaciones el </w:t>
      </w:r>
      <w:r w:rsidRPr="00B0563B">
        <w:rPr>
          <w:rFonts w:ascii="Palatino Linotype" w:eastAsia="Palatino Linotype" w:hAnsi="Palatino Linotype" w:cs="Palatino Linotype"/>
          <w:b/>
          <w:bCs/>
          <w:sz w:val="22"/>
          <w:szCs w:val="22"/>
        </w:rPr>
        <w:t xml:space="preserve">Sujeto Obligado </w:t>
      </w:r>
      <w:r w:rsidRPr="00B0563B">
        <w:rPr>
          <w:rFonts w:ascii="Palatino Linotype" w:eastAsia="Palatino Linotype" w:hAnsi="Palatino Linotype" w:cs="Palatino Linotype"/>
          <w:sz w:val="22"/>
          <w:szCs w:val="22"/>
        </w:rPr>
        <w:t>rindió su informe justificado en el que ratificó la respuesta emitida por la Dirección General de Educación, Cultura y Turismo, Tesorería Municipal y Dirección General de Administración.</w:t>
      </w:r>
    </w:p>
    <w:p w14:paraId="3FFE3E5E"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17AB7B03"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Mientras que la parte </w:t>
      </w:r>
      <w:r w:rsidRPr="00B0563B">
        <w:rPr>
          <w:rFonts w:ascii="Palatino Linotype" w:eastAsia="Palatino Linotype" w:hAnsi="Palatino Linotype" w:cs="Palatino Linotype"/>
          <w:b/>
          <w:bCs/>
          <w:sz w:val="22"/>
          <w:szCs w:val="22"/>
        </w:rPr>
        <w:t xml:space="preserve">Recurrente </w:t>
      </w:r>
      <w:r w:rsidRPr="00B0563B">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Pr="00B0563B">
        <w:rPr>
          <w:rFonts w:ascii="Palatino Linotype" w:eastAsia="Palatino Linotype" w:hAnsi="Palatino Linotype" w:cs="Palatino Linotype"/>
          <w:sz w:val="22"/>
          <w:szCs w:val="22"/>
        </w:rPr>
        <w:t>precluido</w:t>
      </w:r>
      <w:proofErr w:type="spellEnd"/>
      <w:r w:rsidRPr="00B0563B">
        <w:rPr>
          <w:rFonts w:ascii="Palatino Linotype" w:eastAsia="Palatino Linotype" w:hAnsi="Palatino Linotype" w:cs="Palatino Linotype"/>
          <w:sz w:val="22"/>
          <w:szCs w:val="22"/>
        </w:rPr>
        <w:t xml:space="preserve"> su derecho.</w:t>
      </w:r>
    </w:p>
    <w:p w14:paraId="289AD3EB"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6C0B031" w14:textId="77777777" w:rsidR="00C7221D" w:rsidRPr="00B0563B" w:rsidRDefault="00802627">
      <w:pPr>
        <w:spacing w:line="360" w:lineRule="auto"/>
        <w:jc w:val="both"/>
        <w:rPr>
          <w:rFonts w:ascii="Palatino Linotype" w:eastAsia="Palatino Linotype" w:hAnsi="Palatino Linotype" w:cs="Palatino Linotype"/>
          <w:sz w:val="22"/>
          <w:szCs w:val="22"/>
        </w:rPr>
      </w:pPr>
      <w:bookmarkStart w:id="7" w:name="_heading=h.17dp8vu" w:colFirst="0" w:colLast="0"/>
      <w:bookmarkEnd w:id="7"/>
      <w:r w:rsidRPr="00B0563B">
        <w:rPr>
          <w:rFonts w:ascii="Palatino Linotype" w:eastAsia="Palatino Linotype" w:hAnsi="Palatino Linotype" w:cs="Palatino Linotype"/>
          <w:sz w:val="22"/>
          <w:szCs w:val="22"/>
        </w:rPr>
        <w:t xml:space="preserve">Expuesto lo anterior, se procede a contextualizar la información solicitada, por lo que, es importante traer a colación lo que establece la Ley de Eventos Públicos del Estado de México, la cual precisa lo siguiente: </w:t>
      </w:r>
    </w:p>
    <w:p w14:paraId="39342F21"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200CAF9"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2</w:t>
      </w:r>
      <w:r w:rsidRPr="00B0563B">
        <w:rPr>
          <w:rFonts w:ascii="Palatino Linotype" w:eastAsia="Palatino Linotype" w:hAnsi="Palatino Linotype" w:cs="Palatino Linotype"/>
          <w:i/>
          <w:iCs/>
          <w:sz w:val="22"/>
          <w:szCs w:val="22"/>
        </w:rPr>
        <w:t>. Para efectos de esta Ley se entenderá por:</w:t>
      </w:r>
    </w:p>
    <w:p w14:paraId="13777EF6"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6A4E684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 Evento público:</w:t>
      </w:r>
      <w:r w:rsidRPr="00B0563B">
        <w:rPr>
          <w:rFonts w:ascii="Palatino Linotype" w:eastAsia="Palatino Linotype" w:hAnsi="Palatino Linotype" w:cs="Palatino Linotype"/>
          <w:i/>
          <w:iCs/>
          <w:sz w:val="22"/>
          <w:szCs w:val="22"/>
        </w:rPr>
        <w:t xml:space="preserve"> La representación, función, acto, evento o exhibición artística, musical, deportiva, cinematográfica, teatral o cultural, organizada por una persona física o jurídica colectiva del </w:t>
      </w:r>
      <w:r w:rsidRPr="00B0563B">
        <w:rPr>
          <w:rFonts w:ascii="Palatino Linotype" w:eastAsia="Palatino Linotype" w:hAnsi="Palatino Linotype" w:cs="Palatino Linotype"/>
          <w:b/>
          <w:bCs/>
          <w:i/>
          <w:iCs/>
          <w:sz w:val="22"/>
          <w:szCs w:val="22"/>
          <w:u w:val="single"/>
        </w:rPr>
        <w:t>sector privado</w:t>
      </w:r>
      <w:r w:rsidRPr="00B0563B">
        <w:rPr>
          <w:rFonts w:ascii="Palatino Linotype" w:eastAsia="Palatino Linotype" w:hAnsi="Palatino Linotype" w:cs="Palatino Linotype"/>
          <w:i/>
          <w:iCs/>
          <w:sz w:val="22"/>
          <w:szCs w:val="22"/>
        </w:rPr>
        <w:t>, que se realice en recintos al aire libre, en locales cerrados o instalaciones desmontables, en cualquier tiempo, convocando al público con fines culturales o de esparcimiento, en forma gratuita o mediante el pago de una contraprestación en dinero o especie; cuando el número de asistentes sea superior al de mil personas.</w:t>
      </w:r>
    </w:p>
    <w:p w14:paraId="5D043002"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04B294FF"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20AAD10" w14:textId="77777777" w:rsidR="00C7221D" w:rsidRPr="00B0563B" w:rsidRDefault="00802627">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u w:val="single"/>
        </w:rPr>
      </w:pPr>
      <w:r w:rsidRPr="00B0563B">
        <w:rPr>
          <w:rFonts w:ascii="Palatino Linotype" w:eastAsia="Palatino Linotype" w:hAnsi="Palatino Linotype" w:cs="Palatino Linotype"/>
          <w:sz w:val="22"/>
          <w:szCs w:val="22"/>
        </w:rPr>
        <w:t xml:space="preserve">No obstante, si bien es cierto, la Ley de Eventos Públicos del Estado de México establece que se define como </w:t>
      </w:r>
      <w:r w:rsidRPr="00B0563B">
        <w:rPr>
          <w:rFonts w:ascii="Palatino Linotype" w:eastAsia="Palatino Linotype" w:hAnsi="Palatino Linotype" w:cs="Palatino Linotype"/>
          <w:i/>
          <w:iCs/>
          <w:sz w:val="22"/>
          <w:szCs w:val="22"/>
        </w:rPr>
        <w:t>“evento público”</w:t>
      </w:r>
      <w:r w:rsidRPr="00B0563B">
        <w:rPr>
          <w:rFonts w:ascii="Palatino Linotype" w:eastAsia="Palatino Linotype" w:hAnsi="Palatino Linotype" w:cs="Palatino Linotype"/>
          <w:sz w:val="22"/>
          <w:szCs w:val="22"/>
        </w:rPr>
        <w:t xml:space="preserve"> a la actividad realizada únicamente por el sector privado, también lo es que, en términos generales, </w:t>
      </w:r>
      <w:r w:rsidRPr="00B0563B">
        <w:rPr>
          <w:rFonts w:ascii="Palatino Linotype" w:eastAsia="Palatino Linotype" w:hAnsi="Palatino Linotype" w:cs="Palatino Linotype"/>
          <w:i/>
          <w:iCs/>
          <w:sz w:val="22"/>
          <w:szCs w:val="22"/>
        </w:rPr>
        <w:t xml:space="preserve">“evento público” </w:t>
      </w:r>
      <w:r w:rsidRPr="00B0563B">
        <w:rPr>
          <w:rFonts w:ascii="Palatino Linotype" w:eastAsia="Palatino Linotype" w:hAnsi="Palatino Linotype" w:cs="Palatino Linotype"/>
          <w:sz w:val="22"/>
          <w:szCs w:val="22"/>
        </w:rPr>
        <w:t>es</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sz w:val="22"/>
          <w:szCs w:val="22"/>
        </w:rPr>
        <w:t xml:space="preserve">entendido como toda actividad de índole social, deportivo, religioso, político y/o cultural </w:t>
      </w:r>
      <w:r w:rsidRPr="00B0563B">
        <w:rPr>
          <w:rFonts w:ascii="Palatino Linotype" w:eastAsia="Palatino Linotype" w:hAnsi="Palatino Linotype" w:cs="Palatino Linotype"/>
          <w:b/>
          <w:bCs/>
          <w:sz w:val="22"/>
          <w:szCs w:val="22"/>
          <w:u w:val="single"/>
        </w:rPr>
        <w:t xml:space="preserve">que se realice en espacios públicos. </w:t>
      </w:r>
    </w:p>
    <w:p w14:paraId="7E9E2204"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38BE02D" w14:textId="77777777" w:rsidR="00C7221D" w:rsidRPr="00B0563B" w:rsidRDefault="00802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Dicho esto, es de mencionar que el Bando Municipal de Toluca, establece lo siguiente: </w:t>
      </w:r>
    </w:p>
    <w:p w14:paraId="7823E766"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4713815"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90.</w:t>
      </w:r>
      <w:r w:rsidRPr="00B0563B">
        <w:rPr>
          <w:rFonts w:ascii="Palatino Linotype" w:eastAsia="Palatino Linotype" w:hAnsi="Palatino Linotype" w:cs="Palatino Linotype"/>
          <w:i/>
          <w:iCs/>
          <w:sz w:val="22"/>
          <w:szCs w:val="22"/>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56813334" w14:textId="77777777" w:rsidR="00C7221D" w:rsidRPr="00B0563B" w:rsidRDefault="00C7221D">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p>
    <w:p w14:paraId="359626DC"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 DEPENDENCIAS:</w:t>
      </w:r>
    </w:p>
    <w:p w14:paraId="5C5D9F03"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0EAA0ECF"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 xml:space="preserve">13. </w:t>
      </w:r>
      <w:r w:rsidRPr="00B0563B">
        <w:rPr>
          <w:rFonts w:ascii="Palatino Linotype" w:eastAsia="Palatino Linotype" w:hAnsi="Palatino Linotype" w:cs="Palatino Linotype"/>
          <w:b/>
          <w:bCs/>
          <w:i/>
          <w:iCs/>
          <w:sz w:val="22"/>
          <w:szCs w:val="22"/>
        </w:rPr>
        <w:t>Dirección General de Educación, Cultura y Turismo...</w:t>
      </w:r>
    </w:p>
    <w:p w14:paraId="2D06D113"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798F9061"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92.</w:t>
      </w:r>
      <w:r w:rsidRPr="00B0563B">
        <w:rPr>
          <w:rFonts w:ascii="Palatino Linotype" w:eastAsia="Palatino Linotype" w:hAnsi="Palatino Linotype" w:cs="Palatino Linotype"/>
          <w:i/>
          <w:iCs/>
          <w:sz w:val="22"/>
          <w:szCs w:val="22"/>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13A2C836"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66E7738A"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XIII. La persona titular de la </w:t>
      </w:r>
      <w:r w:rsidRPr="00B0563B">
        <w:rPr>
          <w:rFonts w:ascii="Palatino Linotype" w:eastAsia="Palatino Linotype" w:hAnsi="Palatino Linotype" w:cs="Palatino Linotype"/>
          <w:b/>
          <w:bCs/>
          <w:i/>
          <w:iCs/>
          <w:sz w:val="22"/>
          <w:szCs w:val="22"/>
        </w:rPr>
        <w:t>Dirección General de Educación, Cultura y Turismo es la encargada de planear, desarrollar, ejecutar y evaluar los programas, acciones y políticas públicas orientados a promover, de manera permanente e integral, la creación artística, la realización de actividades culturales y fomentar la educación que permitan el involucramiento de la participación en comunidad</w:t>
      </w:r>
      <w:r w:rsidRPr="00B0563B">
        <w:rPr>
          <w:rFonts w:ascii="Palatino Linotype" w:eastAsia="Palatino Linotype" w:hAnsi="Palatino Linotype" w:cs="Palatino Linotype"/>
          <w:i/>
          <w:iCs/>
          <w:sz w:val="22"/>
          <w:szCs w:val="22"/>
        </w:rPr>
        <w:t>. Asimismo, le corresponde preservar y promover las tradiciones e identidad cultural, como un eje transversal en la administración pública municipal. Su propósito es fortalecer el tejido social mediante un proyecto ciudadano que reactive espacios y fomente el arte, turismo y programas enfocados en diversos segmentos como ecoturismo y gastronómico. Sus atribuciones incluyen garantizar el acceso equitativo a actividades culturales, coordinar colaboraciones con instituciones para enriquecer la identidad y creatividad local, difundir el patrimonio cultural a través de diversos medios y promover la cooperación entre agentes para generar puntos de encuentro, movilidad y esparcimiento cultural en beneficio de la comunidad.”</w:t>
      </w:r>
    </w:p>
    <w:p w14:paraId="5848709D" w14:textId="77777777" w:rsidR="00C7221D" w:rsidRPr="00B0563B" w:rsidRDefault="00802627">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(Énfasis Añadido)</w:t>
      </w:r>
    </w:p>
    <w:p w14:paraId="6E151E0F" w14:textId="77777777" w:rsidR="00C7221D" w:rsidRPr="00B0563B" w:rsidRDefault="00C7221D">
      <w:pPr>
        <w:pBdr>
          <w:top w:val="nil"/>
          <w:left w:val="nil"/>
          <w:bottom w:val="nil"/>
          <w:right w:val="nil"/>
          <w:between w:val="nil"/>
        </w:pBdr>
        <w:spacing w:line="276" w:lineRule="auto"/>
        <w:ind w:left="567" w:right="616"/>
        <w:jc w:val="both"/>
        <w:rPr>
          <w:rFonts w:ascii="Palatino Linotype" w:eastAsia="Palatino Linotype" w:hAnsi="Palatino Linotype" w:cs="Palatino Linotype"/>
          <w:i/>
          <w:iCs/>
          <w:sz w:val="22"/>
          <w:szCs w:val="22"/>
        </w:rPr>
      </w:pPr>
    </w:p>
    <w:p w14:paraId="3B2F1C49" w14:textId="77777777" w:rsidR="00C7221D" w:rsidRPr="00B0563B" w:rsidRDefault="00802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otro lado, el Código Reglamentario Municipal de Toluca, establece en su cuerpo normativo lo siguiente: </w:t>
      </w:r>
    </w:p>
    <w:p w14:paraId="195CF9A8"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EE27368" w14:textId="77777777" w:rsidR="00C7221D" w:rsidRPr="00B0563B" w:rsidRDefault="00802627">
      <w:pPr>
        <w:pBdr>
          <w:top w:val="nil"/>
          <w:left w:val="nil"/>
          <w:bottom w:val="nil"/>
          <w:right w:val="nil"/>
          <w:between w:val="nil"/>
        </w:pBdr>
        <w:spacing w:line="276" w:lineRule="auto"/>
        <w:ind w:left="851" w:right="616"/>
        <w:jc w:val="center"/>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De la Dirección General de Educación, Cultura y Turismo</w:t>
      </w:r>
    </w:p>
    <w:p w14:paraId="70721A4B"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 xml:space="preserve">Artículo 3.48. </w:t>
      </w:r>
      <w:r w:rsidRPr="00B0563B">
        <w:rPr>
          <w:rFonts w:ascii="Palatino Linotype" w:eastAsia="Palatino Linotype" w:hAnsi="Palatino Linotype" w:cs="Palatino Linotype"/>
          <w:i/>
          <w:iCs/>
          <w:sz w:val="22"/>
          <w:szCs w:val="22"/>
        </w:rPr>
        <w:t>La o el titular de la Dirección General de Educación, Cultura y Turismo tendrá las siguientes atribuciones:</w:t>
      </w:r>
    </w:p>
    <w:p w14:paraId="6467B451" w14:textId="77777777" w:rsidR="00C7221D" w:rsidRPr="00B0563B" w:rsidRDefault="00C7221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797D780A"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 xml:space="preserve">I. </w:t>
      </w:r>
      <w:r w:rsidRPr="00B0563B">
        <w:rPr>
          <w:rFonts w:ascii="Palatino Linotype" w:eastAsia="Palatino Linotype" w:hAnsi="Palatino Linotype" w:cs="Palatino Linotype"/>
          <w:b/>
          <w:bCs/>
          <w:i/>
          <w:iCs/>
          <w:sz w:val="22"/>
          <w:szCs w:val="22"/>
        </w:rPr>
        <w:t>Planear e implementar acciones que impulsen actividades artísticas y culturales permanentes en el territorio municipal.</w:t>
      </w:r>
    </w:p>
    <w:p w14:paraId="5D73180F"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II. Promover apoyos en materia de educación, cultura, turismo y artes, fomentando el desarrollo cultural de la comunidad.</w:t>
      </w:r>
    </w:p>
    <w:p w14:paraId="236EDE2E"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III. Fomentar iniciativas que fortalezcan el desarrollo cultural y </w:t>
      </w:r>
      <w:proofErr w:type="spellStart"/>
      <w:r w:rsidRPr="00B0563B">
        <w:rPr>
          <w:rFonts w:ascii="Palatino Linotype" w:eastAsia="Palatino Linotype" w:hAnsi="Palatino Linotype" w:cs="Palatino Linotype"/>
          <w:i/>
          <w:iCs/>
          <w:sz w:val="22"/>
          <w:szCs w:val="22"/>
        </w:rPr>
        <w:t>artistico</w:t>
      </w:r>
      <w:proofErr w:type="spellEnd"/>
      <w:r w:rsidRPr="00B0563B">
        <w:rPr>
          <w:rFonts w:ascii="Palatino Linotype" w:eastAsia="Palatino Linotype" w:hAnsi="Palatino Linotype" w:cs="Palatino Linotype"/>
          <w:i/>
          <w:iCs/>
          <w:sz w:val="22"/>
          <w:szCs w:val="22"/>
        </w:rPr>
        <w:t xml:space="preserve"> de la juventud en el ámbito municipal.</w:t>
      </w:r>
    </w:p>
    <w:p w14:paraId="6F4E3F4F"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 xml:space="preserve">IV. </w:t>
      </w:r>
      <w:r w:rsidRPr="00B0563B">
        <w:rPr>
          <w:rFonts w:ascii="Palatino Linotype" w:eastAsia="Palatino Linotype" w:hAnsi="Palatino Linotype" w:cs="Palatino Linotype"/>
          <w:b/>
          <w:bCs/>
          <w:i/>
          <w:iCs/>
          <w:sz w:val="22"/>
          <w:szCs w:val="22"/>
        </w:rPr>
        <w:t>Promover y fomentar actividades en disciplinas como música, danza, teatro, literatura, artes plásticas, visuales, electrónicas y digitales.</w:t>
      </w:r>
    </w:p>
    <w:p w14:paraId="27DFA72C"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V. Impulsar la lectura y la difusión de obras literarias mediante conferencias, talleres, presentaciones de libros y recitales.</w:t>
      </w:r>
    </w:p>
    <w:p w14:paraId="4A1D04FF"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VI. Organizar y promover foros académicos y culturales sobre diversos temas relacionados con la cultura.</w:t>
      </w:r>
    </w:p>
    <w:p w14:paraId="56558573"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VII. Estimular e impulsar el intercambio cultural entre instituciones educativas estatales y federales.</w:t>
      </w:r>
    </w:p>
    <w:p w14:paraId="29ED6C50"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VIII. Coordinar e impulsar la realización de talleres con enfoque artístico y cultural.</w:t>
      </w:r>
    </w:p>
    <w:p w14:paraId="1461033F"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IX. Fortalecer la identidad cultural del municipio a través del reconocimiento de creadores, artistas y personas que contribuyen al desarrollo cultural local.</w:t>
      </w:r>
    </w:p>
    <w:p w14:paraId="68C6349E"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 Gestionar la celebración de convenios de coordinación con los gobiernos federal, estatal y municipal para atender asuntos de competencia de la Dirección.</w:t>
      </w:r>
    </w:p>
    <w:p w14:paraId="16DD7C19"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 xml:space="preserve">XI. </w:t>
      </w:r>
      <w:r w:rsidRPr="00B0563B">
        <w:rPr>
          <w:rFonts w:ascii="Palatino Linotype" w:eastAsia="Palatino Linotype" w:hAnsi="Palatino Linotype" w:cs="Palatino Linotype"/>
          <w:b/>
          <w:bCs/>
          <w:i/>
          <w:iCs/>
          <w:sz w:val="22"/>
          <w:szCs w:val="22"/>
          <w:u w:val="single"/>
        </w:rPr>
        <w:t>Organizar, coordinar y promover eventos culturales y recreativos</w:t>
      </w:r>
      <w:r w:rsidRPr="00B0563B">
        <w:rPr>
          <w:rFonts w:ascii="Palatino Linotype" w:eastAsia="Palatino Linotype" w:hAnsi="Palatino Linotype" w:cs="Palatino Linotype"/>
          <w:b/>
          <w:bCs/>
          <w:i/>
          <w:iCs/>
          <w:sz w:val="22"/>
          <w:szCs w:val="22"/>
        </w:rPr>
        <w:t>, como exposiciones artísticas, muestras gastronómicas, ferias y actividades turísticas.</w:t>
      </w:r>
    </w:p>
    <w:p w14:paraId="49EE97BC"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XII. Fomentar, preservar y difundir, en coordinación con los gobiernos estatal y federal, las actividades y sitios de interés turístico del municipio.</w:t>
      </w:r>
    </w:p>
    <w:p w14:paraId="613FDA2A"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XIII. Organizar, promover, coordinar y supervisar acciones que fortalezcan el turismo municipal, aprovechando sus recursos y proyectando su imagen a nivel nacional e internacional.</w:t>
      </w:r>
    </w:p>
    <w:p w14:paraId="69A17969"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XIV. Coadyuvar en la prestación de servicios educativos en todos sus tipos, niveles y modalidades, conforme a la normativa aplicable.</w:t>
      </w:r>
    </w:p>
    <w:p w14:paraId="72BBB085"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XV. Gestionar y suscribir convenios con autoridades educativas, asociaciones civiles y organizaciones no gubernamentales para coordinar y realizar actividades educativas.</w:t>
      </w:r>
    </w:p>
    <w:p w14:paraId="256FD66E"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XVI. Participar en el mantenimiento y equipamiento de escuelas públicas ubicadas en el municipio, de acuerdo con los recursos disponibles.</w:t>
      </w:r>
    </w:p>
    <w:p w14:paraId="4E81F408"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XVII. Coordinar y promover la participación ciudadana en eventos educativos, cívicos y sociales</w:t>
      </w:r>
      <w:r w:rsidRPr="00B0563B">
        <w:rPr>
          <w:rFonts w:ascii="Palatino Linotype" w:eastAsia="Palatino Linotype" w:hAnsi="Palatino Linotype" w:cs="Palatino Linotype"/>
          <w:i/>
          <w:iCs/>
          <w:sz w:val="22"/>
          <w:szCs w:val="22"/>
        </w:rPr>
        <w:t xml:space="preserve">. </w:t>
      </w:r>
    </w:p>
    <w:p w14:paraId="6A7BA7FA"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XVIII. Fortalecer de manera integral las bibliotecas públicas municipales, en colaboración con instancias de los tres niveles de gobierno, promoviendo la lectura, la investigación y el acceso libre al conocimiento.</w:t>
      </w:r>
    </w:p>
    <w:p w14:paraId="24E8103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XIX. Promover, apoyar y difundir programas de alfabetización y educación básica para adultos, así como fortalecer la modalidad no escolarizada en niveles medio superior y superior.</w:t>
      </w:r>
    </w:p>
    <w:p w14:paraId="75C1F0A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XX. Impulsar acciones que contribuyan al desarrollo integral de las instituciones educativas y mejoren la seguridad de las comunidades escolares.</w:t>
      </w:r>
    </w:p>
    <w:p w14:paraId="2C393F9C"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XXI. Gestionar, promover y fomentar actividades de lectura en instituciones educativas, bibliotecas municipales y entre la población en general.</w:t>
      </w:r>
    </w:p>
    <w:p w14:paraId="2B4A0589"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XXII. Promover acciones orientadas al respeto de los derechos humanos, la educación cívica y los valores sociales.</w:t>
      </w:r>
    </w:p>
    <w:p w14:paraId="51C325A5" w14:textId="77777777" w:rsidR="00C7221D" w:rsidRPr="00B0563B" w:rsidRDefault="00C7221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468812B8" w14:textId="77777777" w:rsidR="00C7221D" w:rsidRPr="00B0563B" w:rsidRDefault="00802627">
      <w:pPr>
        <w:pBdr>
          <w:top w:val="nil"/>
          <w:left w:val="nil"/>
          <w:bottom w:val="nil"/>
          <w:right w:val="nil"/>
          <w:between w:val="nil"/>
        </w:pBdr>
        <w:spacing w:line="276" w:lineRule="auto"/>
        <w:ind w:left="851" w:right="560"/>
        <w:jc w:val="center"/>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De la Tesorería Municipal</w:t>
      </w:r>
    </w:p>
    <w:p w14:paraId="6D42E645"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3.21.</w:t>
      </w:r>
      <w:r w:rsidRPr="00B0563B">
        <w:rPr>
          <w:rFonts w:ascii="Palatino Linotype" w:eastAsia="Palatino Linotype" w:hAnsi="Palatino Linotype" w:cs="Palatino Linotype"/>
          <w:i/>
          <w:iCs/>
          <w:sz w:val="22"/>
          <w:szCs w:val="22"/>
        </w:rPr>
        <w:t xml:space="preserve"> La o el titular de la Tesorería Municipal tendrá las siguientes atribuciones:</w:t>
      </w:r>
    </w:p>
    <w:p w14:paraId="3A88E592"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30DBD94C"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V. Proponer las disposiciones de racionalidad, austeridad y disciplina presupuestales;</w:t>
      </w:r>
    </w:p>
    <w:p w14:paraId="7D2C087B"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VI. Otorgar suficiencia presupuestal a las solicitudes de adquisiciones y servicios, así como las ampliaciones del monto del gasto operativo de las dependencias y organismos auxiliares;</w:t>
      </w:r>
    </w:p>
    <w:p w14:paraId="1D4E48A7"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VII. Supervisar el registro y control de las operaciones financieras presupuestales y contables</w:t>
      </w:r>
      <w:r w:rsidRPr="00B0563B">
        <w:rPr>
          <w:rFonts w:ascii="Palatino Linotype" w:eastAsia="Palatino Linotype" w:hAnsi="Palatino Linotype" w:cs="Palatino Linotype"/>
          <w:i/>
          <w:iCs/>
          <w:sz w:val="22"/>
          <w:szCs w:val="22"/>
        </w:rPr>
        <w:t>, revisar y autorizar la integración de los informes mensuales y la cuenta pública anual del Municipio para que se entregue de manera oportuna y con apego a los lineamientos establecidos en los ordenamientos jurídicos aplicables;</w:t>
      </w:r>
    </w:p>
    <w:p w14:paraId="5F45ECC8"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1899A4C0"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XII. Determinar, liquidar, recaudar, fiscalizar y administrar las contribuciones, aprovechamientos, los productos y en general, todos los ingresos municipales cualquiera que sea su naturaleza, en los términos de los ordenamientos jurídicos aplicables;</w:t>
      </w:r>
    </w:p>
    <w:p w14:paraId="59522966"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XIII. Vigilar que se recauden los ingresos por los distintos conceptos impositivos que señala el Presupuesto y la Ley de Ingresos para el ejercicio fiscal del año en curso;</w:t>
      </w:r>
    </w:p>
    <w:p w14:paraId="400B0B1E"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XIV. Enunciar la política financiera y crediticia del Municipio;</w:t>
      </w:r>
    </w:p>
    <w:p w14:paraId="02B6484E"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XV. Proponer al Ayuntamiento los presupuestos de ingresos y egresos los cuales deberán ser elaborados y etiquetados con perspectiva de género, informar de su ejercicio y sugerir las modificaciones, en caso necesario;</w:t>
      </w:r>
    </w:p>
    <w:p w14:paraId="260099FA"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XVI. Emitir los criterios y políticas para la aplicación de los ordenamientos fiscales, así como resolver las diferencias que se susciten en la interpretación de los mismos, en términos de lo que dispone el Código Financiero;</w:t>
      </w:r>
    </w:p>
    <w:p w14:paraId="001FC3CC"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XVII. Vigilar el cumplimiento de las disposiciones legales de carácter fiscal, aplicables en el ámbito municipal;</w:t>
      </w:r>
    </w:p>
    <w:p w14:paraId="5DA72786"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XVIII. 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70A42548"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XIX. Administrar los estacionamientos de propiedad municipal, en términos de lo que dispone el Capítulo Octavo del Título Sexto de este Código;</w:t>
      </w:r>
    </w:p>
    <w:p w14:paraId="64372F12"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XX. Elaborar y resguardar los padrones de contribuyentes del municipio de Toluca;</w:t>
      </w:r>
    </w:p>
    <w:p w14:paraId="34159F61"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XXI. Comunicar a las dependencias que integran la administración pública municipal, en coordinación con la Unidad de Información, Planeación, Programación y Evaluación, la información necesaria para la elaboración del Presupuesto de Egresos Municipal, en cumplimiento de la normatividad aplicable;</w:t>
      </w:r>
    </w:p>
    <w:p w14:paraId="3C901DE9"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XXII. Analizar las solicitudes de asignación presupuestaria entregadas por las áreas y, en su caso emitir las notificaciones correspondientes;</w:t>
      </w:r>
    </w:p>
    <w:p w14:paraId="7FD84D08"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XXIII. Presentar ante el Ayuntamiento el informe anual de las finanzas públicas;</w:t>
      </w:r>
    </w:p>
    <w:p w14:paraId="2810207F"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 xml:space="preserve">XXIV. Expedir copias certificadas de los documentos que acrediten el pago de las obligaciones fiscales </w:t>
      </w:r>
      <w:r w:rsidRPr="00B0563B">
        <w:rPr>
          <w:rFonts w:ascii="Palatino Linotype" w:eastAsia="Palatino Linotype" w:hAnsi="Palatino Linotype" w:cs="Palatino Linotype"/>
          <w:i/>
          <w:iCs/>
          <w:sz w:val="22"/>
          <w:szCs w:val="22"/>
        </w:rPr>
        <w:t>y la documentación presentada ante el Órgano Superior de Fiscalización del Estado de México;</w:t>
      </w:r>
    </w:p>
    <w:p w14:paraId="0DBB73E5"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6B59BDCE" w14:textId="77777777" w:rsidR="00C7221D" w:rsidRPr="00B0563B" w:rsidRDefault="00802627">
      <w:pPr>
        <w:pBdr>
          <w:top w:val="nil"/>
          <w:left w:val="nil"/>
          <w:bottom w:val="nil"/>
          <w:right w:val="nil"/>
          <w:between w:val="nil"/>
        </w:pBdr>
        <w:spacing w:line="276" w:lineRule="auto"/>
        <w:ind w:left="851" w:right="560"/>
        <w:jc w:val="center"/>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De la Dirección General de Administración</w:t>
      </w:r>
    </w:p>
    <w:p w14:paraId="6CD368B7"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3.31.</w:t>
      </w:r>
      <w:r w:rsidRPr="00B0563B">
        <w:rPr>
          <w:rFonts w:ascii="Palatino Linotype" w:eastAsia="Palatino Linotype" w:hAnsi="Palatino Linotype" w:cs="Palatino Linotype"/>
          <w:i/>
          <w:iCs/>
          <w:sz w:val="22"/>
          <w:szCs w:val="22"/>
        </w:rPr>
        <w:t xml:space="preserve"> La o el titular de la Dirección General de Administración, tiene las siguientes atribuciones:</w:t>
      </w:r>
    </w:p>
    <w:p w14:paraId="05652F71"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15D9B860"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VII. </w:t>
      </w:r>
      <w:r w:rsidRPr="00B0563B">
        <w:rPr>
          <w:rFonts w:ascii="Palatino Linotype" w:eastAsia="Palatino Linotype" w:hAnsi="Palatino Linotype" w:cs="Palatino Linotype"/>
          <w:b/>
          <w:bCs/>
          <w:i/>
          <w:iCs/>
          <w:sz w:val="22"/>
          <w:szCs w:val="22"/>
        </w:rPr>
        <w:t>Intervenir, vigilar y dar el seguimiento correspondiente a todos los procedimientos de adquisición, arrendamiento de inmuebles, contratación de servicios,</w:t>
      </w:r>
      <w:r w:rsidRPr="00B0563B">
        <w:rPr>
          <w:rFonts w:ascii="Palatino Linotype" w:eastAsia="Palatino Linotype" w:hAnsi="Palatino Linotype" w:cs="Palatino Linotype"/>
          <w:i/>
          <w:iCs/>
          <w:sz w:val="22"/>
          <w:szCs w:val="22"/>
        </w:rPr>
        <w:t xml:space="preserve"> enajenación y subasta de bienes, conforme a los lineamientos establecidos en la normatividad correspondiente;</w:t>
      </w:r>
    </w:p>
    <w:p w14:paraId="5C8308CD"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29F576B7"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w:t>
      </w:r>
    </w:p>
    <w:p w14:paraId="48D826F1"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 Supervisar y vigilar que los procedimientos de licitaciones públicas,</w:t>
      </w:r>
      <w:r w:rsidRPr="00B0563B">
        <w:rPr>
          <w:rFonts w:ascii="Palatino Linotype" w:eastAsia="Palatino Linotype" w:hAnsi="Palatino Linotype" w:cs="Palatino Linotype"/>
          <w:i/>
          <w:iCs/>
          <w:sz w:val="22"/>
          <w:szCs w:val="22"/>
        </w:rPr>
        <w:t xml:space="preserve"> así como sus excepciones, se desarrollen conforme lo establece la normatividad respectiva y en estricto apego a los lineamientos establecidos de eficiencia, eficacia, honradez y transparencia;</w:t>
      </w:r>
    </w:p>
    <w:p w14:paraId="275ACAF0"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 Establecer los mecanismos y procedimientos necesarios para la investigación y obtención de información sobre estudios de mercado y precios de referencia;</w:t>
      </w:r>
    </w:p>
    <w:p w14:paraId="6128156E"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XII. Revisar, suscribir y vigilar todos aquellos contratos que se formalicen con proveedores, así como su ejecución y ejercicio,</w:t>
      </w:r>
      <w:r w:rsidRPr="00B0563B">
        <w:rPr>
          <w:rFonts w:ascii="Palatino Linotype" w:eastAsia="Palatino Linotype" w:hAnsi="Palatino Linotype" w:cs="Palatino Linotype"/>
          <w:i/>
          <w:iCs/>
          <w:sz w:val="22"/>
          <w:szCs w:val="22"/>
        </w:rPr>
        <w:t xml:space="preserve"> relativos a fallos de adjudicación de procesos de licitación pública o de sus excepciones, mismos que deberán cumplir con la normatividad en la materia;</w:t>
      </w:r>
    </w:p>
    <w:p w14:paraId="59CAF84C"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14:paraId="5AA4658F"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6FD8F2A4"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XX. Establecer, operar y evaluar los mecanismos de coordinación con las delegaciones administrativas, en el ejercicio del presupuesto asignado</w:t>
      </w:r>
      <w:r w:rsidRPr="00B0563B">
        <w:rPr>
          <w:rFonts w:ascii="Palatino Linotype" w:eastAsia="Palatino Linotype" w:hAnsi="Palatino Linotype" w:cs="Palatino Linotype"/>
          <w:i/>
          <w:iCs/>
          <w:sz w:val="22"/>
          <w:szCs w:val="22"/>
        </w:rPr>
        <w:t xml:space="preserve">, movimientos de personal y solicitud de bienes, </w:t>
      </w:r>
      <w:r w:rsidRPr="00B0563B">
        <w:rPr>
          <w:rFonts w:ascii="Palatino Linotype" w:eastAsia="Palatino Linotype" w:hAnsi="Palatino Linotype" w:cs="Palatino Linotype"/>
          <w:b/>
          <w:bCs/>
          <w:i/>
          <w:iCs/>
          <w:sz w:val="22"/>
          <w:szCs w:val="22"/>
        </w:rPr>
        <w:t>insumos, servicios</w:t>
      </w:r>
      <w:r w:rsidRPr="00B0563B">
        <w:rPr>
          <w:rFonts w:ascii="Palatino Linotype" w:eastAsia="Palatino Linotype" w:hAnsi="Palatino Linotype" w:cs="Palatino Linotype"/>
          <w:i/>
          <w:iCs/>
          <w:sz w:val="22"/>
          <w:szCs w:val="22"/>
        </w:rPr>
        <w:t xml:space="preserve"> y arrendamientos que requieran las unidades administrativas para el desempeño de sus funciones; …”</w:t>
      </w:r>
    </w:p>
    <w:p w14:paraId="70E179A8" w14:textId="77777777" w:rsidR="00C7221D" w:rsidRPr="00B0563B" w:rsidRDefault="00802627">
      <w:pPr>
        <w:pBdr>
          <w:top w:val="nil"/>
          <w:left w:val="nil"/>
          <w:bottom w:val="nil"/>
          <w:right w:val="nil"/>
          <w:between w:val="nil"/>
        </w:pBdr>
        <w:spacing w:line="276" w:lineRule="auto"/>
        <w:ind w:left="851" w:right="5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(Énfasis Añadido)</w:t>
      </w:r>
    </w:p>
    <w:p w14:paraId="15051A72" w14:textId="77777777" w:rsidR="00C7221D" w:rsidRPr="00B0563B" w:rsidRDefault="00C7221D">
      <w:p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p>
    <w:p w14:paraId="7FD436FD" w14:textId="77777777" w:rsidR="00C7221D" w:rsidRPr="00B0563B" w:rsidRDefault="00802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De lo anterior, se arriba a las siguientes conclusiones: </w:t>
      </w:r>
    </w:p>
    <w:p w14:paraId="0B4E953A"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0BF9BB9"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u w:val="single"/>
        </w:rPr>
      </w:pPr>
      <w:r w:rsidRPr="00B0563B">
        <w:rPr>
          <w:rFonts w:ascii="Palatino Linotype" w:eastAsia="Palatino Linotype" w:hAnsi="Palatino Linotype" w:cs="Palatino Linotype"/>
          <w:sz w:val="22"/>
          <w:szCs w:val="22"/>
        </w:rPr>
        <w:t>Que se entenderá como evento público a cualquier actividad que se realice en un espacio público independientemente si fue organizado por particulares, por el municipio o por cualquier otro, entre los cuales se encuentran eventos culturales, turísticos, deportivos, sociales, entre otros.</w:t>
      </w:r>
    </w:p>
    <w:p w14:paraId="31C5F740"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el Ayuntamiento a través de la Dirección General de Educación, Cultura y Turismo será el encargado de planear e implementar acciones que impulsen actividades artísticas y culturales permanentes en el territorio municipal. </w:t>
      </w:r>
    </w:p>
    <w:p w14:paraId="12AB336F"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Que el Ayuntamiento organizará y promoverá foros académicos y culturales sobre diversos temas relacionados con la cultura.</w:t>
      </w:r>
    </w:p>
    <w:p w14:paraId="4CE0F35A"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el Ayuntamiento a través de la Dirección General de Educación, Cultura y Turismo será el encargado de organizar, coordinar y promover eventos culturales y recreativos, como exposiciones artísticas, muestras gastronómicas, ferias y actividades turísticas. </w:t>
      </w:r>
    </w:p>
    <w:p w14:paraId="6CE4AF37"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la Tesorería Municipal es la encargada de realizar todas las erogaciones que requieran las unidades administrativas; </w:t>
      </w:r>
    </w:p>
    <w:p w14:paraId="1C22C3EC"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la Tesorería será la encargada de otorgar suficiencia presupuestal a las solicitudes de adquisiciones y servicios de las dependencias; </w:t>
      </w:r>
    </w:p>
    <w:p w14:paraId="7CC300C9"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la Tesorería supervisara el registro y control de las operaciones financieras presupuestales y contables; </w:t>
      </w:r>
    </w:p>
    <w:p w14:paraId="600206DE"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la Tesorería analizara las solicitudes de asignación presupuestaria entregadas por las áreas y, expedirá copias certificadas de los documentos que acrediten el pago. </w:t>
      </w:r>
    </w:p>
    <w:p w14:paraId="48CE698F"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será la Dirección General de Administración la encargada de vigilar y dar el seguimiento correspondiente a todos los procedimientos de adquisición y contratación de servicios; </w:t>
      </w:r>
    </w:p>
    <w:p w14:paraId="31B476E8" w14:textId="77777777" w:rsidR="00C7221D" w:rsidRPr="00B0563B" w:rsidRDefault="00802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Que la Dirección General de Administración es la unidad administrativa encargada de revisar, suscribir y vigilar todos aquellos contratos que se formalicen con proveedores. </w:t>
      </w:r>
    </w:p>
    <w:p w14:paraId="73426198"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4A6F0B7"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lo anterior; se colige que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cuenta con facultades, atribuciones y competencias para generar, administrar y poseer información relacionada con lo solicitado, toda vez que, el Ayuntamiento entre sus atribuciones se encuentra la realización de eventos culturales y recreativos, como exposiciones artísticas, muestras gastronómicas, ferias y actividades turísticas, a través de la Dirección General de Educación, Cultura y Turismo, para lo cual es necesario la erogación de recursos públicos por parte de la Tesorería, debiendo, previamente verificar los documentos comprobatorios realizados por las áreas, mientras que la Dirección General de Administración será la encargada de revisar, suscribir y vigilar todos aquellos contratos que se formalicen con proveedores, derivados de los procedimientos de licitaciones públicas y contratación de servicios. </w:t>
      </w:r>
    </w:p>
    <w:p w14:paraId="236D76EC"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3977F86D"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Ahora bien, de la revisión al expediente electrónico se advierte que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turnó la solicitud a la Dirección General de Educación, Cultura y Turismo, Tesorería Municipal y Dirección General de Administración; en consecuencia, al haber turnado la solicitud a las unidades administrativas competentes, se determina que siguió el procedimiento para la atención a las solicitudes de acceso a la información, establecido en los artículos 151, 160, 162, 163, 164, 165 y 166, de la Ley de Transparencia y Acceso a la Información Pública del Estado de México y Municipios: </w:t>
      </w:r>
    </w:p>
    <w:p w14:paraId="4A824C62" w14:textId="77777777" w:rsidR="00C7221D" w:rsidRPr="00B0563B" w:rsidRDefault="00C722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3B91CD4" w14:textId="77777777" w:rsidR="00C7221D" w:rsidRPr="00B0563B" w:rsidRDefault="00802627">
      <w:pPr>
        <w:spacing w:line="360" w:lineRule="auto"/>
        <w:ind w:left="284"/>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F93A098" w14:textId="77777777" w:rsidR="00C7221D" w:rsidRPr="00B0563B" w:rsidRDefault="00802627">
      <w:pPr>
        <w:spacing w:line="360" w:lineRule="auto"/>
        <w:ind w:left="284"/>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D84CE2C" w14:textId="77777777" w:rsidR="00C7221D" w:rsidRPr="00B0563B" w:rsidRDefault="00802627">
      <w:pPr>
        <w:spacing w:line="360" w:lineRule="auto"/>
        <w:ind w:left="284"/>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AE637A4" w14:textId="77777777" w:rsidR="00C7221D" w:rsidRPr="00B0563B" w:rsidRDefault="00802627">
      <w:pPr>
        <w:spacing w:line="360" w:lineRule="auto"/>
        <w:ind w:left="284"/>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CF15743" w14:textId="77777777" w:rsidR="00C7221D" w:rsidRPr="00B0563B" w:rsidRDefault="00802627">
      <w:pPr>
        <w:spacing w:line="360" w:lineRule="auto"/>
        <w:ind w:left="284"/>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1AD6029" w14:textId="77777777" w:rsidR="00C7221D" w:rsidRPr="00B0563B" w:rsidRDefault="00802627">
      <w:pPr>
        <w:spacing w:line="360" w:lineRule="auto"/>
        <w:ind w:left="284"/>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34ECEED"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1651F41"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En este orden de ideas, se reitera que la Unidad de Transparencia al turnar la solicitud a las unidades administrativas competentes se tiene que se acreditó la correcta búsqueda exhaustiva y razonable de la información.</w:t>
      </w:r>
    </w:p>
    <w:p w14:paraId="4F6CF38D"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C85AA4"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Bajo ese contexto, este Órgano Garante procedió a realizar una búsqueda de indicios que permitieran advertir la realización de eventos realizados por cultura, en la que se localizó en la página oficial del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la difusión de una Agenda Cultural</w:t>
      </w:r>
      <w:r w:rsidRPr="00B0563B">
        <w:rPr>
          <w:rFonts w:ascii="Palatino Linotype" w:eastAsia="Palatino Linotype" w:hAnsi="Palatino Linotype" w:cs="Palatino Linotype"/>
          <w:sz w:val="22"/>
          <w:szCs w:val="22"/>
          <w:vertAlign w:val="superscript"/>
        </w:rPr>
        <w:footnoteReference w:id="1"/>
      </w:r>
      <w:r w:rsidRPr="00B0563B">
        <w:rPr>
          <w:rFonts w:ascii="Palatino Linotype" w:eastAsia="Palatino Linotype" w:hAnsi="Palatino Linotype" w:cs="Palatino Linotype"/>
          <w:sz w:val="22"/>
          <w:szCs w:val="22"/>
        </w:rPr>
        <w:t xml:space="preserve"> dirigida a la población, circunstancia que constituye un indicio relevante de la celebración de actividades públicas organizadas por la propia autoridad municipal a través de la Dirección General de Educación, Cultura y Turismo, para mejor referencia se inserta la siguiente imagen:</w:t>
      </w:r>
    </w:p>
    <w:p w14:paraId="1E4A0711" w14:textId="77777777" w:rsidR="00C7221D" w:rsidRPr="00B0563B" w:rsidRDefault="0080262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B0563B">
        <w:rPr>
          <w:rFonts w:ascii="Palatino Linotype" w:eastAsia="Palatino Linotype" w:hAnsi="Palatino Linotype" w:cs="Palatino Linotype"/>
          <w:noProof/>
          <w:sz w:val="22"/>
          <w:szCs w:val="22"/>
        </w:rPr>
        <w:drawing>
          <wp:inline distT="0" distB="0" distL="0" distR="0" wp14:anchorId="1569AC20" wp14:editId="11FD16E7">
            <wp:extent cx="3441922" cy="5005159"/>
            <wp:effectExtent l="0" t="0" r="0" b="0"/>
            <wp:docPr id="21286493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441922" cy="5005159"/>
                    </a:xfrm>
                    <a:prstGeom prst="rect">
                      <a:avLst/>
                    </a:prstGeom>
                    <a:ln/>
                  </pic:spPr>
                </pic:pic>
              </a:graphicData>
            </a:graphic>
          </wp:inline>
        </w:drawing>
      </w:r>
    </w:p>
    <w:p w14:paraId="18FDE794"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Lo anterior guarda relación con lo referido por la Dirección de Cultura y Turismo al señalar que la información relativa a los eventos realizados durante la administración 2025 puede ser consultada en los medios de comunicación oficial del Ayuntamiento de Toluca, así como en las plataformas digitales de la Dirección General de Educación, Cultura y Turismo, disponibles en los siguientes sitios web: https://www.toluca.gob.mx, Redes sociales oficiales y sitio institucional de la Dirección General.</w:t>
      </w:r>
    </w:p>
    <w:p w14:paraId="5FA9C86B"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7A9ECB"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Sin embargo, de lo anteriormente expuesto no se advierte la información que desea conocer particularmente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por lo que se procede al análisis pormenorizado de cada uno de los requerimientos con la finalidad de determinar si con lo remitido en respuesta colma el derecho de acceso a la información 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o bien determinar si es pertinente su entrega. </w:t>
      </w:r>
    </w:p>
    <w:p w14:paraId="6E2A9721"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F4AE78"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De este modo y respecto al </w:t>
      </w:r>
      <w:r w:rsidRPr="00B0563B">
        <w:rPr>
          <w:rFonts w:ascii="Palatino Linotype" w:eastAsia="Palatino Linotype" w:hAnsi="Palatino Linotype" w:cs="Palatino Linotype"/>
          <w:i/>
          <w:iCs/>
          <w:sz w:val="22"/>
          <w:szCs w:val="22"/>
        </w:rPr>
        <w:t>Costo de cada uno de los eventos realizados por la Dirección de Cultura</w:t>
      </w:r>
      <w:r w:rsidRPr="00B0563B">
        <w:rPr>
          <w:rFonts w:ascii="Palatino Linotype" w:eastAsia="Palatino Linotype" w:hAnsi="Palatino Linotype" w:cs="Palatino Linotype"/>
          <w:sz w:val="22"/>
          <w:szCs w:val="22"/>
        </w:rPr>
        <w:t xml:space="preserve"> </w:t>
      </w:r>
      <w:r w:rsidRPr="00B0563B">
        <w:rPr>
          <w:rFonts w:ascii="Palatino Linotype" w:eastAsia="Palatino Linotype" w:hAnsi="Palatino Linotype" w:cs="Palatino Linotype"/>
          <w:i/>
          <w:iCs/>
          <w:sz w:val="22"/>
          <w:szCs w:val="22"/>
        </w:rPr>
        <w:t>del primero de enero al cinco de agosto de dos mil veinticinco</w:t>
      </w:r>
      <w:r w:rsidRPr="00B0563B">
        <w:rPr>
          <w:rFonts w:ascii="Palatino Linotype" w:eastAsia="Palatino Linotype" w:hAnsi="Palatino Linotype" w:cs="Palatino Linotype"/>
          <w:sz w:val="22"/>
          <w:szCs w:val="22"/>
        </w:rPr>
        <w:t xml:space="preserv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a través de la Tesorería Municipal hizo entrega de los Estados Analíticos del Ejercicio del Presupuesto de Egresos Clasificación Administrativa y Funcional (Finalidad y Función) del primer trimestre (enero - marzo) de dos mil veinticinco, destacando que la información se encuentra integrada de forma general y no de forma particular; aunado a ello señaló que, los meses de abril, mayo, junio y julio del año que transcurre no se encuentran publicados ya que forman parte de la integración del segundo y tercer informe trimestral de dos mil veinticinco, de los cuales se advierte lo siguiente:  </w:t>
      </w:r>
    </w:p>
    <w:p w14:paraId="2FD61793"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531E1F"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noProof/>
          <w:sz w:val="22"/>
          <w:szCs w:val="22"/>
        </w:rPr>
        <w:drawing>
          <wp:inline distT="0" distB="0" distL="0" distR="0" wp14:anchorId="35645623" wp14:editId="65495BB9">
            <wp:extent cx="5612130" cy="3901440"/>
            <wp:effectExtent l="0" t="0" r="0" b="0"/>
            <wp:docPr id="2128649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3305"/>
                    <a:stretch>
                      <a:fillRect/>
                    </a:stretch>
                  </pic:blipFill>
                  <pic:spPr>
                    <a:xfrm>
                      <a:off x="0" y="0"/>
                      <a:ext cx="5612130" cy="3901440"/>
                    </a:xfrm>
                    <a:prstGeom prst="rect">
                      <a:avLst/>
                    </a:prstGeom>
                    <a:ln/>
                  </pic:spPr>
                </pic:pic>
              </a:graphicData>
            </a:graphic>
          </wp:inline>
        </w:drawing>
      </w:r>
      <w:r w:rsidRPr="00B0563B">
        <w:rPr>
          <w:noProof/>
        </w:rPr>
        <mc:AlternateContent>
          <mc:Choice Requires="wps">
            <w:drawing>
              <wp:anchor distT="0" distB="0" distL="114300" distR="114300" simplePos="0" relativeHeight="251658240" behindDoc="0" locked="0" layoutInCell="1" hidden="0" allowOverlap="1" wp14:anchorId="4A50AE56" wp14:editId="143CE2D3">
                <wp:simplePos x="0" y="0"/>
                <wp:positionH relativeFrom="column">
                  <wp:posOffset>85092</wp:posOffset>
                </wp:positionH>
                <wp:positionV relativeFrom="paragraph">
                  <wp:posOffset>3322954</wp:posOffset>
                </wp:positionV>
                <wp:extent cx="5535930" cy="101600"/>
                <wp:effectExtent l="0" t="0" r="0" b="0"/>
                <wp:wrapNone/>
                <wp:docPr id="2128649359" name="Rectángulo 2128649359"/>
                <wp:cNvGraphicFramePr/>
                <a:graphic xmlns:a="http://schemas.openxmlformats.org/drawingml/2006/main">
                  <a:graphicData uri="http://schemas.microsoft.com/office/word/2010/wordprocessingShape">
                    <wps:wsp>
                      <wps:cNvSpPr/>
                      <wps:spPr>
                        <a:xfrm>
                          <a:off x="2587560" y="3738725"/>
                          <a:ext cx="5516880" cy="82550"/>
                        </a:xfrm>
                        <a:prstGeom prst="rect">
                          <a:avLst/>
                        </a:prstGeom>
                        <a:noFill/>
                        <a:ln w="19050" cap="flat" cmpd="sng">
                          <a:solidFill>
                            <a:srgbClr val="EE0000"/>
                          </a:solidFill>
                          <a:prstDash val="solid"/>
                          <a:round/>
                          <a:headEnd type="none" w="sm" len="sm"/>
                          <a:tailEnd type="none" w="sm" len="sm"/>
                        </a:ln>
                      </wps:spPr>
                      <wps:txbx>
                        <w:txbxContent>
                          <w:p w14:paraId="1960D105" w14:textId="77777777" w:rsidR="00C7221D" w:rsidRDefault="00C7221D">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A50AE56" id="Rectángulo 2128649359" o:spid="_x0000_s1026" style="position:absolute;left:0;text-align:left;margin-left:6.7pt;margin-top:261.65pt;width:435.9pt;height: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G8EQIAABcEAAAOAAAAZHJzL2Uyb0RvYy54bWysU8GO0zAQvSPxD5bvNGmXdLNV0xXatghp&#10;BZUWPsB1nMaSY5sZt0n/nrFTtgUOSIgcnJl48ubN8/PycegMOylA7WzFp5OcM2Wlq7U9VPzb1+27&#10;kjMMwtbCOKsqflbIH1dv3yx7v1Az1zpTK2AEYnHR+4q3IfhFlqFsVSdw4ryytNk46ESgFA5ZDaIn&#10;9M5kszyfZ72D2oOTCpG+rsdNvkr4TaNk+NI0qAIzFSduIa2Q1n1cs9VSLA4gfKvlhYb4Bxad0Jaa&#10;vkKtRRDsCPoPqE5LcOiaMJGuy1zTaKnSDDTNNP9tmpdWeJVmIXHQv8qE/w9Wfj69+B2QDL3HBVIY&#10;pxga6OKb+LGh4rOivC/mJN+54nf3d+X9rBiFU0NgkgqKYjovSyqQVFHOiiIJm12BPGD4qFzHYlBx&#10;oHNJconTMwZqTqU/S2Jf67bamHQ2xrKejPWQEyaTgizSGBEo7HxdcbSHhIPO6Dr+E/9GOOyfDLCT&#10;oEPfbHJ6Il3q8UtZbLgW2I51aWucCtzR1ql5q0S9sTULZ0/eteRgHtlgx5lR5HcKUl0Q2vy9jggY&#10;SzyuSscoDPuBQGK4d/V5Bwy93Goi9yww7ASQH6fUljxKDb8fBRAJ88mSCR6m7+kkWLhN4DbZ3ybC&#10;ytaR9WUAzsbkKaSrMEr+4Rhco9NpXMlc6JL7koCXmxLtfZunqut9Xv0AAAD//wMAUEsDBBQABgAI&#10;AAAAIQBtIHyE3wAAAAoBAAAPAAAAZHJzL2Rvd25yZXYueG1sTI/BToQwEIbvJr5DMybe3CJdTBcp&#10;G2PiwZgYWPfirUtHINKW0MKiT+940uM/8+Wfb4r9age24BR67xTcbhJg6BpvetcqOL493UhgIWpn&#10;9OAdKvjCAPvy8qLQufFnV+NyiC2jEhdyraCLccw5D02HVoeNH9HR7sNPVkeKU8vNpM9UbgeeJskd&#10;t7p3dKHTIz522HweZqtgTsbjEt+fd9mL3NpXWVd19V0pdX21PtwDi7jGPxh+9UkdSnI6+dmZwAbK&#10;YkukgiwVAhgBUmYpsBNNxE4ALwv+/4XyBwAA//8DAFBLAQItABQABgAIAAAAIQC2gziS/gAAAOEB&#10;AAATAAAAAAAAAAAAAAAAAAAAAABbQ29udGVudF9UeXBlc10ueG1sUEsBAi0AFAAGAAgAAAAhADj9&#10;If/WAAAAlAEAAAsAAAAAAAAAAAAAAAAALwEAAF9yZWxzLy5yZWxzUEsBAi0AFAAGAAgAAAAhAPdU&#10;4bwRAgAAFwQAAA4AAAAAAAAAAAAAAAAALgIAAGRycy9lMm9Eb2MueG1sUEsBAi0AFAAGAAgAAAAh&#10;AG0gfITfAAAACgEAAA8AAAAAAAAAAAAAAAAAawQAAGRycy9kb3ducmV2LnhtbFBLBQYAAAAABAAE&#10;APMAAAB3BQAAAAA=&#10;" filled="f" strokecolor="#e00" strokeweight="1.5pt">
                <v:stroke startarrowwidth="narrow" startarrowlength="short" endarrowwidth="narrow" endarrowlength="short" joinstyle="round"/>
                <v:textbox inset="2.53958mm,2.53958mm,2.53958mm,2.53958mm">
                  <w:txbxContent>
                    <w:p w14:paraId="1960D105" w14:textId="77777777" w:rsidR="00C7221D" w:rsidRDefault="00C7221D">
                      <w:pPr>
                        <w:textDirection w:val="btLr"/>
                      </w:pPr>
                    </w:p>
                  </w:txbxContent>
                </v:textbox>
              </v:rect>
            </w:pict>
          </mc:Fallback>
        </mc:AlternateContent>
      </w:r>
    </w:p>
    <w:p w14:paraId="66B75C2F"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noProof/>
          <w:sz w:val="22"/>
          <w:szCs w:val="22"/>
        </w:rPr>
        <w:drawing>
          <wp:inline distT="0" distB="0" distL="0" distR="0" wp14:anchorId="7ED67A5C" wp14:editId="05212718">
            <wp:extent cx="5678252" cy="3447739"/>
            <wp:effectExtent l="0" t="0" r="0" b="0"/>
            <wp:docPr id="21286493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78252" cy="3447739"/>
                    </a:xfrm>
                    <a:prstGeom prst="rect">
                      <a:avLst/>
                    </a:prstGeom>
                    <a:ln/>
                  </pic:spPr>
                </pic:pic>
              </a:graphicData>
            </a:graphic>
          </wp:inline>
        </w:drawing>
      </w:r>
      <w:r w:rsidRPr="00B0563B">
        <w:rPr>
          <w:noProof/>
        </w:rPr>
        <mc:AlternateContent>
          <mc:Choice Requires="wps">
            <w:drawing>
              <wp:anchor distT="0" distB="0" distL="114300" distR="114300" simplePos="0" relativeHeight="251659264" behindDoc="0" locked="0" layoutInCell="1" hidden="0" allowOverlap="1" wp14:anchorId="63E56702" wp14:editId="72ADA6C4">
                <wp:simplePos x="0" y="0"/>
                <wp:positionH relativeFrom="column">
                  <wp:posOffset>130175</wp:posOffset>
                </wp:positionH>
                <wp:positionV relativeFrom="paragraph">
                  <wp:posOffset>1793239</wp:posOffset>
                </wp:positionV>
                <wp:extent cx="5535930" cy="101600"/>
                <wp:effectExtent l="0" t="0" r="0" b="0"/>
                <wp:wrapNone/>
                <wp:docPr id="2128649360" name="Rectángulo 2128649360"/>
                <wp:cNvGraphicFramePr/>
                <a:graphic xmlns:a="http://schemas.openxmlformats.org/drawingml/2006/main">
                  <a:graphicData uri="http://schemas.microsoft.com/office/word/2010/wordprocessingShape">
                    <wps:wsp>
                      <wps:cNvSpPr/>
                      <wps:spPr>
                        <a:xfrm>
                          <a:off x="2587560" y="3738725"/>
                          <a:ext cx="5516880" cy="82550"/>
                        </a:xfrm>
                        <a:prstGeom prst="rect">
                          <a:avLst/>
                        </a:prstGeom>
                        <a:noFill/>
                        <a:ln w="19050" cap="flat" cmpd="sng">
                          <a:solidFill>
                            <a:srgbClr val="EE0000"/>
                          </a:solidFill>
                          <a:prstDash val="solid"/>
                          <a:round/>
                          <a:headEnd type="none" w="sm" len="sm"/>
                          <a:tailEnd type="none" w="sm" len="sm"/>
                        </a:ln>
                      </wps:spPr>
                      <wps:txbx>
                        <w:txbxContent>
                          <w:p w14:paraId="4654F849" w14:textId="77777777" w:rsidR="00C7221D" w:rsidRDefault="00C7221D">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3E56702" id="Rectángulo 2128649360" o:spid="_x0000_s1027" style="position:absolute;left:0;text-align:left;margin-left:10.25pt;margin-top:141.2pt;width:435.9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jFgIAAB4EAAAOAAAAZHJzL2Uyb0RvYy54bWysU8GO0zAQvSPxD5bvNGmXdLNV0xXatghp&#10;BZUWPsB1nMaSY5sZt0n/nrFTtgUOSIgcnJl48ubN8/PycegMOylA7WzFp5OcM2Wlq7U9VPzb1+27&#10;kjMMwtbCOKsqflbIH1dv3yx7v1Az1zpTK2AEYnHR+4q3IfhFlqFsVSdw4ryytNk46ESgFA5ZDaIn&#10;9M5kszyfZ72D2oOTCpG+rsdNvkr4TaNk+NI0qAIzFSduIa2Q1n1cs9VSLA4gfKvlhYb4Bxad0Jaa&#10;vkKtRRDsCPoPqE5LcOiaMJGuy1zTaKnSDDTNNP9tmpdWeJVmIXHQv8qE/w9Wfj69+B2QDL3HBVIY&#10;pxga6OKb+LGh4rOivC/mJN+54nf3d+X9rBiFU0NgkgqKYjovSyqQVFHOiiIJm12BPGD4qFzHYlBx&#10;oHNJconTMwZqTqU/S2Jf67bamHQ2xrKejPWQEyaTgizSGBEo7HxdcbSHhIPO6Dr+E/9GOOyfDLCT&#10;oEPfbHJ6Il3q8UtZbLgW2I51aWucCtzR1ql5q0S9sTULZ0/eteRgHtlgx5lR5HcKUl0Q2vy9jggY&#10;SzyuSscoDPuBaZplGrHil72rzztg6OVWE8dngWEngGw5pe5kVer7/SiAuJhPlrzwMH1PB8LCbQK3&#10;yf42EVa2jm6ADMDZmDyFdCNG5T8cg2t0OpQrmQtrMmHS8XJhostv81R1vdarHwAAAP//AwBQSwME&#10;FAAGAAgAAAAhAGglp4XgAAAACgEAAA8AAABkcnMvZG93bnJldi54bWxMj8FKxDAQhu+C7xBG8OYm&#10;1q6ktekiggcRpF334i3bjG2xSUqTdqtP73hyT8PMfPzzTbFb7cAWnELvnYLbjQCGrvGmd62Cw/vz&#10;jQQWonZGD96hgm8MsCsvLwqdG39yNS772DIKcSHXCroYx5zz0HRoddj4ER3tPv1kdaR2armZ9InC&#10;7cATIe651b2jC50e8anD5ms/WwWzGA9L/HjJtq8ytW+yrurqp1Lq+mp9fAAWcY3/MPzpkzqU5HT0&#10;szOBDQoSsSWSqkxSYATILLkDdqRJJlPgZcHPXyh/AQAA//8DAFBLAQItABQABgAIAAAAIQC2gziS&#10;/gAAAOEBAAATAAAAAAAAAAAAAAAAAAAAAABbQ29udGVudF9UeXBlc10ueG1sUEsBAi0AFAAGAAgA&#10;AAAhADj9If/WAAAAlAEAAAsAAAAAAAAAAAAAAAAALwEAAF9yZWxzLy5yZWxzUEsBAi0AFAAGAAgA&#10;AAAhAL6vO2MWAgAAHgQAAA4AAAAAAAAAAAAAAAAALgIAAGRycy9lMm9Eb2MueG1sUEsBAi0AFAAG&#10;AAgAAAAhAGglp4XgAAAACgEAAA8AAAAAAAAAAAAAAAAAcAQAAGRycy9kb3ducmV2LnhtbFBLBQYA&#10;AAAABAAEAPMAAAB9BQAAAAA=&#10;" filled="f" strokecolor="#e00" strokeweight="1.5pt">
                <v:stroke startarrowwidth="narrow" startarrowlength="short" endarrowwidth="narrow" endarrowlength="short" joinstyle="round"/>
                <v:textbox inset="2.53958mm,2.53958mm,2.53958mm,2.53958mm">
                  <w:txbxContent>
                    <w:p w14:paraId="4654F849" w14:textId="77777777" w:rsidR="00C7221D" w:rsidRDefault="00C7221D">
                      <w:pPr>
                        <w:textDirection w:val="btLr"/>
                      </w:pPr>
                    </w:p>
                  </w:txbxContent>
                </v:textbox>
              </v:rect>
            </w:pict>
          </mc:Fallback>
        </mc:AlternateContent>
      </w:r>
    </w:p>
    <w:p w14:paraId="23585782"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21E74D"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De las imágenes insertadas con anterioridad se puede advertir que tal y como lo señaló la Tesorería Municipal la información se encuentra integrada de forma general; sin embargo,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desea conocer los costos de cada uno de los eventos, es decir, de forma particular; para ello conviene recordar que para la erogación de recursos públicos para la realización de eventos culturales o sociales, corresponde a la Tesorería Municipal autorizar la suficiencia presupuestal, verificando la documentación remitida y realizando los pagos correspondientes. </w:t>
      </w:r>
    </w:p>
    <w:p w14:paraId="22B33CFB"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373203" w14:textId="77777777" w:rsidR="00C7221D" w:rsidRPr="00B0563B" w:rsidRDefault="0080262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Ahora bien, es necesario precisar que esta documentación se soporta en facturas, lo cual guarda relación con otro de los documentos que desea obtener el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por ello es necesario conocer a que nos referimos por “</w:t>
      </w:r>
      <w:r w:rsidRPr="00B0563B">
        <w:rPr>
          <w:rFonts w:ascii="Palatino Linotype" w:eastAsia="Palatino Linotype" w:hAnsi="Palatino Linotype" w:cs="Palatino Linotype"/>
          <w:i/>
          <w:iCs/>
          <w:sz w:val="22"/>
          <w:szCs w:val="22"/>
        </w:rPr>
        <w:t>factura</w:t>
      </w:r>
      <w:r w:rsidRPr="00B0563B">
        <w:rPr>
          <w:rFonts w:ascii="Palatino Linotype" w:eastAsia="Palatino Linotype" w:hAnsi="Palatino Linotype" w:cs="Palatino Linotype"/>
          <w:sz w:val="22"/>
          <w:szCs w:val="22"/>
        </w:rPr>
        <w:t xml:space="preserve">”; al respecto, nos referiremos a éste </w:t>
      </w:r>
      <w:proofErr w:type="gramStart"/>
      <w:r w:rsidRPr="00B0563B">
        <w:rPr>
          <w:rFonts w:ascii="Palatino Linotype" w:eastAsia="Palatino Linotype" w:hAnsi="Palatino Linotype" w:cs="Palatino Linotype"/>
          <w:sz w:val="22"/>
          <w:szCs w:val="22"/>
        </w:rPr>
        <w:t>concepto</w:t>
      </w:r>
      <w:proofErr w:type="gramEnd"/>
      <w:r w:rsidRPr="00B0563B">
        <w:rPr>
          <w:rFonts w:ascii="Palatino Linotype" w:eastAsia="Palatino Linotype" w:hAnsi="Palatino Linotype" w:cs="Palatino Linotype"/>
          <w:sz w:val="22"/>
          <w:szCs w:val="22"/>
        </w:rPr>
        <w:t xml:space="preserve"> aunque sea sucintamente de acuerdo a lo que dispone el Glosario de Términos Hacendarios que emite el Instituto Hacendario del Estado de México, mismo que expresa lo siguiente:</w:t>
      </w:r>
    </w:p>
    <w:p w14:paraId="4D868C35" w14:textId="77777777" w:rsidR="00C7221D" w:rsidRPr="00B0563B" w:rsidRDefault="00C7221D">
      <w:pPr>
        <w:pBdr>
          <w:top w:val="nil"/>
          <w:left w:val="nil"/>
          <w:bottom w:val="nil"/>
          <w:right w:val="nil"/>
          <w:between w:val="nil"/>
        </w:pBdr>
        <w:ind w:left="567" w:right="567"/>
        <w:jc w:val="both"/>
        <w:rPr>
          <w:rFonts w:ascii="Palatino Linotype" w:eastAsia="Palatino Linotype" w:hAnsi="Palatino Linotype" w:cs="Palatino Linotype"/>
          <w:i/>
          <w:iCs/>
          <w:sz w:val="22"/>
          <w:szCs w:val="22"/>
        </w:rPr>
      </w:pPr>
    </w:p>
    <w:p w14:paraId="3DBDB568" w14:textId="77777777" w:rsidR="00C7221D" w:rsidRPr="00B0563B" w:rsidRDefault="00802627">
      <w:pPr>
        <w:pBdr>
          <w:top w:val="nil"/>
          <w:left w:val="nil"/>
          <w:bottom w:val="nil"/>
          <w:right w:val="nil"/>
          <w:between w:val="nil"/>
        </w:pBdr>
        <w:spacing w:line="276" w:lineRule="auto"/>
        <w:ind w:left="851" w:right="567"/>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FACTURA:</w:t>
      </w:r>
    </w:p>
    <w:p w14:paraId="31E51CB1" w14:textId="77777777" w:rsidR="00C7221D" w:rsidRPr="00B0563B" w:rsidRDefault="00802627">
      <w:pPr>
        <w:pBdr>
          <w:top w:val="nil"/>
          <w:left w:val="nil"/>
          <w:bottom w:val="nil"/>
          <w:right w:val="nil"/>
          <w:between w:val="nil"/>
        </w:pBdr>
        <w:spacing w:line="276" w:lineRule="auto"/>
        <w:ind w:left="851" w:right="567"/>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Es el documento fiscal que emite la persona física o moral para comprobar la venta o adquisición de un bien y/o servicio.”</w:t>
      </w:r>
    </w:p>
    <w:p w14:paraId="3D8A77D6" w14:textId="77777777" w:rsidR="00C7221D" w:rsidRPr="00B0563B" w:rsidRDefault="00C7221D">
      <w:pPr>
        <w:pBdr>
          <w:top w:val="nil"/>
          <w:left w:val="nil"/>
          <w:bottom w:val="nil"/>
          <w:right w:val="nil"/>
          <w:between w:val="nil"/>
        </w:pBdr>
        <w:spacing w:line="360" w:lineRule="auto"/>
        <w:ind w:left="567" w:right="567"/>
        <w:jc w:val="both"/>
        <w:rPr>
          <w:rFonts w:ascii="Palatino Linotype" w:eastAsia="Palatino Linotype" w:hAnsi="Palatino Linotype" w:cs="Palatino Linotype"/>
          <w:sz w:val="22"/>
          <w:szCs w:val="22"/>
        </w:rPr>
      </w:pPr>
    </w:p>
    <w:p w14:paraId="042415CD"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pues, </w:t>
      </w:r>
      <w:r w:rsidRPr="00B0563B">
        <w:rPr>
          <w:rFonts w:ascii="Palatino Linotype" w:eastAsia="Palatino Linotype" w:hAnsi="Palatino Linotype" w:cs="Palatino Linotype"/>
          <w:b/>
          <w:bCs/>
          <w:sz w:val="22"/>
          <w:szCs w:val="22"/>
        </w:rPr>
        <w:t>constituyen los medios idóneos de evidencia o justificación del gasto realizado con recursos públicos</w:t>
      </w:r>
      <w:r w:rsidRPr="00B0563B">
        <w:rPr>
          <w:rFonts w:ascii="Palatino Linotype" w:eastAsia="Palatino Linotype" w:hAnsi="Palatino Linotype" w:cs="Palatino Linotype"/>
          <w:sz w:val="22"/>
          <w:szCs w:val="22"/>
        </w:rPr>
        <w:t xml:space="preserve">,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776510C4"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7B41315A"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B0563B">
        <w:rPr>
          <w:rFonts w:ascii="Palatino Linotype" w:eastAsia="Palatino Linotype" w:hAnsi="Palatino Linotype" w:cs="Palatino Linotype"/>
          <w:sz w:val="22"/>
          <w:szCs w:val="22"/>
        </w:rPr>
        <w:t>Presupuestación</w:t>
      </w:r>
      <w:proofErr w:type="spellEnd"/>
      <w:r w:rsidRPr="00B0563B">
        <w:rPr>
          <w:rFonts w:ascii="Palatino Linotype" w:eastAsia="Palatino Linotype" w:hAnsi="Palatino Linotype" w:cs="Palatino Linotype"/>
          <w:sz w:val="22"/>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F0F372B"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5C42EA2"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 xml:space="preserve">REGISTRO CONTABLE </w:t>
      </w:r>
    </w:p>
    <w:p w14:paraId="623DD7AA"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Asiento que se realiza en los libros de contabilidad de las actividades relacionadas con el ingreso y egresos de un ente económico.” (Sic)</w:t>
      </w:r>
    </w:p>
    <w:p w14:paraId="7987744A"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“REGISTRO PRESUPUESTARIO</w:t>
      </w:r>
    </w:p>
    <w:p w14:paraId="5C852B6C"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Asiento contable de las erogaciones realizadas por las dependencias y entidades con relación a la asignación, modificación y ejercicio de los recursos presupuestarios que se les hayan autorizado.” (Sic)</w:t>
      </w:r>
    </w:p>
    <w:p w14:paraId="7BDFC7D7"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3027BBD"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2151EC96"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EEDF1AF"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que debe ser la Tesorería Municipal o equivalente.</w:t>
      </w:r>
    </w:p>
    <w:p w14:paraId="695DB371"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B9F355"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consecuencia,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cuenta con atribuciones para generar poseer o administrar los documentos donde conste el costo pagado para la realización de cada uno de los eventos realizados por la Dirección General de Educación, Cultura y Turismo, mismo que puede advertirse de las facturas pagadas, por ello, resulta procedente ordenar la entrega de las Facturas pagadas para la realización de cada uno de los eventos realizados por la Dirección General de Educación, Cultura y Turismo, del primero de enero al cinco de agosto de dos mil veinticinco. De ser el caso de que la información que se ordena entregar contenga datos personales susceptibles de clasificarse como confidenciales,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estará a lo dispuesto del Considerando Quinto de la Presente Resolución.</w:t>
      </w:r>
    </w:p>
    <w:p w14:paraId="5AB8D254"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7F69C12B"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ese sentido, respecto a la </w:t>
      </w:r>
      <w:r w:rsidRPr="00B0563B">
        <w:rPr>
          <w:rFonts w:ascii="Palatino Linotype" w:eastAsia="Palatino Linotype" w:hAnsi="Palatino Linotype" w:cs="Palatino Linotype"/>
          <w:i/>
          <w:iCs/>
          <w:sz w:val="22"/>
          <w:szCs w:val="22"/>
        </w:rPr>
        <w:t>Lista, padrón de asistentes, beneficiarios y bases de datos de todos los eventos</w:t>
      </w:r>
      <w:r w:rsidRPr="00B0563B">
        <w:rPr>
          <w:rFonts w:ascii="Palatino Linotype" w:eastAsia="Palatino Linotype" w:hAnsi="Palatino Linotype" w:cs="Palatino Linotype"/>
          <w:sz w:val="22"/>
          <w:szCs w:val="22"/>
        </w:rPr>
        <w:t xml:space="preserv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a través de la Directora General de Educación, Cultura y Turismo informó que los eventos culturales organizados son en su mayoría, de carácter público y masivo y en los casos en que se recaban datos personales, éstos se encuentran protegidos conforme a los artículos 3, fracciones VII y VII; 4; 18; 22; 23 y demás relativos de la Ley de Protección de Datos Personales en Posesión de Sujetos Obligados del Estado de México y Municipios, así como en los respectivos Avisos de Privacidad.</w:t>
      </w:r>
    </w:p>
    <w:p w14:paraId="17249AF7"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59B172"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En consecuencia, el entregar bases de datos con información personal de los asistentes, su difusión implicaría la vulneración del derecho a la protección de datos personales, reconocido en el artículo 16, párrafo segundo, de la Constitución Política de los Estados Unidos Mexicanos.</w:t>
      </w:r>
    </w:p>
    <w:p w14:paraId="75F959B2"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F30875"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De este modo se advierte que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asume que si cuenta con un registro de asistencia de las personas que acudieron a los eventos realizados por la Dirección General de Educación, Cultura y Turismo; sin embargo, este Organismo Garante considera prudente señalar que de dichos registros se pueden advertir los nombres de los asistentes a los eventos, no obstante, pudieran ser particulares, por ello es necesario realizar las siguientes precisiones:</w:t>
      </w:r>
    </w:p>
    <w:p w14:paraId="7B986803"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0DB3081"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tratándose de personas que no son servidores públicos, se considera un dato personal susceptible de clasificarse como información confidencial en términos de la fracción I del artículo 143 de la Ley de Transparencia Local.</w:t>
      </w:r>
    </w:p>
    <w:p w14:paraId="13E0909E"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918C961"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De esta manera, es que resulta dable ordenar, que en el caso de que el ente público haya generado un registro de asistencia de las personas que asistieron a los eventos realizados por la Dirección General de Educación, Cultura y Turismo, deberá hacer entrega, en cumplimiento a la presente resolución, del Acuerdo del Comité de Transparencia en el que se funde y motive la clasificación como información confidencial en términos de la fracción I del artículo 143 de la Ley de Transparencia y Acceso a la Información Pública del Estado de México y Municipios, del dato relativo al nombre de los particulares que asistieron a los eventos realizados por la Dirección General de Educación, Cultura y Turismo, del primero de enero al cinco de agosto de dos mil veinticinco.</w:t>
      </w:r>
    </w:p>
    <w:p w14:paraId="36F248C2"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07DE0F00"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Respecto a los </w:t>
      </w:r>
      <w:r w:rsidRPr="00B0563B">
        <w:rPr>
          <w:rFonts w:ascii="Palatino Linotype" w:eastAsia="Palatino Linotype" w:hAnsi="Palatino Linotype" w:cs="Palatino Linotype"/>
          <w:i/>
          <w:iCs/>
          <w:sz w:val="22"/>
          <w:szCs w:val="22"/>
        </w:rPr>
        <w:t>beneficiarios</w:t>
      </w:r>
      <w:r w:rsidRPr="00B0563B">
        <w:rPr>
          <w:rFonts w:ascii="Palatino Linotype" w:eastAsia="Palatino Linotype" w:hAnsi="Palatino Linotype" w:cs="Palatino Linotype"/>
          <w:sz w:val="22"/>
          <w:szCs w:val="22"/>
        </w:rPr>
        <w:t xml:space="preserve">, es de señalar que el padrón de beneficiarios, se trata de una obligación de transparencia que le aplica al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de conformidad con lo dispuesto en el artículo 92 inciso p) de la Ley de Transparencia y Acceso a la Información Pública del Estado de México y Municipios, que a letra dice: </w:t>
      </w:r>
    </w:p>
    <w:p w14:paraId="6CF22247"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019EF3D"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92.</w:t>
      </w:r>
      <w:r w:rsidRPr="00B0563B">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FBAAF0"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5AD9805E"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651E856A"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5EF12998"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4D5903F" w14:textId="77777777" w:rsidR="00C7221D" w:rsidRPr="00B0563B" w:rsidRDefault="00C7221D">
      <w:pPr>
        <w:ind w:left="851" w:right="899"/>
        <w:jc w:val="both"/>
        <w:rPr>
          <w:rFonts w:ascii="Palatino Linotype" w:eastAsia="Palatino Linotype" w:hAnsi="Palatino Linotype" w:cs="Palatino Linotype"/>
          <w:sz w:val="22"/>
          <w:szCs w:val="22"/>
        </w:rPr>
      </w:pPr>
    </w:p>
    <w:p w14:paraId="700BAD88"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Es por ello, que el</w:t>
      </w:r>
      <w:r w:rsidRPr="00B0563B">
        <w:rPr>
          <w:rFonts w:ascii="Palatino Linotype" w:eastAsia="Palatino Linotype" w:hAnsi="Palatino Linotype" w:cs="Palatino Linotype"/>
          <w:b/>
          <w:bCs/>
          <w:sz w:val="22"/>
          <w:szCs w:val="22"/>
        </w:rPr>
        <w:t xml:space="preserve"> Sujeto Obligado</w:t>
      </w:r>
      <w:r w:rsidRPr="00B0563B">
        <w:rPr>
          <w:rFonts w:ascii="Palatino Linotype" w:eastAsia="Palatino Linotype" w:hAnsi="Palatino Linotype" w:cs="Palatino Linotype"/>
          <w:sz w:val="22"/>
          <w:szCs w:val="22"/>
        </w:rPr>
        <w:t>, tiene la facultad de generar un padrón de beneficiarios, así mismo, los beneficiarios que reciben recursos públicos del</w:t>
      </w:r>
      <w:r w:rsidRPr="00B0563B">
        <w:rPr>
          <w:rFonts w:ascii="Palatino Linotype" w:eastAsia="Palatino Linotype" w:hAnsi="Palatino Linotype" w:cs="Palatino Linotype"/>
          <w:b/>
          <w:bCs/>
          <w:sz w:val="22"/>
          <w:szCs w:val="22"/>
        </w:rPr>
        <w:t xml:space="preserve"> Sujeto Obligado</w:t>
      </w:r>
      <w:r w:rsidRPr="00B0563B">
        <w:rPr>
          <w:rFonts w:ascii="Palatino Linotype" w:eastAsia="Palatino Linotype" w:hAnsi="Palatino Linotype" w:cs="Palatino Linotype"/>
          <w:sz w:val="22"/>
          <w:szCs w:val="22"/>
        </w:rPr>
        <w:t xml:space="preserve"> en el ámbito de sus atribuciones, además, el nombre de los beneficiarios, </w:t>
      </w:r>
      <w:r w:rsidRPr="00B0563B">
        <w:rPr>
          <w:rFonts w:ascii="Palatino Linotype" w:eastAsia="Palatino Linotype" w:hAnsi="Palatino Linotype" w:cs="Palatino Linotype"/>
          <w:b/>
          <w:bCs/>
          <w:sz w:val="22"/>
          <w:szCs w:val="22"/>
        </w:rPr>
        <w:t>implica</w:t>
      </w:r>
      <w:r w:rsidRPr="00B0563B">
        <w:rPr>
          <w:rFonts w:ascii="Palatino Linotype" w:eastAsia="Palatino Linotype" w:hAnsi="Palatino Linotype" w:cs="Palatino Linotype"/>
          <w:sz w:val="22"/>
          <w:szCs w:val="22"/>
        </w:rPr>
        <w:t xml:space="preserve"> </w:t>
      </w:r>
      <w:r w:rsidRPr="00B0563B">
        <w:rPr>
          <w:rFonts w:ascii="Palatino Linotype" w:eastAsia="Palatino Linotype" w:hAnsi="Palatino Linotype" w:cs="Palatino Linotype"/>
          <w:b/>
          <w:bCs/>
          <w:sz w:val="22"/>
          <w:szCs w:val="22"/>
        </w:rPr>
        <w:t>invariablemente el uso y destino de recursos públicos</w:t>
      </w:r>
      <w:r w:rsidRPr="00B0563B">
        <w:rPr>
          <w:rFonts w:ascii="Palatino Linotype" w:eastAsia="Palatino Linotype" w:hAnsi="Palatino Linotype" w:cs="Palatino Linotype"/>
          <w:sz w:val="22"/>
          <w:szCs w:val="22"/>
        </w:rPr>
        <w:t xml:space="preserve">; por ello, de conformidad con el artículo 24, fracción XVIII de la Ley de Transparencia y Acceso a la Información Pública del Estado de México y Municipios,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tiene la obligación de hacer pública toda aquella información relativa a los montos y las personas a quienes entreguen, por cualquier motivo, recursos públicos; así como, los informes que dichas personas les entreguen sobre el uso y destino de dichos recursos. Sirve de sustento el precepto legal en cita:</w:t>
      </w:r>
    </w:p>
    <w:p w14:paraId="0B0D22C9"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11FC2D8C"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24.</w:t>
      </w:r>
      <w:r w:rsidRPr="00B0563B">
        <w:rPr>
          <w:rFonts w:ascii="Palatino Linotype" w:eastAsia="Palatino Linotype" w:hAnsi="Palatino Linotype" w:cs="Palatino Linotype"/>
          <w:i/>
          <w:iCs/>
          <w:sz w:val="22"/>
          <w:szCs w:val="22"/>
        </w:rPr>
        <w:t xml:space="preserve"> Para el cumplimiento de los objetivos de esta Ley, los sujetos obligados deberán cumplir con las siguientes obligaciones, según corresponda, de acuerdo a su naturaleza:</w:t>
      </w:r>
    </w:p>
    <w:p w14:paraId="126C1400"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57480A0F"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B0563B">
        <w:rPr>
          <w:rFonts w:ascii="Palatino Linotype" w:eastAsia="Palatino Linotype" w:hAnsi="Palatino Linotype" w:cs="Palatino Linotype"/>
          <w:i/>
          <w:iCs/>
          <w:sz w:val="22"/>
          <w:szCs w:val="22"/>
        </w:rPr>
        <w:t>”</w:t>
      </w:r>
    </w:p>
    <w:p w14:paraId="01B6B4EC" w14:textId="77777777" w:rsidR="00C7221D" w:rsidRPr="00B0563B" w:rsidRDefault="00C7221D">
      <w:pPr>
        <w:spacing w:line="360" w:lineRule="auto"/>
        <w:ind w:left="851" w:right="902"/>
        <w:jc w:val="both"/>
        <w:rPr>
          <w:rFonts w:ascii="Palatino Linotype" w:eastAsia="Palatino Linotype" w:hAnsi="Palatino Linotype" w:cs="Palatino Linotype"/>
          <w:sz w:val="22"/>
          <w:szCs w:val="22"/>
        </w:rPr>
      </w:pPr>
    </w:p>
    <w:p w14:paraId="5947828C" w14:textId="77777777" w:rsidR="00C7221D" w:rsidRPr="00B0563B" w:rsidRDefault="00802627">
      <w:pPr>
        <w:spacing w:line="360" w:lineRule="auto"/>
        <w:jc w:val="both"/>
        <w:rPr>
          <w:rFonts w:ascii="Palatino Linotype" w:eastAsia="Palatino Linotype" w:hAnsi="Palatino Linotype" w:cs="Palatino Linotype"/>
          <w:sz w:val="22"/>
          <w:szCs w:val="22"/>
        </w:rPr>
      </w:pPr>
      <w:bookmarkStart w:id="8" w:name="_heading=h.qx0kiez454pc" w:colFirst="0" w:colLast="0"/>
      <w:bookmarkEnd w:id="8"/>
      <w:r w:rsidRPr="00B0563B">
        <w:rPr>
          <w:rFonts w:ascii="Palatino Linotype" w:eastAsia="Palatino Linotype" w:hAnsi="Palatino Linotype" w:cs="Palatino Linotype"/>
          <w:sz w:val="22"/>
          <w:szCs w:val="22"/>
        </w:rPr>
        <w:t xml:space="preserve">En esa virtud, es de reiterar que al recibir recursos económicos o en especie, son erogaciones que se realizan con erario público, información que por su naturaleza debe ser entregada, lo que permite transparentar el actuar público. Motivo por el que se ordena la entrega del padrón de beneficiarios de los eventos realizados por la Dirección General de Educación, Cultura y Turismo, del primero de enero al cinco de agosto de dos mil veinticinco, de ser procedente en versión pública, en términos del considerando quinto. </w:t>
      </w:r>
    </w:p>
    <w:p w14:paraId="27681346"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B829D0"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Sin embargo, para el caso de que no se cuente con un padrón de beneficiarios, por no haberse generado, poseído o administrado, al no haberse otorgado recursos económicos o en especie de manera directa, bastará que así se lo haga saber a la parte Recurrente, de manera fundada y motivada en términos de lo señalado por el segundo párrafo del artículo 19 de la Ley en la materia.</w:t>
      </w:r>
    </w:p>
    <w:p w14:paraId="5A28F20B"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DA75E5"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Ahora bien, respecto a las </w:t>
      </w:r>
      <w:r w:rsidRPr="00B0563B">
        <w:rPr>
          <w:rFonts w:ascii="Palatino Linotype" w:eastAsia="Palatino Linotype" w:hAnsi="Palatino Linotype" w:cs="Palatino Linotype"/>
          <w:i/>
          <w:iCs/>
          <w:sz w:val="22"/>
          <w:szCs w:val="22"/>
        </w:rPr>
        <w:t>fotografías de cada evento</w:t>
      </w:r>
      <w:r w:rsidRPr="00B0563B">
        <w:rPr>
          <w:rFonts w:ascii="Palatino Linotype" w:eastAsia="Palatino Linotype" w:hAnsi="Palatino Linotype" w:cs="Palatino Linotype"/>
          <w:sz w:val="22"/>
          <w:szCs w:val="22"/>
        </w:rPr>
        <w:t xml:space="preserve">, la Dirección General de Educación, Cultura y Turismo, asume que cuenta con las mismas, al referir que el material fotográfico que corresponde a los eventos culturales realizados durante la administración dos mil veinticinco, se encuentra disponible para consulta pública en las plataformas oficiales del Ayuntamiento, Redes sociales oficiales y sitio institucional de la Dirección General de Educación, Cultura y Turismo, sin embargo fue omiso en hacer entrega del documento que </w:t>
      </w:r>
      <w:proofErr w:type="spellStart"/>
      <w:r w:rsidRPr="00B0563B">
        <w:rPr>
          <w:rFonts w:ascii="Palatino Linotype" w:eastAsia="Palatino Linotype" w:hAnsi="Palatino Linotype" w:cs="Palatino Linotype"/>
          <w:sz w:val="22"/>
          <w:szCs w:val="22"/>
        </w:rPr>
        <w:t>de</w:t>
      </w:r>
      <w:proofErr w:type="spellEnd"/>
      <w:r w:rsidRPr="00B0563B">
        <w:rPr>
          <w:rFonts w:ascii="Palatino Linotype" w:eastAsia="Palatino Linotype" w:hAnsi="Palatino Linotype" w:cs="Palatino Linotype"/>
          <w:sz w:val="22"/>
          <w:szCs w:val="22"/>
        </w:rPr>
        <w:t xml:space="preserve"> cuenta de las fotografías pues si bien es cierto que refiere que estás pueden ser localizadas en sus plataformas oficiales, lo cierto es que, esto implica que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realice una búsqueda en cada una de ellas. </w:t>
      </w:r>
    </w:p>
    <w:p w14:paraId="2AE9D398"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7673C5E"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sz w:val="22"/>
          <w:szCs w:val="22"/>
        </w:rPr>
        <w:t xml:space="preserve">Ahora bien, no pasa desapercibido que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hizo entrega de la siguiente liga electrónica: </w:t>
      </w:r>
      <w:hyperlink r:id="rId15">
        <w:r w:rsidRPr="00B0563B">
          <w:rPr>
            <w:rFonts w:ascii="Palatino Linotype" w:eastAsia="Palatino Linotype" w:hAnsi="Palatino Linotype" w:cs="Palatino Linotype"/>
            <w:sz w:val="22"/>
            <w:szCs w:val="22"/>
            <w:u w:val="single"/>
          </w:rPr>
          <w:t>https://www.toluca.gob.mx</w:t>
        </w:r>
      </w:hyperlink>
      <w:r w:rsidRPr="00B0563B">
        <w:rPr>
          <w:rFonts w:ascii="Palatino Linotype" w:eastAsia="Palatino Linotype" w:hAnsi="Palatino Linotype" w:cs="Palatino Linotype"/>
          <w:sz w:val="22"/>
          <w:szCs w:val="22"/>
        </w:rPr>
        <w:t>, misma que remite a lo siguiente:</w:t>
      </w:r>
      <w:r w:rsidRPr="00B0563B">
        <w:rPr>
          <w:rFonts w:ascii="Palatino Linotype" w:eastAsia="Palatino Linotype" w:hAnsi="Palatino Linotype" w:cs="Palatino Linotype"/>
          <w:i/>
          <w:iCs/>
          <w:sz w:val="22"/>
          <w:szCs w:val="22"/>
        </w:rPr>
        <w:t xml:space="preserve"> </w:t>
      </w:r>
    </w:p>
    <w:p w14:paraId="7E83CD4B"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p>
    <w:p w14:paraId="2167ACB6"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noProof/>
          <w:sz w:val="22"/>
          <w:szCs w:val="22"/>
        </w:rPr>
        <w:drawing>
          <wp:inline distT="0" distB="0" distL="0" distR="0" wp14:anchorId="0AE3B4C1" wp14:editId="5C99F3DA">
            <wp:extent cx="5612130" cy="3258185"/>
            <wp:effectExtent l="0" t="0" r="0" b="0"/>
            <wp:docPr id="21286493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12130" cy="3258185"/>
                    </a:xfrm>
                    <a:prstGeom prst="rect">
                      <a:avLst/>
                    </a:prstGeom>
                    <a:ln/>
                  </pic:spPr>
                </pic:pic>
              </a:graphicData>
            </a:graphic>
          </wp:inline>
        </w:drawing>
      </w:r>
    </w:p>
    <w:p w14:paraId="21597C57"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p>
    <w:p w14:paraId="0103CE41"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Como puede advertirse, la liga proporcionada en respuesta no dirige a las fotografías de los eventos realizados por la Dirección de Educación, Cultura y Turismo, por lo que,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no fue congruente ni exhaustivo en su respuesta de conformidad con el Criterio 02/17 emitido por el Instituto Nacional de Transparencia, Acceso a la Información y Protección de Datos Personales el cual establece lo siguiente:</w:t>
      </w:r>
    </w:p>
    <w:p w14:paraId="0A0C5362"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p>
    <w:p w14:paraId="15E779D2" w14:textId="77777777" w:rsidR="00C7221D" w:rsidRPr="00B0563B" w:rsidRDefault="00802627">
      <w:pPr>
        <w:pBdr>
          <w:top w:val="nil"/>
          <w:left w:val="nil"/>
          <w:bottom w:val="nil"/>
          <w:right w:val="nil"/>
          <w:between w:val="nil"/>
        </w:pBdr>
        <w:spacing w:line="276" w:lineRule="auto"/>
        <w:ind w:left="851" w:right="758"/>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Congruencia y exhaustividad. Sus alcances para garantizar el derecho de acceso a la información.</w:t>
      </w:r>
      <w:r w:rsidRPr="00B0563B">
        <w:rPr>
          <w:rFonts w:ascii="Palatino Linotype" w:eastAsia="Palatino Linotype" w:hAnsi="Palatino Linotype" w:cs="Palatino Linotype"/>
          <w:i/>
          <w:iCs/>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C393A80"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863473"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B0563B">
        <w:rPr>
          <w:rFonts w:ascii="Palatino Linotype" w:eastAsia="Palatino Linotype" w:hAnsi="Palatino Linotype" w:cs="Palatino Linotype"/>
          <w:b/>
          <w:bCs/>
          <w:sz w:val="22"/>
          <w:szCs w:val="22"/>
        </w:rPr>
        <w:t>implica que exista concordancia entre el requerimiento formulado por el particular y la respuesta proporcionada por el sujeto obligado</w:t>
      </w:r>
      <w:r w:rsidRPr="00B0563B">
        <w:rPr>
          <w:rFonts w:ascii="Palatino Linotype" w:eastAsia="Palatino Linotype" w:hAnsi="Palatino Linotype" w:cs="Palatino Linotype"/>
          <w:sz w:val="22"/>
          <w:szCs w:val="22"/>
        </w:rPr>
        <w:t xml:space="preserve">, mientras que la exhaustividad establece que el sujeto obligado </w:t>
      </w:r>
      <w:r w:rsidRPr="00B0563B">
        <w:rPr>
          <w:rFonts w:ascii="Palatino Linotype" w:eastAsia="Palatino Linotype" w:hAnsi="Palatino Linotype" w:cs="Palatino Linotype"/>
          <w:b/>
          <w:bCs/>
          <w:sz w:val="22"/>
          <w:szCs w:val="22"/>
        </w:rPr>
        <w:t>deberá atender de manera expresa cada uno de los puntos solicitados</w:t>
      </w:r>
      <w:r w:rsidRPr="00B0563B">
        <w:rPr>
          <w:rFonts w:ascii="Palatino Linotype" w:eastAsia="Palatino Linotype" w:hAnsi="Palatino Linotype" w:cs="Palatino Linotype"/>
          <w:sz w:val="22"/>
          <w:szCs w:val="22"/>
        </w:rPr>
        <w:t xml:space="preserve">, situación que en el presente caso </w:t>
      </w:r>
      <w:r w:rsidRPr="00B0563B">
        <w:rPr>
          <w:rFonts w:ascii="Palatino Linotype" w:eastAsia="Palatino Linotype" w:hAnsi="Palatino Linotype" w:cs="Palatino Linotype"/>
          <w:b/>
          <w:bCs/>
          <w:sz w:val="22"/>
          <w:szCs w:val="22"/>
          <w:u w:val="single"/>
        </w:rPr>
        <w:t>no aconteció</w:t>
      </w:r>
      <w:r w:rsidRPr="00B0563B">
        <w:rPr>
          <w:rFonts w:ascii="Palatino Linotype" w:eastAsia="Palatino Linotype" w:hAnsi="Palatino Linotype" w:cs="Palatino Linotype"/>
          <w:sz w:val="22"/>
          <w:szCs w:val="22"/>
        </w:rPr>
        <w:t xml:space="preserve">, pues el Sujeto Obligado no fue congruente ni exhaustivo en proporcionar la información que requirió específicamente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w:t>
      </w:r>
    </w:p>
    <w:p w14:paraId="3997103F"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570D03"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De tal manera que, es de mencionar que, de la respuesta otorgada por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no se advierte que, este haya proporcionado las fotografías de los eventos, situación por la que no puede tenerse por colmado el requerimiento 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y, por ende, se determina ordenar su entrega.</w:t>
      </w:r>
    </w:p>
    <w:p w14:paraId="6D9B1AE8"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6428FE"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ese sentido resulta importante precisar que, por lo que hace a las fotografías, estas </w:t>
      </w:r>
      <w:r w:rsidRPr="00B0563B">
        <w:rPr>
          <w:rFonts w:ascii="Palatino Linotype" w:eastAsia="Palatino Linotype" w:hAnsi="Palatino Linotype" w:cs="Palatino Linotype"/>
          <w:b/>
          <w:bCs/>
          <w:sz w:val="22"/>
          <w:szCs w:val="22"/>
        </w:rPr>
        <w:t>dan cuenta de las características físicas de los particulares.</w:t>
      </w:r>
      <w:r w:rsidRPr="00B0563B">
        <w:rPr>
          <w:rFonts w:ascii="Palatino Linotype" w:eastAsia="Palatino Linotype" w:hAnsi="Palatino Linotype" w:cs="Palatino Linotype"/>
          <w:sz w:val="22"/>
          <w:szCs w:val="22"/>
        </w:rPr>
        <w:t xml:space="preserve">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7859C13"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BC14BDC" w14:textId="77777777" w:rsidR="00C7221D" w:rsidRPr="00B0563B" w:rsidRDefault="00802627">
      <w:pPr>
        <w:spacing w:line="360" w:lineRule="auto"/>
        <w:ind w:right="-93"/>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De esa forma, el derecho a la imagen como la representación gráfica de la persona y el derecho a la propia imagen como facultad para permitir o impedir su obtención, reproducción, difusión y distribución por parte de un tercero.</w:t>
      </w:r>
    </w:p>
    <w:p w14:paraId="31881149"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4C0BF99B" w14:textId="77777777" w:rsidR="00C7221D" w:rsidRPr="00B0563B" w:rsidRDefault="00802627">
      <w:pPr>
        <w:spacing w:line="360" w:lineRule="auto"/>
        <w:ind w:right="-93"/>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Al respecto, el Pleno de la Suprema Corte de Justicia de la Nación se ha pronunciado en el mismo sentido en la siguiente tesis:</w:t>
      </w:r>
    </w:p>
    <w:p w14:paraId="02739238"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26BD18D4" w14:textId="77777777" w:rsidR="00C7221D" w:rsidRPr="00B0563B" w:rsidRDefault="00802627">
      <w:pPr>
        <w:spacing w:line="276" w:lineRule="auto"/>
        <w:ind w:left="851" w:right="567"/>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 xml:space="preserve">“DERECHOS A LA INTIMIDAD, PROPIA IMAGEN, IDENTIDAD PERSONAL Y SEXUAL. CONSTITUYEN DERECHOS DE DEFENSA Y GARANTÍA ESENCIAL PARA LA CONDICIÓN HUMANA. </w:t>
      </w:r>
      <w:r w:rsidRPr="00B0563B">
        <w:rPr>
          <w:rFonts w:ascii="Palatino Linotype" w:eastAsia="Palatino Linotype" w:hAnsi="Palatino Linotype" w:cs="Palatino Linotype"/>
          <w:i/>
          <w:iCs/>
          <w:sz w:val="22"/>
          <w:szCs w:val="22"/>
        </w:rPr>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w:t>
      </w:r>
      <w:r w:rsidRPr="00B0563B">
        <w:rPr>
          <w:rFonts w:ascii="Palatino Linotype" w:eastAsia="Palatino Linotype" w:hAnsi="Palatino Linotype" w:cs="Palatino Linotype"/>
          <w:b/>
          <w:bCs/>
          <w:i/>
          <w:iCs/>
          <w:sz w:val="22"/>
          <w:szCs w:val="22"/>
        </w:rPr>
        <w:t xml:space="preserve">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w:t>
      </w:r>
      <w:r w:rsidRPr="00B0563B">
        <w:rPr>
          <w:rFonts w:ascii="Palatino Linotype" w:eastAsia="Palatino Linotype" w:hAnsi="Palatino Linotype" w:cs="Palatino Linotype"/>
          <w:i/>
          <w:iCs/>
          <w:sz w:val="22"/>
          <w:szCs w:val="22"/>
        </w:rPr>
        <w:t xml:space="preserve">por lo que, si bien no son absolutos, </w:t>
      </w:r>
      <w:r w:rsidRPr="00B0563B">
        <w:rPr>
          <w:rFonts w:ascii="Palatino Linotype" w:eastAsia="Palatino Linotype" w:hAnsi="Palatino Linotype" w:cs="Palatino Linotype"/>
          <w:b/>
          <w:bCs/>
          <w:i/>
          <w:iCs/>
          <w:sz w:val="22"/>
          <w:szCs w:val="22"/>
        </w:rPr>
        <w:t>sólo por ley podrá justificarse su intromisión, siempre que medie un interés superior</w:t>
      </w:r>
      <w:r w:rsidRPr="00B0563B">
        <w:rPr>
          <w:rFonts w:ascii="Palatino Linotype" w:eastAsia="Palatino Linotype" w:hAnsi="Palatino Linotype" w:cs="Palatino Linotype"/>
          <w:i/>
          <w:iCs/>
          <w:sz w:val="22"/>
          <w:szCs w:val="22"/>
        </w:rPr>
        <w:t>.”</w:t>
      </w:r>
    </w:p>
    <w:p w14:paraId="3F6E567C"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06F898E2" w14:textId="77777777" w:rsidR="00C7221D" w:rsidRPr="00B0563B" w:rsidRDefault="00802627">
      <w:pPr>
        <w:spacing w:line="360" w:lineRule="auto"/>
        <w:ind w:right="-93"/>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 </w:t>
      </w:r>
    </w:p>
    <w:p w14:paraId="0A0DD4AC"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4FA4714C" w14:textId="77777777" w:rsidR="00C7221D" w:rsidRPr="00B0563B" w:rsidRDefault="00802627">
      <w:pPr>
        <w:spacing w:line="360" w:lineRule="auto"/>
        <w:ind w:right="-93"/>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 </w:t>
      </w:r>
    </w:p>
    <w:p w14:paraId="729B4DE4" w14:textId="77777777" w:rsidR="00C7221D" w:rsidRPr="00B0563B" w:rsidRDefault="00C7221D">
      <w:pPr>
        <w:spacing w:line="360" w:lineRule="auto"/>
        <w:ind w:right="-93"/>
        <w:jc w:val="both"/>
        <w:rPr>
          <w:rFonts w:ascii="Palatino Linotype" w:eastAsia="Palatino Linotype" w:hAnsi="Palatino Linotype" w:cs="Palatino Linotype"/>
          <w:sz w:val="22"/>
          <w:szCs w:val="22"/>
        </w:rPr>
      </w:pPr>
    </w:p>
    <w:p w14:paraId="4B082980" w14:textId="77777777" w:rsidR="00C7221D" w:rsidRPr="00B0563B" w:rsidRDefault="00802627">
      <w:pPr>
        <w:spacing w:line="360" w:lineRule="auto"/>
        <w:ind w:right="-93"/>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Por lo tanto, para el caso de que las fotografías contengan los rostros de particulares que no guarden relación con el sector público, deberán ser clasificados, conforme a lo previsto en el artículo 143, fracción I, de la Ley de Transparencia y Acceso a la Información Pública del Estado de México y Municipios.</w:t>
      </w:r>
    </w:p>
    <w:p w14:paraId="132CEF24"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DDEF12D"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Finalmente, y respecto a los </w:t>
      </w:r>
      <w:r w:rsidRPr="00B0563B">
        <w:rPr>
          <w:rFonts w:ascii="Palatino Linotype" w:eastAsia="Palatino Linotype" w:hAnsi="Palatino Linotype" w:cs="Palatino Linotype"/>
          <w:i/>
          <w:iCs/>
          <w:sz w:val="22"/>
          <w:szCs w:val="22"/>
        </w:rPr>
        <w:t>Contratos de los insumos adquiridos</w:t>
      </w:r>
      <w:r w:rsidRPr="00B0563B">
        <w:rPr>
          <w:rFonts w:ascii="Palatino Linotype" w:eastAsia="Palatino Linotype" w:hAnsi="Palatino Linotype" w:cs="Palatino Linotype"/>
          <w:sz w:val="22"/>
          <w:szCs w:val="22"/>
        </w:rPr>
        <w:t xml:space="preserv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informó a través de la Dirección General de Administración que después de haber realizado una búsqueda exhaustiva y razonable en sus archivos, no se localizó la información solicitada; sin embargo, este Instituto advierte que el pronunciamiento de la unidad administrativa competente no resulta congruente con lo solicitado, pues como ya fue señalado en párrafos que anteceden si ha realizado eventos culturales, lo cual implica la contratación de bienes y servicios.</w:t>
      </w:r>
    </w:p>
    <w:p w14:paraId="2CD70E8F"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565B2A"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ello, la ley de Contratación Pública del Estado de México y Municipios, tiene por objeto regular los actos relativos a la </w:t>
      </w:r>
      <w:r w:rsidRPr="00B0563B">
        <w:rPr>
          <w:rFonts w:ascii="Palatino Linotype" w:eastAsia="Palatino Linotype" w:hAnsi="Palatino Linotype" w:cs="Palatino Linotype"/>
          <w:sz w:val="22"/>
          <w:szCs w:val="22"/>
          <w:u w:val="single"/>
        </w:rPr>
        <w:t xml:space="preserve">planeación, programación, </w:t>
      </w:r>
      <w:proofErr w:type="spellStart"/>
      <w:r w:rsidRPr="00B0563B">
        <w:rPr>
          <w:rFonts w:ascii="Palatino Linotype" w:eastAsia="Palatino Linotype" w:hAnsi="Palatino Linotype" w:cs="Palatino Linotype"/>
          <w:sz w:val="22"/>
          <w:szCs w:val="22"/>
          <w:u w:val="single"/>
        </w:rPr>
        <w:t>presupuestación</w:t>
      </w:r>
      <w:proofErr w:type="spellEnd"/>
      <w:r w:rsidRPr="00B0563B">
        <w:rPr>
          <w:rFonts w:ascii="Palatino Linotype" w:eastAsia="Palatino Linotype" w:hAnsi="Palatino Linotype" w:cs="Palatino Linotype"/>
          <w:sz w:val="22"/>
          <w:szCs w:val="22"/>
        </w:rPr>
        <w:t xml:space="preserve">, ejecución y </w:t>
      </w:r>
      <w:r w:rsidRPr="00B0563B">
        <w:rPr>
          <w:rFonts w:ascii="Palatino Linotype" w:eastAsia="Palatino Linotype" w:hAnsi="Palatino Linotype" w:cs="Palatino Linotype"/>
          <w:sz w:val="22"/>
          <w:szCs w:val="22"/>
          <w:u w:val="single"/>
        </w:rPr>
        <w:t>control de la adquisición</w:t>
      </w:r>
      <w:r w:rsidRPr="00B0563B">
        <w:rPr>
          <w:rFonts w:ascii="Palatino Linotype" w:eastAsia="Palatino Linotype" w:hAnsi="Palatino Linotype" w:cs="Palatino Linotype"/>
          <w:sz w:val="22"/>
          <w:szCs w:val="22"/>
        </w:rPr>
        <w:t xml:space="preserve">, enajenación y arrendamiento </w:t>
      </w:r>
      <w:r w:rsidRPr="00B0563B">
        <w:rPr>
          <w:rFonts w:ascii="Palatino Linotype" w:eastAsia="Palatino Linotype" w:hAnsi="Palatino Linotype" w:cs="Palatino Linotype"/>
          <w:sz w:val="22"/>
          <w:szCs w:val="22"/>
          <w:u w:val="single"/>
        </w:rPr>
        <w:t>de bienes, y la contratación de servicios de cualquier naturaleza,</w:t>
      </w:r>
      <w:r w:rsidRPr="00B0563B">
        <w:rPr>
          <w:rFonts w:ascii="Palatino Linotype" w:eastAsia="Palatino Linotype" w:hAnsi="Palatino Linotype" w:cs="Palatino Linotype"/>
          <w:sz w:val="22"/>
          <w:szCs w:val="22"/>
        </w:rPr>
        <w:t xml:space="preserve"> que realicen los Ayuntamientos del Estado de México; entre ellos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los cuales se adjudicarán a través de licitación pública, invitación restringida o adjudicación directa, tal y como lo establecen los artículos 4, 26 y 27 de dicha Ley, los cuales son del tenor siguiente:</w:t>
      </w:r>
    </w:p>
    <w:p w14:paraId="78F44494" w14:textId="77777777" w:rsidR="00C7221D" w:rsidRPr="00B0563B" w:rsidRDefault="00C7221D">
      <w:pPr>
        <w:ind w:left="851" w:right="902"/>
        <w:jc w:val="both"/>
        <w:rPr>
          <w:rFonts w:ascii="Palatino Linotype" w:eastAsia="Palatino Linotype" w:hAnsi="Palatino Linotype" w:cs="Palatino Linotype"/>
          <w:b/>
          <w:bCs/>
          <w:i/>
          <w:iCs/>
          <w:sz w:val="22"/>
          <w:szCs w:val="22"/>
        </w:rPr>
      </w:pPr>
    </w:p>
    <w:p w14:paraId="4DF7D84D"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4.-</w:t>
      </w:r>
      <w:r w:rsidRPr="00B0563B">
        <w:rPr>
          <w:rFonts w:ascii="Palatino Linotype" w:eastAsia="Palatino Linotype" w:hAnsi="Palatino Linotype" w:cs="Palatino Linotype"/>
          <w:i/>
          <w:iCs/>
          <w:sz w:val="22"/>
          <w:szCs w:val="22"/>
        </w:rPr>
        <w:t xml:space="preserve"> Para los efectos de esta Ley, </w:t>
      </w:r>
      <w:r w:rsidRPr="00B0563B">
        <w:rPr>
          <w:rFonts w:ascii="Palatino Linotype" w:eastAsia="Palatino Linotype" w:hAnsi="Palatino Linotype" w:cs="Palatino Linotype"/>
          <w:b/>
          <w:bCs/>
          <w:i/>
          <w:iCs/>
          <w:sz w:val="22"/>
          <w:szCs w:val="22"/>
        </w:rPr>
        <w:t>en las adquisiciones, enajenaciones, arrendamientos y servicios, quedan comprendidos</w:t>
      </w:r>
      <w:r w:rsidRPr="00B0563B">
        <w:rPr>
          <w:rFonts w:ascii="Palatino Linotype" w:eastAsia="Palatino Linotype" w:hAnsi="Palatino Linotype" w:cs="Palatino Linotype"/>
          <w:i/>
          <w:iCs/>
          <w:sz w:val="22"/>
          <w:szCs w:val="22"/>
        </w:rPr>
        <w:t>:</w:t>
      </w:r>
    </w:p>
    <w:p w14:paraId="3831E999"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u w:val="single"/>
        </w:rPr>
      </w:pPr>
      <w:r w:rsidRPr="00B0563B">
        <w:rPr>
          <w:rFonts w:ascii="Palatino Linotype" w:eastAsia="Palatino Linotype" w:hAnsi="Palatino Linotype" w:cs="Palatino Linotype"/>
          <w:b/>
          <w:bCs/>
          <w:i/>
          <w:iCs/>
          <w:sz w:val="22"/>
          <w:szCs w:val="22"/>
          <w:u w:val="single"/>
        </w:rPr>
        <w:t>I. La adquisición de bienes muebles.</w:t>
      </w:r>
    </w:p>
    <w:p w14:paraId="6DDB7470"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II</w:t>
      </w:r>
      <w:r w:rsidRPr="00B0563B">
        <w:rPr>
          <w:rFonts w:ascii="Palatino Linotype" w:eastAsia="Palatino Linotype" w:hAnsi="Palatino Linotype" w:cs="Palatino Linotype"/>
          <w:i/>
          <w:iCs/>
          <w:sz w:val="22"/>
          <w:szCs w:val="22"/>
        </w:rPr>
        <w:t>. La adquisición de bienes inmuebles, a través de compraventa.</w:t>
      </w:r>
    </w:p>
    <w:p w14:paraId="170ECF12"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III.</w:t>
      </w:r>
      <w:r w:rsidRPr="00B0563B">
        <w:rPr>
          <w:rFonts w:ascii="Palatino Linotype" w:eastAsia="Palatino Linotype" w:hAnsi="Palatino Linotype" w:cs="Palatino Linotype"/>
          <w:i/>
          <w:iCs/>
          <w:sz w:val="22"/>
          <w:szCs w:val="22"/>
        </w:rPr>
        <w:t xml:space="preserve"> La enajenación de bienes muebles e inmuebles.</w:t>
      </w:r>
    </w:p>
    <w:p w14:paraId="2E2AAC0C"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IV.</w:t>
      </w:r>
      <w:r w:rsidRPr="00B0563B">
        <w:rPr>
          <w:rFonts w:ascii="Palatino Linotype" w:eastAsia="Palatino Linotype" w:hAnsi="Palatino Linotype" w:cs="Palatino Linotype"/>
          <w:i/>
          <w:iCs/>
          <w:sz w:val="22"/>
          <w:szCs w:val="22"/>
        </w:rPr>
        <w:t xml:space="preserve"> El arrendamiento de bienes muebles e inmuebles. </w:t>
      </w:r>
    </w:p>
    <w:p w14:paraId="36171F47"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w:t>
      </w:r>
      <w:r w:rsidRPr="00B0563B">
        <w:rPr>
          <w:rFonts w:ascii="Palatino Linotype" w:eastAsia="Palatino Linotype" w:hAnsi="Palatino Linotype" w:cs="Palatino Linotype"/>
          <w:i/>
          <w:iCs/>
          <w:sz w:val="22"/>
          <w:szCs w:val="22"/>
        </w:rPr>
        <w:t>. La contratación de los servicios, relacionados con bienes muebles que se encuentran incorporados o adheridos a bienes inmuebles, cuya instalación o mantenimiento no implique modificación al bien inmueble.</w:t>
      </w:r>
    </w:p>
    <w:p w14:paraId="3017B53F"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VI.</w:t>
      </w:r>
      <w:r w:rsidRPr="00B0563B">
        <w:rPr>
          <w:rFonts w:ascii="Palatino Linotype" w:eastAsia="Palatino Linotype" w:hAnsi="Palatino Linotype" w:cs="Palatino Linotype"/>
          <w:i/>
          <w:iCs/>
          <w:sz w:val="22"/>
          <w:szCs w:val="22"/>
        </w:rPr>
        <w:t xml:space="preserve"> La contratación de los servicios de reconstrucción y mantenimiento de bienes muebles. </w:t>
      </w:r>
    </w:p>
    <w:p w14:paraId="1890EC2F"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VII.</w:t>
      </w:r>
      <w:r w:rsidRPr="00B0563B">
        <w:rPr>
          <w:rFonts w:ascii="Palatino Linotype" w:eastAsia="Palatino Linotype" w:hAnsi="Palatino Linotype" w:cs="Palatino Linotype"/>
          <w:i/>
          <w:iCs/>
          <w:sz w:val="22"/>
          <w:szCs w:val="22"/>
        </w:rPr>
        <w:t xml:space="preserve"> La contratación de los servicios de maquila, seguros y transportación, así como de los de limpieza y vigilancia de bienes inmuebles. </w:t>
      </w:r>
    </w:p>
    <w:p w14:paraId="0AC186B1"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VIII.</w:t>
      </w:r>
      <w:r w:rsidRPr="00B0563B">
        <w:rPr>
          <w:rFonts w:ascii="Palatino Linotype" w:eastAsia="Palatino Linotype" w:hAnsi="Palatino Linotype" w:cs="Palatino Linotype"/>
          <w:i/>
          <w:iCs/>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3D58EFF2"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general, otros actos que impliquen la contratación de servicios de cualquier naturaleza</w:t>
      </w:r>
    </w:p>
    <w:p w14:paraId="17F9E0DF"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26.-</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b/>
          <w:bCs/>
          <w:i/>
          <w:iCs/>
          <w:sz w:val="22"/>
          <w:szCs w:val="22"/>
        </w:rPr>
        <w:t xml:space="preserve">Las adquisiciones, </w:t>
      </w:r>
      <w:r w:rsidRPr="00B0563B">
        <w:rPr>
          <w:rFonts w:ascii="Palatino Linotype" w:eastAsia="Palatino Linotype" w:hAnsi="Palatino Linotype" w:cs="Palatino Linotype"/>
          <w:i/>
          <w:iCs/>
          <w:sz w:val="22"/>
          <w:szCs w:val="22"/>
        </w:rPr>
        <w:t xml:space="preserve">arrendamientos y servicios se adjudicarán a través de licitaciones públicas, mediante convocatoria pública. </w:t>
      </w:r>
    </w:p>
    <w:p w14:paraId="68348933"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27.</w:t>
      </w:r>
      <w:r w:rsidRPr="00B0563B">
        <w:rPr>
          <w:rFonts w:ascii="Palatino Linotype" w:eastAsia="Palatino Linotype" w:hAnsi="Palatino Linotype" w:cs="Palatino Linotype"/>
          <w:i/>
          <w:iCs/>
          <w:sz w:val="22"/>
          <w:szCs w:val="22"/>
        </w:rPr>
        <w:t xml:space="preserve">- La Secretaría, las entidades, los tribunales administrativos y los ayuntamientos podrán </w:t>
      </w:r>
      <w:r w:rsidRPr="00B0563B">
        <w:rPr>
          <w:rFonts w:ascii="Palatino Linotype" w:eastAsia="Palatino Linotype" w:hAnsi="Palatino Linotype" w:cs="Palatino Linotype"/>
          <w:b/>
          <w:bCs/>
          <w:i/>
          <w:iCs/>
          <w:sz w:val="22"/>
          <w:szCs w:val="22"/>
        </w:rPr>
        <w:t xml:space="preserve">adjudicar adquisiciones, </w:t>
      </w:r>
      <w:r w:rsidRPr="00B0563B">
        <w:rPr>
          <w:rFonts w:ascii="Palatino Linotype" w:eastAsia="Palatino Linotype" w:hAnsi="Palatino Linotype" w:cs="Palatino Linotype"/>
          <w:i/>
          <w:iCs/>
          <w:sz w:val="22"/>
          <w:szCs w:val="22"/>
        </w:rPr>
        <w:t>arrendamientos y servicios, mediante las excepciones al procedimiento de licitación que a continuación se señalan:</w:t>
      </w:r>
    </w:p>
    <w:p w14:paraId="42806097"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w:t>
      </w:r>
      <w:r w:rsidRPr="00B0563B">
        <w:rPr>
          <w:rFonts w:ascii="Palatino Linotype" w:eastAsia="Palatino Linotype" w:hAnsi="Palatino Linotype" w:cs="Palatino Linotype"/>
          <w:i/>
          <w:iCs/>
          <w:sz w:val="22"/>
          <w:szCs w:val="22"/>
        </w:rPr>
        <w:t>. Invitación restringida.</w:t>
      </w:r>
    </w:p>
    <w:p w14:paraId="52064C62"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II.</w:t>
      </w:r>
      <w:r w:rsidRPr="00B0563B">
        <w:rPr>
          <w:rFonts w:ascii="Palatino Linotype" w:eastAsia="Palatino Linotype" w:hAnsi="Palatino Linotype" w:cs="Palatino Linotype"/>
          <w:i/>
          <w:iCs/>
          <w:sz w:val="22"/>
          <w:szCs w:val="22"/>
        </w:rPr>
        <w:t xml:space="preserve"> Adjudicación directa.”</w:t>
      </w:r>
    </w:p>
    <w:p w14:paraId="56AD2909" w14:textId="77777777" w:rsidR="00C7221D" w:rsidRPr="00B0563B" w:rsidRDefault="00C7221D">
      <w:pPr>
        <w:ind w:left="1134" w:right="709"/>
        <w:jc w:val="both"/>
        <w:rPr>
          <w:rFonts w:ascii="Palatino Linotype" w:eastAsia="Palatino Linotype" w:hAnsi="Palatino Linotype" w:cs="Palatino Linotype"/>
          <w:i/>
          <w:iCs/>
          <w:sz w:val="22"/>
          <w:szCs w:val="22"/>
        </w:rPr>
      </w:pPr>
    </w:p>
    <w:p w14:paraId="4C0C2B84"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Con base en los preceptos citados se advierte que, por regla general, </w:t>
      </w:r>
      <w:r w:rsidRPr="00B0563B">
        <w:rPr>
          <w:rFonts w:ascii="Palatino Linotype" w:eastAsia="Palatino Linotype" w:hAnsi="Palatino Linotype" w:cs="Palatino Linotype"/>
          <w:b/>
          <w:bCs/>
          <w:sz w:val="22"/>
          <w:szCs w:val="22"/>
        </w:rPr>
        <w:t>las adquisiciones de bienes</w:t>
      </w:r>
      <w:r w:rsidRPr="00B0563B">
        <w:rPr>
          <w:rFonts w:ascii="Palatino Linotype" w:eastAsia="Palatino Linotype" w:hAnsi="Palatino Linotype" w:cs="Palatino Linotype"/>
          <w:sz w:val="22"/>
          <w:szCs w:val="22"/>
        </w:rPr>
        <w:t xml:space="preserve">, enajenaciones, arrendamientos </w:t>
      </w:r>
      <w:r w:rsidRPr="00B0563B">
        <w:rPr>
          <w:rFonts w:ascii="Palatino Linotype" w:eastAsia="Palatino Linotype" w:hAnsi="Palatino Linotype" w:cs="Palatino Linotype"/>
          <w:b/>
          <w:bCs/>
          <w:sz w:val="22"/>
          <w:szCs w:val="22"/>
        </w:rPr>
        <w:t>y servicios</w:t>
      </w:r>
      <w:r w:rsidRPr="00B0563B">
        <w:rPr>
          <w:rFonts w:ascii="Palatino Linotype" w:eastAsia="Palatino Linotype" w:hAnsi="Palatino Linotype" w:cs="Palatino Linotype"/>
          <w:sz w:val="22"/>
          <w:szCs w:val="22"/>
        </w:rPr>
        <w:t>, que celebren los entes públicos, deben adjudicarse por regla general mediante licitación pública, sin embargo, también se contemplan como excepciones a dicho proceso, la invitación restringida y la adjudicación directa.</w:t>
      </w:r>
    </w:p>
    <w:p w14:paraId="09EE3A5A"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1341488B" w14:textId="77777777" w:rsidR="00C7221D" w:rsidRPr="00B0563B" w:rsidRDefault="00802627">
      <w:pP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De lo anterior se advierte que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conoce de toda la información generada con motivo de las </w:t>
      </w:r>
      <w:r w:rsidRPr="00B0563B">
        <w:rPr>
          <w:rFonts w:ascii="Palatino Linotype" w:eastAsia="Palatino Linotype" w:hAnsi="Palatino Linotype" w:cs="Palatino Linotype"/>
          <w:b/>
          <w:bCs/>
          <w:sz w:val="22"/>
          <w:szCs w:val="22"/>
        </w:rPr>
        <w:t>licitaciones públicas, invitaciones restringidas o adjudicaciones directas</w:t>
      </w:r>
      <w:r w:rsidRPr="00B0563B">
        <w:rPr>
          <w:rFonts w:ascii="Palatino Linotype" w:eastAsia="Palatino Linotype" w:hAnsi="Palatino Linotype" w:cs="Palatino Linotype"/>
          <w:sz w:val="22"/>
          <w:szCs w:val="22"/>
        </w:rPr>
        <w:t xml:space="preserve"> en las que sea parte.</w:t>
      </w:r>
    </w:p>
    <w:p w14:paraId="4A88B8AA" w14:textId="77777777" w:rsidR="00C7221D" w:rsidRPr="00B0563B" w:rsidRDefault="00C7221D">
      <w:pPr>
        <w:spacing w:line="360" w:lineRule="auto"/>
        <w:ind w:right="49"/>
        <w:jc w:val="both"/>
        <w:rPr>
          <w:rFonts w:ascii="Palatino Linotype" w:eastAsia="Palatino Linotype" w:hAnsi="Palatino Linotype" w:cs="Palatino Linotype"/>
          <w:sz w:val="22"/>
          <w:szCs w:val="22"/>
        </w:rPr>
      </w:pPr>
    </w:p>
    <w:p w14:paraId="7A212620" w14:textId="77777777" w:rsidR="00C7221D" w:rsidRPr="00B0563B" w:rsidRDefault="00802627">
      <w:pPr>
        <w:spacing w:line="360" w:lineRule="auto"/>
        <w:ind w:right="49"/>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lo que en efecto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cuenta con las atribuciones para generar, poseer o administrar la documentación solicitada por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consistente en los contratos de insumos adquiridos para la realización de eventos culturales, ya sea por licitación pública, invitación restringida o adjudicación directa por parte del Ayuntamiento de Toluca al cinco de agosto de dos mil veinticinco, el cual podrá obrar en el propio expediente formado con motivo del procedimiento de licitación que se trate; en razón de que dicha información se encuentra vinculada a una obligación de transparencia, en términos del artículo 92, fracción XXIX, en donde establece que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procedimientos de adjudicación directa, invitación restringida y licitación de cualquier naturaleza, como se lee enseguida: </w:t>
      </w:r>
    </w:p>
    <w:p w14:paraId="64C087B1" w14:textId="77777777" w:rsidR="00C7221D" w:rsidRPr="00B0563B" w:rsidRDefault="00C7221D">
      <w:pPr>
        <w:ind w:left="851" w:right="902"/>
        <w:jc w:val="both"/>
        <w:rPr>
          <w:rFonts w:ascii="Palatino Linotype" w:eastAsia="Palatino Linotype" w:hAnsi="Palatino Linotype" w:cs="Palatino Linotype"/>
          <w:i/>
          <w:iCs/>
          <w:sz w:val="22"/>
          <w:szCs w:val="22"/>
        </w:rPr>
      </w:pPr>
    </w:p>
    <w:p w14:paraId="49228B0F" w14:textId="77777777" w:rsidR="00C7221D" w:rsidRPr="00B0563B" w:rsidRDefault="00802627">
      <w:pPr>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92</w:t>
      </w:r>
      <w:r w:rsidRPr="00B0563B">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3D9EA8" w14:textId="77777777" w:rsidR="00C7221D" w:rsidRPr="00B0563B" w:rsidRDefault="00802627">
      <w:pPr>
        <w:tabs>
          <w:tab w:val="left" w:pos="426"/>
        </w:tabs>
        <w:ind w:left="1134"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p>
    <w:p w14:paraId="4FFC7590" w14:textId="77777777" w:rsidR="00C7221D" w:rsidRPr="00B0563B" w:rsidRDefault="00802627">
      <w:pPr>
        <w:tabs>
          <w:tab w:val="left" w:pos="426"/>
        </w:tabs>
        <w:ind w:left="1134"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XXIX.</w:t>
      </w:r>
      <w:r w:rsidRPr="00B0563B">
        <w:rPr>
          <w:rFonts w:ascii="Palatino Linotype" w:eastAsia="Palatino Linotype" w:hAnsi="Palatino Linotype" w:cs="Palatino Linotype"/>
          <w:i/>
          <w:iCs/>
          <w:sz w:val="22"/>
          <w:szCs w:val="22"/>
        </w:rPr>
        <w:t xml:space="preserve"> La </w:t>
      </w:r>
      <w:r w:rsidRPr="00B0563B">
        <w:rPr>
          <w:rFonts w:ascii="Palatino Linotype" w:eastAsia="Palatino Linotype" w:hAnsi="Palatino Linotype" w:cs="Palatino Linotype"/>
          <w:b/>
          <w:bCs/>
          <w:i/>
          <w:iCs/>
          <w:sz w:val="22"/>
          <w:szCs w:val="22"/>
        </w:rPr>
        <w:t xml:space="preserve">información sobre los procesos y resultados </w:t>
      </w:r>
      <w:r w:rsidRPr="00B0563B">
        <w:rPr>
          <w:rFonts w:ascii="Palatino Linotype" w:eastAsia="Palatino Linotype" w:hAnsi="Palatino Linotype" w:cs="Palatino Linotype"/>
          <w:b/>
          <w:bCs/>
          <w:i/>
          <w:iCs/>
          <w:sz w:val="22"/>
          <w:szCs w:val="22"/>
          <w:u w:val="single"/>
        </w:rPr>
        <w:t>sobre procedimientos de</w:t>
      </w:r>
      <w:r w:rsidRPr="00B0563B">
        <w:rPr>
          <w:rFonts w:ascii="Palatino Linotype" w:eastAsia="Palatino Linotype" w:hAnsi="Palatino Linotype" w:cs="Palatino Linotype"/>
          <w:i/>
          <w:iCs/>
          <w:sz w:val="22"/>
          <w:szCs w:val="22"/>
        </w:rPr>
        <w:t xml:space="preserve"> adjudicación directa, invitación restringida</w:t>
      </w:r>
      <w:r w:rsidRPr="00B0563B">
        <w:rPr>
          <w:rFonts w:ascii="Palatino Linotype" w:eastAsia="Palatino Linotype" w:hAnsi="Palatino Linotype" w:cs="Palatino Linotype"/>
          <w:b/>
          <w:bCs/>
          <w:i/>
          <w:iCs/>
          <w:sz w:val="22"/>
          <w:szCs w:val="22"/>
          <w:u w:val="single"/>
        </w:rPr>
        <w:t xml:space="preserve"> y licitación de cualquier naturaleza</w:t>
      </w:r>
      <w:r w:rsidRPr="00B0563B">
        <w:rPr>
          <w:rFonts w:ascii="Palatino Linotype" w:eastAsia="Palatino Linotype" w:hAnsi="Palatino Linotype" w:cs="Palatino Linotype"/>
          <w:i/>
          <w:iCs/>
          <w:sz w:val="22"/>
          <w:szCs w:val="22"/>
          <w:u w:val="single"/>
        </w:rPr>
        <w:t xml:space="preserve">, </w:t>
      </w:r>
      <w:r w:rsidRPr="00B0563B">
        <w:rPr>
          <w:rFonts w:ascii="Palatino Linotype" w:eastAsia="Palatino Linotype" w:hAnsi="Palatino Linotype" w:cs="Palatino Linotype"/>
          <w:b/>
          <w:bCs/>
          <w:i/>
          <w:iCs/>
          <w:sz w:val="22"/>
          <w:szCs w:val="22"/>
        </w:rPr>
        <w:t>incluyendo la versión pública</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b/>
          <w:bCs/>
          <w:i/>
          <w:iCs/>
          <w:sz w:val="22"/>
          <w:szCs w:val="22"/>
          <w:u w:val="single"/>
        </w:rPr>
        <w:t>del expediente respectivo y de los contratos celebrados</w:t>
      </w:r>
      <w:r w:rsidRPr="00B0563B">
        <w:rPr>
          <w:rFonts w:ascii="Palatino Linotype" w:eastAsia="Palatino Linotype" w:hAnsi="Palatino Linotype" w:cs="Palatino Linotype"/>
          <w:i/>
          <w:iCs/>
          <w:sz w:val="22"/>
          <w:szCs w:val="22"/>
        </w:rPr>
        <w:t>, que deberán contener, por los menos, lo siguiente:</w:t>
      </w:r>
    </w:p>
    <w:p w14:paraId="2336E9AF"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 xml:space="preserve">a) </w:t>
      </w:r>
      <w:r w:rsidRPr="00B0563B">
        <w:rPr>
          <w:rFonts w:ascii="Palatino Linotype" w:eastAsia="Palatino Linotype" w:hAnsi="Palatino Linotype" w:cs="Palatino Linotype"/>
          <w:i/>
          <w:iCs/>
          <w:sz w:val="22"/>
          <w:szCs w:val="22"/>
        </w:rPr>
        <w:t>De licitaciones públicas o procedimientos de invitación restringida:</w:t>
      </w:r>
    </w:p>
    <w:p w14:paraId="0CAFA649"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sz w:val="22"/>
          <w:szCs w:val="22"/>
        </w:rPr>
        <w:t>1</w:t>
      </w:r>
      <w:r w:rsidRPr="00B0563B">
        <w:rPr>
          <w:rFonts w:ascii="Palatino Linotype" w:eastAsia="Palatino Linotype" w:hAnsi="Palatino Linotype" w:cs="Palatino Linotype"/>
          <w:i/>
          <w:iCs/>
          <w:sz w:val="22"/>
          <w:szCs w:val="22"/>
        </w:rPr>
        <w:t xml:space="preserve">) La convocatoria o invitación emitida, así como los fundamentos legales aplicados para llevarla a cabo; </w:t>
      </w:r>
    </w:p>
    <w:p w14:paraId="498AEB7A"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2) Los nombres de los participantes o invitados; </w:t>
      </w:r>
    </w:p>
    <w:p w14:paraId="7178808F"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3) El nombre del ganador y las razones que lo justifican; </w:t>
      </w:r>
    </w:p>
    <w:p w14:paraId="36E8D49A"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4) El área solicitante y la responsable de su ejecución; </w:t>
      </w:r>
    </w:p>
    <w:p w14:paraId="1D30EC18" w14:textId="77777777" w:rsidR="00C7221D" w:rsidRPr="00B0563B" w:rsidRDefault="00802627">
      <w:pPr>
        <w:tabs>
          <w:tab w:val="left" w:pos="426"/>
        </w:tabs>
        <w:ind w:left="1418"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5) Las convocatorias e invitaciones emitidas</w:t>
      </w:r>
      <w:r w:rsidRPr="00B0563B">
        <w:rPr>
          <w:rFonts w:ascii="Palatino Linotype" w:eastAsia="Palatino Linotype" w:hAnsi="Palatino Linotype" w:cs="Palatino Linotype"/>
          <w:b/>
          <w:bCs/>
          <w:i/>
          <w:iCs/>
          <w:sz w:val="22"/>
          <w:szCs w:val="22"/>
        </w:rPr>
        <w:t xml:space="preserve">; </w:t>
      </w:r>
    </w:p>
    <w:p w14:paraId="78DE0784"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6) Los dictámenes y fallo de adjudicación;</w:t>
      </w:r>
    </w:p>
    <w:p w14:paraId="78D358FF" w14:textId="77777777" w:rsidR="00C7221D" w:rsidRPr="00B0563B" w:rsidRDefault="00802627">
      <w:pPr>
        <w:tabs>
          <w:tab w:val="left" w:pos="426"/>
        </w:tabs>
        <w:ind w:left="1418"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 xml:space="preserve"> 7) El contrato y, en su caso, sus anexos; </w:t>
      </w:r>
    </w:p>
    <w:p w14:paraId="5F0A2D30"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8) Los mecanismos de vigilancia y supervisión, incluyendo en su caso, los estudios de impacto urbano y ambiental, según corresponda; </w:t>
      </w:r>
    </w:p>
    <w:p w14:paraId="247482B3"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9) La partida presupuestal, de conformidad con el clasificador por objeto del gasto, en el caso de ser aplicable; </w:t>
      </w:r>
    </w:p>
    <w:p w14:paraId="24C6D4F6"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10) Origen de los recursos especificando si son federales, estatales o municipales, así como el tipo de fondo de participación o aportación respectiva; </w:t>
      </w:r>
    </w:p>
    <w:p w14:paraId="7AE4A33A"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11) Los convenios modificatorios que, en su caso, sean firmados, precisando el objeto y la fecha de celebración; </w:t>
      </w:r>
    </w:p>
    <w:p w14:paraId="3056DB50"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12) Los informes de avance físico y financiero sobre las obras o servicios contratados; </w:t>
      </w:r>
    </w:p>
    <w:p w14:paraId="0F284DA1"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13) El convenio de terminación; y </w:t>
      </w:r>
    </w:p>
    <w:p w14:paraId="1836CA7F"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14) El finiquito.</w:t>
      </w:r>
    </w:p>
    <w:p w14:paraId="090315AC"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b) De las adjudicaciones directas:</w:t>
      </w:r>
      <w:r w:rsidRPr="00B0563B">
        <w:rPr>
          <w:rFonts w:ascii="Palatino Linotype" w:eastAsia="Palatino Linotype" w:hAnsi="Palatino Linotype" w:cs="Palatino Linotype"/>
          <w:i/>
          <w:iCs/>
          <w:sz w:val="22"/>
          <w:szCs w:val="22"/>
        </w:rPr>
        <w:t xml:space="preserve"> </w:t>
      </w:r>
    </w:p>
    <w:p w14:paraId="56632F6A"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 La propuesta enviada por el participante; </w:t>
      </w:r>
    </w:p>
    <w:p w14:paraId="361EDDBC"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2) Los motivos y fundamentos legales aplicados para llevarla a cabo; </w:t>
      </w:r>
    </w:p>
    <w:p w14:paraId="592D422C"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3) La autorización del ejercicio de la opción; </w:t>
      </w:r>
    </w:p>
    <w:p w14:paraId="385079C3"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4) En su caso, las cotizaciones consideradas, especificando los nombres de los proveedores y sus montos; </w:t>
      </w:r>
    </w:p>
    <w:p w14:paraId="025BF746"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5) El nombre de la persona física o jurídica colectiva adjudicada; </w:t>
      </w:r>
    </w:p>
    <w:p w14:paraId="1D29EC35"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6) La unidad administrativa solicitante y la responsable de su ejecución; </w:t>
      </w:r>
    </w:p>
    <w:p w14:paraId="6C577470"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7) El número, fecha, el monto del contrato y el plazo de entrega o de ejecución de los servicios u obra; </w:t>
      </w:r>
    </w:p>
    <w:p w14:paraId="721ACC98"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8) Los mecanismos de vigilancia y supervisión, incluyendo, en su caso, los estudios de impacto urbano y ambiental, según corresponda; </w:t>
      </w:r>
    </w:p>
    <w:p w14:paraId="0927D03E"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9) Los informes de avance sobre las obras o servicios contratados; </w:t>
      </w:r>
    </w:p>
    <w:p w14:paraId="576C9916"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10) El convenio de terminación; y </w:t>
      </w:r>
    </w:p>
    <w:p w14:paraId="7C39D487" w14:textId="77777777" w:rsidR="00C7221D" w:rsidRPr="00B0563B" w:rsidRDefault="00802627">
      <w:pPr>
        <w:tabs>
          <w:tab w:val="left" w:pos="426"/>
        </w:tabs>
        <w:ind w:left="1418"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11) El finiquito.” </w:t>
      </w:r>
    </w:p>
    <w:p w14:paraId="519B42B1" w14:textId="77777777" w:rsidR="00C7221D" w:rsidRPr="00B0563B" w:rsidRDefault="00C7221D">
      <w:pPr>
        <w:tabs>
          <w:tab w:val="left" w:pos="426"/>
        </w:tabs>
        <w:ind w:left="1418" w:right="902"/>
        <w:jc w:val="both"/>
        <w:rPr>
          <w:rFonts w:ascii="Palatino Linotype" w:eastAsia="Palatino Linotype" w:hAnsi="Palatino Linotype" w:cs="Palatino Linotype"/>
          <w:i/>
          <w:iCs/>
          <w:sz w:val="22"/>
          <w:szCs w:val="22"/>
        </w:rPr>
      </w:pPr>
    </w:p>
    <w:p w14:paraId="4C5A5FAF" w14:textId="77777777" w:rsidR="00C7221D" w:rsidRPr="00B0563B" w:rsidRDefault="00802627">
      <w:pPr>
        <w:spacing w:line="360" w:lineRule="auto"/>
        <w:ind w:right="51"/>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Es por lo anteriormente expuesto, que este Organismo Garante considera oportuno ordenar la entrega, previa búsqueda exhaustiva y razonable, de los contratos de la adquisición de insumos para la realización de eventos culturales, del primero de enero al cinco de agosto de dos mil veinticinco, de ser el caso en versión pública, en términos del considerando quinto. </w:t>
      </w:r>
    </w:p>
    <w:p w14:paraId="42159F2E" w14:textId="77777777" w:rsidR="00C7221D" w:rsidRPr="00B0563B" w:rsidRDefault="00C7221D">
      <w:pPr>
        <w:spacing w:line="360" w:lineRule="auto"/>
        <w:ind w:right="51"/>
        <w:jc w:val="both"/>
        <w:rPr>
          <w:rFonts w:ascii="Palatino Linotype" w:eastAsia="Palatino Linotype" w:hAnsi="Palatino Linotype" w:cs="Palatino Linotype"/>
          <w:sz w:val="22"/>
          <w:szCs w:val="22"/>
        </w:rPr>
      </w:pPr>
    </w:p>
    <w:p w14:paraId="5288830C"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Quinto. Versión pública. </w:t>
      </w:r>
      <w:r w:rsidRPr="00B0563B">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xml:space="preserve"> sin menoscabar el derecho a la protección de los datos personales de terceros.</w:t>
      </w:r>
    </w:p>
    <w:p w14:paraId="5A184D4F"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15AA364"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3D3B2F69" w14:textId="77777777" w:rsidR="00C7221D" w:rsidRPr="00B0563B" w:rsidRDefault="00C7221D">
      <w:pPr>
        <w:spacing w:line="276" w:lineRule="auto"/>
        <w:ind w:left="851" w:right="616"/>
        <w:jc w:val="both"/>
        <w:rPr>
          <w:rFonts w:ascii="Palatino Linotype" w:eastAsia="Palatino Linotype" w:hAnsi="Palatino Linotype" w:cs="Palatino Linotype"/>
          <w:b/>
          <w:bCs/>
          <w:i/>
          <w:iCs/>
          <w:sz w:val="22"/>
          <w:szCs w:val="22"/>
        </w:rPr>
      </w:pPr>
    </w:p>
    <w:p w14:paraId="2296A131"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“Artículo 3. Para los efectos de la presente Ley se entenderá por:</w:t>
      </w:r>
    </w:p>
    <w:p w14:paraId="07B2AAAC"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IX. Datos personales:</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b/>
          <w:bCs/>
          <w:i/>
          <w:iCs/>
          <w:sz w:val="22"/>
          <w:szCs w:val="22"/>
        </w:rPr>
        <w:t>La información concerniente a una persona, identificada o identificable</w:t>
      </w:r>
      <w:r w:rsidRPr="00B0563B">
        <w:rPr>
          <w:rFonts w:ascii="Palatino Linotype" w:eastAsia="Palatino Linotype" w:hAnsi="Palatino Linotype" w:cs="Palatino Linotype"/>
          <w:i/>
          <w:iCs/>
          <w:sz w:val="22"/>
          <w:szCs w:val="22"/>
        </w:rPr>
        <w:t xml:space="preserve"> según lo dispuesto por la Ley de Protección de Datos Personales del Estado de México;</w:t>
      </w:r>
    </w:p>
    <w:p w14:paraId="6C4A421A"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XX. Información clasificada:</w:t>
      </w:r>
      <w:r w:rsidRPr="00B0563B">
        <w:rPr>
          <w:rFonts w:ascii="Palatino Linotype" w:eastAsia="Palatino Linotype" w:hAnsi="Palatino Linotype" w:cs="Palatino Linotype"/>
          <w:i/>
          <w:iCs/>
          <w:sz w:val="22"/>
          <w:szCs w:val="22"/>
        </w:rPr>
        <w:t xml:space="preserve"> Aquella considerada por la presente Ley como reservada o confidencial;</w:t>
      </w:r>
    </w:p>
    <w:p w14:paraId="77D6D36E"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XXXII. Protección de Datos Personales:</w:t>
      </w:r>
      <w:r w:rsidRPr="00B0563B">
        <w:rPr>
          <w:rFonts w:ascii="Palatino Linotype" w:eastAsia="Palatino Linotype" w:hAnsi="Palatino Linotype" w:cs="Palatino Linotype"/>
          <w:i/>
          <w:iCs/>
          <w:sz w:val="22"/>
          <w:szCs w:val="22"/>
        </w:rPr>
        <w:t xml:space="preserve"> Derecho humano que tutela la privacidad de datos personales en poder de los sujetos obligados y sujetos particulares;</w:t>
      </w:r>
    </w:p>
    <w:p w14:paraId="077A2A0F"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XLV. Versión pública</w:t>
      </w:r>
      <w:r w:rsidRPr="00B0563B">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74AC481B"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6.</w:t>
      </w:r>
      <w:r w:rsidRPr="00B0563B">
        <w:rPr>
          <w:rFonts w:ascii="Palatino Linotype" w:eastAsia="Palatino Linotype" w:hAnsi="Palatino Linotype" w:cs="Palatino Linotype"/>
          <w:i/>
          <w:iCs/>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05718AA" w14:textId="77777777" w:rsidR="00C7221D" w:rsidRPr="00B0563B" w:rsidRDefault="00802627">
      <w:pPr>
        <w:spacing w:line="276" w:lineRule="auto"/>
        <w:ind w:left="851" w:right="616"/>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“Artículo 137.</w:t>
      </w:r>
      <w:r w:rsidRPr="00B0563B">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59F81D"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143</w:t>
      </w:r>
      <w:r w:rsidRPr="00B0563B">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2E905FE1"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w:t>
      </w:r>
      <w:r w:rsidRPr="00B0563B">
        <w:rPr>
          <w:rFonts w:ascii="Palatino Linotype" w:eastAsia="Palatino Linotype" w:hAnsi="Palatino Linotype" w:cs="Palatino Linotype"/>
          <w:i/>
          <w:iCs/>
          <w:sz w:val="22"/>
          <w:szCs w:val="22"/>
        </w:rPr>
        <w:t xml:space="preserve"> Se refiera a la información privada y los datos personales concernientes a una persona física o jurídica colectiva identificada o identificable;</w:t>
      </w:r>
    </w:p>
    <w:p w14:paraId="73BB1194"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A9E489C"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III. La que presenten los particulares a los sujetos obligados, de conformidad con lo dispuesto por las leyes o los tratados internacionales.” </w:t>
      </w:r>
    </w:p>
    <w:p w14:paraId="55546D99" w14:textId="77777777" w:rsidR="00C7221D" w:rsidRPr="00B0563B" w:rsidRDefault="00C7221D">
      <w:pPr>
        <w:ind w:left="993" w:right="1041"/>
        <w:jc w:val="both"/>
        <w:rPr>
          <w:rFonts w:ascii="Palatino Linotype" w:eastAsia="Palatino Linotype" w:hAnsi="Palatino Linotype" w:cs="Palatino Linotype"/>
          <w:i/>
          <w:iCs/>
          <w:sz w:val="22"/>
          <w:szCs w:val="22"/>
        </w:rPr>
      </w:pPr>
    </w:p>
    <w:p w14:paraId="22FD7A20" w14:textId="77777777" w:rsidR="00C7221D" w:rsidRPr="00B0563B" w:rsidRDefault="00802627">
      <w:pPr>
        <w:spacing w:line="360" w:lineRule="auto"/>
        <w:ind w:right="51"/>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142D48B" w14:textId="77777777" w:rsidR="00C7221D" w:rsidRPr="00B0563B" w:rsidRDefault="00C7221D">
      <w:pPr>
        <w:spacing w:line="360" w:lineRule="auto"/>
        <w:ind w:right="51"/>
        <w:jc w:val="both"/>
        <w:rPr>
          <w:rFonts w:ascii="Palatino Linotype" w:eastAsia="Palatino Linotype" w:hAnsi="Palatino Linotype" w:cs="Palatino Linotype"/>
          <w:sz w:val="22"/>
          <w:szCs w:val="22"/>
        </w:rPr>
      </w:pPr>
    </w:p>
    <w:p w14:paraId="2BE0DE2B" w14:textId="77777777" w:rsidR="00C7221D" w:rsidRPr="00B0563B" w:rsidRDefault="00802627">
      <w:pP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CB7F342" w14:textId="77777777" w:rsidR="00C7221D" w:rsidRPr="00B0563B" w:rsidRDefault="00C7221D">
      <w:pPr>
        <w:spacing w:line="360" w:lineRule="auto"/>
        <w:ind w:right="51"/>
        <w:jc w:val="both"/>
        <w:rPr>
          <w:rFonts w:ascii="Palatino Linotype" w:eastAsia="Palatino Linotype" w:hAnsi="Palatino Linotype" w:cs="Palatino Linotype"/>
          <w:sz w:val="22"/>
          <w:szCs w:val="22"/>
        </w:rPr>
      </w:pPr>
    </w:p>
    <w:p w14:paraId="67FC0A6F" w14:textId="77777777" w:rsidR="00C7221D" w:rsidRPr="00B0563B" w:rsidRDefault="00802627">
      <w:pPr>
        <w:spacing w:line="360" w:lineRule="auto"/>
        <w:ind w:right="51"/>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4B292E0C" w14:textId="77777777" w:rsidR="00C7221D" w:rsidRPr="00B0563B" w:rsidRDefault="00C7221D">
      <w:pPr>
        <w:spacing w:line="360" w:lineRule="auto"/>
        <w:ind w:right="51"/>
        <w:jc w:val="both"/>
        <w:rPr>
          <w:rFonts w:ascii="Palatino Linotype" w:eastAsia="Palatino Linotype" w:hAnsi="Palatino Linotype" w:cs="Palatino Linotype"/>
          <w:sz w:val="22"/>
          <w:szCs w:val="22"/>
        </w:rPr>
      </w:pPr>
    </w:p>
    <w:p w14:paraId="05D86784"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49.</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b/>
          <w:bCs/>
          <w:i/>
          <w:iCs/>
          <w:sz w:val="22"/>
          <w:szCs w:val="22"/>
        </w:rPr>
        <w:t>Los Comités de Transparencia</w:t>
      </w:r>
      <w:r w:rsidRPr="00B0563B">
        <w:rPr>
          <w:rFonts w:ascii="Palatino Linotype" w:eastAsia="Palatino Linotype" w:hAnsi="Palatino Linotype" w:cs="Palatino Linotype"/>
          <w:i/>
          <w:iCs/>
          <w:sz w:val="22"/>
          <w:szCs w:val="22"/>
        </w:rPr>
        <w:t xml:space="preserve"> tendrán las siguientes atribuciones:</w:t>
      </w:r>
    </w:p>
    <w:p w14:paraId="5A07EEAB"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VIII. Aprobar, modificar o revocar la clasificación de la información</w:t>
      </w:r>
      <w:r w:rsidRPr="00B0563B">
        <w:rPr>
          <w:rFonts w:ascii="Palatino Linotype" w:eastAsia="Palatino Linotype" w:hAnsi="Palatino Linotype" w:cs="Palatino Linotype"/>
          <w:i/>
          <w:iCs/>
          <w:sz w:val="22"/>
          <w:szCs w:val="22"/>
        </w:rPr>
        <w:t>…”</w:t>
      </w:r>
    </w:p>
    <w:p w14:paraId="7D5C0D67"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53.</w:t>
      </w:r>
      <w:r w:rsidRPr="00B0563B">
        <w:rPr>
          <w:rFonts w:ascii="Palatino Linotype" w:eastAsia="Palatino Linotype" w:hAnsi="Palatino Linotype" w:cs="Palatino Linotype"/>
          <w:i/>
          <w:iCs/>
          <w:sz w:val="22"/>
          <w:szCs w:val="22"/>
        </w:rPr>
        <w:t xml:space="preserve"> Las </w:t>
      </w:r>
      <w:r w:rsidRPr="00B0563B">
        <w:rPr>
          <w:rFonts w:ascii="Palatino Linotype" w:eastAsia="Palatino Linotype" w:hAnsi="Palatino Linotype" w:cs="Palatino Linotype"/>
          <w:b/>
          <w:bCs/>
          <w:i/>
          <w:iCs/>
          <w:sz w:val="22"/>
          <w:szCs w:val="22"/>
        </w:rPr>
        <w:t>Unidades de Transparencia</w:t>
      </w:r>
      <w:r w:rsidRPr="00B0563B">
        <w:rPr>
          <w:rFonts w:ascii="Palatino Linotype" w:eastAsia="Palatino Linotype" w:hAnsi="Palatino Linotype" w:cs="Palatino Linotype"/>
          <w:i/>
          <w:iCs/>
          <w:sz w:val="22"/>
          <w:szCs w:val="22"/>
        </w:rPr>
        <w:t xml:space="preserve"> tendrán las siguientes </w:t>
      </w:r>
      <w:r w:rsidRPr="00B0563B">
        <w:rPr>
          <w:rFonts w:ascii="Palatino Linotype" w:eastAsia="Palatino Linotype" w:hAnsi="Palatino Linotype" w:cs="Palatino Linotype"/>
          <w:b/>
          <w:bCs/>
          <w:i/>
          <w:iCs/>
          <w:sz w:val="22"/>
          <w:szCs w:val="22"/>
        </w:rPr>
        <w:t>funciones</w:t>
      </w:r>
      <w:r w:rsidRPr="00B0563B">
        <w:rPr>
          <w:rFonts w:ascii="Palatino Linotype" w:eastAsia="Palatino Linotype" w:hAnsi="Palatino Linotype" w:cs="Palatino Linotype"/>
          <w:i/>
          <w:iCs/>
          <w:sz w:val="22"/>
          <w:szCs w:val="22"/>
        </w:rPr>
        <w:t>:</w:t>
      </w:r>
    </w:p>
    <w:p w14:paraId="4F7B2F37"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X. Presentar ante el Comité, el proyecto de clasificación de información</w:t>
      </w:r>
      <w:r w:rsidRPr="00B0563B">
        <w:rPr>
          <w:rFonts w:ascii="Palatino Linotype" w:eastAsia="Palatino Linotype" w:hAnsi="Palatino Linotype" w:cs="Palatino Linotype"/>
          <w:i/>
          <w:iCs/>
          <w:sz w:val="22"/>
          <w:szCs w:val="22"/>
        </w:rPr>
        <w:t xml:space="preserve">…” </w:t>
      </w:r>
    </w:p>
    <w:p w14:paraId="43CF2221"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“Artículo 59.</w:t>
      </w:r>
      <w:r w:rsidRPr="00B0563B">
        <w:rPr>
          <w:rFonts w:ascii="Palatino Linotype" w:eastAsia="Palatino Linotype" w:hAnsi="Palatino Linotype" w:cs="Palatino Linotype"/>
          <w:i/>
          <w:iCs/>
          <w:sz w:val="22"/>
          <w:szCs w:val="22"/>
        </w:rPr>
        <w:t xml:space="preserve"> Los </w:t>
      </w:r>
      <w:r w:rsidRPr="00B0563B">
        <w:rPr>
          <w:rFonts w:ascii="Palatino Linotype" w:eastAsia="Palatino Linotype" w:hAnsi="Palatino Linotype" w:cs="Palatino Linotype"/>
          <w:b/>
          <w:bCs/>
          <w:i/>
          <w:iCs/>
          <w:sz w:val="22"/>
          <w:szCs w:val="22"/>
        </w:rPr>
        <w:t>servidores públicos habilitados</w:t>
      </w:r>
      <w:r w:rsidRPr="00B0563B">
        <w:rPr>
          <w:rFonts w:ascii="Palatino Linotype" w:eastAsia="Palatino Linotype" w:hAnsi="Palatino Linotype" w:cs="Palatino Linotype"/>
          <w:i/>
          <w:iCs/>
          <w:sz w:val="22"/>
          <w:szCs w:val="22"/>
        </w:rPr>
        <w:t xml:space="preserve"> tendrán las </w:t>
      </w:r>
      <w:r w:rsidRPr="00B0563B">
        <w:rPr>
          <w:rFonts w:ascii="Palatino Linotype" w:eastAsia="Palatino Linotype" w:hAnsi="Palatino Linotype" w:cs="Palatino Linotype"/>
          <w:b/>
          <w:bCs/>
          <w:i/>
          <w:iCs/>
          <w:sz w:val="22"/>
          <w:szCs w:val="22"/>
        </w:rPr>
        <w:t>funciones</w:t>
      </w:r>
      <w:r w:rsidRPr="00B0563B">
        <w:rPr>
          <w:rFonts w:ascii="Palatino Linotype" w:eastAsia="Palatino Linotype" w:hAnsi="Palatino Linotype" w:cs="Palatino Linotype"/>
          <w:i/>
          <w:iCs/>
          <w:sz w:val="22"/>
          <w:szCs w:val="22"/>
        </w:rPr>
        <w:t xml:space="preserve"> siguientes:</w:t>
      </w:r>
    </w:p>
    <w:p w14:paraId="7C5D1AF6"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B0563B">
        <w:rPr>
          <w:rFonts w:ascii="Palatino Linotype" w:eastAsia="Palatino Linotype" w:hAnsi="Palatino Linotype" w:cs="Palatino Linotype"/>
          <w:i/>
          <w:iCs/>
          <w:sz w:val="22"/>
          <w:szCs w:val="22"/>
        </w:rPr>
        <w:t xml:space="preserve">, la cual tendrá los fundamentos y argumentos en que se basa dicha propuesta…” </w:t>
      </w:r>
    </w:p>
    <w:p w14:paraId="1AE03A71" w14:textId="77777777" w:rsidR="00C7221D" w:rsidRPr="00B0563B" w:rsidRDefault="00C7221D">
      <w:pPr>
        <w:spacing w:line="276" w:lineRule="auto"/>
        <w:ind w:left="992" w:right="1043"/>
        <w:jc w:val="both"/>
        <w:rPr>
          <w:rFonts w:ascii="Palatino Linotype" w:eastAsia="Palatino Linotype" w:hAnsi="Palatino Linotype" w:cs="Palatino Linotype"/>
          <w:i/>
          <w:iCs/>
          <w:sz w:val="22"/>
          <w:szCs w:val="22"/>
        </w:rPr>
      </w:pPr>
    </w:p>
    <w:p w14:paraId="272ECA42"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9120B36"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5444EA29"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2D81509"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66ABFAEB" w14:textId="77777777" w:rsidR="00C7221D" w:rsidRPr="00B0563B" w:rsidRDefault="00802627">
      <w:pPr>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149.</w:t>
      </w:r>
      <w:r w:rsidRPr="00B0563B">
        <w:rPr>
          <w:rFonts w:ascii="Palatino Linotype" w:eastAsia="Palatino Linotype" w:hAnsi="Palatino Linotype" w:cs="Palatino Linotype"/>
          <w:i/>
          <w:iCs/>
          <w:sz w:val="22"/>
          <w:szCs w:val="22"/>
        </w:rPr>
        <w:t xml:space="preserve"> El </w:t>
      </w:r>
      <w:r w:rsidRPr="00B0563B">
        <w:rPr>
          <w:rFonts w:ascii="Palatino Linotype" w:eastAsia="Palatino Linotype" w:hAnsi="Palatino Linotype" w:cs="Palatino Linotype"/>
          <w:b/>
          <w:bCs/>
          <w:i/>
          <w:iCs/>
          <w:sz w:val="22"/>
          <w:szCs w:val="22"/>
        </w:rPr>
        <w:t>acuerdo que clasifique la información como confidencial</w:t>
      </w:r>
      <w:r w:rsidRPr="00B0563B">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w:t>
      </w:r>
    </w:p>
    <w:p w14:paraId="6EC604ED" w14:textId="77777777" w:rsidR="00C7221D" w:rsidRPr="00B0563B" w:rsidRDefault="00C7221D">
      <w:pPr>
        <w:spacing w:line="360" w:lineRule="auto"/>
        <w:ind w:right="51"/>
        <w:jc w:val="both"/>
        <w:rPr>
          <w:rFonts w:ascii="Palatino Linotype" w:eastAsia="Palatino Linotype" w:hAnsi="Palatino Linotype" w:cs="Palatino Linotype"/>
          <w:i/>
          <w:iCs/>
          <w:sz w:val="22"/>
          <w:szCs w:val="22"/>
        </w:rPr>
      </w:pPr>
    </w:p>
    <w:p w14:paraId="3DB7E618" w14:textId="77777777" w:rsidR="00C7221D" w:rsidRPr="00B0563B" w:rsidRDefault="00802627">
      <w:pPr>
        <w:spacing w:line="360" w:lineRule="auto"/>
        <w:ind w:right="51"/>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Es decir, el</w:t>
      </w:r>
      <w:r w:rsidRPr="00B0563B">
        <w:rPr>
          <w:rFonts w:ascii="Palatino Linotype" w:eastAsia="Palatino Linotype" w:hAnsi="Palatino Linotype" w:cs="Palatino Linotype"/>
          <w:b/>
          <w:bCs/>
          <w:sz w:val="22"/>
          <w:szCs w:val="22"/>
        </w:rPr>
        <w:t xml:space="preserve"> Sujeto Obligado</w:t>
      </w:r>
      <w:r w:rsidRPr="00B0563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302F312" w14:textId="77777777" w:rsidR="00C7221D" w:rsidRPr="00B0563B" w:rsidRDefault="00C7221D">
      <w:pPr>
        <w:spacing w:line="360" w:lineRule="auto"/>
        <w:ind w:right="51"/>
        <w:jc w:val="both"/>
        <w:rPr>
          <w:rFonts w:ascii="Palatino Linotype" w:eastAsia="Palatino Linotype" w:hAnsi="Palatino Linotype" w:cs="Palatino Linotype"/>
          <w:sz w:val="22"/>
          <w:szCs w:val="22"/>
        </w:rPr>
      </w:pPr>
    </w:p>
    <w:p w14:paraId="3333D6E7" w14:textId="77777777" w:rsidR="00C7221D" w:rsidRPr="00B0563B" w:rsidRDefault="00802627">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Respecto del </w:t>
      </w:r>
      <w:r w:rsidRPr="00B0563B">
        <w:rPr>
          <w:rFonts w:ascii="Palatino Linotype" w:eastAsia="Palatino Linotype" w:hAnsi="Palatino Linotype" w:cs="Palatino Linotype"/>
          <w:b/>
          <w:bCs/>
          <w:sz w:val="22"/>
          <w:szCs w:val="22"/>
        </w:rPr>
        <w:t>nombre de las personas físicas</w:t>
      </w:r>
      <w:r w:rsidRPr="00B0563B">
        <w:rPr>
          <w:rFonts w:ascii="Palatino Linotype" w:eastAsia="Palatino Linotype" w:hAnsi="Palatino Linotype" w:cs="Palatino Linotype"/>
          <w:sz w:val="22"/>
          <w:szCs w:val="22"/>
        </w:rPr>
        <w:t xml:space="preserve"> o los </w:t>
      </w:r>
      <w:r w:rsidRPr="00B0563B">
        <w:rPr>
          <w:rFonts w:ascii="Palatino Linotype" w:eastAsia="Palatino Linotype" w:hAnsi="Palatino Linotype" w:cs="Palatino Linotype"/>
          <w:b/>
          <w:bCs/>
          <w:sz w:val="22"/>
          <w:szCs w:val="22"/>
        </w:rPr>
        <w:t>representantes legales de las personas morales</w:t>
      </w:r>
      <w:r w:rsidRPr="00B0563B">
        <w:rPr>
          <w:rFonts w:ascii="Palatino Linotype" w:eastAsia="Palatino Linotype" w:hAnsi="Palatino Linotype" w:cs="Palatino Linotype"/>
          <w:sz w:val="22"/>
          <w:szCs w:val="22"/>
        </w:rPr>
        <w:t xml:space="preserve">, </w:t>
      </w:r>
      <w:r w:rsidRPr="00B0563B">
        <w:rPr>
          <w:rFonts w:ascii="Palatino Linotype" w:eastAsia="Palatino Linotype" w:hAnsi="Palatino Linotype" w:cs="Palatino Linotype"/>
          <w:b/>
          <w:bCs/>
          <w:sz w:val="22"/>
          <w:szCs w:val="22"/>
        </w:rPr>
        <w:t>en su calidad de proveedores, contratistas o prestadores de servicios, y la firma y rúbrica de estos</w:t>
      </w:r>
      <w:r w:rsidRPr="00B0563B">
        <w:rPr>
          <w:rFonts w:ascii="Palatino Linotype" w:eastAsia="Palatino Linotype" w:hAnsi="Palatino Linotype" w:cs="Palatino Linotype"/>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66C81BD4" w14:textId="77777777" w:rsidR="00C7221D" w:rsidRPr="00B0563B" w:rsidRDefault="00C7221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25E091E6" w14:textId="77777777" w:rsidR="00C7221D" w:rsidRPr="00B0563B" w:rsidRDefault="00802627">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3349DE07" w14:textId="77777777" w:rsidR="00C7221D" w:rsidRPr="00B0563B" w:rsidRDefault="00C7221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33D7723C" w14:textId="77777777" w:rsidR="00C7221D" w:rsidRPr="00B0563B" w:rsidRDefault="00802627">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Artículo 23.</w:t>
      </w:r>
      <w:r w:rsidRPr="00B0563B">
        <w:rPr>
          <w:rFonts w:ascii="Palatino Linotype" w:eastAsia="Palatino Linotype" w:hAnsi="Palatino Linotype" w:cs="Palatino Linotype"/>
          <w:i/>
          <w:iCs/>
          <w:sz w:val="22"/>
          <w:szCs w:val="22"/>
        </w:rPr>
        <w:t xml:space="preserve"> (…)</w:t>
      </w:r>
    </w:p>
    <w:p w14:paraId="6B462A68" w14:textId="77777777" w:rsidR="00C7221D" w:rsidRPr="00B0563B" w:rsidRDefault="00802627">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DD5C3F9" w14:textId="77777777" w:rsidR="00C7221D" w:rsidRPr="00B0563B" w:rsidRDefault="00C722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CC32C1" w14:textId="77777777" w:rsidR="00C7221D" w:rsidRPr="00B0563B" w:rsidRDefault="00802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10C3BD01" w14:textId="77777777" w:rsidR="00C7221D" w:rsidRPr="00B0563B" w:rsidRDefault="00C7221D">
      <w:pPr>
        <w:pBdr>
          <w:top w:val="nil"/>
          <w:left w:val="nil"/>
          <w:bottom w:val="nil"/>
          <w:right w:val="nil"/>
          <w:between w:val="nil"/>
        </w:pBdr>
        <w:spacing w:line="276" w:lineRule="auto"/>
        <w:ind w:left="851" w:right="902"/>
        <w:jc w:val="both"/>
        <w:rPr>
          <w:rFonts w:ascii="Palatino Linotype" w:eastAsia="Palatino Linotype" w:hAnsi="Palatino Linotype" w:cs="Palatino Linotype"/>
          <w:b/>
          <w:bCs/>
          <w:i/>
          <w:iCs/>
          <w:sz w:val="22"/>
          <w:szCs w:val="22"/>
        </w:rPr>
      </w:pPr>
    </w:p>
    <w:p w14:paraId="40368D4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Datos de identificación del representante o apoderado legal.</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b/>
          <w:bCs/>
          <w:i/>
          <w:iCs/>
          <w:sz w:val="22"/>
          <w:szCs w:val="22"/>
        </w:rPr>
        <w:t xml:space="preserve">Naturaleza jurídica. El nombre, la </w:t>
      </w:r>
      <w:r w:rsidRPr="00B0563B">
        <w:rPr>
          <w:rFonts w:ascii="Palatino Linotype" w:eastAsia="Palatino Linotype" w:hAnsi="Palatino Linotype" w:cs="Palatino Linotype"/>
          <w:b/>
          <w:bCs/>
          <w:i/>
          <w:iCs/>
          <w:sz w:val="22"/>
          <w:szCs w:val="22"/>
          <w:u w:val="single"/>
        </w:rPr>
        <w:t>firma y la rúbrica</w:t>
      </w:r>
      <w:r w:rsidRPr="00B0563B">
        <w:rPr>
          <w:rFonts w:ascii="Palatino Linotype" w:eastAsia="Palatino Linotype" w:hAnsi="Palatino Linotype" w:cs="Palatino Linotype"/>
          <w:i/>
          <w:iCs/>
          <w:sz w:val="22"/>
          <w:szCs w:val="22"/>
        </w:rPr>
        <w:t xml:space="preserve"> de una persona física, que actúe como representante o apoderado legal de un tercero que haya celebrado un acto jurídico, con algún sujeto obligado, </w:t>
      </w:r>
      <w:r w:rsidRPr="00B0563B">
        <w:rPr>
          <w:rFonts w:ascii="Palatino Linotype" w:eastAsia="Palatino Linotype" w:hAnsi="Palatino Linotype" w:cs="Palatino Linotype"/>
          <w:b/>
          <w:bCs/>
          <w:i/>
          <w:iCs/>
          <w:sz w:val="22"/>
          <w:szCs w:val="22"/>
          <w:u w:val="single"/>
        </w:rPr>
        <w:t>es información pública</w:t>
      </w:r>
      <w:r w:rsidRPr="00B0563B">
        <w:rPr>
          <w:rFonts w:ascii="Palatino Linotype" w:eastAsia="Palatino Linotype" w:hAnsi="Palatino Linotype" w:cs="Palatino Linotype"/>
          <w:b/>
          <w:bCs/>
          <w:i/>
          <w:iCs/>
          <w:sz w:val="22"/>
          <w:szCs w:val="22"/>
        </w:rPr>
        <w:t>, en razón de que tales datos fueron proporcionados con el objeto de expresar el consentimiento obligacional del tercero y otorgar validez a dicho instrumento jurídico</w:t>
      </w:r>
      <w:r w:rsidRPr="00B0563B">
        <w:rPr>
          <w:rFonts w:ascii="Palatino Linotype" w:eastAsia="Palatino Linotype" w:hAnsi="Palatino Linotype" w:cs="Palatino Linotype"/>
          <w:i/>
          <w:iCs/>
          <w:sz w:val="22"/>
          <w:szCs w:val="22"/>
        </w:rPr>
        <w:t>.”</w:t>
      </w:r>
    </w:p>
    <w:p w14:paraId="07D5D1CE"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30DE817C"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631A4DFB" w14:textId="77777777" w:rsidR="00C7221D" w:rsidRPr="00B0563B" w:rsidRDefault="00C7221D">
      <w:pPr>
        <w:spacing w:line="360" w:lineRule="auto"/>
        <w:ind w:right="50"/>
        <w:jc w:val="both"/>
        <w:rPr>
          <w:rFonts w:ascii="Palatino Linotype" w:eastAsia="Palatino Linotype" w:hAnsi="Palatino Linotype" w:cs="Palatino Linotype"/>
          <w:sz w:val="22"/>
          <w:szCs w:val="22"/>
        </w:rPr>
      </w:pPr>
    </w:p>
    <w:p w14:paraId="032E9185" w14:textId="77777777" w:rsidR="00C7221D" w:rsidRPr="00B0563B" w:rsidRDefault="00802627">
      <w:pPr>
        <w:spacing w:line="360" w:lineRule="auto"/>
        <w:ind w:right="51"/>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C914E0B" w14:textId="77777777" w:rsidR="00C7221D" w:rsidRPr="00B0563B" w:rsidRDefault="00C7221D">
      <w:pPr>
        <w:spacing w:line="360" w:lineRule="auto"/>
        <w:ind w:right="51"/>
        <w:jc w:val="both"/>
        <w:rPr>
          <w:rFonts w:ascii="Palatino Linotype" w:eastAsia="Palatino Linotype" w:hAnsi="Palatino Linotype" w:cs="Palatino Linotype"/>
          <w:sz w:val="22"/>
          <w:szCs w:val="22"/>
        </w:rPr>
      </w:pPr>
    </w:p>
    <w:p w14:paraId="5D6BD4B6" w14:textId="77777777" w:rsidR="00C7221D" w:rsidRPr="00B0563B" w:rsidRDefault="00802627">
      <w:pP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Lo anterior encuentra sustento en el criterio 10/17 emitido por el Instituto Nacional de Transparencia y Acceso a la Información Pública del Estado de México y Municipios, que a la letra dicen:</w:t>
      </w:r>
    </w:p>
    <w:p w14:paraId="0CCC3D5C" w14:textId="77777777" w:rsidR="00C7221D" w:rsidRPr="00B0563B" w:rsidRDefault="00C7221D">
      <w:pPr>
        <w:spacing w:line="276" w:lineRule="auto"/>
        <w:ind w:left="851" w:right="1134"/>
        <w:jc w:val="both"/>
        <w:rPr>
          <w:rFonts w:ascii="Palatino Linotype" w:eastAsia="Palatino Linotype" w:hAnsi="Palatino Linotype" w:cs="Palatino Linotype"/>
          <w:i/>
          <w:iCs/>
          <w:sz w:val="22"/>
          <w:szCs w:val="22"/>
        </w:rPr>
      </w:pPr>
    </w:p>
    <w:p w14:paraId="125AB3D6" w14:textId="77777777" w:rsidR="00C7221D" w:rsidRPr="00B0563B" w:rsidRDefault="00802627">
      <w:pP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Cuentas bancarias y/o CLABE interbancaria de personas físicas y morales privadas.</w:t>
      </w:r>
      <w:r w:rsidRPr="00B0563B">
        <w:rPr>
          <w:rFonts w:ascii="Palatino Linotype" w:eastAsia="Palatino Linotype" w:hAnsi="Palatino Linotype" w:cs="Palatino Linotype"/>
          <w:i/>
          <w:iCs/>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CB1E22C" w14:textId="77777777" w:rsidR="00C7221D" w:rsidRPr="00B0563B" w:rsidRDefault="00C7221D">
      <w:pPr>
        <w:ind w:left="851" w:right="899"/>
        <w:jc w:val="center"/>
        <w:rPr>
          <w:rFonts w:ascii="Palatino Linotype" w:eastAsia="Palatino Linotype" w:hAnsi="Palatino Linotype" w:cs="Palatino Linotype"/>
          <w:b/>
          <w:bCs/>
          <w:i/>
          <w:iCs/>
          <w:sz w:val="22"/>
          <w:szCs w:val="22"/>
        </w:rPr>
      </w:pPr>
    </w:p>
    <w:p w14:paraId="0F3E8C20" w14:textId="77777777" w:rsidR="00C7221D" w:rsidRPr="00B0563B" w:rsidRDefault="00802627">
      <w:pP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D926ECE" w14:textId="77777777" w:rsidR="00C7221D" w:rsidRPr="00B0563B" w:rsidRDefault="00C7221D">
      <w:pPr>
        <w:spacing w:line="360" w:lineRule="auto"/>
        <w:ind w:right="50"/>
        <w:jc w:val="both"/>
        <w:rPr>
          <w:rFonts w:ascii="Palatino Linotype" w:eastAsia="Palatino Linotype" w:hAnsi="Palatino Linotype" w:cs="Palatino Linotype"/>
          <w:sz w:val="22"/>
          <w:szCs w:val="22"/>
        </w:rPr>
      </w:pPr>
    </w:p>
    <w:p w14:paraId="25B1C41B" w14:textId="77777777" w:rsidR="00C7221D" w:rsidRPr="00B0563B" w:rsidRDefault="00802627">
      <w:pPr>
        <w:tabs>
          <w:tab w:val="left" w:pos="7513"/>
        </w:tabs>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w:t>
      </w:r>
      <w:r w:rsidRPr="00B0563B">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B0563B">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FBD0F9C" w14:textId="77777777" w:rsidR="00C7221D" w:rsidRPr="00B0563B" w:rsidRDefault="00C7221D">
      <w:pPr>
        <w:spacing w:line="360" w:lineRule="auto"/>
        <w:ind w:left="851" w:right="1134"/>
        <w:jc w:val="both"/>
        <w:rPr>
          <w:rFonts w:ascii="Palatino Linotype" w:eastAsia="Palatino Linotype" w:hAnsi="Palatino Linotype" w:cs="Palatino Linotype"/>
          <w:i/>
          <w:iCs/>
          <w:sz w:val="22"/>
          <w:szCs w:val="22"/>
        </w:rPr>
      </w:pPr>
    </w:p>
    <w:p w14:paraId="030C984F" w14:textId="77777777" w:rsidR="00C7221D" w:rsidRPr="00B0563B" w:rsidRDefault="00802627">
      <w:pP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Sobre el </w:t>
      </w:r>
      <w:r w:rsidRPr="00B0563B">
        <w:rPr>
          <w:rFonts w:ascii="Palatino Linotype" w:eastAsia="Palatino Linotype" w:hAnsi="Palatino Linotype" w:cs="Palatino Linotype"/>
          <w:b/>
          <w:bCs/>
          <w:sz w:val="22"/>
          <w:szCs w:val="22"/>
        </w:rPr>
        <w:t>RFC</w:t>
      </w:r>
      <w:r w:rsidRPr="00B0563B">
        <w:rPr>
          <w:rFonts w:ascii="Palatino Linotype" w:eastAsia="Palatino Linotype" w:hAnsi="Palatino Linotype" w:cs="Palatino Linotype"/>
          <w:sz w:val="22"/>
          <w:szCs w:val="22"/>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53BD0DD" w14:textId="77777777" w:rsidR="00C7221D" w:rsidRPr="00B0563B" w:rsidRDefault="00C7221D">
      <w:pPr>
        <w:spacing w:line="360" w:lineRule="auto"/>
        <w:ind w:right="50"/>
        <w:jc w:val="both"/>
        <w:rPr>
          <w:rFonts w:ascii="Palatino Linotype" w:eastAsia="Palatino Linotype" w:hAnsi="Palatino Linotype" w:cs="Palatino Linotype"/>
          <w:sz w:val="22"/>
          <w:szCs w:val="22"/>
        </w:rPr>
      </w:pPr>
    </w:p>
    <w:p w14:paraId="32C870AD" w14:textId="77777777" w:rsidR="00C7221D" w:rsidRPr="00B0563B" w:rsidRDefault="00802627">
      <w:pP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E9764C7" w14:textId="77777777" w:rsidR="00C7221D" w:rsidRPr="00B0563B" w:rsidRDefault="00C7221D">
      <w:pPr>
        <w:spacing w:line="360" w:lineRule="auto"/>
        <w:ind w:right="50"/>
        <w:jc w:val="both"/>
        <w:rPr>
          <w:rFonts w:ascii="Palatino Linotype" w:eastAsia="Palatino Linotype" w:hAnsi="Palatino Linotype" w:cs="Palatino Linotype"/>
          <w:sz w:val="22"/>
          <w:szCs w:val="22"/>
        </w:rPr>
      </w:pPr>
    </w:p>
    <w:p w14:paraId="21020E85" w14:textId="77777777" w:rsidR="00C7221D" w:rsidRPr="00B0563B" w:rsidRDefault="00802627">
      <w:pPr>
        <w:spacing w:line="360" w:lineRule="auto"/>
        <w:ind w:right="50"/>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66F3D131" w14:textId="77777777" w:rsidR="00C7221D" w:rsidRPr="00B0563B" w:rsidRDefault="00C7221D">
      <w:pPr>
        <w:spacing w:line="360" w:lineRule="auto"/>
        <w:ind w:right="50"/>
        <w:jc w:val="both"/>
        <w:rPr>
          <w:rFonts w:ascii="Palatino Linotype" w:eastAsia="Palatino Linotype" w:hAnsi="Palatino Linotype" w:cs="Palatino Linotype"/>
          <w:sz w:val="22"/>
          <w:szCs w:val="22"/>
        </w:rPr>
      </w:pPr>
    </w:p>
    <w:p w14:paraId="32AD2C94"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Al respecto, se destaca que la versión pública que elabore 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0563B">
        <w:rPr>
          <w:rFonts w:ascii="Palatino Linotype" w:eastAsia="Palatino Linotype" w:hAnsi="Palatino Linotype" w:cs="Palatino Linotype"/>
          <w:b/>
          <w:bCs/>
          <w:sz w:val="22"/>
          <w:szCs w:val="22"/>
        </w:rPr>
        <w:t>LINEAMIENTOS GENERALES EN MATERIA DE CLASIFICACIÓN Y DESCLASIFICACIÓN DE LA INFORMACIÓN, ASÍ COMO PARA LA ELABORACIÓN DE VERSIONES PÚBLICAS</w:t>
      </w:r>
      <w:r w:rsidRPr="00B0563B">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893F332" w14:textId="77777777" w:rsidR="00C7221D" w:rsidRPr="00B0563B" w:rsidRDefault="00C7221D">
      <w:pPr>
        <w:ind w:left="709" w:right="709"/>
        <w:jc w:val="both"/>
        <w:rPr>
          <w:rFonts w:ascii="Palatino Linotype" w:eastAsia="Palatino Linotype" w:hAnsi="Palatino Linotype" w:cs="Palatino Linotype"/>
          <w:b/>
          <w:bCs/>
          <w:i/>
          <w:iCs/>
          <w:sz w:val="22"/>
          <w:szCs w:val="22"/>
        </w:rPr>
      </w:pPr>
    </w:p>
    <w:p w14:paraId="1EE59F4E"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“Lineamientos Generales en materia de Clasificación y Desclasificación de la Información, así como para la elaboración de Versiones Públicas</w:t>
      </w:r>
    </w:p>
    <w:p w14:paraId="6A1D3A84"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w:t>
      </w:r>
      <w:proofErr w:type="gramStart"/>
      <w:r w:rsidRPr="00B0563B">
        <w:rPr>
          <w:rFonts w:ascii="Palatino Linotype" w:eastAsia="Palatino Linotype" w:hAnsi="Palatino Linotype" w:cs="Palatino Linotype"/>
          <w:b/>
          <w:bCs/>
          <w:i/>
          <w:iCs/>
          <w:sz w:val="22"/>
          <w:szCs w:val="22"/>
        </w:rPr>
        <w:t>Segundo.-</w:t>
      </w:r>
      <w:proofErr w:type="gramEnd"/>
      <w:r w:rsidRPr="00B0563B">
        <w:rPr>
          <w:rFonts w:ascii="Palatino Linotype" w:eastAsia="Palatino Linotype" w:hAnsi="Palatino Linotype" w:cs="Palatino Linotype"/>
          <w:i/>
          <w:iCs/>
          <w:sz w:val="22"/>
          <w:szCs w:val="22"/>
        </w:rPr>
        <w:t xml:space="preserve"> Para efectos de los presentes Lineamientos Generales, se entenderá por:</w:t>
      </w:r>
    </w:p>
    <w:p w14:paraId="7E5AC938"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XVIII.</w:t>
      </w:r>
      <w:r w:rsidRPr="00B0563B">
        <w:rPr>
          <w:rFonts w:ascii="Palatino Linotype" w:eastAsia="Palatino Linotype" w:hAnsi="Palatino Linotype" w:cs="Palatino Linotype"/>
          <w:i/>
          <w:iCs/>
          <w:sz w:val="22"/>
          <w:szCs w:val="22"/>
        </w:rPr>
        <w:t xml:space="preserve"> </w:t>
      </w:r>
      <w:r w:rsidRPr="00B0563B">
        <w:rPr>
          <w:rFonts w:ascii="Palatino Linotype" w:eastAsia="Palatino Linotype" w:hAnsi="Palatino Linotype" w:cs="Palatino Linotype"/>
          <w:b/>
          <w:bCs/>
          <w:i/>
          <w:iCs/>
          <w:sz w:val="22"/>
          <w:szCs w:val="22"/>
        </w:rPr>
        <w:t>Versión pública:</w:t>
      </w:r>
      <w:r w:rsidRPr="00B0563B">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B0563B">
        <w:rPr>
          <w:rFonts w:ascii="Palatino Linotype" w:eastAsia="Palatino Linotype" w:hAnsi="Palatino Linotype" w:cs="Palatino Linotype"/>
          <w:b/>
          <w:bCs/>
          <w:i/>
          <w:iCs/>
          <w:sz w:val="22"/>
          <w:szCs w:val="22"/>
          <w:u w:val="single"/>
        </w:rPr>
        <w:t>fundando y motivando la</w:t>
      </w:r>
      <w:r w:rsidRPr="00B0563B">
        <w:rPr>
          <w:rFonts w:ascii="Palatino Linotype" w:eastAsia="Palatino Linotype" w:hAnsi="Palatino Linotype" w:cs="Palatino Linotype"/>
          <w:i/>
          <w:iCs/>
          <w:sz w:val="22"/>
          <w:szCs w:val="22"/>
        </w:rPr>
        <w:t xml:space="preserve"> reserva o </w:t>
      </w:r>
      <w:r w:rsidRPr="00B0563B">
        <w:rPr>
          <w:rFonts w:ascii="Palatino Linotype" w:eastAsia="Palatino Linotype" w:hAnsi="Palatino Linotype" w:cs="Palatino Linotype"/>
          <w:b/>
          <w:bCs/>
          <w:i/>
          <w:iCs/>
          <w:sz w:val="22"/>
          <w:szCs w:val="22"/>
          <w:u w:val="single"/>
        </w:rPr>
        <w:t>confidencialidad</w:t>
      </w:r>
      <w:r w:rsidRPr="00B0563B">
        <w:rPr>
          <w:rFonts w:ascii="Palatino Linotype" w:eastAsia="Palatino Linotype" w:hAnsi="Palatino Linotype" w:cs="Palatino Linotype"/>
          <w:i/>
          <w:iCs/>
          <w:sz w:val="22"/>
          <w:szCs w:val="22"/>
        </w:rPr>
        <w:t>, a través de la resolución que para tal efecto emita el Comité de Transparencia.</w:t>
      </w:r>
    </w:p>
    <w:p w14:paraId="7BE65F6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Cuarto.</w:t>
      </w:r>
      <w:r w:rsidRPr="00B0563B">
        <w:rPr>
          <w:rFonts w:ascii="Palatino Linotype" w:eastAsia="Palatino Linotype" w:hAnsi="Palatino Linotype" w:cs="Palatino Linotype"/>
          <w:i/>
          <w:iCs/>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E7E2F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0DFBF0A2"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Quinto.</w:t>
      </w:r>
      <w:r w:rsidRPr="00B0563B">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54B3FD6"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w:t>
      </w:r>
    </w:p>
    <w:p w14:paraId="02DCA513"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Séptimo.</w:t>
      </w:r>
      <w:r w:rsidRPr="00B0563B">
        <w:rPr>
          <w:rFonts w:ascii="Palatino Linotype" w:eastAsia="Palatino Linotype" w:hAnsi="Palatino Linotype" w:cs="Palatino Linotype"/>
          <w:i/>
          <w:iCs/>
          <w:sz w:val="22"/>
          <w:szCs w:val="22"/>
        </w:rPr>
        <w:t xml:space="preserve"> La clasificación de la información se llevará a cabo en el momento en que:</w:t>
      </w:r>
    </w:p>
    <w:p w14:paraId="65B58372"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I.</w:t>
      </w:r>
      <w:r w:rsidRPr="00B0563B">
        <w:rPr>
          <w:rFonts w:ascii="Palatino Linotype" w:eastAsia="Palatino Linotype" w:hAnsi="Palatino Linotype" w:cs="Palatino Linotype"/>
          <w:i/>
          <w:iCs/>
          <w:sz w:val="22"/>
          <w:szCs w:val="22"/>
        </w:rPr>
        <w:t xml:space="preserve"> Se reciba una solicitud de acceso a la información;</w:t>
      </w:r>
    </w:p>
    <w:p w14:paraId="7F80996F"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II.</w:t>
      </w:r>
      <w:r w:rsidRPr="00B0563B">
        <w:rPr>
          <w:rFonts w:ascii="Palatino Linotype" w:eastAsia="Palatino Linotype" w:hAnsi="Palatino Linotype" w:cs="Palatino Linotype"/>
          <w:i/>
          <w:iCs/>
          <w:sz w:val="22"/>
          <w:szCs w:val="22"/>
        </w:rPr>
        <w:t xml:space="preserve"> </w:t>
      </w:r>
      <w:proofErr w:type="gramStart"/>
      <w:r w:rsidRPr="00B0563B">
        <w:rPr>
          <w:rFonts w:ascii="Palatino Linotype" w:eastAsia="Palatino Linotype" w:hAnsi="Palatino Linotype" w:cs="Palatino Linotype"/>
          <w:i/>
          <w:iCs/>
          <w:sz w:val="22"/>
          <w:szCs w:val="22"/>
        </w:rPr>
        <w:t>Se  determine</w:t>
      </w:r>
      <w:proofErr w:type="gramEnd"/>
      <w:r w:rsidRPr="00B0563B">
        <w:rPr>
          <w:rFonts w:ascii="Palatino Linotype" w:eastAsia="Palatino Linotype" w:hAnsi="Palatino Linotype" w:cs="Palatino Linotype"/>
          <w:i/>
          <w:iCs/>
          <w:sz w:val="22"/>
          <w:szCs w:val="22"/>
        </w:rPr>
        <w:t xml:space="preserve"> mediante resolución del Comité de Transparencia, el órgano garante </w:t>
      </w:r>
    </w:p>
    <w:p w14:paraId="038B332F"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competente, o en cumplimiento a una sentencia del Poder Judicial; o</w:t>
      </w:r>
    </w:p>
    <w:p w14:paraId="0E374F4B"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III.</w:t>
      </w:r>
      <w:r w:rsidRPr="00B0563B">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7AE9B314"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Los titulares de las áreas deberán revisar la clasificación al momento de la recepción de una solicitud de acceso a la información, para verificar si encuadra en una causal de reserva o de confidencialidad.</w:t>
      </w:r>
    </w:p>
    <w:p w14:paraId="7288075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Octavo.</w:t>
      </w:r>
      <w:r w:rsidRPr="00B0563B">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78F79C9"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06400FBB"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2A82823"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Noveno.</w:t>
      </w:r>
      <w:r w:rsidRPr="00B0563B">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18B130"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Décimo.</w:t>
      </w:r>
      <w:r w:rsidRPr="00B0563B">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6525C8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70B54617"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Décimo primero.</w:t>
      </w:r>
      <w:r w:rsidRPr="00B0563B">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54EDB63"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w:t>
      </w:r>
    </w:p>
    <w:p w14:paraId="6D4348B1" w14:textId="77777777" w:rsidR="00C7221D" w:rsidRPr="00B0563B" w:rsidRDefault="00802627">
      <w:pPr>
        <w:pBdr>
          <w:top w:val="nil"/>
          <w:left w:val="nil"/>
          <w:bottom w:val="nil"/>
          <w:right w:val="nil"/>
          <w:between w:val="nil"/>
        </w:pBdr>
        <w:spacing w:line="276" w:lineRule="auto"/>
        <w:ind w:left="851" w:right="616"/>
        <w:jc w:val="center"/>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CAPÍTULO VIII</w:t>
      </w:r>
    </w:p>
    <w:p w14:paraId="4948A583" w14:textId="77777777" w:rsidR="00C7221D" w:rsidRPr="00B0563B" w:rsidRDefault="00802627">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b/>
          <w:bCs/>
          <w:i/>
          <w:iCs/>
          <w:sz w:val="22"/>
          <w:szCs w:val="22"/>
        </w:rPr>
        <w:t>DE LOS ELEMENTOS PARA LA CLASIFICACIÓN</w:t>
      </w:r>
    </w:p>
    <w:p w14:paraId="03026C22"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Quincuagésimo</w:t>
      </w:r>
      <w:r w:rsidRPr="00B0563B">
        <w:rPr>
          <w:rFonts w:ascii="Palatino Linotype" w:eastAsia="Palatino Linotype" w:hAnsi="Palatino Linotype" w:cs="Palatino Linotype"/>
          <w:i/>
          <w:iCs/>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EFB0A27"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Quincuagésimo primero</w:t>
      </w:r>
      <w:r w:rsidRPr="00B0563B">
        <w:rPr>
          <w:rFonts w:ascii="Palatino Linotype" w:eastAsia="Palatino Linotype" w:hAnsi="Palatino Linotype" w:cs="Palatino Linotype"/>
          <w:i/>
          <w:iCs/>
          <w:sz w:val="22"/>
          <w:szCs w:val="22"/>
        </w:rPr>
        <w:t>. Toda acta del Comité de Transparencia deberá contener:</w:t>
      </w:r>
    </w:p>
    <w:p w14:paraId="4FC13DAE"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I. El número de sesión y fecha; </w:t>
      </w:r>
    </w:p>
    <w:p w14:paraId="43681FF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II. El nombre del área que solicitó la clasificación de información;</w:t>
      </w:r>
    </w:p>
    <w:p w14:paraId="0C9E3154"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III. La fundamentación legal y motivación correspondiente;</w:t>
      </w:r>
    </w:p>
    <w:p w14:paraId="2BD70FA6"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IV. La resolución o resoluciones aprobadas; y</w:t>
      </w:r>
    </w:p>
    <w:p w14:paraId="74802C9E"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V. La rúbrica o firma digital de cada integrante del Comité de Transparencia. </w:t>
      </w:r>
    </w:p>
    <w:p w14:paraId="743C9704"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Las resoluciones del Comité en las que se haya determinado confirmar o modificar la clasificación de información pública como reservada, deberán incluir, cuando menos:</w:t>
      </w:r>
    </w:p>
    <w:p w14:paraId="537A6AC4"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 Los motivos y razonamientos que sustenten la confirmación o modificación de la prueba de daño;</w:t>
      </w:r>
    </w:p>
    <w:p w14:paraId="1A5EB3DA"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II. Descripción de las partes o secciones reservadas, en caso de clasificación parcial;</w:t>
      </w:r>
    </w:p>
    <w:p w14:paraId="3E267315"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III. El periodo por el que mantendrá su clasificación y fecha de expiración; y</w:t>
      </w:r>
    </w:p>
    <w:p w14:paraId="6419D20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IV. El nombre del titular y área encargada de realizar la versión pública del documento, en su caso.</w:t>
      </w:r>
    </w:p>
    <w:p w14:paraId="4D9A6759"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77BAC4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E8C1B2C"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b/>
          <w:bCs/>
          <w:i/>
          <w:iCs/>
          <w:sz w:val="22"/>
          <w:szCs w:val="22"/>
        </w:rPr>
        <w:t>Quincuagésimo segundo</w:t>
      </w:r>
      <w:r w:rsidRPr="00B0563B">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B0563B">
        <w:rPr>
          <w:rFonts w:ascii="Palatino Linotype" w:eastAsia="Palatino Linotype" w:hAnsi="Palatino Linotype" w:cs="Palatino Linotype"/>
          <w:i/>
          <w:iCs/>
          <w:sz w:val="22"/>
          <w:szCs w:val="22"/>
        </w:rPr>
        <w:t>sobreposición</w:t>
      </w:r>
      <w:proofErr w:type="spellEnd"/>
      <w:r w:rsidRPr="00B0563B">
        <w:rPr>
          <w:rFonts w:ascii="Palatino Linotype" w:eastAsia="Palatino Linotype" w:hAnsi="Palatino Linotype" w:cs="Palatino Linotype"/>
          <w:i/>
          <w:iCs/>
          <w:sz w:val="22"/>
          <w:szCs w:val="22"/>
        </w:rPr>
        <w:t xml:space="preserve"> de contenido distinto al autorizado por el Comité.</w:t>
      </w:r>
    </w:p>
    <w:p w14:paraId="7FFB2D7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14:paraId="620D11B0"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2A6C81C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1FBA8369"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III. Señalar las personas o instancias autorizadas a acceder a la información clasificada.</w:t>
      </w:r>
    </w:p>
    <w:p w14:paraId="515012C2"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07EC7E7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i/>
          <w:iCs/>
          <w:sz w:val="22"/>
          <w:szCs w:val="22"/>
        </w:rPr>
        <w:t>…</w:t>
      </w:r>
    </w:p>
    <w:p w14:paraId="16BD2501"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141558D" w14:textId="77777777" w:rsidR="00C7221D" w:rsidRPr="00B0563B" w:rsidRDefault="0080262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i/>
          <w:iCs/>
          <w:sz w:val="22"/>
          <w:szCs w:val="22"/>
        </w:rPr>
        <w:t xml:space="preserve">Quincuagésimo quinto. Cada área del sujeto obligado podrá designar formalmente a una o más personas como responsables del </w:t>
      </w:r>
      <w:proofErr w:type="spellStart"/>
      <w:r w:rsidRPr="00B0563B">
        <w:rPr>
          <w:rFonts w:ascii="Palatino Linotype" w:eastAsia="Palatino Linotype" w:hAnsi="Palatino Linotype" w:cs="Palatino Linotype"/>
          <w:i/>
          <w:iCs/>
          <w:sz w:val="22"/>
          <w:szCs w:val="22"/>
        </w:rPr>
        <w:t>testado</w:t>
      </w:r>
      <w:proofErr w:type="spellEnd"/>
      <w:r w:rsidRPr="00B0563B">
        <w:rPr>
          <w:rFonts w:ascii="Palatino Linotype" w:eastAsia="Palatino Linotype" w:hAnsi="Palatino Linotype" w:cs="Palatino Linotype"/>
          <w:i/>
          <w:iCs/>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727BF948" w14:textId="77777777" w:rsidR="00C7221D" w:rsidRPr="00B0563B" w:rsidRDefault="00C7221D">
      <w:pPr>
        <w:jc w:val="both"/>
        <w:rPr>
          <w:rFonts w:ascii="Palatino Linotype" w:eastAsia="Palatino Linotype" w:hAnsi="Palatino Linotype" w:cs="Palatino Linotype"/>
          <w:sz w:val="22"/>
          <w:szCs w:val="22"/>
        </w:rPr>
      </w:pPr>
    </w:p>
    <w:p w14:paraId="19173120"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29C456BE"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6C4080C0" w14:textId="77777777" w:rsidR="00C7221D" w:rsidRPr="00B0563B" w:rsidRDefault="00802627">
      <w:pPr>
        <w:shd w:val="clear" w:color="auto" w:fill="FFFFFF"/>
        <w:spacing w:line="360" w:lineRule="auto"/>
        <w:ind w:right="51"/>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w:t>
      </w:r>
    </w:p>
    <w:p w14:paraId="01983BC4"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83984FA"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En mérito de lo expuesto en líneas anteriores resultan fundadas las razones o motivos de inconformidad que arguye la parte</w:t>
      </w:r>
      <w:r w:rsidRPr="00B0563B">
        <w:rPr>
          <w:rFonts w:ascii="Palatino Linotype" w:eastAsia="Palatino Linotype" w:hAnsi="Palatino Linotype" w:cs="Palatino Linotype"/>
          <w:b/>
          <w:bCs/>
          <w:sz w:val="22"/>
          <w:szCs w:val="22"/>
        </w:rPr>
        <w:t xml:space="preserve"> Recurrente</w:t>
      </w:r>
      <w:r w:rsidRPr="00B0563B">
        <w:rPr>
          <w:rFonts w:ascii="Palatino Linotype" w:eastAsia="Palatino Linotype" w:hAnsi="Palatino Linotype" w:cs="Palatino Linotype"/>
          <w:sz w:val="22"/>
          <w:szCs w:val="22"/>
        </w:rPr>
        <w:t xml:space="preserve">, por ello con fundamento en el artículo 124 fracción III de la Ley de Transparencia y Acceso a la Información Pública del Estado de México y Municipios, este Instituto </w:t>
      </w:r>
      <w:r w:rsidRPr="00B0563B">
        <w:rPr>
          <w:rFonts w:ascii="Palatino Linotype" w:eastAsia="Palatino Linotype" w:hAnsi="Palatino Linotype" w:cs="Palatino Linotype"/>
          <w:b/>
          <w:bCs/>
          <w:sz w:val="22"/>
          <w:szCs w:val="22"/>
        </w:rPr>
        <w:t>Modifica</w:t>
      </w:r>
      <w:r w:rsidRPr="00B0563B">
        <w:rPr>
          <w:rFonts w:ascii="Palatino Linotype" w:eastAsia="Palatino Linotype" w:hAnsi="Palatino Linotype" w:cs="Palatino Linotype"/>
          <w:sz w:val="22"/>
          <w:szCs w:val="22"/>
        </w:rPr>
        <w:t xml:space="preserve"> la respuesta a la solicitud de información pública </w:t>
      </w:r>
      <w:r w:rsidRPr="00B0563B">
        <w:rPr>
          <w:rFonts w:ascii="Palatino Linotype" w:eastAsia="Palatino Linotype" w:hAnsi="Palatino Linotype" w:cs="Palatino Linotype"/>
          <w:b/>
          <w:bCs/>
          <w:sz w:val="22"/>
          <w:szCs w:val="22"/>
        </w:rPr>
        <w:t>04123/TOLUCA/IP/2025</w:t>
      </w:r>
      <w:r w:rsidRPr="00B0563B">
        <w:rPr>
          <w:rFonts w:ascii="Palatino Linotype" w:eastAsia="Palatino Linotype" w:hAnsi="Palatino Linotype" w:cs="Palatino Linotype"/>
          <w:sz w:val="22"/>
          <w:szCs w:val="22"/>
        </w:rPr>
        <w:t>,</w:t>
      </w:r>
      <w:r w:rsidRPr="00B0563B">
        <w:rPr>
          <w:rFonts w:ascii="Palatino Linotype" w:eastAsia="Palatino Linotype" w:hAnsi="Palatino Linotype" w:cs="Palatino Linotype"/>
          <w:b/>
          <w:bCs/>
          <w:sz w:val="22"/>
          <w:szCs w:val="22"/>
        </w:rPr>
        <w:t xml:space="preserve"> </w:t>
      </w:r>
      <w:r w:rsidRPr="00B0563B">
        <w:rPr>
          <w:rFonts w:ascii="Palatino Linotype" w:eastAsia="Palatino Linotype" w:hAnsi="Palatino Linotype" w:cs="Palatino Linotype"/>
          <w:sz w:val="22"/>
          <w:szCs w:val="22"/>
        </w:rPr>
        <w:t>que ha sido materia del presente fallo.</w:t>
      </w:r>
    </w:p>
    <w:p w14:paraId="61AF3C31"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1AA51326"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de la Ley de Transparencia y Acceso a la Información Pública del Estado de México y Municipios, este Pleno:</w:t>
      </w:r>
    </w:p>
    <w:p w14:paraId="49DC4922"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2EE7D43" w14:textId="77777777" w:rsidR="00C7221D" w:rsidRPr="00B0563B" w:rsidRDefault="00802627">
      <w:pPr>
        <w:spacing w:line="360" w:lineRule="auto"/>
        <w:jc w:val="center"/>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R E S U E L V E:</w:t>
      </w:r>
    </w:p>
    <w:p w14:paraId="32483A00" w14:textId="77777777" w:rsidR="00C7221D" w:rsidRPr="00B0563B" w:rsidRDefault="00C7221D">
      <w:pPr>
        <w:spacing w:line="360" w:lineRule="auto"/>
        <w:jc w:val="center"/>
        <w:rPr>
          <w:rFonts w:ascii="Palatino Linotype" w:eastAsia="Palatino Linotype" w:hAnsi="Palatino Linotype" w:cs="Palatino Linotype"/>
          <w:b/>
          <w:bCs/>
          <w:sz w:val="22"/>
          <w:szCs w:val="22"/>
        </w:rPr>
      </w:pPr>
    </w:p>
    <w:p w14:paraId="17E5D07E" w14:textId="77777777" w:rsidR="00C7221D" w:rsidRPr="00B0563B" w:rsidRDefault="00802627">
      <w:pPr>
        <w:spacing w:line="360" w:lineRule="auto"/>
        <w:jc w:val="both"/>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 xml:space="preserve">Primero. </w:t>
      </w:r>
      <w:r w:rsidRPr="00B0563B">
        <w:rPr>
          <w:rFonts w:ascii="Palatino Linotype" w:eastAsia="Palatino Linotype" w:hAnsi="Palatino Linotype" w:cs="Palatino Linotype"/>
          <w:sz w:val="22"/>
          <w:szCs w:val="22"/>
        </w:rPr>
        <w:t xml:space="preserve">Resultan </w:t>
      </w:r>
      <w:r w:rsidRPr="00B0563B">
        <w:rPr>
          <w:rFonts w:ascii="Palatino Linotype" w:eastAsia="Palatino Linotype" w:hAnsi="Palatino Linotype" w:cs="Palatino Linotype"/>
          <w:b/>
          <w:bCs/>
          <w:sz w:val="22"/>
          <w:szCs w:val="22"/>
        </w:rPr>
        <w:t>fundadas</w:t>
      </w:r>
      <w:r w:rsidRPr="00B0563B">
        <w:rPr>
          <w:rFonts w:ascii="Palatino Linotype" w:eastAsia="Palatino Linotype" w:hAnsi="Palatino Linotype" w:cs="Palatino Linotype"/>
          <w:sz w:val="22"/>
          <w:szCs w:val="22"/>
        </w:rPr>
        <w:t xml:space="preserve"> las razones o motivos de inconformidad hechos valer por la parte</w:t>
      </w:r>
      <w:r w:rsidRPr="00B0563B">
        <w:rPr>
          <w:rFonts w:ascii="Palatino Linotype" w:eastAsia="Palatino Linotype" w:hAnsi="Palatino Linotype" w:cs="Palatino Linotype"/>
          <w:b/>
          <w:bCs/>
          <w:sz w:val="22"/>
          <w:szCs w:val="22"/>
        </w:rPr>
        <w:t xml:space="preserve"> Recurrente</w:t>
      </w:r>
      <w:r w:rsidRPr="00B0563B">
        <w:rPr>
          <w:rFonts w:ascii="Palatino Linotype" w:eastAsia="Palatino Linotype" w:hAnsi="Palatino Linotype" w:cs="Palatino Linotype"/>
          <w:sz w:val="22"/>
          <w:szCs w:val="22"/>
        </w:rPr>
        <w:t xml:space="preserve"> en el recurso de revisión </w:t>
      </w:r>
      <w:r w:rsidRPr="00B0563B">
        <w:rPr>
          <w:rFonts w:ascii="Palatino Linotype" w:eastAsia="Palatino Linotype" w:hAnsi="Palatino Linotype" w:cs="Palatino Linotype"/>
          <w:b/>
          <w:bCs/>
          <w:sz w:val="22"/>
          <w:szCs w:val="22"/>
        </w:rPr>
        <w:t>09699/INFOEM/IP/RR/2025</w:t>
      </w:r>
      <w:r w:rsidRPr="00B0563B">
        <w:rPr>
          <w:rFonts w:ascii="Palatino Linotype" w:eastAsia="Palatino Linotype" w:hAnsi="Palatino Linotype" w:cs="Palatino Linotype"/>
          <w:sz w:val="22"/>
          <w:szCs w:val="22"/>
        </w:rPr>
        <w:t xml:space="preserve">; por lo que, en términos del </w:t>
      </w:r>
      <w:r w:rsidRPr="00B0563B">
        <w:rPr>
          <w:rFonts w:ascii="Palatino Linotype" w:eastAsia="Palatino Linotype" w:hAnsi="Palatino Linotype" w:cs="Palatino Linotype"/>
          <w:b/>
          <w:bCs/>
          <w:sz w:val="22"/>
          <w:szCs w:val="22"/>
        </w:rPr>
        <w:t>Considerando</w:t>
      </w:r>
      <w:r w:rsidRPr="00B0563B">
        <w:rPr>
          <w:rFonts w:ascii="Palatino Linotype" w:eastAsia="Palatino Linotype" w:hAnsi="Palatino Linotype" w:cs="Palatino Linotype"/>
          <w:sz w:val="22"/>
          <w:szCs w:val="22"/>
        </w:rPr>
        <w:t xml:space="preserve"> </w:t>
      </w:r>
      <w:r w:rsidRPr="00B0563B">
        <w:rPr>
          <w:rFonts w:ascii="Palatino Linotype" w:eastAsia="Palatino Linotype" w:hAnsi="Palatino Linotype" w:cs="Palatino Linotype"/>
          <w:b/>
          <w:bCs/>
          <w:sz w:val="22"/>
          <w:szCs w:val="22"/>
        </w:rPr>
        <w:t xml:space="preserve">Cuarto </w:t>
      </w:r>
      <w:r w:rsidRPr="00B0563B">
        <w:rPr>
          <w:rFonts w:ascii="Palatino Linotype" w:eastAsia="Palatino Linotype" w:hAnsi="Palatino Linotype" w:cs="Palatino Linotype"/>
          <w:sz w:val="22"/>
          <w:szCs w:val="22"/>
        </w:rPr>
        <w:t xml:space="preserve">de esta resolución, se </w:t>
      </w:r>
      <w:r w:rsidRPr="00B0563B">
        <w:rPr>
          <w:rFonts w:ascii="Palatino Linotype" w:eastAsia="Palatino Linotype" w:hAnsi="Palatino Linotype" w:cs="Palatino Linotype"/>
          <w:b/>
          <w:bCs/>
          <w:sz w:val="22"/>
          <w:szCs w:val="22"/>
        </w:rPr>
        <w:t xml:space="preserve">Modifica </w:t>
      </w:r>
      <w:r w:rsidRPr="00B0563B">
        <w:rPr>
          <w:rFonts w:ascii="Palatino Linotype" w:eastAsia="Palatino Linotype" w:hAnsi="Palatino Linotype" w:cs="Palatino Linotype"/>
          <w:sz w:val="22"/>
          <w:szCs w:val="22"/>
        </w:rPr>
        <w:t xml:space="preserve">la respuesta emitida por el </w:t>
      </w:r>
      <w:r w:rsidRPr="00B0563B">
        <w:rPr>
          <w:rFonts w:ascii="Palatino Linotype" w:eastAsia="Palatino Linotype" w:hAnsi="Palatino Linotype" w:cs="Palatino Linotype"/>
          <w:b/>
          <w:bCs/>
          <w:sz w:val="22"/>
          <w:szCs w:val="22"/>
        </w:rPr>
        <w:t>Sujeto Obligado.</w:t>
      </w:r>
    </w:p>
    <w:p w14:paraId="667C37FB"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67C7997" w14:textId="77777777" w:rsidR="00C7221D" w:rsidRPr="00B0563B" w:rsidRDefault="00802627">
      <w:pPr>
        <w:spacing w:line="360" w:lineRule="auto"/>
        <w:jc w:val="both"/>
        <w:rPr>
          <w:rFonts w:ascii="Palatino Linotype" w:eastAsia="Palatino Linotype" w:hAnsi="Palatino Linotype" w:cs="Palatino Linotype"/>
          <w:sz w:val="22"/>
          <w:szCs w:val="22"/>
        </w:rPr>
      </w:pPr>
      <w:bookmarkStart w:id="9" w:name="_heading=h.1fob9te" w:colFirst="0" w:colLast="0"/>
      <w:bookmarkEnd w:id="9"/>
      <w:r w:rsidRPr="00B0563B">
        <w:rPr>
          <w:rFonts w:ascii="Palatino Linotype" w:eastAsia="Palatino Linotype" w:hAnsi="Palatino Linotype" w:cs="Palatino Linotype"/>
          <w:b/>
          <w:bCs/>
          <w:sz w:val="22"/>
          <w:szCs w:val="22"/>
        </w:rPr>
        <w:t xml:space="preserve">Segundo. </w:t>
      </w:r>
      <w:r w:rsidRPr="00B0563B">
        <w:rPr>
          <w:rFonts w:ascii="Palatino Linotype" w:eastAsia="Palatino Linotype" w:hAnsi="Palatino Linotype" w:cs="Palatino Linotype"/>
          <w:sz w:val="22"/>
          <w:szCs w:val="22"/>
        </w:rPr>
        <w:t xml:space="preserve">Se </w:t>
      </w:r>
      <w:r w:rsidRPr="00B0563B">
        <w:rPr>
          <w:rFonts w:ascii="Palatino Linotype" w:eastAsia="Palatino Linotype" w:hAnsi="Palatino Linotype" w:cs="Palatino Linotype"/>
          <w:b/>
          <w:bCs/>
          <w:sz w:val="22"/>
          <w:szCs w:val="22"/>
        </w:rPr>
        <w:t xml:space="preserve">ordena </w:t>
      </w:r>
      <w:r w:rsidRPr="00B0563B">
        <w:rPr>
          <w:rFonts w:ascii="Palatino Linotype" w:eastAsia="Palatino Linotype" w:hAnsi="Palatino Linotype" w:cs="Palatino Linotype"/>
          <w:sz w:val="22"/>
          <w:szCs w:val="22"/>
        </w:rPr>
        <w:t xml:space="preserve">al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xml:space="preserve"> entregue a</w:t>
      </w:r>
      <w:r w:rsidRPr="00B0563B">
        <w:rPr>
          <w:rFonts w:ascii="Palatino Linotype" w:eastAsia="Palatino Linotype" w:hAnsi="Palatino Linotype" w:cs="Palatino Linotype"/>
          <w:b/>
          <w:bCs/>
          <w:sz w:val="22"/>
          <w:szCs w:val="22"/>
        </w:rPr>
        <w:t xml:space="preserve"> </w:t>
      </w:r>
      <w:r w:rsidRPr="00B0563B">
        <w:rPr>
          <w:rFonts w:ascii="Palatino Linotype" w:eastAsia="Palatino Linotype" w:hAnsi="Palatino Linotype" w:cs="Palatino Linotype"/>
          <w:sz w:val="22"/>
          <w:szCs w:val="22"/>
        </w:rPr>
        <w:t xml:space="preserve">la parte </w:t>
      </w:r>
      <w:r w:rsidRPr="00B0563B">
        <w:rPr>
          <w:rFonts w:ascii="Palatino Linotype" w:eastAsia="Palatino Linotype" w:hAnsi="Palatino Linotype" w:cs="Palatino Linotype"/>
          <w:b/>
          <w:bCs/>
          <w:sz w:val="22"/>
          <w:szCs w:val="22"/>
        </w:rPr>
        <w:t>Recurrente</w:t>
      </w:r>
      <w:r w:rsidRPr="00B0563B">
        <w:rPr>
          <w:rFonts w:ascii="Palatino Linotype" w:eastAsia="Palatino Linotype" w:hAnsi="Palatino Linotype" w:cs="Palatino Linotype"/>
          <w:sz w:val="22"/>
          <w:szCs w:val="22"/>
        </w:rPr>
        <w:t>, vía</w:t>
      </w:r>
      <w:r w:rsidRPr="00B0563B">
        <w:rPr>
          <w:rFonts w:ascii="Palatino Linotype" w:eastAsia="Palatino Linotype" w:hAnsi="Palatino Linotype" w:cs="Palatino Linotype"/>
          <w:b/>
          <w:bCs/>
          <w:sz w:val="22"/>
          <w:szCs w:val="22"/>
        </w:rPr>
        <w:t xml:space="preserve"> SAIMEX, </w:t>
      </w:r>
      <w:r w:rsidRPr="00B0563B">
        <w:rPr>
          <w:rFonts w:ascii="Palatino Linotype" w:eastAsia="Palatino Linotype" w:hAnsi="Palatino Linotype" w:cs="Palatino Linotype"/>
          <w:sz w:val="22"/>
          <w:szCs w:val="22"/>
        </w:rPr>
        <w:t>en términos de</w:t>
      </w:r>
      <w:r w:rsidRPr="00B0563B">
        <w:rPr>
          <w:rFonts w:ascii="Palatino Linotype" w:eastAsia="Palatino Linotype" w:hAnsi="Palatino Linotype" w:cs="Palatino Linotype"/>
          <w:b/>
          <w:bCs/>
          <w:sz w:val="22"/>
          <w:szCs w:val="22"/>
        </w:rPr>
        <w:t>l Considerando</w:t>
      </w:r>
      <w:r w:rsidRPr="00B0563B">
        <w:rPr>
          <w:rFonts w:ascii="Palatino Linotype" w:eastAsia="Palatino Linotype" w:hAnsi="Palatino Linotype" w:cs="Palatino Linotype"/>
          <w:sz w:val="22"/>
          <w:szCs w:val="22"/>
        </w:rPr>
        <w:t xml:space="preserve"> </w:t>
      </w:r>
      <w:r w:rsidRPr="00B0563B">
        <w:rPr>
          <w:rFonts w:ascii="Palatino Linotype" w:eastAsia="Palatino Linotype" w:hAnsi="Palatino Linotype" w:cs="Palatino Linotype"/>
          <w:b/>
          <w:bCs/>
          <w:sz w:val="22"/>
          <w:szCs w:val="22"/>
        </w:rPr>
        <w:t>Cuarto y Quinto</w:t>
      </w:r>
      <w:r w:rsidRPr="00B0563B">
        <w:rPr>
          <w:rFonts w:ascii="Palatino Linotype" w:eastAsia="Palatino Linotype" w:hAnsi="Palatino Linotype" w:cs="Palatino Linotype"/>
          <w:sz w:val="22"/>
          <w:szCs w:val="22"/>
        </w:rPr>
        <w:t>, de ser procedente en versión pública, del primero de enero al cinco de agosto de dos mil veinticinco, del o los documentos que den cuenta de lo siguiente:</w:t>
      </w:r>
    </w:p>
    <w:p w14:paraId="305174CA" w14:textId="77777777" w:rsidR="00C7221D" w:rsidRPr="00B0563B" w:rsidRDefault="00C7221D">
      <w:pPr>
        <w:spacing w:line="360" w:lineRule="auto"/>
        <w:jc w:val="both"/>
        <w:rPr>
          <w:rFonts w:ascii="Palatino Linotype" w:eastAsia="Palatino Linotype" w:hAnsi="Palatino Linotype" w:cs="Palatino Linotype"/>
          <w:i/>
          <w:iCs/>
          <w:sz w:val="22"/>
          <w:szCs w:val="22"/>
        </w:rPr>
      </w:pPr>
    </w:p>
    <w:p w14:paraId="3FFA488B" w14:textId="77777777" w:rsidR="00C7221D" w:rsidRPr="00B0563B" w:rsidRDefault="00802627">
      <w:pPr>
        <w:numPr>
          <w:ilvl w:val="0"/>
          <w:numId w:val="8"/>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 xml:space="preserve">Facturas pagadas para la realización de cada uno de los eventos realizados por la Dirección General de Educación, Cultura y Turismo. </w:t>
      </w:r>
    </w:p>
    <w:p w14:paraId="7FBDCA31" w14:textId="77777777" w:rsidR="00C7221D" w:rsidRPr="00B0563B" w:rsidRDefault="00802627">
      <w:pPr>
        <w:numPr>
          <w:ilvl w:val="0"/>
          <w:numId w:val="8"/>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Contratos de adquisición de insumos celebrados para la realización de los eventos culturales.</w:t>
      </w:r>
    </w:p>
    <w:p w14:paraId="2F02C7DE" w14:textId="77777777" w:rsidR="00C7221D" w:rsidRPr="00B0563B" w:rsidRDefault="00802627">
      <w:pPr>
        <w:numPr>
          <w:ilvl w:val="0"/>
          <w:numId w:val="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 xml:space="preserve">Fotografías de los eventos realizados por la Dirección General de Educación, Cultura y Turismo. </w:t>
      </w:r>
    </w:p>
    <w:p w14:paraId="18BA521D" w14:textId="77777777" w:rsidR="00C7221D" w:rsidRPr="00B0563B" w:rsidRDefault="00802627">
      <w:pPr>
        <w:numPr>
          <w:ilvl w:val="0"/>
          <w:numId w:val="9"/>
        </w:numPr>
        <w:pBdr>
          <w:top w:val="nil"/>
          <w:left w:val="nil"/>
          <w:bottom w:val="nil"/>
          <w:right w:val="nil"/>
          <w:between w:val="nil"/>
        </w:pBdr>
        <w:spacing w:line="276" w:lineRule="auto"/>
        <w:ind w:right="616"/>
        <w:jc w:val="both"/>
        <w:rPr>
          <w:rFonts w:ascii="Palatino Linotype" w:eastAsia="Palatino Linotype" w:hAnsi="Palatino Linotype" w:cs="Palatino Linotype"/>
          <w:b/>
          <w:bCs/>
          <w:sz w:val="22"/>
          <w:szCs w:val="22"/>
        </w:rPr>
      </w:pPr>
      <w:r w:rsidRPr="00B0563B">
        <w:rPr>
          <w:rFonts w:ascii="Palatino Linotype" w:eastAsia="Palatino Linotype" w:hAnsi="Palatino Linotype" w:cs="Palatino Linotype"/>
          <w:b/>
          <w:bCs/>
          <w:sz w:val="22"/>
          <w:szCs w:val="22"/>
        </w:rPr>
        <w:t>Padrón de beneficiarios de los eventos realizados por la Dirección General de Educación, Cultura y Turismo.</w:t>
      </w:r>
    </w:p>
    <w:p w14:paraId="3EECDA6F" w14:textId="77777777" w:rsidR="00C7221D" w:rsidRPr="00B0563B" w:rsidRDefault="00C7221D">
      <w:pPr>
        <w:pBdr>
          <w:top w:val="nil"/>
          <w:left w:val="nil"/>
          <w:bottom w:val="nil"/>
          <w:right w:val="nil"/>
          <w:between w:val="nil"/>
        </w:pBdr>
        <w:rPr>
          <w:i/>
          <w:iCs/>
        </w:rPr>
      </w:pPr>
    </w:p>
    <w:p w14:paraId="1F849B22" w14:textId="77777777" w:rsidR="00C7221D" w:rsidRPr="00B0563B" w:rsidRDefault="00802627">
      <w:pPr>
        <w:pBdr>
          <w:top w:val="nil"/>
          <w:left w:val="nil"/>
          <w:bottom w:val="nil"/>
          <w:right w:val="nil"/>
          <w:between w:val="nil"/>
        </w:pBdr>
        <w:spacing w:line="276" w:lineRule="auto"/>
        <w:ind w:left="851" w:right="616" w:hanging="360"/>
        <w:jc w:val="both"/>
        <w:rPr>
          <w:rFonts w:ascii="Palatino Linotype" w:eastAsia="Palatino Linotype" w:hAnsi="Palatino Linotype" w:cs="Palatino Linotype"/>
          <w:b/>
          <w:bCs/>
          <w:i/>
          <w:iCs/>
          <w:sz w:val="22"/>
          <w:szCs w:val="22"/>
        </w:rPr>
      </w:pPr>
      <w:r w:rsidRPr="00B0563B">
        <w:rPr>
          <w:rFonts w:ascii="Palatino Linotype" w:eastAsia="Palatino Linotype" w:hAnsi="Palatino Linotype" w:cs="Palatino Linotype"/>
          <w:i/>
          <w:iCs/>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B0563B">
        <w:rPr>
          <w:rFonts w:ascii="Palatino Linotype" w:eastAsia="Palatino Linotype" w:hAnsi="Palatino Linotype" w:cs="Palatino Linotype"/>
          <w:b/>
          <w:bCs/>
          <w:i/>
          <w:iCs/>
          <w:sz w:val="22"/>
          <w:szCs w:val="22"/>
        </w:rPr>
        <w:t xml:space="preserve">Recurrente. </w:t>
      </w:r>
    </w:p>
    <w:p w14:paraId="3D4033C7" w14:textId="77777777" w:rsidR="00C7221D" w:rsidRPr="00B0563B" w:rsidRDefault="00C7221D">
      <w:pPr>
        <w:pBdr>
          <w:top w:val="nil"/>
          <w:left w:val="nil"/>
          <w:bottom w:val="nil"/>
          <w:right w:val="nil"/>
          <w:between w:val="nil"/>
        </w:pBdr>
        <w:spacing w:line="276" w:lineRule="auto"/>
        <w:ind w:left="851" w:right="616" w:hanging="360"/>
        <w:jc w:val="both"/>
        <w:rPr>
          <w:rFonts w:ascii="Palatino Linotype" w:eastAsia="Palatino Linotype" w:hAnsi="Palatino Linotype" w:cs="Palatino Linotype"/>
          <w:b/>
          <w:bCs/>
          <w:i/>
          <w:iCs/>
          <w:sz w:val="22"/>
          <w:szCs w:val="22"/>
        </w:rPr>
      </w:pPr>
    </w:p>
    <w:p w14:paraId="630F3D9F" w14:textId="77777777" w:rsidR="00C7221D" w:rsidRPr="00B0563B" w:rsidRDefault="00802627">
      <w:pPr>
        <w:pBdr>
          <w:top w:val="nil"/>
          <w:left w:val="nil"/>
          <w:bottom w:val="nil"/>
          <w:right w:val="nil"/>
          <w:between w:val="nil"/>
        </w:pBdr>
        <w:spacing w:line="276" w:lineRule="auto"/>
        <w:ind w:left="851" w:right="616" w:hanging="360"/>
        <w:jc w:val="both"/>
        <w:rPr>
          <w:rFonts w:ascii="Palatino Linotype" w:eastAsia="Palatino Linotype" w:hAnsi="Palatino Linotype" w:cs="Palatino Linotype"/>
          <w:i/>
          <w:iCs/>
          <w:sz w:val="22"/>
          <w:szCs w:val="22"/>
        </w:rPr>
      </w:pPr>
      <w:r w:rsidRPr="00B0563B">
        <w:rPr>
          <w:rFonts w:ascii="Palatino Linotype" w:eastAsia="Palatino Linotype" w:hAnsi="Palatino Linotype" w:cs="Palatino Linotype"/>
          <w:i/>
          <w:iCs/>
          <w:sz w:val="22"/>
          <w:szCs w:val="22"/>
        </w:rPr>
        <w:t xml:space="preserve">Para el caso de que no se cuente con un padrón de beneficiarios por no haberse generado, poseído o administrado, por no haberse otorgado recursos económicos o en especie de manera </w:t>
      </w:r>
      <w:proofErr w:type="gramStart"/>
      <w:r w:rsidRPr="00B0563B">
        <w:rPr>
          <w:rFonts w:ascii="Palatino Linotype" w:eastAsia="Palatino Linotype" w:hAnsi="Palatino Linotype" w:cs="Palatino Linotype"/>
          <w:i/>
          <w:iCs/>
          <w:sz w:val="22"/>
          <w:szCs w:val="22"/>
        </w:rPr>
        <w:t>directa,  bastará</w:t>
      </w:r>
      <w:proofErr w:type="gramEnd"/>
      <w:r w:rsidRPr="00B0563B">
        <w:rPr>
          <w:rFonts w:ascii="Palatino Linotype" w:eastAsia="Palatino Linotype" w:hAnsi="Palatino Linotype" w:cs="Palatino Linotype"/>
          <w:i/>
          <w:iCs/>
          <w:sz w:val="22"/>
          <w:szCs w:val="22"/>
        </w:rPr>
        <w:t xml:space="preserve"> que así se lo haga saber a la parte </w:t>
      </w:r>
      <w:r w:rsidRPr="00B0563B">
        <w:rPr>
          <w:rFonts w:ascii="Palatino Linotype" w:eastAsia="Palatino Linotype" w:hAnsi="Palatino Linotype" w:cs="Palatino Linotype"/>
          <w:b/>
          <w:bCs/>
          <w:i/>
          <w:iCs/>
          <w:sz w:val="22"/>
          <w:szCs w:val="22"/>
        </w:rPr>
        <w:t>Recurrente</w:t>
      </w:r>
      <w:r w:rsidRPr="00B0563B">
        <w:rPr>
          <w:rFonts w:ascii="Palatino Linotype" w:eastAsia="Palatino Linotype" w:hAnsi="Palatino Linotype" w:cs="Palatino Linotype"/>
          <w:i/>
          <w:iCs/>
          <w:sz w:val="22"/>
          <w:szCs w:val="22"/>
        </w:rPr>
        <w:t>, de manera fundada y motivada en términos de lo señalado por el segundo párrafo del artículo 19 de la Ley en la materia.</w:t>
      </w:r>
    </w:p>
    <w:p w14:paraId="5ABBDEEB" w14:textId="77777777" w:rsidR="00C7221D" w:rsidRPr="00B0563B" w:rsidRDefault="00C7221D">
      <w:pPr>
        <w:pBdr>
          <w:top w:val="nil"/>
          <w:left w:val="nil"/>
          <w:bottom w:val="nil"/>
          <w:right w:val="nil"/>
          <w:between w:val="nil"/>
        </w:pBdr>
        <w:spacing w:line="276" w:lineRule="auto"/>
        <w:ind w:left="851" w:right="616" w:hanging="360"/>
        <w:jc w:val="both"/>
        <w:rPr>
          <w:rFonts w:ascii="Palatino Linotype" w:eastAsia="Palatino Linotype" w:hAnsi="Palatino Linotype" w:cs="Palatino Linotype"/>
          <w:b/>
          <w:bCs/>
          <w:sz w:val="22"/>
          <w:szCs w:val="22"/>
        </w:rPr>
      </w:pPr>
    </w:p>
    <w:p w14:paraId="7463B542" w14:textId="77777777" w:rsidR="00C7221D" w:rsidRPr="00B0563B" w:rsidRDefault="00802627">
      <w:pPr>
        <w:numPr>
          <w:ilvl w:val="0"/>
          <w:numId w:val="8"/>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sz w:val="22"/>
          <w:szCs w:val="22"/>
        </w:rPr>
      </w:pPr>
      <w:bookmarkStart w:id="10" w:name="_heading=h.tnvz5133fg6r" w:colFirst="0" w:colLast="0"/>
      <w:bookmarkEnd w:id="10"/>
      <w:r w:rsidRPr="00B0563B">
        <w:rPr>
          <w:rFonts w:ascii="Palatino Linotype" w:eastAsia="Palatino Linotype" w:hAnsi="Palatino Linotype" w:cs="Palatino Linotype"/>
          <w:b/>
          <w:bCs/>
          <w:sz w:val="22"/>
          <w:szCs w:val="22"/>
        </w:rPr>
        <w:t>Acuerdo del Comité de Transparencia en el que se funde y motive la clasificación como información confidencial en términos de la fracción I del artículo 143 de la Ley de Transparencia y Acceso a la Información Pública del Estado de México y Municipios, del dato relativo al nombre de los particulares que asistieron a los eventos realizados por la Dirección General de Educación, Cultura y Turismo, del primero de enero al cinco de agosto de dos mil veinticinco.</w:t>
      </w:r>
    </w:p>
    <w:p w14:paraId="302DA7A7" w14:textId="77777777" w:rsidR="00C7221D" w:rsidRPr="00B0563B" w:rsidRDefault="00C7221D">
      <w:pPr>
        <w:spacing w:line="360" w:lineRule="auto"/>
        <w:jc w:val="both"/>
        <w:rPr>
          <w:rFonts w:ascii="Palatino Linotype" w:eastAsia="Palatino Linotype" w:hAnsi="Palatino Linotype" w:cs="Palatino Linotype"/>
          <w:i/>
          <w:iCs/>
          <w:sz w:val="22"/>
          <w:szCs w:val="22"/>
        </w:rPr>
      </w:pPr>
    </w:p>
    <w:p w14:paraId="6285831D"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Tercero. Notifíquese </w:t>
      </w:r>
      <w:r w:rsidRPr="00B0563B">
        <w:rPr>
          <w:rFonts w:ascii="Palatino Linotype" w:eastAsia="Palatino Linotype" w:hAnsi="Palatino Linotype" w:cs="Palatino Linotype"/>
          <w:sz w:val="22"/>
          <w:szCs w:val="22"/>
        </w:rPr>
        <w:t>vía</w:t>
      </w:r>
      <w:r w:rsidRPr="00B0563B">
        <w:rPr>
          <w:rFonts w:ascii="Palatino Linotype" w:eastAsia="Palatino Linotype" w:hAnsi="Palatino Linotype" w:cs="Palatino Linotype"/>
          <w:b/>
          <w:bCs/>
          <w:sz w:val="22"/>
          <w:szCs w:val="22"/>
        </w:rPr>
        <w:t xml:space="preserve"> SAIMEX, </w:t>
      </w:r>
      <w:r w:rsidRPr="00B0563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03DA62"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29DDBC31"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Cuarto. </w:t>
      </w:r>
      <w:r w:rsidRPr="00B0563B">
        <w:rPr>
          <w:rFonts w:ascii="Palatino Linotype" w:eastAsia="Palatino Linotype" w:hAnsi="Palatino Linotype" w:cs="Palatino Linotype"/>
          <w:sz w:val="22"/>
          <w:szCs w:val="22"/>
        </w:rPr>
        <w:t xml:space="preserve">Notifíquese vía </w:t>
      </w:r>
      <w:r w:rsidRPr="00B0563B">
        <w:rPr>
          <w:rFonts w:ascii="Palatino Linotype" w:eastAsia="Palatino Linotype" w:hAnsi="Palatino Linotype" w:cs="Palatino Linotype"/>
          <w:b/>
          <w:bCs/>
          <w:sz w:val="22"/>
          <w:szCs w:val="22"/>
        </w:rPr>
        <w:t>SAIMEX</w:t>
      </w:r>
      <w:r w:rsidRPr="00B0563B">
        <w:rPr>
          <w:rFonts w:ascii="Palatino Linotype" w:eastAsia="Palatino Linotype" w:hAnsi="Palatino Linotype" w:cs="Palatino Linotype"/>
          <w:sz w:val="22"/>
          <w:szCs w:val="22"/>
        </w:rPr>
        <w:t xml:space="preserve">, al Titular de la Unidad de Transparencia del </w:t>
      </w:r>
      <w:r w:rsidRPr="00B0563B">
        <w:rPr>
          <w:rFonts w:ascii="Palatino Linotype" w:eastAsia="Palatino Linotype" w:hAnsi="Palatino Linotype" w:cs="Palatino Linotype"/>
          <w:b/>
          <w:bCs/>
          <w:sz w:val="22"/>
          <w:szCs w:val="22"/>
        </w:rPr>
        <w:t>Sujeto Obligado</w:t>
      </w:r>
      <w:r w:rsidRPr="00B0563B">
        <w:rPr>
          <w:rFonts w:ascii="Palatino Linotype" w:eastAsia="Palatino Linotype" w:hAnsi="Palatino Linotype" w:cs="Palatino Linotype"/>
          <w:sz w:val="22"/>
          <w:szCs w:val="22"/>
        </w:rPr>
        <w:t>,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3A896E6E"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455E4881" w14:textId="77777777" w:rsidR="00C7221D" w:rsidRPr="00B0563B" w:rsidRDefault="00802627">
      <w:pPr>
        <w:spacing w:line="360" w:lineRule="auto"/>
        <w:jc w:val="both"/>
        <w:rPr>
          <w:rFonts w:ascii="Palatino Linotype" w:eastAsia="Palatino Linotype" w:hAnsi="Palatino Linotype" w:cs="Palatino Linotype"/>
          <w:sz w:val="22"/>
          <w:szCs w:val="22"/>
        </w:rPr>
      </w:pPr>
      <w:r w:rsidRPr="00B0563B">
        <w:rPr>
          <w:rFonts w:ascii="Palatino Linotype" w:eastAsia="Palatino Linotype" w:hAnsi="Palatino Linotype" w:cs="Palatino Linotype"/>
          <w:b/>
          <w:bCs/>
          <w:sz w:val="22"/>
          <w:szCs w:val="22"/>
        </w:rPr>
        <w:t xml:space="preserve">Quinto. Notifíquese, </w:t>
      </w:r>
      <w:r w:rsidRPr="00B0563B">
        <w:rPr>
          <w:rFonts w:ascii="Palatino Linotype" w:eastAsia="Palatino Linotype" w:hAnsi="Palatino Linotype" w:cs="Palatino Linotype"/>
          <w:sz w:val="22"/>
          <w:szCs w:val="22"/>
        </w:rPr>
        <w:t xml:space="preserve">vía </w:t>
      </w:r>
      <w:r w:rsidRPr="00B0563B">
        <w:rPr>
          <w:rFonts w:ascii="Palatino Linotype" w:eastAsia="Palatino Linotype" w:hAnsi="Palatino Linotype" w:cs="Palatino Linotype"/>
          <w:b/>
          <w:bCs/>
          <w:sz w:val="22"/>
          <w:szCs w:val="22"/>
        </w:rPr>
        <w:t>SAIMEX</w:t>
      </w:r>
      <w:r w:rsidRPr="00B0563B">
        <w:rPr>
          <w:rFonts w:ascii="Palatino Linotype" w:eastAsia="Palatino Linotype" w:hAnsi="Palatino Linotype" w:cs="Palatino Linotype"/>
          <w:sz w:val="22"/>
          <w:szCs w:val="22"/>
        </w:rPr>
        <w:t>, a la parte</w:t>
      </w:r>
      <w:r w:rsidRPr="00B0563B">
        <w:rPr>
          <w:rFonts w:ascii="Palatino Linotype" w:eastAsia="Palatino Linotype" w:hAnsi="Palatino Linotype" w:cs="Palatino Linotype"/>
          <w:b/>
          <w:bCs/>
          <w:sz w:val="22"/>
          <w:szCs w:val="22"/>
        </w:rPr>
        <w:t xml:space="preserve"> Recurrente</w:t>
      </w:r>
      <w:r w:rsidRPr="00B0563B">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D104ED6" w14:textId="77777777" w:rsidR="00C7221D" w:rsidRPr="00B0563B" w:rsidRDefault="00C7221D">
      <w:pPr>
        <w:spacing w:line="360" w:lineRule="auto"/>
        <w:jc w:val="both"/>
        <w:rPr>
          <w:rFonts w:ascii="Palatino Linotype" w:eastAsia="Palatino Linotype" w:hAnsi="Palatino Linotype" w:cs="Palatino Linotype"/>
          <w:sz w:val="22"/>
          <w:szCs w:val="22"/>
        </w:rPr>
      </w:pPr>
    </w:p>
    <w:p w14:paraId="05AD36A5" w14:textId="77777777" w:rsidR="00C7221D" w:rsidRPr="00E1576D" w:rsidRDefault="00802627">
      <w:pPr>
        <w:spacing w:line="360" w:lineRule="auto"/>
        <w:jc w:val="both"/>
        <w:rPr>
          <w:rFonts w:ascii="Palatino Linotype" w:eastAsia="Palatino Linotype" w:hAnsi="Palatino Linotype" w:cs="Palatino Linotype"/>
          <w:sz w:val="22"/>
          <w:szCs w:val="22"/>
        </w:rPr>
      </w:pPr>
      <w:bookmarkStart w:id="11" w:name="_heading=h.lnxbz9" w:colFirst="0" w:colLast="0"/>
      <w:bookmarkEnd w:id="11"/>
      <w:r w:rsidRPr="00B0563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DE MARZO DE DOS MIL VEINTISÉIS, ANTE EL SECRETARIO TÉCNICO DEL PLENO ALEXIS TAPIA RAMÍREZ.</w:t>
      </w:r>
    </w:p>
    <w:p w14:paraId="611615AE" w14:textId="77777777" w:rsidR="00C7221D" w:rsidRPr="00E1576D" w:rsidRDefault="00C7221D">
      <w:pPr>
        <w:rPr>
          <w:rFonts w:ascii="Palatino Linotype" w:eastAsia="Palatino Linotype" w:hAnsi="Palatino Linotype" w:cs="Palatino Linotype"/>
          <w:sz w:val="22"/>
          <w:szCs w:val="22"/>
        </w:rPr>
      </w:pPr>
    </w:p>
    <w:p w14:paraId="274AA7D4" w14:textId="77777777" w:rsidR="00C7221D" w:rsidRPr="00E1576D" w:rsidRDefault="00C7221D">
      <w:pPr>
        <w:rPr>
          <w:rFonts w:ascii="Palatino Linotype" w:eastAsia="Palatino Linotype" w:hAnsi="Palatino Linotype" w:cs="Palatino Linotype"/>
          <w:sz w:val="22"/>
          <w:szCs w:val="22"/>
        </w:rPr>
      </w:pPr>
    </w:p>
    <w:p w14:paraId="76152DE7" w14:textId="77777777" w:rsidR="00C7221D" w:rsidRPr="00E1576D" w:rsidRDefault="00C7221D">
      <w:pPr>
        <w:rPr>
          <w:rFonts w:ascii="Palatino Linotype" w:eastAsia="Palatino Linotype" w:hAnsi="Palatino Linotype" w:cs="Palatino Linotype"/>
          <w:sz w:val="22"/>
          <w:szCs w:val="22"/>
        </w:rPr>
      </w:pPr>
    </w:p>
    <w:p w14:paraId="258EF879" w14:textId="77777777" w:rsidR="00C7221D" w:rsidRPr="00E1576D" w:rsidRDefault="00C7221D">
      <w:pPr>
        <w:rPr>
          <w:rFonts w:ascii="Palatino Linotype" w:eastAsia="Palatino Linotype" w:hAnsi="Palatino Linotype" w:cs="Palatino Linotype"/>
          <w:sz w:val="22"/>
          <w:szCs w:val="22"/>
        </w:rPr>
      </w:pPr>
    </w:p>
    <w:p w14:paraId="78DEEFAD" w14:textId="77777777" w:rsidR="00C7221D" w:rsidRPr="00E1576D" w:rsidRDefault="00C7221D">
      <w:pPr>
        <w:rPr>
          <w:rFonts w:ascii="Palatino Linotype" w:eastAsia="Palatino Linotype" w:hAnsi="Palatino Linotype" w:cs="Palatino Linotype"/>
          <w:sz w:val="22"/>
          <w:szCs w:val="22"/>
        </w:rPr>
      </w:pPr>
    </w:p>
    <w:p w14:paraId="1B9DC91E" w14:textId="77777777" w:rsidR="00C7221D" w:rsidRPr="00E1576D" w:rsidRDefault="00C7221D">
      <w:pPr>
        <w:rPr>
          <w:rFonts w:ascii="Palatino Linotype" w:eastAsia="Palatino Linotype" w:hAnsi="Palatino Linotype" w:cs="Palatino Linotype"/>
          <w:sz w:val="22"/>
          <w:szCs w:val="22"/>
        </w:rPr>
      </w:pPr>
    </w:p>
    <w:p w14:paraId="0F3954C0" w14:textId="77777777" w:rsidR="00C7221D" w:rsidRPr="00E1576D" w:rsidRDefault="00C7221D">
      <w:pPr>
        <w:spacing w:line="360" w:lineRule="auto"/>
        <w:jc w:val="both"/>
        <w:rPr>
          <w:rFonts w:ascii="Palatino Linotype" w:eastAsia="Palatino Linotype" w:hAnsi="Palatino Linotype" w:cs="Palatino Linotype"/>
          <w:sz w:val="22"/>
          <w:szCs w:val="22"/>
        </w:rPr>
      </w:pPr>
      <w:bookmarkStart w:id="12" w:name="_heading=h.3rdcrjn" w:colFirst="0" w:colLast="0"/>
      <w:bookmarkEnd w:id="12"/>
    </w:p>
    <w:p w14:paraId="2574FCDA"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14150C64"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06891FF7" w14:textId="3E52529F" w:rsidR="00C7221D" w:rsidRPr="00E1576D" w:rsidRDefault="00C7221D">
      <w:pPr>
        <w:spacing w:line="360" w:lineRule="auto"/>
        <w:jc w:val="both"/>
        <w:rPr>
          <w:rFonts w:ascii="Palatino Linotype" w:eastAsia="Palatino Linotype" w:hAnsi="Palatino Linotype" w:cs="Palatino Linotype"/>
          <w:sz w:val="22"/>
          <w:szCs w:val="22"/>
        </w:rPr>
      </w:pPr>
      <w:bookmarkStart w:id="13" w:name="_heading=h.1t3h5sf" w:colFirst="0" w:colLast="0"/>
      <w:bookmarkEnd w:id="13"/>
    </w:p>
    <w:p w14:paraId="773862B1" w14:textId="492F24B3" w:rsidR="00E1576D" w:rsidRPr="00E1576D" w:rsidRDefault="00E1576D">
      <w:pPr>
        <w:spacing w:line="360" w:lineRule="auto"/>
        <w:jc w:val="both"/>
        <w:rPr>
          <w:rFonts w:ascii="Palatino Linotype" w:eastAsia="Palatino Linotype" w:hAnsi="Palatino Linotype" w:cs="Palatino Linotype"/>
          <w:sz w:val="22"/>
          <w:szCs w:val="22"/>
        </w:rPr>
      </w:pPr>
    </w:p>
    <w:p w14:paraId="309FBF5E" w14:textId="7B7D58E7" w:rsidR="00E1576D" w:rsidRPr="00E1576D" w:rsidRDefault="00E1576D">
      <w:pPr>
        <w:spacing w:line="360" w:lineRule="auto"/>
        <w:jc w:val="both"/>
        <w:rPr>
          <w:rFonts w:ascii="Palatino Linotype" w:eastAsia="Palatino Linotype" w:hAnsi="Palatino Linotype" w:cs="Palatino Linotype"/>
          <w:sz w:val="22"/>
          <w:szCs w:val="22"/>
        </w:rPr>
      </w:pPr>
    </w:p>
    <w:p w14:paraId="12C89B5E" w14:textId="34FD2BF5" w:rsidR="00E1576D" w:rsidRPr="00E1576D" w:rsidRDefault="00E1576D">
      <w:pPr>
        <w:spacing w:line="360" w:lineRule="auto"/>
        <w:jc w:val="both"/>
        <w:rPr>
          <w:rFonts w:ascii="Palatino Linotype" w:eastAsia="Palatino Linotype" w:hAnsi="Palatino Linotype" w:cs="Palatino Linotype"/>
          <w:sz w:val="22"/>
          <w:szCs w:val="22"/>
        </w:rPr>
      </w:pPr>
    </w:p>
    <w:p w14:paraId="6F8C226E" w14:textId="6E11BA4A" w:rsidR="00E1576D" w:rsidRPr="00E1576D" w:rsidRDefault="00E1576D">
      <w:pPr>
        <w:spacing w:line="360" w:lineRule="auto"/>
        <w:jc w:val="both"/>
        <w:rPr>
          <w:rFonts w:ascii="Palatino Linotype" w:eastAsia="Palatino Linotype" w:hAnsi="Palatino Linotype" w:cs="Palatino Linotype"/>
          <w:sz w:val="22"/>
          <w:szCs w:val="22"/>
        </w:rPr>
      </w:pPr>
    </w:p>
    <w:p w14:paraId="39248B1D" w14:textId="49F9B678" w:rsidR="00E1576D" w:rsidRPr="00E1576D" w:rsidRDefault="00E1576D">
      <w:pPr>
        <w:spacing w:line="360" w:lineRule="auto"/>
        <w:jc w:val="both"/>
        <w:rPr>
          <w:rFonts w:ascii="Palatino Linotype" w:eastAsia="Palatino Linotype" w:hAnsi="Palatino Linotype" w:cs="Palatino Linotype"/>
          <w:sz w:val="22"/>
          <w:szCs w:val="22"/>
        </w:rPr>
      </w:pPr>
    </w:p>
    <w:p w14:paraId="0BD9F8C2" w14:textId="4428D1D0" w:rsidR="00E1576D" w:rsidRPr="00E1576D" w:rsidRDefault="00E1576D">
      <w:pPr>
        <w:spacing w:line="360" w:lineRule="auto"/>
        <w:jc w:val="both"/>
        <w:rPr>
          <w:rFonts w:ascii="Palatino Linotype" w:eastAsia="Palatino Linotype" w:hAnsi="Palatino Linotype" w:cs="Palatino Linotype"/>
          <w:sz w:val="22"/>
          <w:szCs w:val="22"/>
        </w:rPr>
      </w:pPr>
    </w:p>
    <w:p w14:paraId="6D060043" w14:textId="1A44F32B" w:rsidR="00E1576D" w:rsidRPr="00E1576D" w:rsidRDefault="00E1576D">
      <w:pPr>
        <w:spacing w:line="360" w:lineRule="auto"/>
        <w:jc w:val="both"/>
        <w:rPr>
          <w:rFonts w:ascii="Palatino Linotype" w:eastAsia="Palatino Linotype" w:hAnsi="Palatino Linotype" w:cs="Palatino Linotype"/>
          <w:sz w:val="22"/>
          <w:szCs w:val="22"/>
        </w:rPr>
      </w:pPr>
    </w:p>
    <w:p w14:paraId="62317097" w14:textId="1DB944FF" w:rsidR="00E1576D" w:rsidRPr="00E1576D" w:rsidRDefault="00E1576D">
      <w:pPr>
        <w:spacing w:line="360" w:lineRule="auto"/>
        <w:jc w:val="both"/>
        <w:rPr>
          <w:rFonts w:ascii="Palatino Linotype" w:eastAsia="Palatino Linotype" w:hAnsi="Palatino Linotype" w:cs="Palatino Linotype"/>
          <w:sz w:val="22"/>
          <w:szCs w:val="22"/>
        </w:rPr>
      </w:pPr>
    </w:p>
    <w:p w14:paraId="6798B2F1" w14:textId="6815AC41" w:rsidR="00E1576D" w:rsidRPr="00E1576D" w:rsidRDefault="00E1576D">
      <w:pPr>
        <w:spacing w:line="360" w:lineRule="auto"/>
        <w:jc w:val="both"/>
        <w:rPr>
          <w:rFonts w:ascii="Palatino Linotype" w:eastAsia="Palatino Linotype" w:hAnsi="Palatino Linotype" w:cs="Palatino Linotype"/>
          <w:sz w:val="22"/>
          <w:szCs w:val="22"/>
        </w:rPr>
      </w:pPr>
    </w:p>
    <w:p w14:paraId="227E1840" w14:textId="5A751289" w:rsidR="00E1576D" w:rsidRPr="00E1576D" w:rsidRDefault="00E1576D">
      <w:pPr>
        <w:spacing w:line="360" w:lineRule="auto"/>
        <w:jc w:val="both"/>
        <w:rPr>
          <w:rFonts w:ascii="Palatino Linotype" w:eastAsia="Palatino Linotype" w:hAnsi="Palatino Linotype" w:cs="Palatino Linotype"/>
          <w:sz w:val="22"/>
          <w:szCs w:val="22"/>
        </w:rPr>
      </w:pPr>
    </w:p>
    <w:p w14:paraId="5854EFF4" w14:textId="4D8649D8" w:rsidR="00E1576D" w:rsidRPr="00E1576D" w:rsidRDefault="00E1576D">
      <w:pPr>
        <w:spacing w:line="360" w:lineRule="auto"/>
        <w:jc w:val="both"/>
        <w:rPr>
          <w:rFonts w:ascii="Palatino Linotype" w:eastAsia="Palatino Linotype" w:hAnsi="Palatino Linotype" w:cs="Palatino Linotype"/>
          <w:sz w:val="22"/>
          <w:szCs w:val="22"/>
        </w:rPr>
      </w:pPr>
    </w:p>
    <w:p w14:paraId="33CBB405" w14:textId="28C5E169" w:rsidR="00E1576D" w:rsidRPr="00E1576D" w:rsidRDefault="00E1576D">
      <w:pPr>
        <w:spacing w:line="360" w:lineRule="auto"/>
        <w:jc w:val="both"/>
        <w:rPr>
          <w:rFonts w:ascii="Palatino Linotype" w:eastAsia="Palatino Linotype" w:hAnsi="Palatino Linotype" w:cs="Palatino Linotype"/>
          <w:sz w:val="22"/>
          <w:szCs w:val="22"/>
        </w:rPr>
      </w:pPr>
    </w:p>
    <w:p w14:paraId="4A653875" w14:textId="2833CD00" w:rsidR="00E1576D" w:rsidRPr="00E1576D" w:rsidRDefault="00E1576D">
      <w:pPr>
        <w:spacing w:line="360" w:lineRule="auto"/>
        <w:jc w:val="both"/>
        <w:rPr>
          <w:rFonts w:ascii="Palatino Linotype" w:eastAsia="Palatino Linotype" w:hAnsi="Palatino Linotype" w:cs="Palatino Linotype"/>
          <w:sz w:val="22"/>
          <w:szCs w:val="22"/>
        </w:rPr>
      </w:pPr>
    </w:p>
    <w:p w14:paraId="664C5370" w14:textId="1929D2BF" w:rsidR="00E1576D" w:rsidRPr="00E1576D" w:rsidRDefault="00E1576D">
      <w:pPr>
        <w:spacing w:line="360" w:lineRule="auto"/>
        <w:jc w:val="both"/>
        <w:rPr>
          <w:rFonts w:ascii="Palatino Linotype" w:eastAsia="Palatino Linotype" w:hAnsi="Palatino Linotype" w:cs="Palatino Linotype"/>
          <w:sz w:val="22"/>
          <w:szCs w:val="22"/>
        </w:rPr>
      </w:pPr>
    </w:p>
    <w:p w14:paraId="7486A1CE" w14:textId="6BFA536B" w:rsidR="00E1576D" w:rsidRPr="00E1576D" w:rsidRDefault="00E1576D">
      <w:pPr>
        <w:spacing w:line="360" w:lineRule="auto"/>
        <w:jc w:val="both"/>
        <w:rPr>
          <w:rFonts w:ascii="Palatino Linotype" w:eastAsia="Palatino Linotype" w:hAnsi="Palatino Linotype" w:cs="Palatino Linotype"/>
          <w:sz w:val="22"/>
          <w:szCs w:val="22"/>
        </w:rPr>
      </w:pPr>
    </w:p>
    <w:p w14:paraId="7D5F2C2C" w14:textId="472EA160" w:rsidR="00E1576D" w:rsidRPr="00E1576D" w:rsidRDefault="00E1576D">
      <w:pPr>
        <w:spacing w:line="360" w:lineRule="auto"/>
        <w:jc w:val="both"/>
        <w:rPr>
          <w:rFonts w:ascii="Palatino Linotype" w:eastAsia="Palatino Linotype" w:hAnsi="Palatino Linotype" w:cs="Palatino Linotype"/>
          <w:sz w:val="22"/>
          <w:szCs w:val="22"/>
        </w:rPr>
      </w:pPr>
    </w:p>
    <w:p w14:paraId="62F1B06C" w14:textId="6D0A0330" w:rsidR="00E1576D" w:rsidRPr="00E1576D" w:rsidRDefault="00E1576D">
      <w:pPr>
        <w:spacing w:line="360" w:lineRule="auto"/>
        <w:jc w:val="both"/>
        <w:rPr>
          <w:rFonts w:ascii="Palatino Linotype" w:eastAsia="Palatino Linotype" w:hAnsi="Palatino Linotype" w:cs="Palatino Linotype"/>
          <w:sz w:val="22"/>
          <w:szCs w:val="22"/>
        </w:rPr>
      </w:pPr>
    </w:p>
    <w:p w14:paraId="34292E1E" w14:textId="77777777" w:rsidR="00E1576D" w:rsidRPr="00E1576D" w:rsidRDefault="00E1576D">
      <w:pPr>
        <w:spacing w:line="360" w:lineRule="auto"/>
        <w:jc w:val="both"/>
        <w:rPr>
          <w:rFonts w:ascii="Palatino Linotype" w:eastAsia="Palatino Linotype" w:hAnsi="Palatino Linotype" w:cs="Palatino Linotype"/>
          <w:sz w:val="22"/>
          <w:szCs w:val="22"/>
        </w:rPr>
      </w:pPr>
    </w:p>
    <w:p w14:paraId="559BECB8"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59D52C34"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620DAD2A"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41B92223"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765F788C"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47A078E9"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724B6BC4"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52723856"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02E81815"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1CF09321" w14:textId="77777777" w:rsidR="00C7221D" w:rsidRPr="00E1576D" w:rsidRDefault="00C7221D">
      <w:pPr>
        <w:spacing w:line="360" w:lineRule="auto"/>
        <w:jc w:val="both"/>
        <w:rPr>
          <w:rFonts w:ascii="Palatino Linotype" w:eastAsia="Palatino Linotype" w:hAnsi="Palatino Linotype" w:cs="Palatino Linotype"/>
          <w:sz w:val="22"/>
          <w:szCs w:val="22"/>
        </w:rPr>
      </w:pPr>
    </w:p>
    <w:p w14:paraId="544926FD" w14:textId="77777777" w:rsidR="00C7221D" w:rsidRPr="00E1576D" w:rsidRDefault="00C7221D">
      <w:pPr>
        <w:spacing w:line="360" w:lineRule="auto"/>
        <w:jc w:val="both"/>
        <w:rPr>
          <w:rFonts w:ascii="Palatino Linotype" w:eastAsia="Palatino Linotype" w:hAnsi="Palatino Linotype" w:cs="Palatino Linotype"/>
          <w:sz w:val="22"/>
          <w:szCs w:val="22"/>
        </w:rPr>
      </w:pPr>
    </w:p>
    <w:sectPr w:rsidR="00C7221D" w:rsidRPr="00E1576D">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432A0" w14:textId="77777777" w:rsidR="00DD6A6A" w:rsidRDefault="00DD6A6A">
      <w:r>
        <w:separator/>
      </w:r>
    </w:p>
  </w:endnote>
  <w:endnote w:type="continuationSeparator" w:id="0">
    <w:p w14:paraId="453B2F4A" w14:textId="77777777" w:rsidR="00DD6A6A" w:rsidRDefault="00DD6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69E66CA6-295D-4121-8908-A237225CD5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AC5A67-46D1-434F-8E42-805880E056F7}"/>
    <w:embedBold r:id="rId3" w:fontKey="{E340E77C-B124-49D2-83F6-D3D4DE681FDD}"/>
  </w:font>
  <w:font w:name="Cambria">
    <w:panose1 w:val="02040503050406030204"/>
    <w:charset w:val="00"/>
    <w:family w:val="roman"/>
    <w:pitch w:val="variable"/>
    <w:sig w:usb0="E00006FF" w:usb1="420024FF" w:usb2="02000000" w:usb3="00000000" w:csb0="0000019F" w:csb1="00000000"/>
    <w:embedRegular r:id="rId4" w:fontKey="{CFCA0FE7-EF09-406F-BDB6-A1BE5E1AD413}"/>
    <w:embedBold r:id="rId5" w:fontKey="{E35E1677-D59E-43E9-872F-D7B13D94AFEA}"/>
    <w:embedItalic r:id="rId6" w:fontKey="{C47F439C-0EBD-417C-8059-322836F239F5}"/>
    <w:embedBoldItalic r:id="rId7" w:fontKey="{8F9E9F52-1EBD-4087-BC4C-8C97B789C419}"/>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embedRegular r:id="rId8" w:fontKey="{DD263275-CB49-43DB-A134-A7C4598CE403}"/>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9" w:fontKey="{C6065564-A42A-4A3D-B8AE-D92A74717E9E}"/>
  </w:font>
  <w:font w:name="Palatino Linotype">
    <w:panose1 w:val="02040502050505030304"/>
    <w:charset w:val="00"/>
    <w:family w:val="roman"/>
    <w:pitch w:val="variable"/>
    <w:sig w:usb0="E0000287" w:usb1="40000013" w:usb2="00000000" w:usb3="00000000" w:csb0="0000019F" w:csb1="00000000"/>
    <w:embedRegular r:id="rId10" w:fontKey="{F7F7A4B3-C965-4E5D-8A14-A2E71936E714}"/>
    <w:embedBold r:id="rId11" w:fontKey="{AAD45C37-50A2-4945-8631-06D527138BF0}"/>
    <w:embedItalic r:id="rId12" w:fontKey="{145D59B2-F223-4136-88EF-6EBED950E9DE}"/>
    <w:embedBoldItalic r:id="rId13" w:fontKey="{AED2BA88-6505-4A87-AEB4-932EBB01D5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8CF2" w14:textId="3DE2133B" w:rsidR="00C7221D" w:rsidRDefault="008026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D7C33">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D7C33">
      <w:rPr>
        <w:rFonts w:ascii="Palatino Linotype" w:eastAsia="Palatino Linotype" w:hAnsi="Palatino Linotype" w:cs="Palatino Linotype"/>
        <w:b/>
        <w:bCs/>
        <w:noProof/>
        <w:color w:val="000000"/>
        <w:sz w:val="20"/>
        <w:szCs w:val="20"/>
      </w:rPr>
      <w:t>61</w:t>
    </w:r>
    <w:r>
      <w:rPr>
        <w:rFonts w:ascii="Palatino Linotype" w:eastAsia="Palatino Linotype" w:hAnsi="Palatino Linotype" w:cs="Palatino Linotype"/>
        <w:b/>
        <w:bCs/>
        <w:color w:val="000000"/>
        <w:sz w:val="20"/>
        <w:szCs w:val="20"/>
      </w:rPr>
      <w:fldChar w:fldCharType="end"/>
    </w:r>
  </w:p>
  <w:p w14:paraId="5F83F22F" w14:textId="77777777" w:rsidR="00C7221D" w:rsidRDefault="00C7221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795D9" w14:textId="1276E120" w:rsidR="00C7221D" w:rsidRDefault="008026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D7C33">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D7C33">
      <w:rPr>
        <w:rFonts w:ascii="Palatino Linotype" w:eastAsia="Palatino Linotype" w:hAnsi="Palatino Linotype" w:cs="Palatino Linotype"/>
        <w:b/>
        <w:bCs/>
        <w:noProof/>
        <w:color w:val="000000"/>
        <w:sz w:val="20"/>
        <w:szCs w:val="20"/>
      </w:rPr>
      <w:t>61</w:t>
    </w:r>
    <w:r>
      <w:rPr>
        <w:rFonts w:ascii="Palatino Linotype" w:eastAsia="Palatino Linotype" w:hAnsi="Palatino Linotype" w:cs="Palatino Linotype"/>
        <w:b/>
        <w:bCs/>
        <w:color w:val="000000"/>
        <w:sz w:val="20"/>
        <w:szCs w:val="20"/>
      </w:rPr>
      <w:fldChar w:fldCharType="end"/>
    </w:r>
  </w:p>
  <w:p w14:paraId="1DEC65AC" w14:textId="77777777" w:rsidR="00C7221D" w:rsidRDefault="00C7221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DDD42" w14:textId="77777777" w:rsidR="00DD6A6A" w:rsidRDefault="00DD6A6A">
      <w:r>
        <w:separator/>
      </w:r>
    </w:p>
  </w:footnote>
  <w:footnote w:type="continuationSeparator" w:id="0">
    <w:p w14:paraId="167A1DC2" w14:textId="77777777" w:rsidR="00DD6A6A" w:rsidRDefault="00DD6A6A">
      <w:r>
        <w:continuationSeparator/>
      </w:r>
    </w:p>
  </w:footnote>
  <w:footnote w:id="1">
    <w:p w14:paraId="70EFCE7E" w14:textId="77777777" w:rsidR="00C7221D" w:rsidRDefault="00802627">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 xml:space="preserve">Consultable en: </w:t>
      </w:r>
      <w:hyperlink r:id="rId1">
        <w:r>
          <w:rPr>
            <w:rFonts w:ascii="Palatino Linotype" w:eastAsia="Palatino Linotype" w:hAnsi="Palatino Linotype" w:cs="Palatino Linotype"/>
            <w:color w:val="0000FF"/>
            <w:sz w:val="20"/>
            <w:szCs w:val="20"/>
            <w:u w:val="single"/>
          </w:rPr>
          <w:t>https://www2.toluca.gob.mx/ofrece-toluca-agenda-cultural-permanente-en-favor-de-la-poblacion/</w:t>
        </w:r>
      </w:hyperlink>
      <w:r>
        <w:rPr>
          <w:rFonts w:ascii="Palatino Linotype" w:eastAsia="Palatino Linotype" w:hAnsi="Palatino Linotype" w:cs="Palatino Linotype"/>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30191" w14:textId="77777777" w:rsidR="00C7221D" w:rsidRDefault="00802627">
    <w:pPr>
      <w:rPr>
        <w:rFonts w:ascii="Cambria" w:eastAsia="Cambria" w:hAnsi="Cambria" w:cs="Cambria"/>
        <w:color w:val="000000"/>
      </w:rPr>
    </w:pPr>
    <w:r>
      <w:rPr>
        <w:noProof/>
      </w:rPr>
      <w:drawing>
        <wp:anchor distT="0" distB="0" distL="0" distR="0" simplePos="0" relativeHeight="251658240" behindDoc="1" locked="0" layoutInCell="1" hidden="0" allowOverlap="1" wp14:anchorId="01DD639B" wp14:editId="2542D115">
          <wp:simplePos x="0" y="0"/>
          <wp:positionH relativeFrom="column">
            <wp:posOffset>-1080115</wp:posOffset>
          </wp:positionH>
          <wp:positionV relativeFrom="paragraph">
            <wp:posOffset>-488292</wp:posOffset>
          </wp:positionV>
          <wp:extent cx="7809865" cy="10165715"/>
          <wp:effectExtent l="0" t="0" r="0" b="0"/>
          <wp:wrapNone/>
          <wp:docPr id="21286493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489"/>
      <w:gridCol w:w="3464"/>
    </w:tblGrid>
    <w:tr w:rsidR="00C7221D" w14:paraId="765A2D2E" w14:textId="77777777">
      <w:tc>
        <w:tcPr>
          <w:tcW w:w="2489" w:type="dxa"/>
        </w:tcPr>
        <w:p w14:paraId="73C0157A" w14:textId="77777777" w:rsidR="00C7221D" w:rsidRDefault="0080262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2B04E88D" w14:textId="77777777" w:rsidR="00C7221D" w:rsidRDefault="0080262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09699/INFOEM/IP/RR/2025</w:t>
          </w:r>
        </w:p>
      </w:tc>
    </w:tr>
    <w:tr w:rsidR="00C7221D" w14:paraId="6D7F4F85" w14:textId="77777777">
      <w:trPr>
        <w:trHeight w:val="228"/>
      </w:trPr>
      <w:tc>
        <w:tcPr>
          <w:tcW w:w="2489" w:type="dxa"/>
          <w:vAlign w:val="center"/>
        </w:tcPr>
        <w:p w14:paraId="7C84343E" w14:textId="77777777" w:rsidR="00C7221D" w:rsidRDefault="0080262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76D53C82" w14:textId="77777777" w:rsidR="00C7221D" w:rsidRDefault="00802627">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C7221D" w14:paraId="439CB069" w14:textId="77777777">
      <w:tc>
        <w:tcPr>
          <w:tcW w:w="2489" w:type="dxa"/>
          <w:vAlign w:val="center"/>
        </w:tcPr>
        <w:p w14:paraId="481A8ABE" w14:textId="77777777" w:rsidR="00C7221D" w:rsidRDefault="00802627">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3D496461" w14:textId="77777777" w:rsidR="00C7221D" w:rsidRDefault="0080262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D287772" w14:textId="77777777" w:rsidR="00C7221D" w:rsidRDefault="0080262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5B73" w14:textId="77777777" w:rsidR="00C7221D" w:rsidRDefault="0080262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F5BC6B6" wp14:editId="4EE2E173">
          <wp:simplePos x="0" y="0"/>
          <wp:positionH relativeFrom="column">
            <wp:posOffset>-1080121</wp:posOffset>
          </wp:positionH>
          <wp:positionV relativeFrom="paragraph">
            <wp:posOffset>-262864</wp:posOffset>
          </wp:positionV>
          <wp:extent cx="7809865" cy="10165715"/>
          <wp:effectExtent l="0" t="0" r="0" b="0"/>
          <wp:wrapNone/>
          <wp:docPr id="21286493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670" w:type="dxa"/>
      <w:tblInd w:w="3261" w:type="dxa"/>
      <w:tblLayout w:type="fixed"/>
      <w:tblLook w:val="0400" w:firstRow="0" w:lastRow="0" w:firstColumn="0" w:lastColumn="0" w:noHBand="0" w:noVBand="1"/>
    </w:tblPr>
    <w:tblGrid>
      <w:gridCol w:w="2551"/>
      <w:gridCol w:w="3119"/>
    </w:tblGrid>
    <w:tr w:rsidR="00C7221D" w14:paraId="67C98321" w14:textId="77777777">
      <w:tc>
        <w:tcPr>
          <w:tcW w:w="2551" w:type="dxa"/>
          <w:vAlign w:val="center"/>
        </w:tcPr>
        <w:p w14:paraId="67D73FE3" w14:textId="77777777" w:rsidR="00C7221D" w:rsidRDefault="0080262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47BAE3FF" w14:textId="77777777" w:rsidR="00C7221D" w:rsidRDefault="00802627">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09699/INFOEM/IP/RR/2025</w:t>
          </w:r>
        </w:p>
      </w:tc>
    </w:tr>
    <w:tr w:rsidR="00C7221D" w14:paraId="71380538" w14:textId="77777777">
      <w:trPr>
        <w:trHeight w:val="130"/>
      </w:trPr>
      <w:tc>
        <w:tcPr>
          <w:tcW w:w="2551" w:type="dxa"/>
          <w:vAlign w:val="center"/>
        </w:tcPr>
        <w:p w14:paraId="38B86C7E" w14:textId="77777777" w:rsidR="00C7221D" w:rsidRDefault="0080262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16270002" w14:textId="77777777" w:rsidR="00C7221D" w:rsidRDefault="00C7221D">
          <w:pPr>
            <w:ind w:left="-45"/>
            <w:jc w:val="both"/>
            <w:rPr>
              <w:rFonts w:ascii="Palatino Linotype" w:eastAsia="Palatino Linotype" w:hAnsi="Palatino Linotype" w:cs="Palatino Linotype"/>
              <w:b/>
              <w:bCs/>
              <w:sz w:val="22"/>
              <w:szCs w:val="22"/>
            </w:rPr>
          </w:pPr>
        </w:p>
      </w:tc>
    </w:tr>
    <w:tr w:rsidR="00C7221D" w14:paraId="4445BA12" w14:textId="77777777">
      <w:trPr>
        <w:trHeight w:val="228"/>
      </w:trPr>
      <w:tc>
        <w:tcPr>
          <w:tcW w:w="2551" w:type="dxa"/>
          <w:vAlign w:val="center"/>
        </w:tcPr>
        <w:p w14:paraId="0D2D33E7" w14:textId="77777777" w:rsidR="00C7221D" w:rsidRDefault="0080262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1A2CD074" w14:textId="77777777" w:rsidR="00C7221D" w:rsidRDefault="00802627">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C7221D" w14:paraId="02886F0C" w14:textId="77777777">
      <w:tc>
        <w:tcPr>
          <w:tcW w:w="2551" w:type="dxa"/>
          <w:vAlign w:val="center"/>
        </w:tcPr>
        <w:p w14:paraId="42002CC4" w14:textId="77777777" w:rsidR="00C7221D" w:rsidRDefault="0080262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1BC22815" w14:textId="77777777" w:rsidR="00C7221D" w:rsidRDefault="00802627">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718C26D" w14:textId="77777777" w:rsidR="00C7221D" w:rsidRDefault="00C7221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57B7"/>
    <w:multiLevelType w:val="multilevel"/>
    <w:tmpl w:val="993AB8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CEF3A2D"/>
    <w:multiLevelType w:val="multilevel"/>
    <w:tmpl w:val="44F82AC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F911FE"/>
    <w:multiLevelType w:val="multilevel"/>
    <w:tmpl w:val="F4C2664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48AC444E"/>
    <w:multiLevelType w:val="multilevel"/>
    <w:tmpl w:val="31107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6025E"/>
    <w:multiLevelType w:val="multilevel"/>
    <w:tmpl w:val="F90AB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4D2E3C"/>
    <w:multiLevelType w:val="multilevel"/>
    <w:tmpl w:val="05D4E6B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 w15:restartNumberingAfterBreak="0">
    <w:nsid w:val="57EB14DA"/>
    <w:multiLevelType w:val="multilevel"/>
    <w:tmpl w:val="6CBCE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D00D6D"/>
    <w:multiLevelType w:val="multilevel"/>
    <w:tmpl w:val="98BAC494"/>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6E6B443A"/>
    <w:multiLevelType w:val="multilevel"/>
    <w:tmpl w:val="4594C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B218DE"/>
    <w:multiLevelType w:val="multilevel"/>
    <w:tmpl w:val="6AEAF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3"/>
  </w:num>
  <w:num w:numId="4">
    <w:abstractNumId w:val="6"/>
  </w:num>
  <w:num w:numId="5">
    <w:abstractNumId w:val="0"/>
  </w:num>
  <w:num w:numId="6">
    <w:abstractNumId w:val="7"/>
  </w:num>
  <w:num w:numId="7">
    <w:abstractNumId w:val="8"/>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21D"/>
    <w:rsid w:val="007D7C33"/>
    <w:rsid w:val="00802627"/>
    <w:rsid w:val="00B0563B"/>
    <w:rsid w:val="00C7221D"/>
    <w:rsid w:val="00DD6A6A"/>
    <w:rsid w:val="00E15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0EB37"/>
  <w15:docId w15:val="{BEB3F696-B998-4EDD-B542-C05BB3E3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0"/>
    <w:tblPr>
      <w:tblStyleRowBandSize w:val="1"/>
      <w:tblStyleColBandSize w:val="1"/>
      <w:tblCellMar>
        <w:left w:w="115" w:type="dxa"/>
        <w:right w:w="115" w:type="dxa"/>
      </w:tblCellMar>
    </w:tblPr>
  </w:style>
  <w:style w:type="table" w:customStyle="1" w:styleId="23">
    <w:name w:val="23"/>
    <w:basedOn w:val="TableNormal9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left w:w="115" w:type="dxa"/>
        <w:right w:w="115" w:type="dxa"/>
      </w:tblCellMar>
    </w:tblPr>
  </w:style>
  <w:style w:type="table" w:customStyle="1" w:styleId="21">
    <w:name w:val="21"/>
    <w:basedOn w:val="TableNormal90"/>
    <w:tblPr>
      <w:tblStyleRowBandSize w:val="1"/>
      <w:tblStyleColBandSize w:val="1"/>
      <w:tblCellMar>
        <w:left w:w="115" w:type="dxa"/>
        <w:right w:w="115" w:type="dxa"/>
      </w:tblCellMar>
    </w:tblPr>
  </w:style>
  <w:style w:type="table" w:customStyle="1" w:styleId="a">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character" w:customStyle="1" w:styleId="Mencinsinresolver6">
    <w:name w:val="Mención sin resolver6"/>
    <w:basedOn w:val="Fuentedeprrafopredeter"/>
    <w:uiPriority w:val="99"/>
    <w:semiHidden/>
    <w:unhideWhenUsed/>
    <w:rsid w:val="00882E27"/>
    <w:rPr>
      <w:color w:val="605E5C"/>
      <w:shd w:val="clear" w:color="auto" w:fill="E1DFDD"/>
    </w:rPr>
  </w:style>
  <w:style w:type="character" w:styleId="nfasissutil">
    <w:name w:val="Subtle Emphasis"/>
    <w:basedOn w:val="Fuentedeprrafopredeter"/>
    <w:uiPriority w:val="19"/>
    <w:qFormat/>
    <w:rsid w:val="003B39BD"/>
    <w:rPr>
      <w:i/>
      <w:iCs/>
      <w:color w:val="404040" w:themeColor="text1" w:themeTint="BF"/>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2.toluca.gob.mx/informacion-fiscal-toluca/"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luca.gob.mx" TargetMode="External"/><Relationship Id="rId5" Type="http://schemas.openxmlformats.org/officeDocument/2006/relationships/webSettings" Target="webSettings.xml"/><Relationship Id="rId15" Type="http://schemas.openxmlformats.org/officeDocument/2006/relationships/hyperlink" Target="https://www.toluca.gob.mx" TargetMode="External"/><Relationship Id="rId10" Type="http://schemas.openxmlformats.org/officeDocument/2006/relationships/hyperlink" Target="https://www.toluca.gob.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osfem.gob.mx/assets/conocenos/marco_normativo/acuerdos/2025/acuerdo_07_2025.pdf"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ofrece-toluca-agenda-cultural-permanente-en-favor-de-la-pobl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LBx5VlxeIyoKqpybLnE4xMKTQ==">CgMxLjAyCWguM2R5NnZrbTIJaC4zMGowemxsMgloLjJzOGV5bzEyCGgudHlqY3d0MgloLjN6bnlzaDcyCWguMmV0OTJwMDIJaC4xN2RwOHZ1Mg5oLnF4MGtpZXo0NTRwYzIJaC4xZm9iOXRlMg5oLnRudno1MTMzZmc2cjIIaC5sbnhiejkyCWguM3JkY3JqbjIJaC4xdDNoNXNmOAByITFUc05UaDBLSnE1VnZ1SENOdWQwOXd1SFFZZlhzdXRhMA==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16503</Words>
  <Characters>90771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2026-03-13T17:25:00Z</cp:lastPrinted>
  <dcterms:created xsi:type="dcterms:W3CDTF">2026-04-08T17:44:00Z</dcterms:created>
  <dcterms:modified xsi:type="dcterms:W3CDTF">2026-04-08T17:44:00Z</dcterms:modified>
</cp:coreProperties>
</file>