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D3" w:rsidRDefault="00D27684">
      <w:pPr>
        <w:tabs>
          <w:tab w:val="left" w:pos="0"/>
        </w:tabs>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veinte (20) de mayo de dos mil veintiséis.</w:t>
      </w:r>
      <w:r>
        <w:rPr>
          <w:rFonts w:ascii="Palatino Linotype" w:eastAsia="Palatino Linotype" w:hAnsi="Palatino Linotype" w:cs="Palatino Linotype"/>
        </w:rPr>
        <w:t xml:space="preserve"> </w:t>
      </w:r>
    </w:p>
    <w:p w:rsidR="00477DD3" w:rsidRDefault="00477DD3">
      <w:pPr>
        <w:tabs>
          <w:tab w:val="left" w:pos="0"/>
        </w:tabs>
        <w:spacing w:line="360" w:lineRule="auto"/>
        <w:ind w:right="-734"/>
        <w:jc w:val="both"/>
        <w:rPr>
          <w:rFonts w:ascii="Palatino Linotype" w:eastAsia="Palatino Linotype" w:hAnsi="Palatino Linotype" w:cs="Palatino Linotype"/>
        </w:rPr>
      </w:pPr>
    </w:p>
    <w:p w:rsidR="00477DD3" w:rsidRDefault="00D27684">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color w:val="000000"/>
        </w:rPr>
        <w:t xml:space="preserve">0998/INFOEM/IP/RR/2026, </w:t>
      </w:r>
      <w:r>
        <w:rPr>
          <w:rFonts w:ascii="Palatino Linotype" w:eastAsia="Palatino Linotype" w:hAnsi="Palatino Linotype" w:cs="Palatino Linotype"/>
          <w:color w:val="000000"/>
        </w:rPr>
        <w:t xml:space="preserve">promovido por </w:t>
      </w:r>
      <w:r w:rsidR="00963F9C">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en contra de las respuestas del </w:t>
      </w:r>
      <w:r>
        <w:rPr>
          <w:rFonts w:ascii="Palatino Linotype" w:eastAsia="Palatino Linotype" w:hAnsi="Palatino Linotype" w:cs="Palatino Linotype"/>
          <w:b/>
          <w:bCs/>
          <w:color w:val="000000"/>
        </w:rPr>
        <w:t>Ayuntamiento de Tepotzotlán</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bookmarkStart w:id="0" w:name="_GoBack"/>
      <w:bookmarkEnd w:id="0"/>
    </w:p>
    <w:p w:rsidR="00477DD3" w:rsidRDefault="00477DD3">
      <w:pPr>
        <w:spacing w:line="360" w:lineRule="auto"/>
        <w:ind w:right="-734"/>
        <w:jc w:val="both"/>
        <w:rPr>
          <w:rFonts w:ascii="Palatino Linotype" w:eastAsia="Palatino Linotype" w:hAnsi="Palatino Linotype" w:cs="Palatino Linotype"/>
        </w:rPr>
      </w:pPr>
    </w:p>
    <w:p w:rsidR="00477DD3" w:rsidRDefault="00D27684">
      <w:pPr>
        <w:keepNext/>
        <w:keepLines/>
        <w:tabs>
          <w:tab w:val="left" w:pos="0"/>
        </w:tabs>
        <w:spacing w:line="360" w:lineRule="auto"/>
        <w:ind w:right="-734"/>
        <w:jc w:val="center"/>
        <w:rPr>
          <w:rFonts w:ascii="Palatino Linotype" w:eastAsia="Palatino Linotype" w:hAnsi="Palatino Linotype" w:cs="Palatino Linotype"/>
          <w:b/>
          <w:bCs/>
        </w:rPr>
      </w:pPr>
      <w:bookmarkStart w:id="1" w:name="_heading=h.l02leh2hntws" w:colFirst="0" w:colLast="0"/>
      <w:bookmarkEnd w:id="1"/>
      <w:r>
        <w:rPr>
          <w:rFonts w:ascii="Palatino Linotype" w:eastAsia="Palatino Linotype" w:hAnsi="Palatino Linotype" w:cs="Palatino Linotype"/>
          <w:b/>
          <w:bCs/>
        </w:rPr>
        <w:t>A N T E C E D E N T E S</w:t>
      </w:r>
    </w:p>
    <w:p w:rsidR="00477DD3" w:rsidRDefault="00477DD3">
      <w:pPr>
        <w:keepNext/>
        <w:keepLines/>
        <w:tabs>
          <w:tab w:val="left" w:pos="0"/>
        </w:tabs>
        <w:spacing w:line="360" w:lineRule="auto"/>
        <w:ind w:right="-734"/>
        <w:jc w:val="center"/>
        <w:rPr>
          <w:rFonts w:ascii="Palatino Linotype" w:eastAsia="Palatino Linotype" w:hAnsi="Palatino Linotype" w:cs="Palatino Linotype"/>
          <w:b/>
          <w:bCs/>
        </w:rPr>
      </w:pPr>
    </w:p>
    <w:p w:rsidR="00477DD3" w:rsidRDefault="00D27684">
      <w:pPr>
        <w:numPr>
          <w:ilvl w:val="0"/>
          <w:numId w:val="2"/>
        </w:numPr>
        <w:tabs>
          <w:tab w:val="left" w:pos="0"/>
        </w:tabs>
        <w:spacing w:line="360" w:lineRule="auto"/>
        <w:ind w:left="0" w:right="-734"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diecinueve de diciembre de dos mil veinticinco</w:t>
      </w:r>
      <w:r>
        <w:rPr>
          <w:rFonts w:ascii="Palatino Linotype" w:eastAsia="Palatino Linotype" w:hAnsi="Palatino Linotype" w:cs="Palatino Linotype"/>
        </w:rPr>
        <w:t>, la</w:t>
      </w:r>
      <w:r>
        <w:rPr>
          <w:rFonts w:ascii="Palatino Linotype" w:eastAsia="Palatino Linotype" w:hAnsi="Palatino Linotype" w:cs="Palatino Linotype"/>
          <w:b/>
          <w:bCs/>
        </w:rPr>
        <w:t xml:space="preserve"> </w:t>
      </w:r>
      <w:r>
        <w:rPr>
          <w:rFonts w:ascii="Palatino Linotype" w:eastAsia="Palatino Linotype" w:hAnsi="Palatino Linotype" w:cs="Palatino Linotype"/>
        </w:rPr>
        <w:t>solicitante</w:t>
      </w:r>
      <w:r>
        <w:rPr>
          <w:rFonts w:ascii="Palatino Linotype" w:eastAsia="Palatino Linotype" w:hAnsi="Palatino Linotype" w:cs="Palatino Linotype"/>
          <w:b/>
          <w:bCs/>
        </w:rPr>
        <w:t xml:space="preserv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Sistema de Acceso a la Información Mexiquense (SAIMEX), la solicitud de información pública registrada con el número </w:t>
      </w:r>
      <w:r>
        <w:rPr>
          <w:rFonts w:ascii="Palatino Linotype" w:eastAsia="Palatino Linotype" w:hAnsi="Palatino Linotype" w:cs="Palatino Linotype"/>
          <w:b/>
          <w:bCs/>
        </w:rPr>
        <w:t>01709/TEPOTZOT/IP/2025</w:t>
      </w:r>
      <w:r>
        <w:rPr>
          <w:rFonts w:ascii="Palatino Linotype" w:eastAsia="Palatino Linotype" w:hAnsi="Palatino Linotype" w:cs="Palatino Linotype"/>
        </w:rPr>
        <w:t>, en la que se solicitó:</w:t>
      </w:r>
    </w:p>
    <w:p w:rsidR="00477DD3" w:rsidRDefault="00477DD3">
      <w:pPr>
        <w:pBdr>
          <w:top w:val="nil"/>
          <w:left w:val="nil"/>
          <w:bottom w:val="nil"/>
          <w:right w:val="nil"/>
          <w:between w:val="nil"/>
        </w:pBdr>
        <w:ind w:left="567" w:right="-734"/>
        <w:jc w:val="both"/>
        <w:rPr>
          <w:rFonts w:ascii="Palatino Linotype" w:eastAsia="Palatino Linotype" w:hAnsi="Palatino Linotype" w:cs="Palatino Linotype"/>
          <w:b/>
          <w:bCs/>
          <w:i/>
          <w:iCs/>
          <w:color w:val="000000"/>
        </w:rPr>
      </w:pP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el listado completo de programas de apoyo al desarrollo económico, emprendimiento o turismo ejecutados en 2024 y 2025, indicando: presupuesto asignado beneficiarios criterios de selección padrón de beneficiarios en versión pública (Sic.)</w:t>
      </w:r>
    </w:p>
    <w:p w:rsidR="00477DD3" w:rsidRDefault="00477DD3">
      <w:pPr>
        <w:tabs>
          <w:tab w:val="left" w:pos="0"/>
        </w:tabs>
        <w:spacing w:line="360" w:lineRule="auto"/>
        <w:ind w:right="-734"/>
        <w:jc w:val="both"/>
        <w:rPr>
          <w:rFonts w:ascii="Palatino Linotype" w:eastAsia="Palatino Linotype" w:hAnsi="Palatino Linotype" w:cs="Palatino Linotype"/>
        </w:rPr>
      </w:pPr>
    </w:p>
    <w:p w:rsidR="00477DD3" w:rsidRPr="00FC609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Se hace constar que se señaló como modalidad de entrega de la información a través de SAIMEX.</w:t>
      </w:r>
    </w:p>
    <w:p w:rsidR="00FC6093" w:rsidRDefault="00FC6093" w:rsidP="00FC6093">
      <w:pPr>
        <w:pBdr>
          <w:top w:val="nil"/>
          <w:left w:val="nil"/>
          <w:bottom w:val="nil"/>
          <w:right w:val="nil"/>
          <w:between w:val="nil"/>
        </w:pBdr>
        <w:spacing w:line="360" w:lineRule="auto"/>
        <w:ind w:right="-734"/>
        <w:jc w:val="both"/>
      </w:pPr>
    </w:p>
    <w:p w:rsidR="00477DD3" w:rsidRDefault="00D27684">
      <w:pPr>
        <w:numPr>
          <w:ilvl w:val="0"/>
          <w:numId w:val="2"/>
        </w:numPr>
        <w:tabs>
          <w:tab w:val="left" w:pos="0"/>
        </w:tabs>
        <w:spacing w:line="360" w:lineRule="auto"/>
        <w:ind w:left="0" w:right="-734" w:firstLine="0"/>
        <w:jc w:val="both"/>
      </w:pPr>
      <w:r>
        <w:rPr>
          <w:rFonts w:ascii="Palatino Linotype" w:eastAsia="Palatino Linotype" w:hAnsi="Palatino Linotype" w:cs="Palatino Linotype"/>
        </w:rPr>
        <w:lastRenderedPageBreak/>
        <w:t xml:space="preserve">El </w:t>
      </w:r>
      <w:r>
        <w:rPr>
          <w:rFonts w:ascii="Palatino Linotype" w:eastAsia="Palatino Linotype" w:hAnsi="Palatino Linotype" w:cs="Palatino Linotype"/>
          <w:b/>
          <w:bCs/>
        </w:rPr>
        <w:t>diecinueve de enero de dos mil veintiséis</w:t>
      </w:r>
      <w:r>
        <w:rPr>
          <w:rFonts w:ascii="Palatino Linotype" w:eastAsia="Palatino Linotype" w:hAnsi="Palatino Linotype" w:cs="Palatino Linotype"/>
        </w:rPr>
        <w:t>, el Sujeto Obligado dio respuesta a la solicitud de información en el siguiente sentido:</w:t>
      </w:r>
    </w:p>
    <w:p w:rsidR="00477DD3" w:rsidRDefault="00477DD3">
      <w:pPr>
        <w:tabs>
          <w:tab w:val="left" w:pos="0"/>
        </w:tabs>
        <w:ind w:right="-734"/>
        <w:jc w:val="both"/>
        <w:rPr>
          <w:rFonts w:ascii="Palatino Linotype" w:eastAsia="Palatino Linotype" w:hAnsi="Palatino Linotype" w:cs="Palatino Linotype"/>
        </w:rPr>
      </w:pPr>
    </w:p>
    <w:p w:rsidR="00477DD3" w:rsidRDefault="00D27684">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“SE ADJUNTA RESPUESTA DE SERVIDOR PÚBLICO HABILITADO (Sic)</w:t>
      </w:r>
    </w:p>
    <w:p w:rsidR="00477DD3" w:rsidRDefault="00477DD3">
      <w:pPr>
        <w:tabs>
          <w:tab w:val="left" w:pos="0"/>
        </w:tabs>
        <w:spacing w:line="360" w:lineRule="auto"/>
        <w:ind w:right="-734"/>
        <w:jc w:val="both"/>
        <w:rPr>
          <w:rFonts w:ascii="Palatino Linotype" w:eastAsia="Palatino Linotype" w:hAnsi="Palatino Linotype" w:cs="Palatino Linotype"/>
        </w:rPr>
      </w:pPr>
      <w:bookmarkStart w:id="2" w:name="_heading=h.uokf3nnmo4f" w:colFirst="0" w:colLast="0"/>
      <w:bookmarkEnd w:id="2"/>
    </w:p>
    <w:p w:rsidR="00477DD3" w:rsidRDefault="00D27684">
      <w:pPr>
        <w:tabs>
          <w:tab w:val="left" w:pos="0"/>
        </w:tabs>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Se adjuntó el siguiente archivo electrónico:</w:t>
      </w:r>
    </w:p>
    <w:p w:rsidR="00477DD3" w:rsidRDefault="00D27684">
      <w:pPr>
        <w:numPr>
          <w:ilvl w:val="0"/>
          <w:numId w:val="10"/>
        </w:numPr>
        <w:pBdr>
          <w:top w:val="nil"/>
          <w:left w:val="nil"/>
          <w:bottom w:val="nil"/>
          <w:right w:val="nil"/>
          <w:between w:val="nil"/>
        </w:pBdr>
        <w:tabs>
          <w:tab w:val="left" w:pos="0"/>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DDYFE-024-2026.pdf: </w:t>
      </w:r>
      <w:r>
        <w:rPr>
          <w:rFonts w:ascii="Palatino Linotype" w:eastAsia="Palatino Linotype" w:hAnsi="Palatino Linotype" w:cs="Palatino Linotype"/>
          <w:color w:val="000000"/>
        </w:rPr>
        <w:t>Oficio DDYFE/024/2026 de fecha dieciséis de enero de dos mil veintiséis, suscrito por la Directora de Desarrollo y Fomento Económico del H. Ayuntamiento de Tepotzotlán, a través del cual informa lo siguiente:</w:t>
      </w:r>
    </w:p>
    <w:p w:rsidR="00477DD3" w:rsidRDefault="00D27684">
      <w:pPr>
        <w:pBdr>
          <w:top w:val="nil"/>
          <w:left w:val="nil"/>
          <w:bottom w:val="nil"/>
          <w:right w:val="nil"/>
          <w:between w:val="nil"/>
        </w:pBdr>
        <w:tabs>
          <w:tab w:val="left" w:pos="0"/>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noProof/>
          <w:color w:val="000000"/>
        </w:rPr>
        <w:drawing>
          <wp:inline distT="0" distB="0" distL="0" distR="0">
            <wp:extent cx="5742940" cy="194373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42940" cy="1943735"/>
                    </a:xfrm>
                    <a:prstGeom prst="rect">
                      <a:avLst/>
                    </a:prstGeom>
                    <a:ln/>
                  </pic:spPr>
                </pic:pic>
              </a:graphicData>
            </a:graphic>
          </wp:inline>
        </w:drawing>
      </w:r>
    </w:p>
    <w:p w:rsidR="00477DD3" w:rsidRDefault="00477DD3">
      <w:pPr>
        <w:pBdr>
          <w:top w:val="nil"/>
          <w:left w:val="nil"/>
          <w:bottom w:val="nil"/>
          <w:right w:val="nil"/>
          <w:between w:val="nil"/>
        </w:pBdr>
        <w:tabs>
          <w:tab w:val="left" w:pos="0"/>
        </w:tabs>
        <w:spacing w:line="360" w:lineRule="auto"/>
        <w:ind w:left="720" w:right="-734"/>
        <w:jc w:val="both"/>
        <w:rPr>
          <w:rFonts w:ascii="Palatino Linotype" w:eastAsia="Palatino Linotype" w:hAnsi="Palatino Linotype" w:cs="Palatino Linotype"/>
          <w:b/>
          <w:bCs/>
          <w:color w:val="000000"/>
        </w:rPr>
      </w:pPr>
    </w:p>
    <w:p w:rsidR="00477DD3" w:rsidRDefault="00D27684">
      <w:pPr>
        <w:numPr>
          <w:ilvl w:val="0"/>
          <w:numId w:val="2"/>
        </w:numPr>
        <w:pBdr>
          <w:top w:val="nil"/>
          <w:left w:val="nil"/>
          <w:bottom w:val="nil"/>
          <w:right w:val="nil"/>
          <w:between w:val="nil"/>
        </w:pBdr>
        <w:spacing w:line="360" w:lineRule="auto"/>
        <w:ind w:right="-734"/>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veintitrés de enero de dos mil veintiséis</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00000"/>
        </w:rPr>
        <w:t xml:space="preserve">01709/TEPOTZOT/IP/2025,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477DD3" w:rsidRDefault="00477DD3">
      <w:pPr>
        <w:pBdr>
          <w:top w:val="nil"/>
          <w:left w:val="nil"/>
          <w:bottom w:val="nil"/>
          <w:right w:val="nil"/>
          <w:between w:val="nil"/>
        </w:pBdr>
        <w:spacing w:line="360" w:lineRule="auto"/>
        <w:ind w:left="360" w:right="-734"/>
        <w:jc w:val="both"/>
        <w:rPr>
          <w:rFonts w:ascii="Palatino Linotype" w:eastAsia="Palatino Linotype" w:hAnsi="Palatino Linotype" w:cs="Palatino Linotype"/>
          <w:color w:val="000000"/>
        </w:rPr>
      </w:pPr>
    </w:p>
    <w:p w:rsidR="00477DD3" w:rsidRDefault="00D27684">
      <w:pPr>
        <w:numPr>
          <w:ilvl w:val="0"/>
          <w:numId w:val="1"/>
        </w:numPr>
        <w:pBdr>
          <w:top w:val="nil"/>
          <w:left w:val="nil"/>
          <w:bottom w:val="nil"/>
          <w:right w:val="nil"/>
          <w:between w:val="nil"/>
        </w:pBdr>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“Solicito el listado completo de programas de apoyo al desarrollo económico, emprendimiento o turismo ejecutados en 2024 y 2025, indicando: presupuesto asignado beneficiarios criterios de selección padrón de beneficiarios en versión pública La respuesta emitida por el H. Ayuntamiento de Tepotzotlán a mi solicitud de información pública, por resultar incompleta, no exhaustiva, </w:t>
      </w:r>
      <w:r>
        <w:rPr>
          <w:rFonts w:ascii="Palatino Linotype" w:eastAsia="Palatino Linotype" w:hAnsi="Palatino Linotype" w:cs="Palatino Linotype"/>
          <w:i/>
          <w:iCs/>
          <w:color w:val="000000"/>
        </w:rPr>
        <w:lastRenderedPageBreak/>
        <w:t>carente de fundamentación y contraria al principio de máxima publicidad, al no entregar la totalidad de la información solicitada ni los documentos públicos correspondientes.” (Sic.)</w:t>
      </w:r>
    </w:p>
    <w:p w:rsidR="00477DD3" w:rsidRDefault="00477DD3">
      <w:pPr>
        <w:pBdr>
          <w:top w:val="nil"/>
          <w:left w:val="nil"/>
          <w:bottom w:val="nil"/>
          <w:right w:val="nil"/>
          <w:between w:val="nil"/>
        </w:pBdr>
        <w:ind w:left="567" w:right="-734"/>
        <w:jc w:val="both"/>
        <w:rPr>
          <w:rFonts w:ascii="Palatino Linotype" w:eastAsia="Palatino Linotype" w:hAnsi="Palatino Linotype" w:cs="Palatino Linotype"/>
          <w:i/>
          <w:iCs/>
        </w:rPr>
      </w:pPr>
    </w:p>
    <w:p w:rsidR="00477DD3" w:rsidRDefault="00D27684">
      <w:pPr>
        <w:numPr>
          <w:ilvl w:val="0"/>
          <w:numId w:val="19"/>
        </w:numPr>
        <w:pBdr>
          <w:top w:val="nil"/>
          <w:left w:val="nil"/>
          <w:bottom w:val="nil"/>
          <w:right w:val="nil"/>
          <w:between w:val="nil"/>
        </w:pBdr>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“Presenté solicitud de acceso a la información pública, mediante la cual requerí el listado completo de programas de apoyo al desarrollo económico, emprendimiento o turismo ejecutados en los años 2024 y 2025, indicando: Presupuesto asignado Criterios de selección Número de beneficiarios Padrón de beneficiarios en versión pública El sujeto obligado emitió respuesta mediante oficio DDYFE/024/2026, en la cual proporcionó únicamente una tabla resumida, sin entregar los documentos públicos solicitados. La respuesta no satisface el contenido de la solicitud, ni acredita una búsqueda exhaustiva, motivo por el cual se interpone el presente recurso. AGRAVIOS PRIMERO. RESPUESTA INCOMPLETA Y FALTA DE EXHAUSTIVIDAD El sujeto obligado omitió entregar el padrón de beneficiarios en versión pública, limitándose a señalar cifras globales, sin proporcionar documentos oficiales, contraviniendo los artículos 11, 15, 92 y 111 de la Ley de Transparencia del Estado de México y Municipios. El derecho de acceso a la información no se satisface con datos genéricos, sino con la entrega de documentos públicos existentes. SEGUNDO. OMISIÓN DE BÚSQUEDA EXHAUSTIVA Y FALTA DE FUNDAMENTACIÓN La respuesta impugnada no acredita la realización de una búsqueda exhaustiva, al no señalar: Áreas administrativas consultadas Archivos revisados Existencia o inexistencia formal de documentación adicional Tampoco se emitió pronunciamiento fundado y motivado respecto de la inexistencia parcial de información correspondiente al ejercicio 2025 ni de programas relacionados con emprendimiento o turismo. TERCERO. CRITERIOS DE SELECCIÓN DEFICIENTES Los criterios de selección informados son vagos, genéricos e insuficientes, ya que se limitan a requisitos mínimos como identificación o registro, sin describir: Reglas de operación Mecanismos de priorización Procedimientos de dictaminación Lo anterior impide verificar la correcta aplicación de los recursos públicos. CUARTO. VIOLACIÓN AL PRINCIPIO DE MÁXIMA PUBLICIDAD Al no entregar versiones públicas del padrón de beneficiarios ni la documentación soporte de los programas, el sujeto obligado restringe indebidamente el acceso a información pública, en contravención de los artículos 4 y 11 de la Ley de Transparencia aplicable. Son aplicables los artículos 6° y 8° de la Constitución Política de los Estados Unidos Mexicanos; así como los artículos 4, 11, 15, 92, 111, 112, 150, 151, 152, 160, 162, 176, 177, 178, 179 y 180 de la Ley de Transparencia y Acceso a la Información Pública del Estado de México y Municipios. PETICIONES Por lo expuesto, solicito respetuosamente al INFOEM: Se declare fundado el presente recurso de revisión, al acreditarse una respuesta incompleta y no exhaustiva. Se ordene al H. Ayuntamiento de Tepotzotlán emitir una nueva respuesta, debidamente fundada y motivada. Se requiera la entrega del padrón de beneficiarios en versión pública, aplicando testado </w:t>
      </w:r>
      <w:r>
        <w:rPr>
          <w:rFonts w:ascii="Palatino Linotype" w:eastAsia="Palatino Linotype" w:hAnsi="Palatino Linotype" w:cs="Palatino Linotype"/>
          <w:i/>
          <w:iCs/>
          <w:color w:val="000000"/>
        </w:rPr>
        <w:lastRenderedPageBreak/>
        <w:t>estricto, proporcional y debidamente justificado. Se instruya al Comité de Transparencia para que, en caso de alegarse inexistencia, emita el acta correspondiente conforme a derecho. Se aperciba a la Unidad de Transparencia para que dé cumplimiento bajo el principio de máxima publicidad. Se dé vista al Órgano Interno de Control, a fin de que determine las responsabilidades administrativas correspondientes..” (Sic.)</w:t>
      </w:r>
    </w:p>
    <w:p w:rsidR="00477DD3" w:rsidRDefault="00477DD3">
      <w:pPr>
        <w:pBdr>
          <w:top w:val="nil"/>
          <w:left w:val="nil"/>
          <w:bottom w:val="nil"/>
          <w:right w:val="nil"/>
          <w:between w:val="nil"/>
        </w:pBdr>
        <w:tabs>
          <w:tab w:val="left" w:pos="851"/>
        </w:tabs>
        <w:spacing w:line="360" w:lineRule="auto"/>
        <w:ind w:left="720" w:right="-734"/>
        <w:jc w:val="both"/>
        <w:rPr>
          <w:rFonts w:ascii="Palatino Linotype" w:eastAsia="Palatino Linotype" w:hAnsi="Palatino Linotype" w:cs="Palatino Linotype"/>
          <w:color w:val="000000"/>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turna a la </w:t>
      </w:r>
      <w:r>
        <w:rPr>
          <w:rFonts w:ascii="Palatino Linotype" w:eastAsia="Palatino Linotype" w:hAnsi="Palatino Linotype" w:cs="Palatino Linotype"/>
          <w:b/>
          <w:bCs/>
        </w:rPr>
        <w:t>Comisionada María del Rosario Mejía Ayala,</w:t>
      </w:r>
      <w:r>
        <w:rPr>
          <w:rFonts w:ascii="Palatino Linotype" w:eastAsia="Palatino Linotype" w:hAnsi="Palatino Linotype" w:cs="Palatino Linotype"/>
        </w:rPr>
        <w:t xml:space="preserve"> para su análisis.</w:t>
      </w:r>
    </w:p>
    <w:p w:rsidR="00477DD3" w:rsidRDefault="00477DD3">
      <w:pPr>
        <w:spacing w:line="360" w:lineRule="auto"/>
        <w:ind w:right="-734"/>
        <w:jc w:val="both"/>
        <w:rPr>
          <w:rFonts w:ascii="Palatino Linotype" w:eastAsia="Palatino Linotype" w:hAnsi="Palatino Linotype" w:cs="Palatino Linotype"/>
          <w:i/>
          <w:iCs/>
          <w:color w:val="000000"/>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color w:val="000000"/>
        </w:rPr>
        <w:t xml:space="preserve">La Comisionada Ponente con fundamento en lo dispuesto por el artículo 185 </w:t>
      </w:r>
      <w:r>
        <w:rPr>
          <w:rFonts w:ascii="Palatino Linotype" w:eastAsia="Palatino Linotype" w:hAnsi="Palatino Linotype" w:cs="Palatino Linotype"/>
        </w:rPr>
        <w:t>fracción</w:t>
      </w:r>
      <w:r>
        <w:rPr>
          <w:rFonts w:ascii="Palatino Linotype" w:eastAsia="Palatino Linotype" w:hAnsi="Palatino Linotype" w:cs="Palatino Linotype"/>
          <w:color w:val="000000"/>
        </w:rPr>
        <w:t xml:space="preserve">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veintiocho de enero de dos mil veintiséis</w:t>
      </w:r>
      <w:r>
        <w:rPr>
          <w:rFonts w:ascii="Palatino Linotype" w:eastAsia="Palatino Linotype" w:hAnsi="Palatino Linotype" w:cs="Palatino Linotype"/>
          <w:color w:val="000000"/>
        </w:rPr>
        <w:t xml:space="preserve">, 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 xml:space="preserve">De lo anterior el </w:t>
      </w:r>
      <w:r>
        <w:rPr>
          <w:rFonts w:ascii="Palatino Linotype" w:eastAsia="Palatino Linotype" w:hAnsi="Palatino Linotype" w:cs="Palatino Linotype"/>
          <w:b/>
          <w:bCs/>
        </w:rPr>
        <w:t xml:space="preserve">SUJETO OBLIGADO y el RECURRENTE </w:t>
      </w:r>
      <w:r>
        <w:rPr>
          <w:rFonts w:ascii="Palatino Linotype" w:eastAsia="Palatino Linotype" w:hAnsi="Palatino Linotype" w:cs="Palatino Linotype"/>
        </w:rPr>
        <w:t xml:space="preserve">dejaron de realizar manifestaciones que a su derecho conviniera y asistiera. </w:t>
      </w:r>
    </w:p>
    <w:p w:rsidR="00477DD3" w:rsidRDefault="00477DD3">
      <w:pPr>
        <w:spacing w:line="360" w:lineRule="auto"/>
        <w:ind w:right="-734"/>
        <w:jc w:val="both"/>
        <w:rPr>
          <w:rFonts w:ascii="Palatino Linotype" w:eastAsia="Palatino Linotype" w:hAnsi="Palatino Linotype" w:cs="Palatino Linotype"/>
          <w:i/>
          <w:iCs/>
          <w:color w:val="000000"/>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veintiuno de abril de dos mil veintiséis</w:t>
      </w:r>
      <w:r>
        <w:rPr>
          <w:rFonts w:ascii="Palatino Linotype" w:eastAsia="Palatino Linotype" w:hAnsi="Palatino Linotype" w:cs="Palatino Linotype"/>
        </w:rPr>
        <w:t>, se notificó el acuerdo mediante el cual se amplió el plazo para emitir resolución por un término de 15 días adicionales.</w:t>
      </w:r>
    </w:p>
    <w:p w:rsidR="00477DD3" w:rsidRDefault="00477DD3">
      <w:pPr>
        <w:spacing w:line="360" w:lineRule="auto"/>
        <w:ind w:right="-734"/>
        <w:jc w:val="both"/>
        <w:rPr>
          <w:rFonts w:ascii="Palatino Linotype" w:eastAsia="Palatino Linotype" w:hAnsi="Palatino Linotype" w:cs="Palatino Linotype"/>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lastRenderedPageBreak/>
        <w:t xml:space="preserve">Finalmente, la Comisionada Ponente mediante acuerdo del </w:t>
      </w:r>
      <w:r>
        <w:rPr>
          <w:rFonts w:ascii="Palatino Linotype" w:eastAsia="Palatino Linotype" w:hAnsi="Palatino Linotype" w:cs="Palatino Linotype"/>
          <w:b/>
          <w:bCs/>
        </w:rPr>
        <w:t>veinticuatro de abril de dos mil veintiséis</w:t>
      </w:r>
      <w:r>
        <w:rPr>
          <w:rFonts w:ascii="Palatino Linotype" w:eastAsia="Palatino Linotype" w:hAnsi="Palatino Linotype" w:cs="Palatino Linotype"/>
        </w:rPr>
        <w:t>, decretó el cierre de instrucción del expediente, por lo que no habiendo más que hacer constar, y</w:t>
      </w:r>
      <w:r>
        <w:rPr>
          <w:rFonts w:ascii="Palatino Linotype" w:eastAsia="Palatino Linotype" w:hAnsi="Palatino Linotype" w:cs="Palatino Linotype"/>
          <w:color w:val="000000"/>
        </w:rPr>
        <w:t xml:space="preserve"> </w:t>
      </w:r>
    </w:p>
    <w:p w:rsidR="00477DD3" w:rsidRDefault="00D27684">
      <w:pPr>
        <w:keepNext/>
        <w:keepLines/>
        <w:spacing w:line="360" w:lineRule="auto"/>
        <w:ind w:right="-734"/>
        <w:jc w:val="center"/>
        <w:rPr>
          <w:rFonts w:ascii="Palatino Linotype" w:eastAsia="Palatino Linotype" w:hAnsi="Palatino Linotype" w:cs="Palatino Linotype"/>
          <w:b/>
          <w:bCs/>
        </w:rPr>
      </w:pPr>
      <w:bookmarkStart w:id="3" w:name="_heading=h.nycjt733ex46" w:colFirst="0" w:colLast="0"/>
      <w:bookmarkEnd w:id="3"/>
      <w:r>
        <w:rPr>
          <w:rFonts w:ascii="Palatino Linotype" w:eastAsia="Palatino Linotype" w:hAnsi="Palatino Linotype" w:cs="Palatino Linotype"/>
          <w:b/>
          <w:bCs/>
        </w:rPr>
        <w:t>C O N S I D E R A N D O</w:t>
      </w:r>
    </w:p>
    <w:p w:rsidR="00477DD3" w:rsidRDefault="00477DD3">
      <w:pPr>
        <w:keepNext/>
        <w:keepLines/>
        <w:spacing w:line="360" w:lineRule="auto"/>
        <w:ind w:right="-734"/>
        <w:jc w:val="center"/>
        <w:rPr>
          <w:rFonts w:ascii="Palatino Linotype" w:eastAsia="Palatino Linotype" w:hAnsi="Palatino Linotype" w:cs="Palatino Linotype"/>
          <w:b/>
          <w:bCs/>
        </w:rPr>
      </w:pPr>
    </w:p>
    <w:p w:rsidR="00477DD3" w:rsidRDefault="00D27684">
      <w:pPr>
        <w:keepNext/>
        <w:keepLines/>
        <w:spacing w:line="360" w:lineRule="auto"/>
        <w:ind w:right="-734"/>
        <w:rPr>
          <w:rFonts w:ascii="Palatino Linotype" w:eastAsia="Palatino Linotype" w:hAnsi="Palatino Linotype" w:cs="Palatino Linotype"/>
          <w:b/>
          <w:bCs/>
        </w:rPr>
      </w:pPr>
      <w:bookmarkStart w:id="4" w:name="_heading=h.vvdyk6mpgkhy" w:colFirst="0" w:colLast="0"/>
      <w:bookmarkEnd w:id="4"/>
      <w:r>
        <w:rPr>
          <w:rFonts w:ascii="Palatino Linotype" w:eastAsia="Palatino Linotype" w:hAnsi="Palatino Linotype" w:cs="Palatino Linotype"/>
          <w:b/>
          <w:bCs/>
        </w:rPr>
        <w:t>PRIMERO. De la competencia.</w:t>
      </w:r>
    </w:p>
    <w:p w:rsidR="00477DD3" w:rsidRDefault="00D27684">
      <w:pPr>
        <w:numPr>
          <w:ilvl w:val="0"/>
          <w:numId w:val="2"/>
        </w:numPr>
        <w:pBdr>
          <w:top w:val="nil"/>
          <w:left w:val="nil"/>
          <w:bottom w:val="nil"/>
          <w:right w:val="nil"/>
          <w:between w:val="nil"/>
        </w:pBdr>
        <w:spacing w:before="240" w:after="240" w:line="360" w:lineRule="auto"/>
        <w:ind w:left="0" w:right="-734" w:firstLine="0"/>
        <w:jc w:val="both"/>
      </w:pPr>
      <w:r>
        <w:rPr>
          <w:rFonts w:ascii="Palatino Linotype" w:eastAsia="Palatino Linotype" w:hAnsi="Palatino Linotype" w:cs="Palatino Linotype"/>
          <w:color w:val="000000"/>
          <w:highlight w:val="white"/>
        </w:rPr>
        <w:t>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highlight w:val="white"/>
        </w:rPr>
        <w:t>Constitución Política de los Estados Unidos Mexicanos</w:t>
      </w:r>
      <w:r>
        <w:rPr>
          <w:rFonts w:ascii="Palatino Linotype" w:eastAsia="Palatino Linotype" w:hAnsi="Palatino Linotype" w:cs="Palatino Linotype"/>
          <w:color w:val="000000"/>
          <w:highlight w:val="white"/>
        </w:rPr>
        <w:t>; 5, párrafos trigésimo segundo, trigésimo tercero y trigésimo cuarto fracciones IV y V de la </w:t>
      </w:r>
      <w:r>
        <w:rPr>
          <w:rFonts w:ascii="Palatino Linotype" w:eastAsia="Palatino Linotype" w:hAnsi="Palatino Linotype" w:cs="Palatino Linotype"/>
          <w:b/>
          <w:bCs/>
          <w:color w:val="000000"/>
          <w:highlight w:val="white"/>
        </w:rPr>
        <w:t>Constitución Política del Estado Libre y Soberano de México</w:t>
      </w:r>
      <w:r>
        <w:rPr>
          <w:rFonts w:ascii="Palatino Linotype" w:eastAsia="Palatino Linotype" w:hAnsi="Palatino Linotype" w:cs="Palatino Linotype"/>
          <w:color w:val="000000"/>
          <w:highlight w:val="white"/>
        </w:rPr>
        <w:t>; artículos 1, 2 fracción II, 13, 29, 36 fracciones I y II, 176, 178, 179, 181 párrafo tercero y 185 de la </w:t>
      </w:r>
      <w:r>
        <w:rPr>
          <w:rFonts w:ascii="Palatino Linotype" w:eastAsia="Palatino Linotype" w:hAnsi="Palatino Linotype" w:cs="Palatino Linotype"/>
          <w:b/>
          <w:bCs/>
          <w:color w:val="000000"/>
          <w:highlight w:val="white"/>
        </w:rPr>
        <w:t>Ley de Transparencia y Acceso a la Información Pública del Estado de México y Municipios</w:t>
      </w:r>
      <w:r>
        <w:rPr>
          <w:rFonts w:ascii="Palatino Linotype" w:eastAsia="Palatino Linotype" w:hAnsi="Palatino Linotype" w:cs="Palatino Linotype"/>
          <w:color w:val="000000"/>
          <w:highlight w:val="white"/>
        </w:rPr>
        <w:t>; y 7, 9 fracciones I y XXIII, y 11 del </w:t>
      </w:r>
      <w:r>
        <w:rPr>
          <w:rFonts w:ascii="Palatino Linotype" w:eastAsia="Palatino Linotype" w:hAnsi="Palatino Linotype" w:cs="Palatino Linotype"/>
          <w:b/>
          <w:bCs/>
          <w:color w:val="000000"/>
          <w:highlight w:val="white"/>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highlight w:val="white"/>
        </w:rPr>
        <w:t>.</w:t>
      </w:r>
    </w:p>
    <w:p w:rsidR="00477DD3" w:rsidRDefault="00D27684">
      <w:pPr>
        <w:keepNext/>
        <w:keepLines/>
        <w:spacing w:line="360" w:lineRule="auto"/>
        <w:ind w:right="-734"/>
        <w:rPr>
          <w:rFonts w:ascii="Palatino Linotype" w:eastAsia="Palatino Linotype" w:hAnsi="Palatino Linotype" w:cs="Palatino Linotype"/>
          <w:b/>
          <w:bCs/>
        </w:rPr>
      </w:pPr>
      <w:bookmarkStart w:id="5" w:name="_heading=h.etnyxwv71yh3" w:colFirst="0" w:colLast="0"/>
      <w:bookmarkEnd w:id="5"/>
      <w:r>
        <w:rPr>
          <w:rFonts w:ascii="Palatino Linotype" w:eastAsia="Palatino Linotype" w:hAnsi="Palatino Linotype" w:cs="Palatino Linotype"/>
          <w:b/>
          <w:bCs/>
        </w:rPr>
        <w:t>SEGUNDO. De la oportunidad y procedencia.</w:t>
      </w: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día </w:t>
      </w:r>
      <w:r>
        <w:rPr>
          <w:rFonts w:ascii="Palatino Linotype" w:eastAsia="Palatino Linotype" w:hAnsi="Palatino Linotype" w:cs="Palatino Linotype"/>
          <w:b/>
          <w:bCs/>
        </w:rPr>
        <w:t>diecinueve de enero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veinte de enero al diez de febrero de dos mil veintiséis</w:t>
      </w:r>
      <w:r>
        <w:rPr>
          <w:rFonts w:ascii="Palatino Linotype" w:eastAsia="Palatino Linotype" w:hAnsi="Palatino Linotype" w:cs="Palatino Linotype"/>
        </w:rPr>
        <w:t xml:space="preserve">, de acuerdo al calendario oficial del Instituto de Transparencia del Estado de México y Municipios; en consecuencia, si el particular presentó su inconformidad el día </w:t>
      </w:r>
      <w:r>
        <w:rPr>
          <w:rFonts w:ascii="Palatino Linotype" w:eastAsia="Palatino Linotype" w:hAnsi="Palatino Linotype" w:cs="Palatino Linotype"/>
          <w:b/>
          <w:bCs/>
        </w:rPr>
        <w:t xml:space="preserve">veintitrés de </w:t>
      </w:r>
      <w:r>
        <w:rPr>
          <w:rFonts w:ascii="Palatino Linotype" w:eastAsia="Palatino Linotype" w:hAnsi="Palatino Linotype" w:cs="Palatino Linotype"/>
          <w:b/>
          <w:bCs/>
        </w:rPr>
        <w:lastRenderedPageBreak/>
        <w:t>enero de dos mil veintiséis</w:t>
      </w:r>
      <w:r>
        <w:rPr>
          <w:rFonts w:ascii="Palatino Linotype" w:eastAsia="Palatino Linotype" w:hAnsi="Palatino Linotype" w:cs="Palatino Linotype"/>
        </w:rPr>
        <w:t xml:space="preserv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477DD3" w:rsidRDefault="00477DD3">
      <w:pPr>
        <w:spacing w:line="360" w:lineRule="auto"/>
        <w:ind w:right="-734"/>
        <w:jc w:val="both"/>
        <w:rPr>
          <w:rFonts w:ascii="Palatino Linotype" w:eastAsia="Palatino Linotype" w:hAnsi="Palatino Linotype" w:cs="Palatino Linotype"/>
        </w:rPr>
      </w:pPr>
    </w:p>
    <w:p w:rsidR="00477DD3" w:rsidRDefault="00D27684">
      <w:pPr>
        <w:numPr>
          <w:ilvl w:val="0"/>
          <w:numId w:val="2"/>
        </w:numPr>
        <w:spacing w:line="360" w:lineRule="auto"/>
        <w:ind w:left="0" w:right="-734"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 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b/>
          <w:bCs/>
          <w:color w:val="000000"/>
        </w:rPr>
      </w:pPr>
    </w:p>
    <w:p w:rsidR="00477DD3" w:rsidRDefault="00D27684">
      <w:pPr>
        <w:keepNext/>
        <w:keepLines/>
        <w:spacing w:line="360" w:lineRule="auto"/>
        <w:ind w:right="-734"/>
        <w:rPr>
          <w:rFonts w:ascii="Palatino Linotype" w:eastAsia="Palatino Linotype" w:hAnsi="Palatino Linotype" w:cs="Palatino Linotype"/>
          <w:b/>
          <w:bCs/>
        </w:rPr>
      </w:pPr>
      <w:bookmarkStart w:id="6" w:name="_heading=h.khldgl3s9huc" w:colFirst="0" w:colLast="0"/>
      <w:bookmarkEnd w:id="6"/>
      <w:r>
        <w:rPr>
          <w:rFonts w:ascii="Palatino Linotype" w:eastAsia="Palatino Linotype" w:hAnsi="Palatino Linotype" w:cs="Palatino Linotype"/>
          <w:b/>
          <w:bCs/>
        </w:rPr>
        <w:t>TERCERO. Planteamiento de la Litis.</w:t>
      </w: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El particular </w:t>
      </w:r>
      <w:r>
        <w:rPr>
          <w:rFonts w:ascii="Palatino Linotype" w:eastAsia="Palatino Linotype" w:hAnsi="Palatino Linotype" w:cs="Palatino Linotype"/>
        </w:rPr>
        <w:t>solicitó</w:t>
      </w:r>
      <w:r>
        <w:rPr>
          <w:rFonts w:ascii="Palatino Linotype" w:eastAsia="Palatino Linotype" w:hAnsi="Palatino Linotype" w:cs="Palatino Linotype"/>
          <w:color w:val="000000"/>
        </w:rPr>
        <w:t xml:space="preserve"> de los </w:t>
      </w:r>
      <w:r>
        <w:rPr>
          <w:rFonts w:ascii="Palatino Linotype" w:eastAsia="Palatino Linotype" w:hAnsi="Palatino Linotype" w:cs="Palatino Linotype"/>
          <w:b/>
          <w:bCs/>
          <w:color w:val="000000"/>
        </w:rPr>
        <w:t>ejercicios fiscales 2024 y 2025</w:t>
      </w:r>
      <w:r>
        <w:rPr>
          <w:rFonts w:ascii="Palatino Linotype" w:eastAsia="Palatino Linotype" w:hAnsi="Palatino Linotype" w:cs="Palatino Linotype"/>
          <w:color w:val="000000"/>
        </w:rPr>
        <w:t xml:space="preserve"> la siguiente información:</w:t>
      </w:r>
    </w:p>
    <w:p w:rsidR="00477DD3" w:rsidRDefault="00D27684">
      <w:pPr>
        <w:numPr>
          <w:ilvl w:val="0"/>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Listado de Programas de apoyo al Desarrollo Económico, Emprendimiento o Turismo</w:t>
      </w:r>
    </w:p>
    <w:p w:rsidR="00477DD3" w:rsidRDefault="00D27684">
      <w:pPr>
        <w:numPr>
          <w:ilvl w:val="2"/>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Presupuesto asignado </w:t>
      </w:r>
    </w:p>
    <w:p w:rsidR="00477DD3" w:rsidRDefault="00D27684">
      <w:pPr>
        <w:numPr>
          <w:ilvl w:val="2"/>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Beneficiarios </w:t>
      </w:r>
    </w:p>
    <w:p w:rsidR="00477DD3" w:rsidRDefault="00D27684">
      <w:pPr>
        <w:numPr>
          <w:ilvl w:val="2"/>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Criterios de Selección</w:t>
      </w:r>
    </w:p>
    <w:p w:rsidR="00477DD3" w:rsidRDefault="00D27684">
      <w:pPr>
        <w:numPr>
          <w:ilvl w:val="2"/>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Padrón de beneficiarios en versión Pública</w:t>
      </w:r>
    </w:p>
    <w:p w:rsidR="00477DD3" w:rsidRDefault="00477DD3">
      <w:pPr>
        <w:pBdr>
          <w:top w:val="nil"/>
          <w:left w:val="nil"/>
          <w:bottom w:val="nil"/>
          <w:right w:val="nil"/>
          <w:between w:val="nil"/>
        </w:pBdr>
        <w:spacing w:line="360" w:lineRule="auto"/>
        <w:ind w:left="1440"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brindó respuesta en términos del numeral 3 de esta resolución. </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ind w:left="0" w:right="-734" w:firstLine="0"/>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por la entrega de información incompleta, en los siguientes términos: </w:t>
      </w:r>
      <w:r>
        <w:rPr>
          <w:rFonts w:ascii="Palatino Linotype" w:eastAsia="Palatino Linotype" w:hAnsi="Palatino Linotype" w:cs="Palatino Linotype"/>
          <w:i/>
          <w:iCs/>
          <w:color w:val="000000"/>
        </w:rPr>
        <w:t xml:space="preserve">“Presenté solicitud de acceso a la información pública, mediante la cual requerí el listado completo de programas de apoyo al desarrollo económico, emprendimiento o turismo ejecutados en los años 2024 y 2025, indicando: Presupuesto asignado Criterios de selección Número de beneficiarios Padrón de beneficiarios en versión pública El sujeto obligado emitió respuesta mediante </w:t>
      </w:r>
      <w:r>
        <w:rPr>
          <w:rFonts w:ascii="Palatino Linotype" w:eastAsia="Palatino Linotype" w:hAnsi="Palatino Linotype" w:cs="Palatino Linotype"/>
          <w:i/>
          <w:iCs/>
          <w:color w:val="000000"/>
        </w:rPr>
        <w:lastRenderedPageBreak/>
        <w:t>oficio DDYFE/024/2026, en la cual proporcionó únicamente una tabla resumida, sin entregar los documentos públicos solicitados. La respuesta no satisface el contenido de la solicitud, ni acredita una búsqueda exhaustiva, motivo por el cual se interpone el presente recurso. AGRAVIOS PRIMERO. RESPUESTA INCOMPLETA Y FALTA DE EXHAUSTIVIDAD El sujeto obligado omitió entregar el padrón de beneficiarios en versión pública, limitándose a señalar cifras globales, sin proporcionar documentos oficiales, contraviniendo los artículos 11, 15, 92 y 111 de la Ley de Transparencia del Estado de México y Municipios. El derecho de acceso a la información no se satisface con datos genéricos, sino con la entrega de documentos públicos existentes. SEGUNDO. OMISIÓN DE BÚSQUEDA EXHAUSTIVA Y FALTA DE FUNDAMENTACIÓN La respuesta impugnada no acredita la realización de una búsqueda exhaustiva, al no señalar: Áreas administrativas consultadas Archivos revisados Existencia o inexistencia formal de documentación adicional Tampoco se emitió pronunciamiento fundado y motivado respecto de la inexistencia parcial de información correspondiente al ejercicio 2025 ni de programas relacionados con emprendimiento o turismo. TERCERO. CRITERIOS DE SELECCIÓN DEFICIENTES Los criterios de selección informados son vagos, genéricos e insuficientes, ya que se limitan a requisitos mínimos como identificación o registro, sin describir: Reglas de operación Mecanismos de priorización Procedimientos de dictaminación Lo anterior impide verificar la correcta aplicación de los recursos públicos. CUARTO. VIOLACIÓN AL PRINCIPIO DE MÁXIMA PUBLICIDAD Al no entregar versiones públicas del padrón de beneficiarios ni la documentación soporte de los programas, el sujeto obligado restringe indebidamente el acceso a información pública, en contravención de los artículos 4 y 11 de la Ley de Transparencia aplicable. Son aplicables los artículos 6° y 8° de la Constitución Política de los Estados Unidos Mexicanos; así como los artículos 4, 11, 15, 92, 111, 112, 150, 151, 152, 160, 162, 176, 177, 178, 179 y 180 de la Ley de Transparencia y Acceso a la Información Pública del Estado de México y Municipios. PETICIONES Por lo expuesto, solicito respetuosamente al INFOEM: Se declare fundado el presente recurso de revisión, al acreditarse una respuesta incompleta y no exhaustiva. Se ordene al H. Ayuntamiento de Tepotzotlán emitir una nueva respuesta, debidamente fundada y motivada. Se requiera la entrega del padrón de beneficiarios en versión pública, aplicando testado estricto, proporcional y debidamente justificado. Se instruya al Comité de Transparencia para que, en caso de alegarse inexistencia, emita el acta correspondiente conforme a derecho. Se aperciba a la Unidad de Transparencia para que dé cumplimiento bajo el principio de máxima publicidad. Se dé vista al Órgano Interno de Control, a fin de que determine las responsabilidades administrativas correspondientes...” (Sic)</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FF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V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color w:val="000000"/>
        </w:rPr>
        <w:lastRenderedPageBreak/>
        <w:t xml:space="preserve">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w:t>
      </w:r>
      <w:r>
        <w:rPr>
          <w:rFonts w:ascii="Palatino Linotype" w:eastAsia="Palatino Linotype" w:hAnsi="Palatino Linotype" w:cs="Palatino Linotype"/>
          <w:b/>
          <w:bCs/>
          <w:color w:val="000000"/>
        </w:rPr>
        <w:t xml:space="preserve">la entrega de información incompleta </w:t>
      </w:r>
      <w:r>
        <w:rPr>
          <w:rFonts w:ascii="Palatino Linotype" w:eastAsia="Palatino Linotype" w:hAnsi="Palatino Linotype" w:cs="Palatino Linotype"/>
          <w:color w:val="000000"/>
        </w:rPr>
        <w:t xml:space="preserve">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pStyle w:val="Ttulo1"/>
        <w:spacing w:before="0" w:line="360" w:lineRule="auto"/>
        <w:ind w:right="-734"/>
        <w:rPr>
          <w:rFonts w:ascii="Palatino Linotype" w:eastAsia="Palatino Linotype" w:hAnsi="Palatino Linotype" w:cs="Palatino Linotype"/>
          <w:b/>
          <w:bCs/>
          <w:color w:val="000000"/>
          <w:sz w:val="24"/>
          <w:szCs w:val="24"/>
        </w:rPr>
      </w:pPr>
      <w:bookmarkStart w:id="7" w:name="_heading=h.exp1f2h0sjn9" w:colFirst="0" w:colLast="0"/>
      <w:bookmarkEnd w:id="7"/>
      <w:r>
        <w:rPr>
          <w:rFonts w:ascii="Palatino Linotype" w:eastAsia="Palatino Linotype" w:hAnsi="Palatino Linotype" w:cs="Palatino Linotype"/>
          <w:b/>
          <w:bCs/>
          <w:color w:val="000000"/>
          <w:sz w:val="24"/>
          <w:szCs w:val="24"/>
        </w:rPr>
        <w:t>CUARTO. Del estudio y resolución del recurso de revisión.</w:t>
      </w:r>
    </w:p>
    <w:p w:rsidR="00477DD3" w:rsidRDefault="00D27684">
      <w:pPr>
        <w:keepNext/>
        <w:keepLines/>
        <w:numPr>
          <w:ilvl w:val="0"/>
          <w:numId w:val="8"/>
        </w:numPr>
        <w:spacing w:after="240" w:line="360" w:lineRule="auto"/>
        <w:ind w:left="786" w:right="-734"/>
        <w:rPr>
          <w:rFonts w:ascii="Palatino Linotype" w:eastAsia="Palatino Linotype" w:hAnsi="Palatino Linotype" w:cs="Palatino Linotype"/>
          <w:b/>
          <w:bCs/>
        </w:rPr>
      </w:pPr>
      <w:r>
        <w:rPr>
          <w:rFonts w:ascii="Palatino Linotype" w:eastAsia="Palatino Linotype" w:hAnsi="Palatino Linotype" w:cs="Palatino Linotype"/>
          <w:b/>
          <w:bCs/>
        </w:rPr>
        <w:t>Del derecho de acceso a la información.</w:t>
      </w: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w:t>
      </w:r>
      <w:r>
        <w:rPr>
          <w:rFonts w:ascii="Palatino Linotype" w:eastAsia="Palatino Linotype" w:hAnsi="Palatino Linotype" w:cs="Palatino Linotype"/>
          <w:i/>
          <w:iCs/>
          <w:color w:val="000000"/>
        </w:rPr>
        <w:lastRenderedPageBreak/>
        <w:t>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477DD3" w:rsidRDefault="00D27684">
      <w:pPr>
        <w:tabs>
          <w:tab w:val="left" w:pos="7655"/>
        </w:tabs>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477DD3" w:rsidRDefault="00D27684">
      <w:pPr>
        <w:tabs>
          <w:tab w:val="left" w:pos="7655"/>
        </w:tabs>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77DD3" w:rsidRDefault="00D27684">
      <w:pPr>
        <w:tabs>
          <w:tab w:val="left" w:pos="7655"/>
        </w:tabs>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477DD3" w:rsidRDefault="00D27684">
      <w:pPr>
        <w:tabs>
          <w:tab w:val="left" w:pos="7655"/>
        </w:tabs>
        <w:ind w:left="567" w:right="-734"/>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FC6093" w:rsidRDefault="00FC6093">
      <w:pPr>
        <w:tabs>
          <w:tab w:val="left" w:pos="7655"/>
        </w:tabs>
        <w:ind w:left="567" w:right="-734"/>
        <w:jc w:val="both"/>
        <w:rPr>
          <w:rFonts w:ascii="Palatino Linotype" w:eastAsia="Palatino Linotype" w:hAnsi="Palatino Linotype" w:cs="Palatino Linotype"/>
        </w:rPr>
      </w:pPr>
    </w:p>
    <w:p w:rsidR="00FC6093" w:rsidRDefault="00FC6093">
      <w:pPr>
        <w:tabs>
          <w:tab w:val="left" w:pos="7655"/>
        </w:tabs>
        <w:ind w:left="567" w:right="-734"/>
        <w:jc w:val="both"/>
        <w:rPr>
          <w:rFonts w:ascii="Palatino Linotype" w:eastAsia="Palatino Linotype" w:hAnsi="Palatino Linotype" w:cs="Palatino Linotype"/>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477DD3" w:rsidRDefault="00D27684">
      <w:pPr>
        <w:spacing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Constitución Política de los Estados Unidos Mexicanos</w:t>
      </w:r>
    </w:p>
    <w:p w:rsidR="00477DD3" w:rsidRDefault="00D27684">
      <w:pPr>
        <w:spacing w:before="240"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477DD3" w:rsidRDefault="00D27684">
      <w:pPr>
        <w:spacing w:before="240"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477DD3" w:rsidRDefault="00477DD3">
      <w:pPr>
        <w:tabs>
          <w:tab w:val="left" w:pos="567"/>
        </w:tabs>
        <w:spacing w:before="240"/>
        <w:ind w:left="567" w:right="-734"/>
        <w:jc w:val="both"/>
        <w:rPr>
          <w:rFonts w:ascii="Palatino Linotype" w:eastAsia="Palatino Linotype" w:hAnsi="Palatino Linotype" w:cs="Palatino Linotype"/>
          <w:b/>
          <w:bCs/>
          <w:i/>
          <w:iCs/>
        </w:rPr>
      </w:pPr>
    </w:p>
    <w:p w:rsidR="00477DD3" w:rsidRDefault="00D27684">
      <w:pPr>
        <w:spacing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477DD3" w:rsidRDefault="00D27684">
      <w:pPr>
        <w:numPr>
          <w:ilvl w:val="0"/>
          <w:numId w:val="2"/>
        </w:numPr>
        <w:spacing w:before="240" w:line="360" w:lineRule="auto"/>
        <w:ind w:left="0" w:right="-734"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477DD3" w:rsidRDefault="00477DD3">
      <w:pPr>
        <w:spacing w:before="240" w:line="360" w:lineRule="auto"/>
        <w:ind w:right="-734"/>
        <w:jc w:val="both"/>
        <w:rPr>
          <w:rFonts w:ascii="Palatino Linotype" w:eastAsia="Palatino Linotype" w:hAnsi="Palatino Linotype" w:cs="Palatino Linotype"/>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477DD3" w:rsidRDefault="00D27684">
      <w:pPr>
        <w:keepNext/>
        <w:keepLines/>
        <w:spacing w:after="240" w:line="360" w:lineRule="auto"/>
        <w:ind w:right="-734"/>
        <w:rPr>
          <w:rFonts w:ascii="Palatino Linotype" w:eastAsia="Palatino Linotype" w:hAnsi="Palatino Linotype" w:cs="Palatino Linotype"/>
          <w:b/>
          <w:bCs/>
        </w:rPr>
      </w:pPr>
      <w:r>
        <w:rPr>
          <w:rFonts w:ascii="Palatino Linotype" w:eastAsia="Palatino Linotype" w:hAnsi="Palatino Linotype" w:cs="Palatino Linotype"/>
          <w:b/>
          <w:bCs/>
        </w:rPr>
        <w:lastRenderedPageBreak/>
        <w:t>II. De la información solicitada y la respuesta del SUJETO OBLIGADO</w:t>
      </w: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w:t>
      </w:r>
      <w:r>
        <w:rPr>
          <w:rFonts w:ascii="Palatino Linotype" w:eastAsia="Palatino Linotype" w:hAnsi="Palatino Linotype" w:cs="Palatino Linotype"/>
          <w:color w:val="000000"/>
          <w:highlight w:val="white"/>
        </w:rPr>
        <w:t>ido en el artículo 8 de la Ley de Transparencia y Acceso a la Información Pública del Estado de México y Municipios.</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Para efectos de estudio es conveniente reiterar que el solicitante requirió de los </w:t>
      </w:r>
      <w:r>
        <w:rPr>
          <w:rFonts w:ascii="Palatino Linotype" w:eastAsia="Palatino Linotype" w:hAnsi="Palatino Linotype" w:cs="Palatino Linotype"/>
          <w:b/>
          <w:bCs/>
          <w:color w:val="000000"/>
          <w:highlight w:val="white"/>
        </w:rPr>
        <w:t>ejercicios fiscales 2024 y 2025</w:t>
      </w:r>
      <w:r>
        <w:rPr>
          <w:rFonts w:ascii="Palatino Linotype" w:eastAsia="Palatino Linotype" w:hAnsi="Palatino Linotype" w:cs="Palatino Linotype"/>
          <w:color w:val="000000"/>
          <w:highlight w:val="white"/>
        </w:rPr>
        <w:t xml:space="preserve"> la siguiente información:</w:t>
      </w:r>
    </w:p>
    <w:p w:rsidR="00477DD3" w:rsidRDefault="00D27684">
      <w:pPr>
        <w:numPr>
          <w:ilvl w:val="0"/>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Listado de Programas de apoyo al Desarrollo Económico, Emprendimiento o Turismo</w:t>
      </w:r>
    </w:p>
    <w:p w:rsidR="00477DD3" w:rsidRDefault="00D27684">
      <w:pPr>
        <w:numPr>
          <w:ilvl w:val="2"/>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Presupuesto asignado </w:t>
      </w:r>
    </w:p>
    <w:p w:rsidR="00477DD3" w:rsidRDefault="00D27684">
      <w:pPr>
        <w:numPr>
          <w:ilvl w:val="2"/>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Beneficiarios </w:t>
      </w:r>
    </w:p>
    <w:p w:rsidR="00477DD3" w:rsidRDefault="00D27684">
      <w:pPr>
        <w:numPr>
          <w:ilvl w:val="2"/>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Criterios de Selección</w:t>
      </w:r>
    </w:p>
    <w:p w:rsidR="00477DD3" w:rsidRDefault="00D27684">
      <w:pPr>
        <w:numPr>
          <w:ilvl w:val="2"/>
          <w:numId w:val="9"/>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Padrón de beneficiarios en versión Pública</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De lo anterior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a través de la Directora de Desarrollo y Fomento Económico del Ayuntamiento de Tepotzotlán y servidora pública habilitada informó que los Programas ejecutados durante el periodo que se solicita fueron la Iniciación a la Engorda de Porcina, Iniciación a la Reproducción Ovina y Certificado Parcelario, en los cuales tomaban como Criterios de Selección la entrega de los requisitos como la Credencial para Votar expedida por el Instituto Nacional Electoral, Formato de Registro, Ser Productor Porcino o Pecuario, según sea el beneficio, demostrar contar con instalaciones para los </w:t>
      </w:r>
      <w:r>
        <w:rPr>
          <w:rFonts w:ascii="Palatino Linotype" w:eastAsia="Palatino Linotype" w:hAnsi="Palatino Linotype" w:cs="Palatino Linotype"/>
          <w:color w:val="000000"/>
        </w:rPr>
        <w:lastRenderedPageBreak/>
        <w:t xml:space="preserve">animales y el certificado parcelario; así mismo refirió que para el año 2024 se otorgó un presupuesto de $345,000 pesos para el Programa denominado iniciación a la engorda de porcina, beneficiando a 80 personas, $1, 100, 000 pesos destinado al programa Iniciación a la reproducción ovina, del que se benefició a 100 habitantes del municipio, mientras que para el Certificado parcelario se otorgaron $ 6,600,300 pesos, otorgando el beneficio a 260 pobladores; mientras que para el ejercicio fiscal 2025 de otorgó un presupuesto de $345,000 para la iniciación de engorda porcina, beneficiando a 70 habitantes; presupuesto de $4, 445,617 para el programa de certificado parcelario, obteniendo 170 beneficiarios, no obstante en relación al programa denominado iniciación a la reproducción ovina respecto ejercicio fiscal 2025,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omitió pronunciarse.</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tabs>
          <w:tab w:val="left" w:pos="0"/>
          <w:tab w:val="left" w:pos="567"/>
        </w:tabs>
        <w:spacing w:line="360" w:lineRule="auto"/>
        <w:ind w:left="0" w:right="-734" w:firstLine="0"/>
        <w:jc w:val="both"/>
      </w:pPr>
      <w:r>
        <w:rPr>
          <w:rFonts w:ascii="Palatino Linotype" w:eastAsia="Palatino Linotype" w:hAnsi="Palatino Linotype" w:cs="Palatino Linotype"/>
        </w:rPr>
        <w:t xml:space="preserve">Precisado lo anterior, se procede al análisis del requerimiento planteado por la persona solicitante y la respuesta proporcionada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En este sentido se inserta el siguiente cuadro de análisis:</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tbl>
      <w:tblPr>
        <w:tblStyle w:val="a"/>
        <w:tblpPr w:leftFromText="141" w:rightFromText="141" w:vertAnchor="text" w:tblpX="137" w:tblpY="1"/>
        <w:tblW w:w="96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5"/>
        <w:gridCol w:w="2940"/>
        <w:gridCol w:w="2447"/>
        <w:gridCol w:w="1918"/>
      </w:tblGrid>
      <w:tr w:rsidR="00477DD3">
        <w:tc>
          <w:tcPr>
            <w:tcW w:w="2385" w:type="dxa"/>
            <w:shd w:val="clear" w:color="auto" w:fill="D9D9D9"/>
          </w:tcPr>
          <w:p w:rsidR="00477DD3" w:rsidRDefault="00D27684" w:rsidP="00FC6093">
            <w:pPr>
              <w:pBdr>
                <w:top w:val="nil"/>
                <w:left w:val="nil"/>
                <w:bottom w:val="nil"/>
                <w:right w:val="nil"/>
                <w:between w:val="nil"/>
              </w:pBdr>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Información Solicitada </w:t>
            </w:r>
          </w:p>
        </w:tc>
        <w:tc>
          <w:tcPr>
            <w:tcW w:w="2940" w:type="dxa"/>
            <w:shd w:val="clear" w:color="auto" w:fill="D9D9D9"/>
          </w:tcPr>
          <w:p w:rsidR="00477DD3" w:rsidRDefault="00D27684" w:rsidP="00FC6093">
            <w:pPr>
              <w:pBdr>
                <w:top w:val="nil"/>
                <w:left w:val="nil"/>
                <w:bottom w:val="nil"/>
                <w:right w:val="nil"/>
                <w:between w:val="nil"/>
              </w:pBdr>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Respuesta </w:t>
            </w:r>
          </w:p>
        </w:tc>
        <w:tc>
          <w:tcPr>
            <w:tcW w:w="2447" w:type="dxa"/>
            <w:shd w:val="clear" w:color="auto" w:fill="D9D9D9"/>
          </w:tcPr>
          <w:p w:rsidR="00477DD3" w:rsidRDefault="00D27684" w:rsidP="00FC6093">
            <w:pPr>
              <w:pBdr>
                <w:top w:val="nil"/>
                <w:left w:val="nil"/>
                <w:bottom w:val="nil"/>
                <w:right w:val="nil"/>
                <w:between w:val="nil"/>
              </w:pBdr>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Informe Justificado </w:t>
            </w:r>
          </w:p>
        </w:tc>
        <w:tc>
          <w:tcPr>
            <w:tcW w:w="1918" w:type="dxa"/>
            <w:shd w:val="clear" w:color="auto" w:fill="D9D9D9"/>
          </w:tcPr>
          <w:p w:rsidR="00477DD3" w:rsidRDefault="00D27684" w:rsidP="00FC6093">
            <w:pPr>
              <w:pBdr>
                <w:top w:val="nil"/>
                <w:left w:val="nil"/>
                <w:bottom w:val="nil"/>
                <w:right w:val="nil"/>
                <w:between w:val="nil"/>
              </w:pBdr>
              <w:jc w:val="center"/>
              <w:rPr>
                <w:rFonts w:ascii="Palatino Linotype" w:eastAsia="Palatino Linotype" w:hAnsi="Palatino Linotype" w:cs="Palatino Linotype"/>
                <w:b/>
                <w:bCs/>
              </w:rPr>
            </w:pPr>
            <w:r>
              <w:rPr>
                <w:rFonts w:ascii="Palatino Linotype" w:eastAsia="Palatino Linotype" w:hAnsi="Palatino Linotype" w:cs="Palatino Linotype"/>
                <w:b/>
                <w:bCs/>
              </w:rPr>
              <w:t>Comentario</w:t>
            </w:r>
          </w:p>
        </w:tc>
      </w:tr>
      <w:tr w:rsidR="00477DD3">
        <w:tc>
          <w:tcPr>
            <w:tcW w:w="9690" w:type="dxa"/>
            <w:gridSpan w:val="4"/>
            <w:shd w:val="clear" w:color="auto" w:fill="auto"/>
          </w:tcPr>
          <w:p w:rsidR="00477DD3" w:rsidRDefault="00D27684" w:rsidP="00FC6093">
            <w:pPr>
              <w:pBdr>
                <w:top w:val="nil"/>
                <w:left w:val="nil"/>
                <w:bottom w:val="nil"/>
                <w:right w:val="nil"/>
                <w:between w:val="nil"/>
              </w:pBdr>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Ejercicio Fiscal 2024</w:t>
            </w:r>
          </w:p>
        </w:tc>
      </w:tr>
      <w:tr w:rsidR="00477DD3">
        <w:tc>
          <w:tcPr>
            <w:tcW w:w="2385" w:type="dxa"/>
          </w:tcPr>
          <w:p w:rsidR="00477DD3" w:rsidRDefault="00D27684" w:rsidP="00FC6093">
            <w:pPr>
              <w:numPr>
                <w:ilvl w:val="0"/>
                <w:numId w:val="17"/>
              </w:numPr>
              <w:ind w:left="22" w:hanging="22"/>
              <w:jc w:val="both"/>
              <w:rPr>
                <w:rFonts w:ascii="Palatino Linotype" w:eastAsia="Palatino Linotype" w:hAnsi="Palatino Linotype" w:cs="Palatino Linotype"/>
              </w:rPr>
            </w:pPr>
            <w:r>
              <w:rPr>
                <w:rFonts w:ascii="Palatino Linotype" w:eastAsia="Palatino Linotype" w:hAnsi="Palatino Linotype" w:cs="Palatino Linotype"/>
              </w:rPr>
              <w:t>Listado de Programas</w:t>
            </w: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 xml:space="preserve">El Servidor Público Habilitado de la Dirección de Desarrollo y Fomento Económico, </w:t>
            </w:r>
            <w:r>
              <w:rPr>
                <w:rFonts w:ascii="Palatino Linotype" w:eastAsia="Palatino Linotype" w:hAnsi="Palatino Linotype" w:cs="Palatino Linotype"/>
              </w:rPr>
              <w:lastRenderedPageBreak/>
              <w:t>informó que los programas de apoyo son:</w:t>
            </w:r>
          </w:p>
          <w:p w:rsidR="00477DD3" w:rsidRDefault="00D27684" w:rsidP="00FC6093">
            <w:pPr>
              <w:numPr>
                <w:ilvl w:val="0"/>
                <w:numId w:val="11"/>
              </w:numPr>
              <w:pBdr>
                <w:top w:val="nil"/>
                <w:left w:val="nil"/>
                <w:bottom w:val="nil"/>
                <w:right w:val="nil"/>
                <w:between w:val="nil"/>
              </w:pBdr>
              <w:ind w:left="2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“Iniciación a la engorda porcina]”</w:t>
            </w:r>
          </w:p>
          <w:p w:rsidR="00477DD3" w:rsidRDefault="00D27684" w:rsidP="00FC6093">
            <w:pPr>
              <w:numPr>
                <w:ilvl w:val="0"/>
                <w:numId w:val="11"/>
              </w:numPr>
              <w:pBdr>
                <w:top w:val="nil"/>
                <w:left w:val="nil"/>
                <w:bottom w:val="nil"/>
                <w:right w:val="nil"/>
                <w:between w:val="nil"/>
              </w:pBdr>
              <w:ind w:left="2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“Iniciación a la reproducción ovina”</w:t>
            </w:r>
          </w:p>
          <w:p w:rsidR="00477DD3" w:rsidRDefault="00D27684" w:rsidP="00FC6093">
            <w:pPr>
              <w:numPr>
                <w:ilvl w:val="0"/>
                <w:numId w:val="11"/>
              </w:numPr>
              <w:pBdr>
                <w:top w:val="nil"/>
                <w:left w:val="nil"/>
                <w:bottom w:val="nil"/>
                <w:right w:val="nil"/>
                <w:between w:val="nil"/>
              </w:pBdr>
              <w:ind w:left="2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“Certificado Parcelario”</w:t>
            </w:r>
          </w:p>
        </w:tc>
        <w:tc>
          <w:tcPr>
            <w:tcW w:w="2447"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lastRenderedPageBreak/>
              <w:t>No presenta Informe Justificado</w:t>
            </w:r>
          </w:p>
        </w:tc>
        <w:tc>
          <w:tcPr>
            <w:tcW w:w="1918"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477DD3">
        <w:tc>
          <w:tcPr>
            <w:tcW w:w="2385" w:type="dxa"/>
          </w:tcPr>
          <w:p w:rsidR="00477DD3" w:rsidRDefault="00D27684" w:rsidP="00FC6093">
            <w:pPr>
              <w:numPr>
                <w:ilvl w:val="0"/>
                <w:numId w:val="17"/>
              </w:numPr>
              <w:ind w:left="22" w:firstLine="0"/>
              <w:jc w:val="both"/>
              <w:rPr>
                <w:rFonts w:ascii="Palatino Linotype" w:eastAsia="Palatino Linotype" w:hAnsi="Palatino Linotype" w:cs="Palatino Linotype"/>
              </w:rPr>
            </w:pPr>
            <w:r>
              <w:rPr>
                <w:rFonts w:ascii="Palatino Linotype" w:eastAsia="Palatino Linotype" w:hAnsi="Palatino Linotype" w:cs="Palatino Linotype"/>
              </w:rPr>
              <w:t>Presupuesto asignado</w:t>
            </w:r>
          </w:p>
        </w:tc>
        <w:tc>
          <w:tcPr>
            <w:tcW w:w="2940" w:type="dxa"/>
          </w:tcPr>
          <w:p w:rsidR="00477DD3" w:rsidRDefault="00D27684" w:rsidP="00FC6093">
            <w:pPr>
              <w:numPr>
                <w:ilvl w:val="0"/>
                <w:numId w:val="12"/>
              </w:numPr>
              <w:pBdr>
                <w:top w:val="nil"/>
                <w:left w:val="nil"/>
                <w:bottom w:val="nil"/>
                <w:right w:val="nil"/>
                <w:between w:val="nil"/>
              </w:pBdr>
              <w:ind w:left="27" w:hanging="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$345,00 para el programa denominado “Iniciación a la engorda porcina”</w:t>
            </w:r>
          </w:p>
          <w:p w:rsidR="00477DD3" w:rsidRDefault="00D27684" w:rsidP="00FC6093">
            <w:pPr>
              <w:numPr>
                <w:ilvl w:val="0"/>
                <w:numId w:val="12"/>
              </w:numPr>
              <w:pBdr>
                <w:top w:val="nil"/>
                <w:left w:val="nil"/>
                <w:bottom w:val="nil"/>
                <w:right w:val="nil"/>
                <w:between w:val="nil"/>
              </w:pBdr>
              <w:ind w:left="27" w:hanging="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$1,100,000 para el programa “Iniciación a la reproducción ovina”</w:t>
            </w:r>
          </w:p>
          <w:p w:rsidR="00477DD3" w:rsidRDefault="00D27684" w:rsidP="00FC6093">
            <w:pPr>
              <w:numPr>
                <w:ilvl w:val="0"/>
                <w:numId w:val="12"/>
              </w:numPr>
              <w:pBdr>
                <w:top w:val="nil"/>
                <w:left w:val="nil"/>
                <w:bottom w:val="nil"/>
                <w:right w:val="nil"/>
                <w:between w:val="nil"/>
              </w:pBdr>
              <w:ind w:left="27" w:hanging="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$6,600,300 para el programa Certificado Parcelario</w:t>
            </w:r>
          </w:p>
        </w:tc>
        <w:tc>
          <w:tcPr>
            <w:tcW w:w="2447"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1918"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477DD3">
        <w:tc>
          <w:tcPr>
            <w:tcW w:w="2385" w:type="dxa"/>
          </w:tcPr>
          <w:p w:rsidR="00477DD3" w:rsidRDefault="00D27684" w:rsidP="00FC6093">
            <w:pPr>
              <w:numPr>
                <w:ilvl w:val="0"/>
                <w:numId w:val="17"/>
              </w:numPr>
              <w:ind w:left="283"/>
              <w:jc w:val="both"/>
              <w:rPr>
                <w:rFonts w:ascii="Palatino Linotype" w:eastAsia="Palatino Linotype" w:hAnsi="Palatino Linotype" w:cs="Palatino Linotype"/>
              </w:rPr>
            </w:pPr>
            <w:r>
              <w:rPr>
                <w:rFonts w:ascii="Palatino Linotype" w:eastAsia="Palatino Linotype" w:hAnsi="Palatino Linotype" w:cs="Palatino Linotype"/>
              </w:rPr>
              <w:t>Beneficiarios</w:t>
            </w:r>
          </w:p>
        </w:tc>
        <w:tc>
          <w:tcPr>
            <w:tcW w:w="2940" w:type="dxa"/>
          </w:tcPr>
          <w:p w:rsidR="00477DD3" w:rsidRDefault="00D27684" w:rsidP="00FC6093">
            <w:pPr>
              <w:numPr>
                <w:ilvl w:val="0"/>
                <w:numId w:val="13"/>
              </w:numPr>
              <w:pBdr>
                <w:top w:val="nil"/>
                <w:left w:val="nil"/>
                <w:bottom w:val="nil"/>
                <w:right w:val="nil"/>
                <w:between w:val="nil"/>
              </w:pBdr>
              <w:ind w:left="0" w:firstLine="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80 personas del programa denominado “Iniciación a la engorda porcina”</w:t>
            </w:r>
          </w:p>
          <w:p w:rsidR="00477DD3" w:rsidRDefault="00D27684" w:rsidP="00FC6093">
            <w:pPr>
              <w:numPr>
                <w:ilvl w:val="0"/>
                <w:numId w:val="13"/>
              </w:numPr>
              <w:pBdr>
                <w:top w:val="nil"/>
                <w:left w:val="nil"/>
                <w:bottom w:val="nil"/>
                <w:right w:val="nil"/>
                <w:between w:val="nil"/>
              </w:pBdr>
              <w:ind w:left="0" w:firstLine="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100 personas para el programa “Iniciación a la reproducción ovina”</w:t>
            </w:r>
          </w:p>
          <w:p w:rsidR="00477DD3" w:rsidRDefault="00D27684" w:rsidP="00FC6093">
            <w:pPr>
              <w:numPr>
                <w:ilvl w:val="0"/>
                <w:numId w:val="13"/>
              </w:numPr>
              <w:pBdr>
                <w:top w:val="nil"/>
                <w:left w:val="nil"/>
                <w:bottom w:val="nil"/>
                <w:right w:val="nil"/>
                <w:between w:val="nil"/>
              </w:pBdr>
              <w:ind w:left="0" w:firstLine="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260 personas para el programa Certificado Parcelario</w:t>
            </w:r>
          </w:p>
        </w:tc>
        <w:tc>
          <w:tcPr>
            <w:tcW w:w="2447"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1918"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477DD3">
        <w:trPr>
          <w:trHeight w:val="200"/>
        </w:trPr>
        <w:tc>
          <w:tcPr>
            <w:tcW w:w="2385" w:type="dxa"/>
            <w:vMerge w:val="restart"/>
          </w:tcPr>
          <w:p w:rsidR="00477DD3" w:rsidRDefault="00D27684" w:rsidP="00FC6093">
            <w:pPr>
              <w:numPr>
                <w:ilvl w:val="0"/>
                <w:numId w:val="17"/>
              </w:numPr>
              <w:ind w:left="2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Criterios de Selección </w:t>
            </w: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Iniciación a la engorda de porcina</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b/>
                <w:bCs/>
              </w:rPr>
              <w:t>*</w:t>
            </w:r>
            <w:r>
              <w:rPr>
                <w:rFonts w:ascii="Palatino Linotype" w:eastAsia="Palatino Linotype" w:hAnsi="Palatino Linotype" w:cs="Palatino Linotype"/>
              </w:rPr>
              <w:t>INE</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*Formato de Registro</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*Ser Productor Porcino</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lastRenderedPageBreak/>
              <w:t>*Contar con Instalaciones para los animales</w:t>
            </w:r>
          </w:p>
        </w:tc>
        <w:tc>
          <w:tcPr>
            <w:tcW w:w="2447" w:type="dxa"/>
            <w:vMerge w:val="restart"/>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lastRenderedPageBreak/>
              <w:t>No presenta Informe Justificado</w:t>
            </w:r>
          </w:p>
        </w:tc>
        <w:tc>
          <w:tcPr>
            <w:tcW w:w="1918" w:type="dxa"/>
            <w:vMerge w:val="restart"/>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477DD3">
        <w:trPr>
          <w:trHeight w:val="200"/>
        </w:trPr>
        <w:tc>
          <w:tcPr>
            <w:tcW w:w="2385"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b/>
                <w:bCs/>
              </w:rPr>
            </w:pP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Iniciación para la reproducción ovina</w:t>
            </w:r>
          </w:p>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w:t>
            </w:r>
            <w:r>
              <w:rPr>
                <w:rFonts w:ascii="Palatino Linotype" w:eastAsia="Palatino Linotype" w:hAnsi="Palatino Linotype" w:cs="Palatino Linotype"/>
              </w:rPr>
              <w:t>INE</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b/>
                <w:bCs/>
              </w:rPr>
              <w:t>*</w:t>
            </w:r>
            <w:r>
              <w:rPr>
                <w:rFonts w:ascii="Palatino Linotype" w:eastAsia="Palatino Linotype" w:hAnsi="Palatino Linotype" w:cs="Palatino Linotype"/>
              </w:rPr>
              <w:t>Registro</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 xml:space="preserve">*Ser Productor Pecuario </w:t>
            </w:r>
          </w:p>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rPr>
              <w:t>*Contar con instalaciones para los animales</w:t>
            </w:r>
          </w:p>
        </w:tc>
        <w:tc>
          <w:tcPr>
            <w:tcW w:w="2447"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b/>
                <w:bCs/>
              </w:rPr>
            </w:pPr>
          </w:p>
        </w:tc>
        <w:tc>
          <w:tcPr>
            <w:tcW w:w="1918"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b/>
                <w:bCs/>
              </w:rPr>
            </w:pPr>
          </w:p>
        </w:tc>
      </w:tr>
      <w:tr w:rsidR="00477DD3">
        <w:trPr>
          <w:trHeight w:val="200"/>
        </w:trPr>
        <w:tc>
          <w:tcPr>
            <w:tcW w:w="2385"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b/>
                <w:bCs/>
              </w:rPr>
            </w:pP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Certificado Parcelario</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*INE</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 xml:space="preserve">*Certificado Parcelario </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*Registro</w:t>
            </w:r>
          </w:p>
        </w:tc>
        <w:tc>
          <w:tcPr>
            <w:tcW w:w="2447"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rPr>
            </w:pPr>
          </w:p>
        </w:tc>
        <w:tc>
          <w:tcPr>
            <w:tcW w:w="1918"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rPr>
            </w:pPr>
          </w:p>
        </w:tc>
      </w:tr>
      <w:tr w:rsidR="00477DD3">
        <w:tc>
          <w:tcPr>
            <w:tcW w:w="2385" w:type="dxa"/>
          </w:tcPr>
          <w:p w:rsidR="00477DD3" w:rsidRDefault="00D27684" w:rsidP="00FC6093">
            <w:pPr>
              <w:numPr>
                <w:ilvl w:val="0"/>
                <w:numId w:val="17"/>
              </w:numPr>
              <w:ind w:left="22" w:firstLine="0"/>
              <w:jc w:val="both"/>
              <w:rPr>
                <w:rFonts w:ascii="Palatino Linotype" w:eastAsia="Palatino Linotype" w:hAnsi="Palatino Linotype" w:cs="Palatino Linotype"/>
              </w:rPr>
            </w:pPr>
            <w:r>
              <w:rPr>
                <w:rFonts w:ascii="Palatino Linotype" w:eastAsia="Palatino Linotype" w:hAnsi="Palatino Linotype" w:cs="Palatino Linotype"/>
              </w:rPr>
              <w:t>Padrón de beneficiarios en versión pública</w:t>
            </w: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 xml:space="preserve">No se Pronunció </w:t>
            </w:r>
          </w:p>
        </w:tc>
        <w:tc>
          <w:tcPr>
            <w:tcW w:w="2447"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1918"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No colma</w:t>
            </w:r>
          </w:p>
        </w:tc>
      </w:tr>
      <w:tr w:rsidR="00477DD3">
        <w:tc>
          <w:tcPr>
            <w:tcW w:w="9690" w:type="dxa"/>
            <w:gridSpan w:val="4"/>
          </w:tcPr>
          <w:p w:rsidR="00477DD3" w:rsidRDefault="00D27684" w:rsidP="00FC6093">
            <w:pPr>
              <w:pBdr>
                <w:top w:val="nil"/>
                <w:left w:val="nil"/>
                <w:bottom w:val="nil"/>
                <w:right w:val="nil"/>
                <w:between w:val="nil"/>
              </w:pBdr>
              <w:jc w:val="center"/>
              <w:rPr>
                <w:rFonts w:ascii="Palatino Linotype" w:eastAsia="Palatino Linotype" w:hAnsi="Palatino Linotype" w:cs="Palatino Linotype"/>
                <w:b/>
                <w:bCs/>
              </w:rPr>
            </w:pPr>
            <w:r>
              <w:rPr>
                <w:rFonts w:ascii="Palatino Linotype" w:eastAsia="Palatino Linotype" w:hAnsi="Palatino Linotype" w:cs="Palatino Linotype"/>
                <w:b/>
                <w:bCs/>
              </w:rPr>
              <w:t>Ejercicio Fiscal 2025</w:t>
            </w:r>
          </w:p>
        </w:tc>
      </w:tr>
      <w:tr w:rsidR="00477DD3">
        <w:tc>
          <w:tcPr>
            <w:tcW w:w="2385" w:type="dxa"/>
          </w:tcPr>
          <w:p w:rsidR="00477DD3" w:rsidRDefault="00D27684" w:rsidP="00FC6093">
            <w:pPr>
              <w:numPr>
                <w:ilvl w:val="0"/>
                <w:numId w:val="17"/>
              </w:numPr>
              <w:ind w:left="22" w:hanging="22"/>
              <w:jc w:val="both"/>
              <w:rPr>
                <w:rFonts w:ascii="Palatino Linotype" w:eastAsia="Palatino Linotype" w:hAnsi="Palatino Linotype" w:cs="Palatino Linotype"/>
              </w:rPr>
            </w:pPr>
            <w:r>
              <w:rPr>
                <w:rFonts w:ascii="Palatino Linotype" w:eastAsia="Palatino Linotype" w:hAnsi="Palatino Linotype" w:cs="Palatino Linotype"/>
              </w:rPr>
              <w:t>Listado de Programas</w:t>
            </w: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El Servidor Público Habilitado de la Dirección de Desarrollo y Fomento Económico, informó que los programas de apoyo son:</w:t>
            </w:r>
          </w:p>
          <w:p w:rsidR="00477DD3" w:rsidRDefault="00D27684" w:rsidP="00FC6093">
            <w:pPr>
              <w:numPr>
                <w:ilvl w:val="0"/>
                <w:numId w:val="11"/>
              </w:numPr>
              <w:pBdr>
                <w:top w:val="nil"/>
                <w:left w:val="nil"/>
                <w:bottom w:val="nil"/>
                <w:right w:val="nil"/>
                <w:between w:val="nil"/>
              </w:pBdr>
              <w:ind w:left="2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“Iniciación a la engorda porcina]”</w:t>
            </w:r>
          </w:p>
          <w:p w:rsidR="00477DD3" w:rsidRDefault="00D27684" w:rsidP="00FC6093">
            <w:pPr>
              <w:numPr>
                <w:ilvl w:val="0"/>
                <w:numId w:val="11"/>
              </w:numPr>
              <w:pBdr>
                <w:top w:val="nil"/>
                <w:left w:val="nil"/>
                <w:bottom w:val="nil"/>
                <w:right w:val="nil"/>
                <w:between w:val="nil"/>
              </w:pBdr>
              <w:ind w:left="2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“Iniciación a la reproducción ovina”</w:t>
            </w:r>
          </w:p>
          <w:p w:rsidR="00477DD3" w:rsidRDefault="00D27684" w:rsidP="00FC6093">
            <w:pPr>
              <w:numPr>
                <w:ilvl w:val="0"/>
                <w:numId w:val="11"/>
              </w:numPr>
              <w:pBdr>
                <w:top w:val="nil"/>
                <w:left w:val="nil"/>
                <w:bottom w:val="nil"/>
                <w:right w:val="nil"/>
                <w:between w:val="nil"/>
              </w:pBdr>
              <w:ind w:left="2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“Certificado Parcelario”</w:t>
            </w:r>
          </w:p>
        </w:tc>
        <w:tc>
          <w:tcPr>
            <w:tcW w:w="2447"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1918"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477DD3">
        <w:tc>
          <w:tcPr>
            <w:tcW w:w="2385" w:type="dxa"/>
          </w:tcPr>
          <w:p w:rsidR="00477DD3" w:rsidRDefault="00D27684" w:rsidP="00FC6093">
            <w:pPr>
              <w:numPr>
                <w:ilvl w:val="0"/>
                <w:numId w:val="17"/>
              </w:numPr>
              <w:ind w:left="22" w:firstLine="0"/>
              <w:jc w:val="both"/>
              <w:rPr>
                <w:rFonts w:ascii="Palatino Linotype" w:eastAsia="Palatino Linotype" w:hAnsi="Palatino Linotype" w:cs="Palatino Linotype"/>
              </w:rPr>
            </w:pPr>
            <w:r>
              <w:rPr>
                <w:rFonts w:ascii="Palatino Linotype" w:eastAsia="Palatino Linotype" w:hAnsi="Palatino Linotype" w:cs="Palatino Linotype"/>
              </w:rPr>
              <w:t>Presupuesto asignado</w:t>
            </w:r>
          </w:p>
        </w:tc>
        <w:tc>
          <w:tcPr>
            <w:tcW w:w="2940" w:type="dxa"/>
          </w:tcPr>
          <w:p w:rsidR="00477DD3" w:rsidRDefault="00D27684" w:rsidP="00FC6093">
            <w:pPr>
              <w:numPr>
                <w:ilvl w:val="0"/>
                <w:numId w:val="12"/>
              </w:numPr>
              <w:pBdr>
                <w:top w:val="nil"/>
                <w:left w:val="nil"/>
                <w:bottom w:val="nil"/>
                <w:right w:val="nil"/>
                <w:between w:val="nil"/>
              </w:pBdr>
              <w:ind w:left="27" w:hanging="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$345,00 para el programa denominado “Iniciación a la engorda porcina”</w:t>
            </w:r>
          </w:p>
          <w:p w:rsidR="00477DD3" w:rsidRDefault="00D27684" w:rsidP="00FC6093">
            <w:pPr>
              <w:numPr>
                <w:ilvl w:val="0"/>
                <w:numId w:val="12"/>
              </w:numPr>
              <w:pBdr>
                <w:top w:val="nil"/>
                <w:left w:val="nil"/>
                <w:bottom w:val="nil"/>
                <w:right w:val="nil"/>
                <w:between w:val="nil"/>
              </w:pBdr>
              <w:ind w:left="27" w:hanging="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el programa “Iniciación a la </w:t>
            </w:r>
            <w:r>
              <w:rPr>
                <w:rFonts w:ascii="Palatino Linotype" w:eastAsia="Palatino Linotype" w:hAnsi="Palatino Linotype" w:cs="Palatino Linotype"/>
                <w:color w:val="000000"/>
              </w:rPr>
              <w:lastRenderedPageBreak/>
              <w:t xml:space="preserve">reproducción ovina”, no se pronunció </w:t>
            </w:r>
          </w:p>
          <w:p w:rsidR="00477DD3" w:rsidRDefault="00D27684" w:rsidP="00FC6093">
            <w:pPr>
              <w:numPr>
                <w:ilvl w:val="0"/>
                <w:numId w:val="12"/>
              </w:numPr>
              <w:pBdr>
                <w:top w:val="nil"/>
                <w:left w:val="nil"/>
                <w:bottom w:val="nil"/>
                <w:right w:val="nil"/>
                <w:between w:val="nil"/>
              </w:pBdr>
              <w:ind w:left="27" w:hanging="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$4, 445,617 para el programa Certificado Parcelario</w:t>
            </w:r>
          </w:p>
        </w:tc>
        <w:tc>
          <w:tcPr>
            <w:tcW w:w="2447"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lastRenderedPageBreak/>
              <w:t>No presenta Informe Justificado</w:t>
            </w:r>
          </w:p>
        </w:tc>
        <w:tc>
          <w:tcPr>
            <w:tcW w:w="1918"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Colma Parcialmente</w:t>
            </w:r>
          </w:p>
        </w:tc>
      </w:tr>
      <w:tr w:rsidR="00477DD3">
        <w:tc>
          <w:tcPr>
            <w:tcW w:w="2385" w:type="dxa"/>
          </w:tcPr>
          <w:p w:rsidR="00477DD3" w:rsidRDefault="00D27684" w:rsidP="00FC6093">
            <w:pPr>
              <w:numPr>
                <w:ilvl w:val="0"/>
                <w:numId w:val="17"/>
              </w:numPr>
              <w:ind w:left="283"/>
              <w:jc w:val="both"/>
              <w:rPr>
                <w:rFonts w:ascii="Palatino Linotype" w:eastAsia="Palatino Linotype" w:hAnsi="Palatino Linotype" w:cs="Palatino Linotype"/>
              </w:rPr>
            </w:pPr>
            <w:r>
              <w:rPr>
                <w:rFonts w:ascii="Palatino Linotype" w:eastAsia="Palatino Linotype" w:hAnsi="Palatino Linotype" w:cs="Palatino Linotype"/>
              </w:rPr>
              <w:t>Beneficiarios</w:t>
            </w:r>
          </w:p>
        </w:tc>
        <w:tc>
          <w:tcPr>
            <w:tcW w:w="2940" w:type="dxa"/>
          </w:tcPr>
          <w:p w:rsidR="00477DD3" w:rsidRDefault="00D27684" w:rsidP="00FC6093">
            <w:pPr>
              <w:numPr>
                <w:ilvl w:val="0"/>
                <w:numId w:val="13"/>
              </w:numPr>
              <w:pBdr>
                <w:top w:val="nil"/>
                <w:left w:val="nil"/>
                <w:bottom w:val="nil"/>
                <w:right w:val="nil"/>
                <w:between w:val="nil"/>
              </w:pBdr>
              <w:ind w:left="0" w:firstLine="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70 personas del programa denominado “Iniciación a la engorda porcina”</w:t>
            </w:r>
          </w:p>
          <w:p w:rsidR="00477DD3" w:rsidRDefault="00D27684" w:rsidP="00FC6093">
            <w:pPr>
              <w:numPr>
                <w:ilvl w:val="0"/>
                <w:numId w:val="13"/>
              </w:numPr>
              <w:pBdr>
                <w:top w:val="nil"/>
                <w:left w:val="nil"/>
                <w:bottom w:val="nil"/>
                <w:right w:val="nil"/>
                <w:between w:val="nil"/>
              </w:pBdr>
              <w:ind w:left="0" w:firstLine="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el programa “Iniciación a la reproducción ovina”, no se pronunció</w:t>
            </w:r>
          </w:p>
          <w:p w:rsidR="00477DD3" w:rsidRDefault="00D27684" w:rsidP="00FC6093">
            <w:pPr>
              <w:numPr>
                <w:ilvl w:val="0"/>
                <w:numId w:val="13"/>
              </w:numPr>
              <w:pBdr>
                <w:top w:val="nil"/>
                <w:left w:val="nil"/>
                <w:bottom w:val="nil"/>
                <w:right w:val="nil"/>
                <w:between w:val="nil"/>
              </w:pBdr>
              <w:ind w:left="0" w:firstLine="2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170 personas para el programa Certificado Parcelario</w:t>
            </w:r>
          </w:p>
        </w:tc>
        <w:tc>
          <w:tcPr>
            <w:tcW w:w="2447"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1918"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Colma Parcialmente</w:t>
            </w:r>
          </w:p>
        </w:tc>
      </w:tr>
      <w:tr w:rsidR="00477DD3">
        <w:tc>
          <w:tcPr>
            <w:tcW w:w="2385" w:type="dxa"/>
            <w:vMerge w:val="restart"/>
          </w:tcPr>
          <w:p w:rsidR="00477DD3" w:rsidRDefault="00D27684" w:rsidP="00FC6093">
            <w:pPr>
              <w:numPr>
                <w:ilvl w:val="0"/>
                <w:numId w:val="17"/>
              </w:numPr>
              <w:ind w:left="22"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Criterios de Selección </w:t>
            </w: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Iniciación a la engorda de porcina</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b/>
                <w:bCs/>
              </w:rPr>
              <w:t>*</w:t>
            </w:r>
            <w:r>
              <w:rPr>
                <w:rFonts w:ascii="Palatino Linotype" w:eastAsia="Palatino Linotype" w:hAnsi="Palatino Linotype" w:cs="Palatino Linotype"/>
              </w:rPr>
              <w:t>INE</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*Formato de Registro</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*Ser Productor Porcino</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*Contar con Instalaciones para los animales</w:t>
            </w:r>
          </w:p>
        </w:tc>
        <w:tc>
          <w:tcPr>
            <w:tcW w:w="2447" w:type="dxa"/>
            <w:vMerge w:val="restart"/>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1918" w:type="dxa"/>
            <w:vMerge w:val="restart"/>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Si colma</w:t>
            </w:r>
          </w:p>
        </w:tc>
      </w:tr>
      <w:tr w:rsidR="00477DD3">
        <w:tc>
          <w:tcPr>
            <w:tcW w:w="2385"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b/>
                <w:bCs/>
              </w:rPr>
            </w:pP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Iniciación para la reproducción ovina</w:t>
            </w:r>
          </w:p>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w:t>
            </w:r>
            <w:r>
              <w:rPr>
                <w:rFonts w:ascii="Palatino Linotype" w:eastAsia="Palatino Linotype" w:hAnsi="Palatino Linotype" w:cs="Palatino Linotype"/>
              </w:rPr>
              <w:t>INE</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b/>
                <w:bCs/>
              </w:rPr>
              <w:t>*</w:t>
            </w:r>
            <w:r>
              <w:rPr>
                <w:rFonts w:ascii="Palatino Linotype" w:eastAsia="Palatino Linotype" w:hAnsi="Palatino Linotype" w:cs="Palatino Linotype"/>
              </w:rPr>
              <w:t>Registro</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 xml:space="preserve">*Ser Productor Pecuario </w:t>
            </w:r>
          </w:p>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rPr>
              <w:t>*Contar con instalaciones para los animales</w:t>
            </w:r>
          </w:p>
        </w:tc>
        <w:tc>
          <w:tcPr>
            <w:tcW w:w="2447"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b/>
                <w:bCs/>
              </w:rPr>
            </w:pPr>
          </w:p>
        </w:tc>
        <w:tc>
          <w:tcPr>
            <w:tcW w:w="1918"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b/>
                <w:bCs/>
              </w:rPr>
            </w:pPr>
          </w:p>
        </w:tc>
      </w:tr>
      <w:tr w:rsidR="00477DD3">
        <w:tc>
          <w:tcPr>
            <w:tcW w:w="2385"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b/>
                <w:bCs/>
              </w:rPr>
            </w:pP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Certificado Parcelario</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*INE</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 xml:space="preserve">*Certificado Parcelario </w:t>
            </w:r>
          </w:p>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*Registro</w:t>
            </w:r>
          </w:p>
        </w:tc>
        <w:tc>
          <w:tcPr>
            <w:tcW w:w="2447"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rPr>
            </w:pPr>
          </w:p>
        </w:tc>
        <w:tc>
          <w:tcPr>
            <w:tcW w:w="1918" w:type="dxa"/>
            <w:vMerge/>
          </w:tcPr>
          <w:p w:rsidR="00477DD3" w:rsidRDefault="00477DD3" w:rsidP="00FC6093">
            <w:pPr>
              <w:widowControl w:val="0"/>
              <w:pBdr>
                <w:top w:val="nil"/>
                <w:left w:val="nil"/>
                <w:bottom w:val="nil"/>
                <w:right w:val="nil"/>
                <w:between w:val="nil"/>
              </w:pBdr>
              <w:spacing w:line="276" w:lineRule="auto"/>
              <w:rPr>
                <w:rFonts w:ascii="Palatino Linotype" w:eastAsia="Palatino Linotype" w:hAnsi="Palatino Linotype" w:cs="Palatino Linotype"/>
              </w:rPr>
            </w:pPr>
          </w:p>
        </w:tc>
      </w:tr>
      <w:tr w:rsidR="00477DD3">
        <w:tc>
          <w:tcPr>
            <w:tcW w:w="2385" w:type="dxa"/>
          </w:tcPr>
          <w:p w:rsidR="00477DD3" w:rsidRDefault="00D27684" w:rsidP="00FC6093">
            <w:pPr>
              <w:numPr>
                <w:ilvl w:val="0"/>
                <w:numId w:val="17"/>
              </w:numPr>
              <w:ind w:left="22"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Padrón de beneficiarios en versión pública</w:t>
            </w:r>
          </w:p>
        </w:tc>
        <w:tc>
          <w:tcPr>
            <w:tcW w:w="2940"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 xml:space="preserve">No se Pronunció </w:t>
            </w:r>
          </w:p>
        </w:tc>
        <w:tc>
          <w:tcPr>
            <w:tcW w:w="2447"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rPr>
            </w:pPr>
            <w:r>
              <w:rPr>
                <w:rFonts w:ascii="Palatino Linotype" w:eastAsia="Palatino Linotype" w:hAnsi="Palatino Linotype" w:cs="Palatino Linotype"/>
              </w:rPr>
              <w:t>No presenta Informe Justificado</w:t>
            </w:r>
          </w:p>
        </w:tc>
        <w:tc>
          <w:tcPr>
            <w:tcW w:w="1918" w:type="dxa"/>
          </w:tcPr>
          <w:p w:rsidR="00477DD3" w:rsidRDefault="00D27684" w:rsidP="00FC6093">
            <w:pPr>
              <w:pBdr>
                <w:top w:val="nil"/>
                <w:left w:val="nil"/>
                <w:bottom w:val="nil"/>
                <w:right w:val="nil"/>
                <w:between w:val="nil"/>
              </w:pBdr>
              <w:jc w:val="both"/>
              <w:rPr>
                <w:rFonts w:ascii="Palatino Linotype" w:eastAsia="Palatino Linotype" w:hAnsi="Palatino Linotype" w:cs="Palatino Linotype"/>
                <w:b/>
                <w:bCs/>
              </w:rPr>
            </w:pPr>
            <w:r>
              <w:rPr>
                <w:rFonts w:ascii="Palatino Linotype" w:eastAsia="Palatino Linotype" w:hAnsi="Palatino Linotype" w:cs="Palatino Linotype"/>
                <w:b/>
                <w:bCs/>
              </w:rPr>
              <w:t>No colma</w:t>
            </w:r>
          </w:p>
        </w:tc>
      </w:tr>
    </w:tbl>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De lo expuesto en el cuadro descriptivo, se advierte que se atendieron los puntos marcados con los números 1, 2, 3, 4, 6 y 9, toda vez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informó los Programas de Apoyo ejecutados, Criterios de selección el presupuesto otorgado y el número de beneficiarios. </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Descrito lo anterior, se precisa que el presente estudio </w:t>
      </w:r>
      <w:r>
        <w:rPr>
          <w:rFonts w:ascii="Palatino Linotype" w:eastAsia="Palatino Linotype" w:hAnsi="Palatino Linotype" w:cs="Palatino Linotype"/>
        </w:rPr>
        <w:t>versará</w:t>
      </w:r>
      <w:r>
        <w:rPr>
          <w:rFonts w:ascii="Palatino Linotype" w:eastAsia="Palatino Linotype" w:hAnsi="Palatino Linotype" w:cs="Palatino Linotype"/>
          <w:color w:val="000000"/>
        </w:rPr>
        <w:t xml:space="preserve"> únicamente respecto a los numerales 5, 7, 8 y 10 del cuadro descriptivo.</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477DD3" w:rsidRDefault="00D27684">
      <w:pPr>
        <w:numPr>
          <w:ilvl w:val="0"/>
          <w:numId w:val="3"/>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Padrón de Beneficiarios (punto 5, 7 y 10 del cuadro descriptivo)</w:t>
      </w: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En continuidad, se procede a señalar que el particular requirió el Padrón de Beneficiarios en versión pública, relacionados con los programas de apoyo referidos en respuesta; no obstante el </w:t>
      </w:r>
      <w:r>
        <w:rPr>
          <w:rFonts w:ascii="Palatino Linotype" w:eastAsia="Palatino Linotype" w:hAnsi="Palatino Linotype" w:cs="Palatino Linotype"/>
          <w:b/>
          <w:bCs/>
          <w:color w:val="000000"/>
          <w:highlight w:val="white"/>
        </w:rPr>
        <w:t xml:space="preserve">SUJETO OBLIGADO, </w:t>
      </w:r>
      <w:r>
        <w:rPr>
          <w:rFonts w:ascii="Palatino Linotype" w:eastAsia="Palatino Linotype" w:hAnsi="Palatino Linotype" w:cs="Palatino Linotype"/>
          <w:color w:val="000000"/>
          <w:highlight w:val="white"/>
        </w:rPr>
        <w:t xml:space="preserve">omitió pronunciarse al respecto, ello aunado a que no manifestó el total de personas beneficiadas con el programa Iniciación a la Reproducción Ovina del ejercicio fiscal 2025, situación por la cual se realizará el siguiente análisis. </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En esa línea, se debe de referir que la información solicitada por el </w:t>
      </w:r>
      <w:r>
        <w:rPr>
          <w:rFonts w:ascii="Palatino Linotype" w:eastAsia="Palatino Linotype" w:hAnsi="Palatino Linotype" w:cs="Palatino Linotype"/>
          <w:b/>
          <w:bCs/>
          <w:color w:val="000000"/>
          <w:highlight w:val="white"/>
        </w:rPr>
        <w:t xml:space="preserve">RECURRENTE </w:t>
      </w:r>
      <w:r>
        <w:rPr>
          <w:rFonts w:ascii="Palatino Linotype" w:eastAsia="Palatino Linotype" w:hAnsi="Palatino Linotype" w:cs="Palatino Linotype"/>
          <w:color w:val="000000"/>
          <w:highlight w:val="white"/>
        </w:rPr>
        <w:t xml:space="preserve">forma parte de las obligaciones de transparencia, toda vez que la población está siendo beneficiada por el Ayuntamiento de Tepotzotlán, dicho argumento está regulado por el artículo 92 de la Ley de Transparencia y Acceso a la Información Pública del Estado de México y Municipios, mismo que refiere lo siguiente. </w:t>
      </w:r>
    </w:p>
    <w:p w:rsidR="00477DD3" w:rsidRDefault="00D27684">
      <w:pPr>
        <w:pBdr>
          <w:top w:val="nil"/>
          <w:left w:val="nil"/>
          <w:bottom w:val="nil"/>
          <w:right w:val="nil"/>
          <w:between w:val="nil"/>
        </w:pBdr>
        <w:ind w:left="1134"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lastRenderedPageBreak/>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477DD3" w:rsidRDefault="00D27684">
      <w:pPr>
        <w:pBdr>
          <w:top w:val="nil"/>
          <w:left w:val="nil"/>
          <w:bottom w:val="nil"/>
          <w:right w:val="nil"/>
          <w:between w:val="nil"/>
        </w:pBdr>
        <w:ind w:left="1134"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p) Padrón de beneficiarios mismo que deberá contener los siguientes datos: </w:t>
      </w:r>
      <w:r>
        <w:rPr>
          <w:rFonts w:ascii="Palatino Linotype" w:eastAsia="Palatino Linotype" w:hAnsi="Palatino Linotype" w:cs="Palatino Linotype"/>
          <w:b/>
          <w:bCs/>
          <w:i/>
          <w:iCs/>
          <w:highlight w:val="white"/>
        </w:rPr>
        <w:t>nombre de la persona física o denominación social de las personas jurídicas colectivas beneficiadas, el monto, recurso, beneficio o apoyo otorgado para cada una de ellas, unidad territorial, en su caso, edad y sexo.</w:t>
      </w:r>
    </w:p>
    <w:p w:rsidR="00477DD3" w:rsidRDefault="00477DD3">
      <w:pPr>
        <w:spacing w:line="360" w:lineRule="auto"/>
        <w:ind w:left="720" w:right="-734"/>
        <w:rPr>
          <w:rFonts w:ascii="Palatino Linotype" w:eastAsia="Palatino Linotype" w:hAnsi="Palatino Linotype" w:cs="Palatino Linotype"/>
          <w:highlight w:val="white"/>
        </w:rPr>
      </w:pPr>
    </w:p>
    <w:p w:rsidR="00477DD3" w:rsidRDefault="00D27684">
      <w:pPr>
        <w:numPr>
          <w:ilvl w:val="0"/>
          <w:numId w:val="2"/>
        </w:numPr>
        <w:spacing w:line="360" w:lineRule="auto"/>
        <w:ind w:left="0" w:right="-734" w:firstLine="0"/>
        <w:jc w:val="both"/>
        <w:rPr>
          <w:highlight w:val="white"/>
        </w:rPr>
      </w:pPr>
      <w:r>
        <w:rPr>
          <w:rFonts w:ascii="Palatino Linotype" w:eastAsia="Palatino Linotype" w:hAnsi="Palatino Linotype" w:cs="Palatino Linotype"/>
          <w:highlight w:val="white"/>
        </w:rPr>
        <w:t xml:space="preserve">Por otro lado, se debe de precisar que de ser el caso que la información con la que colme el derecho de acceso a la información del </w:t>
      </w:r>
      <w:r>
        <w:rPr>
          <w:rFonts w:ascii="Palatino Linotype" w:eastAsia="Palatino Linotype" w:hAnsi="Palatino Linotype" w:cs="Palatino Linotype"/>
          <w:b/>
          <w:bCs/>
          <w:highlight w:val="white"/>
        </w:rPr>
        <w:t xml:space="preserve">RECURRENTE </w:t>
      </w:r>
      <w:r>
        <w:rPr>
          <w:rFonts w:ascii="Palatino Linotype" w:eastAsia="Palatino Linotype" w:hAnsi="Palatino Linotype" w:cs="Palatino Linotype"/>
          <w:highlight w:val="white"/>
        </w:rPr>
        <w:t xml:space="preserve">sea por medio de padrones que ya se encuentran publicados en páginas oficiales, se debe de tener en cuenta lo siguiente. </w:t>
      </w:r>
    </w:p>
    <w:p w:rsidR="00477DD3" w:rsidRDefault="00D27684">
      <w:pPr>
        <w:ind w:left="1134"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Artículo 143. Para los efectos de esta Ley se considera información confidencial, la clasificada como tal, de manera permanente, por su naturaleza, cuando: </w:t>
      </w:r>
    </w:p>
    <w:p w:rsidR="00477DD3" w:rsidRDefault="00D27684">
      <w:pPr>
        <w:numPr>
          <w:ilvl w:val="0"/>
          <w:numId w:val="14"/>
        </w:numPr>
        <w:pBdr>
          <w:top w:val="nil"/>
          <w:left w:val="nil"/>
          <w:bottom w:val="nil"/>
          <w:right w:val="nil"/>
          <w:between w:val="nil"/>
        </w:pBdr>
        <w:ind w:left="1134" w:right="-734" w:firstLine="0"/>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Se refiera a la información privada y los datos personales concernientes a una persona física o jurídico colectiva identificada o identificable; </w:t>
      </w:r>
    </w:p>
    <w:p w:rsidR="00477DD3" w:rsidRDefault="00D27684">
      <w:pPr>
        <w:ind w:left="1134"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II. Los secretos bancario, fiduciario, industrial, comercial, fiscal, bursátil y postal, cuya titularidad corresponda a particulares, sujetos de derecho internacional o a sujetos obligados cuando no involucren el ejercicio de recursos públicos; y </w:t>
      </w:r>
    </w:p>
    <w:p w:rsidR="00477DD3" w:rsidRDefault="00D27684">
      <w:pPr>
        <w:ind w:left="1134"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III. La que presenten los particulares a los sujetos obligados, de conformidad con lo dispuesto por las leyes o los tratados internacionales. </w:t>
      </w:r>
    </w:p>
    <w:p w:rsidR="00477DD3" w:rsidRDefault="00D27684">
      <w:pPr>
        <w:ind w:left="1134"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La información confidencial no estará sujeta a temporalidad alguna y sólo podrán tener acceso a ella los titulares de la misma, sus representantes y los servidores públicos facultados para ello. </w:t>
      </w:r>
    </w:p>
    <w:p w:rsidR="00477DD3" w:rsidRDefault="00D27684">
      <w:pPr>
        <w:ind w:left="1134" w:right="-734"/>
        <w:jc w:val="both"/>
        <w:rPr>
          <w:rFonts w:ascii="Palatino Linotype" w:eastAsia="Palatino Linotype" w:hAnsi="Palatino Linotype" w:cs="Palatino Linotype"/>
          <w:b/>
          <w:bCs/>
          <w:i/>
          <w:iCs/>
          <w:highlight w:val="white"/>
        </w:rPr>
      </w:pPr>
      <w:r>
        <w:rPr>
          <w:rFonts w:ascii="Palatino Linotype" w:eastAsia="Palatino Linotype" w:hAnsi="Palatino Linotype" w:cs="Palatino Linotype"/>
          <w:b/>
          <w:bCs/>
          <w:i/>
          <w:iCs/>
          <w:highlight w:val="white"/>
        </w:rPr>
        <w:t>No se considerará confidencial la información que se encuentre en los registros públicos o en fuentes de acceso público, ni tampoco la que sea considerada por la presente ley como información pública.</w:t>
      </w:r>
    </w:p>
    <w:p w:rsidR="00477DD3" w:rsidRDefault="00477DD3">
      <w:pPr>
        <w:spacing w:line="360" w:lineRule="auto"/>
        <w:ind w:right="-734"/>
        <w:jc w:val="both"/>
        <w:rPr>
          <w:rFonts w:ascii="Palatino Linotype" w:eastAsia="Palatino Linotype" w:hAnsi="Palatino Linotype" w:cs="Palatino Linotype"/>
          <w:highlight w:val="white"/>
        </w:rPr>
      </w:pP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D0D0D"/>
          <w:highlight w:val="white"/>
        </w:rPr>
        <w:t>Por lo que su publicidad o clasificación debe ajustarse a lo dispuesto por el criterio reiterado 09/19, del Instituto de Transparencia, Acceso a la Información Pública y Protección de Datos Personales del Estado de México y Municipios, que a la letra dice:</w:t>
      </w:r>
    </w:p>
    <w:p w:rsidR="00477DD3" w:rsidRDefault="00477DD3">
      <w:pPr>
        <w:spacing w:line="360" w:lineRule="auto"/>
        <w:ind w:left="850" w:right="-734"/>
        <w:jc w:val="both"/>
        <w:rPr>
          <w:rFonts w:ascii="Palatino Linotype" w:eastAsia="Palatino Linotype" w:hAnsi="Palatino Linotype" w:cs="Palatino Linotype"/>
          <w:i/>
          <w:iCs/>
          <w:color w:val="0D0D0D"/>
          <w:highlight w:val="white"/>
        </w:rPr>
      </w:pPr>
    </w:p>
    <w:p w:rsidR="00477DD3" w:rsidRDefault="00D27684">
      <w:pPr>
        <w:ind w:left="850" w:right="-734"/>
        <w:jc w:val="both"/>
        <w:rPr>
          <w:rFonts w:ascii="Palatino Linotype" w:eastAsia="Palatino Linotype" w:hAnsi="Palatino Linotype" w:cs="Palatino Linotype"/>
          <w:b/>
          <w:bCs/>
          <w:i/>
          <w:iCs/>
          <w:color w:val="0D0D0D"/>
          <w:highlight w:val="white"/>
          <w:u w:val="single"/>
        </w:rPr>
      </w:pPr>
      <w:r>
        <w:rPr>
          <w:rFonts w:ascii="Palatino Linotype" w:eastAsia="Palatino Linotype" w:hAnsi="Palatino Linotype" w:cs="Palatino Linotype"/>
          <w:i/>
          <w:iCs/>
          <w:color w:val="0D0D0D"/>
          <w:highlight w:val="white"/>
        </w:rPr>
        <w:lastRenderedPageBreak/>
        <w:t>“</w:t>
      </w:r>
      <w:r>
        <w:rPr>
          <w:rFonts w:ascii="Palatino Linotype" w:eastAsia="Palatino Linotype" w:hAnsi="Palatino Linotype" w:cs="Palatino Linotype"/>
          <w:b/>
          <w:bCs/>
          <w:i/>
          <w:iCs/>
          <w:color w:val="0D0D0D"/>
          <w:highlight w:val="white"/>
        </w:rPr>
        <w:t xml:space="preserve">PADRÓN DE BENEFICIARIOS EN POSESIÓN DE SUJETOS OBLIGADOS. EXCEPCIONES PARA LA PUBLICACIÓN DE DATOS PERSONALES CONTENIDOS EN AQUÉL. </w:t>
      </w:r>
      <w:r>
        <w:rPr>
          <w:rFonts w:ascii="Palatino Linotype" w:eastAsia="Palatino Linotype" w:hAnsi="Palatino Linotype" w:cs="Palatino Linotype"/>
          <w:i/>
          <w:iCs/>
          <w:color w:val="0D0D0D"/>
          <w:highlight w:val="white"/>
        </w:rPr>
        <w:t xml:space="preserve">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w:t>
      </w:r>
      <w:r>
        <w:rPr>
          <w:rFonts w:ascii="Palatino Linotype" w:eastAsia="Palatino Linotype" w:hAnsi="Palatino Linotype" w:cs="Palatino Linotype"/>
          <w:b/>
          <w:bCs/>
          <w:i/>
          <w:iCs/>
          <w:color w:val="0D0D0D"/>
          <w:highlight w:val="white"/>
          <w:u w:val="single"/>
        </w:rPr>
        <w:t>al interés superior de la niñez</w:t>
      </w:r>
      <w:r>
        <w:rPr>
          <w:rFonts w:ascii="Palatino Linotype" w:eastAsia="Palatino Linotype" w:hAnsi="Palatino Linotype" w:cs="Palatino Linotype"/>
          <w:i/>
          <w:iCs/>
          <w:color w:val="0D0D0D"/>
          <w:highlight w:val="white"/>
        </w:rPr>
        <w:t xml:space="preserve">,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w:t>
      </w:r>
      <w:r>
        <w:rPr>
          <w:rFonts w:ascii="Palatino Linotype" w:eastAsia="Palatino Linotype" w:hAnsi="Palatino Linotype" w:cs="Palatino Linotype"/>
          <w:b/>
          <w:bCs/>
          <w:i/>
          <w:iCs/>
          <w:color w:val="0D0D0D"/>
          <w:highlight w:val="white"/>
          <w:u w:val="single"/>
        </w:rPr>
        <w:t xml:space="preserve">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personales; por tanto, los referidos datos personales deberán clasificarse como confidenciales, en términos de lo dispuesto por los dispositivos Constitucionales previamente invocados y los diversos 3, fracciones IX, </w:t>
      </w:r>
      <w:r>
        <w:rPr>
          <w:rFonts w:ascii="Palatino Linotype" w:eastAsia="Palatino Linotype" w:hAnsi="Palatino Linotype" w:cs="Palatino Linotype"/>
          <w:b/>
          <w:bCs/>
          <w:i/>
          <w:iCs/>
          <w:color w:val="0D0D0D"/>
          <w:highlight w:val="white"/>
          <w:u w:val="single"/>
        </w:rPr>
        <w:lastRenderedPageBreak/>
        <w:t>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rsidR="00477DD3" w:rsidRDefault="00477DD3">
      <w:pPr>
        <w:spacing w:line="360" w:lineRule="auto"/>
        <w:ind w:right="-734"/>
        <w:jc w:val="both"/>
        <w:rPr>
          <w:rFonts w:ascii="Palatino Linotype" w:eastAsia="Palatino Linotype" w:hAnsi="Palatino Linotype" w:cs="Palatino Linotype"/>
          <w:b/>
          <w:bCs/>
          <w:highlight w:val="white"/>
        </w:rPr>
      </w:pP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Ahora bien, debemos de tener en cuenta que del documento en mención obran datos que por su naturaleza son clasificados como confidenciales, de manera </w:t>
      </w:r>
      <w:r>
        <w:rPr>
          <w:rFonts w:ascii="Palatino Linotype" w:eastAsia="Palatino Linotype" w:hAnsi="Palatino Linotype" w:cs="Palatino Linotype"/>
          <w:highlight w:val="white"/>
        </w:rPr>
        <w:t>enunciativa</w:t>
      </w:r>
      <w:r>
        <w:rPr>
          <w:rFonts w:ascii="Palatino Linotype" w:eastAsia="Palatino Linotype" w:hAnsi="Palatino Linotype" w:cs="Palatino Linotype"/>
          <w:color w:val="000000"/>
          <w:highlight w:val="white"/>
        </w:rPr>
        <w:t xml:space="preserve">, </w:t>
      </w:r>
      <w:r>
        <w:rPr>
          <w:rFonts w:ascii="Palatino Linotype" w:eastAsia="Palatino Linotype" w:hAnsi="Palatino Linotype" w:cs="Palatino Linotype"/>
          <w:highlight w:val="white"/>
        </w:rPr>
        <w:t>más</w:t>
      </w:r>
      <w:r>
        <w:rPr>
          <w:rFonts w:ascii="Palatino Linotype" w:eastAsia="Palatino Linotype" w:hAnsi="Palatino Linotype" w:cs="Palatino Linotype"/>
          <w:color w:val="000000"/>
          <w:highlight w:val="white"/>
        </w:rPr>
        <w:t xml:space="preserve"> no limitativa se procede a analizar los datos que pudieran obrar en el Padrón de Beneficiarios requerido.</w:t>
      </w:r>
    </w:p>
    <w:p w:rsidR="00477DD3" w:rsidRDefault="00477DD3">
      <w:pPr>
        <w:pBdr>
          <w:top w:val="nil"/>
          <w:left w:val="nil"/>
          <w:bottom w:val="nil"/>
          <w:right w:val="nil"/>
          <w:between w:val="nil"/>
        </w:pBdr>
        <w:spacing w:line="360" w:lineRule="auto"/>
        <w:ind w:left="720" w:right="-734"/>
        <w:jc w:val="both"/>
        <w:rPr>
          <w:rFonts w:ascii="Palatino Linotype" w:eastAsia="Palatino Linotype" w:hAnsi="Palatino Linotype" w:cs="Palatino Linotype"/>
          <w:b/>
          <w:bCs/>
          <w:color w:val="000000"/>
          <w:highlight w:val="white"/>
        </w:rPr>
      </w:pPr>
    </w:p>
    <w:p w:rsidR="00477DD3" w:rsidRDefault="00D27684">
      <w:pPr>
        <w:numPr>
          <w:ilvl w:val="0"/>
          <w:numId w:val="16"/>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highlight w:val="white"/>
        </w:rPr>
      </w:pPr>
      <w:r>
        <w:rPr>
          <w:rFonts w:ascii="Palatino Linotype" w:eastAsia="Palatino Linotype" w:hAnsi="Palatino Linotype" w:cs="Palatino Linotype"/>
          <w:b/>
          <w:bCs/>
          <w:color w:val="000000"/>
          <w:highlight w:val="white"/>
        </w:rPr>
        <w:t>Firma de particulares.</w:t>
      </w:r>
    </w:p>
    <w:p w:rsidR="00477DD3" w:rsidRDefault="00D27684">
      <w:pPr>
        <w:numPr>
          <w:ilvl w:val="0"/>
          <w:numId w:val="2"/>
        </w:numPr>
        <w:tabs>
          <w:tab w:val="left" w:pos="426"/>
        </w:tabs>
        <w:spacing w:after="240" w:line="360" w:lineRule="auto"/>
        <w:ind w:left="0" w:right="-734" w:firstLine="0"/>
        <w:jc w:val="both"/>
        <w:rPr>
          <w:rFonts w:ascii="Palatino Linotype" w:eastAsia="Palatino Linotype" w:hAnsi="Palatino Linotype" w:cs="Palatino Linotype"/>
          <w:highlight w:val="white"/>
        </w:rPr>
      </w:pPr>
      <w:r>
        <w:rPr>
          <w:rFonts w:ascii="Palatino Linotype" w:eastAsia="Palatino Linotype" w:hAnsi="Palatino Linotype" w:cs="Palatino Linotype"/>
          <w:highlight w:val="white"/>
        </w:rPr>
        <w:t>Respecto de la rúbrica o firma de la persona que recibe el documento se debe tener presente que la firma y rúbrica son definidas por la Real Academia de la Lengua Española, de la siguiente manera:</w:t>
      </w:r>
    </w:p>
    <w:p w:rsidR="00477DD3" w:rsidRDefault="00D27684">
      <w:pPr>
        <w:numPr>
          <w:ilvl w:val="0"/>
          <w:numId w:val="15"/>
        </w:numPr>
        <w:pBdr>
          <w:top w:val="nil"/>
          <w:left w:val="nil"/>
          <w:bottom w:val="nil"/>
          <w:right w:val="nil"/>
          <w:between w:val="nil"/>
        </w:pBdr>
        <w:tabs>
          <w:tab w:val="left" w:pos="426"/>
        </w:tabs>
        <w:spacing w:before="240" w:after="240" w:line="360" w:lineRule="auto"/>
        <w:ind w:left="142" w:right="-734" w:firstLine="0"/>
        <w:jc w:val="both"/>
        <w:rPr>
          <w:rFonts w:ascii="Palatino Linotype" w:eastAsia="Palatino Linotype" w:hAnsi="Palatino Linotype" w:cs="Palatino Linotype"/>
          <w:highlight w:val="white"/>
        </w:rPr>
      </w:pPr>
      <w:r>
        <w:rPr>
          <w:rFonts w:ascii="Palatino Linotype" w:eastAsia="Palatino Linotype" w:hAnsi="Palatino Linotype" w:cs="Palatino Linotype"/>
          <w:highlight w:val="white"/>
        </w:rPr>
        <w:t>Firma. Rasgo o conjunto de rasgos, realizados siempre de la misma manera, que identifican a una persona y sustituyen a su nombre y apellidos para aprobar o dar autenticidad a un documento.</w:t>
      </w:r>
    </w:p>
    <w:p w:rsidR="00477DD3" w:rsidRDefault="00D27684">
      <w:pPr>
        <w:numPr>
          <w:ilvl w:val="0"/>
          <w:numId w:val="15"/>
        </w:numPr>
        <w:pBdr>
          <w:top w:val="nil"/>
          <w:left w:val="nil"/>
          <w:bottom w:val="nil"/>
          <w:right w:val="nil"/>
          <w:between w:val="nil"/>
        </w:pBdr>
        <w:tabs>
          <w:tab w:val="left" w:pos="426"/>
        </w:tabs>
        <w:spacing w:before="240" w:after="240" w:line="360" w:lineRule="auto"/>
        <w:ind w:left="142" w:right="-734" w:firstLine="0"/>
        <w:jc w:val="both"/>
        <w:rPr>
          <w:rFonts w:ascii="Palatino Linotype" w:eastAsia="Palatino Linotype" w:hAnsi="Palatino Linotype" w:cs="Palatino Linotype"/>
          <w:highlight w:val="white"/>
        </w:rPr>
      </w:pPr>
      <w:r>
        <w:rPr>
          <w:rFonts w:ascii="Palatino Linotype" w:eastAsia="Palatino Linotype" w:hAnsi="Palatino Linotype" w:cs="Palatino Linotype"/>
          <w:highlight w:val="white"/>
        </w:rPr>
        <w:t>Rúbrica. Rasgo o conjunto de rasgos, realizados siempre de la misma manera que suele ponerse en la firma después del nombre y que a veces la sustituye.</w:t>
      </w:r>
    </w:p>
    <w:p w:rsidR="00477DD3" w:rsidRDefault="00D27684">
      <w:pPr>
        <w:numPr>
          <w:ilvl w:val="0"/>
          <w:numId w:val="2"/>
        </w:numPr>
        <w:pBdr>
          <w:top w:val="nil"/>
          <w:left w:val="nil"/>
          <w:bottom w:val="nil"/>
          <w:right w:val="nil"/>
          <w:between w:val="nil"/>
        </w:pBdr>
        <w:spacing w:before="240"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En ese sentido, se advierte que tanto la firma como la rúbrica son rasgos gráficos que pueden identificar o hacer identificable a una persona, por lo tanto, se consideran por regla general como datos personales confidenciales que deben protegerse en los documentos que los contengan, según lo dispuesto por los artículos 3, fracción IX, 143, fracción I de la Ley de Transparencia y Acceso a la Información Pública del Estado de México y Municipios, en </w:t>
      </w:r>
      <w:r>
        <w:rPr>
          <w:rFonts w:ascii="Palatino Linotype" w:eastAsia="Palatino Linotype" w:hAnsi="Palatino Linotype" w:cs="Palatino Linotype"/>
          <w:color w:val="000000"/>
          <w:highlight w:val="white"/>
        </w:rPr>
        <w:lastRenderedPageBreak/>
        <w:t>relación con el 4, fracción XI de La Ley de Protección de Datos Personales en Posesión de Sujetos Obligados del Estado de México y Municipios, ya que en mayor o menor medida inciden en la vida privada de una persona.</w:t>
      </w:r>
    </w:p>
    <w:p w:rsidR="00477DD3" w:rsidRDefault="00477DD3">
      <w:pPr>
        <w:widowControl w:val="0"/>
        <w:pBdr>
          <w:top w:val="nil"/>
          <w:left w:val="nil"/>
          <w:bottom w:val="nil"/>
          <w:right w:val="nil"/>
          <w:between w:val="nil"/>
        </w:pBdr>
        <w:tabs>
          <w:tab w:val="left" w:pos="284"/>
        </w:tabs>
        <w:spacing w:line="360" w:lineRule="auto"/>
        <w:ind w:left="720" w:right="-734"/>
        <w:jc w:val="both"/>
        <w:rPr>
          <w:rFonts w:ascii="Palatino Linotype" w:eastAsia="Palatino Linotype" w:hAnsi="Palatino Linotype" w:cs="Palatino Linotype"/>
          <w:color w:val="000000"/>
          <w:highlight w:val="white"/>
        </w:rPr>
      </w:pPr>
    </w:p>
    <w:p w:rsidR="00477DD3" w:rsidRDefault="00D27684">
      <w:pPr>
        <w:widowControl w:val="0"/>
        <w:numPr>
          <w:ilvl w:val="0"/>
          <w:numId w:val="16"/>
        </w:numPr>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color w:val="000000"/>
          <w:highlight w:val="white"/>
        </w:rPr>
        <w:t>Domicilio particular.</w:t>
      </w:r>
      <w:r>
        <w:rPr>
          <w:rFonts w:ascii="Palatino Linotype" w:eastAsia="Palatino Linotype" w:hAnsi="Palatino Linotype" w:cs="Palatino Linotype"/>
          <w:color w:val="000000"/>
          <w:highlight w:val="white"/>
        </w:rPr>
        <w:t xml:space="preserve"> </w:t>
      </w:r>
    </w:p>
    <w:p w:rsidR="00477DD3" w:rsidRDefault="00D27684">
      <w:pPr>
        <w:widowControl w:val="0"/>
        <w:numPr>
          <w:ilvl w:val="0"/>
          <w:numId w:val="2"/>
        </w:numPr>
        <w:pBdr>
          <w:top w:val="nil"/>
          <w:left w:val="nil"/>
          <w:bottom w:val="nil"/>
          <w:right w:val="nil"/>
          <w:between w:val="nil"/>
        </w:pBdr>
        <w:tabs>
          <w:tab w:val="left" w:pos="284"/>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rsidR="00477DD3" w:rsidRDefault="00477DD3">
      <w:pPr>
        <w:widowControl w:val="0"/>
        <w:pBdr>
          <w:top w:val="nil"/>
          <w:left w:val="nil"/>
          <w:bottom w:val="nil"/>
          <w:right w:val="nil"/>
          <w:between w:val="nil"/>
        </w:pBdr>
        <w:tabs>
          <w:tab w:val="left" w:pos="284"/>
        </w:tabs>
        <w:spacing w:line="360" w:lineRule="auto"/>
        <w:ind w:right="-734"/>
        <w:jc w:val="both"/>
        <w:rPr>
          <w:rFonts w:ascii="Palatino Linotype" w:eastAsia="Palatino Linotype" w:hAnsi="Palatino Linotype" w:cs="Palatino Linotype"/>
          <w:color w:val="000000"/>
          <w:highlight w:val="white"/>
        </w:rPr>
      </w:pPr>
    </w:p>
    <w:p w:rsidR="00477DD3" w:rsidRDefault="00D27684">
      <w:pPr>
        <w:widowControl w:val="0"/>
        <w:numPr>
          <w:ilvl w:val="0"/>
          <w:numId w:val="2"/>
        </w:numPr>
        <w:pBdr>
          <w:top w:val="nil"/>
          <w:left w:val="nil"/>
          <w:bottom w:val="nil"/>
          <w:right w:val="nil"/>
          <w:between w:val="nil"/>
        </w:pBdr>
        <w:tabs>
          <w:tab w:val="left" w:pos="284"/>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De la misma manera, lo establece el artículo 29 del Código Civil Federal, al precisar que el domicilio de personas físicas</w:t>
      </w:r>
      <w:r>
        <w:rPr>
          <w:rFonts w:ascii="Palatino Linotype" w:eastAsia="Palatino Linotype" w:hAnsi="Palatino Linotype" w:cs="Palatino Linotype"/>
          <w:b/>
          <w:bCs/>
          <w:color w:val="000000"/>
          <w:highlight w:val="white"/>
        </w:rPr>
        <w:t xml:space="preserve">, </w:t>
      </w:r>
      <w:r>
        <w:rPr>
          <w:rFonts w:ascii="Palatino Linotype" w:eastAsia="Palatino Linotype" w:hAnsi="Palatino Linotype" w:cs="Palatino Linotype"/>
          <w:color w:val="000000"/>
          <w:highlight w:val="white"/>
        </w:rPr>
        <w:t>es el lugar donde residen habitualmente, el lugar del centro principal de sus negocios, donde residan o el lugar donde se encuentren.</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highlight w:val="white"/>
        </w:rPr>
      </w:pPr>
    </w:p>
    <w:p w:rsidR="00477DD3" w:rsidRDefault="00D27684">
      <w:pPr>
        <w:widowControl w:val="0"/>
        <w:numPr>
          <w:ilvl w:val="0"/>
          <w:numId w:val="2"/>
        </w:numPr>
        <w:pBdr>
          <w:top w:val="nil"/>
          <w:left w:val="nil"/>
          <w:bottom w:val="nil"/>
          <w:right w:val="nil"/>
          <w:between w:val="nil"/>
        </w:pBdr>
        <w:tabs>
          <w:tab w:val="left" w:pos="284"/>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highlight w:val="white"/>
        </w:rPr>
      </w:pPr>
    </w:p>
    <w:p w:rsidR="00477DD3" w:rsidRDefault="00D27684">
      <w:pPr>
        <w:widowControl w:val="0"/>
        <w:numPr>
          <w:ilvl w:val="0"/>
          <w:numId w:val="2"/>
        </w:numPr>
        <w:pBdr>
          <w:top w:val="nil"/>
          <w:left w:val="nil"/>
          <w:bottom w:val="nil"/>
          <w:right w:val="nil"/>
          <w:between w:val="nil"/>
        </w:pBdr>
        <w:tabs>
          <w:tab w:val="left" w:pos="284"/>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Por lo tanto, se actualiza la clasificación del </w:t>
      </w:r>
      <w:r>
        <w:rPr>
          <w:rFonts w:ascii="Palatino Linotype" w:eastAsia="Palatino Linotype" w:hAnsi="Palatino Linotype" w:cs="Palatino Linotype"/>
          <w:b/>
          <w:bCs/>
          <w:color w:val="000000"/>
          <w:highlight w:val="white"/>
          <w:u w:val="single"/>
        </w:rPr>
        <w:t>domicilio particular y su comprobante</w:t>
      </w:r>
      <w:r>
        <w:rPr>
          <w:rFonts w:ascii="Palatino Linotype" w:eastAsia="Palatino Linotype" w:hAnsi="Palatino Linotype" w:cs="Palatino Linotype"/>
          <w:color w:val="000000"/>
          <w:highlight w:val="white"/>
        </w:rPr>
        <w:t>, de conformidad con la fracción I, del artículo 143 de la Ley de Transparencia y Acceso a la Información Pública del Estado de México y Municipios.</w:t>
      </w:r>
    </w:p>
    <w:p w:rsidR="00477DD3" w:rsidRDefault="00D27684">
      <w:pPr>
        <w:numPr>
          <w:ilvl w:val="0"/>
          <w:numId w:val="16"/>
        </w:numPr>
        <w:pBdr>
          <w:top w:val="nil"/>
          <w:left w:val="nil"/>
          <w:bottom w:val="nil"/>
          <w:right w:val="nil"/>
          <w:between w:val="nil"/>
        </w:pBdr>
        <w:spacing w:line="360" w:lineRule="auto"/>
        <w:ind w:right="-734"/>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color w:val="000000"/>
          <w:highlight w:val="white"/>
        </w:rPr>
        <w:lastRenderedPageBreak/>
        <w:t>Teléfono particular</w:t>
      </w:r>
      <w:r>
        <w:rPr>
          <w:rFonts w:ascii="Palatino Linotype" w:eastAsia="Palatino Linotype" w:hAnsi="Palatino Linotype" w:cs="Palatino Linotype"/>
          <w:color w:val="000000"/>
          <w:highlight w:val="white"/>
        </w:rPr>
        <w:t xml:space="preserve">. </w:t>
      </w: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Constituye un medio para comunicarse con una persona física identificada o identificable, por lo que la hace localizable. Por lo tanto, se trata de información que al darse a conocer afectaría la intimidad de la persona respectiva, siendo susceptible de clasificarse como información confidencial de conformidad con la fracción I, del artículo 143 de la Ley de Transparencia y Acceso a la Información Pública del Estado de México y Municipios. </w:t>
      </w:r>
    </w:p>
    <w:p w:rsidR="00477DD3" w:rsidRDefault="00477DD3">
      <w:pPr>
        <w:pBdr>
          <w:top w:val="nil"/>
          <w:left w:val="nil"/>
          <w:bottom w:val="nil"/>
          <w:right w:val="nil"/>
          <w:between w:val="nil"/>
        </w:pBdr>
        <w:spacing w:line="360" w:lineRule="auto"/>
        <w:ind w:left="720" w:right="-734"/>
        <w:jc w:val="both"/>
        <w:rPr>
          <w:rFonts w:ascii="Palatino Linotype" w:eastAsia="Palatino Linotype" w:hAnsi="Palatino Linotype" w:cs="Palatino Linotype"/>
          <w:b/>
          <w:bCs/>
          <w:color w:val="000000"/>
          <w:highlight w:val="white"/>
        </w:rPr>
      </w:pPr>
    </w:p>
    <w:p w:rsidR="00477DD3" w:rsidRDefault="00D27684">
      <w:pPr>
        <w:numPr>
          <w:ilvl w:val="0"/>
          <w:numId w:val="16"/>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highlight w:val="white"/>
        </w:rPr>
      </w:pPr>
      <w:r>
        <w:rPr>
          <w:rFonts w:ascii="Palatino Linotype" w:eastAsia="Palatino Linotype" w:hAnsi="Palatino Linotype" w:cs="Palatino Linotype"/>
          <w:b/>
          <w:bCs/>
          <w:color w:val="000000"/>
          <w:highlight w:val="white"/>
        </w:rPr>
        <w:t xml:space="preserve">Correo electrónico particular. </w:t>
      </w: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Al ser un sistema de transmisión de mensajes por computadora a través de redes informáticas, dicho dato se puede asimilar al teléfono o domicilio particular, toda vez que es otro medio para comunicarse con la persona titular del mismo, la hace localizable, e incluso identificable al poder estar conformado por parte de su nombre o bien, fecha de nacimiento. En ese sentido la titularidad de dicho dato corresponde a la persona física; por lo que corresponde a un dato personal que actualiza la causal de clasificación establecida en el artículo 143, fracción I de la Ley de Transparencia y Acceso a la Información Pública del Estado de México y Municipios.</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spacing w:after="240" w:line="360" w:lineRule="auto"/>
        <w:ind w:left="0" w:right="-734" w:firstLine="0"/>
        <w:jc w:val="both"/>
        <w:rPr>
          <w:highlight w:val="white"/>
        </w:rPr>
      </w:pPr>
      <w:r>
        <w:rPr>
          <w:rFonts w:ascii="Palatino Linotype" w:eastAsia="Palatino Linotype" w:hAnsi="Palatino Linotype" w:cs="Palatino Linotype"/>
          <w:color w:val="000000"/>
          <w:highlight w:val="white"/>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 “</w:t>
      </w:r>
      <w:r>
        <w:rPr>
          <w:rFonts w:ascii="Palatino Linotype" w:eastAsia="Palatino Linotype" w:hAnsi="Palatino Linotype" w:cs="Palatino Linotype"/>
          <w:b/>
          <w:bCs/>
          <w:i/>
          <w:iCs/>
          <w:highlight w:val="white"/>
        </w:rPr>
        <w:t>Quincuagésimo</w:t>
      </w:r>
      <w:r>
        <w:rPr>
          <w:rFonts w:ascii="Palatino Linotype" w:eastAsia="Palatino Linotype" w:hAnsi="Palatino Linotype" w:cs="Palatino Linotype"/>
          <w:i/>
          <w:iCs/>
          <w:highlight w:val="white"/>
        </w:rPr>
        <w:t xml:space="preserve">. Los titulares de las áreas de los sujetos obligados podrán establecer sus propios modelos o formatos para la elaboración de versiones públicas de documentos o </w:t>
      </w:r>
      <w:r>
        <w:rPr>
          <w:rFonts w:ascii="Palatino Linotype" w:eastAsia="Palatino Linotype" w:hAnsi="Palatino Linotype" w:cs="Palatino Linotype"/>
          <w:i/>
          <w:iCs/>
          <w:highlight w:val="white"/>
        </w:rPr>
        <w:lastRenderedPageBreak/>
        <w:t xml:space="preserve">expedientes, siempre y cuando cumplan lo establecido en los presentes Lineamientos, así como en las correspondientes Leyes Generales.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b/>
          <w:bCs/>
          <w:i/>
          <w:iCs/>
          <w:highlight w:val="white"/>
        </w:rPr>
        <w:t>Quincuagésimo primero.</w:t>
      </w:r>
      <w:r>
        <w:rPr>
          <w:rFonts w:ascii="Palatino Linotype" w:eastAsia="Palatino Linotype" w:hAnsi="Palatino Linotype" w:cs="Palatino Linotype"/>
          <w:i/>
          <w:iCs/>
          <w:highlight w:val="white"/>
        </w:rPr>
        <w:t xml:space="preserve"> Toda acta del Comité de Transparencia deberá contener: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 El número de sesión y fecha;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II. El nombre del área que solicitó la clasificación de información;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III. La fundamentación legal y motivación correspondiente;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IV. La resolución o resoluciones aprobadas; y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V. La rúbrica o firma digital de cada integrante del Comité de Transparencia.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Las resoluciones del Comité en las que se haya determinado confirmar o modificar la clasificación de información pública como reservada, deberán incluir, cuando menos: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I. Los motivos y razonamientos que sustenten la confirmación o modificación de la prueba de daño;</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II. Descripción de las partes o secciones reservadas, en caso de clasificación parcial;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III. El periodo por el que mantendrá su clasificación y fecha de expiración; y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IV. El nombre del titular y área encargada de realizar la versión pública del documento, en su caso.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En los casos en que se clasifique la información como reservada siempre se entregará o anexará la prueba de daño con la respuesta al solicitante.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En los casos de resoluciones del Comité de Transparencia en las que se confirme la clasificación de información confidencial solo se deberán de identificar los tipos de datos protegidos, de conformidad con el lineamiento trigésimo octavo.</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b/>
          <w:bCs/>
          <w:i/>
          <w:iCs/>
          <w:highlight w:val="white"/>
        </w:rPr>
        <w:t>Quincuagésimo segundo.</w:t>
      </w:r>
      <w:r>
        <w:rPr>
          <w:rFonts w:ascii="Palatino Linotype" w:eastAsia="Palatino Linotype" w:hAnsi="Palatino Linotype" w:cs="Palatino Linotype"/>
          <w:i/>
          <w:iCs/>
          <w:highlight w:val="white"/>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En el caso específico de la clasificación y elaboración de versiones públicas de documentos que contengan información confidencial, las áreas de los sujetos obligados deberán: </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I. Fijar la fecha en que se elaboró la versión pública y la fecha en la cual el Comité de Transparencia confirmó dicha versión;</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II. Señalar dentro del documento el tipo de información confidencial que fue testada en cada caso específico, de conformidad con el lineamiento trigésimo octavo; y</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III. Señalar las personas o instancias autorizadas a acceder a la información clasificada.</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En los documentos de difusión electrónica, señalar en la primera hoja y en el nombre del archivo, que la versión pública corresponde a un documento que contiene información confidencial.”</w:t>
      </w:r>
    </w:p>
    <w:p w:rsidR="00477DD3" w:rsidRDefault="00477DD3">
      <w:pPr>
        <w:spacing w:line="360" w:lineRule="auto"/>
        <w:ind w:right="-734"/>
        <w:jc w:val="both"/>
        <w:rPr>
          <w:rFonts w:ascii="Palatino Linotype" w:eastAsia="Palatino Linotype" w:hAnsi="Palatino Linotype" w:cs="Palatino Linotype"/>
          <w:highlight w:val="white"/>
        </w:rPr>
      </w:pP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lastRenderedPageBreak/>
        <w:t xml:space="preserve">De igual forma, deberá observar los Lineamientos Quincuagésimo cuarto, Quincuagésimo quinto, Quincuagésimo séptimo y Quincuagésimo octavo, vigentes a la fecha de la solicitud de información establecen lo siguiente: </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w:t>
      </w:r>
      <w:r>
        <w:rPr>
          <w:rFonts w:ascii="Palatino Linotype" w:eastAsia="Palatino Linotype" w:hAnsi="Palatino Linotype" w:cs="Palatino Linotype"/>
          <w:b/>
          <w:bCs/>
          <w:i/>
          <w:iCs/>
          <w:highlight w:val="white"/>
        </w:rPr>
        <w:t>Quincuagésimo cuarto.</w:t>
      </w:r>
      <w:r>
        <w:rPr>
          <w:rFonts w:ascii="Palatino Linotype" w:eastAsia="Palatino Linotype" w:hAnsi="Palatino Linotype" w:cs="Palatino Linotype"/>
          <w:i/>
          <w:iCs/>
          <w:highlight w:val="white"/>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b/>
          <w:bCs/>
          <w:i/>
          <w:iCs/>
          <w:highlight w:val="white"/>
        </w:rPr>
        <w:t>Quincuagésimo quinto.</w:t>
      </w:r>
      <w:r>
        <w:rPr>
          <w:rFonts w:ascii="Palatino Linotype" w:eastAsia="Palatino Linotype" w:hAnsi="Palatino Linotype" w:cs="Palatino Linotype"/>
          <w:i/>
          <w:iCs/>
          <w:highlight w:val="white"/>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b/>
          <w:bCs/>
          <w:i/>
          <w:iCs/>
          <w:highlight w:val="white"/>
        </w:rPr>
        <w:t>Quincuagésimo séptimo.</w:t>
      </w:r>
      <w:r>
        <w:rPr>
          <w:rFonts w:ascii="Palatino Linotype" w:eastAsia="Palatino Linotype" w:hAnsi="Palatino Linotype" w:cs="Palatino Linotype"/>
          <w:i/>
          <w:iCs/>
          <w:highlight w:val="white"/>
        </w:rPr>
        <w:t xml:space="preserve"> Se considera, en principio, como información pública y no podrá omitirse de las versiones públicas la siguiente: </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 La relativa a las Obligaciones de Transparencia que contempla el Título V de la Ley General y las demás disposiciones legales aplicables; </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II. El nombre de los integrantes de los sujetos obligados en los documentos, y sus firmas autógrafas o digitales, cuando sean utilizados en el ejercicio de las facultades conferidas para el desempeño del servicio público, y</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 xml:space="preserve">Lo anterior, siempre y cuando no se acredite alguna causal de clasificación, prevista en las leyes o en los tratados internacionales suscritas por el Estado mexicano.  </w:t>
      </w:r>
    </w:p>
    <w:p w:rsidR="00477DD3" w:rsidRDefault="00D27684">
      <w:pPr>
        <w:ind w:left="567" w:right="-734"/>
        <w:jc w:val="both"/>
        <w:rPr>
          <w:rFonts w:ascii="Palatino Linotype" w:eastAsia="Palatino Linotype" w:hAnsi="Palatino Linotype" w:cs="Palatino Linotype"/>
          <w:i/>
          <w:iCs/>
          <w:highlight w:val="white"/>
        </w:rPr>
      </w:pPr>
      <w:r>
        <w:rPr>
          <w:rFonts w:ascii="Palatino Linotype" w:eastAsia="Palatino Linotype" w:hAnsi="Palatino Linotype" w:cs="Palatino Linotype"/>
          <w:i/>
          <w:iCs/>
          <w:highlight w:val="white"/>
        </w:rPr>
        <w:t>Quincuagésimo octavo. Los sujetos obligados garantizarán que los sistemas o medios empleados para eliminar la información en las versiones públicas sean irreversibles, de tal forma que no permitan su recuperación o la visualización de la misma.”</w:t>
      </w:r>
    </w:p>
    <w:p w:rsidR="00477DD3" w:rsidRDefault="00477DD3">
      <w:pPr>
        <w:spacing w:line="360" w:lineRule="auto"/>
        <w:ind w:left="567" w:right="-734"/>
        <w:jc w:val="both"/>
        <w:rPr>
          <w:rFonts w:ascii="Palatino Linotype" w:eastAsia="Palatino Linotype" w:hAnsi="Palatino Linotype" w:cs="Palatino Linotype"/>
          <w:i/>
          <w:iCs/>
          <w:highlight w:val="white"/>
        </w:rPr>
      </w:pP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Es entonces que, la entrega de documentos en su versión pública debe acompañarse necesariamente del Acuerdo del Comité de Transparencia que la sustente, el cual debe estar debidamente fundado y motivado y, deberá exponer los fundamentos y razonamientos que </w:t>
      </w:r>
      <w:r>
        <w:rPr>
          <w:rFonts w:ascii="Palatino Linotype" w:eastAsia="Palatino Linotype" w:hAnsi="Palatino Linotype" w:cs="Palatino Linotype"/>
          <w:color w:val="000000"/>
          <w:highlight w:val="white"/>
        </w:rPr>
        <w:lastRenderedPageBreak/>
        <w:t>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477DD3" w:rsidRDefault="00477DD3">
      <w:pPr>
        <w:spacing w:line="360" w:lineRule="auto"/>
        <w:ind w:right="-734"/>
        <w:jc w:val="both"/>
        <w:rPr>
          <w:rFonts w:ascii="Palatino Linotype" w:eastAsia="Palatino Linotype" w:hAnsi="Palatino Linotype" w:cs="Palatino Linotype"/>
          <w:highlight w:val="white"/>
        </w:rPr>
      </w:pPr>
    </w:p>
    <w:p w:rsidR="00477DD3" w:rsidRDefault="00D27684" w:rsidP="00FC6093">
      <w:pPr>
        <w:numPr>
          <w:ilvl w:val="0"/>
          <w:numId w:val="18"/>
        </w:numPr>
        <w:pBdr>
          <w:top w:val="nil"/>
          <w:left w:val="nil"/>
          <w:bottom w:val="nil"/>
          <w:right w:val="nil"/>
          <w:between w:val="nil"/>
        </w:pBdr>
        <w:spacing w:line="360" w:lineRule="auto"/>
        <w:ind w:left="567" w:right="-734"/>
        <w:jc w:val="both"/>
        <w:rPr>
          <w:rFonts w:ascii="Palatino Linotype" w:eastAsia="Palatino Linotype" w:hAnsi="Palatino Linotype" w:cs="Palatino Linotype"/>
          <w:b/>
          <w:bCs/>
          <w:color w:val="000000"/>
          <w:highlight w:val="white"/>
        </w:rPr>
      </w:pPr>
      <w:r>
        <w:rPr>
          <w:rFonts w:ascii="Palatino Linotype" w:eastAsia="Palatino Linotype" w:hAnsi="Palatino Linotype" w:cs="Palatino Linotype"/>
          <w:b/>
          <w:bCs/>
          <w:color w:val="000000"/>
          <w:highlight w:val="white"/>
        </w:rPr>
        <w:t>Presupuesto otorgado para el Programa Iniciación a la Reproducción Ovina, punto 7 del cuadro descriptivo</w:t>
      </w:r>
    </w:p>
    <w:p w:rsidR="00477DD3" w:rsidRDefault="00D27684">
      <w:pPr>
        <w:numPr>
          <w:ilvl w:val="0"/>
          <w:numId w:val="2"/>
        </w:numPr>
        <w:spacing w:line="360" w:lineRule="auto"/>
        <w:ind w:left="0" w:right="-734" w:firstLine="0"/>
        <w:jc w:val="both"/>
        <w:rPr>
          <w:highlight w:val="white"/>
        </w:rPr>
      </w:pPr>
      <w:r>
        <w:rPr>
          <w:rFonts w:ascii="Palatino Linotype" w:eastAsia="Palatino Linotype" w:hAnsi="Palatino Linotype" w:cs="Palatino Linotype"/>
          <w:highlight w:val="white"/>
        </w:rPr>
        <w:t xml:space="preserve">En relación al Presupuesto otorgado al Programa de apoyo denominado “Iniciación a la Reproducción Ovina” del ejercicio fiscal 2025, el </w:t>
      </w:r>
      <w:r>
        <w:rPr>
          <w:rFonts w:ascii="Palatino Linotype" w:eastAsia="Palatino Linotype" w:hAnsi="Palatino Linotype" w:cs="Palatino Linotype"/>
          <w:b/>
          <w:bCs/>
          <w:highlight w:val="white"/>
        </w:rPr>
        <w:t xml:space="preserve">SUJETO OBLIGADO, </w:t>
      </w:r>
      <w:r>
        <w:rPr>
          <w:rFonts w:ascii="Palatino Linotype" w:eastAsia="Palatino Linotype" w:hAnsi="Palatino Linotype" w:cs="Palatino Linotype"/>
          <w:highlight w:val="white"/>
        </w:rPr>
        <w:t>omitió pronunciarse, no obstante del Plan de Desarrollo Municipal 2025-2027, se advierte que para el ejercicio fiscal 2025, se contempló el Programa de Apoyo de referencia, tal como se muestra con la siguiente captura de pantalla:</w:t>
      </w:r>
    </w:p>
    <w:p w:rsidR="00477DD3" w:rsidRDefault="00D27684">
      <w:pPr>
        <w:spacing w:line="360" w:lineRule="auto"/>
        <w:ind w:right="-734"/>
        <w:jc w:val="both"/>
        <w:rPr>
          <w:rFonts w:ascii="Palatino Linotype" w:eastAsia="Palatino Linotype" w:hAnsi="Palatino Linotype" w:cs="Palatino Linotype"/>
          <w:highlight w:val="white"/>
        </w:rPr>
      </w:pPr>
      <w:r>
        <w:rPr>
          <w:rFonts w:ascii="Palatino Linotype" w:eastAsia="Palatino Linotype" w:hAnsi="Palatino Linotype" w:cs="Palatino Linotype"/>
          <w:noProof/>
          <w:highlight w:val="white"/>
        </w:rPr>
        <w:lastRenderedPageBreak/>
        <w:drawing>
          <wp:inline distT="0" distB="0" distL="0" distR="0">
            <wp:extent cx="5742940" cy="204660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42940" cy="2046605"/>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simplePos x="0" y="0"/>
                <wp:positionH relativeFrom="column">
                  <wp:posOffset>86995</wp:posOffset>
                </wp:positionH>
                <wp:positionV relativeFrom="paragraph">
                  <wp:posOffset>1336040</wp:posOffset>
                </wp:positionV>
                <wp:extent cx="5685790" cy="409575"/>
                <wp:effectExtent l="0" t="0" r="0" b="0"/>
                <wp:wrapNone/>
                <wp:docPr id="1" name="Rectángulo 1"/>
                <wp:cNvGraphicFramePr/>
                <a:graphic xmlns:a="http://schemas.openxmlformats.org/drawingml/2006/main">
                  <a:graphicData uri="http://schemas.microsoft.com/office/word/2010/wordprocessingShape">
                    <wps:wsp>
                      <wps:cNvSpPr/>
                      <wps:spPr>
                        <a:xfrm>
                          <a:off x="2531680" y="3603788"/>
                          <a:ext cx="5628640" cy="352425"/>
                        </a:xfrm>
                        <a:prstGeom prst="rect">
                          <a:avLst/>
                        </a:prstGeom>
                        <a:noFill/>
                        <a:ln w="57150" cap="flat" cmpd="sng">
                          <a:solidFill>
                            <a:srgbClr val="FF0000"/>
                          </a:solidFill>
                          <a:prstDash val="solid"/>
                          <a:miter lim="800000"/>
                          <a:headEnd type="none" w="sm" len="sm"/>
                          <a:tailEnd type="none" w="sm" len="sm"/>
                        </a:ln>
                      </wps:spPr>
                      <wps:txbx>
                        <w:txbxContent>
                          <w:p w:rsidR="00FC6093" w:rsidRDefault="00FC6093">
                            <w:pPr>
                              <w:textDirection w:val="btLr"/>
                            </w:pPr>
                          </w:p>
                        </w:txbxContent>
                      </wps:txbx>
                      <wps:bodyPr spcFirstLastPara="1" wrap="square" lIns="91425" tIns="91425" rIns="91425" bIns="91425" anchor="ctr" anchorCtr="0">
                        <a:noAutofit/>
                      </wps:bodyPr>
                    </wps:wsp>
                  </a:graphicData>
                </a:graphic>
              </wp:anchor>
            </w:drawing>
          </mc:Choice>
          <mc:Fallback>
            <w:pict>
              <v:rect id="Rectángulo 1" o:spid="_x0000_s1026" style="position:absolute;left:0;text-align:left;margin-left:6.85pt;margin-top:105.2pt;width:447.7pt;height:32.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" filled="f" strokecolor="red" strokeweight="4.5pt">
                <v:stroke startarrowwidth="narrow" startarrowlength="short" endarrowwidth="narrow" endarrowlength="short"/>
                <v:textbox inset="2.53958mm,2.53958mm,2.53958mm,2.53958mm">
                  <w:txbxContent>
                    <w:p w:rsidR="00FC6093" w:rsidRDefault="00FC6093">
                      <w:pPr>
                        <w:textDirection w:val="btLr"/>
                      </w:pPr>
                    </w:p>
                  </w:txbxContent>
                </v:textbox>
              </v:rect>
            </w:pict>
          </mc:Fallback>
        </mc:AlternateContent>
      </w:r>
    </w:p>
    <w:p w:rsidR="00477DD3" w:rsidRDefault="00477DD3">
      <w:pPr>
        <w:spacing w:line="360" w:lineRule="auto"/>
        <w:ind w:right="-734"/>
        <w:jc w:val="both"/>
        <w:rPr>
          <w:rFonts w:ascii="Palatino Linotype" w:eastAsia="Palatino Linotype" w:hAnsi="Palatino Linotype" w:cs="Palatino Linotype"/>
          <w:highlight w:val="white"/>
        </w:rPr>
      </w:pPr>
    </w:p>
    <w:p w:rsidR="00477DD3" w:rsidRPr="00D437DA" w:rsidRDefault="00D27684">
      <w:pPr>
        <w:numPr>
          <w:ilvl w:val="0"/>
          <w:numId w:val="2"/>
        </w:numPr>
        <w:spacing w:line="360" w:lineRule="auto"/>
        <w:ind w:left="0" w:right="-734" w:firstLine="0"/>
        <w:jc w:val="both"/>
      </w:pPr>
      <w:r>
        <w:rPr>
          <w:rFonts w:ascii="Palatino Linotype" w:eastAsia="Palatino Linotype" w:hAnsi="Palatino Linotype" w:cs="Palatino Linotype"/>
          <w:highlight w:val="white"/>
        </w:rPr>
        <w:t>Cabe precisar que la información que se presenta corresponde a la lista de trámites y servicios ofrecidos por la Dirección de Desarrollo y Fomento Económico para el ejercicio fiscal 2025.</w:t>
      </w:r>
    </w:p>
    <w:p w:rsidR="00D27684" w:rsidRPr="00D437DA" w:rsidRDefault="00D27684" w:rsidP="00D27684">
      <w:pPr>
        <w:pBdr>
          <w:top w:val="nil"/>
          <w:left w:val="nil"/>
          <w:bottom w:val="nil"/>
          <w:right w:val="nil"/>
          <w:between w:val="nil"/>
        </w:pBdr>
        <w:spacing w:line="360" w:lineRule="auto"/>
        <w:ind w:right="-734"/>
        <w:jc w:val="both"/>
      </w:pPr>
    </w:p>
    <w:p w:rsidR="00D27684" w:rsidRPr="00D437DA" w:rsidRDefault="00D27684">
      <w:pPr>
        <w:numPr>
          <w:ilvl w:val="0"/>
          <w:numId w:val="2"/>
        </w:numPr>
        <w:pBdr>
          <w:top w:val="nil"/>
          <w:left w:val="nil"/>
          <w:bottom w:val="nil"/>
          <w:right w:val="nil"/>
          <w:between w:val="nil"/>
        </w:pBdr>
        <w:spacing w:line="360" w:lineRule="auto"/>
        <w:ind w:left="0" w:right="-734" w:firstLine="0"/>
        <w:jc w:val="both"/>
      </w:pPr>
      <w:r w:rsidRPr="00D437DA">
        <w:t xml:space="preserve">Así mimo, es de recalcar que el </w:t>
      </w:r>
      <w:r w:rsidRPr="00D437DA">
        <w:rPr>
          <w:b/>
        </w:rPr>
        <w:t xml:space="preserve">SUJETO OBLIGADO, </w:t>
      </w:r>
      <w:r w:rsidRPr="00D437DA">
        <w:t xml:space="preserve">omitió pronunciarse respeto a los Programas ofrecidos por la Dirección de Turismo, por lo que conviene especificar que el </w:t>
      </w:r>
      <w:r w:rsidRPr="00D437DA">
        <w:rPr>
          <w:rFonts w:ascii="Palatino Linotype" w:eastAsia="Palatino Linotype" w:hAnsi="Palatino Linotype" w:cs="Palatino Linotype"/>
        </w:rPr>
        <w:t>Plan de Desarrollo Municipal 2025-2027, establece las siguiente</w:t>
      </w:r>
      <w:r w:rsidR="00A60CC7" w:rsidRPr="00D437DA">
        <w:rPr>
          <w:rFonts w:ascii="Palatino Linotype" w:eastAsia="Palatino Linotype" w:hAnsi="Palatino Linotype" w:cs="Palatino Linotype"/>
        </w:rPr>
        <w:t>s acciones para la Dirección de Turismo:</w:t>
      </w:r>
    </w:p>
    <w:p w:rsidR="00A60CC7" w:rsidRPr="00D437DA" w:rsidRDefault="00A60CC7" w:rsidP="00A60CC7">
      <w:pPr>
        <w:pStyle w:val="Prrafodelista"/>
      </w:pPr>
      <w:r w:rsidRPr="00D437DA">
        <w:rPr>
          <w:noProof/>
        </w:rPr>
        <w:drawing>
          <wp:inline distT="0" distB="0" distL="0" distR="0" wp14:anchorId="09D4F10B" wp14:editId="2A37CFE9">
            <wp:extent cx="5742940" cy="167894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2940" cy="1678940"/>
                    </a:xfrm>
                    <a:prstGeom prst="rect">
                      <a:avLst/>
                    </a:prstGeom>
                  </pic:spPr>
                </pic:pic>
              </a:graphicData>
            </a:graphic>
          </wp:inline>
        </w:drawing>
      </w:r>
    </w:p>
    <w:p w:rsidR="00A60CC7" w:rsidRPr="00D437DA" w:rsidRDefault="00A60CC7" w:rsidP="00A60CC7">
      <w:pPr>
        <w:pBdr>
          <w:top w:val="nil"/>
          <w:left w:val="nil"/>
          <w:bottom w:val="nil"/>
          <w:right w:val="nil"/>
          <w:between w:val="nil"/>
        </w:pBdr>
        <w:spacing w:line="360" w:lineRule="auto"/>
        <w:ind w:right="-734"/>
        <w:jc w:val="both"/>
      </w:pPr>
    </w:p>
    <w:p w:rsidR="00D27684" w:rsidRPr="00D437DA" w:rsidRDefault="00A60CC7">
      <w:pPr>
        <w:numPr>
          <w:ilvl w:val="0"/>
          <w:numId w:val="2"/>
        </w:numPr>
        <w:pBdr>
          <w:top w:val="nil"/>
          <w:left w:val="nil"/>
          <w:bottom w:val="nil"/>
          <w:right w:val="nil"/>
          <w:between w:val="nil"/>
        </w:pBdr>
        <w:spacing w:line="360" w:lineRule="auto"/>
        <w:ind w:left="0" w:right="-734" w:firstLine="0"/>
        <w:jc w:val="both"/>
        <w:rPr>
          <w:rFonts w:ascii="Palatino Linotype" w:hAnsi="Palatino Linotype"/>
        </w:rPr>
      </w:pPr>
      <w:r w:rsidRPr="00D437DA">
        <w:rPr>
          <w:rFonts w:ascii="Palatino Linotype" w:hAnsi="Palatino Linotype"/>
        </w:rPr>
        <w:t xml:space="preserve">No obstante es de señalar que a pesar de que se establecen programas y/o acciones para la Dirección de Turismo, dicha Unidad Administrativa no se pronunció respecto a lo </w:t>
      </w:r>
      <w:r w:rsidRPr="00D437DA">
        <w:rPr>
          <w:rFonts w:ascii="Palatino Linotype" w:hAnsi="Palatino Linotype"/>
        </w:rPr>
        <w:lastRenderedPageBreak/>
        <w:t>solicitado por el particular, por ende se trae a estudio lo establecido el artículo 82, que a la letra señala:</w:t>
      </w:r>
    </w:p>
    <w:p w:rsidR="00A60CC7" w:rsidRPr="00D437DA" w:rsidRDefault="00A60CC7" w:rsidP="00A60CC7">
      <w:pPr>
        <w:pBdr>
          <w:top w:val="nil"/>
          <w:left w:val="nil"/>
          <w:bottom w:val="nil"/>
          <w:right w:val="nil"/>
          <w:between w:val="nil"/>
        </w:pBdr>
        <w:tabs>
          <w:tab w:val="left" w:pos="567"/>
        </w:tabs>
        <w:ind w:left="567" w:right="-28"/>
        <w:jc w:val="both"/>
        <w:rPr>
          <w:rFonts w:ascii="Palatino Linotype" w:hAnsi="Palatino Linotype"/>
          <w:i/>
          <w:sz w:val="22"/>
          <w:szCs w:val="22"/>
        </w:rPr>
      </w:pPr>
      <w:r w:rsidRPr="00D437DA">
        <w:rPr>
          <w:rFonts w:ascii="Palatino Linotype" w:hAnsi="Palatino Linotype"/>
          <w:b/>
          <w:i/>
          <w:sz w:val="22"/>
          <w:szCs w:val="22"/>
        </w:rPr>
        <w:t>ARTÍCULO 82.-</w:t>
      </w:r>
      <w:r w:rsidRPr="00D437DA">
        <w:rPr>
          <w:rFonts w:ascii="Palatino Linotype" w:hAnsi="Palatino Linotype"/>
          <w:i/>
          <w:sz w:val="22"/>
          <w:szCs w:val="22"/>
        </w:rPr>
        <w:t xml:space="preserve"> El Ayuntamiento por conducto de la </w:t>
      </w:r>
      <w:r w:rsidRPr="00D437DA">
        <w:rPr>
          <w:rFonts w:ascii="Palatino Linotype" w:hAnsi="Palatino Linotype"/>
          <w:b/>
          <w:i/>
          <w:sz w:val="22"/>
          <w:szCs w:val="22"/>
        </w:rPr>
        <w:t>Dirección de Turismo y Cultura</w:t>
      </w:r>
      <w:r w:rsidRPr="00D437DA">
        <w:rPr>
          <w:rFonts w:ascii="Palatino Linotype" w:hAnsi="Palatino Linotype"/>
          <w:i/>
          <w:sz w:val="22"/>
          <w:szCs w:val="22"/>
        </w:rPr>
        <w:t xml:space="preserve">, tiene la finalidad de promover y plantear </w:t>
      </w:r>
      <w:r w:rsidRPr="00D437DA">
        <w:rPr>
          <w:rFonts w:ascii="Palatino Linotype" w:hAnsi="Palatino Linotype"/>
          <w:b/>
          <w:i/>
          <w:sz w:val="22"/>
          <w:szCs w:val="22"/>
        </w:rPr>
        <w:t>las acciones para la ejecución de las actividades culturales y artísticas, en beneficio de todos los habitantes del municipio.</w:t>
      </w:r>
      <w:r w:rsidRPr="00D437DA">
        <w:rPr>
          <w:rFonts w:ascii="Palatino Linotype" w:hAnsi="Palatino Linotype"/>
          <w:i/>
          <w:sz w:val="22"/>
          <w:szCs w:val="22"/>
        </w:rPr>
        <w:t xml:space="preserve"> </w:t>
      </w:r>
    </w:p>
    <w:p w:rsidR="00A60CC7" w:rsidRPr="00D437DA" w:rsidRDefault="00A60CC7" w:rsidP="00A60CC7">
      <w:pPr>
        <w:pBdr>
          <w:top w:val="nil"/>
          <w:left w:val="nil"/>
          <w:bottom w:val="nil"/>
          <w:right w:val="nil"/>
          <w:between w:val="nil"/>
        </w:pBdr>
        <w:tabs>
          <w:tab w:val="left" w:pos="567"/>
        </w:tabs>
        <w:ind w:left="567" w:right="-28"/>
        <w:jc w:val="both"/>
        <w:rPr>
          <w:rFonts w:ascii="Palatino Linotype" w:hAnsi="Palatino Linotype"/>
          <w:i/>
          <w:sz w:val="22"/>
          <w:szCs w:val="22"/>
        </w:rPr>
      </w:pPr>
    </w:p>
    <w:p w:rsidR="00A60CC7" w:rsidRPr="00D437DA" w:rsidRDefault="00A60CC7" w:rsidP="00A60CC7">
      <w:pPr>
        <w:pBdr>
          <w:top w:val="nil"/>
          <w:left w:val="nil"/>
          <w:bottom w:val="nil"/>
          <w:right w:val="nil"/>
          <w:between w:val="nil"/>
        </w:pBdr>
        <w:tabs>
          <w:tab w:val="left" w:pos="567"/>
        </w:tabs>
        <w:ind w:left="567" w:right="-28"/>
        <w:jc w:val="both"/>
        <w:rPr>
          <w:rFonts w:ascii="Palatino Linotype" w:hAnsi="Palatino Linotype"/>
          <w:i/>
          <w:sz w:val="22"/>
          <w:szCs w:val="22"/>
        </w:rPr>
      </w:pPr>
      <w:r w:rsidRPr="00D437DA">
        <w:rPr>
          <w:rFonts w:ascii="Palatino Linotype" w:hAnsi="Palatino Linotype"/>
          <w:i/>
          <w:sz w:val="22"/>
          <w:szCs w:val="22"/>
        </w:rPr>
        <w:t xml:space="preserve">Tendrá las siguientes atribuciones de acuerdo con las disposiciones de este Bando Municipal y demás reglamentos vigentes aplicables: Fomentar y promover actividades de lectura, educativas, ecoturísticas, culturales, artísticas, festivales y los encuentros culturales que fortalezcan el Desarrollo Integral de los habitantes del Municipio, a fin de continuar con la preservación de las costumbres, tradiciones y la apreciación de las diferentes expresiones artísticas, conservando el Patrimonio histórico, fomentando el gusto por el arte y la cultura a la ciudadanía en general de este Municipio. </w:t>
      </w:r>
    </w:p>
    <w:p w:rsidR="00A60CC7" w:rsidRPr="00D437DA" w:rsidRDefault="00A60CC7" w:rsidP="00A60CC7">
      <w:pPr>
        <w:pBdr>
          <w:top w:val="nil"/>
          <w:left w:val="nil"/>
          <w:bottom w:val="nil"/>
          <w:right w:val="nil"/>
          <w:between w:val="nil"/>
        </w:pBdr>
        <w:tabs>
          <w:tab w:val="left" w:pos="567"/>
        </w:tabs>
        <w:ind w:left="567" w:right="-28"/>
        <w:jc w:val="both"/>
        <w:rPr>
          <w:rFonts w:ascii="Palatino Linotype" w:hAnsi="Palatino Linotype"/>
          <w:i/>
          <w:sz w:val="22"/>
          <w:szCs w:val="22"/>
        </w:rPr>
      </w:pPr>
    </w:p>
    <w:p w:rsidR="00A60CC7" w:rsidRPr="00D437DA" w:rsidRDefault="00A60CC7" w:rsidP="00A60CC7">
      <w:pPr>
        <w:pBdr>
          <w:top w:val="nil"/>
          <w:left w:val="nil"/>
          <w:bottom w:val="nil"/>
          <w:right w:val="nil"/>
          <w:between w:val="nil"/>
        </w:pBdr>
        <w:tabs>
          <w:tab w:val="left" w:pos="567"/>
        </w:tabs>
        <w:ind w:left="567" w:right="-28"/>
        <w:jc w:val="both"/>
        <w:rPr>
          <w:rFonts w:ascii="Palatino Linotype" w:hAnsi="Palatino Linotype"/>
          <w:i/>
          <w:sz w:val="22"/>
          <w:szCs w:val="22"/>
        </w:rPr>
      </w:pPr>
      <w:r w:rsidRPr="00D437DA">
        <w:rPr>
          <w:rFonts w:ascii="Palatino Linotype" w:hAnsi="Palatino Linotype"/>
          <w:i/>
          <w:sz w:val="22"/>
          <w:szCs w:val="22"/>
        </w:rPr>
        <w:t xml:space="preserve">La Dirección de Turismo y Cultura será responsable de realizar la difusión, promoción turística y gestión del Pueblo Mágico de Tepotzotlán, Estado de México. </w:t>
      </w:r>
    </w:p>
    <w:p w:rsidR="00A60CC7" w:rsidRPr="00D437DA" w:rsidRDefault="00A60CC7" w:rsidP="00A60CC7">
      <w:pPr>
        <w:pBdr>
          <w:top w:val="nil"/>
          <w:left w:val="nil"/>
          <w:bottom w:val="nil"/>
          <w:right w:val="nil"/>
          <w:between w:val="nil"/>
        </w:pBdr>
        <w:tabs>
          <w:tab w:val="left" w:pos="567"/>
        </w:tabs>
        <w:ind w:left="567" w:right="-28"/>
        <w:jc w:val="both"/>
        <w:rPr>
          <w:rFonts w:ascii="Palatino Linotype" w:hAnsi="Palatino Linotype"/>
          <w:i/>
          <w:sz w:val="22"/>
          <w:szCs w:val="22"/>
        </w:rPr>
      </w:pPr>
    </w:p>
    <w:p w:rsidR="00A60CC7" w:rsidRPr="00D437DA" w:rsidRDefault="00A60CC7" w:rsidP="00A60CC7">
      <w:pPr>
        <w:pBdr>
          <w:top w:val="nil"/>
          <w:left w:val="nil"/>
          <w:bottom w:val="nil"/>
          <w:right w:val="nil"/>
          <w:between w:val="nil"/>
        </w:pBdr>
        <w:tabs>
          <w:tab w:val="left" w:pos="567"/>
        </w:tabs>
        <w:ind w:left="567" w:right="-28"/>
        <w:jc w:val="both"/>
        <w:rPr>
          <w:rFonts w:ascii="Palatino Linotype" w:hAnsi="Palatino Linotype"/>
          <w:i/>
          <w:sz w:val="22"/>
          <w:szCs w:val="22"/>
        </w:rPr>
      </w:pPr>
      <w:r w:rsidRPr="00D437DA">
        <w:rPr>
          <w:rFonts w:ascii="Palatino Linotype" w:hAnsi="Palatino Linotype"/>
          <w:i/>
          <w:sz w:val="22"/>
          <w:szCs w:val="22"/>
        </w:rPr>
        <w:t>El Ayuntamiento celebrará convenios y acuerdos de coordinación en materia turística con el Gobierno Federal o Estatal, especialmente los que correspondan a la conservación del nombramiento “Tepotzotlán Pueblo Mágico”.</w:t>
      </w:r>
    </w:p>
    <w:p w:rsidR="00A60CC7" w:rsidRPr="00D437DA" w:rsidRDefault="00A60CC7" w:rsidP="00A60CC7">
      <w:pPr>
        <w:pBdr>
          <w:top w:val="nil"/>
          <w:left w:val="nil"/>
          <w:bottom w:val="nil"/>
          <w:right w:val="nil"/>
          <w:between w:val="nil"/>
        </w:pBdr>
        <w:spacing w:line="360" w:lineRule="auto"/>
        <w:ind w:right="-734"/>
        <w:jc w:val="both"/>
        <w:rPr>
          <w:rFonts w:ascii="Palatino Linotype" w:hAnsi="Palatino Linotype"/>
        </w:rPr>
      </w:pP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En ese sentido, y de la revisión a la información entregada, el </w:t>
      </w:r>
      <w:r>
        <w:rPr>
          <w:rFonts w:ascii="Palatino Linotype" w:eastAsia="Palatino Linotype" w:hAnsi="Palatino Linotype" w:cs="Palatino Linotype"/>
          <w:b/>
          <w:bCs/>
          <w:color w:val="000000"/>
          <w:highlight w:val="white"/>
        </w:rPr>
        <w:t xml:space="preserve">Sujeto Obligado </w:t>
      </w:r>
      <w:r>
        <w:rPr>
          <w:rFonts w:ascii="Palatino Linotype" w:eastAsia="Palatino Linotype" w:hAnsi="Palatino Linotype" w:cs="Palatino Linotype"/>
          <w:color w:val="000000"/>
          <w:highlight w:val="white"/>
        </w:rPr>
        <w:t xml:space="preserve">sólo se concretó a entregar el presupuesto autorizado para el ejercicio fiscal 2024 del Programa de apoyo denominado “Iniciación a la Reproducción Ovina”; sin embargo, omitió </w:t>
      </w:r>
      <w:r>
        <w:rPr>
          <w:rFonts w:ascii="Palatino Linotype" w:eastAsia="Palatino Linotype" w:hAnsi="Palatino Linotype" w:cs="Palatino Linotype"/>
          <w:highlight w:val="white"/>
        </w:rPr>
        <w:t>pronunciarse</w:t>
      </w:r>
      <w:r>
        <w:rPr>
          <w:rFonts w:ascii="Palatino Linotype" w:eastAsia="Palatino Linotype" w:hAnsi="Palatino Linotype" w:cs="Palatino Linotype"/>
          <w:color w:val="000000"/>
          <w:highlight w:val="white"/>
        </w:rPr>
        <w:t xml:space="preserve"> respecto al presupuesto otorgada para el ej</w:t>
      </w:r>
      <w:r w:rsidR="00A60CC7">
        <w:rPr>
          <w:rFonts w:ascii="Palatino Linotype" w:eastAsia="Palatino Linotype" w:hAnsi="Palatino Linotype" w:cs="Palatino Linotype"/>
          <w:color w:val="000000"/>
          <w:highlight w:val="white"/>
        </w:rPr>
        <w:t xml:space="preserve">ercicio fiscal 2025; así como, de los Programas de apoyo ejecutados en </w:t>
      </w:r>
      <w:r w:rsidR="00FC7CEF">
        <w:rPr>
          <w:rFonts w:ascii="Palatino Linotype" w:eastAsia="Palatino Linotype" w:hAnsi="Palatino Linotype" w:cs="Palatino Linotype"/>
          <w:color w:val="000000"/>
          <w:highlight w:val="white"/>
        </w:rPr>
        <w:t>los ejercicios fiscales 2024-2025 en relación al turismo</w:t>
      </w:r>
      <w:r>
        <w:rPr>
          <w:rFonts w:ascii="Palatino Linotype" w:eastAsia="Palatino Linotype" w:hAnsi="Palatino Linotype" w:cs="Palatino Linotype"/>
          <w:color w:val="000000"/>
          <w:highlight w:val="white"/>
        </w:rPr>
        <w:t xml:space="preserve"> de ahí que, la respuesta careció de los principios de congruencia y exhaustividad, como refuerzo de lo anterior, resulta crucial el Criterio orientador 02/17, emitido por el entonces Instituto Nacional de Transparencia y Acceso a la Información y Protección de Datos Personales, de título y texto siguientes:</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b/>
          <w:bCs/>
          <w:i/>
          <w:iCs/>
          <w:color w:val="000000"/>
          <w:highlight w:val="white"/>
        </w:rPr>
        <w:t xml:space="preserve">“Congruencia y exhaustividad. Sus alcances para garantizar el derecho de acceso a la información. </w:t>
      </w:r>
      <w:r>
        <w:rPr>
          <w:rFonts w:ascii="Palatino Linotype" w:eastAsia="Palatino Linotype" w:hAnsi="Palatino Linotype" w:cs="Palatino Linotype"/>
          <w:i/>
          <w:iCs/>
          <w:color w:val="000000"/>
          <w:highlight w:val="white"/>
        </w:rPr>
        <w:t xml:space="preserve">De conformidad con el artículo 3 de la Ley Federal de Procedimiento </w:t>
      </w:r>
      <w:r>
        <w:rPr>
          <w:rFonts w:ascii="Palatino Linotype" w:eastAsia="Palatino Linotype" w:hAnsi="Palatino Linotype" w:cs="Palatino Linotype"/>
          <w:i/>
          <w:iCs/>
          <w:color w:val="000000"/>
          <w:highlight w:val="white"/>
        </w:rPr>
        <w:lastRenderedPageBreak/>
        <w:t>Administrativo, de aplicación supl</w:t>
      </w:r>
      <w:r>
        <w:rPr>
          <w:rFonts w:ascii="Palatino Linotype" w:eastAsia="Palatino Linotype" w:hAnsi="Palatino Linotype" w:cs="Palatino Linotype"/>
          <w:i/>
          <w:iCs/>
          <w:color w:val="000000"/>
        </w:rPr>
        <w:t xml:space="preserve">etoria a la Ley Federal de Transparencia y Acceso a la Información Pública, en términos de su artículo 7; todo acto administrativo debe cumplir con los principios de congruencia y exhaustividad. Para el efectivo ejercicio del derecho de acceso a la información, </w:t>
      </w:r>
      <w:r>
        <w:rPr>
          <w:rFonts w:ascii="Palatino Linotype" w:eastAsia="Palatino Linotype" w:hAnsi="Palatino Linotype" w:cs="Palatino Linotype"/>
          <w:b/>
          <w:bCs/>
          <w:i/>
          <w:iCs/>
          <w:color w:val="000000"/>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color w:val="000000"/>
        </w:rPr>
        <w:t xml:space="preserve">; mientras que </w:t>
      </w:r>
      <w:r>
        <w:rPr>
          <w:rFonts w:ascii="Palatino Linotype" w:eastAsia="Palatino Linotype" w:hAnsi="Palatino Linotype" w:cs="Palatino Linotype"/>
          <w:b/>
          <w:bCs/>
          <w:i/>
          <w:iCs/>
          <w:color w:val="000000"/>
        </w:rPr>
        <w:t>la exhaustividad significa que dicha respuesta se refiera expresamente a cada uno de los puntos solicitados</w:t>
      </w:r>
      <w:r>
        <w:rPr>
          <w:rFonts w:ascii="Palatino Linotype" w:eastAsia="Palatino Linotype" w:hAnsi="Palatino Linotype" w:cs="Palatino Linotype"/>
          <w:i/>
          <w:iCs/>
          <w:color w:val="000000"/>
        </w:rPr>
        <w:t xml:space="preserve">. Por lo anterior, los sujetos obligados cumplirán con los principios de congruencia y exhaustividad, cuando las respuestas que emitan guarden una relación lógica con lo solicitado y atiendan de manera puntual y expresa, cada </w:t>
      </w:r>
      <w:r>
        <w:rPr>
          <w:rFonts w:ascii="Palatino Linotype" w:eastAsia="Palatino Linotype" w:hAnsi="Palatino Linotype" w:cs="Palatino Linotype"/>
          <w:i/>
          <w:iCs/>
          <w:color w:val="000000"/>
          <w:highlight w:val="white"/>
        </w:rPr>
        <w:t>uno de los contenidos de información.” (Sic)</w:t>
      </w:r>
    </w:p>
    <w:p w:rsidR="00477DD3" w:rsidRDefault="00477DD3">
      <w:pPr>
        <w:pBdr>
          <w:top w:val="nil"/>
          <w:left w:val="nil"/>
          <w:bottom w:val="nil"/>
          <w:right w:val="nil"/>
          <w:between w:val="nil"/>
        </w:pBdr>
        <w:spacing w:line="360" w:lineRule="auto"/>
        <w:ind w:left="567" w:right="-734"/>
        <w:jc w:val="both"/>
        <w:rPr>
          <w:rFonts w:ascii="Palatino Linotype" w:eastAsia="Palatino Linotype" w:hAnsi="Palatino Linotype" w:cs="Palatino Linotype"/>
          <w:i/>
          <w:iCs/>
          <w:color w:val="000000"/>
          <w:highlight w:val="white"/>
        </w:rPr>
      </w:pPr>
    </w:p>
    <w:p w:rsidR="00FE2BFC" w:rsidRDefault="00D27684" w:rsidP="00FE2BFC">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Razones por las cuales lo procedente es ordenar, previa búsqueda exhaustiva y razonable, el o los documentos que den cuenta del presupuesto asignado para el programa denominado “Iniciación a la Reproducción Ovina” durante el ejercicio fiscal 2025, en versión pública de ser procedente conforme a lo señalado por el considerando quinto del presente fallo. </w:t>
      </w:r>
    </w:p>
    <w:p w:rsidR="00FE2BFC" w:rsidRPr="00FE2BFC" w:rsidRDefault="00FE2BFC" w:rsidP="00FE2BFC">
      <w:pPr>
        <w:pBdr>
          <w:top w:val="nil"/>
          <w:left w:val="nil"/>
          <w:bottom w:val="nil"/>
          <w:right w:val="nil"/>
          <w:between w:val="nil"/>
        </w:pBdr>
        <w:spacing w:line="360" w:lineRule="auto"/>
        <w:ind w:right="-734"/>
        <w:jc w:val="both"/>
        <w:rPr>
          <w:highlight w:val="white"/>
        </w:rPr>
      </w:pPr>
    </w:p>
    <w:p w:rsidR="00477DD3" w:rsidRDefault="00FE2BFC">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Así las cosas, cabe </w:t>
      </w:r>
      <w:r w:rsidR="00D27684">
        <w:rPr>
          <w:rFonts w:ascii="Palatino Linotype" w:eastAsia="Palatino Linotype" w:hAnsi="Palatino Linotype" w:cs="Palatino Linotype"/>
          <w:color w:val="000000"/>
          <w:highlight w:val="white"/>
        </w:rPr>
        <w:t>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477DD3" w:rsidRDefault="00477DD3">
      <w:pPr>
        <w:pBdr>
          <w:top w:val="nil"/>
          <w:left w:val="nil"/>
          <w:bottom w:val="nil"/>
          <w:right w:val="nil"/>
          <w:between w:val="nil"/>
        </w:pBdr>
        <w:tabs>
          <w:tab w:val="left" w:pos="2475"/>
        </w:tabs>
        <w:spacing w:line="360" w:lineRule="auto"/>
        <w:ind w:right="-734"/>
        <w:jc w:val="both"/>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tabs>
          <w:tab w:val="left" w:pos="0"/>
          <w:tab w:val="left" w:pos="567"/>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En este sentido, para atender las solicitudes de información, los Sujetos Obligados contarán con un área denominada Unidad de Transparencia</w:t>
      </w:r>
      <w:r>
        <w:rPr>
          <w:rFonts w:ascii="Palatino Linotype" w:eastAsia="Palatino Linotype" w:hAnsi="Palatino Linotype" w:cs="Palatino Linotype"/>
          <w:color w:val="000000"/>
          <w:highlight w:val="white"/>
          <w:vertAlign w:val="superscript"/>
        </w:rPr>
        <w:footnoteReference w:id="5"/>
      </w:r>
      <w:r>
        <w:rPr>
          <w:rFonts w:ascii="Palatino Linotype" w:eastAsia="Palatino Linotype" w:hAnsi="Palatino Linotype" w:cs="Palatino Linotype"/>
          <w:color w:val="000000"/>
          <w:highlight w:val="white"/>
        </w:rPr>
        <w:t xml:space="preserve">, la cual será presidida por un </w:t>
      </w:r>
      <w:r>
        <w:rPr>
          <w:rFonts w:ascii="Palatino Linotype" w:eastAsia="Palatino Linotype" w:hAnsi="Palatino Linotype" w:cs="Palatino Linotype"/>
          <w:color w:val="000000"/>
          <w:highlight w:val="white"/>
        </w:rPr>
        <w:lastRenderedPageBreak/>
        <w:t>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Pr>
          <w:rFonts w:ascii="Palatino Linotype" w:eastAsia="Palatino Linotype" w:hAnsi="Palatino Linotype" w:cs="Palatino Linotype"/>
          <w:b/>
          <w:bCs/>
          <w:color w:val="000000"/>
          <w:highlight w:val="white"/>
        </w:rPr>
        <w:t xml:space="preserve"> </w:t>
      </w:r>
      <w:r>
        <w:rPr>
          <w:rFonts w:ascii="Palatino Linotype" w:eastAsia="Palatino Linotype" w:hAnsi="Palatino Linotype" w:cs="Palatino Linotype"/>
          <w:color w:val="000000"/>
          <w:highlight w:val="white"/>
        </w:rPr>
        <w:t>en los términos de la Ley General y la Ley de Transparencia y Acceso a la Información Pública del Estado de México y Municipios</w:t>
      </w:r>
      <w:r>
        <w:rPr>
          <w:rFonts w:ascii="Palatino Linotype" w:eastAsia="Palatino Linotype" w:hAnsi="Palatino Linotype" w:cs="Palatino Linotype"/>
          <w:color w:val="000000"/>
          <w:highlight w:val="white"/>
          <w:vertAlign w:val="superscript"/>
        </w:rPr>
        <w:footnoteReference w:id="6"/>
      </w:r>
      <w:r>
        <w:rPr>
          <w:rFonts w:ascii="Palatino Linotype" w:eastAsia="Palatino Linotype" w:hAnsi="Palatino Linotype" w:cs="Palatino Linotype"/>
          <w:color w:val="000000"/>
          <w:highlight w:val="white"/>
        </w:rPr>
        <w:t>.</w:t>
      </w:r>
    </w:p>
    <w:p w:rsidR="00477DD3" w:rsidRDefault="00477DD3">
      <w:pPr>
        <w:spacing w:line="360" w:lineRule="auto"/>
        <w:ind w:right="-734"/>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tabs>
          <w:tab w:val="left" w:pos="426"/>
          <w:tab w:val="left" w:pos="567"/>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De conformidad con lo dispuesto en la Ley de Transparencia y Acceso a la Información Pública del Estado de México y Municipios, las Unidades de Transparencia tendrán, entre sus atribuciones, las siguientes:</w:t>
      </w:r>
    </w:p>
    <w:p w:rsidR="00477DD3" w:rsidRDefault="00D27684">
      <w:pPr>
        <w:numPr>
          <w:ilvl w:val="1"/>
          <w:numId w:val="4"/>
        </w:numPr>
        <w:pBdr>
          <w:top w:val="nil"/>
          <w:left w:val="nil"/>
          <w:bottom w:val="nil"/>
          <w:right w:val="nil"/>
          <w:between w:val="nil"/>
        </w:pBdr>
        <w:spacing w:line="360" w:lineRule="auto"/>
        <w:ind w:left="709" w:right="-734" w:hanging="142"/>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color w:val="000000"/>
          <w:highlight w:val="white"/>
        </w:rPr>
        <w:t>Recibir, tramitar y dar respuesta a las solicitudes de acceso a la información;</w:t>
      </w:r>
    </w:p>
    <w:p w:rsidR="00477DD3" w:rsidRDefault="00D27684">
      <w:pPr>
        <w:numPr>
          <w:ilvl w:val="1"/>
          <w:numId w:val="4"/>
        </w:numPr>
        <w:pBdr>
          <w:top w:val="nil"/>
          <w:left w:val="nil"/>
          <w:bottom w:val="nil"/>
          <w:right w:val="nil"/>
          <w:between w:val="nil"/>
        </w:pBdr>
        <w:spacing w:line="360" w:lineRule="auto"/>
        <w:ind w:left="709" w:right="-734" w:hanging="142"/>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color w:val="000000"/>
          <w:highlight w:val="white"/>
        </w:rPr>
        <w:t xml:space="preserve">Realizar, con efectividad, los trámites internos necesarios para la atención de las solicitudes de acceso a la información; </w:t>
      </w:r>
    </w:p>
    <w:p w:rsidR="00477DD3" w:rsidRDefault="00D27684">
      <w:pPr>
        <w:numPr>
          <w:ilvl w:val="1"/>
          <w:numId w:val="4"/>
        </w:numPr>
        <w:pBdr>
          <w:top w:val="nil"/>
          <w:left w:val="nil"/>
          <w:bottom w:val="nil"/>
          <w:right w:val="nil"/>
          <w:between w:val="nil"/>
        </w:pBdr>
        <w:spacing w:line="360" w:lineRule="auto"/>
        <w:ind w:left="709" w:right="-734" w:hanging="142"/>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color w:val="000000"/>
          <w:highlight w:val="white"/>
        </w:rPr>
        <w:t xml:space="preserve">Entregar, en su caso, a los particulares la información solicitada; y </w:t>
      </w:r>
    </w:p>
    <w:p w:rsidR="00477DD3" w:rsidRDefault="00D27684">
      <w:pPr>
        <w:numPr>
          <w:ilvl w:val="1"/>
          <w:numId w:val="4"/>
        </w:numPr>
        <w:pBdr>
          <w:top w:val="nil"/>
          <w:left w:val="nil"/>
          <w:bottom w:val="nil"/>
          <w:right w:val="nil"/>
          <w:between w:val="nil"/>
        </w:pBdr>
        <w:spacing w:after="240" w:line="360" w:lineRule="auto"/>
        <w:ind w:left="709" w:right="-734" w:hanging="142"/>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color w:val="000000"/>
          <w:highlight w:val="white"/>
        </w:rPr>
        <w:t>Efectuar las notificaciones a los solicitantes.</w:t>
      </w:r>
    </w:p>
    <w:p w:rsidR="00477DD3" w:rsidRDefault="00D27684">
      <w:pPr>
        <w:numPr>
          <w:ilvl w:val="0"/>
          <w:numId w:val="2"/>
        </w:numPr>
        <w:pBdr>
          <w:top w:val="nil"/>
          <w:left w:val="nil"/>
          <w:bottom w:val="nil"/>
          <w:right w:val="nil"/>
          <w:between w:val="nil"/>
        </w:pBdr>
        <w:tabs>
          <w:tab w:val="left" w:pos="426"/>
          <w:tab w:val="left" w:pos="567"/>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Otros sujetos del proceso de atención a las solicitudes de información son los servidores públicos habilitados, quienes serán designados por el titular del </w:t>
      </w:r>
      <w:r>
        <w:rPr>
          <w:rFonts w:ascii="Palatino Linotype" w:eastAsia="Palatino Linotype" w:hAnsi="Palatino Linotype" w:cs="Palatino Linotype"/>
          <w:b/>
          <w:bCs/>
          <w:color w:val="000000"/>
          <w:highlight w:val="white"/>
        </w:rPr>
        <w:t xml:space="preserve">SUJETO OBLIGADO </w:t>
      </w:r>
      <w:r>
        <w:rPr>
          <w:rFonts w:ascii="Palatino Linotype" w:eastAsia="Palatino Linotype" w:hAnsi="Palatino Linotype" w:cs="Palatino Linotype"/>
          <w:color w:val="000000"/>
          <w:highlight w:val="white"/>
        </w:rPr>
        <w:t>a propuesta del responsable de la Unidad de Transparencia</w:t>
      </w:r>
      <w:r>
        <w:rPr>
          <w:rFonts w:ascii="Palatino Linotype" w:eastAsia="Palatino Linotype" w:hAnsi="Palatino Linotype" w:cs="Palatino Linotype"/>
          <w:color w:val="000000"/>
          <w:highlight w:val="white"/>
          <w:vertAlign w:val="superscript"/>
        </w:rPr>
        <w:footnoteReference w:id="7"/>
      </w:r>
      <w:r>
        <w:rPr>
          <w:rFonts w:ascii="Palatino Linotype" w:eastAsia="Palatino Linotype" w:hAnsi="Palatino Linotype" w:cs="Palatino Linotype"/>
          <w:color w:val="000000"/>
          <w:highlight w:val="white"/>
        </w:rPr>
        <w:t xml:space="preserve"> y tendrán, entre sus atribuciones, las siguientes</w:t>
      </w:r>
      <w:r>
        <w:rPr>
          <w:rFonts w:ascii="Palatino Linotype" w:eastAsia="Palatino Linotype" w:hAnsi="Palatino Linotype" w:cs="Palatino Linotype"/>
          <w:color w:val="000000"/>
          <w:highlight w:val="white"/>
          <w:vertAlign w:val="superscript"/>
        </w:rPr>
        <w:footnoteReference w:id="8"/>
      </w:r>
      <w:r>
        <w:rPr>
          <w:rFonts w:ascii="Palatino Linotype" w:eastAsia="Palatino Linotype" w:hAnsi="Palatino Linotype" w:cs="Palatino Linotype"/>
          <w:color w:val="000000"/>
          <w:highlight w:val="white"/>
        </w:rPr>
        <w:t>:</w:t>
      </w:r>
    </w:p>
    <w:p w:rsidR="00477DD3" w:rsidRDefault="00D27684">
      <w:pPr>
        <w:numPr>
          <w:ilvl w:val="1"/>
          <w:numId w:val="5"/>
        </w:numPr>
        <w:pBdr>
          <w:top w:val="nil"/>
          <w:left w:val="nil"/>
          <w:bottom w:val="nil"/>
          <w:right w:val="nil"/>
          <w:between w:val="nil"/>
        </w:pBdr>
        <w:spacing w:before="240" w:line="360" w:lineRule="auto"/>
        <w:ind w:left="709" w:right="-734" w:hanging="142"/>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color w:val="000000"/>
          <w:highlight w:val="white"/>
        </w:rPr>
        <w:t>Localizar la información que le solicite la Unidad de Transparencia; y</w:t>
      </w:r>
    </w:p>
    <w:p w:rsidR="00477DD3" w:rsidRDefault="00D27684">
      <w:pPr>
        <w:numPr>
          <w:ilvl w:val="1"/>
          <w:numId w:val="5"/>
        </w:numPr>
        <w:pBdr>
          <w:top w:val="nil"/>
          <w:left w:val="nil"/>
          <w:bottom w:val="nil"/>
          <w:right w:val="nil"/>
          <w:between w:val="nil"/>
        </w:pBdr>
        <w:spacing w:after="240" w:line="360" w:lineRule="auto"/>
        <w:ind w:left="709" w:right="-734" w:hanging="142"/>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color w:val="000000"/>
          <w:highlight w:val="white"/>
        </w:rPr>
        <w:lastRenderedPageBreak/>
        <w:t>Proporcionar la información que obre en los archivos y que le sea solicitada por la Unidad de Transparencia.</w:t>
      </w:r>
    </w:p>
    <w:p w:rsidR="00477DD3" w:rsidRDefault="00477DD3">
      <w:pPr>
        <w:tabs>
          <w:tab w:val="left" w:pos="426"/>
          <w:tab w:val="left" w:pos="567"/>
        </w:tabs>
        <w:spacing w:line="360" w:lineRule="auto"/>
        <w:ind w:right="-734"/>
        <w:jc w:val="both"/>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tabs>
          <w:tab w:val="left" w:pos="426"/>
          <w:tab w:val="left" w:pos="567"/>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 xml:space="preserve">De tal manera que cada una de las áreas administrativas del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477DD3" w:rsidRDefault="00477DD3">
      <w:pPr>
        <w:spacing w:line="360" w:lineRule="auto"/>
        <w:ind w:right="-734"/>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tabs>
          <w:tab w:val="left" w:pos="426"/>
          <w:tab w:val="left" w:pos="567"/>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Aunado a lo anterior, la Ley de Transparencia y Acceso a la Información Pública del Estado de México y Municipios, en su artículo 53, establece las funciones correspondientes a esta Unidad; mismas que se inserta a continuación:</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b/>
          <w:bCs/>
          <w:i/>
          <w:iCs/>
          <w:color w:val="000000"/>
          <w:highlight w:val="white"/>
        </w:rPr>
        <w:t>“Artículo 53</w:t>
      </w:r>
      <w:r>
        <w:rPr>
          <w:rFonts w:ascii="Palatino Linotype" w:eastAsia="Palatino Linotype" w:hAnsi="Palatino Linotype" w:cs="Palatino Linotype"/>
          <w:i/>
          <w:iCs/>
          <w:color w:val="000000"/>
          <w:highlight w:val="white"/>
        </w:rPr>
        <w:t xml:space="preserve">. Las Unidades de Transparencia tendrán las siguientes funciones: </w:t>
      </w:r>
    </w:p>
    <w:p w:rsidR="00477DD3" w:rsidRDefault="00477DD3">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b/>
          <w:bCs/>
          <w:i/>
          <w:iCs/>
          <w:color w:val="000000"/>
          <w:highlight w:val="white"/>
        </w:rPr>
      </w:pPr>
      <w:r>
        <w:rPr>
          <w:rFonts w:ascii="Palatino Linotype" w:eastAsia="Palatino Linotype" w:hAnsi="Palatino Linotype" w:cs="Palatino Linotype"/>
          <w:b/>
          <w:bCs/>
          <w:i/>
          <w:iCs/>
          <w:color w:val="000000"/>
          <w:highlight w:val="white"/>
        </w:rPr>
        <w:t xml:space="preserve">II. Recibir, tramitar y dar respuesta a las solicitudes de acceso a la información;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III. Auxiliar a los particulares en la elaboración de solicitudes de acceso a la información y, en su caso, orientarlos sobre los sujetos obligados competentes conforme a la normatividad aplicable;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b/>
          <w:bCs/>
          <w:i/>
          <w:iCs/>
          <w:color w:val="000000"/>
          <w:highlight w:val="white"/>
        </w:rPr>
      </w:pPr>
      <w:r>
        <w:rPr>
          <w:rFonts w:ascii="Palatino Linotype" w:eastAsia="Palatino Linotype" w:hAnsi="Palatino Linotype" w:cs="Palatino Linotype"/>
          <w:b/>
          <w:bCs/>
          <w:i/>
          <w:iCs/>
          <w:color w:val="000000"/>
          <w:highlight w:val="white"/>
        </w:rPr>
        <w:t xml:space="preserve">IV. Realizar, con efectividad, los trámites internos necesarios para la atención de las solicitudes de acceso a la información;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V. Entregar, en su caso, a los particulares la información solicitada;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VI. Efectuar las notificaciones a los solicitantes;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VII. Proponer al Comité de Transparencia, los procedimientos internos que aseguren la mayor eficiencia en la gestión de las solicitudes de acceso a la información, conforme a la normatividad aplicable;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VIII. Proponer a quien preside el Comité de Transparencia, personal habilitado que sea necesario para recibir y dar trámite a las solicitudes de acceso a la información;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b/>
          <w:bCs/>
          <w:i/>
          <w:iCs/>
          <w:color w:val="000000"/>
          <w:highlight w:val="white"/>
        </w:rPr>
      </w:pPr>
      <w:r>
        <w:rPr>
          <w:rFonts w:ascii="Palatino Linotype" w:eastAsia="Palatino Linotype" w:hAnsi="Palatino Linotype" w:cs="Palatino Linotype"/>
          <w:b/>
          <w:bCs/>
          <w:i/>
          <w:iCs/>
          <w:color w:val="000000"/>
          <w:highlight w:val="white"/>
        </w:rPr>
        <w:lastRenderedPageBreak/>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X. Presentar ante el Comité, el proyecto de clasificación de información;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XI. Promover e implementar políticas de transparencia proactiva procurando su accesibilidad;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XII. Fomentar la transparencia y accesibilidad al interior del sujeto obligado; </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XIII. Hacer del conocimiento de la instancia competente la probable responsabilidad por el incumplimiento de las obligaciones previstas en la presente Ley; y</w:t>
      </w:r>
    </w:p>
    <w:p w:rsidR="00477DD3" w:rsidRDefault="00D27684">
      <w:pPr>
        <w:pBdr>
          <w:top w:val="nil"/>
          <w:left w:val="nil"/>
          <w:bottom w:val="nil"/>
          <w:right w:val="nil"/>
          <w:between w:val="nil"/>
        </w:pBdr>
        <w:tabs>
          <w:tab w:val="left" w:pos="426"/>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XIV. Las demás que resulten necesarias para facilitar el acceso a la información y aquellas que se desprenden de la presente Ley y demás disposiciones jurídicas aplicables. (…)</w:t>
      </w:r>
    </w:p>
    <w:p w:rsidR="00477DD3" w:rsidRDefault="00D27684">
      <w:pPr>
        <w:pBdr>
          <w:top w:val="nil"/>
          <w:left w:val="nil"/>
          <w:bottom w:val="nil"/>
          <w:right w:val="nil"/>
          <w:between w:val="nil"/>
        </w:pBdr>
        <w:tabs>
          <w:tab w:val="left" w:pos="426"/>
        </w:tabs>
        <w:spacing w:after="240"/>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477DD3" w:rsidRDefault="00477DD3">
      <w:pPr>
        <w:tabs>
          <w:tab w:val="left" w:pos="426"/>
        </w:tabs>
        <w:spacing w:before="240" w:after="240" w:line="360" w:lineRule="auto"/>
        <w:ind w:right="-734"/>
        <w:jc w:val="both"/>
        <w:rPr>
          <w:rFonts w:ascii="Palatino Linotype" w:eastAsia="Palatino Linotype" w:hAnsi="Palatino Linotype" w:cs="Palatino Linotype"/>
          <w:i/>
          <w:iCs/>
          <w:highlight w:val="white"/>
        </w:rPr>
      </w:pPr>
    </w:p>
    <w:p w:rsidR="00477DD3" w:rsidRDefault="00D27684">
      <w:pPr>
        <w:numPr>
          <w:ilvl w:val="0"/>
          <w:numId w:val="2"/>
        </w:numPr>
        <w:pBdr>
          <w:top w:val="nil"/>
          <w:left w:val="nil"/>
          <w:bottom w:val="nil"/>
          <w:right w:val="nil"/>
          <w:between w:val="nil"/>
        </w:pBdr>
        <w:tabs>
          <w:tab w:val="left" w:pos="426"/>
          <w:tab w:val="left" w:pos="567"/>
        </w:tabs>
        <w:spacing w:line="360" w:lineRule="auto"/>
        <w:ind w:left="0" w:right="-734" w:firstLine="0"/>
        <w:jc w:val="both"/>
        <w:rPr>
          <w:highlight w:val="white"/>
        </w:rPr>
      </w:pPr>
      <w:r>
        <w:rPr>
          <w:rFonts w:ascii="Palatino Linotype" w:eastAsia="Palatino Linotype" w:hAnsi="Palatino Linotype" w:cs="Palatino Linotype"/>
          <w:color w:val="000000"/>
          <w:highlight w:val="white"/>
        </w:rPr>
        <w:t>De lo expuesto y con relación a lo solicitado, se tiene que, la Unidad de Transparencia es la encargada de recibir, tramitar y dar respuesta a las solicitudes de acceso a la información.</w:t>
      </w:r>
    </w:p>
    <w:p w:rsidR="00477DD3" w:rsidRDefault="00477DD3">
      <w:pPr>
        <w:pBdr>
          <w:top w:val="nil"/>
          <w:left w:val="nil"/>
          <w:bottom w:val="nil"/>
          <w:right w:val="nil"/>
          <w:between w:val="nil"/>
        </w:pBdr>
        <w:tabs>
          <w:tab w:val="left" w:pos="426"/>
          <w:tab w:val="left" w:pos="567"/>
        </w:tabs>
        <w:spacing w:line="360" w:lineRule="auto"/>
        <w:ind w:right="-734"/>
        <w:jc w:val="both"/>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tabs>
          <w:tab w:val="left" w:pos="426"/>
          <w:tab w:val="left" w:pos="567"/>
        </w:tabs>
        <w:spacing w:line="360" w:lineRule="auto"/>
        <w:ind w:left="0" w:right="-734" w:firstLine="0"/>
        <w:jc w:val="both"/>
        <w:rPr>
          <w:rFonts w:ascii="Palatino Linotype" w:eastAsia="Palatino Linotype" w:hAnsi="Palatino Linotype" w:cs="Palatino Linotype"/>
          <w:b/>
          <w:bCs/>
          <w:highlight w:val="white"/>
        </w:rPr>
      </w:pPr>
      <w:r>
        <w:rPr>
          <w:rFonts w:ascii="Palatino Linotype" w:eastAsia="Palatino Linotype" w:hAnsi="Palatino Linotype" w:cs="Palatino Linotype"/>
          <w:color w:val="000000"/>
          <w:highlight w:val="white"/>
        </w:rPr>
        <w:t xml:space="preserve">En este sentido, se advierte que, 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xml:space="preserve"> no cumplió con el procedimiento de búsqueda exhaustiva y razonable, pues no gestionó la solicitud de información en la unidad en donde </w:t>
      </w:r>
      <w:r>
        <w:rPr>
          <w:rFonts w:ascii="Palatino Linotype" w:eastAsia="Palatino Linotype" w:hAnsi="Palatino Linotype" w:cs="Palatino Linotype"/>
          <w:color w:val="000000"/>
          <w:highlight w:val="white"/>
          <w:u w:val="single"/>
        </w:rPr>
        <w:t>pudiera</w:t>
      </w:r>
      <w:r>
        <w:rPr>
          <w:rFonts w:ascii="Palatino Linotype" w:eastAsia="Palatino Linotype" w:hAnsi="Palatino Linotype" w:cs="Palatino Linotype"/>
          <w:color w:val="000000"/>
          <w:highlight w:val="white"/>
        </w:rPr>
        <w:t xml:space="preserve"> obrar la citada información, siendo esta: </w:t>
      </w:r>
      <w:r>
        <w:rPr>
          <w:rFonts w:ascii="Palatino Linotype" w:eastAsia="Palatino Linotype" w:hAnsi="Palatino Linotype" w:cs="Palatino Linotype"/>
          <w:b/>
          <w:bCs/>
          <w:color w:val="000000"/>
          <w:highlight w:val="white"/>
        </w:rPr>
        <w:t>la Dirección de Administración y Finanzas con funciones de Tesorería</w:t>
      </w:r>
      <w:r>
        <w:rPr>
          <w:rFonts w:ascii="Palatino Linotype" w:eastAsia="Palatino Linotype" w:hAnsi="Palatino Linotype" w:cs="Palatino Linotype"/>
          <w:color w:val="000000"/>
          <w:highlight w:val="white"/>
        </w:rPr>
        <w:t>, por tanto resulta viable ordenar la búsqueda exhaustiva a fin de que se pronuncie respecto al numeral 7 del cuadro descriptivo</w:t>
      </w:r>
      <w:r>
        <w:rPr>
          <w:rFonts w:ascii="Palatino Linotype" w:eastAsia="Palatino Linotype" w:hAnsi="Palatino Linotype" w:cs="Palatino Linotype"/>
          <w:b/>
          <w:bCs/>
          <w:color w:val="000000"/>
          <w:highlight w:val="white"/>
        </w:rPr>
        <w:t>.</w:t>
      </w:r>
    </w:p>
    <w:p w:rsidR="00477DD3" w:rsidRDefault="00477DD3">
      <w:pPr>
        <w:pBdr>
          <w:top w:val="nil"/>
          <w:left w:val="nil"/>
          <w:bottom w:val="nil"/>
          <w:right w:val="nil"/>
          <w:between w:val="nil"/>
        </w:pBdr>
        <w:spacing w:line="360" w:lineRule="auto"/>
        <w:ind w:left="720" w:right="-734"/>
        <w:rPr>
          <w:rFonts w:ascii="Palatino Linotype" w:eastAsia="Palatino Linotype" w:hAnsi="Palatino Linotype" w:cs="Palatino Linotype"/>
          <w:color w:val="000000"/>
          <w:highlight w:val="white"/>
        </w:rPr>
      </w:pPr>
    </w:p>
    <w:p w:rsidR="00477DD3" w:rsidRDefault="00D27684">
      <w:pPr>
        <w:numPr>
          <w:ilvl w:val="0"/>
          <w:numId w:val="2"/>
        </w:numPr>
        <w:pBdr>
          <w:top w:val="nil"/>
          <w:left w:val="nil"/>
          <w:bottom w:val="nil"/>
          <w:right w:val="nil"/>
          <w:between w:val="nil"/>
        </w:pBdr>
        <w:spacing w:line="360" w:lineRule="auto"/>
        <w:ind w:left="0" w:right="-734" w:firstLine="0"/>
        <w:jc w:val="both"/>
        <w:rPr>
          <w:highlight w:val="white"/>
        </w:rPr>
      </w:pPr>
      <w:r>
        <w:rPr>
          <w:rFonts w:ascii="Palatino Linotype" w:eastAsia="Palatino Linotype" w:hAnsi="Palatino Linotype" w:cs="Palatino Linotype"/>
          <w:color w:val="000000"/>
          <w:highlight w:val="white"/>
        </w:rPr>
        <w:lastRenderedPageBreak/>
        <w:t xml:space="preserve">Aunado a lo anterior, resulta viable, traer a colación lo establecido en los </w:t>
      </w:r>
      <w:r>
        <w:rPr>
          <w:rFonts w:ascii="Palatino Linotype" w:eastAsia="Palatino Linotype" w:hAnsi="Palatino Linotype" w:cs="Palatino Linotype"/>
          <w:highlight w:val="white"/>
        </w:rPr>
        <w:t>artículo</w:t>
      </w:r>
      <w:r>
        <w:rPr>
          <w:rFonts w:ascii="Palatino Linotype" w:eastAsia="Palatino Linotype" w:hAnsi="Palatino Linotype" w:cs="Palatino Linotype"/>
          <w:color w:val="000000"/>
          <w:highlight w:val="white"/>
        </w:rPr>
        <w:t xml:space="preserve"> 47 y 48 del Bando Municipal de Tepotzotlán, que a la letra refiere:</w:t>
      </w:r>
    </w:p>
    <w:p w:rsidR="00477DD3" w:rsidRDefault="00D27684">
      <w:pPr>
        <w:pBdr>
          <w:top w:val="nil"/>
          <w:left w:val="nil"/>
          <w:bottom w:val="nil"/>
          <w:right w:val="nil"/>
          <w:between w:val="nil"/>
        </w:pBdr>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b/>
          <w:bCs/>
          <w:i/>
          <w:iCs/>
          <w:color w:val="000000"/>
          <w:highlight w:val="white"/>
        </w:rPr>
        <w:t>ARTÍCULO 47.-</w:t>
      </w:r>
      <w:r>
        <w:rPr>
          <w:rFonts w:ascii="Palatino Linotype" w:eastAsia="Palatino Linotype" w:hAnsi="Palatino Linotype" w:cs="Palatino Linotype"/>
          <w:i/>
          <w:iCs/>
          <w:color w:val="000000"/>
          <w:highlight w:val="white"/>
        </w:rPr>
        <w:t xml:space="preserve"> El Ayuntamiento cuenta con la </w:t>
      </w:r>
      <w:r>
        <w:rPr>
          <w:rFonts w:ascii="Palatino Linotype" w:eastAsia="Palatino Linotype" w:hAnsi="Palatino Linotype" w:cs="Palatino Linotype"/>
          <w:b/>
          <w:bCs/>
          <w:i/>
          <w:iCs/>
          <w:color w:val="000000"/>
          <w:highlight w:val="white"/>
        </w:rPr>
        <w:t>Dirección de Administración y Finanzas</w:t>
      </w:r>
      <w:r>
        <w:rPr>
          <w:rFonts w:ascii="Palatino Linotype" w:eastAsia="Palatino Linotype" w:hAnsi="Palatino Linotype" w:cs="Palatino Linotype"/>
          <w:i/>
          <w:iCs/>
          <w:color w:val="000000"/>
          <w:highlight w:val="white"/>
        </w:rPr>
        <w:t>, que asumirá las funciones y atribuciones de la Tesorería, teniendo como facultades, en forma enunciativa y no limitativa, las establecidas en el artículo 95 de la Ley Orgánica Municipal del Estado de México, así como lo dispuesto por las leyes y reglamentos aplicables en el ámbito de su competencia.</w:t>
      </w:r>
    </w:p>
    <w:p w:rsidR="00477DD3" w:rsidRDefault="00477DD3">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highlight w:val="white"/>
        </w:rPr>
      </w:pPr>
    </w:p>
    <w:p w:rsidR="00477DD3" w:rsidRDefault="00D27684">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b/>
          <w:bCs/>
          <w:i/>
          <w:iCs/>
          <w:color w:val="000000"/>
          <w:highlight w:val="white"/>
        </w:rPr>
        <w:t>ARTÍCULO 48.-</w:t>
      </w:r>
      <w:r>
        <w:rPr>
          <w:rFonts w:ascii="Palatino Linotype" w:eastAsia="Palatino Linotype" w:hAnsi="Palatino Linotype" w:cs="Palatino Linotype"/>
          <w:i/>
          <w:iCs/>
          <w:color w:val="000000"/>
          <w:highlight w:val="white"/>
        </w:rPr>
        <w:t xml:space="preserve"> La Dirección de Administración y Finanzas con funciones de Tesorería, es el único órgano </w:t>
      </w:r>
      <w:r>
        <w:rPr>
          <w:rFonts w:ascii="Palatino Linotype" w:eastAsia="Palatino Linotype" w:hAnsi="Palatino Linotype" w:cs="Palatino Linotype"/>
          <w:b/>
          <w:bCs/>
          <w:i/>
          <w:iCs/>
          <w:color w:val="000000"/>
          <w:highlight w:val="white"/>
        </w:rPr>
        <w:t>encargado de la recaudación de los ingresos municipales y responsable de realizar las erogaciones</w:t>
      </w:r>
      <w:r>
        <w:rPr>
          <w:rFonts w:ascii="Palatino Linotype" w:eastAsia="Palatino Linotype" w:hAnsi="Palatino Linotype" w:cs="Palatino Linotype"/>
          <w:i/>
          <w:iCs/>
          <w:color w:val="000000"/>
          <w:highlight w:val="white"/>
        </w:rPr>
        <w:t xml:space="preserve"> que lleve a cabo el Ayuntamiento, para un adecuado cumplimiento y ejercicio de sus funciones, la Dirección se apoyará de las siguientes Jefaturas:</w:t>
      </w:r>
    </w:p>
    <w:p w:rsidR="00477DD3" w:rsidRDefault="00D27684">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 xml:space="preserve">a) Ingresos Municipales; </w:t>
      </w:r>
    </w:p>
    <w:p w:rsidR="00477DD3" w:rsidRDefault="00D27684">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highlight w:val="white"/>
        </w:rPr>
      </w:pPr>
      <w:r>
        <w:rPr>
          <w:rFonts w:ascii="Palatino Linotype" w:eastAsia="Palatino Linotype" w:hAnsi="Palatino Linotype" w:cs="Palatino Linotype"/>
          <w:i/>
          <w:iCs/>
          <w:color w:val="000000"/>
          <w:highlight w:val="white"/>
        </w:rPr>
        <w:t>b) Catastro Municipal;</w:t>
      </w:r>
    </w:p>
    <w:p w:rsidR="00477DD3" w:rsidRDefault="00D27684">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 Adquisiciones: </w:t>
      </w:r>
    </w:p>
    <w:p w:rsidR="00477DD3" w:rsidRDefault="00D27684">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 Parque Vehicular; </w:t>
      </w:r>
    </w:p>
    <w:p w:rsidR="00477DD3" w:rsidRDefault="00D27684">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 Recursos Humanos; </w:t>
      </w:r>
    </w:p>
    <w:p w:rsidR="00477DD3" w:rsidRDefault="00D27684">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 Control General de Almacén; y </w:t>
      </w:r>
    </w:p>
    <w:p w:rsidR="00477DD3" w:rsidRDefault="00D27684">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g) Centro de Control, Comando, Comunicación y Cómputo.</w:t>
      </w:r>
    </w:p>
    <w:p w:rsidR="00477DD3" w:rsidRDefault="00477DD3">
      <w:pPr>
        <w:pBdr>
          <w:top w:val="nil"/>
          <w:left w:val="nil"/>
          <w:bottom w:val="nil"/>
          <w:right w:val="nil"/>
          <w:between w:val="nil"/>
        </w:pBdr>
        <w:tabs>
          <w:tab w:val="left" w:pos="1200"/>
        </w:tabs>
        <w:ind w:left="567" w:right="-734"/>
        <w:jc w:val="both"/>
        <w:rPr>
          <w:rFonts w:ascii="Palatino Linotype" w:eastAsia="Palatino Linotype" w:hAnsi="Palatino Linotype" w:cs="Palatino Linotype"/>
          <w:i/>
          <w:iCs/>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Con lo anterior se advierte que la Unidad Administrativa encargada responsable de realizar las erogaciones del Ayuntamiento es la Dirección de Administración con funciones de Tesorería; empero del expediente electrónico no se advierte que se haya pronunciado al respecto, ello aunado a que podría ser el área que genere, administre y/o posea el documento en el que conste el presupuesto otorgada al Programa denominado “Iniciación a la reproducción ovina”.</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Ahora bien,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w:t>
      </w:r>
      <w:r>
        <w:rPr>
          <w:rFonts w:ascii="Palatino Linotype" w:eastAsia="Palatino Linotype" w:hAnsi="Palatino Linotype" w:cs="Palatino Linotype"/>
          <w:color w:val="000000"/>
        </w:rPr>
        <w:lastRenderedPageBreak/>
        <w:t>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477DD3" w:rsidRDefault="00D27684">
      <w:pPr>
        <w:spacing w:before="240" w:after="240"/>
        <w:ind w:left="708" w:right="-734" w:hanging="14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solicitantes.”(Sic)</w:t>
      </w:r>
    </w:p>
    <w:p w:rsidR="00477DD3" w:rsidRDefault="00D27684">
      <w:pPr>
        <w:numPr>
          <w:ilvl w:val="0"/>
          <w:numId w:val="2"/>
        </w:numPr>
        <w:spacing w:before="240" w:line="360" w:lineRule="auto"/>
        <w:ind w:left="0" w:right="-734" w:firstLine="0"/>
        <w:jc w:val="both"/>
      </w:pPr>
      <w:r>
        <w:rPr>
          <w:rFonts w:ascii="Palatino Linotype" w:eastAsia="Palatino Linotype" w:hAnsi="Palatino Linotype" w:cs="Palatino Linotype"/>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477DD3" w:rsidRDefault="00D27684">
      <w:pPr>
        <w:spacing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477DD3" w:rsidRDefault="00D27684">
      <w:pPr>
        <w:numPr>
          <w:ilvl w:val="0"/>
          <w:numId w:val="2"/>
        </w:numPr>
        <w:spacing w:before="240" w:line="360" w:lineRule="auto"/>
        <w:ind w:left="0" w:right="-734" w:firstLine="0"/>
        <w:jc w:val="both"/>
      </w:pPr>
      <w:r>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no tienen el deber de generar, poseer o administrar la información pública con el grado de detalle solicitado; esto es, que no tienen el deber de generar un documento </w:t>
      </w:r>
      <w:r>
        <w:rPr>
          <w:rFonts w:ascii="Palatino Linotype" w:eastAsia="Palatino Linotype" w:hAnsi="Palatino Linotype" w:cs="Palatino Linotype"/>
          <w:i/>
          <w:iCs/>
        </w:rPr>
        <w:t>ad hoc</w:t>
      </w:r>
      <w:r>
        <w:rPr>
          <w:rFonts w:ascii="Palatino Linotype" w:eastAsia="Palatino Linotype" w:hAnsi="Palatino Linotype" w:cs="Palatino Linotype"/>
        </w:rPr>
        <w:t>, para satisfacer el derecho de acceso a la información pública, como así lo establece</w:t>
      </w:r>
      <w:r>
        <w:rPr>
          <w:rFonts w:ascii="Palatino Linotype" w:eastAsia="Palatino Linotype" w:hAnsi="Palatino Linotype" w:cs="Palatino Linotype"/>
          <w:strike/>
          <w:color w:val="FF0000"/>
        </w:rPr>
        <w:t xml:space="preserve"> </w:t>
      </w:r>
      <w:r>
        <w:rPr>
          <w:rFonts w:ascii="Palatino Linotype" w:eastAsia="Palatino Linotype" w:hAnsi="Palatino Linotype" w:cs="Palatino Linotype"/>
        </w:rPr>
        <w:t>el criterio 03/17 emitido por el Instituto Nacional de Transparencia, Acceso a la Información Pública y Protección de Datos Personales, los cuales señalan lo siguiente:</w:t>
      </w:r>
    </w:p>
    <w:p w:rsidR="00477DD3" w:rsidRDefault="00D27684">
      <w:pPr>
        <w:spacing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03/17</w:t>
      </w:r>
    </w:p>
    <w:p w:rsidR="00477DD3" w:rsidRDefault="00D27684">
      <w:pPr>
        <w:spacing w:before="240"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“NO EXISTE OBLIGACIÓN DE ELABORAR DOCUMENTOS AD HOC PARA ATENDER LAS SOLICITUDES DE ACCESO A LA INFORMACIÓN.</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477DD3" w:rsidRDefault="00477DD3">
      <w:pPr>
        <w:spacing w:before="240" w:after="240"/>
        <w:ind w:left="567" w:right="-734"/>
        <w:jc w:val="both"/>
        <w:rPr>
          <w:rFonts w:ascii="Palatino Linotype" w:eastAsia="Palatino Linotype" w:hAnsi="Palatino Linotype" w:cs="Palatino Linotype"/>
          <w:i/>
          <w:iCs/>
        </w:rPr>
      </w:pPr>
    </w:p>
    <w:p w:rsidR="00477DD3" w:rsidRDefault="00D27684">
      <w:pPr>
        <w:numPr>
          <w:ilvl w:val="0"/>
          <w:numId w:val="2"/>
        </w:numPr>
        <w:spacing w:before="240" w:line="360" w:lineRule="auto"/>
        <w:ind w:left="0" w:right="-734" w:firstLine="0"/>
        <w:jc w:val="both"/>
      </w:pPr>
      <w:r>
        <w:rPr>
          <w:rFonts w:ascii="Palatino Linotype" w:eastAsia="Palatino Linotype" w:hAnsi="Palatino Linotype" w:cs="Palatino Linotype"/>
        </w:rPr>
        <w:t xml:space="preserve">Por otra parte, y aunado a lo antepuesto, el último párrafo del artículo 24 de la Ley de la materia, dispone que los Sujetos Obligados sólo proporcionarán la información pública que generen, administren o posean en el ejercicio de sus atribuciones; por consiguiente, la </w:t>
      </w:r>
      <w:r>
        <w:rPr>
          <w:rFonts w:ascii="Palatino Linotype" w:eastAsia="Palatino Linotype" w:hAnsi="Palatino Linotype" w:cs="Palatino Linotype"/>
        </w:rPr>
        <w:lastRenderedPageBreak/>
        <w:t>información pública se encuentra a disposición de cualquier persona, lo que implica que es deber de los Sujetos Obligados, garantizar el Derecho de Acceso a la Información Pública.</w:t>
      </w:r>
    </w:p>
    <w:p w:rsidR="00477DD3" w:rsidRDefault="00477DD3">
      <w:pPr>
        <w:spacing w:after="240" w:line="360" w:lineRule="auto"/>
        <w:ind w:right="-734"/>
        <w:jc w:val="both"/>
        <w:rPr>
          <w:rFonts w:ascii="Palatino Linotype" w:eastAsia="Palatino Linotype" w:hAnsi="Palatino Linotype" w:cs="Palatino Linotype"/>
        </w:rPr>
      </w:pPr>
    </w:p>
    <w:p w:rsidR="00477DD3" w:rsidRDefault="00D27684">
      <w:pPr>
        <w:numPr>
          <w:ilvl w:val="0"/>
          <w:numId w:val="2"/>
        </w:numPr>
        <w:spacing w:before="240" w:line="360" w:lineRule="auto"/>
        <w:ind w:left="0" w:right="-734" w:firstLine="0"/>
        <w:jc w:val="both"/>
      </w:pPr>
      <w:r>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477DD3" w:rsidRDefault="00477DD3">
      <w:pPr>
        <w:spacing w:line="360" w:lineRule="auto"/>
        <w:ind w:left="708" w:right="-734"/>
        <w:rPr>
          <w:rFonts w:ascii="Palatino Linotype" w:eastAsia="Palatino Linotype" w:hAnsi="Palatino Linotype" w:cs="Palatino Linotype"/>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 xml:space="preserve">En conclusión, el derecho de acceso a la información pública, consiste en que la información solicitada conste en un documento en cualquiera de sus formas, a saber: expedientes, reportes, estudios, actas, resoluciones, </w:t>
      </w:r>
      <w:r>
        <w:rPr>
          <w:rFonts w:ascii="Palatino Linotype" w:eastAsia="Palatino Linotype" w:hAnsi="Palatino Linotype" w:cs="Palatino Linotype"/>
          <w:b/>
          <w:bCs/>
          <w:u w:val="single"/>
        </w:rPr>
        <w:t>oficios</w:t>
      </w:r>
      <w:r>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477DD3" w:rsidRDefault="00D27684">
      <w:pPr>
        <w:spacing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Artículo 3. </w:t>
      </w:r>
      <w:r>
        <w:rPr>
          <w:rFonts w:ascii="Palatino Linotype" w:eastAsia="Palatino Linotype" w:hAnsi="Palatino Linotype" w:cs="Palatino Linotype"/>
          <w:i/>
          <w:iCs/>
        </w:rPr>
        <w:t>Para los efectos de la presente Ley se entenderá por:</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XI. Documento:</w:t>
      </w:r>
      <w:r>
        <w:rPr>
          <w:rFonts w:ascii="Palatino Linotype" w:eastAsia="Palatino Linotype" w:hAnsi="Palatino Linotype" w:cs="Palatino Linotype"/>
          <w:i/>
          <w:iCs/>
        </w:rPr>
        <w:t xml:space="preserve"> Los expedientes, reportes, estudios, </w:t>
      </w:r>
      <w:r>
        <w:rPr>
          <w:rFonts w:ascii="Palatino Linotype" w:eastAsia="Palatino Linotype" w:hAnsi="Palatino Linotype" w:cs="Palatino Linotype"/>
          <w:b/>
          <w:bCs/>
          <w:i/>
          <w:iCs/>
        </w:rPr>
        <w:t>actas,</w:t>
      </w:r>
      <w:r>
        <w:rPr>
          <w:rFonts w:ascii="Palatino Linotype" w:eastAsia="Palatino Linotype" w:hAnsi="Palatino Linotype" w:cs="Palatino Linotype"/>
          <w:i/>
          <w:iCs/>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w:t>
      </w:r>
      <w:r>
        <w:rPr>
          <w:rFonts w:ascii="Palatino Linotype" w:eastAsia="Palatino Linotype" w:hAnsi="Palatino Linotype" w:cs="Palatino Linotype"/>
          <w:i/>
          <w:iCs/>
        </w:rPr>
        <w:lastRenderedPageBreak/>
        <w:t>cualquier medio, sea escrito, impreso, sonoro, visual, electrónico, informático u holográfico</w:t>
      </w:r>
      <w:r>
        <w:rPr>
          <w:rFonts w:ascii="Palatino Linotype" w:eastAsia="Palatino Linotype" w:hAnsi="Palatino Linotype" w:cs="Palatino Linotype"/>
          <w:b/>
          <w:bCs/>
          <w:i/>
          <w:iCs/>
        </w:rPr>
        <w:t>…</w:t>
      </w:r>
      <w:r>
        <w:rPr>
          <w:rFonts w:ascii="Palatino Linotype" w:eastAsia="Palatino Linotype" w:hAnsi="Palatino Linotype" w:cs="Palatino Linotype"/>
          <w:i/>
          <w:iCs/>
        </w:rPr>
        <w:t>” (Sic)</w:t>
      </w:r>
    </w:p>
    <w:p w:rsidR="00477DD3" w:rsidRDefault="00D27684">
      <w:pPr>
        <w:numPr>
          <w:ilvl w:val="0"/>
          <w:numId w:val="2"/>
        </w:numPr>
        <w:spacing w:before="240" w:line="360" w:lineRule="auto"/>
        <w:ind w:left="0" w:right="-734" w:firstLine="0"/>
        <w:jc w:val="both"/>
      </w:pPr>
      <w:r>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477DD3" w:rsidRDefault="00D27684">
      <w:pPr>
        <w:spacing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477DD3" w:rsidRDefault="00D27684">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477DD3" w:rsidRDefault="00D27684">
      <w:pPr>
        <w:numPr>
          <w:ilvl w:val="0"/>
          <w:numId w:val="6"/>
        </w:numPr>
        <w:spacing w:before="240"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Que se trate de información registrada en cualquier soporte documental, que en ejercicio de las atribuciones conferidas, sea generada por los Sujetos Obligados;</w:t>
      </w:r>
    </w:p>
    <w:p w:rsidR="00477DD3" w:rsidRDefault="00D27684">
      <w:pPr>
        <w:numPr>
          <w:ilvl w:val="0"/>
          <w:numId w:val="6"/>
        </w:num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477DD3" w:rsidRDefault="00D27684">
      <w:pPr>
        <w:spacing w:before="240" w:after="240"/>
        <w:ind w:left="567" w:right="-734" w:hanging="284"/>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 (Sic)</w:t>
      </w: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 xml:space="preserve">De ahí que </w:t>
      </w:r>
      <w:r>
        <w:rPr>
          <w:rFonts w:ascii="Palatino Linotype" w:eastAsia="Palatino Linotype" w:hAnsi="Palatino Linotype" w:cs="Palatino Linotype"/>
          <w:b/>
          <w:bCs/>
        </w:rPr>
        <w:t>EL</w:t>
      </w:r>
      <w:r>
        <w:rPr>
          <w:rFonts w:ascii="Palatino Linotype" w:eastAsia="Palatino Linotype" w:hAnsi="Palatino Linotype" w:cs="Palatino Linotype"/>
        </w:rPr>
        <w:t xml:space="preserve">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w:t>
      </w:r>
      <w:r>
        <w:rPr>
          <w:rFonts w:ascii="Palatino Linotype" w:eastAsia="Palatino Linotype" w:hAnsi="Palatino Linotype" w:cs="Palatino Linotype"/>
        </w:rPr>
        <w:lastRenderedPageBreak/>
        <w:t>la Ley en la materia</w:t>
      </w:r>
      <w:r>
        <w:rPr>
          <w:rFonts w:ascii="Palatino Linotype" w:eastAsia="Palatino Linotype" w:hAnsi="Palatino Linotype" w:cs="Palatino Linotype"/>
          <w:vertAlign w:val="superscript"/>
        </w:rPr>
        <w:footnoteReference w:id="9"/>
      </w:r>
      <w:r>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Pr>
          <w:rFonts w:ascii="Palatino Linotype" w:eastAsia="Palatino Linotype" w:hAnsi="Palatino Linotype" w:cs="Palatino Linotype"/>
          <w:vertAlign w:val="superscript"/>
        </w:rPr>
        <w:footnoteReference w:id="10"/>
      </w:r>
      <w:r>
        <w:rPr>
          <w:rFonts w:ascii="Palatino Linotype" w:eastAsia="Palatino Linotype" w:hAnsi="Palatino Linotype" w:cs="Palatino Linotype"/>
        </w:rPr>
        <w:t>.</w:t>
      </w:r>
    </w:p>
    <w:p w:rsidR="00477DD3" w:rsidRDefault="00477DD3">
      <w:pP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spacing w:line="360" w:lineRule="auto"/>
        <w:ind w:left="0" w:right="-734" w:firstLine="0"/>
        <w:jc w:val="both"/>
      </w:pPr>
      <w:r>
        <w:rPr>
          <w:rFonts w:ascii="Palatino Linotype" w:eastAsia="Palatino Linotype" w:hAnsi="Palatino Linotype" w:cs="Palatino Linotype"/>
        </w:rPr>
        <w:t>En continuidad, resulta</w:t>
      </w:r>
      <w:r>
        <w:t xml:space="preserve"> procedente referir que </w:t>
      </w:r>
      <w:r>
        <w:rPr>
          <w:rFonts w:ascii="Palatino Linotype" w:eastAsia="Palatino Linotype" w:hAnsi="Palatino Linotype" w:cs="Palatino Linotype"/>
        </w:rPr>
        <w:t xml:space="preserve">Sobre la vista al Órgano Interno de Control, y la imposición de sanciones por parte de este Instituto al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es de señalar el recurso de revisión no el medio para sancionar, por lo que se sugiere a la persona solicitante interponer su queja o denuncia ante la autoridad competente.</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bookmarkStart w:id="8" w:name="_heading=h.gjuj9aizakfl" w:colFirst="0" w:colLast="0"/>
      <w:bookmarkEnd w:id="8"/>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Por lo anteriormente señalado, se advierte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tiene competencia para conocer de lo solicitado por el particular, en consecuencia, una vez analizadas las constancias que integran el expediente electrónico, y en mérito de lo expuesto en líneas anteriores, resultan  fundadas las razones o motivos de inconformidad hechos valer por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color w:val="000000"/>
        </w:rPr>
        <w:t>0998/INFOEM/IP/RR/2026</w:t>
      </w:r>
      <w:r>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Pr>
          <w:rFonts w:ascii="Palatino Linotype" w:eastAsia="Palatino Linotype" w:hAnsi="Palatino Linotype" w:cs="Palatino Linotype"/>
          <w:b/>
          <w:bCs/>
          <w:color w:val="000000"/>
        </w:rPr>
        <w:t>MODIFICA</w:t>
      </w:r>
      <w:r>
        <w:rPr>
          <w:rFonts w:ascii="Palatino Linotype" w:eastAsia="Palatino Linotype" w:hAnsi="Palatino Linotype" w:cs="Palatino Linotype"/>
          <w:color w:val="000000"/>
        </w:rPr>
        <w:t xml:space="preserve"> la respuesta del Sujeto Obligado. </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FE2BFC" w:rsidRDefault="00FE2BF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 De la versión pública.</w:t>
      </w:r>
    </w:p>
    <w:p w:rsidR="00477DD3" w:rsidRDefault="00D27684">
      <w:pPr>
        <w:numPr>
          <w:ilvl w:val="0"/>
          <w:numId w:val="2"/>
        </w:numPr>
        <w:pBdr>
          <w:top w:val="nil"/>
          <w:left w:val="nil"/>
          <w:bottom w:val="nil"/>
          <w:right w:val="nil"/>
          <w:between w:val="nil"/>
        </w:pBdr>
        <w:tabs>
          <w:tab w:val="left" w:pos="0"/>
        </w:tabs>
        <w:spacing w:line="360" w:lineRule="auto"/>
        <w:ind w:left="0" w:right="-734" w:firstLine="0"/>
        <w:jc w:val="both"/>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477DD3" w:rsidRDefault="00477DD3">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tabs>
          <w:tab w:val="left" w:pos="0"/>
        </w:tabs>
        <w:spacing w:line="360" w:lineRule="auto"/>
        <w:ind w:left="0" w:right="-734" w:firstLine="0"/>
        <w:jc w:val="both"/>
      </w:pPr>
      <w:r>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477DD3" w:rsidRDefault="00477DD3">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tbl>
      <w:tblPr>
        <w:tblStyle w:val="a0"/>
        <w:tblW w:w="96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807"/>
        <w:gridCol w:w="6838"/>
      </w:tblGrid>
      <w:tr w:rsidR="00477DD3">
        <w:tc>
          <w:tcPr>
            <w:tcW w:w="2807" w:type="dxa"/>
          </w:tcPr>
          <w:p w:rsidR="00477DD3" w:rsidRDefault="00D27684">
            <w:pPr>
              <w:spacing w:line="360" w:lineRule="auto"/>
              <w:ind w:right="-127"/>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838" w:type="dxa"/>
          </w:tcPr>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477DD3">
        <w:tc>
          <w:tcPr>
            <w:tcW w:w="2807" w:type="dxa"/>
          </w:tcPr>
          <w:p w:rsidR="00477DD3" w:rsidRDefault="00D27684">
            <w:pPr>
              <w:spacing w:line="360" w:lineRule="auto"/>
              <w:ind w:right="-127"/>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838" w:type="dxa"/>
          </w:tcPr>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w:t>
            </w:r>
            <w:r>
              <w:rPr>
                <w:rFonts w:ascii="Palatino Linotype" w:eastAsia="Palatino Linotype" w:hAnsi="Palatino Linotype" w:cs="Palatino Linotype"/>
              </w:rPr>
              <w:lastRenderedPageBreak/>
              <w:t>servidor público habilitado y el titular del área que administra la información.</w:t>
            </w:r>
          </w:p>
        </w:tc>
      </w:tr>
      <w:tr w:rsidR="00477DD3">
        <w:tc>
          <w:tcPr>
            <w:tcW w:w="2807" w:type="dxa"/>
          </w:tcPr>
          <w:p w:rsidR="00477DD3" w:rsidRDefault="00D27684">
            <w:pPr>
              <w:spacing w:line="360" w:lineRule="auto"/>
              <w:ind w:right="-127"/>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838" w:type="dxa"/>
          </w:tcPr>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477DD3" w:rsidRDefault="00D27684">
            <w:pPr>
              <w:spacing w:line="360" w:lineRule="auto"/>
              <w:ind w:right="-127"/>
              <w:jc w:val="both"/>
              <w:rPr>
                <w:rFonts w:ascii="Palatino Linotype" w:eastAsia="Palatino Linotype" w:hAnsi="Palatino Linotype" w:cs="Palatino Linotype"/>
              </w:rPr>
            </w:pPr>
            <w:r>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77DD3">
        <w:tc>
          <w:tcPr>
            <w:tcW w:w="2807" w:type="dxa"/>
          </w:tcPr>
          <w:p w:rsidR="00477DD3" w:rsidRDefault="00477DD3">
            <w:pPr>
              <w:spacing w:line="360" w:lineRule="auto"/>
              <w:ind w:right="-734"/>
              <w:rPr>
                <w:rFonts w:ascii="Palatino Linotype" w:eastAsia="Palatino Linotype" w:hAnsi="Palatino Linotype" w:cs="Palatino Linotype"/>
              </w:rPr>
            </w:pPr>
          </w:p>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6838" w:type="dxa"/>
          </w:tcPr>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77DD3">
        <w:tc>
          <w:tcPr>
            <w:tcW w:w="2807" w:type="dxa"/>
          </w:tcPr>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rsidR="00477DD3" w:rsidRDefault="00477DD3">
            <w:pPr>
              <w:spacing w:line="360" w:lineRule="auto"/>
              <w:ind w:right="-734"/>
              <w:rPr>
                <w:rFonts w:ascii="Palatino Linotype" w:eastAsia="Palatino Linotype" w:hAnsi="Palatino Linotype" w:cs="Palatino Linotype"/>
              </w:rPr>
            </w:pPr>
          </w:p>
        </w:tc>
        <w:tc>
          <w:tcPr>
            <w:tcW w:w="6838" w:type="dxa"/>
          </w:tcPr>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477DD3" w:rsidRDefault="00D27684">
            <w:pPr>
              <w:spacing w:line="360" w:lineRule="auto"/>
              <w:ind w:right="-734"/>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477DD3" w:rsidRDefault="00477DD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477DD3" w:rsidRDefault="00D27684">
      <w:pPr>
        <w:numPr>
          <w:ilvl w:val="0"/>
          <w:numId w:val="2"/>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r w:rsidR="00FE2BFC">
        <w:rPr>
          <w:rFonts w:ascii="Palatino Linotype" w:eastAsia="Palatino Linotype" w:hAnsi="Palatino Linotype" w:cs="Palatino Linotype"/>
          <w:color w:val="000000"/>
        </w:rPr>
        <w:t xml:space="preserve"> -----------------------------------------------------------------------------------------------------------</w:t>
      </w:r>
    </w:p>
    <w:p w:rsidR="00477DD3" w:rsidRDefault="00D27684">
      <w:pPr>
        <w:keepNext/>
        <w:keepLines/>
        <w:spacing w:line="360" w:lineRule="auto"/>
        <w:ind w:right="-734"/>
        <w:jc w:val="center"/>
        <w:rPr>
          <w:rFonts w:ascii="Palatino Linotype" w:eastAsia="Palatino Linotype" w:hAnsi="Palatino Linotype" w:cs="Palatino Linotype"/>
          <w:b/>
          <w:bCs/>
          <w:color w:val="000000"/>
        </w:rPr>
      </w:pPr>
      <w:bookmarkStart w:id="9" w:name="_heading=h.yn3xjrzfdnf" w:colFirst="0" w:colLast="0"/>
      <w:bookmarkEnd w:id="9"/>
      <w:r>
        <w:rPr>
          <w:rFonts w:ascii="Palatino Linotype" w:eastAsia="Palatino Linotype" w:hAnsi="Palatino Linotype" w:cs="Palatino Linotype"/>
          <w:b/>
          <w:bCs/>
          <w:color w:val="000000"/>
        </w:rPr>
        <w:lastRenderedPageBreak/>
        <w:t>R E S O L U T I V O S</w:t>
      </w:r>
    </w:p>
    <w:p w:rsidR="00477DD3" w:rsidRDefault="00477DD3">
      <w:pPr>
        <w:keepNext/>
        <w:keepLines/>
        <w:spacing w:line="360" w:lineRule="auto"/>
        <w:ind w:right="-734"/>
        <w:jc w:val="center"/>
        <w:rPr>
          <w:rFonts w:ascii="Palatino Linotype" w:eastAsia="Palatino Linotype" w:hAnsi="Palatino Linotype" w:cs="Palatino Linotype"/>
          <w:b/>
          <w:bCs/>
          <w:color w:val="000000"/>
        </w:rPr>
      </w:pPr>
    </w:p>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0998/INFOEM/IP/RR/2026,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477DD3" w:rsidRDefault="00477DD3">
      <w:pPr>
        <w:spacing w:line="360" w:lineRule="auto"/>
        <w:ind w:right="-734"/>
        <w:jc w:val="both"/>
        <w:rPr>
          <w:rFonts w:ascii="Palatino Linotype" w:eastAsia="Palatino Linotype" w:hAnsi="Palatino Linotype" w:cs="Palatino Linotype"/>
        </w:rPr>
      </w:pPr>
    </w:p>
    <w:p w:rsidR="00477DD3" w:rsidRDefault="00D27684">
      <w:pPr>
        <w:spacing w:line="360" w:lineRule="auto"/>
        <w:ind w:right="-734"/>
        <w:jc w:val="both"/>
        <w:rPr>
          <w:rFonts w:ascii="Palatino Linotype" w:eastAsia="Palatino Linotype" w:hAnsi="Palatino Linotype" w:cs="Palatino Linotype"/>
        </w:rPr>
      </w:pPr>
      <w:bookmarkStart w:id="10" w:name="_heading=h.42qsc61fiudi" w:colFirst="0" w:colLast="0"/>
      <w:bookmarkEnd w:id="10"/>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MODIFICA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 xml:space="preserve">Ayuntamiento de Tepotzotlán </w:t>
      </w:r>
      <w:r>
        <w:rPr>
          <w:rFonts w:ascii="Palatino Linotype" w:eastAsia="Palatino Linotype" w:hAnsi="Palatino Linotype" w:cs="Palatino Linotype"/>
        </w:rPr>
        <w:t>y se</w:t>
      </w:r>
      <w:r>
        <w:rPr>
          <w:rFonts w:ascii="Palatino Linotype" w:eastAsia="Palatino Linotype" w:hAnsi="Palatino Linotype" w:cs="Palatino Linotype"/>
          <w:b/>
          <w:bCs/>
        </w:rPr>
        <w:t xml:space="preserve"> ORDENA </w:t>
      </w:r>
      <w:r>
        <w:rPr>
          <w:rFonts w:ascii="Palatino Linotype" w:eastAsia="Palatino Linotype" w:hAnsi="Palatino Linotype" w:cs="Palatino Linotype"/>
        </w:rPr>
        <w:t>entregar vía Sistema de Accesos a la Información Mexiquense (SAIMEX), previa búsqueda exhaustiva  en versión pública, la siguiente información:</w:t>
      </w:r>
    </w:p>
    <w:p w:rsidR="00477DD3" w:rsidRDefault="00477DD3">
      <w:pPr>
        <w:spacing w:line="360" w:lineRule="auto"/>
        <w:ind w:right="-734"/>
        <w:jc w:val="both"/>
        <w:rPr>
          <w:rFonts w:ascii="Palatino Linotype" w:eastAsia="Palatino Linotype" w:hAnsi="Palatino Linotype" w:cs="Palatino Linotype"/>
        </w:rPr>
      </w:pPr>
    </w:p>
    <w:p w:rsidR="00477DD3" w:rsidRDefault="00D27684">
      <w:pPr>
        <w:numPr>
          <w:ilvl w:val="0"/>
          <w:numId w:val="7"/>
        </w:numPr>
        <w:pBdr>
          <w:top w:val="nil"/>
          <w:left w:val="nil"/>
          <w:bottom w:val="nil"/>
          <w:right w:val="nil"/>
          <w:between w:val="nil"/>
        </w:pBdr>
        <w:spacing w:line="360" w:lineRule="auto"/>
        <w:ind w:left="156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Padrón de beneficiarios de los ejercicios fiscales 2024 y 2025 de los programas referidos en respuesta</w:t>
      </w:r>
      <w:r w:rsidR="00FC7CEF">
        <w:rPr>
          <w:rFonts w:ascii="Palatino Linotype" w:eastAsia="Palatino Linotype" w:hAnsi="Palatino Linotype" w:cs="Palatino Linotype"/>
          <w:b/>
          <w:bCs/>
          <w:color w:val="000000"/>
        </w:rPr>
        <w:t>.</w:t>
      </w:r>
      <w:r>
        <w:rPr>
          <w:rFonts w:ascii="Palatino Linotype" w:eastAsia="Palatino Linotype" w:hAnsi="Palatino Linotype" w:cs="Palatino Linotype"/>
          <w:b/>
          <w:bCs/>
          <w:color w:val="000000"/>
        </w:rPr>
        <w:t xml:space="preserve"> </w:t>
      </w:r>
    </w:p>
    <w:p w:rsidR="00477DD3" w:rsidRPr="00D437DA" w:rsidRDefault="00D27684">
      <w:pPr>
        <w:numPr>
          <w:ilvl w:val="0"/>
          <w:numId w:val="7"/>
        </w:numPr>
        <w:pBdr>
          <w:top w:val="nil"/>
          <w:left w:val="nil"/>
          <w:bottom w:val="nil"/>
          <w:right w:val="nil"/>
          <w:between w:val="nil"/>
        </w:pBdr>
        <w:spacing w:line="360" w:lineRule="auto"/>
        <w:ind w:left="1560" w:right="-734" w:firstLine="0"/>
        <w:jc w:val="both"/>
        <w:rPr>
          <w:rFonts w:ascii="Palatino Linotype" w:eastAsia="Palatino Linotype" w:hAnsi="Palatino Linotype" w:cs="Palatino Linotype"/>
          <w:b/>
          <w:bCs/>
          <w:color w:val="000000"/>
        </w:rPr>
      </w:pPr>
      <w:r w:rsidRPr="00D437DA">
        <w:rPr>
          <w:rFonts w:ascii="Palatino Linotype" w:eastAsia="Palatino Linotype" w:hAnsi="Palatino Linotype" w:cs="Palatino Linotype"/>
          <w:b/>
          <w:bCs/>
          <w:color w:val="000000"/>
        </w:rPr>
        <w:t>Del programa denominado “Iniciación a la reproducción ovina”, el o los documentos donde conste el presupuesto otorgado para el ejercicio fiscal 2025</w:t>
      </w:r>
    </w:p>
    <w:p w:rsidR="00B7632C" w:rsidRPr="00D437DA" w:rsidRDefault="00FC7CEF">
      <w:pPr>
        <w:numPr>
          <w:ilvl w:val="0"/>
          <w:numId w:val="7"/>
        </w:numPr>
        <w:pBdr>
          <w:top w:val="nil"/>
          <w:left w:val="nil"/>
          <w:bottom w:val="nil"/>
          <w:right w:val="nil"/>
          <w:between w:val="nil"/>
        </w:pBdr>
        <w:spacing w:line="360" w:lineRule="auto"/>
        <w:ind w:left="1560" w:right="-734" w:firstLine="0"/>
        <w:jc w:val="both"/>
        <w:rPr>
          <w:rFonts w:ascii="Palatino Linotype" w:eastAsia="Palatino Linotype" w:hAnsi="Palatino Linotype" w:cs="Palatino Linotype"/>
          <w:b/>
          <w:bCs/>
          <w:color w:val="000000"/>
        </w:rPr>
      </w:pPr>
      <w:r w:rsidRPr="00D437DA">
        <w:rPr>
          <w:rFonts w:ascii="Palatino Linotype" w:eastAsia="Palatino Linotype" w:hAnsi="Palatino Linotype" w:cs="Palatino Linotype"/>
          <w:b/>
          <w:bCs/>
          <w:color w:val="000000"/>
        </w:rPr>
        <w:t>Programas de apoyo otorgados por la Dirección de Turismo en los ejercicios fiscales 2024-2025, adjuntando el Padrón de Beneficiarios.</w:t>
      </w:r>
    </w:p>
    <w:p w:rsidR="00477DD3" w:rsidRPr="00D437DA" w:rsidRDefault="00477DD3">
      <w:pPr>
        <w:pBdr>
          <w:top w:val="nil"/>
          <w:left w:val="nil"/>
          <w:bottom w:val="nil"/>
          <w:right w:val="nil"/>
          <w:between w:val="nil"/>
        </w:pBdr>
        <w:spacing w:line="360" w:lineRule="auto"/>
        <w:ind w:left="1560" w:right="-734"/>
        <w:jc w:val="both"/>
        <w:rPr>
          <w:rFonts w:ascii="Palatino Linotype" w:eastAsia="Palatino Linotype" w:hAnsi="Palatino Linotype" w:cs="Palatino Linotype"/>
          <w:color w:val="000000"/>
        </w:rPr>
      </w:pPr>
    </w:p>
    <w:p w:rsidR="00477DD3" w:rsidRPr="00D437DA" w:rsidRDefault="00D27684">
      <w:pPr>
        <w:spacing w:line="360" w:lineRule="auto"/>
        <w:ind w:right="-734"/>
        <w:jc w:val="both"/>
        <w:rPr>
          <w:rFonts w:ascii="Palatino Linotype" w:eastAsia="Palatino Linotype" w:hAnsi="Palatino Linotype" w:cs="Palatino Linotype"/>
        </w:rPr>
      </w:pPr>
      <w:r w:rsidRPr="00D437DA">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477DD3" w:rsidRPr="00D437DA" w:rsidRDefault="00477DD3">
      <w:pPr>
        <w:spacing w:line="360" w:lineRule="auto"/>
        <w:ind w:right="-734"/>
        <w:jc w:val="both"/>
        <w:rPr>
          <w:rFonts w:ascii="Palatino Linotype" w:eastAsia="Palatino Linotype" w:hAnsi="Palatino Linotype" w:cs="Palatino Linotype"/>
        </w:rPr>
      </w:pPr>
    </w:p>
    <w:p w:rsidR="00477DD3" w:rsidRDefault="00D27684">
      <w:pPr>
        <w:spacing w:line="360" w:lineRule="auto"/>
        <w:ind w:right="-734"/>
        <w:jc w:val="both"/>
        <w:rPr>
          <w:rFonts w:ascii="Palatino Linotype" w:eastAsia="Palatino Linotype" w:hAnsi="Palatino Linotype" w:cs="Palatino Linotype"/>
        </w:rPr>
      </w:pPr>
      <w:r w:rsidRPr="00D437DA">
        <w:rPr>
          <w:rFonts w:ascii="Palatino Linotype" w:eastAsia="Palatino Linotype" w:hAnsi="Palatino Linotype" w:cs="Palatino Linotype"/>
        </w:rPr>
        <w:lastRenderedPageBreak/>
        <w:t xml:space="preserve">Para el caso de que la información que se ordena entregar respecto al numeral 2 </w:t>
      </w:r>
      <w:r w:rsidR="00FC7CEF" w:rsidRPr="00D437DA">
        <w:rPr>
          <w:rFonts w:ascii="Palatino Linotype" w:eastAsia="Palatino Linotype" w:hAnsi="Palatino Linotype" w:cs="Palatino Linotype"/>
        </w:rPr>
        <w:t xml:space="preserve">y 3 </w:t>
      </w:r>
      <w:r w:rsidRPr="00D437DA">
        <w:rPr>
          <w:rFonts w:ascii="Palatino Linotype" w:eastAsia="Palatino Linotype" w:hAnsi="Palatino Linotype" w:cs="Palatino Linotype"/>
        </w:rPr>
        <w:t>que se ordena, no obre en los archivos del Sujeto Obligado, bastará con que así se haga del conocimiento del Particular en términos del artículo 19, párrafo segundo, de la Ley de Transparencia y Acceso a la Información Pública del Estado de México y Municipios, para tener por colmado dicho requerimiento.</w:t>
      </w:r>
    </w:p>
    <w:p w:rsidR="00477DD3" w:rsidRDefault="00477DD3">
      <w:pPr>
        <w:spacing w:line="360" w:lineRule="auto"/>
        <w:ind w:right="-734"/>
        <w:jc w:val="both"/>
        <w:rPr>
          <w:rFonts w:ascii="Palatino Linotype" w:eastAsia="Palatino Linotype" w:hAnsi="Palatino Linotype" w:cs="Palatino Linotype"/>
        </w:rPr>
      </w:pPr>
    </w:p>
    <w:p w:rsidR="00477DD3" w:rsidRDefault="00D27684">
      <w:pPr>
        <w:tabs>
          <w:tab w:val="left" w:pos="8080"/>
        </w:tabs>
        <w:spacing w:line="360" w:lineRule="auto"/>
        <w:ind w:right="-734"/>
        <w:jc w:val="both"/>
        <w:rPr>
          <w:rFonts w:ascii="Palatino Linotype" w:eastAsia="Palatino Linotype" w:hAnsi="Palatino Linotype" w:cs="Palatino Linotype"/>
          <w:color w:val="222222"/>
          <w:highlight w:val="white"/>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7E6EAA">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77DD3" w:rsidRDefault="00477DD3">
      <w:pPr>
        <w:tabs>
          <w:tab w:val="left" w:pos="8080"/>
        </w:tabs>
        <w:spacing w:line="360" w:lineRule="auto"/>
        <w:ind w:right="-734"/>
        <w:jc w:val="both"/>
        <w:rPr>
          <w:rFonts w:ascii="Palatino Linotype" w:eastAsia="Palatino Linotype" w:hAnsi="Palatino Linotype" w:cs="Palatino Linotype"/>
          <w:color w:val="222222"/>
          <w:highlight w:val="white"/>
        </w:rPr>
      </w:pPr>
    </w:p>
    <w:p w:rsidR="00477DD3" w:rsidRDefault="00D27684">
      <w:pPr>
        <w:shd w:val="clear" w:color="auto" w:fill="FFFFFF"/>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CUARTO. Notifíquese al RECURRENTE</w:t>
      </w:r>
      <w:r>
        <w:rPr>
          <w:rFonts w:ascii="Palatino Linotype" w:eastAsia="Palatino Linotype" w:hAnsi="Palatino Linotype" w:cs="Palatino Linotype"/>
        </w:rPr>
        <w:t xml:space="preserve"> la presente resolución vía SAIMEX.</w:t>
      </w:r>
    </w:p>
    <w:p w:rsidR="00477DD3" w:rsidRDefault="00477DD3">
      <w:pPr>
        <w:shd w:val="clear" w:color="auto" w:fill="FFFFFF"/>
        <w:spacing w:line="360" w:lineRule="auto"/>
        <w:ind w:right="-734"/>
        <w:jc w:val="both"/>
        <w:rPr>
          <w:rFonts w:ascii="Palatino Linotype" w:eastAsia="Palatino Linotype" w:hAnsi="Palatino Linotype" w:cs="Palatino Linotype"/>
          <w:b/>
          <w:bCs/>
          <w:color w:val="FF0000"/>
        </w:rPr>
      </w:pPr>
    </w:p>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77DD3" w:rsidRDefault="00477DD3">
      <w:pPr>
        <w:spacing w:line="360" w:lineRule="auto"/>
        <w:ind w:right="-734"/>
        <w:jc w:val="both"/>
        <w:rPr>
          <w:rFonts w:ascii="Palatino Linotype" w:eastAsia="Palatino Linotype" w:hAnsi="Palatino Linotype" w:cs="Palatino Linotype"/>
          <w:color w:val="000000"/>
          <w:highlight w:val="white"/>
        </w:rPr>
      </w:pPr>
    </w:p>
    <w:p w:rsidR="00477DD3" w:rsidRDefault="00D27684">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color w:val="000000"/>
          <w:highlight w:val="white"/>
        </w:rPr>
        <w:t xml:space="preserve">SEXTO.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rPr>
        <w:lastRenderedPageBreak/>
        <w:t>Sujeto Obligado de manera fundada y motivada, podrá solicitar una ampliación de plazo para el cumplimiento de la presente resolución.</w:t>
      </w:r>
    </w:p>
    <w:p w:rsidR="00477DD3" w:rsidRDefault="00477DD3">
      <w:pPr>
        <w:shd w:val="clear" w:color="auto" w:fill="FFFFFF"/>
        <w:spacing w:line="360" w:lineRule="auto"/>
        <w:ind w:right="-734"/>
        <w:jc w:val="both"/>
        <w:rPr>
          <w:rFonts w:ascii="Palatino Linotype" w:eastAsia="Palatino Linotype" w:hAnsi="Palatino Linotype" w:cs="Palatino Linotype"/>
        </w:rPr>
      </w:pPr>
    </w:p>
    <w:p w:rsidR="007E6EAA" w:rsidRPr="003E2295" w:rsidRDefault="007E6EAA" w:rsidP="007E6EAA">
      <w:pPr>
        <w:spacing w:before="240" w:after="240" w:line="360" w:lineRule="auto"/>
        <w:ind w:right="-737" w:firstLine="1"/>
        <w:jc w:val="both"/>
        <w:rPr>
          <w:rFonts w:ascii="Palatino Linotype" w:hAnsi="Palatino Linotype"/>
        </w:rPr>
      </w:pPr>
      <w:bookmarkStart w:id="11" w:name="_heading=h.tmhhji9ocihn" w:colFirst="0" w:colLast="0"/>
      <w:bookmarkStart w:id="12" w:name="_Hlk99014733"/>
      <w:bookmarkEnd w:id="11"/>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477DD3" w:rsidRDefault="00477DD3" w:rsidP="007E6EAA">
      <w:pPr>
        <w:spacing w:line="360" w:lineRule="auto"/>
        <w:ind w:right="-737"/>
        <w:jc w:val="both"/>
        <w:rPr>
          <w:rFonts w:ascii="Palatino Linotype" w:eastAsia="Palatino Linotype" w:hAnsi="Palatino Linotype" w:cs="Palatino Linotype"/>
        </w:rPr>
      </w:pPr>
    </w:p>
    <w:p w:rsidR="00477DD3" w:rsidRDefault="00477DD3" w:rsidP="007E6EAA">
      <w:pPr>
        <w:spacing w:line="360" w:lineRule="auto"/>
        <w:ind w:right="-737"/>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jc w:val="both"/>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p w:rsidR="00477DD3" w:rsidRDefault="00477DD3">
      <w:pPr>
        <w:spacing w:line="360" w:lineRule="auto"/>
        <w:ind w:right="-734"/>
        <w:rPr>
          <w:rFonts w:ascii="Palatino Linotype" w:eastAsia="Palatino Linotype" w:hAnsi="Palatino Linotype" w:cs="Palatino Linotype"/>
        </w:rPr>
      </w:pPr>
    </w:p>
    <w:sectPr w:rsidR="00477DD3">
      <w:headerReference w:type="even" r:id="rId11"/>
      <w:headerReference w:type="default" r:id="rId12"/>
      <w:footerReference w:type="default" r:id="rId13"/>
      <w:headerReference w:type="first" r:id="rId14"/>
      <w:footerReference w:type="first" r:id="rId15"/>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F97" w:rsidRDefault="00985F97">
      <w:r>
        <w:separator/>
      </w:r>
    </w:p>
  </w:endnote>
  <w:endnote w:type="continuationSeparator" w:id="0">
    <w:p w:rsidR="00985F97" w:rsidRDefault="0098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617E3B98-56E2-41B7-94FB-E8A512F891B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780F395-6D20-4A5B-A462-F81C1E25490A}"/>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3" w:fontKey="{454B0CAE-4833-4778-AB2D-6F8154FAC15C}"/>
    <w:embedBold r:id="rId4" w:fontKey="{A9652EB0-DD0D-49C2-A579-2B0A5FC230CE}"/>
    <w:embedItalic r:id="rId5" w:fontKey="{D6589313-68E8-445E-BB8A-C519CD8A856B}"/>
    <w:embedBoldItalic r:id="rId6" w:fontKey="{CEFBD4E7-ABC1-4F66-90E4-81E7FCB31D3C}"/>
  </w:font>
  <w:font w:name="Georgia">
    <w:panose1 w:val="02040502050405020303"/>
    <w:charset w:val="00"/>
    <w:family w:val="roman"/>
    <w:pitch w:val="variable"/>
    <w:sig w:usb0="00000287" w:usb1="00000000" w:usb2="00000000" w:usb3="00000000" w:csb0="0000009F" w:csb1="00000000"/>
    <w:embedItalic r:id="rId7" w:fontKey="{CF495461-7760-4FE9-8D46-92379F93FA4A}"/>
  </w:font>
  <w:font w:name="Cambria">
    <w:panose1 w:val="02040503050406030204"/>
    <w:charset w:val="00"/>
    <w:family w:val="roman"/>
    <w:pitch w:val="variable"/>
    <w:sig w:usb0="E00006FF" w:usb1="420024FF" w:usb2="02000000" w:usb3="00000000" w:csb0="0000019F" w:csb1="00000000"/>
    <w:embedRegular r:id="rId8" w:fontKey="{E180BCBC-5E73-4D7A-8338-C6B8FB68954C}"/>
  </w:font>
  <w:font w:name="Garamond">
    <w:panose1 w:val="02020404030301010803"/>
    <w:charset w:val="00"/>
    <w:family w:val="roman"/>
    <w:pitch w:val="variable"/>
    <w:sig w:usb0="00000287" w:usb1="00000000" w:usb2="00000000" w:usb3="00000000" w:csb0="0000009F" w:csb1="00000000"/>
    <w:embedRegular r:id="rId9" w:fontKey="{5C9509B5-ABDB-4926-81D4-B1915A1602D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093" w:rsidRDefault="00FC609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63F9C">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63F9C">
      <w:rPr>
        <w:rFonts w:ascii="Palatino Linotype" w:eastAsia="Palatino Linotype" w:hAnsi="Palatino Linotype" w:cs="Palatino Linotype"/>
        <w:b/>
        <w:bCs/>
        <w:noProof/>
        <w:color w:val="000000"/>
        <w:sz w:val="22"/>
        <w:szCs w:val="22"/>
      </w:rPr>
      <w:t>46</w:t>
    </w:r>
    <w:r>
      <w:rPr>
        <w:rFonts w:ascii="Palatino Linotype" w:eastAsia="Palatino Linotype" w:hAnsi="Palatino Linotype" w:cs="Palatino Linotype"/>
        <w:b/>
        <w:bCs/>
        <w:color w:val="000000"/>
        <w:sz w:val="22"/>
        <w:szCs w:val="22"/>
      </w:rPr>
      <w:fldChar w:fldCharType="end"/>
    </w:r>
  </w:p>
  <w:p w:rsidR="00FC6093" w:rsidRDefault="00FC609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093" w:rsidRDefault="00FC609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63F9C">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63F9C">
      <w:rPr>
        <w:rFonts w:ascii="Palatino Linotype" w:eastAsia="Palatino Linotype" w:hAnsi="Palatino Linotype" w:cs="Palatino Linotype"/>
        <w:b/>
        <w:bCs/>
        <w:noProof/>
        <w:color w:val="000000"/>
        <w:sz w:val="22"/>
        <w:szCs w:val="22"/>
      </w:rPr>
      <w:t>46</w:t>
    </w:r>
    <w:r>
      <w:rPr>
        <w:rFonts w:ascii="Palatino Linotype" w:eastAsia="Palatino Linotype" w:hAnsi="Palatino Linotype" w:cs="Palatino Linotype"/>
        <w:b/>
        <w:bCs/>
        <w:color w:val="000000"/>
        <w:sz w:val="22"/>
        <w:szCs w:val="22"/>
      </w:rPr>
      <w:fldChar w:fldCharType="end"/>
    </w:r>
  </w:p>
  <w:p w:rsidR="00FC6093" w:rsidRDefault="00FC609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F97" w:rsidRDefault="00985F97">
      <w:r>
        <w:separator/>
      </w:r>
    </w:p>
  </w:footnote>
  <w:footnote w:type="continuationSeparator" w:id="0">
    <w:p w:rsidR="00985F97" w:rsidRDefault="00985F97">
      <w:r>
        <w:continuationSeparator/>
      </w:r>
    </w:p>
  </w:footnote>
  <w:footnote w:id="1">
    <w:p w:rsidR="00FC6093" w:rsidRDefault="00FC609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FC6093" w:rsidRDefault="00FC609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FC6093" w:rsidRDefault="00FC609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FC6093" w:rsidRDefault="00FC609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FC6093" w:rsidRDefault="00FC609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rsidR="00FC6093" w:rsidRDefault="00FC609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rsidR="00FC6093" w:rsidRDefault="00FC609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rsidR="00FC6093" w:rsidRDefault="00FC6093">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9">
    <w:p w:rsidR="00FC6093" w:rsidRDefault="00FC6093">
      <w:pPr>
        <w:rPr>
          <w:rFonts w:ascii="Cambria" w:eastAsia="Cambria" w:hAnsi="Cambria" w:cs="Cambria"/>
          <w:sz w:val="20"/>
          <w:szCs w:val="20"/>
        </w:rPr>
      </w:pPr>
      <w:r>
        <w:rPr>
          <w:vertAlign w:val="superscript"/>
        </w:rPr>
        <w:footnoteRef/>
      </w:r>
      <w:r>
        <w:rPr>
          <w:rFonts w:ascii="Cambria" w:eastAsia="Cambria" w:hAnsi="Cambria" w:cs="Cambria"/>
          <w:sz w:val="20"/>
          <w:szCs w:val="20"/>
        </w:rPr>
        <w:t xml:space="preserve"> </w:t>
      </w:r>
      <w:r>
        <w:rPr>
          <w:rFonts w:ascii="Palatino Linotype" w:eastAsia="Palatino Linotype" w:hAnsi="Palatino Linotype" w:cs="Palatino Linotype"/>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sz w:val="20"/>
          <w:szCs w:val="20"/>
        </w:rPr>
        <w:t xml:space="preserve"> (…)</w:t>
      </w:r>
    </w:p>
  </w:footnote>
  <w:footnote w:id="10">
    <w:p w:rsidR="00FC6093" w:rsidRDefault="00FC6093">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9"/>
          <w:szCs w:val="19"/>
        </w:rPr>
        <w:t xml:space="preserve"> </w:t>
      </w:r>
      <w:r>
        <w:rPr>
          <w:rFonts w:ascii="Palatino Linotype" w:eastAsia="Palatino Linotype" w:hAnsi="Palatino Linotype" w:cs="Palatino Linotype"/>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093" w:rsidRDefault="00985F9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490" w:type="dxa"/>
      <w:tblInd w:w="0" w:type="dxa"/>
      <w:tblLayout w:type="fixed"/>
      <w:tblLook w:val="0400" w:firstRow="0" w:lastRow="0" w:firstColumn="0" w:lastColumn="0" w:noHBand="0" w:noVBand="1"/>
    </w:tblPr>
    <w:tblGrid>
      <w:gridCol w:w="2268"/>
      <w:gridCol w:w="8222"/>
    </w:tblGrid>
    <w:tr w:rsidR="00FC6093" w:rsidTr="00FC6093">
      <w:trPr>
        <w:trHeight w:val="1435"/>
      </w:trPr>
      <w:tc>
        <w:tcPr>
          <w:tcW w:w="2268" w:type="dxa"/>
          <w:shd w:val="clear" w:color="auto" w:fill="auto"/>
        </w:tcPr>
        <w:p w:rsidR="00FC6093" w:rsidRDefault="00FC6093">
          <w:pPr>
            <w:tabs>
              <w:tab w:val="right" w:pos="4273"/>
            </w:tabs>
            <w:rPr>
              <w:rFonts w:ascii="Garamond" w:eastAsia="Garamond" w:hAnsi="Garamond" w:cs="Garamond"/>
              <w:sz w:val="16"/>
              <w:szCs w:val="16"/>
            </w:rPr>
          </w:pPr>
        </w:p>
      </w:tc>
      <w:tc>
        <w:tcPr>
          <w:tcW w:w="8222" w:type="dxa"/>
          <w:shd w:val="clear" w:color="auto" w:fill="auto"/>
        </w:tcPr>
        <w:tbl>
          <w:tblPr>
            <w:tblStyle w:val="a2"/>
            <w:tblW w:w="6660" w:type="dxa"/>
            <w:tblInd w:w="1303" w:type="dxa"/>
            <w:tblLayout w:type="fixed"/>
            <w:tblLook w:val="0400" w:firstRow="0" w:lastRow="0" w:firstColumn="0" w:lastColumn="0" w:noHBand="0" w:noVBand="1"/>
          </w:tblPr>
          <w:tblGrid>
            <w:gridCol w:w="2942"/>
            <w:gridCol w:w="3718"/>
          </w:tblGrid>
          <w:tr w:rsidR="00FC6093" w:rsidTr="00FC6093">
            <w:trPr>
              <w:trHeight w:val="150"/>
            </w:trPr>
            <w:tc>
              <w:tcPr>
                <w:tcW w:w="2942" w:type="dxa"/>
                <w:shd w:val="clear" w:color="auto" w:fill="auto"/>
              </w:tcPr>
              <w:p w:rsidR="00FC6093" w:rsidRDefault="00FC6093">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8" w:type="dxa"/>
                <w:shd w:val="clear" w:color="auto" w:fill="auto"/>
              </w:tcPr>
              <w:p w:rsidR="00FC6093" w:rsidRDefault="00FC6093">
                <w:pPr>
                  <w:tabs>
                    <w:tab w:val="right" w:pos="8838"/>
                  </w:tabs>
                  <w:ind w:left="-108" w:right="-102"/>
                  <w:jc w:val="both"/>
                  <w:rPr>
                    <w:rFonts w:ascii="Palatino Linotype" w:eastAsia="Palatino Linotype" w:hAnsi="Palatino Linotype" w:cs="Palatino Linotype"/>
                  </w:rPr>
                </w:pPr>
                <w:r>
                  <w:rPr>
                    <w:rFonts w:ascii="Palatino Linotype" w:eastAsia="Palatino Linotype" w:hAnsi="Palatino Linotype" w:cs="Palatino Linotype"/>
                  </w:rPr>
                  <w:t>0998/INFOEM/IP/RR/2026</w:t>
                </w:r>
              </w:p>
            </w:tc>
          </w:tr>
          <w:tr w:rsidR="00FC6093" w:rsidTr="00FC6093">
            <w:trPr>
              <w:trHeight w:val="295"/>
            </w:trPr>
            <w:tc>
              <w:tcPr>
                <w:tcW w:w="2942" w:type="dxa"/>
                <w:shd w:val="clear" w:color="auto" w:fill="auto"/>
              </w:tcPr>
              <w:p w:rsidR="00FC6093" w:rsidRDefault="00FC6093">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8" w:type="dxa"/>
                <w:shd w:val="clear" w:color="auto" w:fill="auto"/>
              </w:tcPr>
              <w:p w:rsidR="00FC6093" w:rsidRDefault="00FC6093">
                <w:pPr>
                  <w:tabs>
                    <w:tab w:val="left" w:pos="2834"/>
                    <w:tab w:val="right" w:pos="8838"/>
                  </w:tabs>
                  <w:ind w:left="-108" w:right="-102"/>
                  <w:jc w:val="both"/>
                  <w:rPr>
                    <w:rFonts w:ascii="Palatino Linotype" w:eastAsia="Palatino Linotype" w:hAnsi="Palatino Linotype" w:cs="Palatino Linotype"/>
                  </w:rPr>
                </w:pPr>
                <w:r>
                  <w:rPr>
                    <w:rFonts w:ascii="Palatino Linotype" w:eastAsia="Palatino Linotype" w:hAnsi="Palatino Linotype" w:cs="Palatino Linotype"/>
                  </w:rPr>
                  <w:t>Ayuntamiento de Tepotzotlán</w:t>
                </w:r>
              </w:p>
            </w:tc>
          </w:tr>
          <w:tr w:rsidR="00FC6093" w:rsidTr="00FC6093">
            <w:trPr>
              <w:trHeight w:val="295"/>
            </w:trPr>
            <w:tc>
              <w:tcPr>
                <w:tcW w:w="2942" w:type="dxa"/>
                <w:shd w:val="clear" w:color="auto" w:fill="auto"/>
              </w:tcPr>
              <w:p w:rsidR="00FC6093" w:rsidRDefault="00FC6093">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8" w:type="dxa"/>
                <w:shd w:val="clear" w:color="auto" w:fill="auto"/>
              </w:tcPr>
              <w:p w:rsidR="00FC6093" w:rsidRDefault="00FC6093">
                <w:pPr>
                  <w:tabs>
                    <w:tab w:val="right" w:pos="8838"/>
                  </w:tabs>
                  <w:ind w:left="-108" w:right="171"/>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FC6093" w:rsidRDefault="00FC6093">
                <w:pPr>
                  <w:tabs>
                    <w:tab w:val="right" w:pos="8838"/>
                  </w:tabs>
                  <w:ind w:left="-108" w:right="171"/>
                  <w:jc w:val="both"/>
                  <w:rPr>
                    <w:rFonts w:ascii="Palatino Linotype" w:eastAsia="Palatino Linotype" w:hAnsi="Palatino Linotype" w:cs="Palatino Linotype"/>
                    <w:b/>
                    <w:bCs/>
                  </w:rPr>
                </w:pPr>
              </w:p>
            </w:tc>
          </w:tr>
        </w:tbl>
        <w:p w:rsidR="00FC6093" w:rsidRDefault="00FC6093">
          <w:pPr>
            <w:tabs>
              <w:tab w:val="right" w:pos="8838"/>
            </w:tabs>
            <w:ind w:left="-28"/>
            <w:jc w:val="both"/>
            <w:rPr>
              <w:rFonts w:ascii="Arial" w:eastAsia="Arial" w:hAnsi="Arial" w:cs="Arial"/>
              <w:b/>
              <w:bCs/>
              <w:sz w:val="22"/>
              <w:szCs w:val="22"/>
            </w:rPr>
          </w:pPr>
        </w:p>
      </w:tc>
    </w:tr>
  </w:tbl>
  <w:p w:rsidR="00FC6093" w:rsidRDefault="00985F97">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348" w:type="dxa"/>
      <w:tblInd w:w="0" w:type="dxa"/>
      <w:tblLayout w:type="fixed"/>
      <w:tblLook w:val="0400" w:firstRow="0" w:lastRow="0" w:firstColumn="0" w:lastColumn="0" w:noHBand="0" w:noVBand="1"/>
    </w:tblPr>
    <w:tblGrid>
      <w:gridCol w:w="2268"/>
      <w:gridCol w:w="8080"/>
    </w:tblGrid>
    <w:tr w:rsidR="00FC6093" w:rsidTr="00FC6093">
      <w:trPr>
        <w:trHeight w:val="1435"/>
      </w:trPr>
      <w:tc>
        <w:tcPr>
          <w:tcW w:w="2268" w:type="dxa"/>
          <w:shd w:val="clear" w:color="auto" w:fill="auto"/>
        </w:tcPr>
        <w:p w:rsidR="00FC6093" w:rsidRDefault="00FC6093">
          <w:pPr>
            <w:tabs>
              <w:tab w:val="right" w:pos="4273"/>
            </w:tabs>
            <w:rPr>
              <w:rFonts w:ascii="Garamond" w:eastAsia="Garamond" w:hAnsi="Garamond" w:cs="Garamond"/>
              <w:sz w:val="22"/>
              <w:szCs w:val="22"/>
            </w:rPr>
          </w:pPr>
        </w:p>
      </w:tc>
      <w:tc>
        <w:tcPr>
          <w:tcW w:w="8080" w:type="dxa"/>
          <w:shd w:val="clear" w:color="auto" w:fill="auto"/>
        </w:tcPr>
        <w:tbl>
          <w:tblPr>
            <w:tblStyle w:val="a4"/>
            <w:tblW w:w="6660" w:type="dxa"/>
            <w:tblInd w:w="1303" w:type="dxa"/>
            <w:tblLayout w:type="fixed"/>
            <w:tblLook w:val="0400" w:firstRow="0" w:lastRow="0" w:firstColumn="0" w:lastColumn="0" w:noHBand="0" w:noVBand="1"/>
          </w:tblPr>
          <w:tblGrid>
            <w:gridCol w:w="2942"/>
            <w:gridCol w:w="3718"/>
          </w:tblGrid>
          <w:tr w:rsidR="00FC6093" w:rsidTr="00FC6093">
            <w:trPr>
              <w:trHeight w:val="144"/>
            </w:trPr>
            <w:tc>
              <w:tcPr>
                <w:tcW w:w="2942" w:type="dxa"/>
                <w:shd w:val="clear" w:color="auto" w:fill="auto"/>
              </w:tcPr>
              <w:p w:rsidR="00FC6093" w:rsidRDefault="00FC6093">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8" w:type="dxa"/>
                <w:shd w:val="clear" w:color="auto" w:fill="auto"/>
              </w:tcPr>
              <w:p w:rsidR="00FC6093" w:rsidRDefault="00FC6093">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0998/INFOEM/IP/RR/2026</w:t>
                </w:r>
              </w:p>
            </w:tc>
          </w:tr>
          <w:tr w:rsidR="00FC6093" w:rsidTr="00FC6093">
            <w:trPr>
              <w:trHeight w:val="144"/>
            </w:trPr>
            <w:tc>
              <w:tcPr>
                <w:tcW w:w="2942" w:type="dxa"/>
                <w:shd w:val="clear" w:color="auto" w:fill="auto"/>
              </w:tcPr>
              <w:p w:rsidR="00FC6093" w:rsidRDefault="00FC6093">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718" w:type="dxa"/>
                <w:shd w:val="clear" w:color="auto" w:fill="auto"/>
              </w:tcPr>
              <w:p w:rsidR="00FC6093" w:rsidRDefault="00963F9C">
                <w:pPr>
                  <w:tabs>
                    <w:tab w:val="left" w:pos="3122"/>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XXXX</w:t>
                </w:r>
              </w:p>
            </w:tc>
          </w:tr>
          <w:tr w:rsidR="00FC6093" w:rsidTr="00FC6093">
            <w:trPr>
              <w:trHeight w:val="283"/>
            </w:trPr>
            <w:tc>
              <w:tcPr>
                <w:tcW w:w="2942" w:type="dxa"/>
                <w:shd w:val="clear" w:color="auto" w:fill="auto"/>
              </w:tcPr>
              <w:p w:rsidR="00FC6093" w:rsidRDefault="00FC6093">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8" w:type="dxa"/>
                <w:shd w:val="clear" w:color="auto" w:fill="auto"/>
              </w:tcPr>
              <w:p w:rsidR="00FC6093" w:rsidRDefault="00FC6093" w:rsidP="00963F9C">
                <w:pPr>
                  <w:tabs>
                    <w:tab w:val="right" w:pos="8838"/>
                  </w:tabs>
                  <w:ind w:left="-80" w:right="-105"/>
                  <w:jc w:val="both"/>
                  <w:rPr>
                    <w:rFonts w:ascii="Palatino Linotype" w:eastAsia="Palatino Linotype" w:hAnsi="Palatino Linotype" w:cs="Palatino Linotype"/>
                  </w:rPr>
                </w:pPr>
                <w:r>
                  <w:rPr>
                    <w:rFonts w:ascii="Palatino Linotype" w:eastAsia="Palatino Linotype" w:hAnsi="Palatino Linotype" w:cs="Palatino Linotype"/>
                  </w:rPr>
                  <w:t>Ayuntamiento de Tepotzotlán</w:t>
                </w:r>
              </w:p>
            </w:tc>
          </w:tr>
          <w:tr w:rsidR="00FC6093" w:rsidTr="00FC6093">
            <w:trPr>
              <w:trHeight w:val="283"/>
            </w:trPr>
            <w:tc>
              <w:tcPr>
                <w:tcW w:w="2942" w:type="dxa"/>
                <w:shd w:val="clear" w:color="auto" w:fill="auto"/>
              </w:tcPr>
              <w:p w:rsidR="00FC6093" w:rsidRDefault="00FC6093">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8" w:type="dxa"/>
                <w:shd w:val="clear" w:color="auto" w:fill="auto"/>
              </w:tcPr>
              <w:p w:rsidR="00FC6093" w:rsidRDefault="00FC6093">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FC6093" w:rsidRDefault="00FC6093">
                <w:pPr>
                  <w:tabs>
                    <w:tab w:val="right" w:pos="8838"/>
                  </w:tabs>
                  <w:ind w:left="-74" w:right="-105"/>
                  <w:jc w:val="both"/>
                  <w:rPr>
                    <w:rFonts w:ascii="Palatino Linotype" w:eastAsia="Palatino Linotype" w:hAnsi="Palatino Linotype" w:cs="Palatino Linotype"/>
                  </w:rPr>
                </w:pPr>
              </w:p>
            </w:tc>
          </w:tr>
        </w:tbl>
        <w:p w:rsidR="00FC6093" w:rsidRDefault="00FC6093">
          <w:pPr>
            <w:tabs>
              <w:tab w:val="right" w:pos="8838"/>
            </w:tabs>
            <w:ind w:left="-28"/>
            <w:jc w:val="both"/>
            <w:rPr>
              <w:rFonts w:ascii="Arial" w:eastAsia="Arial" w:hAnsi="Arial" w:cs="Arial"/>
              <w:b/>
              <w:bCs/>
              <w:sz w:val="22"/>
              <w:szCs w:val="22"/>
            </w:rPr>
          </w:pPr>
        </w:p>
      </w:tc>
    </w:tr>
  </w:tbl>
  <w:p w:rsidR="00FC6093" w:rsidRDefault="00985F97">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25B"/>
    <w:multiLevelType w:val="multilevel"/>
    <w:tmpl w:val="48E6107E"/>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2160" w:hanging="360"/>
      </w:p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36C6928"/>
    <w:multiLevelType w:val="multilevel"/>
    <w:tmpl w:val="EA4027D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08E02840"/>
    <w:multiLevelType w:val="multilevel"/>
    <w:tmpl w:val="9FD2C4F4"/>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09FA63AC"/>
    <w:multiLevelType w:val="multilevel"/>
    <w:tmpl w:val="352AF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B3C2C37"/>
    <w:multiLevelType w:val="multilevel"/>
    <w:tmpl w:val="0DE438D0"/>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740DCD"/>
    <w:multiLevelType w:val="multilevel"/>
    <w:tmpl w:val="58A05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F267C8"/>
    <w:multiLevelType w:val="multilevel"/>
    <w:tmpl w:val="49686C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270A45"/>
    <w:multiLevelType w:val="multilevel"/>
    <w:tmpl w:val="79A056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740AFC"/>
    <w:multiLevelType w:val="multilevel"/>
    <w:tmpl w:val="0BD8A150"/>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CB6657"/>
    <w:multiLevelType w:val="multilevel"/>
    <w:tmpl w:val="E86E86E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DA1A85"/>
    <w:multiLevelType w:val="multilevel"/>
    <w:tmpl w:val="33909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AF759D"/>
    <w:multiLevelType w:val="multilevel"/>
    <w:tmpl w:val="A1888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7F04149"/>
    <w:multiLevelType w:val="multilevel"/>
    <w:tmpl w:val="AB28911A"/>
    <w:lvl w:ilvl="0">
      <w:start w:val="1"/>
      <w:numFmt w:val="decimal"/>
      <w:lvlText w:val="%1."/>
      <w:lvlJc w:val="left"/>
      <w:pPr>
        <w:ind w:left="1440"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2160" w:hanging="360"/>
      </w:p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428F1CE5"/>
    <w:multiLevelType w:val="multilevel"/>
    <w:tmpl w:val="5ABE94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53401D"/>
    <w:multiLevelType w:val="multilevel"/>
    <w:tmpl w:val="B4FA8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5B12CAC"/>
    <w:multiLevelType w:val="multilevel"/>
    <w:tmpl w:val="DA4AC9F4"/>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6" w15:restartNumberingAfterBreak="0">
    <w:nsid w:val="6BD93CB9"/>
    <w:multiLevelType w:val="multilevel"/>
    <w:tmpl w:val="B06CB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C271EA"/>
    <w:multiLevelType w:val="multilevel"/>
    <w:tmpl w:val="D2628A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6D22066"/>
    <w:multiLevelType w:val="multilevel"/>
    <w:tmpl w:val="53FC3AF6"/>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9"/>
  </w:num>
  <w:num w:numId="3">
    <w:abstractNumId w:val="3"/>
  </w:num>
  <w:num w:numId="4">
    <w:abstractNumId w:val="18"/>
  </w:num>
  <w:num w:numId="5">
    <w:abstractNumId w:val="8"/>
  </w:num>
  <w:num w:numId="6">
    <w:abstractNumId w:val="2"/>
  </w:num>
  <w:num w:numId="7">
    <w:abstractNumId w:val="12"/>
  </w:num>
  <w:num w:numId="8">
    <w:abstractNumId w:val="1"/>
  </w:num>
  <w:num w:numId="9">
    <w:abstractNumId w:val="7"/>
  </w:num>
  <w:num w:numId="10">
    <w:abstractNumId w:val="13"/>
  </w:num>
  <w:num w:numId="11">
    <w:abstractNumId w:val="10"/>
  </w:num>
  <w:num w:numId="12">
    <w:abstractNumId w:val="11"/>
  </w:num>
  <w:num w:numId="13">
    <w:abstractNumId w:val="6"/>
  </w:num>
  <w:num w:numId="14">
    <w:abstractNumId w:val="15"/>
  </w:num>
  <w:num w:numId="15">
    <w:abstractNumId w:val="4"/>
  </w:num>
  <w:num w:numId="16">
    <w:abstractNumId w:val="17"/>
  </w:num>
  <w:num w:numId="17">
    <w:abstractNumId w:val="14"/>
  </w:num>
  <w:num w:numId="18">
    <w:abstractNumId w:val="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DD3"/>
    <w:rsid w:val="000078BF"/>
    <w:rsid w:val="00386C77"/>
    <w:rsid w:val="003A6AFA"/>
    <w:rsid w:val="00407C6B"/>
    <w:rsid w:val="00477DD3"/>
    <w:rsid w:val="006C087D"/>
    <w:rsid w:val="007E6EAA"/>
    <w:rsid w:val="00963F9C"/>
    <w:rsid w:val="00985F97"/>
    <w:rsid w:val="00A60CC7"/>
    <w:rsid w:val="00B7632C"/>
    <w:rsid w:val="00C94008"/>
    <w:rsid w:val="00CE667D"/>
    <w:rsid w:val="00D27684"/>
    <w:rsid w:val="00D437DA"/>
    <w:rsid w:val="00E13428"/>
    <w:rsid w:val="00F20685"/>
    <w:rsid w:val="00FC6093"/>
    <w:rsid w:val="00FC7CEF"/>
    <w:rsid w:val="00FE2B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A3960DB-668C-4B05-93EA-4E08504E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ind w:left="567" w:right="567" w:hanging="567"/>
      <w:jc w:val="both"/>
    </w:pPr>
    <w:rPr>
      <w:rFonts w:ascii="Palatino Linotype" w:eastAsia="Palatino Linotype" w:hAnsi="Palatino Linotype" w:cs="Palatino Linotype"/>
      <w:i/>
      <w:iCs/>
      <w:color w:val="000000"/>
      <w:sz w:val="22"/>
      <w:szCs w:val="2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B7632C"/>
    <w:pPr>
      <w:ind w:left="720"/>
      <w:contextualSpacing/>
    </w:pPr>
  </w:style>
  <w:style w:type="paragraph" w:styleId="Piedepgina">
    <w:name w:val="footer"/>
    <w:basedOn w:val="Normal"/>
    <w:link w:val="PiedepginaCar"/>
    <w:uiPriority w:val="99"/>
    <w:unhideWhenUsed/>
    <w:rsid w:val="007E6EAA"/>
    <w:pPr>
      <w:tabs>
        <w:tab w:val="center" w:pos="4419"/>
        <w:tab w:val="right" w:pos="8838"/>
      </w:tabs>
    </w:pPr>
  </w:style>
  <w:style w:type="character" w:customStyle="1" w:styleId="PiedepginaCar">
    <w:name w:val="Pie de página Car"/>
    <w:basedOn w:val="Fuentedeprrafopredeter"/>
    <w:link w:val="Piedepgina"/>
    <w:uiPriority w:val="99"/>
    <w:rsid w:val="007E6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EkbyzseL0fGGpzDz96jsUiBm7g==">CgMxLjAyDmgubDAybGVoMmhudHdzMg1oLnVva2Yzbm5tbzRmMg5oLm55Y2p0NzMzZXg0NjIOaC52dmR5azZtcGdraHkyDmguZXRueXh3djcxeWgzMg5oLmtobGRnbDNzOWh1YzIOaC5leHAxZjJoMHNqbjkyDmguZ2p1ajlhaXpha2ZsMg1oLnluM3hqcnpmZG5mMg5oLjQycXNjNjFmaXVkaTIOaC50bWhoamk5b2NpaG44AHIhMURHQ1VOMmxnXzI2aE1iUzRweW5DMEFxMnpOUk5oWE9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46</Pages>
  <Words>11908</Words>
  <Characters>65497</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9</cp:revision>
  <cp:lastPrinted>2026-05-21T23:11:00Z</cp:lastPrinted>
  <dcterms:created xsi:type="dcterms:W3CDTF">2026-05-18T18:56:00Z</dcterms:created>
  <dcterms:modified xsi:type="dcterms:W3CDTF">2026-05-28T23:14:00Z</dcterms:modified>
</cp:coreProperties>
</file>