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2C2" w:rsidRPr="00816A2B" w:rsidRDefault="000632C2" w:rsidP="000632C2">
      <w:pPr>
        <w:spacing w:line="360" w:lineRule="auto"/>
        <w:jc w:val="both"/>
        <w:rPr>
          <w:rFonts w:ascii="Palatino Linotype" w:eastAsia="Palatino Linotype" w:hAnsi="Palatino Linotype" w:cs="Palatino Linotype"/>
          <w:b/>
        </w:rPr>
      </w:pPr>
      <w:bookmarkStart w:id="0" w:name="_heading=h.tyjcwt" w:colFirst="0" w:colLast="0"/>
      <w:bookmarkStart w:id="1" w:name="_GoBack"/>
      <w:bookmarkEnd w:id="0"/>
      <w:bookmarkEnd w:id="1"/>
      <w:r w:rsidRPr="00816A2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816A2B">
        <w:rPr>
          <w:rFonts w:ascii="Palatino Linotype" w:eastAsia="Palatino Linotype" w:hAnsi="Palatino Linotype" w:cs="Palatino Linotype"/>
          <w:b/>
        </w:rPr>
        <w:t>de fecha veinticinco</w:t>
      </w:r>
      <w:r w:rsidR="00816A2B" w:rsidRPr="00816A2B">
        <w:rPr>
          <w:rFonts w:ascii="Palatino Linotype" w:eastAsia="Palatino Linotype" w:hAnsi="Palatino Linotype" w:cs="Palatino Linotype"/>
          <w:b/>
        </w:rPr>
        <w:t xml:space="preserve"> (25)</w:t>
      </w:r>
      <w:r w:rsidRPr="00816A2B">
        <w:rPr>
          <w:rFonts w:ascii="Palatino Linotype" w:eastAsia="Palatino Linotype" w:hAnsi="Palatino Linotype" w:cs="Palatino Linotype"/>
          <w:b/>
        </w:rPr>
        <w:t xml:space="preserve"> de febrero de dos mil veintiséis.</w:t>
      </w:r>
    </w:p>
    <w:p w:rsidR="000632C2" w:rsidRPr="00816A2B" w:rsidRDefault="000632C2" w:rsidP="000632C2">
      <w:pPr>
        <w:jc w:val="both"/>
        <w:rPr>
          <w:rFonts w:ascii="Palatino Linotype" w:eastAsia="Palatino Linotype" w:hAnsi="Palatino Linotype" w:cs="Palatino Linotype"/>
        </w:rPr>
      </w:pPr>
    </w:p>
    <w:p w:rsidR="000632C2" w:rsidRPr="00816A2B" w:rsidRDefault="000632C2" w:rsidP="000632C2">
      <w:pPr>
        <w:spacing w:line="360" w:lineRule="auto"/>
        <w:jc w:val="both"/>
        <w:rPr>
          <w:rFonts w:ascii="Palatino Linotype" w:eastAsia="Palatino Linotype" w:hAnsi="Palatino Linotype" w:cs="Palatino Linotype"/>
        </w:rPr>
      </w:pPr>
      <w:r w:rsidRPr="00816A2B">
        <w:rPr>
          <w:rFonts w:ascii="Palatino Linotype" w:eastAsia="Palatino Linotype" w:hAnsi="Palatino Linotype" w:cs="Palatino Linotype"/>
          <w:b/>
        </w:rPr>
        <w:t>VISTO</w:t>
      </w:r>
      <w:r w:rsidRPr="00816A2B">
        <w:rPr>
          <w:rFonts w:ascii="Palatino Linotype" w:eastAsia="Palatino Linotype" w:hAnsi="Palatino Linotype" w:cs="Palatino Linotype"/>
        </w:rPr>
        <w:t xml:space="preserve"> el expediente electrónico formado con motivo del recurso de revisión </w:t>
      </w:r>
      <w:r w:rsidRPr="00816A2B">
        <w:rPr>
          <w:rFonts w:ascii="Palatino Linotype" w:eastAsia="Palatino Linotype" w:hAnsi="Palatino Linotype" w:cs="Palatino Linotype"/>
          <w:b/>
        </w:rPr>
        <w:t xml:space="preserve">10488/INFOEM/IP/RR/2025, </w:t>
      </w:r>
      <w:r w:rsidRPr="00816A2B">
        <w:rPr>
          <w:rFonts w:ascii="Palatino Linotype" w:eastAsia="Palatino Linotype" w:hAnsi="Palatino Linotype" w:cs="Palatino Linotype"/>
        </w:rPr>
        <w:t xml:space="preserve">promovido por </w:t>
      </w:r>
      <w:r w:rsidR="003D062D">
        <w:rPr>
          <w:rFonts w:ascii="Palatino Linotype" w:eastAsia="Palatino Linotype" w:hAnsi="Palatino Linotype" w:cs="Palatino Linotype"/>
          <w:b/>
        </w:rPr>
        <w:t>XXXX</w:t>
      </w:r>
      <w:r w:rsidRPr="00816A2B">
        <w:rPr>
          <w:rFonts w:ascii="Palatino Linotype" w:eastAsia="Palatino Linotype" w:hAnsi="Palatino Linotype" w:cs="Palatino Linotype"/>
          <w:b/>
        </w:rPr>
        <w:t>,</w:t>
      </w:r>
      <w:r w:rsidRPr="00816A2B">
        <w:rPr>
          <w:rFonts w:ascii="Palatino Linotype" w:eastAsia="Palatino Linotype" w:hAnsi="Palatino Linotype" w:cs="Palatino Linotype"/>
        </w:rPr>
        <w:t xml:space="preserve"> en lo sucesivo el</w:t>
      </w:r>
      <w:r w:rsidRPr="00816A2B">
        <w:rPr>
          <w:rFonts w:ascii="Palatino Linotype" w:eastAsia="Palatino Linotype" w:hAnsi="Palatino Linotype" w:cs="Palatino Linotype"/>
          <w:b/>
        </w:rPr>
        <w:t xml:space="preserve"> RECURRENTE,</w:t>
      </w:r>
      <w:r w:rsidRPr="00816A2B">
        <w:rPr>
          <w:rFonts w:ascii="Palatino Linotype" w:eastAsia="Palatino Linotype" w:hAnsi="Palatino Linotype" w:cs="Palatino Linotype"/>
        </w:rPr>
        <w:t xml:space="preserve"> en contra de la respuesta del </w:t>
      </w:r>
      <w:r w:rsidRPr="00816A2B">
        <w:rPr>
          <w:rFonts w:ascii="Palatino Linotype" w:eastAsia="Palatino Linotype" w:hAnsi="Palatino Linotype" w:cs="Palatino Linotype"/>
          <w:b/>
        </w:rPr>
        <w:t>Ayuntamiento de Ecatepec</w:t>
      </w:r>
      <w:r w:rsidR="00D23705" w:rsidRPr="00816A2B">
        <w:rPr>
          <w:rFonts w:ascii="Palatino Linotype" w:eastAsia="Palatino Linotype" w:hAnsi="Palatino Linotype" w:cs="Palatino Linotype"/>
          <w:b/>
        </w:rPr>
        <w:t xml:space="preserve"> de Morelos</w:t>
      </w:r>
      <w:r w:rsidRPr="00816A2B">
        <w:rPr>
          <w:rFonts w:ascii="Palatino Linotype" w:eastAsia="Palatino Linotype" w:hAnsi="Palatino Linotype" w:cs="Palatino Linotype"/>
          <w:b/>
        </w:rPr>
        <w:t xml:space="preserve">, </w:t>
      </w:r>
      <w:r w:rsidRPr="00816A2B">
        <w:rPr>
          <w:rFonts w:ascii="Palatino Linotype" w:eastAsia="Palatino Linotype" w:hAnsi="Palatino Linotype" w:cs="Palatino Linotype"/>
        </w:rPr>
        <w:t xml:space="preserve">en </w:t>
      </w:r>
      <w:r w:rsidR="00816A2B">
        <w:rPr>
          <w:rFonts w:ascii="Palatino Linotype" w:eastAsia="Palatino Linotype" w:hAnsi="Palatino Linotype" w:cs="Palatino Linotype"/>
        </w:rPr>
        <w:t>adelante</w:t>
      </w:r>
      <w:r w:rsidRPr="00816A2B">
        <w:rPr>
          <w:rFonts w:ascii="Palatino Linotype" w:eastAsia="Palatino Linotype" w:hAnsi="Palatino Linotype" w:cs="Palatino Linotype"/>
        </w:rPr>
        <w:t xml:space="preserve"> el</w:t>
      </w:r>
      <w:r w:rsidRPr="00816A2B">
        <w:rPr>
          <w:rFonts w:ascii="Palatino Linotype" w:eastAsia="Palatino Linotype" w:hAnsi="Palatino Linotype" w:cs="Palatino Linotype"/>
          <w:b/>
        </w:rPr>
        <w:t xml:space="preserve"> SUJETO OBLIGADO</w:t>
      </w:r>
      <w:r w:rsidRPr="00816A2B">
        <w:rPr>
          <w:rFonts w:ascii="Palatino Linotype" w:eastAsia="Palatino Linotype" w:hAnsi="Palatino Linotype" w:cs="Palatino Linotype"/>
        </w:rPr>
        <w:t>, por lo que se procede a dictar la presente resolución, con base en los siguientes:</w:t>
      </w:r>
    </w:p>
    <w:p w:rsidR="000632C2" w:rsidRPr="00816A2B" w:rsidRDefault="000632C2" w:rsidP="000632C2">
      <w:pPr>
        <w:jc w:val="both"/>
        <w:rPr>
          <w:rFonts w:ascii="Palatino Linotype" w:eastAsia="Palatino Linotype" w:hAnsi="Palatino Linotype" w:cs="Palatino Linotype"/>
        </w:rPr>
      </w:pPr>
    </w:p>
    <w:p w:rsidR="000632C2" w:rsidRPr="00816A2B" w:rsidRDefault="000632C2" w:rsidP="000632C2">
      <w:pPr>
        <w:keepNext/>
        <w:keepLines/>
        <w:spacing w:line="360" w:lineRule="auto"/>
        <w:jc w:val="center"/>
        <w:rPr>
          <w:rFonts w:ascii="Palatino Linotype" w:eastAsia="Palatino Linotype" w:hAnsi="Palatino Linotype" w:cs="Palatino Linotype"/>
          <w:b/>
        </w:rPr>
      </w:pPr>
      <w:r w:rsidRPr="00816A2B">
        <w:rPr>
          <w:rFonts w:ascii="Palatino Linotype" w:eastAsia="Palatino Linotype" w:hAnsi="Palatino Linotype" w:cs="Palatino Linotype"/>
          <w:b/>
        </w:rPr>
        <w:t>A N T E C E D E N T E S</w:t>
      </w:r>
    </w:p>
    <w:p w:rsidR="000632C2" w:rsidRPr="00816A2B" w:rsidRDefault="000632C2" w:rsidP="000632C2">
      <w:pPr>
        <w:rPr>
          <w:rFonts w:ascii="Palatino Linotype" w:eastAsia="Palatino Linotype" w:hAnsi="Palatino Linotype" w:cs="Palatino Linotype"/>
        </w:rPr>
      </w:pPr>
    </w:p>
    <w:p w:rsidR="000632C2" w:rsidRPr="00816A2B" w:rsidRDefault="000632C2" w:rsidP="000632C2">
      <w:pPr>
        <w:numPr>
          <w:ilvl w:val="0"/>
          <w:numId w:val="5"/>
        </w:numPr>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w:t>
      </w:r>
      <w:r w:rsidRPr="00816A2B">
        <w:rPr>
          <w:rFonts w:ascii="Palatino Linotype" w:eastAsia="Palatino Linotype" w:hAnsi="Palatino Linotype" w:cs="Palatino Linotype"/>
          <w:b/>
        </w:rPr>
        <w:t>quince de agosto de dos mil veinticinco</w:t>
      </w:r>
      <w:r w:rsidRPr="00816A2B">
        <w:rPr>
          <w:rFonts w:ascii="Palatino Linotype" w:eastAsia="Palatino Linotype" w:hAnsi="Palatino Linotype" w:cs="Palatino Linotype"/>
        </w:rPr>
        <w:t>, la</w:t>
      </w:r>
      <w:r w:rsidRPr="00816A2B">
        <w:rPr>
          <w:rFonts w:ascii="Palatino Linotype" w:eastAsia="Palatino Linotype" w:hAnsi="Palatino Linotype" w:cs="Palatino Linotype"/>
          <w:b/>
        </w:rPr>
        <w:t xml:space="preserve"> RECURRENTE </w:t>
      </w:r>
      <w:r w:rsidRPr="00816A2B">
        <w:rPr>
          <w:rFonts w:ascii="Palatino Linotype" w:eastAsia="Palatino Linotype" w:hAnsi="Palatino Linotype" w:cs="Palatino Linotype"/>
        </w:rPr>
        <w:t xml:space="preserve">presentó ante el </w:t>
      </w:r>
      <w:r w:rsidRPr="00816A2B">
        <w:rPr>
          <w:rFonts w:ascii="Palatino Linotype" w:eastAsia="Palatino Linotype" w:hAnsi="Palatino Linotype" w:cs="Palatino Linotype"/>
          <w:b/>
        </w:rPr>
        <w:t>SUJETO OBLIGADO,</w:t>
      </w:r>
      <w:r w:rsidRPr="00816A2B">
        <w:rPr>
          <w:rFonts w:ascii="Palatino Linotype" w:eastAsia="Palatino Linotype" w:hAnsi="Palatino Linotype" w:cs="Palatino Linotype"/>
        </w:rPr>
        <w:t xml:space="preserve"> a través del el Sistema de Acceso a la Información Mexiquense </w:t>
      </w:r>
      <w:r w:rsidRPr="00816A2B">
        <w:rPr>
          <w:rFonts w:ascii="Palatino Linotype" w:eastAsia="Palatino Linotype" w:hAnsi="Palatino Linotype" w:cs="Palatino Linotype"/>
          <w:b/>
        </w:rPr>
        <w:t>(SAIMEX),</w:t>
      </w:r>
      <w:r w:rsidRPr="00816A2B">
        <w:rPr>
          <w:rFonts w:ascii="Palatino Linotype" w:eastAsia="Palatino Linotype" w:hAnsi="Palatino Linotype" w:cs="Palatino Linotype"/>
        </w:rPr>
        <w:t xml:space="preserve"> la solicitud de información pública </w:t>
      </w:r>
      <w:r w:rsidRPr="00816A2B">
        <w:rPr>
          <w:rFonts w:ascii="Palatino Linotype" w:eastAsia="Palatino Linotype" w:hAnsi="Palatino Linotype" w:cs="Palatino Linotype"/>
          <w:b/>
        </w:rPr>
        <w:t>00679/ECATEPEC/IP/2025</w:t>
      </w:r>
      <w:r w:rsidRPr="00816A2B">
        <w:rPr>
          <w:rFonts w:ascii="Palatino Linotype" w:eastAsia="Palatino Linotype" w:hAnsi="Palatino Linotype" w:cs="Palatino Linotype"/>
        </w:rPr>
        <w:t>, en la que solicitó:</w:t>
      </w:r>
    </w:p>
    <w:p w:rsidR="000632C2" w:rsidRPr="00816A2B" w:rsidRDefault="000632C2" w:rsidP="000632C2">
      <w:pPr>
        <w:jc w:val="both"/>
        <w:rPr>
          <w:rFonts w:ascii="Palatino Linotype" w:eastAsia="Palatino Linotype" w:hAnsi="Palatino Linotype" w:cs="Palatino Linotype"/>
        </w:rPr>
      </w:pPr>
    </w:p>
    <w:p w:rsidR="000632C2" w:rsidRPr="00816A2B" w:rsidRDefault="000632C2" w:rsidP="000632C2">
      <w:pPr>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“Solicito el costo total de la campaña del Récord Guinness programada para el domingo 7 de septiembre del presente año, así como el desglose de gastos por concepto de: • Espectaculares • Pintura de bardas • Banners • Lonas • Anuncios en programas de radio Asimismo, requiero se informe de qué partida presupuestal se tomarán los recursos para dicha campaña. Solicito que la información se entregue en formato digital, en pesos mexicanos, e incluya facturas, contratos u oficios que respalden el gasto” (Sic) </w:t>
      </w:r>
    </w:p>
    <w:p w:rsidR="000632C2" w:rsidRDefault="000632C2" w:rsidP="000632C2">
      <w:pPr>
        <w:pBdr>
          <w:top w:val="nil"/>
          <w:left w:val="nil"/>
          <w:bottom w:val="nil"/>
          <w:right w:val="nil"/>
          <w:between w:val="nil"/>
        </w:pBdr>
        <w:jc w:val="both"/>
        <w:rPr>
          <w:rFonts w:ascii="Palatino Linotype" w:eastAsia="Palatino Linotype" w:hAnsi="Palatino Linotype" w:cs="Palatino Linotype"/>
          <w:color w:val="000000"/>
        </w:rPr>
      </w:pPr>
    </w:p>
    <w:p w:rsidR="00816A2B" w:rsidRPr="00816A2B" w:rsidRDefault="00816A2B" w:rsidP="000632C2">
      <w:pPr>
        <w:pBdr>
          <w:top w:val="nil"/>
          <w:left w:val="nil"/>
          <w:bottom w:val="nil"/>
          <w:right w:val="nil"/>
          <w:between w:val="nil"/>
        </w:pBdr>
        <w:jc w:val="both"/>
        <w:rPr>
          <w:rFonts w:ascii="Palatino Linotype" w:eastAsia="Palatino Linotype" w:hAnsi="Palatino Linotype" w:cs="Palatino Linotype"/>
          <w:color w:val="000000"/>
        </w:rPr>
      </w:pPr>
    </w:p>
    <w:p w:rsidR="000632C2" w:rsidRPr="00816A2B" w:rsidRDefault="000632C2" w:rsidP="000632C2">
      <w:pPr>
        <w:numPr>
          <w:ilvl w:val="0"/>
          <w:numId w:val="5"/>
        </w:numPr>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Se hace constar que se señaló como modalidad de entrega de la información a través del </w:t>
      </w:r>
      <w:r w:rsidRPr="00816A2B">
        <w:rPr>
          <w:rFonts w:ascii="Palatino Linotype" w:eastAsia="Palatino Linotype" w:hAnsi="Palatino Linotype" w:cs="Palatino Linotype"/>
          <w:b/>
        </w:rPr>
        <w:t>SAIMEX.</w:t>
      </w:r>
    </w:p>
    <w:p w:rsidR="000632C2" w:rsidRPr="00816A2B" w:rsidRDefault="000632C2" w:rsidP="000632C2">
      <w:pPr>
        <w:jc w:val="both"/>
        <w:rPr>
          <w:rFonts w:ascii="Palatino Linotype" w:eastAsia="Palatino Linotype" w:hAnsi="Palatino Linotype" w:cs="Palatino Linotype"/>
          <w:b/>
        </w:rPr>
      </w:pPr>
    </w:p>
    <w:p w:rsidR="000632C2" w:rsidRPr="00816A2B" w:rsidRDefault="000632C2" w:rsidP="000632C2">
      <w:pPr>
        <w:numPr>
          <w:ilvl w:val="0"/>
          <w:numId w:val="5"/>
        </w:numPr>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w:t>
      </w:r>
      <w:r w:rsidRPr="00816A2B">
        <w:rPr>
          <w:rFonts w:ascii="Palatino Linotype" w:eastAsia="Palatino Linotype" w:hAnsi="Palatino Linotype" w:cs="Palatino Linotype"/>
          <w:b/>
        </w:rPr>
        <w:t>cinco de septiembre de dos mil veinticinco</w:t>
      </w:r>
      <w:r w:rsidRPr="00816A2B">
        <w:rPr>
          <w:rFonts w:ascii="Palatino Linotype" w:eastAsia="Palatino Linotype" w:hAnsi="Palatino Linotype" w:cs="Palatino Linotype"/>
        </w:rPr>
        <w:t xml:space="preserve">, el </w:t>
      </w:r>
      <w:r w:rsidRPr="00816A2B">
        <w:rPr>
          <w:rFonts w:ascii="Palatino Linotype" w:eastAsia="Palatino Linotype" w:hAnsi="Palatino Linotype" w:cs="Palatino Linotype"/>
          <w:b/>
        </w:rPr>
        <w:t>SUJETO OBLIGADO</w:t>
      </w:r>
      <w:r w:rsidRPr="00816A2B">
        <w:rPr>
          <w:rFonts w:ascii="Palatino Linotype" w:eastAsia="Palatino Linotype" w:hAnsi="Palatino Linotype" w:cs="Palatino Linotype"/>
          <w:b/>
          <w:i/>
        </w:rPr>
        <w:t xml:space="preserve"> </w:t>
      </w:r>
      <w:r w:rsidRPr="00816A2B">
        <w:rPr>
          <w:rFonts w:ascii="Palatino Linotype" w:eastAsia="Palatino Linotype" w:hAnsi="Palatino Linotype" w:cs="Palatino Linotype"/>
        </w:rPr>
        <w:t>dio respuesta a la solicitud de información, en los siguientes términos:</w:t>
      </w:r>
    </w:p>
    <w:p w:rsidR="000632C2" w:rsidRPr="00816A2B" w:rsidRDefault="000632C2" w:rsidP="000632C2">
      <w:pPr>
        <w:ind w:left="567" w:right="567"/>
        <w:jc w:val="both"/>
        <w:rPr>
          <w:rFonts w:ascii="Palatino Linotype" w:hAnsi="Palatino Linotype"/>
          <w:i/>
        </w:rPr>
      </w:pPr>
      <w:r w:rsidRPr="00816A2B">
        <w:rPr>
          <w:rFonts w:ascii="Palatino Linotype" w:hAnsi="Palatino Linotype"/>
          <w:i/>
        </w:rPr>
        <w:lastRenderedPageBreak/>
        <w:t xml:space="preserve">“En respuesta a la solicitud recibida, nos permitimos hacer de su conocimiento que con fundamento en el artículo 53, Fracciones: II, V y VI de la Ley de Transparencia y Acceso a la Información Pública del Estado de México y Municipios, le contestamos que:” (Sic) </w:t>
      </w:r>
    </w:p>
    <w:p w:rsidR="000632C2" w:rsidRPr="00816A2B" w:rsidRDefault="000632C2" w:rsidP="000632C2">
      <w:pPr>
        <w:ind w:right="710"/>
        <w:jc w:val="both"/>
        <w:rPr>
          <w:rFonts w:ascii="Palatino Linotype" w:eastAsia="Palatino Linotype" w:hAnsi="Palatino Linotype" w:cs="Palatino Linotype"/>
          <w:i/>
          <w:color w:val="000000"/>
        </w:rPr>
      </w:pPr>
    </w:p>
    <w:p w:rsidR="000632C2" w:rsidRPr="00816A2B" w:rsidRDefault="000632C2" w:rsidP="000632C2">
      <w:pPr>
        <w:ind w:right="257"/>
        <w:jc w:val="both"/>
        <w:rPr>
          <w:rFonts w:ascii="Palatino Linotype" w:eastAsia="Palatino Linotype" w:hAnsi="Palatino Linotype" w:cs="Palatino Linotype"/>
        </w:rPr>
      </w:pPr>
      <w:r w:rsidRPr="00816A2B">
        <w:rPr>
          <w:rFonts w:ascii="Palatino Linotype" w:eastAsia="Palatino Linotype" w:hAnsi="Palatino Linotype" w:cs="Palatino Linotype"/>
        </w:rPr>
        <w:t>Archivo electrónico adjunto:</w:t>
      </w:r>
    </w:p>
    <w:p w:rsidR="000632C2" w:rsidRPr="00816A2B" w:rsidRDefault="000632C2" w:rsidP="000632C2">
      <w:pPr>
        <w:ind w:right="-592"/>
        <w:jc w:val="both"/>
        <w:rPr>
          <w:rFonts w:ascii="Palatino Linotype" w:eastAsia="Palatino Linotype" w:hAnsi="Palatino Linotype" w:cs="Palatino Linotype"/>
          <w:b/>
        </w:rPr>
      </w:pPr>
    </w:p>
    <w:p w:rsidR="000632C2" w:rsidRPr="00816A2B" w:rsidRDefault="000632C2" w:rsidP="000632C2">
      <w:pPr>
        <w:pStyle w:val="Prrafodelista"/>
        <w:numPr>
          <w:ilvl w:val="0"/>
          <w:numId w:val="20"/>
        </w:numPr>
        <w:ind w:right="567"/>
        <w:jc w:val="both"/>
        <w:rPr>
          <w:rFonts w:ascii="Palatino Linotype" w:eastAsia="Palatino Linotype" w:hAnsi="Palatino Linotype" w:cs="Palatino Linotype"/>
          <w:b/>
        </w:rPr>
      </w:pPr>
      <w:r w:rsidRPr="00816A2B">
        <w:rPr>
          <w:rFonts w:ascii="Palatino Linotype" w:eastAsia="Palatino Linotype" w:hAnsi="Palatino Linotype" w:cs="Palatino Linotype"/>
          <w:b/>
        </w:rPr>
        <w:t xml:space="preserve">respuesta.pdf: </w:t>
      </w:r>
      <w:r w:rsidRPr="00816A2B">
        <w:rPr>
          <w:rFonts w:ascii="Palatino Linotype" w:eastAsia="Palatino Linotype" w:hAnsi="Palatino Linotype" w:cs="Palatino Linotype"/>
        </w:rPr>
        <w:t>Oficio de fecha cinco de septiembre de dos mil veinticinco, suscrito por el Titular de la Unidad de Transparencia y Acceso a la Información Pública, a través del cual informa las respuestas emitidas por la Dirección de Bienestar; así como de la Dirección de Administración, señalando lo siguiente:</w:t>
      </w:r>
    </w:p>
    <w:p w:rsidR="000632C2" w:rsidRPr="00816A2B" w:rsidRDefault="000632C2" w:rsidP="000632C2">
      <w:pPr>
        <w:pStyle w:val="Prrafodelista"/>
        <w:numPr>
          <w:ilvl w:val="1"/>
          <w:numId w:val="20"/>
        </w:numPr>
        <w:ind w:right="567"/>
        <w:jc w:val="both"/>
        <w:rPr>
          <w:rFonts w:ascii="Palatino Linotype" w:eastAsia="Palatino Linotype" w:hAnsi="Palatino Linotype" w:cs="Palatino Linotype"/>
          <w:b/>
        </w:rPr>
      </w:pPr>
      <w:r w:rsidRPr="00816A2B">
        <w:rPr>
          <w:rFonts w:ascii="Palatino Linotype" w:eastAsia="Palatino Linotype" w:hAnsi="Palatino Linotype" w:cs="Palatino Linotype"/>
          <w:b/>
        </w:rPr>
        <w:t xml:space="preserve">Dirección de Bienestar: </w:t>
      </w:r>
      <w:r w:rsidRPr="00816A2B">
        <w:rPr>
          <w:rFonts w:ascii="Palatino Linotype" w:eastAsia="Palatino Linotype" w:hAnsi="Palatino Linotype" w:cs="Palatino Linotype"/>
        </w:rPr>
        <w:t>señala que esa Dirección es la encargada del manejo de la logística del evento, por lo que no maneja la información requerida por el particular, toda vez que esa atribución le corresponde a Dirección de Administración y Tesorería Municipal, reiterando que solo concreta reuniones con los grupos participantes, concentrando la información del registro de los participantes; así como la entrega de diverso material para la ejecución de la actividad.</w:t>
      </w:r>
    </w:p>
    <w:p w:rsidR="000632C2" w:rsidRPr="00816A2B" w:rsidRDefault="000632C2" w:rsidP="000632C2">
      <w:pPr>
        <w:pStyle w:val="Prrafodelista"/>
        <w:numPr>
          <w:ilvl w:val="1"/>
          <w:numId w:val="20"/>
        </w:numPr>
        <w:ind w:right="567"/>
        <w:jc w:val="both"/>
        <w:rPr>
          <w:rFonts w:ascii="Palatino Linotype" w:eastAsia="Palatino Linotype" w:hAnsi="Palatino Linotype" w:cs="Palatino Linotype"/>
          <w:b/>
        </w:rPr>
      </w:pPr>
      <w:r w:rsidRPr="00816A2B">
        <w:rPr>
          <w:rFonts w:ascii="Palatino Linotype" w:eastAsia="Palatino Linotype" w:hAnsi="Palatino Linotype" w:cs="Palatino Linotype"/>
          <w:b/>
        </w:rPr>
        <w:t xml:space="preserve">Dirección de Administración: </w:t>
      </w:r>
      <w:r w:rsidRPr="00816A2B">
        <w:rPr>
          <w:rFonts w:ascii="Palatino Linotype" w:eastAsia="Palatino Linotype" w:hAnsi="Palatino Linotype" w:cs="Palatino Linotype"/>
        </w:rPr>
        <w:t>refirió que debido a que la campaña aún se encuentra en proceso, toda vez que el evento se llevará a cabo el siete de septiembre de dos mil veinticinco, aun no están en posibilidad de atender la solicitud con los elementos solicitados.</w:t>
      </w:r>
    </w:p>
    <w:p w:rsidR="000632C2" w:rsidRPr="00816A2B" w:rsidRDefault="000632C2" w:rsidP="000632C2">
      <w:pPr>
        <w:ind w:right="-592"/>
        <w:jc w:val="both"/>
        <w:rPr>
          <w:rFonts w:ascii="Palatino Linotype" w:eastAsia="Palatino Linotype" w:hAnsi="Palatino Linotype" w:cs="Palatino Linotype"/>
          <w:b/>
        </w:rPr>
      </w:pPr>
    </w:p>
    <w:p w:rsidR="000632C2" w:rsidRPr="00816A2B" w:rsidRDefault="000632C2" w:rsidP="000632C2">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w:t>
      </w:r>
      <w:r w:rsidRPr="00816A2B">
        <w:rPr>
          <w:rFonts w:ascii="Palatino Linotype" w:eastAsia="Palatino Linotype" w:hAnsi="Palatino Linotype" w:cs="Palatino Linotype"/>
          <w:b/>
        </w:rPr>
        <w:t>cinco de septiembre de dos mil veinticinco</w:t>
      </w:r>
      <w:r w:rsidRPr="00816A2B">
        <w:rPr>
          <w:rFonts w:ascii="Palatino Linotype" w:eastAsia="Palatino Linotype" w:hAnsi="Palatino Linotype" w:cs="Palatino Linotype"/>
        </w:rPr>
        <w:t>,</w:t>
      </w:r>
      <w:r w:rsidRPr="00816A2B">
        <w:rPr>
          <w:rFonts w:ascii="Palatino Linotype" w:eastAsia="Palatino Linotype" w:hAnsi="Palatino Linotype" w:cs="Palatino Linotype"/>
          <w:b/>
        </w:rPr>
        <w:t xml:space="preserve"> </w:t>
      </w:r>
      <w:r w:rsidRPr="00816A2B">
        <w:rPr>
          <w:rFonts w:ascii="Palatino Linotype" w:eastAsia="Palatino Linotype" w:hAnsi="Palatino Linotype" w:cs="Palatino Linotype"/>
        </w:rPr>
        <w:t xml:space="preserve">el </w:t>
      </w:r>
      <w:r w:rsidRPr="00816A2B">
        <w:rPr>
          <w:rFonts w:ascii="Palatino Linotype" w:eastAsia="Palatino Linotype" w:hAnsi="Palatino Linotype" w:cs="Palatino Linotype"/>
          <w:b/>
        </w:rPr>
        <w:t>RECURRENTE</w:t>
      </w:r>
      <w:r w:rsidRPr="00816A2B">
        <w:rPr>
          <w:rFonts w:ascii="Palatino Linotype" w:eastAsia="Palatino Linotype" w:hAnsi="Palatino Linotype" w:cs="Palatino Linotype"/>
        </w:rPr>
        <w:t xml:space="preserve"> interpuso el recurso de revisión en contra de la respuesta, señalando como:</w:t>
      </w:r>
    </w:p>
    <w:p w:rsidR="000632C2" w:rsidRPr="00816A2B" w:rsidRDefault="000632C2" w:rsidP="000632C2">
      <w:pPr>
        <w:ind w:right="1"/>
        <w:jc w:val="both"/>
        <w:rPr>
          <w:rFonts w:ascii="Palatino Linotype" w:eastAsia="Palatino Linotype" w:hAnsi="Palatino Linotype" w:cs="Palatino Linotype"/>
        </w:rPr>
      </w:pPr>
    </w:p>
    <w:p w:rsidR="000632C2" w:rsidRPr="00816A2B" w:rsidRDefault="00816A2B" w:rsidP="00816A2B">
      <w:pPr>
        <w:pStyle w:val="Prrafodelista"/>
        <w:numPr>
          <w:ilvl w:val="0"/>
          <w:numId w:val="20"/>
        </w:numPr>
        <w:ind w:right="567"/>
        <w:jc w:val="both"/>
        <w:rPr>
          <w:rFonts w:ascii="Palatino Linotype" w:hAnsi="Palatino Linotype"/>
          <w:i/>
        </w:rPr>
      </w:pPr>
      <w:r w:rsidRPr="00816A2B">
        <w:rPr>
          <w:rFonts w:ascii="Palatino Linotype" w:eastAsia="Palatino Linotype" w:hAnsi="Palatino Linotype" w:cs="Palatino Linotype"/>
          <w:b/>
        </w:rPr>
        <w:t>ACTO IMPUGNADO</w:t>
      </w:r>
      <w:r w:rsidR="000632C2" w:rsidRPr="00816A2B">
        <w:rPr>
          <w:rFonts w:ascii="Palatino Linotype" w:eastAsia="Palatino Linotype" w:hAnsi="Palatino Linotype" w:cs="Palatino Linotype"/>
          <w:b/>
          <w:i/>
        </w:rPr>
        <w:t>:</w:t>
      </w:r>
      <w:r w:rsidR="000632C2" w:rsidRPr="00816A2B">
        <w:rPr>
          <w:rFonts w:ascii="Palatino Linotype" w:eastAsia="Palatino Linotype" w:hAnsi="Palatino Linotype" w:cs="Palatino Linotype"/>
          <w:i/>
          <w:color w:val="000000"/>
        </w:rPr>
        <w:t xml:space="preserve"> “La autoridad municipal no quiso dar respuesta concreta de la solicitud del costo de la campaña de record guinnes de la mayor cantidad de gente recogiendo basura simultaneamente el dia 7 de septiembre” (Sic)</w:t>
      </w:r>
    </w:p>
    <w:p w:rsidR="000632C2" w:rsidRPr="00816A2B" w:rsidRDefault="000632C2" w:rsidP="000632C2">
      <w:pPr>
        <w:ind w:left="567" w:right="567"/>
        <w:jc w:val="both"/>
        <w:rPr>
          <w:rFonts w:ascii="Palatino Linotype" w:eastAsia="Palatino Linotype" w:hAnsi="Palatino Linotype" w:cs="Palatino Linotype"/>
        </w:rPr>
      </w:pPr>
    </w:p>
    <w:p w:rsidR="000632C2" w:rsidRPr="00816A2B" w:rsidRDefault="00816A2B" w:rsidP="00816A2B">
      <w:pPr>
        <w:pStyle w:val="Prrafodelista"/>
        <w:numPr>
          <w:ilvl w:val="0"/>
          <w:numId w:val="20"/>
        </w:numPr>
        <w:ind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b/>
        </w:rPr>
        <w:t xml:space="preserve">RAZONES O MOTIVOS DE INCONFORMIDAD: </w:t>
      </w:r>
      <w:r w:rsidR="000632C2" w:rsidRPr="00816A2B">
        <w:rPr>
          <w:rFonts w:ascii="Palatino Linotype" w:eastAsia="Palatino Linotype" w:hAnsi="Palatino Linotype" w:cs="Palatino Linotype"/>
          <w:i/>
          <w:color w:val="000000"/>
        </w:rPr>
        <w:t>“La informacion entregada por el sujeto obligado es ambigua y no clara , pareciera ser que oculta la información.” (Sic)</w:t>
      </w:r>
    </w:p>
    <w:p w:rsidR="000632C2" w:rsidRPr="00816A2B" w:rsidRDefault="000632C2" w:rsidP="000632C2">
      <w:pPr>
        <w:ind w:right="568"/>
        <w:jc w:val="both"/>
        <w:rPr>
          <w:rFonts w:ascii="Palatino Linotype" w:eastAsia="Palatino Linotype" w:hAnsi="Palatino Linotype" w:cs="Palatino Linotype"/>
          <w:b/>
        </w:rPr>
      </w:pPr>
    </w:p>
    <w:p w:rsidR="000632C2" w:rsidRPr="00816A2B" w:rsidRDefault="000632C2" w:rsidP="000632C2">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816A2B">
        <w:rPr>
          <w:rFonts w:ascii="Palatino Linotype" w:eastAsia="Palatino Linotype" w:hAnsi="Palatino Linotype" w:cs="Palatino Linotype"/>
          <w:b/>
        </w:rPr>
        <w:t xml:space="preserve">Ley de </w:t>
      </w:r>
      <w:r w:rsidRPr="00816A2B">
        <w:rPr>
          <w:rFonts w:ascii="Palatino Linotype" w:eastAsia="Palatino Linotype" w:hAnsi="Palatino Linotype" w:cs="Palatino Linotype"/>
          <w:b/>
        </w:rPr>
        <w:lastRenderedPageBreak/>
        <w:t xml:space="preserve">Transparencia y Acceso a la Información Pública del Estado de México y Municipios </w:t>
      </w:r>
      <w:r w:rsidRPr="00816A2B">
        <w:rPr>
          <w:rFonts w:ascii="Palatino Linotype" w:eastAsia="Palatino Linotype" w:hAnsi="Palatino Linotype" w:cs="Palatino Linotype"/>
        </w:rPr>
        <w:t xml:space="preserve">se turna a la </w:t>
      </w:r>
      <w:r w:rsidRPr="00816A2B">
        <w:rPr>
          <w:rFonts w:ascii="Palatino Linotype" w:eastAsia="Palatino Linotype" w:hAnsi="Palatino Linotype" w:cs="Palatino Linotype"/>
          <w:b/>
        </w:rPr>
        <w:t xml:space="preserve">Comisionada María del Rosario Mejía Ayala, </w:t>
      </w:r>
      <w:r w:rsidRPr="00816A2B">
        <w:rPr>
          <w:rFonts w:ascii="Palatino Linotype" w:eastAsia="Palatino Linotype" w:hAnsi="Palatino Linotype" w:cs="Palatino Linotype"/>
        </w:rPr>
        <w:t xml:space="preserve">para su análisis. </w:t>
      </w:r>
    </w:p>
    <w:p w:rsidR="000632C2" w:rsidRPr="00816A2B" w:rsidRDefault="000632C2" w:rsidP="000632C2">
      <w:pPr>
        <w:ind w:right="-592"/>
        <w:jc w:val="both"/>
        <w:rPr>
          <w:rFonts w:ascii="Palatino Linotype" w:eastAsia="Palatino Linotype" w:hAnsi="Palatino Linotype" w:cs="Palatino Linotype"/>
        </w:rPr>
      </w:pPr>
    </w:p>
    <w:p w:rsidR="000632C2" w:rsidRPr="00816A2B" w:rsidRDefault="00816A2B" w:rsidP="000632C2">
      <w:pPr>
        <w:numPr>
          <w:ilvl w:val="0"/>
          <w:numId w:val="5"/>
        </w:numPr>
        <w:spacing w:line="360" w:lineRule="auto"/>
        <w:ind w:left="0" w:right="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La Comisionada p</w:t>
      </w:r>
      <w:r w:rsidR="000632C2" w:rsidRPr="00816A2B">
        <w:rPr>
          <w:rFonts w:ascii="Palatino Linotype" w:eastAsia="Palatino Linotype" w:hAnsi="Palatino Linotype" w:cs="Palatino Linotype"/>
        </w:rPr>
        <w:t xml:space="preserve">onente con fundamento en lo dispuesto por el artículo 185 fracción II de la ley de la materia, a través del </w:t>
      </w:r>
      <w:r w:rsidR="000632C2" w:rsidRPr="00816A2B">
        <w:rPr>
          <w:rFonts w:ascii="Palatino Linotype" w:eastAsia="Palatino Linotype" w:hAnsi="Palatino Linotype" w:cs="Palatino Linotype"/>
          <w:b/>
        </w:rPr>
        <w:t>acuerdo de admisión de fecha once de septiembre de dos mil veinticinco</w:t>
      </w:r>
      <w:r w:rsidR="000632C2" w:rsidRPr="00816A2B">
        <w:rPr>
          <w:rFonts w:ascii="Palatino Linotype" w:eastAsia="Palatino Linotype" w:hAnsi="Palatino Linotype" w:cs="Palatino Linotype"/>
        </w:rPr>
        <w:t xml:space="preserve">, puso a disposición de las partes el expediente electrónico vía </w:t>
      </w:r>
      <w:r w:rsidR="000632C2" w:rsidRPr="00816A2B">
        <w:rPr>
          <w:rFonts w:ascii="Palatino Linotype" w:eastAsia="Palatino Linotype" w:hAnsi="Palatino Linotype" w:cs="Palatino Linotype"/>
          <w:b/>
        </w:rPr>
        <w:t xml:space="preserve">SAIMEX </w:t>
      </w:r>
      <w:r w:rsidR="000632C2" w:rsidRPr="00816A2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000632C2" w:rsidRPr="00816A2B">
        <w:rPr>
          <w:rFonts w:ascii="Palatino Linotype" w:eastAsia="Palatino Linotype" w:hAnsi="Palatino Linotype" w:cs="Palatino Linotype"/>
          <w:b/>
        </w:rPr>
        <w:t>SUJETO OBLIGADO</w:t>
      </w:r>
      <w:r w:rsidR="000632C2" w:rsidRPr="00816A2B">
        <w:rPr>
          <w:rFonts w:ascii="Palatino Linotype" w:eastAsia="Palatino Linotype" w:hAnsi="Palatino Linotype" w:cs="Palatino Linotype"/>
        </w:rPr>
        <w:t xml:space="preserve"> presentará el informe justificado procedente. </w:t>
      </w:r>
    </w:p>
    <w:p w:rsidR="000632C2" w:rsidRPr="00816A2B" w:rsidRDefault="000632C2" w:rsidP="000632C2">
      <w:pPr>
        <w:rPr>
          <w:rFonts w:ascii="Palatino Linotype" w:eastAsia="Palatino Linotype" w:hAnsi="Palatino Linotype" w:cs="Palatino Linotype"/>
        </w:rPr>
      </w:pPr>
    </w:p>
    <w:p w:rsidR="000632C2" w:rsidRPr="00816A2B" w:rsidRDefault="000632C2" w:rsidP="000632C2">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w:t>
      </w:r>
      <w:r w:rsidRPr="00816A2B">
        <w:rPr>
          <w:rFonts w:ascii="Palatino Linotype" w:eastAsia="Palatino Linotype" w:hAnsi="Palatino Linotype" w:cs="Palatino Linotype"/>
          <w:b/>
        </w:rPr>
        <w:t>veinticuatro de noviembre de dos mil veinticinco</w:t>
      </w:r>
      <w:r w:rsidRPr="00816A2B">
        <w:rPr>
          <w:rFonts w:ascii="Palatino Linotype" w:eastAsia="Palatino Linotype" w:hAnsi="Palatino Linotype" w:cs="Palatino Linotype"/>
        </w:rPr>
        <w:t xml:space="preserve">, el </w:t>
      </w:r>
      <w:r w:rsidRPr="00816A2B">
        <w:rPr>
          <w:rFonts w:ascii="Palatino Linotype" w:eastAsia="Palatino Linotype" w:hAnsi="Palatino Linotype" w:cs="Palatino Linotype"/>
          <w:b/>
        </w:rPr>
        <w:t>SUJETO OBLIGADO</w:t>
      </w:r>
      <w:r w:rsidRPr="00816A2B">
        <w:rPr>
          <w:rFonts w:ascii="Palatino Linotype" w:eastAsia="Palatino Linotype" w:hAnsi="Palatino Linotype" w:cs="Palatino Linotype"/>
        </w:rPr>
        <w:t xml:space="preserve"> rindió el informe justificado correspondiente, por medio del documento </w:t>
      </w:r>
      <w:r w:rsidRPr="00816A2B">
        <w:rPr>
          <w:rFonts w:ascii="Palatino Linotype" w:eastAsia="Palatino Linotype" w:hAnsi="Palatino Linotype" w:cs="Palatino Linotype"/>
          <w:b/>
        </w:rPr>
        <w:t>respuesta administración.pdf,</w:t>
      </w:r>
      <w:r w:rsidRPr="00816A2B">
        <w:rPr>
          <w:rFonts w:ascii="Palatino Linotype" w:eastAsia="Palatino Linotype" w:hAnsi="Palatino Linotype" w:cs="Palatino Linotype"/>
        </w:rPr>
        <w:t xml:space="preserve"> del que se desprende lo siguiente:</w:t>
      </w:r>
    </w:p>
    <w:p w:rsidR="000632C2" w:rsidRPr="00816A2B" w:rsidRDefault="000632C2" w:rsidP="000632C2">
      <w:pPr>
        <w:pStyle w:val="Prrafodelista"/>
        <w:numPr>
          <w:ilvl w:val="0"/>
          <w:numId w:val="20"/>
        </w:numPr>
        <w:ind w:right="567"/>
        <w:jc w:val="both"/>
        <w:rPr>
          <w:rFonts w:ascii="Palatino Linotype" w:hAnsi="Palatino Linotype"/>
        </w:rPr>
      </w:pPr>
      <w:r w:rsidRPr="00816A2B">
        <w:rPr>
          <w:rFonts w:ascii="Palatino Linotype" w:hAnsi="Palatino Linotype"/>
        </w:rPr>
        <w:t>Oficio DA/ECA/6700/2025 de fecha treinta de septiembre de dos mil veinticinco, suscrito por la Directora de Administración, a través del cual remite el contrato de fecha ocho de agosto de dos mil veinticinco, celebrado con ANM PUBLICIDAD EXTERIOR, S. A. S. mismo que tiene como plazo de entrega del quince de agosto al siete de septiembre de dos mil veinticinco, del que se advierte el total de los gastos generados por la publicidad del evento.</w:t>
      </w:r>
    </w:p>
    <w:p w:rsidR="000632C2" w:rsidRDefault="000632C2" w:rsidP="000632C2">
      <w:pPr>
        <w:ind w:left="567" w:right="567"/>
        <w:jc w:val="both"/>
        <w:rPr>
          <w:rFonts w:ascii="Palatino Linotype" w:hAnsi="Palatino Linotype"/>
        </w:rPr>
      </w:pPr>
    </w:p>
    <w:p w:rsidR="00816A2B" w:rsidRPr="00816A2B" w:rsidRDefault="00816A2B" w:rsidP="000632C2">
      <w:pPr>
        <w:ind w:left="567" w:right="567"/>
        <w:jc w:val="both"/>
        <w:rPr>
          <w:rFonts w:ascii="Palatino Linotype" w:hAnsi="Palatino Linotype"/>
        </w:rPr>
      </w:pPr>
    </w:p>
    <w:p w:rsidR="000632C2" w:rsidRPr="00816A2B" w:rsidRDefault="000632C2" w:rsidP="000632C2">
      <w:pPr>
        <w:pStyle w:val="Prrafodelista"/>
        <w:numPr>
          <w:ilvl w:val="0"/>
          <w:numId w:val="5"/>
        </w:numPr>
        <w:pBdr>
          <w:top w:val="nil"/>
          <w:left w:val="nil"/>
          <w:bottom w:val="nil"/>
          <w:right w:val="nil"/>
          <w:between w:val="nil"/>
        </w:pBdr>
        <w:ind w:left="0" w:firstLine="0"/>
        <w:contextualSpacing w:val="0"/>
        <w:jc w:val="both"/>
        <w:rPr>
          <w:rFonts w:ascii="Palatino Linotype" w:hAnsi="Palatino Linotype"/>
        </w:rPr>
      </w:pPr>
      <w:r w:rsidRPr="00816A2B">
        <w:rPr>
          <w:rFonts w:ascii="Palatino Linotype" w:hAnsi="Palatino Linotype"/>
        </w:rPr>
        <w:t xml:space="preserve">Por su parte, el </w:t>
      </w:r>
      <w:r w:rsidRPr="00816A2B">
        <w:rPr>
          <w:rFonts w:ascii="Palatino Linotype" w:hAnsi="Palatino Linotype"/>
          <w:b/>
        </w:rPr>
        <w:t>RECURRENTE</w:t>
      </w:r>
      <w:r w:rsidRPr="00816A2B">
        <w:rPr>
          <w:rFonts w:ascii="Palatino Linotype" w:hAnsi="Palatino Linotype"/>
        </w:rPr>
        <w:t xml:space="preserve"> dejó de realizar manifestaciones que a su derecho conviniera y asistiera. </w:t>
      </w:r>
    </w:p>
    <w:p w:rsidR="000632C2" w:rsidRPr="00816A2B" w:rsidRDefault="000632C2" w:rsidP="000632C2">
      <w:pPr>
        <w:pStyle w:val="Prrafodelista"/>
        <w:pBdr>
          <w:top w:val="nil"/>
          <w:left w:val="nil"/>
          <w:bottom w:val="nil"/>
          <w:right w:val="nil"/>
          <w:between w:val="nil"/>
        </w:pBdr>
        <w:ind w:left="0"/>
        <w:contextualSpacing w:val="0"/>
        <w:jc w:val="both"/>
        <w:rPr>
          <w:rFonts w:ascii="Palatino Linotype" w:hAnsi="Palatino Linotype"/>
        </w:rPr>
      </w:pPr>
    </w:p>
    <w:p w:rsidR="000632C2" w:rsidRPr="00816A2B" w:rsidRDefault="000632C2" w:rsidP="000632C2">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color w:val="000000"/>
        </w:rPr>
        <w:t xml:space="preserve">El </w:t>
      </w:r>
      <w:r w:rsidRPr="00816A2B">
        <w:rPr>
          <w:rFonts w:ascii="Palatino Linotype" w:eastAsia="Palatino Linotype" w:hAnsi="Palatino Linotype" w:cs="Palatino Linotype"/>
          <w:b/>
          <w:color w:val="000000"/>
        </w:rPr>
        <w:t>veintiséis de enero de dos mil veintiséis</w:t>
      </w:r>
      <w:r w:rsidRPr="00816A2B">
        <w:rPr>
          <w:rFonts w:ascii="Palatino Linotype" w:eastAsia="Palatino Linotype" w:hAnsi="Palatino Linotype" w:cs="Palatino Linotype"/>
          <w:color w:val="000000"/>
        </w:rPr>
        <w:t>, se notificó el acuerdo mediante el cual se amplió el plazo para emitir resolución por un término de 15 días adicionales.</w:t>
      </w:r>
    </w:p>
    <w:p w:rsidR="000632C2" w:rsidRPr="00816A2B" w:rsidRDefault="000632C2" w:rsidP="000632C2">
      <w:pPr>
        <w:pStyle w:val="Prrafodelista"/>
        <w:rPr>
          <w:rFonts w:ascii="Palatino Linotype" w:eastAsia="Palatino Linotype" w:hAnsi="Palatino Linotype" w:cs="Palatino Linotype"/>
        </w:rPr>
      </w:pPr>
    </w:p>
    <w:p w:rsidR="000632C2" w:rsidRPr="00816A2B" w:rsidRDefault="00816A2B" w:rsidP="000632C2">
      <w:pPr>
        <w:numPr>
          <w:ilvl w:val="0"/>
          <w:numId w:val="5"/>
        </w:numPr>
        <w:spacing w:line="360" w:lineRule="auto"/>
        <w:ind w:left="0" w:right="1" w:firstLine="0"/>
        <w:jc w:val="both"/>
        <w:rPr>
          <w:rFonts w:ascii="Palatino Linotype" w:eastAsia="Palatino Linotype" w:hAnsi="Palatino Linotype" w:cs="Palatino Linotype"/>
          <w:b/>
        </w:rPr>
      </w:pPr>
      <w:r>
        <w:rPr>
          <w:rFonts w:ascii="Palatino Linotype" w:eastAsia="Palatino Linotype" w:hAnsi="Palatino Linotype" w:cs="Palatino Linotype"/>
        </w:rPr>
        <w:t>La Comisionada p</w:t>
      </w:r>
      <w:r w:rsidR="000632C2" w:rsidRPr="00816A2B">
        <w:rPr>
          <w:rFonts w:ascii="Palatino Linotype" w:eastAsia="Palatino Linotype" w:hAnsi="Palatino Linotype" w:cs="Palatino Linotype"/>
        </w:rPr>
        <w:t xml:space="preserve">onente decretó el cierre de instrucción mediante el acuerdo del </w:t>
      </w:r>
      <w:r w:rsidR="000632C2" w:rsidRPr="00816A2B">
        <w:rPr>
          <w:rFonts w:ascii="Palatino Linotype" w:eastAsia="Palatino Linotype" w:hAnsi="Palatino Linotype" w:cs="Palatino Linotype"/>
          <w:b/>
        </w:rPr>
        <w:t>veinticinco de febrero de dos mil veintiséis</w:t>
      </w:r>
      <w:r w:rsidR="000632C2" w:rsidRPr="00816A2B">
        <w:rPr>
          <w:rFonts w:ascii="Palatino Linotype" w:eastAsia="Palatino Linotype" w:hAnsi="Palatino Linotype" w:cs="Palatino Linotype"/>
        </w:rPr>
        <w:t>.</w:t>
      </w:r>
      <w:r w:rsidR="003D062D">
        <w:rPr>
          <w:rFonts w:ascii="Palatino Linotype" w:eastAsia="Palatino Linotype" w:hAnsi="Palatino Linotype" w:cs="Palatino Linotype"/>
        </w:rPr>
        <w:t xml:space="preserve"> --------------------------------------------------------------</w:t>
      </w:r>
    </w:p>
    <w:p w:rsidR="00D86E74" w:rsidRPr="00816A2B" w:rsidRDefault="00B05C77">
      <w:pPr>
        <w:pStyle w:val="Ttulo1"/>
        <w:tabs>
          <w:tab w:val="left" w:pos="567"/>
        </w:tabs>
        <w:spacing w:before="0" w:line="360" w:lineRule="auto"/>
        <w:jc w:val="center"/>
      </w:pPr>
      <w:r w:rsidRPr="00816A2B">
        <w:lastRenderedPageBreak/>
        <w:t>C O N S I D E R A N D O</w:t>
      </w:r>
    </w:p>
    <w:p w:rsidR="00D86E74" w:rsidRPr="00816A2B" w:rsidRDefault="00D86E74">
      <w:pPr>
        <w:spacing w:line="360" w:lineRule="auto"/>
        <w:rPr>
          <w:rFonts w:ascii="Palatino Linotype" w:eastAsia="Palatino Linotype" w:hAnsi="Palatino Linotype" w:cs="Palatino Linotype"/>
        </w:rPr>
      </w:pPr>
    </w:p>
    <w:p w:rsidR="00D86E74" w:rsidRPr="00816A2B" w:rsidRDefault="00B05C77">
      <w:pPr>
        <w:pStyle w:val="Ttulo1"/>
        <w:tabs>
          <w:tab w:val="left" w:pos="567"/>
        </w:tabs>
        <w:spacing w:before="0" w:line="360" w:lineRule="auto"/>
      </w:pPr>
      <w:bookmarkStart w:id="2" w:name="_heading=h.3dy6vkm" w:colFirst="0" w:colLast="0"/>
      <w:bookmarkEnd w:id="2"/>
      <w:r w:rsidRPr="00816A2B">
        <w:t>PRIMERO. De la competencia</w:t>
      </w:r>
    </w:p>
    <w:p w:rsidR="00D86E74" w:rsidRPr="00816A2B" w:rsidRDefault="00B05C77" w:rsidP="000632C2">
      <w:pPr>
        <w:pStyle w:val="Prrafodelista"/>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r w:rsidR="00875579" w:rsidRPr="00816A2B">
        <w:rPr>
          <w:rFonts w:ascii="Palatino Linotype" w:eastAsia="Palatino Linotype" w:hAnsi="Palatino Linotype" w:cs="Palatino Linotype"/>
        </w:rPr>
        <w:t xml:space="preserve"> </w:t>
      </w:r>
    </w:p>
    <w:p w:rsidR="00D86E74" w:rsidRPr="00816A2B" w:rsidRDefault="00D86E7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D86E74" w:rsidRPr="00816A2B" w:rsidRDefault="00B05C77">
      <w:pPr>
        <w:pStyle w:val="Ttulo2"/>
        <w:spacing w:before="0" w:line="360" w:lineRule="auto"/>
      </w:pPr>
      <w:bookmarkStart w:id="3" w:name="_heading=h.1t3h5sf" w:colFirst="0" w:colLast="0"/>
      <w:bookmarkEnd w:id="3"/>
      <w:r w:rsidRPr="00816A2B">
        <w:t>SEGUNDO. De la oportunidad y procedencia.</w:t>
      </w:r>
    </w:p>
    <w:p w:rsidR="00D86E74" w:rsidRPr="00816A2B" w:rsidRDefault="00B05C77" w:rsidP="001D2F5C">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 </w:t>
      </w:r>
      <w:r w:rsidR="00875579" w:rsidRPr="00816A2B">
        <w:rPr>
          <w:rFonts w:ascii="Palatino Linotype" w:eastAsia="Palatino Linotype" w:hAnsi="Palatino Linotype" w:cs="Palatino Linotype"/>
        </w:rPr>
        <w:t xml:space="preserve">El medio de impugnación fue presentado a través del </w:t>
      </w:r>
      <w:r w:rsidR="00875579" w:rsidRPr="00816A2B">
        <w:rPr>
          <w:rFonts w:ascii="Palatino Linotype" w:eastAsia="Palatino Linotype" w:hAnsi="Palatino Linotype" w:cs="Palatino Linotype"/>
          <w:b/>
        </w:rPr>
        <w:t>SAIMEX,</w:t>
      </w:r>
      <w:r w:rsidR="00875579" w:rsidRPr="00816A2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00875579" w:rsidRPr="00816A2B">
        <w:rPr>
          <w:rFonts w:ascii="Palatino Linotype" w:eastAsia="Palatino Linotype" w:hAnsi="Palatino Linotype" w:cs="Palatino Linotype"/>
          <w:b/>
        </w:rPr>
        <w:t>SUJETO OBLIGADO</w:t>
      </w:r>
      <w:r w:rsidR="00875579" w:rsidRPr="00816A2B">
        <w:rPr>
          <w:rFonts w:ascii="Palatino Linotype" w:eastAsia="Palatino Linotype" w:hAnsi="Palatino Linotype" w:cs="Palatino Linotype"/>
        </w:rPr>
        <w:t xml:space="preserve"> entregó respuesta el </w:t>
      </w:r>
      <w:r w:rsidR="00875579" w:rsidRPr="00816A2B">
        <w:rPr>
          <w:rFonts w:ascii="Palatino Linotype" w:eastAsia="Palatino Linotype" w:hAnsi="Palatino Linotype" w:cs="Palatino Linotype"/>
          <w:b/>
        </w:rPr>
        <w:t>cinco de septiembre de dos mil veinticinco</w:t>
      </w:r>
      <w:r w:rsidR="00875579" w:rsidRPr="00816A2B">
        <w:rPr>
          <w:rFonts w:ascii="Palatino Linotype" w:eastAsia="Palatino Linotype" w:hAnsi="Palatino Linotype" w:cs="Palatino Linotype"/>
        </w:rPr>
        <w:t xml:space="preserve">, de tal forma que el plazo para interponer el recurso de revisión transcurrió del </w:t>
      </w:r>
      <w:r w:rsidR="00875579" w:rsidRPr="00816A2B">
        <w:rPr>
          <w:rFonts w:ascii="Palatino Linotype" w:eastAsia="Palatino Linotype" w:hAnsi="Palatino Linotype" w:cs="Palatino Linotype"/>
          <w:b/>
        </w:rPr>
        <w:t>ocho al veintinueve de septiembre de dos mil veinticinco</w:t>
      </w:r>
      <w:r w:rsidR="00875579" w:rsidRPr="00816A2B">
        <w:rPr>
          <w:rFonts w:ascii="Palatino Linotype" w:eastAsia="Palatino Linotype" w:hAnsi="Palatino Linotype" w:cs="Palatino Linotype"/>
        </w:rPr>
        <w:t xml:space="preserve">; en consecuencia, presentó su inconformidad el </w:t>
      </w:r>
      <w:r w:rsidR="00875579" w:rsidRPr="00816A2B">
        <w:rPr>
          <w:rFonts w:ascii="Palatino Linotype" w:eastAsia="Palatino Linotype" w:hAnsi="Palatino Linotype" w:cs="Palatino Linotype"/>
          <w:b/>
        </w:rPr>
        <w:t>cinco de septiembre de dos mil veinticinco</w:t>
      </w:r>
      <w:r w:rsidR="00875579" w:rsidRPr="00816A2B">
        <w:rPr>
          <w:rFonts w:ascii="Palatino Linotype" w:eastAsia="Palatino Linotype" w:hAnsi="Palatino Linotype" w:cs="Palatino Linotype"/>
        </w:rPr>
        <w:t xml:space="preserve">, por lo que se encuentra dentro de los márgenes temporales previstos en el artículo 178 de la </w:t>
      </w:r>
      <w:r w:rsidR="00875579" w:rsidRPr="00816A2B">
        <w:rPr>
          <w:rFonts w:ascii="Palatino Linotype" w:eastAsia="Palatino Linotype" w:hAnsi="Palatino Linotype" w:cs="Palatino Linotype"/>
          <w:b/>
        </w:rPr>
        <w:t xml:space="preserve">Ley de Transparencia y Acceso a la Información Pública del Estado de México y Municipios </w:t>
      </w:r>
      <w:r w:rsidR="00875579" w:rsidRPr="00816A2B">
        <w:rPr>
          <w:rFonts w:ascii="Palatino Linotype" w:eastAsia="Palatino Linotype" w:hAnsi="Palatino Linotype" w:cs="Palatino Linotype"/>
        </w:rPr>
        <w:t>vigente.</w:t>
      </w:r>
    </w:p>
    <w:p w:rsidR="00875579" w:rsidRPr="00816A2B" w:rsidRDefault="00875579" w:rsidP="00875579">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86E74" w:rsidRPr="00816A2B" w:rsidRDefault="00B05C77" w:rsidP="00875579">
      <w:pPr>
        <w:numPr>
          <w:ilvl w:val="0"/>
          <w:numId w:val="5"/>
        </w:numPr>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lastRenderedPageBreak/>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r w:rsidR="00875579" w:rsidRPr="00816A2B">
        <w:rPr>
          <w:rFonts w:ascii="Palatino Linotype" w:eastAsia="Palatino Linotype" w:hAnsi="Palatino Linotype" w:cs="Palatino Linotype"/>
        </w:rPr>
        <w:t xml:space="preserve"> </w:t>
      </w:r>
    </w:p>
    <w:p w:rsidR="00D86E74" w:rsidRPr="00816A2B" w:rsidRDefault="00D86E74">
      <w:pPr>
        <w:spacing w:line="360" w:lineRule="auto"/>
        <w:rPr>
          <w:rFonts w:ascii="Palatino Linotype" w:eastAsia="Palatino Linotype" w:hAnsi="Palatino Linotype" w:cs="Palatino Linotype"/>
        </w:rPr>
      </w:pPr>
    </w:p>
    <w:p w:rsidR="00D86E74" w:rsidRPr="00816A2B" w:rsidRDefault="00B05C77">
      <w:pPr>
        <w:pStyle w:val="Ttulo1"/>
        <w:spacing w:before="0" w:line="360" w:lineRule="auto"/>
      </w:pPr>
      <w:r w:rsidRPr="00816A2B">
        <w:t xml:space="preserve">TERCERO. Del planteamiento de la </w:t>
      </w:r>
      <w:r w:rsidRPr="00816A2B">
        <w:rPr>
          <w:i/>
        </w:rPr>
        <w:t>Litis</w:t>
      </w:r>
      <w:r w:rsidRPr="00816A2B">
        <w:t>.</w:t>
      </w:r>
    </w:p>
    <w:p w:rsidR="00F23537" w:rsidRPr="00816A2B" w:rsidRDefault="00B05C77" w:rsidP="00F23537">
      <w:pPr>
        <w:numPr>
          <w:ilvl w:val="0"/>
          <w:numId w:val="5"/>
        </w:numPr>
        <w:spacing w:line="360" w:lineRule="auto"/>
        <w:ind w:left="0" w:right="1"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t xml:space="preserve">La parte </w:t>
      </w:r>
      <w:r w:rsidRPr="00816A2B">
        <w:rPr>
          <w:rFonts w:ascii="Palatino Linotype" w:eastAsia="Palatino Linotype" w:hAnsi="Palatino Linotype" w:cs="Palatino Linotype"/>
          <w:b/>
        </w:rPr>
        <w:t>RECURRENTE</w:t>
      </w:r>
      <w:r w:rsidR="00327D9C" w:rsidRPr="00816A2B">
        <w:rPr>
          <w:rFonts w:ascii="Palatino Linotype" w:eastAsia="Palatino Linotype" w:hAnsi="Palatino Linotype" w:cs="Palatino Linotype"/>
        </w:rPr>
        <w:t xml:space="preserve"> solicitó </w:t>
      </w:r>
      <w:r w:rsidR="00F23537" w:rsidRPr="00816A2B">
        <w:rPr>
          <w:rFonts w:ascii="Palatino Linotype" w:eastAsia="Palatino Linotype" w:hAnsi="Palatino Linotype" w:cs="Palatino Linotype"/>
          <w:b/>
        </w:rPr>
        <w:t>del evento de Record Guinness programada para el domingo 7 de septiembre de 2025, en formato digital y pesos mexicanos:</w:t>
      </w:r>
    </w:p>
    <w:p w:rsidR="00F23537" w:rsidRPr="00816A2B" w:rsidRDefault="00F23537" w:rsidP="00F23537">
      <w:pPr>
        <w:pStyle w:val="Prrafodelista"/>
        <w:numPr>
          <w:ilvl w:val="0"/>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Costo total de la campaña</w:t>
      </w:r>
    </w:p>
    <w:p w:rsidR="00F23537" w:rsidRPr="00816A2B" w:rsidRDefault="00F23537" w:rsidP="00F23537">
      <w:pPr>
        <w:pStyle w:val="Prrafodelista"/>
        <w:numPr>
          <w:ilvl w:val="0"/>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 xml:space="preserve">Desglose de gastos por concepto de </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Espectaculares</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 xml:space="preserve">Pintura de bardas </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Banners</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Lonas</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Anuncios en Programas de radio</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De que partida presupuestal se tomaron los recursos para la campaña</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 xml:space="preserve">Facturas </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 xml:space="preserve">Contratos </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Oficios que respalden el gasto</w:t>
      </w:r>
    </w:p>
    <w:p w:rsidR="00D86E74" w:rsidRPr="00816A2B" w:rsidRDefault="00D86E74">
      <w:pPr>
        <w:pBdr>
          <w:top w:val="nil"/>
          <w:left w:val="nil"/>
          <w:bottom w:val="nil"/>
          <w:right w:val="nil"/>
          <w:between w:val="nil"/>
        </w:pBdr>
        <w:spacing w:line="360" w:lineRule="auto"/>
        <w:jc w:val="both"/>
        <w:rPr>
          <w:rFonts w:ascii="Palatino Linotype" w:eastAsia="Palatino Linotype" w:hAnsi="Palatino Linotype" w:cs="Palatino Linotype"/>
        </w:rPr>
      </w:pPr>
    </w:p>
    <w:p w:rsidR="00F23537" w:rsidRPr="00816A2B" w:rsidRDefault="00F23537" w:rsidP="00F23537">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respuesta, </w:t>
      </w:r>
      <w:r w:rsidRPr="00816A2B">
        <w:rPr>
          <w:rFonts w:ascii="Palatino Linotype" w:hAnsi="Palatino Linotype"/>
        </w:rPr>
        <w:t xml:space="preserve">el </w:t>
      </w:r>
      <w:r w:rsidRPr="00816A2B">
        <w:rPr>
          <w:rFonts w:ascii="Palatino Linotype" w:hAnsi="Palatino Linotype"/>
          <w:b/>
        </w:rPr>
        <w:t>SUJETO OBLIGADO</w:t>
      </w:r>
      <w:r w:rsidRPr="00816A2B">
        <w:rPr>
          <w:rFonts w:ascii="Palatino Linotype" w:hAnsi="Palatino Linotype"/>
        </w:rPr>
        <w:t xml:space="preserve"> </w:t>
      </w:r>
      <w:r w:rsidRPr="00816A2B">
        <w:rPr>
          <w:rFonts w:ascii="Palatino Linotype" w:eastAsia="Palatino Linotype" w:hAnsi="Palatino Linotype" w:cs="Palatino Linotype"/>
        </w:rPr>
        <w:t xml:space="preserve">por medio de la </w:t>
      </w:r>
      <w:r w:rsidRPr="00816A2B">
        <w:rPr>
          <w:rFonts w:ascii="Palatino Linotype" w:eastAsia="Palatino Linotype" w:hAnsi="Palatino Linotype" w:cs="Palatino Linotype"/>
          <w:b/>
        </w:rPr>
        <w:t>Directora de Administración</w:t>
      </w:r>
      <w:r w:rsidRPr="00816A2B">
        <w:rPr>
          <w:rFonts w:ascii="Palatino Linotype" w:hAnsi="Palatino Linotype"/>
        </w:rPr>
        <w:t>, informó que en virtud de que la campaña aún se encuentra en proceso, toda vez que el evento se llevará a cabo el siete de septiembre de dos mil veinticinco, aun no se encuentra en posibilidades de atender la solicitud con los elementos solicitados.</w:t>
      </w:r>
    </w:p>
    <w:p w:rsidR="00D86E74" w:rsidRPr="00816A2B"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rsidR="00F23537" w:rsidRPr="00816A2B" w:rsidRDefault="00F23537" w:rsidP="00F23537">
      <w:pPr>
        <w:numPr>
          <w:ilvl w:val="0"/>
          <w:numId w:val="5"/>
        </w:numPr>
        <w:spacing w:line="360" w:lineRule="auto"/>
        <w:ind w:left="0" w:right="1"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t xml:space="preserve">Al respecto, el </w:t>
      </w:r>
      <w:r w:rsidRPr="00816A2B">
        <w:rPr>
          <w:rFonts w:ascii="Palatino Linotype" w:eastAsia="Palatino Linotype" w:hAnsi="Palatino Linotype" w:cs="Palatino Linotype"/>
          <w:b/>
        </w:rPr>
        <w:t xml:space="preserve">RECURRENTE </w:t>
      </w:r>
      <w:r w:rsidRPr="00816A2B">
        <w:rPr>
          <w:rFonts w:ascii="Palatino Linotype" w:eastAsia="Palatino Linotype" w:hAnsi="Palatino Linotype" w:cs="Palatino Linotype"/>
        </w:rPr>
        <w:t xml:space="preserve">interpuso el recurso de revisión en contra de la respuesta, por medio del cual, manifestó que </w:t>
      </w:r>
      <w:r w:rsidRPr="00816A2B">
        <w:rPr>
          <w:rFonts w:ascii="Palatino Linotype" w:eastAsia="Palatino Linotype" w:hAnsi="Palatino Linotype" w:cs="Palatino Linotype"/>
          <w:b/>
        </w:rPr>
        <w:t>la información entregada por el Sujeto Obligado es ambigua y no es clara, pareciera que oculta información.</w:t>
      </w:r>
    </w:p>
    <w:p w:rsidR="00D86E74" w:rsidRPr="00816A2B" w:rsidRDefault="00B05C77" w:rsidP="00F23537">
      <w:pPr>
        <w:numPr>
          <w:ilvl w:val="0"/>
          <w:numId w:val="5"/>
        </w:numPr>
        <w:spacing w:line="360" w:lineRule="auto"/>
        <w:ind w:left="0" w:right="1" w:firstLine="0"/>
        <w:jc w:val="both"/>
        <w:rPr>
          <w:rFonts w:ascii="Palatino Linotype" w:eastAsia="Palatino Linotype" w:hAnsi="Palatino Linotype" w:cs="Palatino Linotype"/>
          <w:b/>
        </w:rPr>
      </w:pPr>
      <w:r w:rsidRPr="00816A2B">
        <w:rPr>
          <w:rFonts w:ascii="Palatino Linotype" w:eastAsia="Palatino Linotype" w:hAnsi="Palatino Linotype" w:cs="Palatino Linotype"/>
          <w:color w:val="000000"/>
        </w:rPr>
        <w:lastRenderedPageBreak/>
        <w:t xml:space="preserve">En dichas condiciones, la </w:t>
      </w:r>
      <w:r w:rsidRPr="00816A2B">
        <w:rPr>
          <w:rFonts w:ascii="Palatino Linotype" w:eastAsia="Palatino Linotype" w:hAnsi="Palatino Linotype" w:cs="Palatino Linotype"/>
          <w:i/>
          <w:color w:val="000000"/>
        </w:rPr>
        <w:t>Litis</w:t>
      </w:r>
      <w:r w:rsidRPr="00816A2B">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00966A65" w:rsidRPr="00816A2B">
        <w:rPr>
          <w:rFonts w:ascii="Palatino Linotype" w:eastAsia="Palatino Linotype" w:hAnsi="Palatino Linotype" w:cs="Palatino Linotype"/>
          <w:b/>
          <w:color w:val="000000"/>
        </w:rPr>
        <w:t>fracción I</w:t>
      </w:r>
      <w:r w:rsidR="00211124" w:rsidRPr="00816A2B">
        <w:rPr>
          <w:rFonts w:ascii="Palatino Linotype" w:eastAsia="Palatino Linotype" w:hAnsi="Palatino Linotype" w:cs="Palatino Linotype"/>
          <w:b/>
          <w:color w:val="000000"/>
        </w:rPr>
        <w:t xml:space="preserve"> </w:t>
      </w:r>
      <w:r w:rsidRPr="00816A2B">
        <w:rPr>
          <w:rFonts w:ascii="Palatino Linotype" w:eastAsia="Palatino Linotype" w:hAnsi="Palatino Linotype" w:cs="Palatino Linotype"/>
          <w:color w:val="000000"/>
        </w:rPr>
        <w:t>de la Ley</w:t>
      </w:r>
      <w:r w:rsidRPr="00816A2B">
        <w:rPr>
          <w:rFonts w:ascii="Palatino Linotype" w:eastAsia="Palatino Linotype" w:hAnsi="Palatino Linotype" w:cs="Palatino Linotype"/>
          <w:b/>
          <w:color w:val="000000"/>
        </w:rPr>
        <w:t xml:space="preserve"> de Transparencia y Acceso a la Información Pública del Estado de </w:t>
      </w:r>
      <w:r w:rsidRPr="00816A2B">
        <w:rPr>
          <w:rFonts w:ascii="Palatino Linotype" w:eastAsia="Palatino Linotype" w:hAnsi="Palatino Linotype" w:cs="Palatino Linotype"/>
          <w:color w:val="000000"/>
        </w:rPr>
        <w:t>México</w:t>
      </w:r>
      <w:r w:rsidRPr="00816A2B">
        <w:rPr>
          <w:rFonts w:ascii="Palatino Linotype" w:eastAsia="Palatino Linotype" w:hAnsi="Palatino Linotype" w:cs="Palatino Linotype"/>
          <w:b/>
          <w:color w:val="000000"/>
        </w:rPr>
        <w:t xml:space="preserve"> y Municipios</w:t>
      </w:r>
      <w:r w:rsidR="00211124" w:rsidRPr="00816A2B">
        <w:rPr>
          <w:rFonts w:ascii="Palatino Linotype" w:eastAsia="Palatino Linotype" w:hAnsi="Palatino Linotype" w:cs="Palatino Linotype"/>
          <w:color w:val="000000"/>
        </w:rPr>
        <w:t>.</w:t>
      </w:r>
    </w:p>
    <w:p w:rsidR="00D86E74" w:rsidRPr="00816A2B" w:rsidRDefault="00D86E74">
      <w:pPr>
        <w:pBdr>
          <w:top w:val="nil"/>
          <w:left w:val="nil"/>
          <w:bottom w:val="nil"/>
          <w:right w:val="nil"/>
          <w:between w:val="nil"/>
        </w:pBdr>
        <w:spacing w:line="360" w:lineRule="auto"/>
        <w:jc w:val="both"/>
        <w:rPr>
          <w:rFonts w:ascii="Palatino Linotype" w:eastAsia="Palatino Linotype" w:hAnsi="Palatino Linotype" w:cs="Palatino Linotype"/>
          <w:i/>
        </w:rPr>
      </w:pPr>
    </w:p>
    <w:p w:rsidR="00D86E74" w:rsidRPr="00816A2B" w:rsidRDefault="00B05C77">
      <w:pPr>
        <w:pStyle w:val="Ttulo1"/>
        <w:spacing w:before="0" w:line="360" w:lineRule="auto"/>
      </w:pPr>
      <w:r w:rsidRPr="00816A2B">
        <w:t>CUARTO. Del estudio y resolución del asunto.</w:t>
      </w:r>
    </w:p>
    <w:p w:rsidR="00D86E74" w:rsidRPr="00816A2B" w:rsidRDefault="00B05C77" w:rsidP="00F23537">
      <w:pPr>
        <w:numPr>
          <w:ilvl w:val="0"/>
          <w:numId w:val="5"/>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Acotada la </w:t>
      </w:r>
      <w:r w:rsidRPr="00816A2B">
        <w:rPr>
          <w:rFonts w:ascii="Palatino Linotype" w:eastAsia="Palatino Linotype" w:hAnsi="Palatino Linotype" w:cs="Palatino Linotype"/>
          <w:i/>
          <w:color w:val="000000"/>
        </w:rPr>
        <w:t>Litis</w:t>
      </w:r>
      <w:r w:rsidRPr="00816A2B">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D86E74" w:rsidRPr="00816A2B" w:rsidRDefault="00D86E74">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D86E74" w:rsidRDefault="00B05C77" w:rsidP="00F23537">
      <w:pPr>
        <w:numPr>
          <w:ilvl w:val="0"/>
          <w:numId w:val="5"/>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3D062D" w:rsidRPr="00816A2B" w:rsidRDefault="003D062D" w:rsidP="003D062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D86E74" w:rsidRPr="00816A2B" w:rsidRDefault="00B05C77" w:rsidP="00F23537">
      <w:pPr>
        <w:numPr>
          <w:ilvl w:val="0"/>
          <w:numId w:val="5"/>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En el mismo sentido, la Ley de Transparencia y Acceso a la Información Pública del Estado de México y Municipios (Reglamentaria del artículo 5° de la Constitución Local), </w:t>
      </w:r>
      <w:r w:rsidRPr="00816A2B">
        <w:rPr>
          <w:rFonts w:ascii="Palatino Linotype" w:eastAsia="Palatino Linotype" w:hAnsi="Palatino Linotype" w:cs="Palatino Linotype"/>
          <w:color w:val="000000"/>
        </w:rPr>
        <w:lastRenderedPageBreak/>
        <w:t>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D86E74" w:rsidRPr="00816A2B" w:rsidRDefault="00D86E74">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D86E74" w:rsidRPr="00816A2B" w:rsidRDefault="00B05C77" w:rsidP="00F23537">
      <w:pPr>
        <w:numPr>
          <w:ilvl w:val="0"/>
          <w:numId w:val="5"/>
        </w:numPr>
        <w:pBdr>
          <w:top w:val="nil"/>
          <w:left w:val="nil"/>
          <w:bottom w:val="nil"/>
          <w:right w:val="nil"/>
          <w:between w:val="nil"/>
        </w:pBdr>
        <w:spacing w:line="360" w:lineRule="auto"/>
        <w:ind w:left="0" w:right="48"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D86E74" w:rsidRPr="00816A2B" w:rsidRDefault="00D86E74">
      <w:pPr>
        <w:pBdr>
          <w:top w:val="nil"/>
          <w:left w:val="nil"/>
          <w:bottom w:val="nil"/>
          <w:right w:val="nil"/>
          <w:between w:val="nil"/>
        </w:pBdr>
        <w:spacing w:line="360" w:lineRule="auto"/>
        <w:ind w:right="757"/>
        <w:jc w:val="both"/>
        <w:rPr>
          <w:rFonts w:ascii="Palatino Linotype" w:eastAsia="Palatino Linotype" w:hAnsi="Palatino Linotype" w:cs="Palatino Linotype"/>
          <w:b/>
          <w:color w:val="000000"/>
        </w:rPr>
      </w:pPr>
    </w:p>
    <w:p w:rsidR="00F23537" w:rsidRPr="00816A2B" w:rsidRDefault="00B05C77" w:rsidP="00F23537">
      <w:pPr>
        <w:numPr>
          <w:ilvl w:val="0"/>
          <w:numId w:val="5"/>
        </w:numPr>
        <w:spacing w:line="360" w:lineRule="auto"/>
        <w:ind w:left="0" w:right="1" w:firstLine="0"/>
        <w:jc w:val="both"/>
        <w:rPr>
          <w:rFonts w:ascii="Palatino Linotype" w:eastAsia="Palatino Linotype" w:hAnsi="Palatino Linotype" w:cs="Palatino Linotype"/>
          <w:b/>
        </w:rPr>
      </w:pPr>
      <w:r w:rsidRPr="00816A2B">
        <w:rPr>
          <w:rFonts w:ascii="Palatino Linotype" w:eastAsia="Palatino Linotype" w:hAnsi="Palatino Linotype" w:cs="Palatino Linotype"/>
          <w:color w:val="000000"/>
        </w:rPr>
        <w:t xml:space="preserve">Acotada la Litis del presente asunto, se reiterar la información solicitada por la parte </w:t>
      </w:r>
      <w:r w:rsidRPr="00816A2B">
        <w:rPr>
          <w:rFonts w:ascii="Palatino Linotype" w:eastAsia="Palatino Linotype" w:hAnsi="Palatino Linotype" w:cs="Palatino Linotype"/>
          <w:b/>
          <w:color w:val="000000"/>
        </w:rPr>
        <w:t>RECURRENTE</w:t>
      </w:r>
      <w:r w:rsidRPr="00816A2B">
        <w:rPr>
          <w:rFonts w:ascii="Palatino Linotype" w:eastAsia="Palatino Linotype" w:hAnsi="Palatino Linotype" w:cs="Palatino Linotype"/>
          <w:color w:val="000000"/>
        </w:rPr>
        <w:t xml:space="preserve">, así como la respuesta emitida por el </w:t>
      </w:r>
      <w:r w:rsidRPr="00816A2B">
        <w:rPr>
          <w:rFonts w:ascii="Palatino Linotype" w:eastAsia="Palatino Linotype" w:hAnsi="Palatino Linotype" w:cs="Palatino Linotype"/>
          <w:b/>
          <w:color w:val="000000"/>
        </w:rPr>
        <w:t>SUJETO OBLIGADO</w:t>
      </w:r>
      <w:r w:rsidRPr="00816A2B">
        <w:rPr>
          <w:rFonts w:ascii="Palatino Linotype" w:eastAsia="Palatino Linotype" w:hAnsi="Palatino Linotype" w:cs="Palatino Linotype"/>
          <w:color w:val="000000"/>
        </w:rPr>
        <w:t>, mediante el siguiente cuadro descriptivo:</w:t>
      </w:r>
      <w:r w:rsidR="00F23537" w:rsidRPr="00816A2B">
        <w:rPr>
          <w:rFonts w:ascii="Palatino Linotype" w:eastAsia="Palatino Linotype" w:hAnsi="Palatino Linotype" w:cs="Palatino Linotype"/>
        </w:rPr>
        <w:t xml:space="preserve"> La parte </w:t>
      </w:r>
      <w:r w:rsidR="00F23537" w:rsidRPr="00816A2B">
        <w:rPr>
          <w:rFonts w:ascii="Palatino Linotype" w:eastAsia="Palatino Linotype" w:hAnsi="Palatino Linotype" w:cs="Palatino Linotype"/>
          <w:b/>
        </w:rPr>
        <w:t>RECURRENTE</w:t>
      </w:r>
      <w:r w:rsidR="00F23537" w:rsidRPr="00816A2B">
        <w:rPr>
          <w:rFonts w:ascii="Palatino Linotype" w:eastAsia="Palatino Linotype" w:hAnsi="Palatino Linotype" w:cs="Palatino Linotype"/>
        </w:rPr>
        <w:t xml:space="preserve"> solicitó </w:t>
      </w:r>
      <w:r w:rsidR="00F23537" w:rsidRPr="00816A2B">
        <w:rPr>
          <w:rFonts w:ascii="Palatino Linotype" w:eastAsia="Palatino Linotype" w:hAnsi="Palatino Linotype" w:cs="Palatino Linotype"/>
          <w:b/>
        </w:rPr>
        <w:t>del evento de Record Guinness programada para el domingo 7 de septiembre de 2025, en formato digital y pesos mexicanos:</w:t>
      </w:r>
    </w:p>
    <w:p w:rsidR="00F23537" w:rsidRPr="00816A2B" w:rsidRDefault="00F23537" w:rsidP="00F23537">
      <w:pPr>
        <w:pStyle w:val="Prrafodelista"/>
        <w:numPr>
          <w:ilvl w:val="0"/>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Costo total de la campaña</w:t>
      </w:r>
    </w:p>
    <w:p w:rsidR="00F23537" w:rsidRPr="00816A2B" w:rsidRDefault="00F23537" w:rsidP="00F23537">
      <w:pPr>
        <w:pStyle w:val="Prrafodelista"/>
        <w:numPr>
          <w:ilvl w:val="0"/>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 xml:space="preserve">Desglose de gastos por concepto de </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Espectaculares</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 xml:space="preserve">Pintura de bardas </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Banners</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Lonas</w:t>
      </w:r>
    </w:p>
    <w:p w:rsidR="00F23537" w:rsidRPr="00816A2B" w:rsidRDefault="00F23537" w:rsidP="00F23537">
      <w:pPr>
        <w:pStyle w:val="Prrafodelista"/>
        <w:numPr>
          <w:ilvl w:val="1"/>
          <w:numId w:val="20"/>
        </w:numPr>
        <w:rPr>
          <w:rFonts w:ascii="Palatino Linotype" w:eastAsia="Palatino Linotype" w:hAnsi="Palatino Linotype" w:cs="Palatino Linotype"/>
          <w:b/>
        </w:rPr>
      </w:pPr>
      <w:r w:rsidRPr="00816A2B">
        <w:rPr>
          <w:rFonts w:ascii="Palatino Linotype" w:eastAsia="Palatino Linotype" w:hAnsi="Palatino Linotype" w:cs="Palatino Linotype"/>
          <w:b/>
        </w:rPr>
        <w:t>Anuncios en Programas de radio</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De que partida presupuestal se tomaron los recursos para la campaña</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 xml:space="preserve">Facturas </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 xml:space="preserve">Contratos </w:t>
      </w:r>
    </w:p>
    <w:p w:rsidR="00F23537" w:rsidRPr="00816A2B" w:rsidRDefault="00F23537" w:rsidP="00F23537">
      <w:pPr>
        <w:pStyle w:val="Prrafodelista"/>
        <w:numPr>
          <w:ilvl w:val="3"/>
          <w:numId w:val="20"/>
        </w:numPr>
        <w:ind w:left="426" w:firstLine="0"/>
        <w:rPr>
          <w:rFonts w:ascii="Palatino Linotype" w:eastAsia="Palatino Linotype" w:hAnsi="Palatino Linotype" w:cs="Palatino Linotype"/>
          <w:b/>
        </w:rPr>
      </w:pPr>
      <w:r w:rsidRPr="00816A2B">
        <w:rPr>
          <w:rFonts w:ascii="Palatino Linotype" w:eastAsia="Palatino Linotype" w:hAnsi="Palatino Linotype" w:cs="Palatino Linotype"/>
          <w:b/>
        </w:rPr>
        <w:t>Oficios que respalden el gasto</w:t>
      </w:r>
    </w:p>
    <w:p w:rsidR="00F23537" w:rsidRPr="00816A2B" w:rsidRDefault="00F23537" w:rsidP="00F23537">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lastRenderedPageBreak/>
        <w:t xml:space="preserve">En respuesta, </w:t>
      </w:r>
      <w:r w:rsidRPr="00816A2B">
        <w:rPr>
          <w:rFonts w:ascii="Palatino Linotype" w:hAnsi="Palatino Linotype"/>
        </w:rPr>
        <w:t xml:space="preserve">el </w:t>
      </w:r>
      <w:r w:rsidRPr="00816A2B">
        <w:rPr>
          <w:rFonts w:ascii="Palatino Linotype" w:hAnsi="Palatino Linotype"/>
          <w:b/>
        </w:rPr>
        <w:t>SUJETO OBLIGADO</w:t>
      </w:r>
      <w:r w:rsidRPr="00816A2B">
        <w:rPr>
          <w:rFonts w:ascii="Palatino Linotype" w:hAnsi="Palatino Linotype"/>
        </w:rPr>
        <w:t xml:space="preserve"> </w:t>
      </w:r>
      <w:r w:rsidRPr="00816A2B">
        <w:rPr>
          <w:rFonts w:ascii="Palatino Linotype" w:eastAsia="Palatino Linotype" w:hAnsi="Palatino Linotype" w:cs="Palatino Linotype"/>
        </w:rPr>
        <w:t xml:space="preserve">por medio de la </w:t>
      </w:r>
      <w:r w:rsidRPr="00816A2B">
        <w:rPr>
          <w:rFonts w:ascii="Palatino Linotype" w:eastAsia="Palatino Linotype" w:hAnsi="Palatino Linotype" w:cs="Palatino Linotype"/>
          <w:b/>
        </w:rPr>
        <w:t>Directora de Administración</w:t>
      </w:r>
      <w:r w:rsidRPr="00816A2B">
        <w:rPr>
          <w:rFonts w:ascii="Palatino Linotype" w:hAnsi="Palatino Linotype"/>
        </w:rPr>
        <w:t>, informó que en virtud de que la campaña aún se encuentra en proceso, toda vez que el evento se llevará a cabo el siete de septiembre de dos mil veinticinco, aun no se encuentra en posibilidades de atender la solicitud con los elementos solicitados.</w:t>
      </w:r>
    </w:p>
    <w:p w:rsidR="00F23537" w:rsidRPr="00816A2B" w:rsidRDefault="00F23537" w:rsidP="00F23537">
      <w:pPr>
        <w:pBdr>
          <w:top w:val="nil"/>
          <w:left w:val="nil"/>
          <w:bottom w:val="nil"/>
          <w:right w:val="nil"/>
          <w:between w:val="nil"/>
        </w:pBdr>
        <w:spacing w:line="360" w:lineRule="auto"/>
        <w:jc w:val="both"/>
        <w:rPr>
          <w:rFonts w:ascii="Palatino Linotype" w:eastAsia="Palatino Linotype" w:hAnsi="Palatino Linotype" w:cs="Palatino Linotype"/>
          <w:i/>
        </w:rPr>
      </w:pPr>
    </w:p>
    <w:p w:rsidR="00F23537" w:rsidRPr="00816A2B" w:rsidRDefault="00F23537" w:rsidP="00F23537">
      <w:pPr>
        <w:numPr>
          <w:ilvl w:val="0"/>
          <w:numId w:val="5"/>
        </w:numPr>
        <w:spacing w:line="360" w:lineRule="auto"/>
        <w:ind w:left="0" w:right="1"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t xml:space="preserve">Al respecto, el </w:t>
      </w:r>
      <w:r w:rsidRPr="00816A2B">
        <w:rPr>
          <w:rFonts w:ascii="Palatino Linotype" w:eastAsia="Palatino Linotype" w:hAnsi="Palatino Linotype" w:cs="Palatino Linotype"/>
          <w:b/>
        </w:rPr>
        <w:t xml:space="preserve">RECURRENTE </w:t>
      </w:r>
      <w:r w:rsidRPr="00816A2B">
        <w:rPr>
          <w:rFonts w:ascii="Palatino Linotype" w:eastAsia="Palatino Linotype" w:hAnsi="Palatino Linotype" w:cs="Palatino Linotype"/>
        </w:rPr>
        <w:t xml:space="preserve">interpuso el recurso de revisión en contra de la respuesta, por medio del cual, manifestó que </w:t>
      </w:r>
      <w:r w:rsidRPr="00816A2B">
        <w:rPr>
          <w:rFonts w:ascii="Palatino Linotype" w:eastAsia="Palatino Linotype" w:hAnsi="Palatino Linotype" w:cs="Palatino Linotype"/>
          <w:b/>
        </w:rPr>
        <w:t>la información entregada por el Sujeto Obligado es ambigua y no es clara, pareciera que oculta información.</w:t>
      </w:r>
    </w:p>
    <w:p w:rsidR="00F23537" w:rsidRPr="00816A2B" w:rsidRDefault="00F23537" w:rsidP="00F23537">
      <w:pPr>
        <w:pStyle w:val="Prrafodelista"/>
        <w:rPr>
          <w:rFonts w:ascii="Palatino Linotype" w:eastAsia="Palatino Linotype" w:hAnsi="Palatino Linotype" w:cs="Palatino Linotype"/>
          <w:color w:val="000000"/>
        </w:rPr>
      </w:pPr>
    </w:p>
    <w:p w:rsidR="00F23537" w:rsidRPr="00816A2B" w:rsidRDefault="00F23537" w:rsidP="00F23537">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consecuencia, por medio de un acto jurídico posterior como lo es el informe justificado, el </w:t>
      </w:r>
      <w:r w:rsidRPr="00816A2B">
        <w:rPr>
          <w:rFonts w:ascii="Palatino Linotype" w:eastAsia="Palatino Linotype" w:hAnsi="Palatino Linotype" w:cs="Palatino Linotype"/>
          <w:b/>
        </w:rPr>
        <w:t>SUJETO OBLIGADO</w:t>
      </w:r>
      <w:r w:rsidRPr="00816A2B">
        <w:rPr>
          <w:rFonts w:ascii="Palatino Linotype" w:eastAsia="Palatino Linotype" w:hAnsi="Palatino Linotype" w:cs="Palatino Linotype"/>
        </w:rPr>
        <w:t xml:space="preserve"> a través de la Directora de Administración</w:t>
      </w:r>
      <w:r w:rsidRPr="00816A2B">
        <w:rPr>
          <w:rFonts w:ascii="Palatino Linotype" w:hAnsi="Palatino Linotype"/>
        </w:rPr>
        <w:t>, remitió el Contrato celebrado con “ANM PUBLICIDAD EXTERIOR, S.A.S.”, de fecha quince de agosto de dos mil veinticinco, del cual se desprenden los gastos generados por el Servicio Integral de Anuncios Espectaculares para el Guinness Word Records del mayor número de personas recogiendo basura simultáneamente en varios puntos del municipio de Ecatepec</w:t>
      </w:r>
      <w:r w:rsidR="00D23705" w:rsidRPr="00816A2B">
        <w:rPr>
          <w:rFonts w:ascii="Palatino Linotype" w:hAnsi="Palatino Linotype"/>
        </w:rPr>
        <w:t xml:space="preserve"> de Morelos</w:t>
      </w:r>
      <w:r w:rsidRPr="00816A2B">
        <w:rPr>
          <w:rFonts w:ascii="Palatino Linotype" w:hAnsi="Palatino Linotype"/>
        </w:rPr>
        <w:t>, documento con el que contaban a la fecha de la solicitud de información.</w:t>
      </w:r>
    </w:p>
    <w:p w:rsidR="001D2F5C" w:rsidRPr="00816A2B" w:rsidRDefault="001D2F5C" w:rsidP="001D2F5C">
      <w:pPr>
        <w:pStyle w:val="Prrafodelista"/>
        <w:rPr>
          <w:rFonts w:ascii="Palatino Linotype" w:eastAsia="Palatino Linotype" w:hAnsi="Palatino Linotype" w:cs="Palatino Linotype"/>
        </w:rPr>
      </w:pPr>
    </w:p>
    <w:p w:rsidR="001D2F5C" w:rsidRPr="00816A2B" w:rsidRDefault="001D2F5C" w:rsidP="001D2F5C">
      <w:pPr>
        <w:numPr>
          <w:ilvl w:val="0"/>
          <w:numId w:val="5"/>
        </w:numPr>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t>Así las cosas, cabe resaltar que, la Ley de Transparencia y Acceso a la Información Pública del Estado de México y Municipios, en su artículo 150, establece que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w:t>
      </w:r>
    </w:p>
    <w:p w:rsidR="001D2F5C" w:rsidRPr="00816A2B" w:rsidRDefault="001D2F5C" w:rsidP="001D2F5C">
      <w:pPr>
        <w:pStyle w:val="Prrafodelista"/>
        <w:rPr>
          <w:rFonts w:ascii="Palatino Linotype" w:eastAsia="Palatino Linotype" w:hAnsi="Palatino Linotype" w:cs="Palatino Linotype"/>
          <w:color w:val="000000"/>
        </w:rPr>
      </w:pPr>
    </w:p>
    <w:p w:rsidR="001D2F5C" w:rsidRPr="00816A2B" w:rsidRDefault="001D2F5C" w:rsidP="001D2F5C">
      <w:pPr>
        <w:numPr>
          <w:ilvl w:val="0"/>
          <w:numId w:val="5"/>
        </w:numPr>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lastRenderedPageBreak/>
        <w:t>En este sentido, para atender las solicitudes de información, los Sujetos Obligados contarán con un área denominada Unidad de Transparencia</w:t>
      </w:r>
      <w:r w:rsidRPr="00816A2B">
        <w:rPr>
          <w:rFonts w:ascii="Palatino Linotype" w:eastAsia="Palatino Linotype" w:hAnsi="Palatino Linotype" w:cs="Palatino Linotype"/>
          <w:color w:val="000000"/>
          <w:vertAlign w:val="superscript"/>
        </w:rPr>
        <w:footnoteReference w:id="1"/>
      </w:r>
      <w:r w:rsidRPr="00816A2B">
        <w:rPr>
          <w:rFonts w:ascii="Palatino Linotype" w:eastAsia="Palatino Linotype" w:hAnsi="Palatino Linotype" w:cs="Palatino Linotype"/>
          <w:color w:val="000000"/>
        </w:rPr>
        <w:t>, la cual será presidida por un Titular, quien fungirá como enlace entre éstos y los solicitantes. Dicha Unidad será la encargada de tramitar internamente la solicitud de información y tendrá la responsabilidad de verificar en cada caso que la misma no sea confidencial o reservada. Asimismo, contará con las facultades internas necesarias para gestionar la atención a las solicitudes de información</w:t>
      </w:r>
      <w:r w:rsidRPr="00816A2B">
        <w:rPr>
          <w:rFonts w:ascii="Palatino Linotype" w:eastAsia="Palatino Linotype" w:hAnsi="Palatino Linotype" w:cs="Palatino Linotype"/>
          <w:b/>
          <w:color w:val="000000"/>
        </w:rPr>
        <w:t xml:space="preserve"> </w:t>
      </w:r>
      <w:r w:rsidRPr="00816A2B">
        <w:rPr>
          <w:rFonts w:ascii="Palatino Linotype" w:eastAsia="Palatino Linotype" w:hAnsi="Palatino Linotype" w:cs="Palatino Linotype"/>
          <w:color w:val="000000"/>
        </w:rPr>
        <w:t>en los términos de la Ley General y la Ley de Transparencia y Acceso a la Información Pública del Estado de México y Municipios</w:t>
      </w:r>
      <w:r w:rsidRPr="00816A2B">
        <w:rPr>
          <w:rFonts w:ascii="Palatino Linotype" w:eastAsia="Palatino Linotype" w:hAnsi="Palatino Linotype" w:cs="Palatino Linotype"/>
          <w:color w:val="000000"/>
          <w:vertAlign w:val="superscript"/>
        </w:rPr>
        <w:footnoteReference w:id="2"/>
      </w:r>
      <w:r w:rsidRPr="00816A2B">
        <w:rPr>
          <w:rFonts w:ascii="Palatino Linotype" w:eastAsia="Palatino Linotype" w:hAnsi="Palatino Linotype" w:cs="Palatino Linotype"/>
          <w:color w:val="000000"/>
        </w:rPr>
        <w:t>.</w:t>
      </w:r>
    </w:p>
    <w:p w:rsidR="001D2F5C" w:rsidRPr="00816A2B" w:rsidRDefault="001D2F5C" w:rsidP="001D2F5C">
      <w:pPr>
        <w:ind w:right="-847"/>
        <w:rPr>
          <w:rFonts w:ascii="Palatino Linotype" w:eastAsia="Palatino Linotype" w:hAnsi="Palatino Linotype" w:cs="Palatino Linotype"/>
          <w:color w:val="000000"/>
        </w:rPr>
      </w:pPr>
    </w:p>
    <w:p w:rsidR="001D2F5C" w:rsidRPr="00816A2B" w:rsidRDefault="001D2F5C" w:rsidP="001D2F5C">
      <w:pPr>
        <w:pStyle w:val="Prrafodelista"/>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t>De conformidad con lo dispuesto en la Ley de Transparencia y Acceso a la Información Pública del Estado de México y Municipios, las Unidades de Transparencia tendrán, entre sus atribuciones, las siguientes:</w:t>
      </w:r>
    </w:p>
    <w:p w:rsidR="001D2F5C" w:rsidRPr="00816A2B" w:rsidRDefault="001D2F5C" w:rsidP="001D2F5C">
      <w:pPr>
        <w:numPr>
          <w:ilvl w:val="1"/>
          <w:numId w:val="22"/>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Recibir, tramitar y dar respuesta a las solicitudes de acceso a la información;</w:t>
      </w:r>
    </w:p>
    <w:p w:rsidR="001D2F5C" w:rsidRPr="00816A2B" w:rsidRDefault="001D2F5C" w:rsidP="001D2F5C">
      <w:pPr>
        <w:numPr>
          <w:ilvl w:val="1"/>
          <w:numId w:val="22"/>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Realizar, con efectividad, los trámites internos necesarios para la atención de las solicitudes de acceso a la información; </w:t>
      </w:r>
    </w:p>
    <w:p w:rsidR="001D2F5C" w:rsidRPr="00816A2B" w:rsidRDefault="001D2F5C" w:rsidP="001D2F5C">
      <w:pPr>
        <w:numPr>
          <w:ilvl w:val="1"/>
          <w:numId w:val="22"/>
        </w:numPr>
        <w:pBdr>
          <w:top w:val="nil"/>
          <w:left w:val="nil"/>
          <w:bottom w:val="nil"/>
          <w:right w:val="nil"/>
          <w:between w:val="nil"/>
        </w:pBdr>
        <w:ind w:left="709" w:hanging="142"/>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Entregar, en su caso, a los particulares la información solicitada; y </w:t>
      </w:r>
    </w:p>
    <w:p w:rsidR="003D062D" w:rsidRDefault="001D2F5C" w:rsidP="003D062D">
      <w:pPr>
        <w:numPr>
          <w:ilvl w:val="1"/>
          <w:numId w:val="22"/>
        </w:numPr>
        <w:pBdr>
          <w:top w:val="nil"/>
          <w:left w:val="nil"/>
          <w:bottom w:val="nil"/>
          <w:right w:val="nil"/>
          <w:between w:val="nil"/>
        </w:pBdr>
        <w:spacing w:after="240"/>
        <w:ind w:left="709" w:hanging="142"/>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Efectuar las notificaciones a los solicitantes.</w:t>
      </w:r>
    </w:p>
    <w:p w:rsidR="003D062D" w:rsidRPr="003D062D" w:rsidRDefault="003D062D" w:rsidP="003D062D">
      <w:pPr>
        <w:pBdr>
          <w:top w:val="nil"/>
          <w:left w:val="nil"/>
          <w:bottom w:val="nil"/>
          <w:right w:val="nil"/>
          <w:between w:val="nil"/>
        </w:pBdr>
        <w:spacing w:after="240"/>
        <w:ind w:left="709"/>
        <w:jc w:val="both"/>
        <w:rPr>
          <w:rFonts w:ascii="Palatino Linotype" w:eastAsia="Palatino Linotype" w:hAnsi="Palatino Linotype" w:cs="Palatino Linotype"/>
          <w:color w:val="000000"/>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t xml:space="preserve">Otros sujetos del proceso de atención a las solicitudes de información son los servidores públicos habilitados, quienes serán designados por el titular del </w:t>
      </w:r>
      <w:r w:rsidRPr="00816A2B">
        <w:rPr>
          <w:rFonts w:ascii="Palatino Linotype" w:eastAsia="Palatino Linotype" w:hAnsi="Palatino Linotype" w:cs="Palatino Linotype"/>
          <w:b/>
          <w:color w:val="000000"/>
        </w:rPr>
        <w:t xml:space="preserve">SUJETO OBLIGADO </w:t>
      </w:r>
      <w:r w:rsidRPr="00816A2B">
        <w:rPr>
          <w:rFonts w:ascii="Palatino Linotype" w:eastAsia="Palatino Linotype" w:hAnsi="Palatino Linotype" w:cs="Palatino Linotype"/>
          <w:color w:val="000000"/>
        </w:rPr>
        <w:t>a propuesta del responsable de la Unidad de Transparencia</w:t>
      </w:r>
      <w:r w:rsidRPr="00816A2B">
        <w:rPr>
          <w:rFonts w:ascii="Palatino Linotype" w:eastAsia="Palatino Linotype" w:hAnsi="Palatino Linotype" w:cs="Palatino Linotype"/>
          <w:color w:val="000000"/>
          <w:vertAlign w:val="superscript"/>
        </w:rPr>
        <w:footnoteReference w:id="3"/>
      </w:r>
      <w:r w:rsidRPr="00816A2B">
        <w:rPr>
          <w:rFonts w:ascii="Palatino Linotype" w:eastAsia="Palatino Linotype" w:hAnsi="Palatino Linotype" w:cs="Palatino Linotype"/>
          <w:color w:val="000000"/>
        </w:rPr>
        <w:t xml:space="preserve"> y tendrán, entre sus atribuciones, las siguientes</w:t>
      </w:r>
      <w:r w:rsidRPr="00816A2B">
        <w:rPr>
          <w:rFonts w:ascii="Palatino Linotype" w:eastAsia="Palatino Linotype" w:hAnsi="Palatino Linotype" w:cs="Palatino Linotype"/>
          <w:color w:val="000000"/>
          <w:vertAlign w:val="superscript"/>
        </w:rPr>
        <w:footnoteReference w:id="4"/>
      </w:r>
      <w:r w:rsidRPr="00816A2B">
        <w:rPr>
          <w:rFonts w:ascii="Palatino Linotype" w:eastAsia="Palatino Linotype" w:hAnsi="Palatino Linotype" w:cs="Palatino Linotype"/>
          <w:color w:val="000000"/>
        </w:rPr>
        <w:t>:</w:t>
      </w:r>
    </w:p>
    <w:p w:rsidR="001D2F5C" w:rsidRPr="00816A2B" w:rsidRDefault="001D2F5C" w:rsidP="001D2F5C">
      <w:pPr>
        <w:numPr>
          <w:ilvl w:val="1"/>
          <w:numId w:val="23"/>
        </w:numPr>
        <w:pBdr>
          <w:top w:val="nil"/>
          <w:left w:val="nil"/>
          <w:bottom w:val="nil"/>
          <w:right w:val="nil"/>
          <w:between w:val="nil"/>
        </w:pBdr>
        <w:spacing w:before="240"/>
        <w:ind w:left="709" w:hanging="142"/>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lastRenderedPageBreak/>
        <w:t>Localizar la información que le solicite la Unidad de Transparencia; y</w:t>
      </w:r>
    </w:p>
    <w:p w:rsidR="001D2F5C" w:rsidRPr="00816A2B" w:rsidRDefault="001D2F5C" w:rsidP="001D2F5C">
      <w:pPr>
        <w:numPr>
          <w:ilvl w:val="1"/>
          <w:numId w:val="23"/>
        </w:numPr>
        <w:pBdr>
          <w:top w:val="nil"/>
          <w:left w:val="nil"/>
          <w:bottom w:val="nil"/>
          <w:right w:val="nil"/>
          <w:between w:val="nil"/>
        </w:pBdr>
        <w:spacing w:after="240"/>
        <w:ind w:left="709" w:hanging="142"/>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Proporcionar la información que obre en los archivos y que le sea solicitada por la Unidad de Transparencia.</w:t>
      </w:r>
    </w:p>
    <w:p w:rsidR="001D2F5C" w:rsidRPr="00816A2B" w:rsidRDefault="001D2F5C" w:rsidP="001D2F5C">
      <w:pPr>
        <w:tabs>
          <w:tab w:val="left" w:pos="426"/>
          <w:tab w:val="left" w:pos="567"/>
        </w:tabs>
        <w:ind w:right="-847"/>
        <w:jc w:val="both"/>
        <w:rPr>
          <w:rFonts w:ascii="Palatino Linotype" w:eastAsia="Palatino Linotype" w:hAnsi="Palatino Linotype" w:cs="Palatino Linotype"/>
          <w:color w:val="000000"/>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t xml:space="preserve">De tal manera que cada una de las áreas administrativas del </w:t>
      </w:r>
      <w:r w:rsidRPr="00816A2B">
        <w:rPr>
          <w:rFonts w:ascii="Palatino Linotype" w:eastAsia="Palatino Linotype" w:hAnsi="Palatino Linotype" w:cs="Palatino Linotype"/>
          <w:b/>
          <w:color w:val="000000"/>
        </w:rPr>
        <w:t>SUJETO OBLIGADO</w:t>
      </w:r>
      <w:r w:rsidRPr="00816A2B">
        <w:rPr>
          <w:rFonts w:ascii="Palatino Linotype" w:eastAsia="Palatino Linotype" w:hAnsi="Palatino Linotype" w:cs="Palatino Linotype"/>
          <w:color w:val="000000"/>
        </w:rPr>
        <w:t xml:space="preserve"> deberá contar con un servidor público habilitado, quien será, a su vez, el enlace entre la Unidad de Transparencia y el área administrativa, y se encargará de buscar, localizar y proporcionar la información que se requiera a través de las solicitudes de acceso a la información.</w:t>
      </w:r>
    </w:p>
    <w:p w:rsidR="001D2F5C" w:rsidRPr="00816A2B" w:rsidRDefault="001D2F5C" w:rsidP="001D2F5C">
      <w:pPr>
        <w:ind w:right="-847"/>
        <w:rPr>
          <w:rFonts w:ascii="Palatino Linotype" w:eastAsia="Palatino Linotype" w:hAnsi="Palatino Linotype" w:cs="Palatino Linotype"/>
          <w:color w:val="000000"/>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t>Aunado a lo anterior, la Ley de Transparencia y Acceso a la Información Pública del Estado de México y Municipios, en su artículo 53, establece las funciones correspondientes a esta Unidad; mismas que se inserta a continuación:</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b/>
          <w:i/>
          <w:color w:val="000000"/>
        </w:rPr>
        <w:t>“Artículo 53</w:t>
      </w:r>
      <w:r w:rsidRPr="00816A2B">
        <w:rPr>
          <w:rFonts w:ascii="Palatino Linotype" w:eastAsia="Palatino Linotype" w:hAnsi="Palatino Linotype" w:cs="Palatino Linotype"/>
          <w:i/>
          <w:color w:val="000000"/>
        </w:rPr>
        <w:t xml:space="preserve">. Las Unidades de Transparencia tendrán las siguientes funciones: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816A2B">
        <w:rPr>
          <w:rFonts w:ascii="Palatino Linotype" w:eastAsia="Palatino Linotype" w:hAnsi="Palatino Linotype" w:cs="Palatino Linotype"/>
          <w:b/>
          <w:i/>
          <w:color w:val="000000"/>
        </w:rPr>
        <w:t xml:space="preserve">II. Recibir, tramitar y dar respuesta a las solicitudes de acceso a la información;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III. Auxiliar a los particulares en la elaboración de solicitudes de acceso a la información y, en su caso, orientarlos sobre los sujetos obligados competentes conforme a la normatividad aplicable;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816A2B">
        <w:rPr>
          <w:rFonts w:ascii="Palatino Linotype" w:eastAsia="Palatino Linotype" w:hAnsi="Palatino Linotype" w:cs="Palatino Linotype"/>
          <w:b/>
          <w:i/>
          <w:color w:val="000000"/>
        </w:rPr>
        <w:t xml:space="preserve">IV. Realizar, con efectividad, los trámites internos necesarios para la atención de las solicitudes de acceso a la información;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V. Entregar, en su caso, a los particulares la información solicitada;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VI. Efectuar las notificaciones a los solicitantes;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VII. Proponer al Comité de Transparencia, los procedimientos internos que aseguren la mayor eficiencia en la gestión de las solicitudes de acceso a la información, conforme a la normatividad aplicable;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VIII. Proponer a quien preside el Comité de Transparencia, personal habilitado que sea necesario para recibir y dar trámite a las solicitudes de acceso a la información;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b/>
          <w:i/>
          <w:color w:val="000000"/>
        </w:rPr>
      </w:pPr>
      <w:r w:rsidRPr="00816A2B">
        <w:rPr>
          <w:rFonts w:ascii="Palatino Linotype" w:eastAsia="Palatino Linotype" w:hAnsi="Palatino Linotype" w:cs="Palatino Linotype"/>
          <w:b/>
          <w:i/>
          <w:color w:val="000000"/>
        </w:rPr>
        <w:lastRenderedPageBreak/>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X. Presentar ante el Comité, el proyecto de clasificación de información;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XI. Promover e implementar políticas de transparencia proactiva procurando su accesibilidad;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XII. Fomentar la transparencia y accesibilidad al interior del sujeto obligado; </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XIII. Hacer del conocimiento de la instancia competente la probable responsabilidad por el incumplimiento de las obligaciones previstas en la presente Ley; y</w:t>
      </w:r>
    </w:p>
    <w:p w:rsidR="001D2F5C" w:rsidRPr="00816A2B" w:rsidRDefault="001D2F5C" w:rsidP="001D2F5C">
      <w:pPr>
        <w:pBdr>
          <w:top w:val="nil"/>
          <w:left w:val="nil"/>
          <w:bottom w:val="nil"/>
          <w:right w:val="nil"/>
          <w:between w:val="nil"/>
        </w:pBdr>
        <w:tabs>
          <w:tab w:val="left" w:pos="426"/>
        </w:tabs>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XIV. Las demás que resulten necesarias para facilitar el acceso a la información y aquellas que se desprenden de la presente Ley y demás disposiciones jurídicas aplicables. (…)</w:t>
      </w:r>
    </w:p>
    <w:p w:rsidR="001D2F5C" w:rsidRDefault="001D2F5C" w:rsidP="001D2F5C">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color w:val="000000"/>
        </w:rPr>
      </w:pPr>
      <w:r w:rsidRPr="00816A2B">
        <w:rPr>
          <w:rFonts w:ascii="Palatino Linotype" w:eastAsia="Palatino Linotype" w:hAnsi="Palatino Linotype" w:cs="Palatino Linotype"/>
          <w:i/>
          <w:color w:val="000000"/>
        </w:rPr>
        <w:t xml:space="preserve">Los sujetos obligados deberán implementar a través de las unidades de transparencia, progresivamente y conforme a sus previsiones, las medidas pertinentes para asegurar que el entorno físico de las instalaciones cuente con los ajustes razonables, con el objeto de proporcionar adecuada accesibilidad que otorgue las facilidades necesarias, así como establecer procedimientos para brindar asesoría y atención a las personas con discapacidad, a fin de que puedan consultar los sistemas que integran la Plataforma Nacional de Transparencia, presentar solicitudes de acceso a la información y facilitar su gestión e interponer los recursos que las leyes establezcan.” </w:t>
      </w:r>
    </w:p>
    <w:p w:rsidR="00816A2B" w:rsidRPr="00816A2B" w:rsidRDefault="00816A2B" w:rsidP="001D2F5C">
      <w:pPr>
        <w:pBdr>
          <w:top w:val="nil"/>
          <w:left w:val="nil"/>
          <w:bottom w:val="nil"/>
          <w:right w:val="nil"/>
          <w:between w:val="nil"/>
        </w:pBdr>
        <w:tabs>
          <w:tab w:val="left" w:pos="426"/>
        </w:tabs>
        <w:spacing w:after="240"/>
        <w:ind w:left="567" w:right="567"/>
        <w:jc w:val="both"/>
        <w:rPr>
          <w:rFonts w:ascii="Palatino Linotype" w:eastAsia="Palatino Linotype" w:hAnsi="Palatino Linotype" w:cs="Palatino Linotype"/>
          <w:i/>
          <w:color w:val="000000"/>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color w:val="000000"/>
        </w:rPr>
        <w:t>De lo expuesto y con relación a lo solicitado, se tiene que, la Unidad de Transparencia es la encargada de recibir, tramitar y dar respuesta a las solicitudes de acceso a la información.</w:t>
      </w:r>
    </w:p>
    <w:p w:rsidR="001D2F5C" w:rsidRPr="00816A2B" w:rsidRDefault="001D2F5C" w:rsidP="001D2F5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D2F5C" w:rsidRPr="00816A2B" w:rsidRDefault="001D2F5C" w:rsidP="001D2F5C">
      <w:pPr>
        <w:numPr>
          <w:ilvl w:val="0"/>
          <w:numId w:val="5"/>
        </w:numPr>
        <w:spacing w:line="360" w:lineRule="auto"/>
        <w:ind w:left="0" w:right="1"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Ahora bien , resulta conveniente referir que el Bando Municipal de Ecatepec de Morelos, nos establece que para el ejercicio de sus atribuciones se auxiliara de diversas a Unidades Administrativas, estableciendo en su artículo 44, lo siguiente:</w:t>
      </w:r>
    </w:p>
    <w:p w:rsidR="001D2F5C" w:rsidRPr="00816A2B" w:rsidRDefault="001D2F5C" w:rsidP="001D2F5C">
      <w:pPr>
        <w:pStyle w:val="Prrafodelista"/>
        <w:ind w:left="567" w:right="567"/>
        <w:jc w:val="both"/>
        <w:rPr>
          <w:rFonts w:ascii="Palatino Linotype" w:eastAsia="Palatino Linotype" w:hAnsi="Palatino Linotype" w:cs="Palatino Linotype"/>
          <w:i/>
        </w:rPr>
      </w:pPr>
      <w:r w:rsidRPr="00816A2B">
        <w:rPr>
          <w:rFonts w:ascii="Palatino Linotype" w:hAnsi="Palatino Linotype"/>
          <w:i/>
        </w:rPr>
        <w:t>Artículo 44. Para el ejercicio de sus atribuciones, tanto el H. Ayuntamiento como la Presidenta Municipal, se auxiliarán de las siguientes dependencias que estarán subordinadas a esta última:</w:t>
      </w:r>
    </w:p>
    <w:p w:rsidR="001D2F5C" w:rsidRPr="00816A2B" w:rsidRDefault="001D2F5C" w:rsidP="001D2F5C">
      <w:pPr>
        <w:pStyle w:val="Prrafodelista"/>
        <w:ind w:left="567" w:right="567"/>
        <w:rPr>
          <w:rFonts w:ascii="Palatino Linotype" w:eastAsia="Palatino Linotype" w:hAnsi="Palatino Linotype" w:cs="Palatino Linotype"/>
          <w:i/>
        </w:rPr>
      </w:pP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I. Secretaría del Ayuntamiento; </w:t>
      </w:r>
    </w:p>
    <w:p w:rsidR="001D2F5C" w:rsidRPr="00816A2B" w:rsidRDefault="001D2F5C" w:rsidP="001D2F5C">
      <w:pPr>
        <w:pStyle w:val="Prrafodelista"/>
        <w:ind w:left="567" w:right="567"/>
        <w:rPr>
          <w:rFonts w:ascii="Palatino Linotype" w:hAnsi="Palatino Linotype"/>
          <w:b/>
          <w:i/>
          <w:u w:val="single"/>
        </w:rPr>
      </w:pPr>
      <w:r w:rsidRPr="00816A2B">
        <w:rPr>
          <w:rFonts w:ascii="Palatino Linotype" w:hAnsi="Palatino Linotype"/>
          <w:b/>
          <w:i/>
          <w:u w:val="single"/>
        </w:rPr>
        <w:lastRenderedPageBreak/>
        <w:t xml:space="preserve">II. Tesorería Municipal;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III. Contraloría Municipal;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IV. Las Direcciones de: </w:t>
      </w:r>
    </w:p>
    <w:p w:rsidR="001D2F5C" w:rsidRPr="00816A2B" w:rsidRDefault="001D2F5C" w:rsidP="001D2F5C">
      <w:pPr>
        <w:pStyle w:val="Prrafodelista"/>
        <w:ind w:left="567" w:right="567"/>
        <w:rPr>
          <w:rFonts w:ascii="Palatino Linotype" w:hAnsi="Palatino Linotype"/>
          <w:b/>
          <w:i/>
          <w:u w:val="single"/>
        </w:rPr>
      </w:pPr>
      <w:r w:rsidRPr="00816A2B">
        <w:rPr>
          <w:rFonts w:ascii="Palatino Linotype" w:hAnsi="Palatino Linotype"/>
          <w:b/>
          <w:i/>
          <w:u w:val="single"/>
        </w:rPr>
        <w:t xml:space="preserve">a. Administración;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b. Bienestar;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c. Comunicación Social;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d. Desarrollo Económico;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 xml:space="preserve">e. Desarrollo Urbano; </w:t>
      </w:r>
    </w:p>
    <w:p w:rsidR="001D2F5C" w:rsidRPr="00816A2B" w:rsidRDefault="001D2F5C" w:rsidP="001D2F5C">
      <w:pPr>
        <w:pStyle w:val="Prrafodelista"/>
        <w:ind w:left="567" w:right="567"/>
        <w:rPr>
          <w:rFonts w:ascii="Palatino Linotype" w:hAnsi="Palatino Linotype"/>
          <w:i/>
        </w:rPr>
      </w:pPr>
      <w:r w:rsidRPr="00816A2B">
        <w:rPr>
          <w:rFonts w:ascii="Palatino Linotype" w:hAnsi="Palatino Linotype"/>
          <w:i/>
        </w:rPr>
        <w:t>f. Medio Ambiente y Ecología;</w:t>
      </w:r>
    </w:p>
    <w:p w:rsidR="001D2F5C" w:rsidRPr="00816A2B" w:rsidRDefault="001D2F5C" w:rsidP="001D2F5C">
      <w:pPr>
        <w:ind w:left="567" w:right="567"/>
        <w:rPr>
          <w:rFonts w:ascii="Palatino Linotype" w:eastAsia="Palatino Linotype" w:hAnsi="Palatino Linotype" w:cs="Palatino Linotype"/>
          <w:i/>
        </w:rPr>
      </w:pPr>
      <w:r w:rsidRPr="00816A2B">
        <w:rPr>
          <w:rFonts w:ascii="Palatino Linotype" w:eastAsia="Palatino Linotype" w:hAnsi="Palatino Linotype" w:cs="Palatino Linotype"/>
          <w:i/>
        </w:rPr>
        <w:tab/>
        <w:t>(…)</w:t>
      </w:r>
    </w:p>
    <w:p w:rsidR="00AF0256" w:rsidRPr="00816A2B" w:rsidRDefault="00AF0256" w:rsidP="00AF0256">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Así mismo, el mismo ordenamiento legal en su artículo </w:t>
      </w:r>
      <w:r w:rsidR="00AF0256" w:rsidRPr="00816A2B">
        <w:rPr>
          <w:rFonts w:ascii="Palatino Linotype" w:eastAsia="Palatino Linotype" w:hAnsi="Palatino Linotype" w:cs="Palatino Linotype"/>
        </w:rPr>
        <w:t xml:space="preserve">47 y </w:t>
      </w:r>
      <w:r w:rsidRPr="00816A2B">
        <w:rPr>
          <w:rFonts w:ascii="Palatino Linotype" w:eastAsia="Palatino Linotype" w:hAnsi="Palatino Linotype" w:cs="Palatino Linotype"/>
        </w:rPr>
        <w:t xml:space="preserve">50, refiere las atribuciones con las que cuenta la </w:t>
      </w:r>
      <w:r w:rsidR="00AF0256" w:rsidRPr="00816A2B">
        <w:rPr>
          <w:rFonts w:ascii="Palatino Linotype" w:eastAsia="Palatino Linotype" w:hAnsi="Palatino Linotype" w:cs="Palatino Linotype"/>
        </w:rPr>
        <w:t xml:space="preserve">Tesorería Municipal y la </w:t>
      </w:r>
      <w:r w:rsidRPr="00816A2B">
        <w:rPr>
          <w:rFonts w:ascii="Palatino Linotype" w:eastAsia="Palatino Linotype" w:hAnsi="Palatino Linotype" w:cs="Palatino Linotype"/>
        </w:rPr>
        <w:t>Dirección de Administración, señalando lo siguiente:</w:t>
      </w:r>
    </w:p>
    <w:p w:rsidR="00AF0256" w:rsidRPr="00816A2B" w:rsidRDefault="00AF0256" w:rsidP="00AF0256">
      <w:pPr>
        <w:pBdr>
          <w:top w:val="nil"/>
          <w:left w:val="nil"/>
          <w:bottom w:val="nil"/>
          <w:right w:val="nil"/>
          <w:between w:val="nil"/>
        </w:pBdr>
        <w:tabs>
          <w:tab w:val="left" w:pos="426"/>
          <w:tab w:val="left" w:pos="567"/>
        </w:tabs>
        <w:ind w:left="567" w:right="567"/>
        <w:jc w:val="center"/>
        <w:rPr>
          <w:rFonts w:ascii="Palatino Linotype" w:hAnsi="Palatino Linotype"/>
          <w:b/>
          <w:i/>
        </w:rPr>
      </w:pPr>
      <w:r w:rsidRPr="00816A2B">
        <w:rPr>
          <w:rFonts w:ascii="Palatino Linotype" w:hAnsi="Palatino Linotype"/>
          <w:b/>
          <w:i/>
        </w:rPr>
        <w:t>De la Tesorería Municipal</w:t>
      </w:r>
    </w:p>
    <w:p w:rsidR="00AF0256" w:rsidRPr="00816A2B" w:rsidRDefault="00AF0256" w:rsidP="00AF0256">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b/>
          <w:i/>
        </w:rPr>
        <w:t>Artículo 47.</w:t>
      </w:r>
      <w:r w:rsidRPr="00816A2B">
        <w:rPr>
          <w:rFonts w:ascii="Palatino Linotype" w:hAnsi="Palatino Linotype"/>
          <w:i/>
        </w:rPr>
        <w:t xml:space="preserve"> La Tesorería Municipal es la </w:t>
      </w:r>
      <w:r w:rsidRPr="00816A2B">
        <w:rPr>
          <w:rFonts w:ascii="Palatino Linotype" w:hAnsi="Palatino Linotype"/>
          <w:b/>
          <w:i/>
        </w:rPr>
        <w:t>dependencia encargada</w:t>
      </w:r>
      <w:r w:rsidRPr="00816A2B">
        <w:rPr>
          <w:rFonts w:ascii="Palatino Linotype" w:hAnsi="Palatino Linotype"/>
          <w:i/>
        </w:rPr>
        <w:t xml:space="preserve"> de la recaudación de los ingresos municipales y la </w:t>
      </w:r>
      <w:r w:rsidRPr="00816A2B">
        <w:rPr>
          <w:rFonts w:ascii="Palatino Linotype" w:hAnsi="Palatino Linotype"/>
          <w:b/>
          <w:i/>
        </w:rPr>
        <w:t>administración de la Hacienda Pública Municipal, responsable de realizar y verificar las erogaciones y funciones requeridas por el H. Ayuntamiento</w:t>
      </w:r>
      <w:r w:rsidRPr="00816A2B">
        <w:rPr>
          <w:rFonts w:ascii="Palatino Linotype" w:hAnsi="Palatino Linotype"/>
          <w:i/>
        </w:rPr>
        <w:t xml:space="preserve">, la Presidenta Municipal Constitucional y demás dependencias de la Administración Pública Municipal, apegadas a la Constitución Política de los Estados Unidos Mexicanos, la Ley General de Contabilidad Gubernamental, la Ley de Disciplina Financiera de las Entidades Federativas y los Municipios, el Código Financiero del Estado de México y Municipios, Ley Orgánica Municipal del Estado de México, la Ley de Gobierno Digital del Estado de México y Municipios, y los demás ordenamientos legales vigentes aplicables a la materia. </w:t>
      </w:r>
    </w:p>
    <w:p w:rsidR="00AF0256" w:rsidRPr="00816A2B" w:rsidRDefault="00AF0256" w:rsidP="00AF0256">
      <w:pPr>
        <w:pBdr>
          <w:top w:val="nil"/>
          <w:left w:val="nil"/>
          <w:bottom w:val="nil"/>
          <w:right w:val="nil"/>
          <w:between w:val="nil"/>
        </w:pBdr>
        <w:tabs>
          <w:tab w:val="left" w:pos="426"/>
          <w:tab w:val="left" w:pos="567"/>
        </w:tabs>
        <w:ind w:left="567" w:right="567"/>
        <w:jc w:val="both"/>
        <w:rPr>
          <w:rFonts w:ascii="Palatino Linotype" w:hAnsi="Palatino Linotype"/>
          <w:i/>
        </w:rPr>
      </w:pPr>
    </w:p>
    <w:p w:rsidR="00AF0256" w:rsidRPr="00816A2B" w:rsidRDefault="00AF0256" w:rsidP="00AF0256">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Asimismo, </w:t>
      </w:r>
      <w:r w:rsidRPr="00816A2B">
        <w:rPr>
          <w:rFonts w:ascii="Palatino Linotype" w:hAnsi="Palatino Linotype"/>
          <w:b/>
          <w:i/>
        </w:rPr>
        <w:t xml:space="preserve">deberá implementar las medidas y mecanismos previamente aprobados por el H. Ayuntamiento, tendientes a difundir los pagos de las diversas contribuciones </w:t>
      </w:r>
      <w:r w:rsidRPr="00816A2B">
        <w:rPr>
          <w:rFonts w:ascii="Palatino Linotype" w:hAnsi="Palatino Linotype"/>
          <w:i/>
        </w:rPr>
        <w:t xml:space="preserve">en términos de la Ley de Ingresos de los Municipios del Estado de México para el Ejercicio Fiscal 2025 entre la población, ampliar la base de contribuyentes y estimular el pago oportuno. La Tesorería Municipal, a fin de cumplir su objetivo, iniciará el Procedimiento Administrativo de Ejecución apegado a la legalidad, instaurado en contra de las y los contribuyentes que se encuentren en rezago de sus contribuciones. </w:t>
      </w:r>
      <w:r w:rsidRPr="00816A2B">
        <w:rPr>
          <w:rFonts w:ascii="Palatino Linotype" w:hAnsi="Palatino Linotype"/>
          <w:b/>
          <w:i/>
          <w:u w:val="single"/>
        </w:rPr>
        <w:t xml:space="preserve">La Tesorería Municipal revisará, vigilará y analizará los ingresos y egresos de la </w:t>
      </w:r>
      <w:r w:rsidRPr="00816A2B">
        <w:rPr>
          <w:rFonts w:ascii="Palatino Linotype" w:hAnsi="Palatino Linotype"/>
          <w:b/>
          <w:i/>
          <w:u w:val="single"/>
        </w:rPr>
        <w:lastRenderedPageBreak/>
        <w:t>Administración Pública Municipal,</w:t>
      </w:r>
      <w:r w:rsidRPr="00816A2B">
        <w:rPr>
          <w:rFonts w:ascii="Palatino Linotype" w:hAnsi="Palatino Linotype"/>
          <w:i/>
        </w:rPr>
        <w:t xml:space="preserve"> con la finalidad de incrementar y acreditar la recaudación municipal, informando al Órgano de Control Interno sobre cualquier irregularidad para transparentar una sana cuenta hacendaria. </w:t>
      </w:r>
    </w:p>
    <w:p w:rsidR="00AF0256" w:rsidRPr="00816A2B" w:rsidRDefault="00AF0256" w:rsidP="00AF0256">
      <w:pPr>
        <w:pBdr>
          <w:top w:val="nil"/>
          <w:left w:val="nil"/>
          <w:bottom w:val="nil"/>
          <w:right w:val="nil"/>
          <w:between w:val="nil"/>
        </w:pBdr>
        <w:tabs>
          <w:tab w:val="left" w:pos="426"/>
          <w:tab w:val="left" w:pos="567"/>
        </w:tabs>
        <w:ind w:left="567" w:right="567"/>
        <w:jc w:val="both"/>
        <w:rPr>
          <w:rFonts w:ascii="Palatino Linotype" w:hAnsi="Palatino Linotype"/>
          <w:i/>
        </w:rPr>
      </w:pPr>
    </w:p>
    <w:p w:rsidR="00AF0256" w:rsidRPr="00816A2B" w:rsidRDefault="00AF0256" w:rsidP="00AF0256">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Habilitará al personal registrado por la Dirección de Mercados, Tianguis y Vía Pública ante la Contraloría Municipal, para llevar a cabo la recaudación del pago de derechos de mercados públicos municipales, tianguis y vía pública. Dicha recaudación deberá ser ingresada en tiempo y forma en las cajas de la Tesorería Municipal. </w:t>
      </w:r>
    </w:p>
    <w:p w:rsidR="001E772B" w:rsidRPr="00816A2B" w:rsidRDefault="001E772B" w:rsidP="00AF0256">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w:t>
      </w:r>
    </w:p>
    <w:p w:rsidR="001D2F5C" w:rsidRPr="00816A2B" w:rsidRDefault="001D2F5C" w:rsidP="001D2F5C">
      <w:pPr>
        <w:pBdr>
          <w:top w:val="nil"/>
          <w:left w:val="nil"/>
          <w:bottom w:val="nil"/>
          <w:right w:val="nil"/>
          <w:between w:val="nil"/>
        </w:pBdr>
        <w:tabs>
          <w:tab w:val="left" w:pos="426"/>
          <w:tab w:val="left" w:pos="567"/>
        </w:tabs>
        <w:ind w:left="567" w:right="567"/>
        <w:jc w:val="center"/>
        <w:rPr>
          <w:rFonts w:ascii="Palatino Linotype" w:hAnsi="Palatino Linotype"/>
          <w:b/>
          <w:i/>
        </w:rPr>
      </w:pPr>
      <w:r w:rsidRPr="00816A2B">
        <w:rPr>
          <w:rFonts w:ascii="Palatino Linotype" w:hAnsi="Palatino Linotype"/>
          <w:b/>
          <w:i/>
        </w:rPr>
        <w:t xml:space="preserve">De la Dirección de Administración </w:t>
      </w:r>
    </w:p>
    <w:p w:rsidR="001D2F5C" w:rsidRPr="00816A2B" w:rsidRDefault="001D2F5C" w:rsidP="001D2F5C">
      <w:pPr>
        <w:pBdr>
          <w:top w:val="nil"/>
          <w:left w:val="nil"/>
          <w:bottom w:val="nil"/>
          <w:right w:val="nil"/>
          <w:between w:val="nil"/>
        </w:pBdr>
        <w:tabs>
          <w:tab w:val="left" w:pos="426"/>
          <w:tab w:val="left" w:pos="567"/>
        </w:tabs>
        <w:ind w:left="567" w:right="567"/>
        <w:jc w:val="center"/>
        <w:rPr>
          <w:rFonts w:ascii="Palatino Linotype" w:hAnsi="Palatino Linotype"/>
          <w:b/>
          <w:i/>
        </w:rPr>
      </w:pP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b/>
          <w:i/>
          <w:u w:val="single"/>
        </w:rPr>
      </w:pPr>
      <w:r w:rsidRPr="00816A2B">
        <w:rPr>
          <w:rFonts w:ascii="Palatino Linotype" w:hAnsi="Palatino Linotype"/>
          <w:b/>
          <w:i/>
        </w:rPr>
        <w:t xml:space="preserve">Artículo 50. </w:t>
      </w:r>
      <w:r w:rsidRPr="00816A2B">
        <w:rPr>
          <w:rFonts w:ascii="Palatino Linotype" w:hAnsi="Palatino Linotype"/>
          <w:b/>
          <w:i/>
          <w:u w:val="single"/>
        </w:rPr>
        <w:t>La Dirección de Administración</w:t>
      </w:r>
      <w:r w:rsidRPr="00816A2B">
        <w:rPr>
          <w:rFonts w:ascii="Palatino Linotype" w:hAnsi="Palatino Linotype"/>
          <w:b/>
          <w:i/>
        </w:rPr>
        <w:t xml:space="preserve"> </w:t>
      </w:r>
      <w:r w:rsidRPr="00816A2B">
        <w:rPr>
          <w:rFonts w:ascii="Palatino Linotype" w:hAnsi="Palatino Linotype"/>
          <w:b/>
          <w:i/>
          <w:u w:val="single"/>
        </w:rPr>
        <w:t>proveerá los recursos</w:t>
      </w:r>
      <w:r w:rsidRPr="00816A2B">
        <w:rPr>
          <w:rFonts w:ascii="Palatino Linotype" w:hAnsi="Palatino Linotype"/>
          <w:b/>
          <w:i/>
        </w:rPr>
        <w:t xml:space="preserve"> </w:t>
      </w:r>
      <w:r w:rsidRPr="00816A2B">
        <w:rPr>
          <w:rFonts w:ascii="Palatino Linotype" w:hAnsi="Palatino Linotype"/>
          <w:i/>
        </w:rPr>
        <w:t>humanos</w:t>
      </w:r>
      <w:r w:rsidRPr="00816A2B">
        <w:rPr>
          <w:rFonts w:ascii="Palatino Linotype" w:hAnsi="Palatino Linotype"/>
          <w:b/>
          <w:i/>
        </w:rPr>
        <w:t xml:space="preserve">, </w:t>
      </w:r>
      <w:r w:rsidRPr="00816A2B">
        <w:rPr>
          <w:rFonts w:ascii="Palatino Linotype" w:hAnsi="Palatino Linotype"/>
          <w:b/>
          <w:i/>
          <w:u w:val="single"/>
        </w:rPr>
        <w:t>materiales y servicios a las diversas áreas que conforman la Administración Pública Municipal</w:t>
      </w:r>
      <w:r w:rsidRPr="00816A2B">
        <w:rPr>
          <w:rFonts w:ascii="Palatino Linotype" w:hAnsi="Palatino Linotype"/>
          <w:b/>
          <w:i/>
        </w:rPr>
        <w:t xml:space="preserve"> </w:t>
      </w:r>
      <w:r w:rsidRPr="00816A2B">
        <w:rPr>
          <w:rFonts w:ascii="Palatino Linotype" w:hAnsi="Palatino Linotype"/>
          <w:i/>
        </w:rPr>
        <w:t>y asignará a estas, previa autorización de la Presidenta Municipal Constitucional, el personal capacitado que requiera para el cumplimiento de sus atribuciones, llevando el registro del mismo. También calculará el monto de los salarios, establecerá programas de capacitación, atenderá las relaciones laborales en coordinación con la Consejería Jurídica; asimismo,</w:t>
      </w:r>
      <w:r w:rsidRPr="00816A2B">
        <w:rPr>
          <w:rFonts w:ascii="Palatino Linotype" w:hAnsi="Palatino Linotype"/>
          <w:b/>
          <w:i/>
        </w:rPr>
        <w:t xml:space="preserve"> </w:t>
      </w:r>
      <w:r w:rsidRPr="00816A2B">
        <w:rPr>
          <w:rFonts w:ascii="Palatino Linotype" w:hAnsi="Palatino Linotype"/>
          <w:b/>
          <w:i/>
          <w:u w:val="single"/>
        </w:rPr>
        <w:t>llevará a cabo los procedimientos de adquisiciones de bienes y servicios y, en general, cumplirá con todas las atribuciones que le otorguen las disposiciones legales que regulen sus actividades.</w:t>
      </w:r>
    </w:p>
    <w:p w:rsidR="001D2F5C" w:rsidRDefault="001D2F5C" w:rsidP="001D2F5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816A2B" w:rsidRPr="00816A2B" w:rsidRDefault="00816A2B" w:rsidP="001D2F5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Al respecto, el Manual de Organización de la Dirección de Administración, en el capítulo IX, señala los objetivos y funciones de la Dirección de Administración, ordenamiento que a la letra reza:</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b/>
          <w:i/>
        </w:rPr>
      </w:pPr>
      <w:r w:rsidRPr="00816A2B">
        <w:rPr>
          <w:rFonts w:ascii="Palatino Linotype" w:hAnsi="Palatino Linotype"/>
          <w:b/>
          <w:i/>
        </w:rPr>
        <w:t xml:space="preserve">1. Dirección de Administración </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i/>
        </w:rPr>
      </w:pPr>
      <w:r w:rsidRPr="00816A2B">
        <w:rPr>
          <w:rFonts w:ascii="Palatino Linotype" w:hAnsi="Palatino Linotype"/>
          <w:b/>
          <w:i/>
        </w:rPr>
        <w:t>Objetivo:</w:t>
      </w:r>
      <w:r w:rsidRPr="00816A2B">
        <w:rPr>
          <w:rFonts w:ascii="Palatino Linotype" w:hAnsi="Palatino Linotype"/>
          <w:i/>
        </w:rPr>
        <w:t xml:space="preserve"> Aplicar los conocimientos en la toma de decisiones, incluyendo la tarea de fincar los objetivos, alcanzarlos, determinando la mejor manera de llevar a cabo el liderazgo y ocuparse de la proyección e integración de todas las áreas que conforman la Dirección de Administración, en un todo unificado.</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i/>
        </w:rPr>
      </w:pP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Funciones. </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b/>
          <w:i/>
        </w:rPr>
        <w:t>1. Dirigir los servicios de carácter administrativo y financiero de la Dirección de Administración</w:t>
      </w:r>
      <w:r w:rsidRPr="00816A2B">
        <w:rPr>
          <w:rFonts w:ascii="Palatino Linotype" w:hAnsi="Palatino Linotype"/>
          <w:i/>
        </w:rPr>
        <w:t xml:space="preserve">. </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lastRenderedPageBreak/>
        <w:t xml:space="preserve">2. Formular, proponer y evaluar las políticas administrativas de la Dirección de Administración y de cada una de las áreas que pertenecen a la misma. </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3. Formular el anteproyecto de presupuesto anual de ingresos y egresos y remitirlo a la Tesorería Municipal. </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4. </w:t>
      </w:r>
      <w:r w:rsidRPr="00816A2B">
        <w:rPr>
          <w:rFonts w:ascii="Palatino Linotype" w:hAnsi="Palatino Linotype"/>
          <w:b/>
          <w:i/>
        </w:rPr>
        <w:t>Proveer los Recursos</w:t>
      </w:r>
      <w:r w:rsidRPr="00816A2B">
        <w:rPr>
          <w:rFonts w:ascii="Palatino Linotype" w:hAnsi="Palatino Linotype"/>
          <w:i/>
        </w:rPr>
        <w:t xml:space="preserve"> Humanos, financieros </w:t>
      </w:r>
      <w:r w:rsidRPr="00816A2B">
        <w:rPr>
          <w:rFonts w:ascii="Palatino Linotype" w:hAnsi="Palatino Linotype"/>
          <w:b/>
          <w:i/>
        </w:rPr>
        <w:t>y materiales necesarios para el buen funcionamiento de la administración con sujeción al presupuesto.</w:t>
      </w:r>
      <w:r w:rsidRPr="00816A2B">
        <w:rPr>
          <w:rFonts w:ascii="Palatino Linotype" w:hAnsi="Palatino Linotype"/>
          <w:i/>
        </w:rPr>
        <w:t xml:space="preserve"> </w:t>
      </w:r>
    </w:p>
    <w:p w:rsidR="001D2F5C" w:rsidRPr="00816A2B" w:rsidRDefault="001D2F5C" w:rsidP="001D2F5C">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5. Controlar todas y cada una de las operaciones de apoyo dentro de la dirección. Además, se cerciora de conseguir un flujo de información efectiva entre departamentos y el correcto empleo de los recursos. </w:t>
      </w:r>
    </w:p>
    <w:p w:rsidR="001D2F5C" w:rsidRPr="00816A2B" w:rsidRDefault="001D2F5C" w:rsidP="001D2F5C">
      <w:pPr>
        <w:pBdr>
          <w:top w:val="nil"/>
          <w:left w:val="nil"/>
          <w:bottom w:val="nil"/>
          <w:right w:val="nil"/>
          <w:between w:val="nil"/>
        </w:pBdr>
        <w:tabs>
          <w:tab w:val="left" w:pos="426"/>
          <w:tab w:val="left" w:pos="567"/>
        </w:tabs>
        <w:ind w:left="567" w:right="567"/>
        <w:jc w:val="both"/>
        <w:rPr>
          <w:i/>
        </w:rPr>
      </w:pPr>
      <w:r w:rsidRPr="00816A2B">
        <w:rPr>
          <w:rFonts w:ascii="Palatino Linotype" w:hAnsi="Palatino Linotype"/>
          <w:i/>
        </w:rPr>
        <w:t>6. Resolver los asuntos cuyos trámites sean exclusivos de su competencia</w:t>
      </w:r>
      <w:r w:rsidRPr="00816A2B">
        <w:rPr>
          <w:i/>
        </w:rPr>
        <w:t xml:space="preserve">. </w:t>
      </w:r>
    </w:p>
    <w:p w:rsidR="001D2F5C" w:rsidRPr="00816A2B" w:rsidRDefault="001D2F5C" w:rsidP="001D2F5C">
      <w:pPr>
        <w:pBdr>
          <w:top w:val="nil"/>
          <w:left w:val="nil"/>
          <w:bottom w:val="nil"/>
          <w:right w:val="nil"/>
          <w:between w:val="nil"/>
        </w:pBdr>
        <w:tabs>
          <w:tab w:val="left" w:pos="426"/>
          <w:tab w:val="left" w:pos="567"/>
        </w:tabs>
        <w:spacing w:line="360" w:lineRule="auto"/>
        <w:ind w:left="567" w:right="567"/>
        <w:jc w:val="both"/>
        <w:rPr>
          <w:rFonts w:ascii="Palatino Linotype" w:eastAsia="Palatino Linotype" w:hAnsi="Palatino Linotype" w:cs="Palatino Linotype"/>
          <w:i/>
        </w:rPr>
      </w:pPr>
      <w:r w:rsidRPr="00816A2B">
        <w:rPr>
          <w:i/>
        </w:rPr>
        <w:t>7. Las demás inherentes al puesto y las que le sean señaladas.</w:t>
      </w:r>
    </w:p>
    <w:p w:rsidR="001D2F5C" w:rsidRPr="00816A2B" w:rsidRDefault="001D2F5C" w:rsidP="001D2F5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E772B" w:rsidRPr="00816A2B" w:rsidRDefault="001E772B"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Así mismo, el Manual de Organización de la Tesorería Municipal, nos refiere que es la Unidad Administrativa encargada de dirigir la política financiera y patrimonial, tributaria y de egresos mediante el diseño y establecimientos de bases y lineamientos de programación-presupuestario, que permitan el usos </w:t>
      </w:r>
      <w:r w:rsidR="00816A2B" w:rsidRPr="00816A2B">
        <w:rPr>
          <w:rFonts w:ascii="Palatino Linotype" w:eastAsia="Palatino Linotype" w:hAnsi="Palatino Linotype" w:cs="Palatino Linotype"/>
        </w:rPr>
        <w:t>óptimo</w:t>
      </w:r>
      <w:r w:rsidRPr="00816A2B">
        <w:rPr>
          <w:rFonts w:ascii="Palatino Linotype" w:eastAsia="Palatino Linotype" w:hAnsi="Palatino Linotype" w:cs="Palatino Linotype"/>
        </w:rPr>
        <w:t xml:space="preserve"> de los recursos municipales, teniendo las siguientes funciones:</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b/>
          <w:i/>
        </w:rPr>
        <w:t>FUNCIONES:</w:t>
      </w:r>
      <w:r w:rsidRPr="00816A2B">
        <w:rPr>
          <w:rFonts w:ascii="Palatino Linotype" w:hAnsi="Palatino Linotype"/>
          <w:i/>
        </w:rPr>
        <w:t xml:space="preserve">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1. </w:t>
      </w:r>
      <w:r w:rsidRPr="00816A2B">
        <w:rPr>
          <w:rFonts w:ascii="Palatino Linotype" w:hAnsi="Palatino Linotype"/>
          <w:b/>
          <w:i/>
        </w:rPr>
        <w:t>Administrar las finanzas públicas municipales, a través del manejo de los recursos financieros y materiales, con la finalidad de alcanzar los objetivos y compromisos municipales establecidos en el presupuesto de ingresos y egresos</w:t>
      </w:r>
      <w:r w:rsidRPr="00816A2B">
        <w:rPr>
          <w:rFonts w:ascii="Palatino Linotype" w:hAnsi="Palatino Linotype"/>
          <w:i/>
        </w:rPr>
        <w:t>.</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2. Autorizar el Programa General de Recaudación de Ingresos Tributarios y Créditos y coordinar su instrumentación, así como las medidas que se consideren necesarias para incrementar la recaudación del H. Ayuntamiento y hacer un uso eficiente de los recursos municipales.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3. </w:t>
      </w:r>
      <w:r w:rsidRPr="00816A2B">
        <w:rPr>
          <w:rFonts w:ascii="Palatino Linotype" w:hAnsi="Palatino Linotype"/>
          <w:b/>
          <w:i/>
          <w:u w:val="single"/>
        </w:rPr>
        <w:t>Prever, planear, organizar, dirigir y evaluar las actividades en materia financiera, tributaria, patrimonial, programática, presupuestaria, ingreso, gasto, deuda, catastral y demás operaciones de tesorería de la administración pública municipal</w:t>
      </w:r>
      <w:r w:rsidRPr="00816A2B">
        <w:rPr>
          <w:rFonts w:ascii="Palatino Linotype" w:hAnsi="Palatino Linotype"/>
          <w:b/>
          <w:i/>
        </w:rPr>
        <w:t>.</w:t>
      </w:r>
      <w:r w:rsidRPr="00816A2B">
        <w:rPr>
          <w:rFonts w:ascii="Palatino Linotype" w:hAnsi="Palatino Linotype"/>
          <w:i/>
        </w:rPr>
        <w:t xml:space="preserve">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4. Determinar y aprobar los mecanismos de recaudación, así como los criterios jurídicos y administrativos que se deben aplicar para la recaudación de los créditos fiscales a favor del H. Ayuntamiento.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b/>
          <w:i/>
          <w:u w:val="single"/>
        </w:rPr>
        <w:lastRenderedPageBreak/>
        <w:t>5. Administrar el recurso económico del Municipio con base a las disposiciones legales federales, estatales y municipales vigentes</w:t>
      </w:r>
      <w:r w:rsidRPr="00816A2B">
        <w:rPr>
          <w:rFonts w:ascii="Palatino Linotype" w:hAnsi="Palatino Linotype"/>
          <w:i/>
        </w:rPr>
        <w:t xml:space="preserve">.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b/>
          <w:i/>
        </w:rPr>
        <w:t>9. Asegurar el registro contable del manejo del recurso económico (ingresos y egresos).</w:t>
      </w:r>
      <w:r w:rsidRPr="00816A2B">
        <w:rPr>
          <w:rFonts w:ascii="Palatino Linotype" w:hAnsi="Palatino Linotype"/>
          <w:i/>
        </w:rPr>
        <w:t xml:space="preserve">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b/>
          <w:i/>
          <w:u w:val="single"/>
        </w:rPr>
      </w:pPr>
      <w:r w:rsidRPr="00816A2B">
        <w:rPr>
          <w:rFonts w:ascii="Palatino Linotype" w:hAnsi="Palatino Linotype"/>
          <w:b/>
          <w:i/>
          <w:u w:val="single"/>
        </w:rPr>
        <w:t>10. Autorizar la elaboración del Presupuesto de Ingresos y Egresos con base a las disposiciones legales vigentes.</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i/>
        </w:rPr>
        <w:t xml:space="preserve">11. Habilitar al personal registrado ante la Contraloría Interna por la Coordinación de Mercados, Tianguis y Vía Pública, para llevar a cabo la recaudación de derechos de dichas actividades económicas.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hAnsi="Palatino Linotype"/>
          <w:i/>
        </w:rPr>
      </w:pPr>
      <w:r w:rsidRPr="00816A2B">
        <w:rPr>
          <w:rFonts w:ascii="Palatino Linotype" w:hAnsi="Palatino Linotype"/>
          <w:b/>
          <w:i/>
        </w:rPr>
        <w:t>12. Aportar la información financiera del ayuntamiento, requerida por las áreas del ayuntamiento y organismos estatales y federales.</w:t>
      </w:r>
      <w:r w:rsidRPr="00816A2B">
        <w:rPr>
          <w:rFonts w:ascii="Palatino Linotype" w:hAnsi="Palatino Linotype"/>
          <w:i/>
        </w:rPr>
        <w:t xml:space="preserve"> </w:t>
      </w:r>
    </w:p>
    <w:p w:rsidR="001E772B" w:rsidRPr="00816A2B" w:rsidRDefault="001E772B" w:rsidP="001E772B">
      <w:pPr>
        <w:pBdr>
          <w:top w:val="nil"/>
          <w:left w:val="nil"/>
          <w:bottom w:val="nil"/>
          <w:right w:val="nil"/>
          <w:between w:val="nil"/>
        </w:pBdr>
        <w:tabs>
          <w:tab w:val="left" w:pos="426"/>
          <w:tab w:val="left" w:pos="567"/>
        </w:tabs>
        <w:ind w:left="567" w:right="567"/>
        <w:jc w:val="both"/>
        <w:rPr>
          <w:rFonts w:ascii="Palatino Linotype" w:eastAsia="Palatino Linotype" w:hAnsi="Palatino Linotype" w:cs="Palatino Linotype"/>
          <w:i/>
        </w:rPr>
      </w:pPr>
      <w:r w:rsidRPr="00816A2B">
        <w:rPr>
          <w:rFonts w:ascii="Palatino Linotype" w:hAnsi="Palatino Linotype"/>
          <w:i/>
        </w:rPr>
        <w:t>(…)</w:t>
      </w:r>
    </w:p>
    <w:p w:rsidR="001E772B" w:rsidRPr="00816A2B" w:rsidRDefault="001E772B" w:rsidP="001E772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p>
    <w:p w:rsidR="001E772B" w:rsidRPr="00816A2B" w:rsidRDefault="001E772B" w:rsidP="001E772B">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 </w:t>
      </w: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t>Con lo antes descrito se advierte que</w:t>
      </w:r>
      <w:r w:rsidR="0037699F" w:rsidRPr="00816A2B">
        <w:rPr>
          <w:rFonts w:ascii="Palatino Linotype" w:eastAsia="Palatino Linotype" w:hAnsi="Palatino Linotype" w:cs="Palatino Linotype"/>
        </w:rPr>
        <w:t xml:space="preserve"> la Tesorería Municipal, es el área encargada de administrar las finanzas públicas a través de los recursos financieros, planeando y organizando las actividades en materia presupuestaria y gastos asegurando el registro contable del majeo de recursos; mientras que </w:t>
      </w:r>
      <w:r w:rsidRPr="00816A2B">
        <w:rPr>
          <w:rFonts w:ascii="Palatino Linotype" w:eastAsia="Palatino Linotype" w:hAnsi="Palatino Linotype" w:cs="Palatino Linotype"/>
        </w:rPr>
        <w:t>la Dirección de Administración es el área encargada de llevar a cabo los procedimientos de adquisiciones de bienes y servicios necesarios para el buen funcionamiento de la ad</w:t>
      </w:r>
      <w:r w:rsidR="0037699F" w:rsidRPr="00816A2B">
        <w:rPr>
          <w:rFonts w:ascii="Palatino Linotype" w:eastAsia="Palatino Linotype" w:hAnsi="Palatino Linotype" w:cs="Palatino Linotype"/>
        </w:rPr>
        <w:t xml:space="preserve">ministración pública, por tanto, las Direcciones de referencia </w:t>
      </w:r>
      <w:r w:rsidRPr="00816A2B">
        <w:rPr>
          <w:rFonts w:ascii="Palatino Linotype" w:eastAsia="Palatino Linotype" w:hAnsi="Palatino Linotype" w:cs="Palatino Linotype"/>
        </w:rPr>
        <w:t>administra</w:t>
      </w:r>
      <w:r w:rsidR="0037699F" w:rsidRPr="00816A2B">
        <w:rPr>
          <w:rFonts w:ascii="Palatino Linotype" w:eastAsia="Palatino Linotype" w:hAnsi="Palatino Linotype" w:cs="Palatino Linotype"/>
        </w:rPr>
        <w:t>n</w:t>
      </w:r>
      <w:r w:rsidRPr="00816A2B">
        <w:rPr>
          <w:rFonts w:ascii="Palatino Linotype" w:eastAsia="Palatino Linotype" w:hAnsi="Palatino Linotype" w:cs="Palatino Linotype"/>
        </w:rPr>
        <w:t xml:space="preserve"> la información requerida por el particular.</w:t>
      </w:r>
    </w:p>
    <w:p w:rsidR="001D2F5C" w:rsidRPr="00816A2B" w:rsidRDefault="001D2F5C" w:rsidP="001D2F5C">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b/>
        </w:rPr>
      </w:pPr>
    </w:p>
    <w:p w:rsidR="0037699F" w:rsidRPr="00816A2B" w:rsidRDefault="0037699F" w:rsidP="0037699F">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color w:val="000000"/>
        </w:rPr>
        <w:t xml:space="preserve">En este sentido, se advierte que, el </w:t>
      </w:r>
      <w:r w:rsidRPr="00816A2B">
        <w:rPr>
          <w:rFonts w:ascii="Palatino Linotype" w:eastAsia="Palatino Linotype" w:hAnsi="Palatino Linotype" w:cs="Palatino Linotype"/>
          <w:b/>
          <w:color w:val="000000"/>
        </w:rPr>
        <w:t>SUJETO OBLIGADO</w:t>
      </w:r>
      <w:r w:rsidRPr="00816A2B">
        <w:rPr>
          <w:rFonts w:ascii="Palatino Linotype" w:eastAsia="Palatino Linotype" w:hAnsi="Palatino Linotype" w:cs="Palatino Linotype"/>
          <w:color w:val="000000"/>
        </w:rPr>
        <w:t xml:space="preserve"> </w:t>
      </w:r>
      <w:r w:rsidRPr="00816A2B">
        <w:rPr>
          <w:rFonts w:ascii="Palatino Linotype" w:eastAsia="Palatino Linotype" w:hAnsi="Palatino Linotype" w:cs="Palatino Linotype"/>
          <w:b/>
          <w:color w:val="000000"/>
        </w:rPr>
        <w:t xml:space="preserve">no </w:t>
      </w:r>
      <w:r w:rsidRPr="00816A2B">
        <w:rPr>
          <w:rFonts w:ascii="Palatino Linotype" w:eastAsia="Palatino Linotype" w:hAnsi="Palatino Linotype" w:cs="Palatino Linotype"/>
          <w:color w:val="000000"/>
        </w:rPr>
        <w:t xml:space="preserve">cumplió con el procedimiento de búsqueda exhaustiva y razonable exigido por la ley de la materia, toda vez que no gestionó la solicitud de información en las diversas unidades administrativas en donde </w:t>
      </w:r>
      <w:r w:rsidRPr="00816A2B">
        <w:rPr>
          <w:rFonts w:ascii="Palatino Linotype" w:eastAsia="Palatino Linotype" w:hAnsi="Palatino Linotype" w:cs="Palatino Linotype"/>
          <w:color w:val="000000"/>
          <w:u w:val="single"/>
        </w:rPr>
        <w:t>pudiera</w:t>
      </w:r>
      <w:r w:rsidRPr="00816A2B">
        <w:rPr>
          <w:rFonts w:ascii="Palatino Linotype" w:eastAsia="Palatino Linotype" w:hAnsi="Palatino Linotype" w:cs="Palatino Linotype"/>
          <w:color w:val="000000"/>
        </w:rPr>
        <w:t xml:space="preserve"> obrar lo peticionado, siendo esta </w:t>
      </w:r>
      <w:r w:rsidRPr="00816A2B">
        <w:rPr>
          <w:rFonts w:ascii="Palatino Linotype" w:eastAsia="Palatino Linotype" w:hAnsi="Palatino Linotype" w:cs="Palatino Linotype"/>
          <w:b/>
          <w:color w:val="000000"/>
        </w:rPr>
        <w:t xml:space="preserve">la Tesorería Municipal, </w:t>
      </w:r>
      <w:r w:rsidRPr="00816A2B">
        <w:rPr>
          <w:rFonts w:ascii="Palatino Linotype" w:eastAsia="Palatino Linotype" w:hAnsi="Palatino Linotype" w:cs="Palatino Linotype"/>
          <w:color w:val="000000"/>
        </w:rPr>
        <w:t>pues del expediente electrónico en que se actúa no se advierte que se haya pronunciado dicha Unidad Administrativa.</w:t>
      </w:r>
    </w:p>
    <w:p w:rsidR="0037699F" w:rsidRPr="00816A2B" w:rsidRDefault="0037699F" w:rsidP="0037699F">
      <w:pPr>
        <w:pStyle w:val="Prrafodelista"/>
        <w:rPr>
          <w:rFonts w:ascii="Palatino Linotype" w:eastAsia="Palatino Linotype" w:hAnsi="Palatino Linotype" w:cs="Palatino Linotype"/>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color w:val="000000"/>
        </w:rPr>
        <w:t xml:space="preserve">Ahora bien, conviene señalar que a la fecha de la solicitud el </w:t>
      </w:r>
      <w:r w:rsidRPr="00816A2B">
        <w:rPr>
          <w:rFonts w:ascii="Palatino Linotype" w:eastAsia="Palatino Linotype" w:hAnsi="Palatino Linotype" w:cs="Palatino Linotype"/>
          <w:b/>
          <w:color w:val="000000"/>
        </w:rPr>
        <w:t>SUJETO OBLIGADO</w:t>
      </w:r>
      <w:r w:rsidRPr="00816A2B">
        <w:rPr>
          <w:rFonts w:ascii="Palatino Linotype" w:eastAsia="Palatino Linotype" w:hAnsi="Palatino Linotype" w:cs="Palatino Linotype"/>
          <w:color w:val="000000"/>
        </w:rPr>
        <w:t xml:space="preserve">, no contaba con la información </w:t>
      </w:r>
      <w:r w:rsidR="0037699F" w:rsidRPr="00816A2B">
        <w:rPr>
          <w:rFonts w:ascii="Palatino Linotype" w:eastAsia="Palatino Linotype" w:hAnsi="Palatino Linotype" w:cs="Palatino Linotype"/>
          <w:color w:val="000000"/>
        </w:rPr>
        <w:t xml:space="preserve">tal y como fue requerido </w:t>
      </w:r>
      <w:r w:rsidRPr="00816A2B">
        <w:rPr>
          <w:rFonts w:ascii="Palatino Linotype" w:eastAsia="Palatino Linotype" w:hAnsi="Palatino Linotype" w:cs="Palatino Linotype"/>
          <w:color w:val="000000"/>
        </w:rPr>
        <w:t>por el particular, toda vez que aún no se llevaba a cabo el evento de referencia, lo que vislumbra que los documentos solicitados por el particular no se generaban tal y como lo señala en respuesta.</w:t>
      </w:r>
    </w:p>
    <w:p w:rsidR="001D2F5C" w:rsidRPr="00816A2B" w:rsidRDefault="001D2F5C" w:rsidP="001D2F5C">
      <w:pPr>
        <w:pStyle w:val="Prrafodelista"/>
        <w:rPr>
          <w:rFonts w:ascii="Palatino Linotype" w:eastAsia="Palatino Linotype" w:hAnsi="Palatino Linotype" w:cs="Palatino Linotype"/>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t>Al respecto, es ineludible señalar que la información sobre hechos que aún no se han generado debido a la temporalidad, son hechos futuros e inciertos, los cuales no se pueden determinar ya que están supeditados a la conclusión de los mismos; por lo que no es procedente que los Sujetos Obligados proporcionen dicha información.</w:t>
      </w:r>
    </w:p>
    <w:p w:rsidR="001D2F5C" w:rsidRPr="00816A2B" w:rsidRDefault="001D2F5C" w:rsidP="001D2F5C">
      <w:pPr>
        <w:pStyle w:val="Prrafodelista"/>
        <w:rPr>
          <w:rFonts w:ascii="Palatino Linotype" w:eastAsia="Palatino Linotype" w:hAnsi="Palatino Linotype" w:cs="Palatino Linotype"/>
        </w:rPr>
      </w:pPr>
    </w:p>
    <w:p w:rsidR="001D2F5C" w:rsidRPr="00816A2B" w:rsidRDefault="001D2F5C" w:rsidP="001D2F5C">
      <w:pPr>
        <w:numPr>
          <w:ilvl w:val="0"/>
          <w:numId w:val="5"/>
        </w:numPr>
        <w:pBdr>
          <w:top w:val="nil"/>
          <w:left w:val="nil"/>
          <w:bottom w:val="nil"/>
          <w:right w:val="nil"/>
          <w:between w:val="nil"/>
        </w:pBdr>
        <w:tabs>
          <w:tab w:val="left" w:pos="426"/>
          <w:tab w:val="left" w:pos="567"/>
        </w:tabs>
        <w:spacing w:line="360" w:lineRule="auto"/>
        <w:ind w:left="0" w:firstLine="0"/>
        <w:jc w:val="both"/>
        <w:rPr>
          <w:rFonts w:ascii="Palatino Linotype" w:eastAsia="Palatino Linotype" w:hAnsi="Palatino Linotype" w:cs="Palatino Linotype"/>
          <w:b/>
        </w:rPr>
      </w:pPr>
      <w:r w:rsidRPr="00816A2B">
        <w:rPr>
          <w:rFonts w:ascii="Palatino Linotype" w:eastAsia="Palatino Linotype" w:hAnsi="Palatino Linotype" w:cs="Palatino Linotype"/>
        </w:rPr>
        <w:t>Lo anterior se robustece con la Tesis Aislada con número de registro 209001</w:t>
      </w:r>
      <w:r w:rsidRPr="00816A2B">
        <w:rPr>
          <w:rFonts w:eastAsia="Palatino Linotype"/>
          <w:vertAlign w:val="superscript"/>
        </w:rPr>
        <w:footnoteReference w:id="5"/>
      </w:r>
      <w:r w:rsidRPr="00816A2B">
        <w:rPr>
          <w:rFonts w:ascii="Palatino Linotype" w:eastAsia="Palatino Linotype" w:hAnsi="Palatino Linotype" w:cs="Palatino Linotype"/>
        </w:rPr>
        <w:t>, de la Suprema Corte de Justicia de la Nación, emitida por los Tribunales Colegiados de Circuito,  que a la letra señala:</w:t>
      </w:r>
    </w:p>
    <w:p w:rsidR="001D2F5C" w:rsidRPr="00816A2B" w:rsidRDefault="001D2F5C" w:rsidP="001D2F5C">
      <w:pPr>
        <w:pStyle w:val="Prrafodelista"/>
        <w:pBdr>
          <w:top w:val="nil"/>
          <w:left w:val="nil"/>
          <w:bottom w:val="nil"/>
          <w:right w:val="nil"/>
          <w:between w:val="nil"/>
        </w:pBdr>
        <w:ind w:left="567" w:right="567"/>
        <w:jc w:val="both"/>
        <w:rPr>
          <w:rFonts w:ascii="Palatino Linotype" w:eastAsia="Palatino Linotype" w:hAnsi="Palatino Linotype" w:cs="Palatino Linotype"/>
          <w:i/>
        </w:rPr>
      </w:pPr>
      <w:r w:rsidRPr="00816A2B">
        <w:rPr>
          <w:rFonts w:ascii="Palatino Linotype" w:eastAsia="Palatino Linotype" w:hAnsi="Palatino Linotype" w:cs="Palatino Linotype"/>
          <w:b/>
          <w:i/>
        </w:rPr>
        <w:t xml:space="preserve">“ACTOS FUTUROS DE REALIZACION INCIERTA. NO PROCEDE EL JUICIO DE AMPARO CONTRA LOS. </w:t>
      </w:r>
      <w:r w:rsidRPr="00816A2B">
        <w:rPr>
          <w:rFonts w:ascii="Palatino Linotype" w:eastAsia="Palatino Linotype" w:hAnsi="Palatino Linotype" w:cs="Palatino Linotype"/>
          <w:i/>
        </w:rPr>
        <w:t>Contra actos futuros de realización incierta no procede el juicio de garantías.”</w:t>
      </w:r>
    </w:p>
    <w:p w:rsidR="001D2F5C" w:rsidRPr="00816A2B" w:rsidRDefault="001D2F5C" w:rsidP="001D2F5C">
      <w:pPr>
        <w:pStyle w:val="Prrafodelista"/>
        <w:pBdr>
          <w:top w:val="nil"/>
          <w:left w:val="nil"/>
          <w:bottom w:val="nil"/>
          <w:right w:val="nil"/>
          <w:between w:val="nil"/>
        </w:pBdr>
        <w:spacing w:line="360" w:lineRule="auto"/>
        <w:ind w:left="644"/>
        <w:jc w:val="both"/>
        <w:rPr>
          <w:rFonts w:ascii="Palatino Linotype" w:eastAsia="Palatino Linotype" w:hAnsi="Palatino Linotype" w:cs="Palatino Linotype"/>
        </w:rPr>
      </w:pPr>
    </w:p>
    <w:p w:rsidR="001D2F5C" w:rsidRPr="00816A2B" w:rsidRDefault="001D2F5C" w:rsidP="001D2F5C">
      <w:pPr>
        <w:pStyle w:val="Prrafodelista"/>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ese sentido, en el caso concreto no es procedente la exigencia de la parte </w:t>
      </w:r>
      <w:r w:rsidRPr="00816A2B">
        <w:rPr>
          <w:rFonts w:ascii="Palatino Linotype" w:eastAsia="Palatino Linotype" w:hAnsi="Palatino Linotype" w:cs="Palatino Linotype"/>
          <w:b/>
        </w:rPr>
        <w:t>Recurrente</w:t>
      </w:r>
      <w:r w:rsidRPr="00816A2B">
        <w:rPr>
          <w:rFonts w:ascii="Palatino Linotype" w:eastAsia="Palatino Linotype" w:hAnsi="Palatino Linotype" w:cs="Palatino Linotype"/>
        </w:rPr>
        <w:t xml:space="preserve"> de que el </w:t>
      </w:r>
      <w:r w:rsidRPr="00816A2B">
        <w:rPr>
          <w:rFonts w:ascii="Palatino Linotype" w:eastAsia="Palatino Linotype" w:hAnsi="Palatino Linotype" w:cs="Palatino Linotype"/>
          <w:b/>
        </w:rPr>
        <w:t>Sujeto Obligado</w:t>
      </w:r>
      <w:r w:rsidRPr="00816A2B">
        <w:rPr>
          <w:rFonts w:ascii="Palatino Linotype" w:eastAsia="Palatino Linotype" w:hAnsi="Palatino Linotype" w:cs="Palatino Linotype"/>
        </w:rPr>
        <w:t xml:space="preserve"> atienda el requerimiento en los términos solicitados, pues dicha autoridad únicamente está constreñida a proporcionar la información pública que genere en uso de sus atribuciones de derecho público con anterioridad a la fecha en la que se presenten las solicitudes de información, en el caso concreto, al quince de agosto de dos mil veinticinco, lo cual sucede en el caso que nos ocupa, toda vez que el </w:t>
      </w:r>
      <w:r w:rsidRPr="00816A2B">
        <w:rPr>
          <w:rFonts w:ascii="Palatino Linotype" w:eastAsia="Palatino Linotype" w:hAnsi="Palatino Linotype" w:cs="Palatino Linotype"/>
          <w:b/>
        </w:rPr>
        <w:t xml:space="preserve">SUJETO OBLIGADO, </w:t>
      </w:r>
      <w:r w:rsidRPr="00816A2B">
        <w:rPr>
          <w:rFonts w:ascii="Palatino Linotype" w:eastAsia="Palatino Linotype" w:hAnsi="Palatino Linotype" w:cs="Palatino Linotype"/>
        </w:rPr>
        <w:t xml:space="preserve">mediante un acto jurídico posterior, como lo es el informe justificado, remitió el Contrato celebrado con la </w:t>
      </w:r>
      <w:r w:rsidRPr="00816A2B">
        <w:rPr>
          <w:rFonts w:ascii="Palatino Linotype" w:eastAsia="Palatino Linotype" w:hAnsi="Palatino Linotype" w:cs="Palatino Linotype"/>
        </w:rPr>
        <w:lastRenderedPageBreak/>
        <w:t>empresa ANM PUBLICIDAD EXTERIOR, donde constan los gastos generados con motivo del Servicio Integral de Anuncios Espectaculares para el “Guinness Word Records del mayor número de personas recogiendo basura simultáneamente en varios puntos del municipio de Ecatepec de Morelos”, pretendiendo garantizar el derecho de acceso a la información del particular, no obstante no se puede tomar por colmada la solicitud del particular, ya que si bien es cierto, remite la documentación con la cuenta a la fecha de solicitud, también lo es que el contrato de referencia, fue remitido en versión pública incorrecta, toda vez que realizo la versión pública de manera excesiva.</w:t>
      </w:r>
    </w:p>
    <w:p w:rsidR="001D2F5C" w:rsidRPr="00816A2B" w:rsidRDefault="001D2F5C" w:rsidP="001D2F5C">
      <w:pPr>
        <w:pStyle w:val="Prrafodelista"/>
        <w:rPr>
          <w:rFonts w:ascii="Palatino Linotype" w:eastAsia="Palatino Linotype" w:hAnsi="Palatino Linotype" w:cs="Palatino Linotype"/>
          <w:color w:val="000000"/>
        </w:rPr>
      </w:pPr>
    </w:p>
    <w:p w:rsidR="0037699F" w:rsidRPr="00816A2B" w:rsidRDefault="0037699F" w:rsidP="0037699F">
      <w:pPr>
        <w:numPr>
          <w:ilvl w:val="0"/>
          <w:numId w:val="5"/>
        </w:numPr>
        <w:pBdr>
          <w:top w:val="nil"/>
          <w:left w:val="nil"/>
          <w:bottom w:val="nil"/>
          <w:right w:val="nil"/>
          <w:between w:val="nil"/>
        </w:pBdr>
        <w:spacing w:line="360" w:lineRule="auto"/>
        <w:ind w:left="0" w:firstLine="0"/>
        <w:jc w:val="both"/>
        <w:rPr>
          <w:rFonts w:ascii="Palatino Linotype" w:eastAsia="Calibri" w:hAnsi="Palatino Linotype" w:cs="Tahoma"/>
          <w:bCs/>
        </w:rPr>
      </w:pPr>
      <w:r w:rsidRPr="00816A2B">
        <w:rPr>
          <w:rFonts w:ascii="Palatino Linotype" w:hAnsi="Palatino Linotype"/>
          <w:color w:val="000000" w:themeColor="text1"/>
        </w:rPr>
        <w:t xml:space="preserve">Como ya se refirió en líneas anteriores, del análisis realizado al documento proporcionado, se advierte que se realizó una versión pública en la que se testaron datos como el </w:t>
      </w:r>
      <w:r w:rsidR="008E69F9" w:rsidRPr="00816A2B">
        <w:rPr>
          <w:rFonts w:ascii="Palatino Linotype" w:hAnsi="Palatino Linotype"/>
          <w:color w:val="000000" w:themeColor="text1"/>
        </w:rPr>
        <w:t>número</w:t>
      </w:r>
      <w:r w:rsidRPr="00816A2B">
        <w:rPr>
          <w:rFonts w:ascii="Palatino Linotype" w:hAnsi="Palatino Linotype"/>
          <w:color w:val="000000" w:themeColor="text1"/>
        </w:rPr>
        <w:t xml:space="preserve"> de contrato y el teléfono del proveedor; datos que por su naturaleza son públicos</w:t>
      </w:r>
      <w:r w:rsidRPr="00816A2B">
        <w:rPr>
          <w:rFonts w:ascii="Palatino Linotype" w:eastAsia="MS Mincho" w:hAnsi="Palatino Linotype" w:cs="Arial"/>
          <w:bCs/>
          <w:lang w:eastAsia="es-ES"/>
        </w:rPr>
        <w:t>.</w:t>
      </w:r>
    </w:p>
    <w:p w:rsidR="0037699F" w:rsidRPr="00816A2B" w:rsidRDefault="0037699F" w:rsidP="0037699F">
      <w:pPr>
        <w:pStyle w:val="Prrafodelista"/>
        <w:rPr>
          <w:rFonts w:ascii="Palatino Linotype" w:eastAsia="Calibri" w:hAnsi="Palatino Linotype" w:cs="Tahoma"/>
          <w:bCs/>
        </w:rPr>
      </w:pPr>
    </w:p>
    <w:p w:rsidR="0037699F" w:rsidRPr="00816A2B" w:rsidRDefault="0037699F" w:rsidP="0037699F">
      <w:pPr>
        <w:pBdr>
          <w:top w:val="nil"/>
          <w:left w:val="nil"/>
          <w:bottom w:val="nil"/>
          <w:right w:val="nil"/>
          <w:between w:val="nil"/>
        </w:pBdr>
        <w:rPr>
          <w:rFonts w:ascii="Palatino Linotype" w:eastAsia="Palatino Linotype" w:hAnsi="Palatino Linotype" w:cs="Palatino Linotype"/>
          <w:color w:val="000000"/>
        </w:rPr>
      </w:pPr>
    </w:p>
    <w:p w:rsidR="0037699F" w:rsidRPr="00816A2B" w:rsidRDefault="0037699F" w:rsidP="003769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En este sentido, debe decirse que lo relativo a las información solicitada, se encuentra considerada como una de las obligaciones de transparencias comunes que los Sujetos Obligados tienen el deber de poner a disposición del público de manera permanente y actualizada de forma sencilla, precisa y entendible, en los respectivos medios electrónicos, de acuerdo con sus facultades, atribuciones, funciones u objeto social, según corresponda; esto conforme a lo establecido en el artículo 92 de la de la Ley de Transparencia y Acceso a la Información Pública del Estado de México y Municipios, en su fracción XXIX, dispone lo siguiente:</w:t>
      </w:r>
    </w:p>
    <w:p w:rsidR="0037699F" w:rsidRPr="00816A2B" w:rsidRDefault="0037699F" w:rsidP="0037699F">
      <w:pPr>
        <w:tabs>
          <w:tab w:val="left" w:pos="8080"/>
        </w:tabs>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“Artículo 92. </w:t>
      </w:r>
      <w:r w:rsidRPr="00816A2B">
        <w:rPr>
          <w:rFonts w:ascii="Palatino Linotype" w:eastAsia="Palatino Linotype" w:hAnsi="Palatino Linotype" w:cs="Palatino Linotype"/>
          <w:i/>
        </w:rPr>
        <w:t xml:space="preserve">Los sujetos obligados deberán poner a disposición del público de manera permanente y actualizada de forma sencilla, precisa y entendible, en los respectivos medios electrónicos, de acuerdo con sus facultades, atribuciones, </w:t>
      </w:r>
      <w:r w:rsidRPr="00816A2B">
        <w:rPr>
          <w:rFonts w:ascii="Palatino Linotype" w:eastAsia="Palatino Linotype" w:hAnsi="Palatino Linotype" w:cs="Palatino Linotype"/>
          <w:i/>
        </w:rPr>
        <w:lastRenderedPageBreak/>
        <w:t>funciones u objeto social, según corresponda, la información, por lo menos, de los temas, documentos y políticas que a continuación se señalan:</w:t>
      </w:r>
    </w:p>
    <w:p w:rsidR="0037699F" w:rsidRPr="00816A2B" w:rsidRDefault="0037699F" w:rsidP="0037699F">
      <w:pPr>
        <w:tabs>
          <w:tab w:val="left" w:pos="8080"/>
        </w:tabs>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i/>
        </w:rPr>
        <w:t>(…)</w:t>
      </w:r>
    </w:p>
    <w:p w:rsidR="0037699F" w:rsidRPr="00816A2B" w:rsidRDefault="0037699F" w:rsidP="0037699F">
      <w:pPr>
        <w:spacing w:line="360" w:lineRule="auto"/>
        <w:ind w:left="851" w:right="822"/>
        <w:jc w:val="both"/>
        <w:rPr>
          <w:rFonts w:ascii="Palatino Linotype" w:eastAsia="Palatino Linotype" w:hAnsi="Palatino Linotype" w:cs="Palatino Linotype"/>
          <w:b/>
          <w:i/>
        </w:rPr>
      </w:pP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XXIX. </w:t>
      </w:r>
      <w:r w:rsidRPr="00816A2B">
        <w:rPr>
          <w:rFonts w:ascii="Palatino Linotype" w:eastAsia="Palatino Linotype" w:hAnsi="Palatino Linotype" w:cs="Palatino Linotype"/>
          <w:i/>
        </w:rPr>
        <w:t>La información sobre los procesos y resultados sobre procedimientos de adjudicación directa, invitación restringida y licitación de cualquier naturaleza, </w:t>
      </w:r>
      <w:r w:rsidRPr="00816A2B">
        <w:rPr>
          <w:rFonts w:ascii="Palatino Linotype" w:eastAsia="Palatino Linotype" w:hAnsi="Palatino Linotype" w:cs="Palatino Linotype"/>
          <w:b/>
          <w:i/>
        </w:rPr>
        <w:t>incluyendo la versión pública del expediente respectivo y de los contratos</w:t>
      </w:r>
      <w:r w:rsidRPr="00816A2B">
        <w:rPr>
          <w:rFonts w:ascii="Palatino Linotype" w:eastAsia="Palatino Linotype" w:hAnsi="Palatino Linotype" w:cs="Palatino Linotype"/>
          <w:i/>
        </w:rPr>
        <w:t> celebrados, que deberán contener, por los menos, lo siguiente:</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a) </w:t>
      </w:r>
      <w:r w:rsidRPr="00816A2B">
        <w:rPr>
          <w:rFonts w:ascii="Palatino Linotype" w:eastAsia="Palatino Linotype" w:hAnsi="Palatino Linotype" w:cs="Palatino Linotype"/>
          <w:i/>
        </w:rPr>
        <w:t>De licitaciones públicas o procedimientos de invitación restringida:</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w:t>
      </w:r>
      <w:r w:rsidRPr="00816A2B">
        <w:rPr>
          <w:rFonts w:ascii="Palatino Linotype" w:eastAsia="Palatino Linotype" w:hAnsi="Palatino Linotype" w:cs="Palatino Linotype"/>
          <w:i/>
        </w:rPr>
        <w:t> La convocatoria o invitación emitida, así como los fundamentos legales aplicados para llevarla a cabo;</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2) </w:t>
      </w:r>
      <w:r w:rsidRPr="00816A2B">
        <w:rPr>
          <w:rFonts w:ascii="Palatino Linotype" w:eastAsia="Palatino Linotype" w:hAnsi="Palatino Linotype" w:cs="Palatino Linotype"/>
          <w:i/>
        </w:rPr>
        <w:t>Los nombres de los participantes o invitados;</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3)</w:t>
      </w:r>
      <w:r w:rsidRPr="00816A2B">
        <w:rPr>
          <w:rFonts w:ascii="Palatino Linotype" w:eastAsia="Palatino Linotype" w:hAnsi="Palatino Linotype" w:cs="Palatino Linotype"/>
          <w:i/>
        </w:rPr>
        <w:t> El nombre del ganador y las razones que lo justifican;</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4) </w:t>
      </w:r>
      <w:r w:rsidRPr="00816A2B">
        <w:rPr>
          <w:rFonts w:ascii="Palatino Linotype" w:eastAsia="Palatino Linotype" w:hAnsi="Palatino Linotype" w:cs="Palatino Linotype"/>
          <w:i/>
        </w:rPr>
        <w:t>El área solicitante y la responsable de su ejecución;</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5) </w:t>
      </w:r>
      <w:r w:rsidRPr="00816A2B">
        <w:rPr>
          <w:rFonts w:ascii="Palatino Linotype" w:eastAsia="Palatino Linotype" w:hAnsi="Palatino Linotype" w:cs="Palatino Linotype"/>
          <w:i/>
        </w:rPr>
        <w:t>Las convocatorias e invitaciones emitidas;</w:t>
      </w:r>
    </w:p>
    <w:p w:rsidR="0037699F" w:rsidRPr="00816A2B" w:rsidRDefault="0037699F" w:rsidP="0037699F">
      <w:pPr>
        <w:ind w:left="1134" w:right="851"/>
        <w:jc w:val="both"/>
        <w:rPr>
          <w:rFonts w:ascii="Palatino Linotype" w:eastAsia="Palatino Linotype" w:hAnsi="Palatino Linotype" w:cs="Palatino Linotype"/>
          <w:i/>
        </w:rPr>
      </w:pPr>
      <w:r w:rsidRPr="00816A2B">
        <w:rPr>
          <w:rFonts w:ascii="Palatino Linotype" w:eastAsia="Palatino Linotype" w:hAnsi="Palatino Linotype" w:cs="Palatino Linotype"/>
          <w:i/>
        </w:rPr>
        <w:t>6) Los dictámenes y fallo de adjudicación;</w:t>
      </w:r>
    </w:p>
    <w:p w:rsidR="0037699F" w:rsidRPr="00816A2B" w:rsidRDefault="0037699F" w:rsidP="0037699F">
      <w:pPr>
        <w:ind w:left="1134" w:right="851"/>
        <w:jc w:val="both"/>
        <w:rPr>
          <w:rFonts w:ascii="Palatino Linotype" w:eastAsia="Palatino Linotype" w:hAnsi="Palatino Linotype" w:cs="Palatino Linotype"/>
          <w:i/>
        </w:rPr>
      </w:pPr>
      <w:r w:rsidRPr="00816A2B">
        <w:rPr>
          <w:rFonts w:ascii="Palatino Linotype" w:eastAsia="Palatino Linotype" w:hAnsi="Palatino Linotype" w:cs="Palatino Linotype"/>
          <w:i/>
        </w:rPr>
        <w:t>7</w:t>
      </w:r>
      <w:r w:rsidRPr="00816A2B">
        <w:rPr>
          <w:rFonts w:ascii="Palatino Linotype" w:eastAsia="Palatino Linotype" w:hAnsi="Palatino Linotype" w:cs="Palatino Linotype"/>
          <w:b/>
          <w:i/>
        </w:rPr>
        <w:t>) </w:t>
      </w:r>
      <w:r w:rsidRPr="00816A2B">
        <w:rPr>
          <w:rFonts w:ascii="Palatino Linotype" w:eastAsia="Palatino Linotype" w:hAnsi="Palatino Linotype" w:cs="Palatino Linotype"/>
          <w:i/>
        </w:rPr>
        <w:t>El contrato y, en su caso, sus anexos;</w:t>
      </w:r>
    </w:p>
    <w:p w:rsidR="0037699F" w:rsidRPr="00816A2B" w:rsidRDefault="0037699F" w:rsidP="0037699F">
      <w:pPr>
        <w:ind w:left="1134" w:right="851"/>
        <w:jc w:val="both"/>
        <w:rPr>
          <w:rFonts w:ascii="Palatino Linotype" w:eastAsia="Palatino Linotype" w:hAnsi="Palatino Linotype" w:cs="Palatino Linotype"/>
          <w:i/>
        </w:rPr>
      </w:pPr>
      <w:r w:rsidRPr="00816A2B">
        <w:rPr>
          <w:rFonts w:ascii="Palatino Linotype" w:eastAsia="Palatino Linotype" w:hAnsi="Palatino Linotype" w:cs="Palatino Linotype"/>
          <w:i/>
        </w:rPr>
        <w:t>8) Los mecanismos de vigilancia y supervisión, incluyendo en su caso, los estudios de impacto urbano y ambiental, según corresponda;</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9) </w:t>
      </w:r>
      <w:r w:rsidRPr="00816A2B">
        <w:rPr>
          <w:rFonts w:ascii="Palatino Linotype" w:eastAsia="Palatino Linotype" w:hAnsi="Palatino Linotype" w:cs="Palatino Linotype"/>
          <w:i/>
        </w:rPr>
        <w:t>La partida presupuestal, de conformidad con el clasificador por objeto del gasto, en el caso de ser aplicable;</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i/>
        </w:rPr>
        <w:t>10) Origen de los recursos especificando si son federales, estatales o municipales, así como el tipo de fondo de participación o aportación respectiva;</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11) </w:t>
      </w:r>
      <w:r w:rsidRPr="00816A2B">
        <w:rPr>
          <w:rFonts w:ascii="Palatino Linotype" w:eastAsia="Palatino Linotype" w:hAnsi="Palatino Linotype" w:cs="Palatino Linotype"/>
          <w:i/>
        </w:rPr>
        <w:t>Los convenios modificatorios que, en su caso, sean firmados, precisando el objeto y la fecha de celebración;</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12) </w:t>
      </w:r>
      <w:r w:rsidRPr="00816A2B">
        <w:rPr>
          <w:rFonts w:ascii="Palatino Linotype" w:eastAsia="Palatino Linotype" w:hAnsi="Palatino Linotype" w:cs="Palatino Linotype"/>
          <w:i/>
        </w:rPr>
        <w:t>Los informes de avance físico y financiero sobre las obras o servicios contratados;</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13) </w:t>
      </w:r>
      <w:r w:rsidRPr="00816A2B">
        <w:rPr>
          <w:rFonts w:ascii="Palatino Linotype" w:eastAsia="Palatino Linotype" w:hAnsi="Palatino Linotype" w:cs="Palatino Linotype"/>
          <w:i/>
        </w:rPr>
        <w:t>El convenio de terminación; y</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14) </w:t>
      </w:r>
      <w:r w:rsidRPr="00816A2B">
        <w:rPr>
          <w:rFonts w:ascii="Palatino Linotype" w:eastAsia="Palatino Linotype" w:hAnsi="Palatino Linotype" w:cs="Palatino Linotype"/>
          <w:i/>
        </w:rPr>
        <w:t>El finiquito.</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b) </w:t>
      </w:r>
      <w:r w:rsidRPr="00816A2B">
        <w:rPr>
          <w:rFonts w:ascii="Palatino Linotype" w:eastAsia="Palatino Linotype" w:hAnsi="Palatino Linotype" w:cs="Palatino Linotype"/>
          <w:i/>
        </w:rPr>
        <w:t>De las adjudicaciones directas:</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 </w:t>
      </w:r>
      <w:r w:rsidRPr="00816A2B">
        <w:rPr>
          <w:rFonts w:ascii="Palatino Linotype" w:eastAsia="Palatino Linotype" w:hAnsi="Palatino Linotype" w:cs="Palatino Linotype"/>
          <w:i/>
        </w:rPr>
        <w:t>La propuesta enviada por el participante;</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2) </w:t>
      </w:r>
      <w:r w:rsidRPr="00816A2B">
        <w:rPr>
          <w:rFonts w:ascii="Palatino Linotype" w:eastAsia="Palatino Linotype" w:hAnsi="Palatino Linotype" w:cs="Palatino Linotype"/>
          <w:i/>
        </w:rPr>
        <w:t>Los motivos y fundamentos legales aplicados para llevarla a cabo;</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3) </w:t>
      </w:r>
      <w:r w:rsidRPr="00816A2B">
        <w:rPr>
          <w:rFonts w:ascii="Palatino Linotype" w:eastAsia="Palatino Linotype" w:hAnsi="Palatino Linotype" w:cs="Palatino Linotype"/>
          <w:i/>
        </w:rPr>
        <w:t>La autorización del ejercicio de la opción;</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i/>
        </w:rPr>
        <w:t>4) En su caso, las cotizaciones consideradas, especificando los nombres de los proveedores y sus montos;</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5) </w:t>
      </w:r>
      <w:r w:rsidRPr="00816A2B">
        <w:rPr>
          <w:rFonts w:ascii="Palatino Linotype" w:eastAsia="Palatino Linotype" w:hAnsi="Palatino Linotype" w:cs="Palatino Linotype"/>
          <w:i/>
        </w:rPr>
        <w:t>El nombre de la persona física o jurídica colectiva adjudicada;</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lastRenderedPageBreak/>
        <w:t>6) </w:t>
      </w:r>
      <w:r w:rsidRPr="00816A2B">
        <w:rPr>
          <w:rFonts w:ascii="Palatino Linotype" w:eastAsia="Palatino Linotype" w:hAnsi="Palatino Linotype" w:cs="Palatino Linotype"/>
          <w:i/>
        </w:rPr>
        <w:t>La unidad administrativa solicitante y la responsable de su ejecución;</w:t>
      </w:r>
    </w:p>
    <w:p w:rsidR="0037699F" w:rsidRPr="00816A2B" w:rsidRDefault="0037699F" w:rsidP="0037699F">
      <w:pPr>
        <w:ind w:left="1134" w:right="851"/>
        <w:jc w:val="both"/>
        <w:rPr>
          <w:rFonts w:ascii="Palatino Linotype" w:eastAsia="Palatino Linotype" w:hAnsi="Palatino Linotype" w:cs="Palatino Linotype"/>
          <w:b/>
        </w:rPr>
      </w:pPr>
      <w:r w:rsidRPr="00816A2B">
        <w:rPr>
          <w:rFonts w:ascii="Palatino Linotype" w:eastAsia="Palatino Linotype" w:hAnsi="Palatino Linotype" w:cs="Palatino Linotype"/>
          <w:b/>
          <w:i/>
        </w:rPr>
        <w:t>7)</w:t>
      </w:r>
      <w:r w:rsidRPr="00816A2B">
        <w:rPr>
          <w:rFonts w:ascii="Palatino Linotype" w:eastAsia="Palatino Linotype" w:hAnsi="Palatino Linotype" w:cs="Palatino Linotype"/>
          <w:i/>
        </w:rPr>
        <w:t> </w:t>
      </w:r>
      <w:r w:rsidRPr="00816A2B">
        <w:rPr>
          <w:rFonts w:ascii="Palatino Linotype" w:eastAsia="Palatino Linotype" w:hAnsi="Palatino Linotype" w:cs="Palatino Linotype"/>
          <w:b/>
          <w:i/>
          <w:u w:val="single"/>
        </w:rPr>
        <w:t>El número</w:t>
      </w:r>
      <w:r w:rsidRPr="00816A2B">
        <w:rPr>
          <w:rFonts w:ascii="Palatino Linotype" w:eastAsia="Palatino Linotype" w:hAnsi="Palatino Linotype" w:cs="Palatino Linotype"/>
          <w:b/>
          <w:i/>
        </w:rPr>
        <w:t xml:space="preserve">, fecha, el monto del </w:t>
      </w:r>
      <w:r w:rsidRPr="00816A2B">
        <w:rPr>
          <w:rFonts w:ascii="Palatino Linotype" w:eastAsia="Palatino Linotype" w:hAnsi="Palatino Linotype" w:cs="Palatino Linotype"/>
          <w:b/>
          <w:i/>
          <w:u w:val="single"/>
        </w:rPr>
        <w:t>contrato</w:t>
      </w:r>
      <w:r w:rsidRPr="00816A2B">
        <w:rPr>
          <w:rFonts w:ascii="Palatino Linotype" w:eastAsia="Palatino Linotype" w:hAnsi="Palatino Linotype" w:cs="Palatino Linotype"/>
          <w:b/>
          <w:i/>
        </w:rPr>
        <w:t xml:space="preserve"> y el plazo de entrega o de ejecución de los servicios u obra;</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8) </w:t>
      </w:r>
      <w:r w:rsidRPr="00816A2B">
        <w:rPr>
          <w:rFonts w:ascii="Palatino Linotype" w:eastAsia="Palatino Linotype" w:hAnsi="Palatino Linotype" w:cs="Palatino Linotype"/>
          <w:i/>
        </w:rPr>
        <w:t>Los mecanismos de vigilancia y supervisión, incluyendo, en su caso, los estudios de impacto urbano y ambiental, según corresponda;</w:t>
      </w:r>
    </w:p>
    <w:p w:rsidR="0037699F" w:rsidRPr="00816A2B" w:rsidRDefault="0037699F" w:rsidP="0037699F">
      <w:pPr>
        <w:ind w:left="1134" w:right="851"/>
        <w:jc w:val="both"/>
        <w:rPr>
          <w:rFonts w:ascii="Palatino Linotype" w:eastAsia="Palatino Linotype" w:hAnsi="Palatino Linotype" w:cs="Palatino Linotype"/>
          <w:b/>
        </w:rPr>
      </w:pPr>
      <w:r w:rsidRPr="00816A2B">
        <w:rPr>
          <w:rFonts w:ascii="Palatino Linotype" w:eastAsia="Palatino Linotype" w:hAnsi="Palatino Linotype" w:cs="Palatino Linotype"/>
          <w:b/>
          <w:i/>
        </w:rPr>
        <w:t>9) Los informes de avance sobre las obras o servicios contratados;</w:t>
      </w:r>
    </w:p>
    <w:p w:rsidR="0037699F" w:rsidRPr="00816A2B" w:rsidRDefault="0037699F" w:rsidP="0037699F">
      <w:pPr>
        <w:ind w:left="1134" w:right="851"/>
        <w:jc w:val="both"/>
        <w:rPr>
          <w:rFonts w:ascii="Palatino Linotype" w:eastAsia="Palatino Linotype" w:hAnsi="Palatino Linotype" w:cs="Palatino Linotype"/>
        </w:rPr>
      </w:pPr>
      <w:r w:rsidRPr="00816A2B">
        <w:rPr>
          <w:rFonts w:ascii="Palatino Linotype" w:eastAsia="Palatino Linotype" w:hAnsi="Palatino Linotype" w:cs="Palatino Linotype"/>
          <w:b/>
          <w:i/>
        </w:rPr>
        <w:t>10) </w:t>
      </w:r>
      <w:r w:rsidRPr="00816A2B">
        <w:rPr>
          <w:rFonts w:ascii="Palatino Linotype" w:eastAsia="Palatino Linotype" w:hAnsi="Palatino Linotype" w:cs="Palatino Linotype"/>
          <w:i/>
        </w:rPr>
        <w:t>El convenio de terminación; y</w:t>
      </w:r>
    </w:p>
    <w:p w:rsidR="0037699F" w:rsidRPr="00816A2B" w:rsidRDefault="0037699F" w:rsidP="0037699F">
      <w:pPr>
        <w:ind w:left="1134" w:right="851"/>
        <w:jc w:val="both"/>
        <w:rPr>
          <w:rFonts w:ascii="Palatino Linotype" w:eastAsia="Palatino Linotype" w:hAnsi="Palatino Linotype" w:cs="Palatino Linotype"/>
          <w:b/>
          <w:i/>
        </w:rPr>
      </w:pPr>
      <w:r w:rsidRPr="00816A2B">
        <w:rPr>
          <w:rFonts w:ascii="Palatino Linotype" w:eastAsia="Palatino Linotype" w:hAnsi="Palatino Linotype" w:cs="Palatino Linotype"/>
          <w:b/>
          <w:i/>
        </w:rPr>
        <w:t>11) </w:t>
      </w:r>
      <w:r w:rsidRPr="00816A2B">
        <w:rPr>
          <w:rFonts w:ascii="Palatino Linotype" w:eastAsia="Palatino Linotype" w:hAnsi="Palatino Linotype" w:cs="Palatino Linotype"/>
          <w:i/>
        </w:rPr>
        <w:t>El finiquito.</w:t>
      </w:r>
      <w:r w:rsidRPr="00816A2B">
        <w:rPr>
          <w:rFonts w:ascii="Palatino Linotype" w:eastAsia="Palatino Linotype" w:hAnsi="Palatino Linotype" w:cs="Palatino Linotype"/>
          <w:b/>
          <w:i/>
        </w:rPr>
        <w:t>”</w:t>
      </w:r>
    </w:p>
    <w:p w:rsidR="0037699F" w:rsidRPr="00816A2B" w:rsidRDefault="0037699F" w:rsidP="0037699F">
      <w:pPr>
        <w:ind w:left="851" w:right="850"/>
        <w:jc w:val="both"/>
        <w:rPr>
          <w:rFonts w:ascii="Palatino Linotype" w:eastAsia="Palatino Linotype" w:hAnsi="Palatino Linotype" w:cs="Palatino Linotype"/>
        </w:rPr>
      </w:pPr>
    </w:p>
    <w:p w:rsidR="0037699F" w:rsidRPr="00816A2B" w:rsidRDefault="0037699F" w:rsidP="003769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En consecuencia, se determina que existe fuente obligacional para celebrar contratos relacionados con la adquisición de bienes y servicios, a través de procedimientos de licitación, invitación restringida o adjudicación directa, en todos los casos, existe la obligación de hacer pública la información relacionada con las mismas, en el caso que nos ocupa el número de contrato, ya que permite la identificación única, lo cual asegura la certeza del documento al cual se está haciendo referencia, transparentando las operaciones entre el </w:t>
      </w:r>
      <w:r w:rsidRPr="00816A2B">
        <w:rPr>
          <w:rFonts w:ascii="Palatino Linotype" w:eastAsia="Palatino Linotype" w:hAnsi="Palatino Linotype" w:cs="Palatino Linotype"/>
          <w:b/>
          <w:color w:val="000000"/>
        </w:rPr>
        <w:t xml:space="preserve">SUJETO OBLIGADO </w:t>
      </w:r>
      <w:r w:rsidRPr="00816A2B">
        <w:rPr>
          <w:rFonts w:ascii="Palatino Linotype" w:eastAsia="Palatino Linotype" w:hAnsi="Palatino Linotype" w:cs="Palatino Linotype"/>
          <w:color w:val="000000"/>
        </w:rPr>
        <w:t>y particulares, ello de acuerdo al artículo 92 de la Ley de Transparencia Local, ya que existe un interés colectivo de conocer el uso y destino de los recursos públicos.</w:t>
      </w:r>
    </w:p>
    <w:p w:rsidR="0037699F" w:rsidRPr="00816A2B" w:rsidRDefault="0037699F" w:rsidP="0037699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699F" w:rsidRPr="00816A2B" w:rsidRDefault="0037699F" w:rsidP="003769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16A2B">
        <w:rPr>
          <w:rFonts w:ascii="Palatino Linotype" w:eastAsia="Calibri" w:hAnsi="Palatino Linotype" w:cs="Tahoma"/>
          <w:bCs/>
        </w:rPr>
        <w:t xml:space="preserve">Así mismo, del documento de referencia, se advierte que el </w:t>
      </w:r>
      <w:r w:rsidRPr="00816A2B">
        <w:rPr>
          <w:rFonts w:ascii="Palatino Linotype" w:eastAsia="Calibri" w:hAnsi="Palatino Linotype" w:cs="Tahoma"/>
          <w:b/>
          <w:bCs/>
        </w:rPr>
        <w:t xml:space="preserve">SUJETO OBLIAGO, </w:t>
      </w:r>
      <w:r w:rsidRPr="00816A2B">
        <w:rPr>
          <w:rFonts w:ascii="Palatino Linotype" w:eastAsia="Calibri" w:hAnsi="Palatino Linotype" w:cs="Tahoma"/>
          <w:bCs/>
        </w:rPr>
        <w:t>clasificó el número telefónico del proveedor, al respecto conviene señalar que un número de teléfono es una secuencia de dígitos utilizada para identificar una línea telefónica dentro de una Red Telefónica Conmutada, el número contiene la información necesaria para identificar el punto final de la llamada. Los números de teléfono están a menudo asignados a líneas que tienen conectados dispositivos distintos de un teléfono, tales como faxes y módems. Cada uno de esos puntos de terminación de red deben de tener un número único en la red para poder realizar una llamada telefónica.</w:t>
      </w:r>
    </w:p>
    <w:p w:rsidR="0037699F" w:rsidRPr="00816A2B" w:rsidRDefault="0037699F" w:rsidP="0037699F">
      <w:pPr>
        <w:pStyle w:val="Prrafodelista"/>
        <w:rPr>
          <w:rFonts w:ascii="Palatino Linotype" w:eastAsia="Calibri" w:hAnsi="Palatino Linotype" w:cs="Tahoma"/>
          <w:bCs/>
        </w:rPr>
      </w:pPr>
    </w:p>
    <w:p w:rsidR="0037699F" w:rsidRPr="00816A2B" w:rsidRDefault="0037699F" w:rsidP="0037699F">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16A2B">
        <w:rPr>
          <w:rFonts w:ascii="Palatino Linotype" w:eastAsia="Calibri" w:hAnsi="Palatino Linotype" w:cs="Tahoma"/>
          <w:bCs/>
        </w:rPr>
        <w:lastRenderedPageBreak/>
        <w:t>Al respecto debe mencionarse lo establecido en el criterio número 16 de los formatos de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correspondiente a la fracción XXXII. “Padrón de proveedores y contratistas” de la Ley General de Transparencia, el número telefónico de los contratistas y proveedores es un dato que debe ser público, motivo por el cual no es procedente que se realice su clasificación como confidencial.</w:t>
      </w:r>
    </w:p>
    <w:p w:rsidR="0037699F" w:rsidRPr="00816A2B" w:rsidRDefault="0037699F" w:rsidP="0037699F">
      <w:pPr>
        <w:pStyle w:val="Prrafodelista"/>
        <w:rPr>
          <w:rFonts w:ascii="Palatino Linotype" w:eastAsia="Calibri" w:hAnsi="Palatino Linotype" w:cs="Arial"/>
          <w:color w:val="000000" w:themeColor="text1"/>
          <w:lang w:val="es-ES"/>
        </w:rPr>
      </w:pPr>
    </w:p>
    <w:p w:rsidR="0037699F" w:rsidRPr="00816A2B" w:rsidRDefault="0037699F" w:rsidP="00224033">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eastAsia="Calibri" w:hAnsi="Palatino Linotype" w:cs="Tahoma"/>
          <w:bCs/>
        </w:rPr>
        <w:t xml:space="preserve">Ahora bien, </w:t>
      </w:r>
      <w:r w:rsidR="00E46E89" w:rsidRPr="00816A2B">
        <w:rPr>
          <w:rFonts w:ascii="Palatino Linotype" w:eastAsia="Calibri" w:hAnsi="Palatino Linotype" w:cs="Tahoma"/>
          <w:bCs/>
        </w:rPr>
        <w:t xml:space="preserve">respecto a la partida presupuestal que requiere el particular, conviene señalar lo establecido en el Código Financiero del Estado de México y Municipios, en específico en su artículo 292, que a la letra reza: </w:t>
      </w:r>
    </w:p>
    <w:p w:rsidR="0037699F" w:rsidRPr="00816A2B" w:rsidRDefault="00E46E89" w:rsidP="00E46E89">
      <w:pPr>
        <w:spacing w:after="120"/>
        <w:ind w:left="567" w:right="567"/>
        <w:jc w:val="both"/>
        <w:rPr>
          <w:rFonts w:ascii="Palatino Linotype" w:eastAsia="Palatino Linotype" w:hAnsi="Palatino Linotype" w:cs="Palatino Linotype"/>
          <w:i/>
        </w:rPr>
      </w:pPr>
      <w:r w:rsidRPr="00816A2B">
        <w:rPr>
          <w:rFonts w:ascii="Palatino Linotype" w:eastAsia="Palatino Linotype" w:hAnsi="Palatino Linotype" w:cs="Palatino Linotype"/>
          <w:b/>
          <w:i/>
        </w:rPr>
        <w:t xml:space="preserve"> </w:t>
      </w:r>
      <w:r w:rsidR="0037699F" w:rsidRPr="00816A2B">
        <w:rPr>
          <w:rFonts w:ascii="Palatino Linotype" w:eastAsia="Palatino Linotype" w:hAnsi="Palatino Linotype" w:cs="Palatino Linotype"/>
          <w:b/>
          <w:i/>
        </w:rPr>
        <w:t>“Artículo 292</w:t>
      </w:r>
      <w:r w:rsidR="0037699F" w:rsidRPr="00816A2B">
        <w:rPr>
          <w:rFonts w:ascii="Palatino Linotype" w:eastAsia="Palatino Linotype" w:hAnsi="Palatino Linotype" w:cs="Palatino Linotype"/>
          <w:i/>
        </w:rPr>
        <w:t xml:space="preserve">.- El Proyecto de Presupuesto de Egresos del Gobierno del Estado de México deberá contribuir a un balance presupuestario sostenible en términos de la legislación en la materia, será elaborado atendiendo el modelo de Presupuesto Basado en Resultados y sujeto a la evaluación del desempeño de sus programas presupuestarios, y se integrará con los recursos que se destinen a los poderes Ejecutivo, Legislativo y Judicial, a los organismos autónomos y a los municipios. </w:t>
      </w:r>
    </w:p>
    <w:p w:rsidR="0037699F" w:rsidRPr="00816A2B" w:rsidRDefault="0037699F" w:rsidP="00E46E89">
      <w:pPr>
        <w:spacing w:after="120"/>
        <w:ind w:left="567" w:right="567"/>
        <w:jc w:val="both"/>
        <w:rPr>
          <w:rFonts w:ascii="Palatino Linotype" w:eastAsia="Palatino Linotype" w:hAnsi="Palatino Linotype" w:cs="Palatino Linotype"/>
          <w:b/>
          <w:i/>
        </w:rPr>
      </w:pPr>
      <w:r w:rsidRPr="00816A2B">
        <w:rPr>
          <w:rFonts w:ascii="Palatino Linotype" w:eastAsia="Palatino Linotype" w:hAnsi="Palatino Linotype" w:cs="Palatino Linotype"/>
          <w:b/>
          <w:i/>
        </w:rPr>
        <w:t xml:space="preserve">Para el caso de los Municipios, el Proyecto de Presupuesto se integrará con los recursos que se destinen al Ayuntamiento y a los organismos municipales. </w:t>
      </w:r>
    </w:p>
    <w:p w:rsidR="0037699F" w:rsidRPr="00816A2B" w:rsidRDefault="0037699F" w:rsidP="00E46E89">
      <w:pPr>
        <w:spacing w:after="120"/>
        <w:ind w:left="567" w:right="567"/>
        <w:jc w:val="both"/>
        <w:rPr>
          <w:rFonts w:ascii="Palatino Linotype" w:eastAsia="Palatino Linotype" w:hAnsi="Palatino Linotype" w:cs="Palatino Linotype"/>
          <w:b/>
          <w:i/>
        </w:rPr>
      </w:pPr>
      <w:r w:rsidRPr="00816A2B">
        <w:rPr>
          <w:rFonts w:ascii="Palatino Linotype" w:eastAsia="Palatino Linotype" w:hAnsi="Palatino Linotype" w:cs="Palatino Linotype"/>
          <w:i/>
        </w:rPr>
        <w:t>La distribución será conforme a lo siguiente:</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b/>
        </w:rPr>
        <w:t>I.</w:t>
      </w:r>
      <w:r w:rsidRPr="00816A2B">
        <w:rPr>
          <w:rFonts w:ascii="Palatino Linotype" w:eastAsia="Palatino Linotype" w:hAnsi="Palatino Linotype" w:cs="Palatino Linotype"/>
        </w:rPr>
        <w:t xml:space="preserve"> El gasto programable comprende los siguientes capítulos: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a). 1000 Servicios Personales.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b). 2000 Materiales y Suministros.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c). 3000 Servicios Generales.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d). 4000 Transferencias, Asignaciones, Subsidios y otras ayudas.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lastRenderedPageBreak/>
        <w:t xml:space="preserve">e). 5000 Bienes Muebles, Inmuebles e Intangibles. </w:t>
      </w:r>
    </w:p>
    <w:p w:rsidR="0037699F" w:rsidRPr="00816A2B" w:rsidRDefault="0037699F" w:rsidP="00E46E89">
      <w:pPr>
        <w:spacing w:after="120"/>
        <w:ind w:left="567" w:right="567"/>
        <w:jc w:val="both"/>
        <w:rPr>
          <w:rFonts w:ascii="Palatino Linotype" w:eastAsia="Palatino Linotype" w:hAnsi="Palatino Linotype" w:cs="Palatino Linotype"/>
          <w:b/>
        </w:rPr>
      </w:pPr>
      <w:r w:rsidRPr="00816A2B">
        <w:rPr>
          <w:rFonts w:ascii="Palatino Linotype" w:eastAsia="Palatino Linotype" w:hAnsi="Palatino Linotype" w:cs="Palatino Linotype"/>
        </w:rPr>
        <w:t xml:space="preserve">f). 6000 Inversión Pública.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g). 7000 Inversiones Financieras y otras provisiones.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b/>
        </w:rPr>
        <w:t>II</w:t>
      </w:r>
      <w:r w:rsidRPr="00816A2B">
        <w:rPr>
          <w:rFonts w:ascii="Palatino Linotype" w:eastAsia="Palatino Linotype" w:hAnsi="Palatino Linotype" w:cs="Palatino Linotype"/>
        </w:rPr>
        <w:t xml:space="preserve">. El gasto no programable comprende los siguientes capítulos: </w:t>
      </w:r>
    </w:p>
    <w:p w:rsidR="0037699F" w:rsidRPr="00816A2B" w:rsidRDefault="0037699F" w:rsidP="00E46E89">
      <w:pP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a). 8000 Participaciones y Aportaciones. </w:t>
      </w:r>
    </w:p>
    <w:p w:rsidR="0037699F" w:rsidRPr="00816A2B" w:rsidRDefault="0037699F" w:rsidP="00E46E89">
      <w:pPr>
        <w:pBdr>
          <w:top w:val="nil"/>
          <w:left w:val="nil"/>
          <w:bottom w:val="nil"/>
          <w:right w:val="nil"/>
          <w:between w:val="nil"/>
        </w:pBdr>
        <w:spacing w:after="120"/>
        <w:ind w:left="567" w:right="567"/>
        <w:jc w:val="both"/>
        <w:rPr>
          <w:rFonts w:ascii="Palatino Linotype" w:eastAsia="Palatino Linotype" w:hAnsi="Palatino Linotype" w:cs="Palatino Linotype"/>
        </w:rPr>
      </w:pPr>
      <w:r w:rsidRPr="00816A2B">
        <w:rPr>
          <w:rFonts w:ascii="Palatino Linotype" w:eastAsia="Palatino Linotype" w:hAnsi="Palatino Linotype" w:cs="Palatino Linotype"/>
        </w:rPr>
        <w:t>b). 9000 Deuda Pública.</w:t>
      </w:r>
    </w:p>
    <w:p w:rsidR="0037699F" w:rsidRPr="00816A2B" w:rsidRDefault="0037699F" w:rsidP="00E46E89">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De acuerdo con el Manual para la Planeación, Programación y Presupuesto de Egresos Municipal, para el Ejercicio Fiscal 2025, la definición de los Capítulos de gasto es la siguiente:</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1000 SERVICIOS PERSONALES</w:t>
      </w:r>
      <w:r w:rsidRPr="00816A2B">
        <w:rPr>
          <w:rFonts w:ascii="Palatino Linotype" w:eastAsia="Palatino Linotype" w:hAnsi="Palatino Linotype" w:cs="Palatino Linotype"/>
        </w:rPr>
        <w:t xml:space="preserve">. Agrupa las remuneraciones del personal al servicio de los entes públicos, tales como: sueldos, salarios, dietas, honorarios asimilables al salario, prestaciones y gastos de seguridad social, obligaciones laborables y otras prestaciones derivadas de una relación laboral; pudiendo ser de carácter permanente o transitorio. </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2000 MATERIALES Y SUMINISTROS</w:t>
      </w:r>
      <w:r w:rsidRPr="00816A2B">
        <w:rPr>
          <w:rFonts w:ascii="Palatino Linotype" w:eastAsia="Palatino Linotype" w:hAnsi="Palatino Linotype" w:cs="Palatino Linotype"/>
        </w:rPr>
        <w:t xml:space="preserve">. Agrupa las asignaciones destinadas a la adquisición de toda clase de insumos y suministros requeridos para la prestación de bienes y servicios públicos y para el desempeño de las actividades administrativas. </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3000 SERVICIOS GENERALES</w:t>
      </w:r>
      <w:r w:rsidRPr="00816A2B">
        <w:rPr>
          <w:rFonts w:ascii="Palatino Linotype" w:eastAsia="Palatino Linotype" w:hAnsi="Palatino Linotype" w:cs="Palatino Linotype"/>
        </w:rPr>
        <w:t xml:space="preserve">. Asignaciones destinadas a cubrir el costo de todo tipo de servicios que se contraten con particulares o instituciones del propio sector público; así como los servicios oficiales requeridos para el desempeño de actividades vinculadas con la función pública. </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 xml:space="preserve">4000 TRANSFERENCIAS, ASIGNACIONES, SUBSIDIOS Y OTRAS AYUDAS. </w:t>
      </w:r>
      <w:r w:rsidRPr="00816A2B">
        <w:rPr>
          <w:rFonts w:ascii="Palatino Linotype" w:eastAsia="Palatino Linotype" w:hAnsi="Palatino Linotype" w:cs="Palatino Linotype"/>
        </w:rPr>
        <w:t xml:space="preserve">Asignaciones destinadas en forma directa o indirecta a los sectores público, privado y externo, organismos y empresas paraestatales y apoyos como parte de su política económica y social, de acuerdo a las estrategias y prioridades de desarrollo para el sostenimiento y desempeño de sus actividades. </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5000 BIENES MUEBLES, INMUEBLES E INTANGIBLES</w:t>
      </w:r>
      <w:r w:rsidRPr="00816A2B">
        <w:rPr>
          <w:rFonts w:ascii="Palatino Linotype" w:eastAsia="Palatino Linotype" w:hAnsi="Palatino Linotype" w:cs="Palatino Linotype"/>
        </w:rPr>
        <w:t xml:space="preserve">. Agrupa las asignaciones destinadas a la adquisición de toda clase de bienes muebles e inmuebles requeridos en el </w:t>
      </w:r>
      <w:r w:rsidRPr="00816A2B">
        <w:rPr>
          <w:rFonts w:ascii="Palatino Linotype" w:eastAsia="Palatino Linotype" w:hAnsi="Palatino Linotype" w:cs="Palatino Linotype"/>
        </w:rPr>
        <w:lastRenderedPageBreak/>
        <w:t xml:space="preserve">desempeño de las actividades de los entes públicos. Incluye los pagos por adjudicación, expropiación e indemnización de bienes muebles e inmuebles a favor del Gobierno. </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6000 INVERSIÓN PÚBLICA</w:t>
      </w:r>
      <w:r w:rsidRPr="00816A2B">
        <w:rPr>
          <w:rFonts w:ascii="Palatino Linotype" w:eastAsia="Palatino Linotype" w:hAnsi="Palatino Linotype" w:cs="Palatino Linotype"/>
        </w:rPr>
        <w:t xml:space="preserve">. </w:t>
      </w:r>
      <w:r w:rsidRPr="00816A2B">
        <w:rPr>
          <w:rFonts w:ascii="Palatino Linotype" w:eastAsia="Palatino Linotype" w:hAnsi="Palatino Linotype" w:cs="Palatino Linotype"/>
          <w:b/>
        </w:rPr>
        <w:t>Asignaciones destinadas a obras por contrato</w:t>
      </w:r>
      <w:r w:rsidRPr="00816A2B">
        <w:rPr>
          <w:rFonts w:ascii="Palatino Linotype" w:eastAsia="Palatino Linotype" w:hAnsi="Palatino Linotype" w:cs="Palatino Linotype"/>
        </w:rPr>
        <w:t xml:space="preserve"> y proyectos productivos y acciones de fomento. Incluye los gastos en estudios de pre‐inversión y preparación del proyecto.</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7000 INVERSIONES FINANCIERAS Y OTRAS PROVISIONES</w:t>
      </w:r>
      <w:r w:rsidRPr="00816A2B">
        <w:rPr>
          <w:rFonts w:ascii="Palatino Linotype" w:eastAsia="Palatino Linotype" w:hAnsi="Palatino Linotype" w:cs="Palatino Linotype"/>
        </w:rPr>
        <w:t>. Erogaciones que realiza la administración pública en la adquisición de acciones, bonos y otros títulos y valores; así como en préstamos otorgados a diversos agentes económicos. Se incluyen las aportaciones de capital a las entidades públicas; así como las erogaciones contingentes e imprevistas para el cumplimiento de obligaciones del Gobierno.</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rPr>
      </w:pPr>
      <w:r w:rsidRPr="00816A2B">
        <w:rPr>
          <w:rFonts w:ascii="Palatino Linotype" w:eastAsia="Palatino Linotype" w:hAnsi="Palatino Linotype" w:cs="Palatino Linotype"/>
          <w:b/>
        </w:rPr>
        <w:t>8000 PARTICIPACIONES Y APORTACIONES.</w:t>
      </w:r>
      <w:r w:rsidRPr="00816A2B">
        <w:rPr>
          <w:rFonts w:ascii="Palatino Linotype" w:eastAsia="Palatino Linotype" w:hAnsi="Palatino Linotype" w:cs="Palatino Linotype"/>
        </w:rPr>
        <w:t xml:space="preserve"> Agrupa el importe de los recursos federales y estatales para cubrir las participaciones en ingresos federales a Municipios provenientes de la recaudación federal, así como las asignaciones destinadas a los Municipios de acuerdo a los convenios de coordinación fiscal que celebre el Gobierno Federal con el Estado. Incluye las asignaciones a cubrir las aportaciones federales provenientes del Ramo General 33 Aportaciones Federales para Entidades Federativas y Municipios a favor de los Municipios. </w:t>
      </w:r>
    </w:p>
    <w:p w:rsidR="0037699F" w:rsidRPr="00816A2B" w:rsidRDefault="0037699F" w:rsidP="0037699F">
      <w:pPr>
        <w:pBdr>
          <w:top w:val="nil"/>
          <w:left w:val="nil"/>
          <w:bottom w:val="nil"/>
          <w:right w:val="nil"/>
          <w:between w:val="nil"/>
        </w:pBdr>
        <w:spacing w:before="240" w:after="240" w:line="276" w:lineRule="auto"/>
        <w:ind w:left="284" w:right="27"/>
        <w:jc w:val="both"/>
        <w:rPr>
          <w:rFonts w:ascii="Palatino Linotype" w:eastAsia="Palatino Linotype" w:hAnsi="Palatino Linotype" w:cs="Palatino Linotype"/>
          <w:b/>
        </w:rPr>
      </w:pPr>
      <w:r w:rsidRPr="00816A2B">
        <w:rPr>
          <w:rFonts w:ascii="Palatino Linotype" w:eastAsia="Palatino Linotype" w:hAnsi="Palatino Linotype" w:cs="Palatino Linotype"/>
          <w:b/>
        </w:rPr>
        <w:t>9000 DEUDA PÚBLICA</w:t>
      </w:r>
      <w:r w:rsidRPr="00816A2B">
        <w:rPr>
          <w:rFonts w:ascii="Palatino Linotype" w:eastAsia="Palatino Linotype" w:hAnsi="Palatino Linotype" w:cs="Palatino Linotype"/>
        </w:rPr>
        <w:t>. Asignaciones destinadas a cubrir obligaciones por concepto de deuda pública interna y externa derivada de la contratación de empréstitos; incluye la amortización, los intereses, gastos y comisiones de la deuda pública, así como las erogaciones relacionadas con la emisión y/o contratación de deuda. Asimismo, incluye los adeudos de ejercicios fiscales anteriores (ADEFAS).</w:t>
      </w: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Por su parte, el Código Financiero del Estado de México, en su artículo 285, señala que el presupuesto de egresos constituye el instrumento jurídico, de política económica y de política de gasto, que aprueba la Legislatura conforme a la iniciativa que presenta el Gobernador, en el cual se establece el ejercicio, control del gasto público y evaluación del desempeño de los Entes Públicos, de acuerdo con su naturaleza jurídica y según corresponda, </w:t>
      </w:r>
      <w:r w:rsidRPr="00816A2B">
        <w:rPr>
          <w:rFonts w:ascii="Palatino Linotype" w:eastAsia="Palatino Linotype" w:hAnsi="Palatino Linotype" w:cs="Palatino Linotype"/>
        </w:rPr>
        <w:lastRenderedPageBreak/>
        <w:t>con base en los objetivos, parámetros e indicadores de desempeño y programas derivados del Plan de Desarrollo del Estado de México, durante el ejercicio fiscal correspondiente y en apego a lo establec</w:t>
      </w:r>
      <w:r w:rsidR="00E46E89" w:rsidRPr="00816A2B">
        <w:rPr>
          <w:rFonts w:ascii="Palatino Linotype" w:eastAsia="Palatino Linotype" w:hAnsi="Palatino Linotype" w:cs="Palatino Linotype"/>
        </w:rPr>
        <w:t>ido en la legislación aplicable.</w:t>
      </w:r>
    </w:p>
    <w:p w:rsidR="00E46E89" w:rsidRPr="00816A2B" w:rsidRDefault="00E46E89" w:rsidP="00E46E89">
      <w:pPr>
        <w:pStyle w:val="Prrafodelista"/>
        <w:pBdr>
          <w:top w:val="nil"/>
          <w:left w:val="nil"/>
          <w:bottom w:val="nil"/>
          <w:right w:val="nil"/>
          <w:between w:val="nil"/>
        </w:pBdr>
        <w:spacing w:before="240" w:after="240" w:line="360" w:lineRule="auto"/>
        <w:ind w:left="0" w:right="27"/>
        <w:jc w:val="both"/>
        <w:rPr>
          <w:rFonts w:ascii="Palatino Linotype" w:eastAsia="Palatino Linotype" w:hAnsi="Palatino Linotype" w:cs="Palatino Linotype"/>
        </w:rPr>
      </w:pPr>
    </w:p>
    <w:p w:rsidR="0037699F"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En el mismo sentido, el Manual para la Planeación, Programación y Presupuesto de Egresos Municipal para el ejercicio fiscal 2025, en el marco conceptual, numeral 1.2, define al presupuesto de la siguiente forma:</w:t>
      </w:r>
    </w:p>
    <w:p w:rsidR="0037699F" w:rsidRPr="00816A2B" w:rsidRDefault="0037699F" w:rsidP="00E46E89">
      <w:pPr>
        <w:spacing w:before="120" w:after="120"/>
        <w:ind w:left="567" w:right="567"/>
        <w:jc w:val="both"/>
        <w:rPr>
          <w:rFonts w:ascii="Palatino Linotype" w:eastAsia="Palatino Linotype" w:hAnsi="Palatino Linotype" w:cs="Palatino Linotype"/>
          <w:b/>
          <w:i/>
        </w:rPr>
      </w:pPr>
      <w:r w:rsidRPr="00816A2B">
        <w:rPr>
          <w:rFonts w:ascii="Palatino Linotype" w:eastAsia="Palatino Linotype" w:hAnsi="Palatino Linotype" w:cs="Palatino Linotype"/>
          <w:i/>
        </w:rPr>
        <w:t xml:space="preserve">“Con base en lo que establece el artículo 285 del Código Financiero del Estado de México y Municipios, el </w:t>
      </w:r>
      <w:r w:rsidRPr="00816A2B">
        <w:rPr>
          <w:rFonts w:ascii="Palatino Linotype" w:eastAsia="Palatino Linotype" w:hAnsi="Palatino Linotype" w:cs="Palatino Linotype"/>
          <w:b/>
          <w:i/>
        </w:rPr>
        <w:t>Presupuesto de Egresos Municipal</w:t>
      </w:r>
      <w:r w:rsidRPr="00816A2B">
        <w:rPr>
          <w:rFonts w:ascii="Palatino Linotype" w:eastAsia="Palatino Linotype" w:hAnsi="Palatino Linotype" w:cs="Palatino Linotype"/>
          <w:i/>
        </w:rPr>
        <w:t xml:space="preserve"> se conceptualiza como </w:t>
      </w:r>
      <w:r w:rsidRPr="00816A2B">
        <w:rPr>
          <w:rFonts w:ascii="Palatino Linotype" w:eastAsia="Palatino Linotype" w:hAnsi="Palatino Linotype" w:cs="Palatino Linotype"/>
          <w:b/>
          <w:i/>
        </w:rPr>
        <w:t>el instrumento jurídico, de política económica y de política de gasto, que aprueba el Cabildo, conforme a la propuesta que presenta el C. Presidente Municipal, en el cual se establece el ejercicio, control y evaluación del gasto público de las Dependencias Administrativas y Organismos Municipales Descentralizados, a través de los programas derivados del Plan de Desarrollo Municipal (PDM),</w:t>
      </w:r>
      <w:r w:rsidRPr="00816A2B">
        <w:rPr>
          <w:rFonts w:ascii="Palatino Linotype" w:eastAsia="Palatino Linotype" w:hAnsi="Palatino Linotype" w:cs="Palatino Linotype"/>
          <w:i/>
        </w:rPr>
        <w:t xml:space="preserve"> </w:t>
      </w:r>
      <w:r w:rsidRPr="00816A2B">
        <w:rPr>
          <w:rFonts w:ascii="Palatino Linotype" w:eastAsia="Palatino Linotype" w:hAnsi="Palatino Linotype" w:cs="Palatino Linotype"/>
          <w:b/>
          <w:i/>
        </w:rPr>
        <w:t xml:space="preserve">durante el ejercicio fiscal correspondiente. </w:t>
      </w:r>
    </w:p>
    <w:p w:rsidR="0037699F" w:rsidRDefault="0037699F" w:rsidP="00E46E89">
      <w:pPr>
        <w:spacing w:before="120" w:after="120"/>
        <w:ind w:left="567" w:right="567"/>
        <w:jc w:val="both"/>
        <w:rPr>
          <w:rFonts w:ascii="Palatino Linotype" w:eastAsia="Palatino Linotype" w:hAnsi="Palatino Linotype" w:cs="Palatino Linotype"/>
          <w:i/>
        </w:rPr>
      </w:pPr>
      <w:r w:rsidRPr="00816A2B">
        <w:rPr>
          <w:rFonts w:ascii="Palatino Linotype" w:eastAsia="Palatino Linotype" w:hAnsi="Palatino Linotype" w:cs="Palatino Linotype"/>
          <w:i/>
        </w:rPr>
        <w:t xml:space="preserve">Para efecto de este Manual, </w:t>
      </w:r>
      <w:r w:rsidRPr="00816A2B">
        <w:rPr>
          <w:rFonts w:ascii="Palatino Linotype" w:eastAsia="Palatino Linotype" w:hAnsi="Palatino Linotype" w:cs="Palatino Linotype"/>
          <w:b/>
          <w:i/>
        </w:rPr>
        <w:t xml:space="preserve">el presupuesto es la estimación financiera anticipada, generalmente anual, de los ingresos y egresos del gobierno, necesarios para cumplir con los objetivos establecidos en los planes, programas y proyectos determinados. </w:t>
      </w:r>
      <w:r w:rsidRPr="00816A2B">
        <w:rPr>
          <w:rFonts w:ascii="Palatino Linotype" w:eastAsia="Palatino Linotype" w:hAnsi="Palatino Linotype" w:cs="Palatino Linotype"/>
          <w:i/>
        </w:rPr>
        <w:t xml:space="preserve">Asimismo, constituye el instrumento operativo básico para la ejecución de las decisiones de política económica y de planeación. </w:t>
      </w:r>
      <w:r w:rsidRPr="00816A2B">
        <w:rPr>
          <w:rFonts w:ascii="Palatino Linotype" w:eastAsia="Palatino Linotype" w:hAnsi="Palatino Linotype" w:cs="Palatino Linotype"/>
          <w:b/>
          <w:i/>
        </w:rPr>
        <w:t>El presupuesto público involucra los planes, políticas, programas, proyectos, estrategias y objetivos del municipio, como medio efectivo de control del gasto público y en ellos se fundamentan las diferentes alternativas de asignación de recursos para gastos e inversiones</w:t>
      </w:r>
      <w:r w:rsidRPr="00816A2B">
        <w:rPr>
          <w:rFonts w:ascii="Palatino Linotype" w:eastAsia="Palatino Linotype" w:hAnsi="Palatino Linotype" w:cs="Palatino Linotype"/>
          <w:i/>
        </w:rPr>
        <w:t>.”</w:t>
      </w:r>
    </w:p>
    <w:p w:rsidR="00816A2B" w:rsidRPr="00816A2B" w:rsidRDefault="00816A2B" w:rsidP="00E46E89">
      <w:pPr>
        <w:spacing w:before="120" w:after="120"/>
        <w:ind w:left="567" w:right="567"/>
        <w:jc w:val="both"/>
        <w:rPr>
          <w:rFonts w:ascii="Palatino Linotype" w:eastAsia="Palatino Linotype" w:hAnsi="Palatino Linotype" w:cs="Palatino Linotype"/>
          <w:i/>
        </w:rPr>
      </w:pPr>
    </w:p>
    <w:p w:rsidR="0037699F" w:rsidRPr="00816A2B" w:rsidRDefault="0037699F" w:rsidP="00E46E89">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Asimismo, resulta pertinente señalar que, de conformidad con el Manual para la Planeación, Programación y Presupuesto de Egresos Municipal, los formatos que integran el presupuesto de egresos municipal son los siguientes: </w:t>
      </w:r>
    </w:p>
    <w:p w:rsidR="0037699F" w:rsidRDefault="0037699F" w:rsidP="0037699F">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r w:rsidRPr="00816A2B">
        <w:rPr>
          <w:rFonts w:ascii="Palatino Linotype" w:hAnsi="Palatino Linotype"/>
          <w:noProof/>
          <w:lang w:val="es-MX"/>
        </w:rPr>
        <w:lastRenderedPageBreak/>
        <w:drawing>
          <wp:inline distT="0" distB="0" distL="0" distR="0" wp14:anchorId="300A1931" wp14:editId="0E753DBA">
            <wp:extent cx="4320000" cy="3503743"/>
            <wp:effectExtent l="0" t="0" r="4445" b="1905"/>
            <wp:docPr id="2054825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825869" name=""/>
                    <pic:cNvPicPr/>
                  </pic:nvPicPr>
                  <pic:blipFill>
                    <a:blip r:embed="rId8"/>
                    <a:stretch>
                      <a:fillRect/>
                    </a:stretch>
                  </pic:blipFill>
                  <pic:spPr>
                    <a:xfrm>
                      <a:off x="0" y="0"/>
                      <a:ext cx="4320000" cy="3503743"/>
                    </a:xfrm>
                    <a:prstGeom prst="rect">
                      <a:avLst/>
                    </a:prstGeom>
                  </pic:spPr>
                </pic:pic>
              </a:graphicData>
            </a:graphic>
          </wp:inline>
        </w:drawing>
      </w:r>
    </w:p>
    <w:p w:rsidR="00816A2B" w:rsidRPr="00816A2B" w:rsidRDefault="00816A2B" w:rsidP="0037699F">
      <w:pPr>
        <w:pBdr>
          <w:top w:val="nil"/>
          <w:left w:val="nil"/>
          <w:bottom w:val="nil"/>
          <w:right w:val="nil"/>
          <w:between w:val="nil"/>
        </w:pBdr>
        <w:spacing w:before="240" w:after="240" w:line="360" w:lineRule="auto"/>
        <w:ind w:right="27"/>
        <w:jc w:val="center"/>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Para iniciar con el llenado de los formatos que integran el Programa Anual se deberá llenar el formato </w:t>
      </w:r>
      <w:r w:rsidRPr="00816A2B">
        <w:rPr>
          <w:rFonts w:ascii="Palatino Linotype" w:eastAsia="Palatino Linotype" w:hAnsi="Palatino Linotype" w:cs="Palatino Linotype"/>
          <w:b/>
          <w:bCs/>
        </w:rPr>
        <w:t>PbRM-01a “Dimensión Administrativa del Gasto”,</w:t>
      </w:r>
      <w:r w:rsidRPr="00816A2B">
        <w:rPr>
          <w:rFonts w:ascii="Palatino Linotype" w:eastAsia="Palatino Linotype" w:hAnsi="Palatino Linotype" w:cs="Palatino Linotype"/>
        </w:rPr>
        <w:t xml:space="preserve"> el cual tiene como propósito identificar a nivel de estructura administrativa los programas y proyectos de los cuales se responsabiliza cada una de las Dependencias y Organismos municipales, se continua con el llenado del formato </w:t>
      </w:r>
      <w:r w:rsidRPr="00816A2B">
        <w:rPr>
          <w:rFonts w:ascii="Palatino Linotype" w:eastAsia="Palatino Linotype" w:hAnsi="Palatino Linotype" w:cs="Palatino Linotype"/>
          <w:b/>
          <w:bCs/>
        </w:rPr>
        <w:t>PbRM-01b “Descripción del Programa presupuestario”</w:t>
      </w:r>
      <w:r w:rsidRPr="00816A2B">
        <w:rPr>
          <w:rFonts w:ascii="Palatino Linotype" w:eastAsia="Palatino Linotype" w:hAnsi="Palatino Linotype" w:cs="Palatino Linotype"/>
        </w:rPr>
        <w:t>, mismo que tiene como propósito, identificar el diagnóstico del entorno de responsabilidad del programa respectivo para sustentar y justificar la asignación del presupuesto del ejercicio fiscal 2025, definir los objetivos que se pretenden alcanzar y establecer las estrategias que serán aplicadas para dar viabilidad al logro de dichos objetivos.</w:t>
      </w:r>
    </w:p>
    <w:p w:rsidR="00E46E89" w:rsidRPr="00816A2B" w:rsidRDefault="00E46E89" w:rsidP="00E46E89">
      <w:pPr>
        <w:pStyle w:val="Prrafodelista"/>
        <w:pBdr>
          <w:top w:val="nil"/>
          <w:left w:val="nil"/>
          <w:bottom w:val="nil"/>
          <w:right w:val="nil"/>
          <w:between w:val="nil"/>
        </w:pBdr>
        <w:spacing w:before="240" w:after="240" w:line="360" w:lineRule="auto"/>
        <w:ind w:left="0" w:right="27"/>
        <w:jc w:val="both"/>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lastRenderedPageBreak/>
        <w:t xml:space="preserve">El formato </w:t>
      </w:r>
      <w:r w:rsidRPr="00816A2B">
        <w:rPr>
          <w:rFonts w:ascii="Palatino Linotype" w:eastAsia="Palatino Linotype" w:hAnsi="Palatino Linotype" w:cs="Palatino Linotype"/>
          <w:b/>
          <w:bCs/>
        </w:rPr>
        <w:t>PbRM-01c “Programa Anual de Metas de actividad por Proyecto”,</w:t>
      </w:r>
      <w:r w:rsidRPr="00816A2B">
        <w:rPr>
          <w:rFonts w:ascii="Palatino Linotype" w:eastAsia="Palatino Linotype" w:hAnsi="Palatino Linotype" w:cs="Palatino Linotype"/>
        </w:rPr>
        <w:t xml:space="preserve"> tiene como propósito establecer las acciones sustantivas para cada proyecto, mismas que deberán reflejar la diferencia entre el cumplimiento alcanzado durante el ejercicio fiscal 2024 y las cifras programadas que se estimen alcanzar en el ejercicio 2025.</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formato </w:t>
      </w:r>
      <w:r w:rsidRPr="00816A2B">
        <w:rPr>
          <w:rFonts w:ascii="Palatino Linotype" w:eastAsia="Palatino Linotype" w:hAnsi="Palatino Linotype" w:cs="Palatino Linotype"/>
          <w:b/>
          <w:bCs/>
        </w:rPr>
        <w:t>PbRM-01d “Ficha técnica de diseño de indicadores estratégicos o de gestión 2025”</w:t>
      </w:r>
      <w:r w:rsidRPr="00816A2B">
        <w:rPr>
          <w:rFonts w:ascii="Palatino Linotype" w:eastAsia="Palatino Linotype" w:hAnsi="Palatino Linotype" w:cs="Palatino Linotype"/>
        </w:rPr>
        <w:t xml:space="preserve">, tiene como finalidad el registro de los indicadores de gestión que se manejan en el SEGEMUN, mismos que deberán estar vinculados directamente a las metas programadas en el formato </w:t>
      </w:r>
      <w:r w:rsidRPr="00816A2B">
        <w:rPr>
          <w:rFonts w:ascii="Palatino Linotype" w:eastAsia="Palatino Linotype" w:hAnsi="Palatino Linotype" w:cs="Palatino Linotype"/>
          <w:b/>
          <w:bCs/>
        </w:rPr>
        <w:t>PbRM-01e “Matriz de Indicadores para Resultados por Programa presupuestario y Dependencia General”.</w:t>
      </w:r>
      <w:r w:rsidRPr="00816A2B">
        <w:rPr>
          <w:rFonts w:ascii="Palatino Linotype" w:eastAsia="Palatino Linotype" w:hAnsi="Palatino Linotype" w:cs="Palatino Linotype"/>
        </w:rPr>
        <w:t xml:space="preserve"> Estos indicadores están alineados a nivel estratégico o de gestión. El formato PbRM-01e tiene relación con el formato PbRM-01d, ya que su finalidad consiste en conjuntar la totalidad de los indicadores que permitan identificar el logro o beneficio que se espera alcanzar, y que, a través de los procesos de evaluación, se medirán para conocer el nivel de cumplimiento de los objetivos y metas de cada uno de los Programas presupuestarios que comprende el programa anual del ejercicio fiscal 2025.</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formato </w:t>
      </w:r>
      <w:r w:rsidRPr="00816A2B">
        <w:rPr>
          <w:rFonts w:ascii="Palatino Linotype" w:eastAsia="Palatino Linotype" w:hAnsi="Palatino Linotype" w:cs="Palatino Linotype"/>
          <w:b/>
          <w:bCs/>
        </w:rPr>
        <w:t>PbRM-02a “Calendarización de metas de actividad”,</w:t>
      </w:r>
      <w:r w:rsidRPr="00816A2B">
        <w:rPr>
          <w:rFonts w:ascii="Palatino Linotype" w:eastAsia="Palatino Linotype" w:hAnsi="Palatino Linotype" w:cs="Palatino Linotype"/>
        </w:rPr>
        <w:t xml:space="preserve"> tiene por objeto identificar trimestralmente la ejecución de la meta anual, la cual proviene del formato PbRM-01c, con el propósito de dar seguimiento a lo programado y tomar en su caso las medidas correctivas para evitar su desviación.</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el formato </w:t>
      </w:r>
      <w:r w:rsidRPr="00816A2B">
        <w:rPr>
          <w:rFonts w:ascii="Palatino Linotype" w:eastAsia="Palatino Linotype" w:hAnsi="Palatino Linotype" w:cs="Palatino Linotype"/>
          <w:b/>
          <w:bCs/>
        </w:rPr>
        <w:t xml:space="preserve">PbRM-03a“Presupuesto de Ingresos Detallado”, </w:t>
      </w:r>
      <w:r w:rsidRPr="00816A2B">
        <w:rPr>
          <w:rFonts w:ascii="Palatino Linotype" w:eastAsia="Palatino Linotype" w:hAnsi="Palatino Linotype" w:cs="Palatino Linotype"/>
        </w:rPr>
        <w:t>se deben</w:t>
      </w:r>
      <w:r w:rsidRPr="00816A2B">
        <w:rPr>
          <w:rFonts w:ascii="Palatino Linotype" w:eastAsia="Palatino Linotype" w:hAnsi="Palatino Linotype" w:cs="Palatino Linotype"/>
          <w:b/>
          <w:bCs/>
        </w:rPr>
        <w:t xml:space="preserve"> </w:t>
      </w:r>
      <w:r w:rsidRPr="00816A2B">
        <w:rPr>
          <w:rFonts w:ascii="Palatino Linotype" w:eastAsia="Palatino Linotype" w:hAnsi="Palatino Linotype" w:cs="Palatino Linotype"/>
        </w:rPr>
        <w:t xml:space="preserve">registrar los ingresos que se estiman recaudar para el siguiente ejercicio, antes de la publicación de la Ley </w:t>
      </w:r>
      <w:r w:rsidRPr="00816A2B">
        <w:rPr>
          <w:rFonts w:ascii="Palatino Linotype" w:eastAsia="Palatino Linotype" w:hAnsi="Palatino Linotype" w:cs="Palatino Linotype"/>
        </w:rPr>
        <w:lastRenderedPageBreak/>
        <w:t>de Ingresos, Participaciones Federales y Programas Federales y Estatales, el cual servirá como base para comunicar los techos financieros a cada una de las Dependencias Generales.</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formato </w:t>
      </w:r>
      <w:r w:rsidRPr="00816A2B">
        <w:rPr>
          <w:rFonts w:ascii="Palatino Linotype" w:eastAsia="Palatino Linotype" w:hAnsi="Palatino Linotype" w:cs="Palatino Linotype"/>
          <w:b/>
          <w:bCs/>
        </w:rPr>
        <w:t>PbRM-03b “Carátula de Presupuesto de Ingresos”</w:t>
      </w:r>
      <w:r w:rsidRPr="00816A2B">
        <w:rPr>
          <w:rFonts w:ascii="Palatino Linotype" w:eastAsia="Palatino Linotype" w:hAnsi="Palatino Linotype" w:cs="Palatino Linotype"/>
        </w:rPr>
        <w:t xml:space="preserve"> tiene por objeto presentar a nivel capítulo el total del Presupuesto Autorizado de Ingresos del Municipio para el ejercicio presupuestal. El cual se integra con los datos globales del formato PbRM 03a Ingreso detallado.</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En el formato</w:t>
      </w:r>
      <w:r w:rsidRPr="00816A2B">
        <w:rPr>
          <w:rFonts w:ascii="Palatino Linotype" w:eastAsia="Palatino Linotype" w:hAnsi="Palatino Linotype" w:cs="Palatino Linotype"/>
          <w:b/>
          <w:bCs/>
        </w:rPr>
        <w:t xml:space="preserve"> PbRM-04a “Presupuesto de Egresos Detallado" </w:t>
      </w:r>
      <w:r w:rsidRPr="00816A2B">
        <w:rPr>
          <w:rFonts w:ascii="Palatino Linotype" w:eastAsia="Palatino Linotype" w:hAnsi="Palatino Linotype" w:cs="Palatino Linotype"/>
        </w:rPr>
        <w:t>se identificar el gasto total según el clasificador por objeto del gasto y su programación durante el ejercicio presupuestal correspondiente.</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Formato </w:t>
      </w:r>
      <w:r w:rsidRPr="00816A2B">
        <w:rPr>
          <w:rFonts w:ascii="Palatino Linotype" w:eastAsia="Palatino Linotype" w:hAnsi="Palatino Linotype" w:cs="Palatino Linotype"/>
          <w:b/>
          <w:bCs/>
        </w:rPr>
        <w:t>PbRM-04b “Presupuesto de Egresos por Objeto del Gasto y Dependencia General”</w:t>
      </w:r>
      <w:r w:rsidRPr="00816A2B">
        <w:rPr>
          <w:rFonts w:ascii="Palatino Linotype" w:eastAsia="Palatino Linotype" w:hAnsi="Palatino Linotype" w:cs="Palatino Linotype"/>
        </w:rPr>
        <w:t xml:space="preserve"> identifica del gasto a nivel de dependencia general por partida del gasto, con calendarización mensual y total anual.</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el formato </w:t>
      </w:r>
      <w:r w:rsidRPr="00816A2B">
        <w:rPr>
          <w:rFonts w:ascii="Palatino Linotype" w:eastAsia="Palatino Linotype" w:hAnsi="Palatino Linotype" w:cs="Palatino Linotype"/>
          <w:b/>
          <w:bCs/>
        </w:rPr>
        <w:t>PbRM-04c Presupuesto de Egresos Global Calendarizado</w:t>
      </w:r>
      <w:r w:rsidRPr="00816A2B">
        <w:rPr>
          <w:rFonts w:ascii="Palatino Linotype" w:eastAsia="Palatino Linotype" w:hAnsi="Palatino Linotype" w:cs="Palatino Linotype"/>
        </w:rPr>
        <w:t xml:space="preserve"> se identifica el gasto total según el clasificador por objeto del gasto y su programación durante todo el ejercicio presupuestal.</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el </w:t>
      </w:r>
      <w:r w:rsidRPr="00816A2B">
        <w:rPr>
          <w:rFonts w:ascii="Palatino Linotype" w:eastAsia="Palatino Linotype" w:hAnsi="Palatino Linotype" w:cs="Palatino Linotype"/>
          <w:b/>
          <w:bCs/>
        </w:rPr>
        <w:t xml:space="preserve">formato PbRM-04d “Carátula de presupuesto de egresos” </w:t>
      </w:r>
      <w:r w:rsidRPr="00816A2B">
        <w:rPr>
          <w:rFonts w:ascii="Palatino Linotype" w:eastAsia="Palatino Linotype" w:hAnsi="Palatino Linotype" w:cs="Palatino Linotype"/>
        </w:rPr>
        <w:t>se</w:t>
      </w:r>
      <w:r w:rsidRPr="00816A2B">
        <w:rPr>
          <w:rFonts w:ascii="Palatino Linotype" w:eastAsia="Palatino Linotype" w:hAnsi="Palatino Linotype" w:cs="Palatino Linotype"/>
          <w:b/>
          <w:bCs/>
        </w:rPr>
        <w:t xml:space="preserve"> </w:t>
      </w:r>
      <w:r w:rsidRPr="00816A2B">
        <w:rPr>
          <w:rFonts w:ascii="Palatino Linotype" w:eastAsia="Palatino Linotype" w:hAnsi="Palatino Linotype" w:cs="Palatino Linotype"/>
        </w:rPr>
        <w:t>presenta a nivel capítulo, el total del Presupuesto Autorizado de Egresos del Municipio para el ejercicio presupuestal que se proyectará tomando como antecedente los dos ejercicios anteriores.</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lastRenderedPageBreak/>
        <w:t xml:space="preserve">El formato </w:t>
      </w:r>
      <w:r w:rsidRPr="00816A2B">
        <w:rPr>
          <w:rFonts w:ascii="Palatino Linotype" w:eastAsia="Palatino Linotype" w:hAnsi="Palatino Linotype" w:cs="Palatino Linotype"/>
          <w:b/>
          <w:bCs/>
        </w:rPr>
        <w:t>PbRM-05 “Tabulador de Sueldos Formato</w:t>
      </w:r>
      <w:r w:rsidRPr="00816A2B">
        <w:rPr>
          <w:rFonts w:ascii="Palatino Linotype" w:eastAsia="Palatino Linotype" w:hAnsi="Palatino Linotype" w:cs="Palatino Linotype"/>
        </w:rPr>
        <w:t>” registrar las remuneraciones que se perciben por el empleo, cargo o comisión de cualquier naturaleza por los servidores públicos municipales.</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El formato</w:t>
      </w:r>
      <w:r w:rsidRPr="00816A2B">
        <w:rPr>
          <w:rFonts w:ascii="Palatino Linotype" w:eastAsia="Palatino Linotype" w:hAnsi="Palatino Linotype" w:cs="Palatino Linotype"/>
          <w:b/>
          <w:bCs/>
        </w:rPr>
        <w:t xml:space="preserve"> PbRM-06 “Programa Anual de Adquisiciones”, </w:t>
      </w:r>
      <w:r w:rsidRPr="00816A2B">
        <w:rPr>
          <w:rFonts w:ascii="Palatino Linotype" w:eastAsia="Palatino Linotype" w:hAnsi="Palatino Linotype" w:cs="Palatino Linotype"/>
        </w:rPr>
        <w:t>describe de manera precisa a nivel de capítulo, concepto, partida genérica y partida específica presupuestal, el gasto que el ayuntamiento realice por concepto de adquisiciones directas a nivel de proyecto, los capítulos que básicamente se plasmarán en este formato son los referidos a Materiales y Suministros, Servicios Generales y Bienes Muebles, Inmuebles e Intangibles.</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El formato </w:t>
      </w:r>
      <w:r w:rsidRPr="00816A2B">
        <w:rPr>
          <w:rFonts w:ascii="Palatino Linotype" w:eastAsia="Palatino Linotype" w:hAnsi="Palatino Linotype" w:cs="Palatino Linotype"/>
          <w:b/>
          <w:bCs/>
        </w:rPr>
        <w:t>PbRM-07a</w:t>
      </w:r>
      <w:r w:rsidRPr="00816A2B">
        <w:rPr>
          <w:rFonts w:ascii="Palatino Linotype" w:eastAsia="Palatino Linotype" w:hAnsi="Palatino Linotype" w:cs="Palatino Linotype"/>
        </w:rPr>
        <w:t xml:space="preserve"> “</w:t>
      </w:r>
      <w:r w:rsidRPr="00816A2B">
        <w:rPr>
          <w:rFonts w:ascii="Palatino Linotype" w:eastAsia="Palatino Linotype" w:hAnsi="Palatino Linotype" w:cs="Palatino Linotype"/>
          <w:b/>
          <w:bCs/>
        </w:rPr>
        <w:t xml:space="preserve">Programa Anual de Obra” </w:t>
      </w:r>
      <w:r w:rsidRPr="00816A2B">
        <w:rPr>
          <w:rFonts w:ascii="Palatino Linotype" w:eastAsia="Palatino Linotype" w:hAnsi="Palatino Linotype" w:cs="Palatino Linotype"/>
        </w:rPr>
        <w:t>especifica de manera precisa el período de ejecución y presupuesto ejercido de la obra pública de que se trate; así como la fuente de financiamiento con la que ésta se llevará a cabo.</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37699F">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El formato</w:t>
      </w:r>
      <w:r w:rsidRPr="00816A2B">
        <w:rPr>
          <w:rFonts w:ascii="Palatino Linotype" w:eastAsia="Palatino Linotype" w:hAnsi="Palatino Linotype" w:cs="Palatino Linotype"/>
          <w:b/>
          <w:bCs/>
        </w:rPr>
        <w:t xml:space="preserve"> </w:t>
      </w:r>
      <w:r w:rsidRPr="00816A2B">
        <w:rPr>
          <w:rFonts w:ascii="Palatino Linotype" w:eastAsia="Palatino Linotype" w:hAnsi="Palatino Linotype" w:cs="Palatino Linotype"/>
        </w:rPr>
        <w:t>especifica de manera precisa el periodo de ejecución y el presupuesto que destina el ayuntamiento por concepto de Reparaciones y Mantenimiento; así como la fuente de financiamiento con la que ésta se llevará a cabo.</w:t>
      </w:r>
    </w:p>
    <w:p w:rsidR="00E46E89" w:rsidRPr="00816A2B" w:rsidRDefault="00E46E89" w:rsidP="00E46E89">
      <w:pPr>
        <w:pStyle w:val="Prrafodelista"/>
        <w:rPr>
          <w:rFonts w:ascii="Palatino Linotype" w:eastAsia="Palatino Linotype" w:hAnsi="Palatino Linotype" w:cs="Palatino Linotype"/>
        </w:rPr>
      </w:pPr>
    </w:p>
    <w:p w:rsidR="00E46E89" w:rsidRPr="00816A2B" w:rsidRDefault="0037699F" w:rsidP="00E46E89">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Además de lo anterior, es oportuno mencionar que el “Clasificador por objeto del gasto” contenido en el Manual para la Planeación, Programación y Presupuesto de Egresos Municipal, constituye un elemento fundamental del sistema general de cuentas donde cada componente destaca aspectos concretos del presupuesto y suministra información que atiende a necesidades diferentes pero enlazadas, permitiendo el vínculo con la contabilidad, es decir, que se trata de un instrumento que permite la obtención de información para el análisis y seguimiento de la gestión financiera gubernamental, por lo cual permite conocer en qué se gasta y cuantificar la demanda de bienes o servicios.</w:t>
      </w:r>
    </w:p>
    <w:p w:rsidR="0037699F" w:rsidRPr="00816A2B" w:rsidRDefault="0037699F" w:rsidP="00E46E89">
      <w:pPr>
        <w:pStyle w:val="Prrafodelista"/>
        <w:numPr>
          <w:ilvl w:val="0"/>
          <w:numId w:val="5"/>
        </w:numPr>
        <w:pBdr>
          <w:top w:val="nil"/>
          <w:left w:val="nil"/>
          <w:bottom w:val="nil"/>
          <w:right w:val="nil"/>
          <w:between w:val="nil"/>
        </w:pBdr>
        <w:spacing w:before="240" w:after="24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lastRenderedPageBreak/>
        <w:t>La estructura del Clasificador, según lo previsto en el anexo del Manual, fue diseñada con un nivel de desagregación que permite que sus cuentas faciliten el registro único de todas las transacciones con incidencia económica – financiera, es por ello que la armonización se realiza a tercer digito que corresponde a la partida genérica, dejando en poder de las entidades federativas la desagregación e identificación de la partida específica, dando origen a la siguiente estructura de codificación:</w:t>
      </w:r>
    </w:p>
    <w:p w:rsidR="0037699F" w:rsidRPr="00816A2B" w:rsidRDefault="0037699F" w:rsidP="0037699F">
      <w:pPr>
        <w:spacing w:before="280" w:after="280" w:line="360" w:lineRule="auto"/>
        <w:ind w:right="27"/>
        <w:jc w:val="both"/>
        <w:rPr>
          <w:rFonts w:ascii="Palatino Linotype" w:eastAsia="Palatino Linotype" w:hAnsi="Palatino Linotype" w:cs="Palatino Linotype"/>
        </w:rPr>
      </w:pPr>
      <w:r w:rsidRPr="00816A2B">
        <w:rPr>
          <w:rFonts w:ascii="Palatino Linotype" w:hAnsi="Palatino Linotype"/>
          <w:noProof/>
          <w:lang w:val="es-MX"/>
        </w:rPr>
        <w:drawing>
          <wp:inline distT="0" distB="0" distL="0" distR="0" wp14:anchorId="42CDC2A4" wp14:editId="6AB0DEA6">
            <wp:extent cx="5612130" cy="1223010"/>
            <wp:effectExtent l="0" t="0" r="7620" b="0"/>
            <wp:docPr id="3049757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975734" name=""/>
                    <pic:cNvPicPr/>
                  </pic:nvPicPr>
                  <pic:blipFill>
                    <a:blip r:embed="rId9"/>
                    <a:stretch>
                      <a:fillRect/>
                    </a:stretch>
                  </pic:blipFill>
                  <pic:spPr>
                    <a:xfrm>
                      <a:off x="0" y="0"/>
                      <a:ext cx="5612130" cy="1223010"/>
                    </a:xfrm>
                    <a:prstGeom prst="rect">
                      <a:avLst/>
                    </a:prstGeom>
                  </pic:spPr>
                </pic:pic>
              </a:graphicData>
            </a:graphic>
          </wp:inline>
        </w:drawing>
      </w:r>
    </w:p>
    <w:p w:rsidR="0037699F" w:rsidRPr="00816A2B" w:rsidRDefault="0037699F" w:rsidP="00E46E89">
      <w:pPr>
        <w:pStyle w:val="Prrafodelista"/>
        <w:numPr>
          <w:ilvl w:val="0"/>
          <w:numId w:val="5"/>
        </w:numPr>
        <w:spacing w:before="280" w:after="280" w:line="360" w:lineRule="auto"/>
        <w:ind w:right="27"/>
        <w:jc w:val="both"/>
        <w:rPr>
          <w:rFonts w:ascii="Palatino Linotype" w:eastAsia="Palatino Linotype" w:hAnsi="Palatino Linotype" w:cs="Palatino Linotype"/>
        </w:rPr>
      </w:pPr>
      <w:r w:rsidRPr="00816A2B">
        <w:rPr>
          <w:rFonts w:ascii="Palatino Linotype" w:eastAsia="Palatino Linotype" w:hAnsi="Palatino Linotype" w:cs="Palatino Linotype"/>
        </w:rPr>
        <w:t>Debiendo definir cada una de las partes que lo integran como sigue:</w:t>
      </w:r>
    </w:p>
    <w:p w:rsidR="0037699F" w:rsidRPr="00816A2B" w:rsidRDefault="0037699F" w:rsidP="0037699F">
      <w:pPr>
        <w:numPr>
          <w:ilvl w:val="0"/>
          <w:numId w:val="26"/>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b/>
        </w:rPr>
        <w:t>Capítulo:</w:t>
      </w:r>
      <w:r w:rsidRPr="00816A2B">
        <w:rPr>
          <w:rFonts w:ascii="Palatino Linotype" w:eastAsia="Palatino Linotype" w:hAnsi="Palatino Linotype" w:cs="Palatino Linotype"/>
        </w:rPr>
        <w:t xml:space="preserve"> Es el mayor nivel de agregación que identifica el conjunto homogéneo y ordenado de los bienes y servicios requeridos por los entes públicos. </w:t>
      </w:r>
    </w:p>
    <w:p w:rsidR="0037699F" w:rsidRPr="00816A2B" w:rsidRDefault="0037699F" w:rsidP="0037699F">
      <w:pPr>
        <w:numPr>
          <w:ilvl w:val="0"/>
          <w:numId w:val="26"/>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b/>
        </w:rPr>
        <w:t>Concepto:</w:t>
      </w:r>
      <w:r w:rsidRPr="00816A2B">
        <w:rPr>
          <w:rFonts w:ascii="Palatino Linotype" w:eastAsia="Palatino Linotype" w:hAnsi="Palatino Linotype" w:cs="Palatino Linotype"/>
        </w:rPr>
        <w:t xml:space="preserve"> Son subconjuntos homogéneos y ordenados en forma específica, producto de la desagregación de los bienes y servicios, incluidos en cada capítulo. </w:t>
      </w:r>
    </w:p>
    <w:p w:rsidR="0037699F" w:rsidRPr="00816A2B" w:rsidRDefault="0037699F" w:rsidP="0037699F">
      <w:pPr>
        <w:numPr>
          <w:ilvl w:val="0"/>
          <w:numId w:val="26"/>
        </w:numPr>
        <w:pBdr>
          <w:top w:val="nil"/>
          <w:left w:val="nil"/>
          <w:bottom w:val="nil"/>
          <w:right w:val="nil"/>
          <w:between w:val="nil"/>
        </w:pBdr>
        <w:spacing w:before="120" w:after="120" w:line="360" w:lineRule="auto"/>
        <w:ind w:left="284"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b/>
        </w:rPr>
        <w:t>Partida:</w:t>
      </w:r>
      <w:r w:rsidRPr="00816A2B">
        <w:rPr>
          <w:rFonts w:ascii="Palatino Linotype" w:eastAsia="Palatino Linotype" w:hAnsi="Palatino Linotype" w:cs="Palatino Linotype"/>
        </w:rPr>
        <w:t xml:space="preserve"> Es el nivel de agregación más específico en el cual se describen las expresiones concretas y detalladas de los bienes y servicios que se adquieren y se compone de: </w:t>
      </w:r>
    </w:p>
    <w:p w:rsidR="0037699F" w:rsidRPr="00816A2B" w:rsidRDefault="0037699F" w:rsidP="0037699F">
      <w:pPr>
        <w:numPr>
          <w:ilvl w:val="0"/>
          <w:numId w:val="27"/>
        </w:numPr>
        <w:pBdr>
          <w:top w:val="nil"/>
          <w:left w:val="nil"/>
          <w:bottom w:val="nil"/>
          <w:right w:val="nil"/>
          <w:between w:val="nil"/>
        </w:pBdr>
        <w:tabs>
          <w:tab w:val="left" w:pos="851"/>
        </w:tabs>
        <w:spacing w:before="120" w:line="360" w:lineRule="auto"/>
        <w:ind w:left="567"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b/>
        </w:rPr>
        <w:t>La Partida Genérica</w:t>
      </w:r>
      <w:r w:rsidRPr="00816A2B">
        <w:rPr>
          <w:rFonts w:ascii="Palatino Linotype" w:eastAsia="Palatino Linotype" w:hAnsi="Palatino Linotype" w:cs="Palatino Linotype"/>
        </w:rPr>
        <w:t xml:space="preserve"> se refiere al tercer dígito, el cual logrará la armonización a todos los niveles de gobierno.</w:t>
      </w:r>
    </w:p>
    <w:p w:rsidR="0037699F" w:rsidRPr="00816A2B" w:rsidRDefault="0037699F" w:rsidP="0037699F">
      <w:pPr>
        <w:numPr>
          <w:ilvl w:val="0"/>
          <w:numId w:val="27"/>
        </w:numPr>
        <w:pBdr>
          <w:top w:val="nil"/>
          <w:left w:val="nil"/>
          <w:bottom w:val="nil"/>
          <w:right w:val="nil"/>
          <w:between w:val="nil"/>
        </w:pBdr>
        <w:tabs>
          <w:tab w:val="left" w:pos="851"/>
        </w:tabs>
        <w:spacing w:after="120" w:line="360" w:lineRule="auto"/>
        <w:ind w:left="567"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b/>
        </w:rPr>
        <w:t>La Partida Específica</w:t>
      </w:r>
      <w:r w:rsidRPr="00816A2B">
        <w:rPr>
          <w:rFonts w:ascii="Palatino Linotype" w:eastAsia="Palatino Linotype" w:hAnsi="Palatino Linotype" w:cs="Palatino Linotype"/>
        </w:rPr>
        <w:t xml:space="preserve"> corresponde al cuarto dígito, el cual permitirá que las unidades administrativas o instancias competentes en materia de Contabilidad Gubernamental y de Presupuesto de cada orden de gobierno, con base en sus necesidades, generen su </w:t>
      </w:r>
      <w:r w:rsidRPr="00816A2B">
        <w:rPr>
          <w:rFonts w:ascii="Palatino Linotype" w:eastAsia="Palatino Linotype" w:hAnsi="Palatino Linotype" w:cs="Palatino Linotype"/>
        </w:rPr>
        <w:lastRenderedPageBreak/>
        <w:t>apertura, conservando la estructura básica (capítulo, concepto y partida genérica), con el fin de mantener la armonización con el Plan de Cuenta.</w:t>
      </w:r>
    </w:p>
    <w:p w:rsidR="00E46E89" w:rsidRPr="00816A2B" w:rsidRDefault="0037699F" w:rsidP="00E46E89">
      <w:pPr>
        <w:pStyle w:val="Prrafodelista"/>
        <w:numPr>
          <w:ilvl w:val="0"/>
          <w:numId w:val="5"/>
        </w:numPr>
        <w:spacing w:before="280" w:after="28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En esta línea de pensamiento, se concluye que, si bien </w:t>
      </w:r>
      <w:r w:rsidR="00E46E89" w:rsidRPr="00816A2B">
        <w:rPr>
          <w:rFonts w:ascii="Palatino Linotype" w:eastAsia="Palatino Linotype" w:hAnsi="Palatino Linotype" w:cs="Palatino Linotype"/>
        </w:rPr>
        <w:t>a la fecha de la solicitud, no se cuenta c</w:t>
      </w:r>
      <w:r w:rsidR="00224033" w:rsidRPr="00816A2B">
        <w:rPr>
          <w:rFonts w:ascii="Palatino Linotype" w:eastAsia="Palatino Linotype" w:hAnsi="Palatino Linotype" w:cs="Palatino Linotype"/>
        </w:rPr>
        <w:t xml:space="preserve">on todo lo requerido por el particular, también lo es, que dentro de su solicitud, pretende tener acceso a la partida presupuestal del que se obtuvieron los recursos para la campaña, documento que como ya se estableció a la fecha de la solicitud, el </w:t>
      </w:r>
      <w:r w:rsidR="00224033" w:rsidRPr="00816A2B">
        <w:rPr>
          <w:rFonts w:ascii="Palatino Linotype" w:eastAsia="Palatino Linotype" w:hAnsi="Palatino Linotype" w:cs="Palatino Linotype"/>
          <w:b/>
        </w:rPr>
        <w:t xml:space="preserve">SUJETO OBLIGADO, </w:t>
      </w:r>
      <w:r w:rsidR="00224033" w:rsidRPr="00816A2B">
        <w:rPr>
          <w:rFonts w:ascii="Palatino Linotype" w:eastAsia="Palatino Linotype" w:hAnsi="Palatino Linotype" w:cs="Palatino Linotype"/>
        </w:rPr>
        <w:t xml:space="preserve">ya contaba con el </w:t>
      </w:r>
      <w:r w:rsidR="00AB4926" w:rsidRPr="00816A2B">
        <w:rPr>
          <w:rFonts w:ascii="Palatino Linotype" w:eastAsia="Palatino Linotype" w:hAnsi="Palatino Linotype" w:cs="Palatino Linotype"/>
        </w:rPr>
        <w:t>documento</w:t>
      </w:r>
      <w:r w:rsidR="00224033" w:rsidRPr="00816A2B">
        <w:rPr>
          <w:rFonts w:ascii="Palatino Linotype" w:eastAsia="Palatino Linotype" w:hAnsi="Palatino Linotype" w:cs="Palatino Linotype"/>
        </w:rPr>
        <w:t xml:space="preserve"> que podría colmar con lo requerido.</w:t>
      </w:r>
    </w:p>
    <w:p w:rsidR="00AB4926" w:rsidRPr="00816A2B" w:rsidRDefault="00AB4926" w:rsidP="00AB4926">
      <w:pPr>
        <w:pStyle w:val="Prrafodelista"/>
        <w:spacing w:before="280" w:after="280" w:line="360" w:lineRule="auto"/>
        <w:ind w:left="0" w:right="27"/>
        <w:jc w:val="both"/>
        <w:rPr>
          <w:rFonts w:ascii="Palatino Linotype" w:eastAsia="Palatino Linotype" w:hAnsi="Palatino Linotype" w:cs="Palatino Linotype"/>
        </w:rPr>
      </w:pPr>
    </w:p>
    <w:p w:rsidR="00E46E89" w:rsidRPr="00816A2B" w:rsidRDefault="00224033" w:rsidP="00E46E89">
      <w:pPr>
        <w:pStyle w:val="Prrafodelista"/>
        <w:numPr>
          <w:ilvl w:val="0"/>
          <w:numId w:val="5"/>
        </w:numPr>
        <w:spacing w:before="280" w:after="280" w:line="360" w:lineRule="auto"/>
        <w:ind w:left="0" w:right="27" w:firstLine="0"/>
        <w:jc w:val="both"/>
        <w:rPr>
          <w:rFonts w:ascii="Palatino Linotype" w:eastAsia="Palatino Linotype" w:hAnsi="Palatino Linotype" w:cs="Palatino Linotype"/>
        </w:rPr>
      </w:pPr>
      <w:r w:rsidRPr="00816A2B">
        <w:rPr>
          <w:rFonts w:ascii="Palatino Linotype" w:eastAsia="Palatino Linotype" w:hAnsi="Palatino Linotype" w:cs="Palatino Linotype"/>
        </w:rPr>
        <w:t xml:space="preserve">Por lo anterior, resulta procedente ordenar, previa búsqueda exhaustiva la partida presupuestal en el que se advierta el presupuesto otorgado para la Campaña del “Guinness Word Record del Mayor Número de Personas Recogiendo Basura </w:t>
      </w:r>
      <w:r w:rsidR="00AB4926" w:rsidRPr="00816A2B">
        <w:rPr>
          <w:rFonts w:ascii="Palatino Linotype" w:eastAsia="Palatino Linotype" w:hAnsi="Palatino Linotype" w:cs="Palatino Linotype"/>
        </w:rPr>
        <w:t>Simultáneamente en Varios Puntos del Municipio de Ecatepec de Morelos</w:t>
      </w:r>
      <w:r w:rsidRPr="00816A2B">
        <w:rPr>
          <w:rFonts w:ascii="Palatino Linotype" w:eastAsia="Palatino Linotype" w:hAnsi="Palatino Linotype" w:cs="Palatino Linotype"/>
        </w:rPr>
        <w:t>”</w:t>
      </w:r>
    </w:p>
    <w:p w:rsidR="001D2F5C" w:rsidRPr="00816A2B" w:rsidRDefault="00AB4926" w:rsidP="001D2F5C">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hAnsi="Palatino Linotype"/>
        </w:rPr>
        <w:t>E</w:t>
      </w:r>
      <w:r w:rsidR="001D2F5C" w:rsidRPr="00816A2B">
        <w:rPr>
          <w:rFonts w:ascii="Palatino Linotype" w:hAnsi="Palatino Linotype"/>
        </w:rPr>
        <w:t>s importante señalar que el artículo 4, párrafo segundo de la Ley de Transparencia y Acceso a la Información Pública del Estado de México y Municipios, dispone:</w:t>
      </w:r>
    </w:p>
    <w:p w:rsidR="001D2F5C" w:rsidRPr="00816A2B" w:rsidRDefault="001D2F5C" w:rsidP="001D2F5C">
      <w:pPr>
        <w:pStyle w:val="Prrafodelista"/>
        <w:tabs>
          <w:tab w:val="left" w:pos="426"/>
          <w:tab w:val="left" w:pos="567"/>
        </w:tabs>
        <w:ind w:left="567" w:right="565"/>
        <w:jc w:val="both"/>
        <w:rPr>
          <w:rFonts w:ascii="Palatino Linotype" w:hAnsi="Palatino Linotype"/>
          <w:i/>
        </w:rPr>
      </w:pPr>
      <w:r w:rsidRPr="00816A2B">
        <w:rPr>
          <w:rFonts w:ascii="Palatino Linotype" w:hAnsi="Palatino Linotype"/>
          <w:i/>
        </w:rPr>
        <w:t>“</w:t>
      </w:r>
      <w:r w:rsidRPr="00816A2B">
        <w:rPr>
          <w:rFonts w:ascii="Palatino Linotype" w:hAnsi="Palatino Linotype"/>
          <w:b/>
          <w:i/>
        </w:rPr>
        <w:t>Artículo 4. …</w:t>
      </w:r>
    </w:p>
    <w:p w:rsidR="001D2F5C" w:rsidRPr="00816A2B" w:rsidRDefault="001D2F5C" w:rsidP="001D2F5C">
      <w:pPr>
        <w:pStyle w:val="Prrafodelista"/>
        <w:tabs>
          <w:tab w:val="left" w:pos="426"/>
          <w:tab w:val="left" w:pos="567"/>
        </w:tabs>
        <w:ind w:left="567" w:right="565"/>
        <w:jc w:val="both"/>
        <w:rPr>
          <w:rFonts w:ascii="Palatino Linotype" w:hAnsi="Palatino Linotype"/>
          <w:i/>
        </w:rPr>
      </w:pPr>
      <w:r w:rsidRPr="00816A2B">
        <w:rPr>
          <w:rFonts w:ascii="Palatino Linotype" w:hAnsi="Palatino Linotyp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1D2F5C" w:rsidRPr="00816A2B" w:rsidRDefault="001D2F5C" w:rsidP="001D2F5C">
      <w:pPr>
        <w:spacing w:line="360" w:lineRule="auto"/>
        <w:ind w:right="-28"/>
        <w:jc w:val="both"/>
        <w:rPr>
          <w:rFonts w:ascii="Palatino Linotype" w:eastAsia="Calibri" w:hAnsi="Palatino Linotype" w:cs="Tahoma"/>
          <w:bCs/>
        </w:rPr>
      </w:pPr>
    </w:p>
    <w:p w:rsidR="001D2F5C" w:rsidRPr="00816A2B" w:rsidRDefault="001D2F5C" w:rsidP="001D2F5C">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eastAsia="Calibri" w:hAnsi="Palatino Linotype" w:cs="Arial"/>
          <w:color w:val="000000" w:themeColor="text1"/>
          <w:lang w:val="es-ES"/>
        </w:rPr>
        <w:t xml:space="preserve">De lo anterior, se desprende </w:t>
      </w:r>
      <w:r w:rsidRPr="00816A2B">
        <w:rPr>
          <w:rFonts w:ascii="Palatino Linotype" w:hAnsi="Palatino Linotype"/>
        </w:rPr>
        <w:t xml:space="preserve">que la información generada, obtenida, adquirida, transmitida, administrada o en posesión de los Sujetos Obligados, será accesible de manera </w:t>
      </w:r>
      <w:r w:rsidRPr="00816A2B">
        <w:rPr>
          <w:rFonts w:ascii="Palatino Linotype" w:hAnsi="Palatino Linotype"/>
        </w:rPr>
        <w:lastRenderedPageBreak/>
        <w:t>permanente a cualquier persona, privilegiando el principio de máxima publicidad de la información.</w:t>
      </w:r>
    </w:p>
    <w:p w:rsidR="001D2F5C" w:rsidRPr="00816A2B" w:rsidRDefault="001D2F5C" w:rsidP="001D2F5C">
      <w:pPr>
        <w:spacing w:line="360" w:lineRule="auto"/>
        <w:ind w:right="-28"/>
        <w:jc w:val="both"/>
        <w:rPr>
          <w:rFonts w:ascii="Palatino Linotype" w:eastAsia="Calibri" w:hAnsi="Palatino Linotype" w:cs="Tahoma"/>
          <w:bCs/>
        </w:rPr>
      </w:pPr>
    </w:p>
    <w:p w:rsidR="001D2F5C" w:rsidRPr="00816A2B" w:rsidRDefault="001D2F5C" w:rsidP="001D2F5C">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hAnsi="Palatino Linotype"/>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rsidR="001D2F5C" w:rsidRPr="00816A2B" w:rsidRDefault="001D2F5C" w:rsidP="001D2F5C">
      <w:pPr>
        <w:pStyle w:val="Prrafodelista"/>
        <w:tabs>
          <w:tab w:val="left" w:pos="1134"/>
        </w:tabs>
        <w:ind w:left="567" w:right="565"/>
        <w:jc w:val="both"/>
        <w:rPr>
          <w:rFonts w:ascii="Palatino Linotype" w:hAnsi="Palatino Linotype"/>
          <w:i/>
        </w:rPr>
      </w:pPr>
      <w:r w:rsidRPr="00816A2B">
        <w:rPr>
          <w:rFonts w:ascii="Palatino Linotype" w:hAnsi="Palatino Linotype"/>
          <w:i/>
        </w:rPr>
        <w:t>“</w:t>
      </w:r>
      <w:r w:rsidRPr="00816A2B">
        <w:rPr>
          <w:rFonts w:ascii="Palatino Linotype" w:hAnsi="Palatino Linotype"/>
          <w:b/>
          <w:i/>
        </w:rPr>
        <w:t>Artículo 12.</w:t>
      </w:r>
      <w:r w:rsidRPr="00816A2B">
        <w:rPr>
          <w:rFonts w:ascii="Palatino Linotype" w:hAnsi="Palatino Linotype"/>
          <w:i/>
        </w:rPr>
        <w:t xml:space="preserve"> Quienes generen, recopilen, administren, manejen, procesen, archiven o conserven información pública serán responsables de la misma en los términos de las disposiciones jurídicas aplicables. </w:t>
      </w:r>
    </w:p>
    <w:p w:rsidR="001D2F5C" w:rsidRPr="00816A2B" w:rsidRDefault="001D2F5C" w:rsidP="001D2F5C">
      <w:pPr>
        <w:pStyle w:val="Prrafodelista"/>
        <w:tabs>
          <w:tab w:val="left" w:pos="1134"/>
        </w:tabs>
        <w:ind w:left="567" w:right="565"/>
        <w:jc w:val="both"/>
        <w:rPr>
          <w:rFonts w:ascii="Palatino Linotype" w:hAnsi="Palatino Linotype"/>
          <w:i/>
        </w:rPr>
      </w:pPr>
    </w:p>
    <w:p w:rsidR="001D2F5C" w:rsidRPr="00816A2B" w:rsidRDefault="001D2F5C" w:rsidP="001D2F5C">
      <w:pPr>
        <w:tabs>
          <w:tab w:val="left" w:pos="1134"/>
        </w:tabs>
        <w:ind w:left="567" w:right="565"/>
        <w:jc w:val="both"/>
        <w:rPr>
          <w:rFonts w:ascii="Palatino Linotype" w:hAnsi="Palatino Linotype"/>
          <w:i/>
        </w:rPr>
      </w:pPr>
      <w:r w:rsidRPr="00816A2B">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1D2F5C" w:rsidRPr="00816A2B" w:rsidRDefault="001D2F5C" w:rsidP="001D2F5C">
      <w:pPr>
        <w:spacing w:line="360" w:lineRule="auto"/>
        <w:ind w:right="-28"/>
        <w:jc w:val="both"/>
        <w:rPr>
          <w:rFonts w:ascii="Palatino Linotype" w:eastAsia="Calibri" w:hAnsi="Palatino Linotype" w:cs="Tahoma"/>
          <w:bCs/>
        </w:rPr>
      </w:pPr>
    </w:p>
    <w:p w:rsidR="001D2F5C" w:rsidRPr="00816A2B" w:rsidRDefault="001D2F5C" w:rsidP="001D2F5C">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eastAsia="Calibri" w:hAnsi="Palatino Linotype" w:cs="Arial"/>
          <w:color w:val="000000" w:themeColor="text1"/>
          <w:lang w:val="es-ES"/>
        </w:rPr>
        <w:t xml:space="preserve">En síntesis, </w:t>
      </w:r>
      <w:r w:rsidRPr="00816A2B">
        <w:rPr>
          <w:rFonts w:ascii="Palatino Linotype" w:hAnsi="Palatino Linotype"/>
        </w:rPr>
        <w:t xml:space="preserve">el derecho de acceso a la información pública se satisface en aquellos casos en que se entregue el soporte documental en que conste la información pública, toda vez que, los Sujetos Obligados no tienen el deber de generar, poseer o administrar la información pública con el grado de detalle solicitado; esto es, que no tienen el deber de generar un documento ad hoc, para satisfacer el derecho de acceso a la información pública. </w:t>
      </w:r>
    </w:p>
    <w:p w:rsidR="001D2F5C" w:rsidRPr="00816A2B" w:rsidRDefault="001D2F5C" w:rsidP="001D2F5C">
      <w:pPr>
        <w:spacing w:line="360" w:lineRule="auto"/>
        <w:ind w:right="-28"/>
        <w:jc w:val="both"/>
        <w:rPr>
          <w:rFonts w:ascii="Palatino Linotype" w:eastAsia="Calibri" w:hAnsi="Palatino Linotype" w:cs="Tahoma"/>
          <w:bCs/>
        </w:rPr>
      </w:pPr>
    </w:p>
    <w:p w:rsidR="001D2F5C" w:rsidRPr="00816A2B" w:rsidRDefault="001D2F5C" w:rsidP="001D2F5C">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hAnsi="Palatino Linotype"/>
        </w:rPr>
        <w:t xml:space="preserve">Como apoyo a lo anterior, es aplicable el Criterio 03-17, emitido por el Instituto Nacional de Transparencia, Acceso a la Información y Protección de Datos Personales, que dice: </w:t>
      </w:r>
    </w:p>
    <w:p w:rsidR="001D2F5C" w:rsidRPr="00816A2B" w:rsidRDefault="001D2F5C" w:rsidP="001D2F5C">
      <w:pPr>
        <w:pStyle w:val="Prrafodelista"/>
        <w:tabs>
          <w:tab w:val="left" w:pos="709"/>
          <w:tab w:val="left" w:pos="1985"/>
        </w:tabs>
        <w:ind w:left="567" w:right="565"/>
        <w:jc w:val="both"/>
        <w:rPr>
          <w:rFonts w:ascii="Palatino Linotype" w:hAnsi="Palatino Linotype"/>
          <w:i/>
        </w:rPr>
      </w:pPr>
      <w:r w:rsidRPr="00816A2B">
        <w:rPr>
          <w:rFonts w:ascii="Palatino Linotype" w:hAnsi="Palatino Linotype"/>
          <w:b/>
          <w:i/>
        </w:rPr>
        <w:lastRenderedPageBreak/>
        <w:t>“No existe obligación de elaborar documentos ad hoc para atender las solicitudes de acceso a la información.</w:t>
      </w:r>
      <w:r w:rsidRPr="00816A2B">
        <w:rPr>
          <w:rFonts w:ascii="Palatino Linotype" w:hAnsi="Palatino Linotype"/>
          <w:i/>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1D2F5C" w:rsidRPr="00816A2B" w:rsidRDefault="001D2F5C" w:rsidP="001D2F5C">
      <w:pPr>
        <w:pStyle w:val="Prrafodelista"/>
        <w:tabs>
          <w:tab w:val="left" w:pos="709"/>
          <w:tab w:val="left" w:pos="1985"/>
        </w:tabs>
        <w:ind w:left="567" w:right="565"/>
        <w:jc w:val="both"/>
        <w:rPr>
          <w:rFonts w:ascii="Palatino Linotype" w:hAnsi="Palatino Linotype"/>
          <w:i/>
        </w:rPr>
      </w:pPr>
    </w:p>
    <w:p w:rsidR="001D2F5C" w:rsidRPr="00816A2B" w:rsidRDefault="001D2F5C" w:rsidP="001D2F5C">
      <w:pPr>
        <w:pStyle w:val="Prrafodelista"/>
        <w:tabs>
          <w:tab w:val="left" w:pos="709"/>
          <w:tab w:val="left" w:pos="1985"/>
        </w:tabs>
        <w:ind w:left="567" w:right="565"/>
        <w:jc w:val="both"/>
        <w:rPr>
          <w:rFonts w:ascii="Palatino Linotype" w:hAnsi="Palatino Linotype"/>
          <w:i/>
        </w:rPr>
      </w:pPr>
      <w:r w:rsidRPr="00816A2B">
        <w:rPr>
          <w:rFonts w:ascii="Palatino Linotype" w:hAnsi="Palatino Linotype"/>
          <w:i/>
        </w:rPr>
        <w:t xml:space="preserve">Resoluciones: </w:t>
      </w:r>
    </w:p>
    <w:p w:rsidR="001D2F5C" w:rsidRPr="00816A2B" w:rsidRDefault="001D2F5C" w:rsidP="001D2F5C">
      <w:pPr>
        <w:pStyle w:val="Prrafodelista"/>
        <w:tabs>
          <w:tab w:val="left" w:pos="709"/>
          <w:tab w:val="left" w:pos="1985"/>
        </w:tabs>
        <w:ind w:left="567" w:right="565"/>
        <w:jc w:val="both"/>
        <w:rPr>
          <w:rFonts w:ascii="Palatino Linotype" w:hAnsi="Palatino Linotype"/>
          <w:i/>
        </w:rPr>
      </w:pPr>
      <w:r w:rsidRPr="00816A2B">
        <w:rPr>
          <w:rFonts w:ascii="Palatino Linotype" w:hAnsi="Palatino Linotype"/>
          <w:i/>
        </w:rPr>
        <w:sym w:font="Symbol" w:char="F0B7"/>
      </w:r>
      <w:r w:rsidRPr="00816A2B">
        <w:rPr>
          <w:rFonts w:ascii="Palatino Linotype" w:hAnsi="Palatino Linotype"/>
          <w:i/>
        </w:rPr>
        <w:t xml:space="preserve"> RRA 0050/16. Instituto Nacional para la Evaluación de la Educación. 13 julio de 2016. Por unanimidad. Comisionado Ponente: Francisco Javier Acuña Llamas. </w:t>
      </w:r>
    </w:p>
    <w:p w:rsidR="001D2F5C" w:rsidRPr="00816A2B" w:rsidRDefault="001D2F5C" w:rsidP="001D2F5C">
      <w:pPr>
        <w:pStyle w:val="Prrafodelista"/>
        <w:tabs>
          <w:tab w:val="left" w:pos="709"/>
          <w:tab w:val="left" w:pos="1985"/>
        </w:tabs>
        <w:ind w:left="567" w:right="565"/>
        <w:jc w:val="both"/>
        <w:rPr>
          <w:rFonts w:ascii="Palatino Linotype" w:hAnsi="Palatino Linotype"/>
          <w:i/>
        </w:rPr>
      </w:pPr>
      <w:r w:rsidRPr="00816A2B">
        <w:rPr>
          <w:rFonts w:ascii="Palatino Linotype" w:hAnsi="Palatino Linotype"/>
          <w:i/>
        </w:rPr>
        <w:sym w:font="Symbol" w:char="F0B7"/>
      </w:r>
      <w:r w:rsidRPr="00816A2B">
        <w:rPr>
          <w:rFonts w:ascii="Palatino Linotype" w:hAnsi="Palatino Linotype"/>
          <w:i/>
        </w:rPr>
        <w:t xml:space="preserve"> RRA 0310/16. Instituto Nacional de Transparencia, Acceso a la Información y Protección de Datos Personales. 10 de agosto de 2016. Por unanimidad. Comisionada Ponente. Areli Cano Guadiana. </w:t>
      </w:r>
    </w:p>
    <w:p w:rsidR="001D2F5C" w:rsidRPr="00816A2B" w:rsidRDefault="001D2F5C" w:rsidP="001D2F5C">
      <w:pPr>
        <w:tabs>
          <w:tab w:val="left" w:pos="709"/>
          <w:tab w:val="left" w:pos="1985"/>
        </w:tabs>
        <w:ind w:left="567" w:right="565"/>
        <w:jc w:val="both"/>
        <w:rPr>
          <w:rFonts w:ascii="Palatino Linotype" w:eastAsia="Calibri" w:hAnsi="Palatino Linotype" w:cs="Arial"/>
          <w:color w:val="000000" w:themeColor="text1"/>
          <w:lang w:val="es-ES"/>
        </w:rPr>
      </w:pPr>
      <w:r w:rsidRPr="00816A2B">
        <w:rPr>
          <w:rFonts w:ascii="Palatino Linotype" w:hAnsi="Palatino Linotype"/>
          <w:i/>
        </w:rPr>
        <w:sym w:font="Symbol" w:char="F0B7"/>
      </w:r>
      <w:r w:rsidRPr="00816A2B">
        <w:rPr>
          <w:rFonts w:ascii="Palatino Linotype" w:hAnsi="Palatino Linotype"/>
          <w:i/>
        </w:rPr>
        <w:t xml:space="preserve"> RRA 1889/16. Secretaría de Hacienda y Crédito Público. 05 de octubre de 2016. Por unanimidad. Comisionada Ponente. Ximena Puente de la Mora.”</w:t>
      </w:r>
    </w:p>
    <w:p w:rsidR="001D2F5C" w:rsidRPr="00816A2B" w:rsidRDefault="001D2F5C" w:rsidP="001D2F5C">
      <w:pPr>
        <w:spacing w:line="360" w:lineRule="auto"/>
        <w:ind w:right="-28"/>
        <w:jc w:val="both"/>
        <w:rPr>
          <w:rFonts w:ascii="Palatino Linotype" w:eastAsia="Calibri" w:hAnsi="Palatino Linotype" w:cs="Tahoma"/>
          <w:bCs/>
        </w:rPr>
      </w:pPr>
    </w:p>
    <w:p w:rsidR="001D2F5C" w:rsidRPr="00816A2B" w:rsidRDefault="001D2F5C" w:rsidP="001D2F5C">
      <w:pPr>
        <w:numPr>
          <w:ilvl w:val="0"/>
          <w:numId w:val="5"/>
        </w:numPr>
        <w:spacing w:line="360" w:lineRule="auto"/>
        <w:ind w:left="0" w:right="-28" w:firstLine="0"/>
        <w:jc w:val="both"/>
        <w:rPr>
          <w:rFonts w:ascii="Palatino Linotype" w:eastAsia="Calibri" w:hAnsi="Palatino Linotype" w:cs="Tahoma"/>
          <w:bCs/>
        </w:rPr>
      </w:pPr>
      <w:r w:rsidRPr="00816A2B">
        <w:rPr>
          <w:rFonts w:ascii="Palatino Linotype" w:eastAsia="Calibri" w:hAnsi="Palatino Linotype" w:cs="Arial"/>
          <w:color w:val="000000" w:themeColor="text1"/>
          <w:lang w:val="es-ES"/>
        </w:rPr>
        <w:t xml:space="preserve">Asimismo, </w:t>
      </w:r>
      <w:r w:rsidRPr="00816A2B">
        <w:rPr>
          <w:rFonts w:ascii="Palatino Linotype" w:hAnsi="Palatino Linotype"/>
        </w:rPr>
        <w:t>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A80813" w:rsidRPr="00816A2B" w:rsidRDefault="00A80813" w:rsidP="00A8081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4D2425" w:rsidRPr="00816A2B" w:rsidRDefault="00211124" w:rsidP="009F2FA0">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816A2B">
        <w:rPr>
          <w:rFonts w:ascii="Palatino Linotype" w:hAnsi="Palatino Linotype"/>
          <w:color w:val="000000" w:themeColor="text1"/>
        </w:rPr>
        <w:t xml:space="preserve">Motivo por el cual, analizadas las constancias que forman el expediente electrónico, </w:t>
      </w:r>
      <w:r w:rsidRPr="00816A2B">
        <w:rPr>
          <w:rFonts w:ascii="Palatino Linotype" w:eastAsia="MS Mincho" w:hAnsi="Palatino Linotype" w:cstheme="majorBidi"/>
          <w:b/>
          <w:lang w:val="es-ES"/>
        </w:rPr>
        <w:t>resultan</w:t>
      </w:r>
      <w:r w:rsidR="004D2425" w:rsidRPr="00816A2B">
        <w:rPr>
          <w:rFonts w:ascii="Palatino Linotype" w:eastAsia="MS Mincho" w:hAnsi="Palatino Linotype" w:cstheme="majorBidi"/>
          <w:b/>
          <w:lang w:val="es-ES"/>
        </w:rPr>
        <w:t xml:space="preserve"> parcialmente</w:t>
      </w:r>
      <w:r w:rsidRPr="00816A2B">
        <w:rPr>
          <w:rFonts w:ascii="Palatino Linotype" w:eastAsia="MS Mincho" w:hAnsi="Palatino Linotype" w:cstheme="majorBidi"/>
          <w:b/>
          <w:lang w:val="es-ES"/>
        </w:rPr>
        <w:t xml:space="preserve"> fundadas</w:t>
      </w:r>
      <w:r w:rsidRPr="00816A2B">
        <w:rPr>
          <w:rFonts w:ascii="Palatino Linotype" w:eastAsia="MS Mincho" w:hAnsi="Palatino Linotype" w:cstheme="majorBidi"/>
          <w:lang w:val="es-ES"/>
        </w:rPr>
        <w:t xml:space="preserve"> las razones o motivos de inconformidad hechos valer por el </w:t>
      </w:r>
      <w:r w:rsidRPr="00816A2B">
        <w:rPr>
          <w:rFonts w:ascii="Palatino Linotype" w:eastAsia="MS Mincho" w:hAnsi="Palatino Linotype" w:cstheme="majorBidi"/>
          <w:b/>
          <w:lang w:val="es-ES"/>
        </w:rPr>
        <w:t>RECURRENTE</w:t>
      </w:r>
      <w:r w:rsidRPr="00816A2B">
        <w:rPr>
          <w:rFonts w:ascii="Palatino Linotype" w:eastAsia="MS Mincho" w:hAnsi="Palatino Linotype" w:cstheme="majorBidi"/>
          <w:lang w:val="es-ES"/>
        </w:rPr>
        <w:t xml:space="preserve"> dentro del recurso de revisión </w:t>
      </w:r>
      <w:r w:rsidR="009F2FA0" w:rsidRPr="00816A2B">
        <w:rPr>
          <w:rFonts w:ascii="Palatino Linotype" w:eastAsia="MS Mincho" w:hAnsi="Palatino Linotype" w:cstheme="majorBidi"/>
          <w:b/>
          <w:bCs/>
          <w:lang w:val="es-ES"/>
        </w:rPr>
        <w:t>10488</w:t>
      </w:r>
      <w:r w:rsidRPr="00816A2B">
        <w:rPr>
          <w:rFonts w:ascii="Palatino Linotype" w:eastAsia="MS Mincho" w:hAnsi="Palatino Linotype" w:cstheme="majorBidi"/>
          <w:b/>
          <w:bCs/>
          <w:lang w:val="es-ES"/>
        </w:rPr>
        <w:t>/INFOEM/IP/RR/2025,</w:t>
      </w:r>
      <w:r w:rsidRPr="00816A2B">
        <w:rPr>
          <w:rFonts w:ascii="Palatino Linotype" w:eastAsia="MS Mincho" w:hAnsi="Palatino Linotype" w:cstheme="majorBidi"/>
          <w:bCs/>
          <w:lang w:val="es-ES"/>
        </w:rPr>
        <w:t xml:space="preserve"> </w:t>
      </w:r>
      <w:r w:rsidRPr="00816A2B">
        <w:rPr>
          <w:rFonts w:ascii="Palatino Linotype" w:eastAsia="MS Mincho" w:hAnsi="Palatino Linotype" w:cstheme="majorBidi"/>
          <w:lang w:val="es-ES"/>
        </w:rPr>
        <w:t xml:space="preserve">por ello, y con fundamento en la fracción III del numeral 186 de la Ley de Transparencia y Acceso a la </w:t>
      </w:r>
      <w:r w:rsidRPr="00816A2B">
        <w:rPr>
          <w:rFonts w:ascii="Palatino Linotype" w:eastAsia="MS Mincho" w:hAnsi="Palatino Linotype" w:cstheme="majorBidi"/>
          <w:lang w:val="es-ES"/>
        </w:rPr>
        <w:lastRenderedPageBreak/>
        <w:t xml:space="preserve">Información Pública del Estado de México y Municipios, se </w:t>
      </w:r>
      <w:r w:rsidRPr="00816A2B">
        <w:rPr>
          <w:rFonts w:ascii="Palatino Linotype" w:eastAsia="MS Mincho" w:hAnsi="Palatino Linotype" w:cstheme="majorBidi"/>
          <w:b/>
          <w:lang w:val="es-ES"/>
        </w:rPr>
        <w:t>MODIFICA</w:t>
      </w:r>
      <w:r w:rsidRPr="00816A2B">
        <w:rPr>
          <w:rFonts w:ascii="Palatino Linotype" w:eastAsia="MS Mincho" w:hAnsi="Palatino Linotype" w:cstheme="majorBidi"/>
          <w:lang w:val="es-ES"/>
        </w:rPr>
        <w:t xml:space="preserve"> la respuesta del </w:t>
      </w:r>
      <w:r w:rsidRPr="00816A2B">
        <w:rPr>
          <w:rFonts w:ascii="Palatino Linotype" w:eastAsia="MS Mincho" w:hAnsi="Palatino Linotype" w:cstheme="majorBidi"/>
          <w:b/>
          <w:lang w:val="es-ES"/>
        </w:rPr>
        <w:t>SUJETO OBLIGADO</w:t>
      </w:r>
      <w:r w:rsidRPr="00816A2B">
        <w:rPr>
          <w:rFonts w:ascii="Palatino Linotype" w:eastAsia="MS Mincho" w:hAnsi="Palatino Linotype" w:cstheme="majorBidi"/>
          <w:lang w:val="es-ES"/>
        </w:rPr>
        <w:t xml:space="preserve"> y se ordena la entrega, </w:t>
      </w:r>
      <w:r w:rsidR="004D2425" w:rsidRPr="00816A2B">
        <w:rPr>
          <w:rFonts w:ascii="Palatino Linotype" w:eastAsia="Palatino Linotype" w:hAnsi="Palatino Linotype" w:cs="Palatino Linotype"/>
          <w:color w:val="000000"/>
        </w:rPr>
        <w:t>de</w:t>
      </w:r>
      <w:r w:rsidR="004D2425" w:rsidRPr="00816A2B">
        <w:rPr>
          <w:rFonts w:ascii="Palatino Linotype" w:eastAsia="Palatino Linotype" w:hAnsi="Palatino Linotype" w:cs="Palatino Linotype"/>
        </w:rPr>
        <w:t xml:space="preserve">l </w:t>
      </w:r>
      <w:r w:rsidR="009F2FA0" w:rsidRPr="00816A2B">
        <w:rPr>
          <w:rFonts w:ascii="Palatino Linotype" w:eastAsia="Palatino Linotype" w:hAnsi="Palatino Linotype" w:cs="Palatino Linotype"/>
          <w:b/>
        </w:rPr>
        <w:t>Contrato remitido en informe justificado de manera íntegra</w:t>
      </w:r>
      <w:r w:rsidR="004D2425" w:rsidRPr="00816A2B">
        <w:rPr>
          <w:rFonts w:ascii="Palatino Linotype" w:eastAsia="Palatino Linotype" w:hAnsi="Palatino Linotype" w:cs="Palatino Linotype"/>
          <w:b/>
        </w:rPr>
        <w:t>.</w:t>
      </w:r>
    </w:p>
    <w:p w:rsidR="00D86E74" w:rsidRPr="00816A2B" w:rsidRDefault="00D86E7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86E74" w:rsidRPr="00816A2B" w:rsidRDefault="00B05C77" w:rsidP="000632C2">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816A2B">
        <w:rPr>
          <w:rFonts w:ascii="Palatino Linotype" w:eastAsia="Palatino Linotype" w:hAnsi="Palatino Linotype" w:cs="Palatino Linotype"/>
          <w:color w:val="000000"/>
        </w:rPr>
        <w:t xml:space="preserve">Por lo anteriormente expuesto y fundado, este </w:t>
      </w:r>
      <w:r w:rsidRPr="00816A2B">
        <w:rPr>
          <w:rFonts w:ascii="Palatino Linotype" w:eastAsia="Palatino Linotype" w:hAnsi="Palatino Linotype" w:cs="Palatino Linotype"/>
          <w:b/>
          <w:color w:val="000000"/>
        </w:rPr>
        <w:t>ÓRGANO GARANTE</w:t>
      </w:r>
      <w:r w:rsidRPr="00816A2B">
        <w:rPr>
          <w:rFonts w:ascii="Palatino Linotype" w:eastAsia="Palatino Linotype" w:hAnsi="Palatino Linotype" w:cs="Palatino Linotype"/>
          <w:color w:val="000000"/>
        </w:rPr>
        <w:t xml:space="preserve"> emite los siguientes:</w:t>
      </w:r>
    </w:p>
    <w:p w:rsidR="00D86E74" w:rsidRPr="00816A2B" w:rsidRDefault="00D86E74">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D86E74" w:rsidRPr="00816A2B" w:rsidRDefault="00B05C77">
      <w:pPr>
        <w:pStyle w:val="Ttulo1"/>
        <w:spacing w:before="0" w:line="360" w:lineRule="auto"/>
        <w:jc w:val="center"/>
        <w:rPr>
          <w:b w:val="0"/>
        </w:rPr>
      </w:pPr>
      <w:r w:rsidRPr="00816A2B">
        <w:t>R E S O L U T I V O S</w:t>
      </w:r>
    </w:p>
    <w:p w:rsidR="00D86E74" w:rsidRPr="00816A2B" w:rsidRDefault="00D86E74">
      <w:pPr>
        <w:spacing w:line="360" w:lineRule="auto"/>
        <w:rPr>
          <w:rFonts w:ascii="Palatino Linotype" w:eastAsia="Palatino Linotype" w:hAnsi="Palatino Linotype" w:cs="Palatino Linotype"/>
        </w:rPr>
      </w:pPr>
    </w:p>
    <w:p w:rsidR="00D86E74" w:rsidRPr="00816A2B" w:rsidRDefault="00B05C77">
      <w:pPr>
        <w:spacing w:line="360" w:lineRule="auto"/>
        <w:jc w:val="both"/>
        <w:rPr>
          <w:rFonts w:ascii="Palatino Linotype" w:eastAsia="Palatino Linotype" w:hAnsi="Palatino Linotype" w:cs="Palatino Linotype"/>
        </w:rPr>
      </w:pPr>
      <w:r w:rsidRPr="00816A2B">
        <w:rPr>
          <w:rFonts w:ascii="Palatino Linotype" w:eastAsia="Palatino Linotype" w:hAnsi="Palatino Linotype" w:cs="Palatino Linotype"/>
          <w:b/>
        </w:rPr>
        <w:t>PRIMERO</w:t>
      </w:r>
      <w:r w:rsidRPr="00816A2B">
        <w:rPr>
          <w:rFonts w:ascii="Palatino Linotype" w:eastAsia="Palatino Linotype" w:hAnsi="Palatino Linotype" w:cs="Palatino Linotype"/>
        </w:rPr>
        <w:t>. Resultan</w:t>
      </w:r>
      <w:r w:rsidR="000261F9" w:rsidRPr="00816A2B">
        <w:rPr>
          <w:rFonts w:ascii="Palatino Linotype" w:eastAsia="Palatino Linotype" w:hAnsi="Palatino Linotype" w:cs="Palatino Linotype"/>
        </w:rPr>
        <w:t xml:space="preserve"> </w:t>
      </w:r>
      <w:r w:rsidR="000261F9" w:rsidRPr="00816A2B">
        <w:rPr>
          <w:rFonts w:ascii="Palatino Linotype" w:eastAsia="Palatino Linotype" w:hAnsi="Palatino Linotype" w:cs="Palatino Linotype"/>
          <w:b/>
        </w:rPr>
        <w:t>parcialmente</w:t>
      </w:r>
      <w:r w:rsidRPr="00816A2B">
        <w:rPr>
          <w:rFonts w:ascii="Palatino Linotype" w:eastAsia="Palatino Linotype" w:hAnsi="Palatino Linotype" w:cs="Palatino Linotype"/>
          <w:b/>
        </w:rPr>
        <w:t xml:space="preserve"> fundadas</w:t>
      </w:r>
      <w:r w:rsidRPr="00816A2B">
        <w:rPr>
          <w:rFonts w:ascii="Palatino Linotype" w:eastAsia="Palatino Linotype" w:hAnsi="Palatino Linotype" w:cs="Palatino Linotype"/>
        </w:rPr>
        <w:t xml:space="preserve"> las razones o motivos de inconformidad hechos valer en el Recursos de Revisión </w:t>
      </w:r>
      <w:r w:rsidR="009F2FA0" w:rsidRPr="00816A2B">
        <w:rPr>
          <w:rFonts w:ascii="Palatino Linotype" w:eastAsia="Palatino Linotype" w:hAnsi="Palatino Linotype" w:cs="Palatino Linotype"/>
          <w:b/>
        </w:rPr>
        <w:t>10488</w:t>
      </w:r>
      <w:r w:rsidRPr="00816A2B">
        <w:rPr>
          <w:rFonts w:ascii="Palatino Linotype" w:eastAsia="Palatino Linotype" w:hAnsi="Palatino Linotype" w:cs="Palatino Linotype"/>
          <w:b/>
        </w:rPr>
        <w:t xml:space="preserve">/INFOEM/IP/RR/2025 </w:t>
      </w:r>
      <w:r w:rsidRPr="00816A2B">
        <w:rPr>
          <w:rFonts w:ascii="Palatino Linotype" w:eastAsia="Palatino Linotype" w:hAnsi="Palatino Linotype" w:cs="Palatino Linotype"/>
        </w:rPr>
        <w:t xml:space="preserve">en términos del </w:t>
      </w:r>
      <w:r w:rsidRPr="00816A2B">
        <w:rPr>
          <w:rFonts w:ascii="Palatino Linotype" w:eastAsia="Palatino Linotype" w:hAnsi="Palatino Linotype" w:cs="Palatino Linotype"/>
          <w:b/>
        </w:rPr>
        <w:t xml:space="preserve">Considerando CUARTO y QUINTO </w:t>
      </w:r>
      <w:r w:rsidRPr="00816A2B">
        <w:rPr>
          <w:rFonts w:ascii="Palatino Linotype" w:eastAsia="Palatino Linotype" w:hAnsi="Palatino Linotype" w:cs="Palatino Linotype"/>
        </w:rPr>
        <w:t>de la presente resolución.</w:t>
      </w:r>
    </w:p>
    <w:p w:rsidR="00D86E74" w:rsidRPr="00816A2B" w:rsidRDefault="00D86E74">
      <w:pPr>
        <w:spacing w:line="360" w:lineRule="auto"/>
        <w:jc w:val="both"/>
        <w:rPr>
          <w:rFonts w:ascii="Palatino Linotype" w:eastAsia="Palatino Linotype" w:hAnsi="Palatino Linotype" w:cs="Palatino Linotype"/>
        </w:rPr>
      </w:pPr>
    </w:p>
    <w:p w:rsidR="00A30285" w:rsidRPr="00816A2B" w:rsidRDefault="00B05C77">
      <w:pPr>
        <w:spacing w:line="360" w:lineRule="auto"/>
        <w:jc w:val="both"/>
        <w:rPr>
          <w:rFonts w:ascii="Palatino Linotype" w:eastAsia="Palatino Linotype" w:hAnsi="Palatino Linotype" w:cs="Palatino Linotype"/>
          <w:color w:val="000000"/>
        </w:rPr>
      </w:pPr>
      <w:bookmarkStart w:id="4" w:name="_heading=h.26in1rg" w:colFirst="0" w:colLast="0"/>
      <w:bookmarkEnd w:id="4"/>
      <w:r w:rsidRPr="00816A2B">
        <w:rPr>
          <w:rFonts w:ascii="Palatino Linotype" w:eastAsia="Palatino Linotype" w:hAnsi="Palatino Linotype" w:cs="Palatino Linotype"/>
          <w:b/>
        </w:rPr>
        <w:t xml:space="preserve">SEGUNDO. </w:t>
      </w:r>
      <w:r w:rsidRPr="00816A2B">
        <w:rPr>
          <w:rFonts w:ascii="Palatino Linotype" w:eastAsia="Palatino Linotype" w:hAnsi="Palatino Linotype" w:cs="Palatino Linotype"/>
          <w:color w:val="000000"/>
        </w:rPr>
        <w:t xml:space="preserve">Se </w:t>
      </w:r>
      <w:r w:rsidRPr="00816A2B">
        <w:rPr>
          <w:rFonts w:ascii="Palatino Linotype" w:eastAsia="Palatino Linotype" w:hAnsi="Palatino Linotype" w:cs="Palatino Linotype"/>
          <w:b/>
          <w:color w:val="000000"/>
        </w:rPr>
        <w:t xml:space="preserve">MODIFICA </w:t>
      </w:r>
      <w:r w:rsidRPr="00816A2B">
        <w:rPr>
          <w:rFonts w:ascii="Palatino Linotype" w:eastAsia="Palatino Linotype" w:hAnsi="Palatino Linotype" w:cs="Palatino Linotype"/>
          <w:color w:val="000000"/>
        </w:rPr>
        <w:t xml:space="preserve">la respuesta emitida por el </w:t>
      </w:r>
      <w:r w:rsidRPr="00816A2B">
        <w:rPr>
          <w:rFonts w:ascii="Palatino Linotype" w:eastAsia="Palatino Linotype" w:hAnsi="Palatino Linotype" w:cs="Palatino Linotype"/>
          <w:b/>
          <w:color w:val="000000"/>
        </w:rPr>
        <w:t xml:space="preserve">Ayuntamiento de </w:t>
      </w:r>
      <w:r w:rsidR="009F2FA0" w:rsidRPr="00816A2B">
        <w:rPr>
          <w:rFonts w:ascii="Palatino Linotype" w:eastAsia="Palatino Linotype" w:hAnsi="Palatino Linotype" w:cs="Palatino Linotype"/>
          <w:b/>
          <w:color w:val="000000"/>
        </w:rPr>
        <w:t>Ecatepec de Morelos</w:t>
      </w:r>
      <w:r w:rsidRPr="00816A2B">
        <w:rPr>
          <w:rFonts w:ascii="Palatino Linotype" w:eastAsia="Palatino Linotype" w:hAnsi="Palatino Linotype" w:cs="Palatino Linotype"/>
          <w:b/>
          <w:color w:val="000000"/>
        </w:rPr>
        <w:t>,</w:t>
      </w:r>
      <w:r w:rsidRPr="00816A2B">
        <w:rPr>
          <w:rFonts w:ascii="Palatino Linotype" w:eastAsia="Palatino Linotype" w:hAnsi="Palatino Linotype" w:cs="Palatino Linotype"/>
          <w:color w:val="000000"/>
        </w:rPr>
        <w:t xml:space="preserve"> a la </w:t>
      </w:r>
      <w:r w:rsidRPr="00816A2B">
        <w:rPr>
          <w:rFonts w:ascii="Palatino Linotype" w:eastAsia="Palatino Linotype" w:hAnsi="Palatino Linotype" w:cs="Palatino Linotype"/>
        </w:rPr>
        <w:t>solicitud de información pública registrada con el número</w:t>
      </w:r>
      <w:r w:rsidRPr="00816A2B">
        <w:rPr>
          <w:rFonts w:ascii="Palatino Linotype" w:eastAsia="Palatino Linotype" w:hAnsi="Palatino Linotype" w:cs="Palatino Linotype"/>
          <w:b/>
        </w:rPr>
        <w:t xml:space="preserve"> </w:t>
      </w:r>
      <w:r w:rsidR="009F2FA0" w:rsidRPr="00816A2B">
        <w:rPr>
          <w:rFonts w:ascii="Palatino Linotype" w:eastAsia="Palatino Linotype" w:hAnsi="Palatino Linotype" w:cs="Palatino Linotype"/>
          <w:b/>
          <w:color w:val="000000"/>
        </w:rPr>
        <w:t>00679</w:t>
      </w:r>
      <w:r w:rsidR="005F2DF6" w:rsidRPr="00816A2B">
        <w:rPr>
          <w:rFonts w:ascii="Palatino Linotype" w:eastAsia="Palatino Linotype" w:hAnsi="Palatino Linotype" w:cs="Palatino Linotype"/>
          <w:b/>
          <w:color w:val="000000"/>
        </w:rPr>
        <w:t>/</w:t>
      </w:r>
      <w:r w:rsidR="009F2FA0" w:rsidRPr="00816A2B">
        <w:rPr>
          <w:rFonts w:ascii="Palatino Linotype" w:eastAsia="Palatino Linotype" w:hAnsi="Palatino Linotype" w:cs="Palatino Linotype"/>
          <w:b/>
          <w:color w:val="000000"/>
        </w:rPr>
        <w:t>ECATEPEC</w:t>
      </w:r>
      <w:r w:rsidRPr="00816A2B">
        <w:rPr>
          <w:rFonts w:ascii="Palatino Linotype" w:eastAsia="Palatino Linotype" w:hAnsi="Palatino Linotype" w:cs="Palatino Linotype"/>
          <w:b/>
          <w:color w:val="000000"/>
        </w:rPr>
        <w:t xml:space="preserve">/IP/2025 </w:t>
      </w:r>
      <w:r w:rsidRPr="00816A2B">
        <w:rPr>
          <w:rFonts w:ascii="Palatino Linotype" w:eastAsia="Palatino Linotype" w:hAnsi="Palatino Linotype" w:cs="Palatino Linotype"/>
          <w:color w:val="000000"/>
        </w:rPr>
        <w:t xml:space="preserve">y se </w:t>
      </w:r>
      <w:r w:rsidRPr="00816A2B">
        <w:rPr>
          <w:rFonts w:ascii="Palatino Linotype" w:eastAsia="Palatino Linotype" w:hAnsi="Palatino Linotype" w:cs="Palatino Linotype"/>
          <w:b/>
          <w:color w:val="000000"/>
        </w:rPr>
        <w:t>ORDENA</w:t>
      </w:r>
      <w:r w:rsidRPr="00816A2B">
        <w:rPr>
          <w:rFonts w:ascii="Palatino Linotype" w:eastAsia="Palatino Linotype" w:hAnsi="Palatino Linotype" w:cs="Palatino Linotype"/>
          <w:color w:val="000000"/>
        </w:rPr>
        <w:t xml:space="preserve"> entregar vía Sistema de Acceso a la Información Mexiquense </w:t>
      </w:r>
      <w:r w:rsidRPr="00816A2B">
        <w:rPr>
          <w:rFonts w:ascii="Palatino Linotype" w:eastAsia="Palatino Linotype" w:hAnsi="Palatino Linotype" w:cs="Palatino Linotype"/>
          <w:b/>
          <w:color w:val="000000"/>
        </w:rPr>
        <w:t xml:space="preserve">(SAIMEX), </w:t>
      </w:r>
      <w:r w:rsidR="00A30285" w:rsidRPr="00816A2B">
        <w:rPr>
          <w:rFonts w:ascii="Palatino Linotype" w:eastAsia="Palatino Linotype" w:hAnsi="Palatino Linotype" w:cs="Palatino Linotype"/>
          <w:color w:val="000000"/>
        </w:rPr>
        <w:t>lo siguiente:</w:t>
      </w:r>
    </w:p>
    <w:p w:rsidR="00A30285" w:rsidRPr="00816A2B" w:rsidRDefault="00A30285" w:rsidP="00A30285">
      <w:pPr>
        <w:spacing w:line="360" w:lineRule="auto"/>
        <w:ind w:right="567"/>
        <w:jc w:val="both"/>
        <w:rPr>
          <w:rFonts w:ascii="Palatino Linotype" w:eastAsia="Palatino Linotype" w:hAnsi="Palatino Linotype" w:cs="Palatino Linotype"/>
          <w:color w:val="000000"/>
        </w:rPr>
      </w:pPr>
    </w:p>
    <w:p w:rsidR="00D86E74" w:rsidRPr="00816A2B" w:rsidRDefault="009F2FA0" w:rsidP="00A30285">
      <w:pPr>
        <w:pStyle w:val="Prrafodelista"/>
        <w:numPr>
          <w:ilvl w:val="0"/>
          <w:numId w:val="19"/>
        </w:numPr>
        <w:spacing w:line="360" w:lineRule="auto"/>
        <w:ind w:right="567"/>
        <w:jc w:val="both"/>
        <w:rPr>
          <w:rFonts w:ascii="Palatino Linotype" w:eastAsia="Palatino Linotype" w:hAnsi="Palatino Linotype" w:cs="Palatino Linotype"/>
          <w:b/>
          <w:color w:val="000000"/>
        </w:rPr>
      </w:pPr>
      <w:r w:rsidRPr="00816A2B">
        <w:rPr>
          <w:rFonts w:ascii="Palatino Linotype" w:eastAsia="Palatino Linotype" w:hAnsi="Palatino Linotype" w:cs="Palatino Linotype"/>
          <w:b/>
        </w:rPr>
        <w:t>Contrato remitido en informe justificado de manera íntegra</w:t>
      </w:r>
      <w:r w:rsidR="00AB4926" w:rsidRPr="00816A2B">
        <w:rPr>
          <w:rFonts w:ascii="Palatino Linotype" w:eastAsia="Palatino Linotype" w:hAnsi="Palatino Linotype" w:cs="Palatino Linotype"/>
          <w:b/>
        </w:rPr>
        <w:t>.</w:t>
      </w:r>
    </w:p>
    <w:p w:rsidR="00AB4926" w:rsidRPr="00816A2B" w:rsidRDefault="00AB4926" w:rsidP="00AB4926">
      <w:pPr>
        <w:pStyle w:val="Prrafodelista"/>
        <w:numPr>
          <w:ilvl w:val="0"/>
          <w:numId w:val="19"/>
        </w:numPr>
        <w:spacing w:before="280" w:after="280" w:line="360" w:lineRule="auto"/>
        <w:ind w:right="27"/>
        <w:jc w:val="both"/>
        <w:rPr>
          <w:rFonts w:ascii="Palatino Linotype" w:eastAsia="Palatino Linotype" w:hAnsi="Palatino Linotype" w:cs="Palatino Linotype"/>
          <w:b/>
        </w:rPr>
      </w:pPr>
      <w:r w:rsidRPr="00816A2B">
        <w:rPr>
          <w:rFonts w:ascii="Palatino Linotype" w:eastAsia="Palatino Linotype" w:hAnsi="Palatino Linotype" w:cs="Palatino Linotype"/>
          <w:b/>
        </w:rPr>
        <w:t>El documento donde conste la Partida Presupuestal a la que corresponda el presupuesto otorgado para la Campaña del “Guinness Word Record del Mayor Número de Personas Recogiendo Basura Simultáneamente en Varios Puntos del Municipio de Ecatepec de Morelos”</w:t>
      </w:r>
    </w:p>
    <w:p w:rsidR="00D86E74" w:rsidRPr="00816A2B" w:rsidRDefault="00B05C77">
      <w:pPr>
        <w:tabs>
          <w:tab w:val="left" w:pos="8080"/>
        </w:tabs>
        <w:spacing w:line="360" w:lineRule="auto"/>
        <w:ind w:right="49"/>
        <w:jc w:val="both"/>
        <w:rPr>
          <w:rFonts w:ascii="Palatino Linotype" w:eastAsia="Palatino Linotype" w:hAnsi="Palatino Linotype" w:cs="Palatino Linotype"/>
          <w:b/>
        </w:rPr>
      </w:pPr>
      <w:bookmarkStart w:id="5" w:name="_heading=h.4d34og8" w:colFirst="0" w:colLast="0"/>
      <w:bookmarkStart w:id="6" w:name="_heading=h.lnxbz9" w:colFirst="0" w:colLast="0"/>
      <w:bookmarkEnd w:id="5"/>
      <w:bookmarkEnd w:id="6"/>
      <w:r w:rsidRPr="00816A2B">
        <w:rPr>
          <w:rFonts w:ascii="Palatino Linotype" w:eastAsia="Palatino Linotype" w:hAnsi="Palatino Linotype" w:cs="Palatino Linotype"/>
          <w:b/>
        </w:rPr>
        <w:lastRenderedPageBreak/>
        <w:t xml:space="preserve">TERCERO. NOTIFÍQUESE </w:t>
      </w:r>
      <w:r w:rsidRPr="00816A2B">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816A2B">
        <w:rPr>
          <w:rFonts w:ascii="Palatino Linotype" w:eastAsia="Palatino Linotype" w:hAnsi="Palatino Linotype" w:cs="Palatino Linotype"/>
          <w:b/>
        </w:rPr>
        <w:t>dé cumplimiento a lo ordenado dentro del plazo de diez días hábiles,</w:t>
      </w:r>
      <w:r w:rsidRPr="00816A2B">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D86E74" w:rsidRPr="00816A2B" w:rsidRDefault="00D86E74">
      <w:pPr>
        <w:tabs>
          <w:tab w:val="left" w:pos="8080"/>
        </w:tabs>
        <w:spacing w:line="360" w:lineRule="auto"/>
        <w:ind w:right="49"/>
        <w:jc w:val="both"/>
        <w:rPr>
          <w:rFonts w:ascii="Palatino Linotype" w:eastAsia="Palatino Linotype" w:hAnsi="Palatino Linotype" w:cs="Palatino Linotype"/>
        </w:rPr>
      </w:pPr>
    </w:p>
    <w:p w:rsidR="00D86E74" w:rsidRPr="00816A2B" w:rsidRDefault="00B05C77">
      <w:pPr>
        <w:spacing w:line="360" w:lineRule="auto"/>
        <w:jc w:val="both"/>
        <w:rPr>
          <w:rFonts w:ascii="Palatino Linotype" w:eastAsia="Palatino Linotype" w:hAnsi="Palatino Linotype" w:cs="Palatino Linotype"/>
        </w:rPr>
      </w:pPr>
      <w:r w:rsidRPr="00816A2B">
        <w:rPr>
          <w:rFonts w:ascii="Palatino Linotype" w:eastAsia="Palatino Linotype" w:hAnsi="Palatino Linotype" w:cs="Palatino Linotype"/>
          <w:b/>
        </w:rPr>
        <w:t xml:space="preserve">CUARTO. </w:t>
      </w:r>
      <w:r w:rsidRPr="00816A2B">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816A2B">
        <w:rPr>
          <w:rFonts w:ascii="Palatino Linotype" w:eastAsia="Palatino Linotype" w:hAnsi="Palatino Linotype" w:cs="Palatino Linotype"/>
          <w:b/>
        </w:rPr>
        <w:t>SUJETO OBLIGADO</w:t>
      </w:r>
      <w:r w:rsidRPr="00816A2B">
        <w:rPr>
          <w:rFonts w:ascii="Palatino Linotype" w:eastAsia="Palatino Linotype" w:hAnsi="Palatino Linotype" w:cs="Palatino Linotype"/>
        </w:rPr>
        <w:t xml:space="preserve"> de manera fundada y motivada, podrá solicitar una ampliación de plazo para el cumplimiento de la presente resolución.</w:t>
      </w:r>
    </w:p>
    <w:p w:rsidR="00D86E74" w:rsidRPr="00816A2B" w:rsidRDefault="00D86E74">
      <w:pPr>
        <w:spacing w:line="360" w:lineRule="auto"/>
        <w:jc w:val="both"/>
        <w:rPr>
          <w:rFonts w:ascii="Palatino Linotype" w:eastAsia="Palatino Linotype" w:hAnsi="Palatino Linotype" w:cs="Palatino Linotype"/>
        </w:rPr>
      </w:pPr>
    </w:p>
    <w:p w:rsidR="00D86E74" w:rsidRPr="00816A2B" w:rsidRDefault="00B05C77">
      <w:pPr>
        <w:tabs>
          <w:tab w:val="left" w:pos="8080"/>
        </w:tabs>
        <w:spacing w:line="360" w:lineRule="auto"/>
        <w:ind w:right="49"/>
        <w:jc w:val="both"/>
        <w:rPr>
          <w:rFonts w:ascii="Palatino Linotype" w:eastAsia="Palatino Linotype" w:hAnsi="Palatino Linotype" w:cs="Palatino Linotype"/>
        </w:rPr>
      </w:pPr>
      <w:bookmarkStart w:id="7" w:name="_heading=h.35nkun2" w:colFirst="0" w:colLast="0"/>
      <w:bookmarkEnd w:id="7"/>
      <w:r w:rsidRPr="00816A2B">
        <w:rPr>
          <w:rFonts w:ascii="Palatino Linotype" w:eastAsia="Palatino Linotype" w:hAnsi="Palatino Linotype" w:cs="Palatino Linotype"/>
          <w:b/>
        </w:rPr>
        <w:t xml:space="preserve">QUINTO. </w:t>
      </w:r>
      <w:r w:rsidRPr="00816A2B">
        <w:rPr>
          <w:rFonts w:ascii="Palatino Linotype" w:eastAsia="Palatino Linotype" w:hAnsi="Palatino Linotype" w:cs="Palatino Linotype"/>
        </w:rPr>
        <w:t>Notifíquese a la parte</w:t>
      </w:r>
      <w:r w:rsidRPr="00816A2B">
        <w:rPr>
          <w:rFonts w:ascii="Palatino Linotype" w:eastAsia="Palatino Linotype" w:hAnsi="Palatino Linotype" w:cs="Palatino Linotype"/>
          <w:b/>
        </w:rPr>
        <w:t xml:space="preserve"> RECURRENTE</w:t>
      </w:r>
      <w:r w:rsidRPr="00816A2B">
        <w:rPr>
          <w:rFonts w:ascii="Palatino Linotype" w:eastAsia="Palatino Linotype" w:hAnsi="Palatino Linotype" w:cs="Palatino Linotype"/>
        </w:rPr>
        <w:t xml:space="preserve"> la presente resolución, vía </w:t>
      </w:r>
      <w:r w:rsidRPr="00816A2B">
        <w:rPr>
          <w:rFonts w:ascii="Palatino Linotype" w:eastAsia="Palatino Linotype" w:hAnsi="Palatino Linotype" w:cs="Palatino Linotype"/>
          <w:b/>
        </w:rPr>
        <w:t>SAIMEX.</w:t>
      </w:r>
    </w:p>
    <w:p w:rsidR="00D86E74" w:rsidRPr="00816A2B" w:rsidRDefault="00D86E74">
      <w:pPr>
        <w:tabs>
          <w:tab w:val="left" w:pos="8080"/>
        </w:tabs>
        <w:spacing w:line="360" w:lineRule="auto"/>
        <w:ind w:right="49"/>
        <w:jc w:val="both"/>
        <w:rPr>
          <w:rFonts w:ascii="Palatino Linotype" w:eastAsia="Palatino Linotype" w:hAnsi="Palatino Linotype" w:cs="Palatino Linotype"/>
        </w:rPr>
      </w:pPr>
    </w:p>
    <w:p w:rsidR="00D86E74" w:rsidRPr="00816A2B" w:rsidRDefault="00B05C77">
      <w:pPr>
        <w:shd w:val="clear" w:color="auto" w:fill="FFFFFF"/>
        <w:spacing w:line="360" w:lineRule="auto"/>
        <w:jc w:val="both"/>
        <w:rPr>
          <w:rFonts w:ascii="Palatino Linotype" w:eastAsia="Palatino Linotype" w:hAnsi="Palatino Linotype" w:cs="Palatino Linotype"/>
        </w:rPr>
      </w:pPr>
      <w:r w:rsidRPr="00816A2B">
        <w:rPr>
          <w:rFonts w:ascii="Palatino Linotype" w:eastAsia="Palatino Linotype" w:hAnsi="Palatino Linotype" w:cs="Palatino Linotype"/>
          <w:b/>
        </w:rPr>
        <w:t>SEXTO.</w:t>
      </w:r>
      <w:r w:rsidRPr="00816A2B">
        <w:rPr>
          <w:rFonts w:ascii="Palatino Linotype" w:eastAsia="Palatino Linotype" w:hAnsi="Palatino Linotype" w:cs="Palatino Linotype"/>
        </w:rPr>
        <w:t xml:space="preserve"> Se hace del conocimiento de la parte</w:t>
      </w:r>
      <w:r w:rsidRPr="00816A2B">
        <w:rPr>
          <w:rFonts w:ascii="Palatino Linotype" w:eastAsia="Palatino Linotype" w:hAnsi="Palatino Linotype" w:cs="Palatino Linotype"/>
          <w:b/>
        </w:rPr>
        <w:t xml:space="preserve"> RECURRENTE</w:t>
      </w:r>
      <w:r w:rsidRPr="00816A2B">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8E69F9" w:rsidRPr="00816A2B" w:rsidRDefault="008E69F9">
      <w:pPr>
        <w:shd w:val="clear" w:color="auto" w:fill="FFFFFF"/>
        <w:spacing w:line="360" w:lineRule="auto"/>
        <w:jc w:val="both"/>
        <w:rPr>
          <w:rFonts w:ascii="Palatino Linotype" w:eastAsia="Palatino Linotype" w:hAnsi="Palatino Linotype" w:cs="Palatino Linotype"/>
        </w:rPr>
      </w:pPr>
    </w:p>
    <w:p w:rsidR="008E69F9" w:rsidRPr="00816A2B" w:rsidRDefault="008E69F9" w:rsidP="008E69F9">
      <w:pPr>
        <w:spacing w:before="240" w:after="240" w:line="360" w:lineRule="auto"/>
        <w:ind w:firstLine="1"/>
        <w:jc w:val="both"/>
        <w:rPr>
          <w:rFonts w:ascii="Palatino Linotype" w:hAnsi="Palatino Linotype"/>
        </w:rPr>
      </w:pPr>
      <w:bookmarkStart w:id="8" w:name="_heading=h.dipqbfvvq8qp" w:colFirst="0" w:colLast="0"/>
      <w:bookmarkStart w:id="9" w:name="_Hlk99014733"/>
      <w:bookmarkEnd w:id="8"/>
      <w:r w:rsidRPr="00816A2B">
        <w:rPr>
          <w:rFonts w:ascii="Palatino Linotype" w:hAnsi="Palatino Linotype" w:cs="Palatino Linotype"/>
        </w:rPr>
        <w:t xml:space="preserve">ASÍ LO RESUELVE, POR UNANIMIDAD DE VOTOS, EL PLENO DEL INSTITUTO DE TRANSPARENCIA, ACCESO A LA INFORMACIÓN PÚBLICA Y PROTECCIÓN DE </w:t>
      </w:r>
      <w:r w:rsidRPr="00816A2B">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816A2B">
        <w:rPr>
          <w:rFonts w:ascii="Palatino Linotype" w:hAnsi="Palatino Linotype" w:cs="Palatino Linotype"/>
          <w:color w:val="000000" w:themeColor="text1"/>
        </w:rPr>
        <w:t>ALEXIS TAPIA RAMÍREZ.</w:t>
      </w:r>
    </w:p>
    <w:bookmarkEnd w:id="9"/>
    <w:p w:rsidR="00D86E74" w:rsidRPr="00816A2B" w:rsidRDefault="00D86E74">
      <w:pPr>
        <w:spacing w:before="240" w:after="240" w:line="360" w:lineRule="auto"/>
        <w:ind w:firstLine="1"/>
        <w:jc w:val="both"/>
        <w:rPr>
          <w:rFonts w:ascii="Palatino Linotype" w:eastAsia="Palatino Linotype" w:hAnsi="Palatino Linotype" w:cs="Palatino Linotype"/>
        </w:rPr>
      </w:pPr>
    </w:p>
    <w:p w:rsidR="00D86E74" w:rsidRPr="00816A2B" w:rsidRDefault="00D86E74">
      <w:pPr>
        <w:spacing w:before="240" w:after="240" w:line="360" w:lineRule="auto"/>
        <w:ind w:firstLine="1"/>
        <w:jc w:val="both"/>
        <w:rPr>
          <w:rFonts w:ascii="Palatino Linotype" w:eastAsia="Palatino Linotype" w:hAnsi="Palatino Linotype" w:cs="Palatino Linotype"/>
        </w:rPr>
      </w:pPr>
    </w:p>
    <w:p w:rsidR="00D86E74" w:rsidRPr="00816A2B" w:rsidRDefault="00D86E74">
      <w:pPr>
        <w:spacing w:before="240" w:after="240" w:line="360" w:lineRule="auto"/>
        <w:ind w:firstLine="1"/>
        <w:jc w:val="both"/>
        <w:rPr>
          <w:rFonts w:ascii="Palatino Linotype" w:eastAsia="Palatino Linotype" w:hAnsi="Palatino Linotype" w:cs="Palatino Linotype"/>
        </w:rPr>
      </w:pPr>
    </w:p>
    <w:p w:rsidR="00D86E74" w:rsidRPr="00816A2B" w:rsidRDefault="00D86E74">
      <w:pPr>
        <w:spacing w:line="360" w:lineRule="auto"/>
        <w:jc w:val="both"/>
        <w:rPr>
          <w:rFonts w:ascii="Palatino Linotype" w:eastAsia="Palatino Linotype" w:hAnsi="Palatino Linotype" w:cs="Palatino Linotype"/>
        </w:rPr>
      </w:pPr>
    </w:p>
    <w:p w:rsidR="00D86E74" w:rsidRPr="00816A2B" w:rsidRDefault="00D86E74">
      <w:pPr>
        <w:pStyle w:val="Ttulo2"/>
        <w:spacing w:before="0" w:line="360" w:lineRule="auto"/>
      </w:pPr>
    </w:p>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p w:rsidR="0043094E" w:rsidRPr="00816A2B" w:rsidRDefault="0043094E" w:rsidP="0043094E"/>
    <w:sectPr w:rsidR="0043094E" w:rsidRPr="00816A2B" w:rsidSect="00816A2B">
      <w:headerReference w:type="default" r:id="rId10"/>
      <w:footerReference w:type="default" r:id="rId11"/>
      <w:headerReference w:type="first" r:id="rId12"/>
      <w:footerReference w:type="first" r:id="rId13"/>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0768" w:rsidRDefault="008D0768">
      <w:r>
        <w:separator/>
      </w:r>
    </w:p>
  </w:endnote>
  <w:endnote w:type="continuationSeparator" w:id="0">
    <w:p w:rsidR="008D0768" w:rsidRDefault="008D0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33" w:rsidRPr="00816A2B" w:rsidRDefault="00224033">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816A2B">
      <w:rPr>
        <w:rFonts w:ascii="Palatino Linotype" w:eastAsia="Palatino Linotype" w:hAnsi="Palatino Linotype" w:cs="Palatino Linotype"/>
        <w:b/>
        <w:color w:val="000000"/>
        <w:sz w:val="22"/>
        <w:szCs w:val="22"/>
      </w:rPr>
      <w:t xml:space="preserve">Página </w:t>
    </w:r>
    <w:r w:rsidRPr="00816A2B">
      <w:rPr>
        <w:rFonts w:ascii="Palatino Linotype" w:eastAsia="Palatino Linotype" w:hAnsi="Palatino Linotype" w:cs="Palatino Linotype"/>
        <w:b/>
        <w:color w:val="000000"/>
        <w:sz w:val="22"/>
        <w:szCs w:val="22"/>
      </w:rPr>
      <w:fldChar w:fldCharType="begin"/>
    </w:r>
    <w:r w:rsidRPr="00816A2B">
      <w:rPr>
        <w:rFonts w:ascii="Palatino Linotype" w:eastAsia="Palatino Linotype" w:hAnsi="Palatino Linotype" w:cs="Palatino Linotype"/>
        <w:b/>
        <w:color w:val="000000"/>
        <w:sz w:val="22"/>
        <w:szCs w:val="22"/>
      </w:rPr>
      <w:instrText>PAGE</w:instrText>
    </w:r>
    <w:r w:rsidRPr="00816A2B">
      <w:rPr>
        <w:rFonts w:ascii="Palatino Linotype" w:eastAsia="Palatino Linotype" w:hAnsi="Palatino Linotype" w:cs="Palatino Linotype"/>
        <w:b/>
        <w:color w:val="000000"/>
        <w:sz w:val="22"/>
        <w:szCs w:val="22"/>
      </w:rPr>
      <w:fldChar w:fldCharType="separate"/>
    </w:r>
    <w:r w:rsidR="003D062D">
      <w:rPr>
        <w:rFonts w:ascii="Palatino Linotype" w:eastAsia="Palatino Linotype" w:hAnsi="Palatino Linotype" w:cs="Palatino Linotype"/>
        <w:b/>
        <w:noProof/>
        <w:color w:val="000000"/>
        <w:sz w:val="22"/>
        <w:szCs w:val="22"/>
      </w:rPr>
      <w:t>21</w:t>
    </w:r>
    <w:r w:rsidRPr="00816A2B">
      <w:rPr>
        <w:rFonts w:ascii="Palatino Linotype" w:eastAsia="Palatino Linotype" w:hAnsi="Palatino Linotype" w:cs="Palatino Linotype"/>
        <w:b/>
        <w:color w:val="000000"/>
        <w:sz w:val="22"/>
        <w:szCs w:val="22"/>
      </w:rPr>
      <w:fldChar w:fldCharType="end"/>
    </w:r>
    <w:r w:rsidRPr="00816A2B">
      <w:rPr>
        <w:rFonts w:ascii="Palatino Linotype" w:eastAsia="Palatino Linotype" w:hAnsi="Palatino Linotype" w:cs="Palatino Linotype"/>
        <w:b/>
        <w:color w:val="000000"/>
        <w:sz w:val="22"/>
        <w:szCs w:val="22"/>
      </w:rPr>
      <w:t xml:space="preserve"> de </w:t>
    </w:r>
    <w:r w:rsidRPr="00816A2B">
      <w:rPr>
        <w:rFonts w:ascii="Palatino Linotype" w:eastAsia="Palatino Linotype" w:hAnsi="Palatino Linotype" w:cs="Palatino Linotype"/>
        <w:b/>
        <w:color w:val="000000"/>
        <w:sz w:val="22"/>
        <w:szCs w:val="22"/>
      </w:rPr>
      <w:fldChar w:fldCharType="begin"/>
    </w:r>
    <w:r w:rsidRPr="00816A2B">
      <w:rPr>
        <w:rFonts w:ascii="Palatino Linotype" w:eastAsia="Palatino Linotype" w:hAnsi="Palatino Linotype" w:cs="Palatino Linotype"/>
        <w:b/>
        <w:color w:val="000000"/>
        <w:sz w:val="22"/>
        <w:szCs w:val="22"/>
      </w:rPr>
      <w:instrText>NUMPAGES</w:instrText>
    </w:r>
    <w:r w:rsidRPr="00816A2B">
      <w:rPr>
        <w:rFonts w:ascii="Palatino Linotype" w:eastAsia="Palatino Linotype" w:hAnsi="Palatino Linotype" w:cs="Palatino Linotype"/>
        <w:b/>
        <w:color w:val="000000"/>
        <w:sz w:val="22"/>
        <w:szCs w:val="22"/>
      </w:rPr>
      <w:fldChar w:fldCharType="separate"/>
    </w:r>
    <w:r w:rsidR="003D062D">
      <w:rPr>
        <w:rFonts w:ascii="Palatino Linotype" w:eastAsia="Palatino Linotype" w:hAnsi="Palatino Linotype" w:cs="Palatino Linotype"/>
        <w:b/>
        <w:noProof/>
        <w:color w:val="000000"/>
        <w:sz w:val="22"/>
        <w:szCs w:val="22"/>
      </w:rPr>
      <w:t>34</w:t>
    </w:r>
    <w:r w:rsidRPr="00816A2B">
      <w:rPr>
        <w:rFonts w:ascii="Palatino Linotype" w:eastAsia="Palatino Linotype" w:hAnsi="Palatino Linotype" w:cs="Palatino Linotype"/>
        <w:b/>
        <w:color w:val="000000"/>
        <w:sz w:val="22"/>
        <w:szCs w:val="22"/>
      </w:rPr>
      <w:fldChar w:fldCharType="end"/>
    </w:r>
  </w:p>
  <w:p w:rsidR="00224033" w:rsidRDefault="0022403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224033" w:rsidRDefault="0022403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4033" w:rsidRPr="00816A2B" w:rsidRDefault="00224033">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color w:val="000000"/>
        <w:sz w:val="22"/>
        <w:szCs w:val="22"/>
      </w:rPr>
    </w:pPr>
    <w:r w:rsidRPr="00816A2B">
      <w:rPr>
        <w:rFonts w:ascii="Palatino Linotype" w:eastAsia="Palatino Linotype" w:hAnsi="Palatino Linotype" w:cs="Palatino Linotype"/>
        <w:b/>
        <w:color w:val="000000"/>
        <w:sz w:val="22"/>
        <w:szCs w:val="22"/>
      </w:rPr>
      <w:t xml:space="preserve">Página </w:t>
    </w:r>
    <w:r w:rsidRPr="00816A2B">
      <w:rPr>
        <w:rFonts w:ascii="Palatino Linotype" w:eastAsia="Palatino Linotype" w:hAnsi="Palatino Linotype" w:cs="Palatino Linotype"/>
        <w:b/>
        <w:color w:val="000000"/>
        <w:sz w:val="22"/>
        <w:szCs w:val="22"/>
      </w:rPr>
      <w:fldChar w:fldCharType="begin"/>
    </w:r>
    <w:r w:rsidRPr="00816A2B">
      <w:rPr>
        <w:rFonts w:ascii="Palatino Linotype" w:eastAsia="Palatino Linotype" w:hAnsi="Palatino Linotype" w:cs="Palatino Linotype"/>
        <w:b/>
        <w:color w:val="000000"/>
        <w:sz w:val="22"/>
        <w:szCs w:val="22"/>
      </w:rPr>
      <w:instrText>PAGE</w:instrText>
    </w:r>
    <w:r w:rsidRPr="00816A2B">
      <w:rPr>
        <w:rFonts w:ascii="Palatino Linotype" w:eastAsia="Palatino Linotype" w:hAnsi="Palatino Linotype" w:cs="Palatino Linotype"/>
        <w:b/>
        <w:color w:val="000000"/>
        <w:sz w:val="22"/>
        <w:szCs w:val="22"/>
      </w:rPr>
      <w:fldChar w:fldCharType="separate"/>
    </w:r>
    <w:r w:rsidR="003D062D">
      <w:rPr>
        <w:rFonts w:ascii="Palatino Linotype" w:eastAsia="Palatino Linotype" w:hAnsi="Palatino Linotype" w:cs="Palatino Linotype"/>
        <w:b/>
        <w:noProof/>
        <w:color w:val="000000"/>
        <w:sz w:val="22"/>
        <w:szCs w:val="22"/>
      </w:rPr>
      <w:t>1</w:t>
    </w:r>
    <w:r w:rsidRPr="00816A2B">
      <w:rPr>
        <w:rFonts w:ascii="Palatino Linotype" w:eastAsia="Palatino Linotype" w:hAnsi="Palatino Linotype" w:cs="Palatino Linotype"/>
        <w:b/>
        <w:color w:val="000000"/>
        <w:sz w:val="22"/>
        <w:szCs w:val="22"/>
      </w:rPr>
      <w:fldChar w:fldCharType="end"/>
    </w:r>
    <w:r w:rsidRPr="00816A2B">
      <w:rPr>
        <w:rFonts w:ascii="Palatino Linotype" w:eastAsia="Palatino Linotype" w:hAnsi="Palatino Linotype" w:cs="Palatino Linotype"/>
        <w:b/>
        <w:color w:val="000000"/>
        <w:sz w:val="22"/>
        <w:szCs w:val="22"/>
      </w:rPr>
      <w:t xml:space="preserve"> de </w:t>
    </w:r>
    <w:r w:rsidRPr="00816A2B">
      <w:rPr>
        <w:rFonts w:ascii="Palatino Linotype" w:eastAsia="Palatino Linotype" w:hAnsi="Palatino Linotype" w:cs="Palatino Linotype"/>
        <w:b/>
        <w:color w:val="000000"/>
        <w:sz w:val="22"/>
        <w:szCs w:val="22"/>
      </w:rPr>
      <w:fldChar w:fldCharType="begin"/>
    </w:r>
    <w:r w:rsidRPr="00816A2B">
      <w:rPr>
        <w:rFonts w:ascii="Palatino Linotype" w:eastAsia="Palatino Linotype" w:hAnsi="Palatino Linotype" w:cs="Palatino Linotype"/>
        <w:b/>
        <w:color w:val="000000"/>
        <w:sz w:val="22"/>
        <w:szCs w:val="22"/>
      </w:rPr>
      <w:instrText>NUMPAGES</w:instrText>
    </w:r>
    <w:r w:rsidRPr="00816A2B">
      <w:rPr>
        <w:rFonts w:ascii="Palatino Linotype" w:eastAsia="Palatino Linotype" w:hAnsi="Palatino Linotype" w:cs="Palatino Linotype"/>
        <w:b/>
        <w:color w:val="000000"/>
        <w:sz w:val="22"/>
        <w:szCs w:val="22"/>
      </w:rPr>
      <w:fldChar w:fldCharType="separate"/>
    </w:r>
    <w:r w:rsidR="003D062D">
      <w:rPr>
        <w:rFonts w:ascii="Palatino Linotype" w:eastAsia="Palatino Linotype" w:hAnsi="Palatino Linotype" w:cs="Palatino Linotype"/>
        <w:b/>
        <w:noProof/>
        <w:color w:val="000000"/>
        <w:sz w:val="22"/>
        <w:szCs w:val="22"/>
      </w:rPr>
      <w:t>34</w:t>
    </w:r>
    <w:r w:rsidRPr="00816A2B">
      <w:rPr>
        <w:rFonts w:ascii="Palatino Linotype" w:eastAsia="Palatino Linotype" w:hAnsi="Palatino Linotype" w:cs="Palatino Linotype"/>
        <w:b/>
        <w:color w:val="000000"/>
        <w:sz w:val="22"/>
        <w:szCs w:val="22"/>
      </w:rPr>
      <w:fldChar w:fldCharType="end"/>
    </w:r>
  </w:p>
  <w:p w:rsidR="00224033" w:rsidRDefault="0022403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224033" w:rsidRDefault="0022403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0768" w:rsidRDefault="008D0768">
      <w:r>
        <w:separator/>
      </w:r>
    </w:p>
  </w:footnote>
  <w:footnote w:type="continuationSeparator" w:id="0">
    <w:p w:rsidR="008D0768" w:rsidRDefault="008D0768">
      <w:r>
        <w:continuationSeparator/>
      </w:r>
    </w:p>
  </w:footnote>
  <w:footnote w:id="1">
    <w:p w:rsidR="00224033" w:rsidRDefault="00224033" w:rsidP="001D2F5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50, Ley de Transparencia y Acceso a la Información Pública del Estado de México y Municipios.</w:t>
      </w:r>
    </w:p>
  </w:footnote>
  <w:footnote w:id="2">
    <w:p w:rsidR="00224033" w:rsidRDefault="00224033" w:rsidP="001D2F5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51, Ídem.</w:t>
      </w:r>
    </w:p>
  </w:footnote>
  <w:footnote w:id="3">
    <w:p w:rsidR="00224033" w:rsidRDefault="00224033" w:rsidP="001D2F5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58, Ley de Transparencia y Acceso a la Información Pública del Estado de México y Municipios.</w:t>
      </w:r>
    </w:p>
  </w:footnote>
  <w:footnote w:id="4">
    <w:p w:rsidR="00224033" w:rsidRDefault="00224033" w:rsidP="001D2F5C">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Artículo 59, Ídem.</w:t>
      </w:r>
    </w:p>
  </w:footnote>
  <w:footnote w:id="5">
    <w:p w:rsidR="00224033" w:rsidRDefault="00224033" w:rsidP="001D2F5C">
      <w:pPr>
        <w:pBdr>
          <w:top w:val="nil"/>
          <w:left w:val="nil"/>
          <w:bottom w:val="nil"/>
          <w:right w:val="nil"/>
          <w:between w:val="nil"/>
        </w:pBdr>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Tesis XX.308 K, </w:t>
      </w:r>
      <w:r>
        <w:rPr>
          <w:rFonts w:ascii="Palatino Linotype" w:eastAsia="Palatino Linotype" w:hAnsi="Palatino Linotype" w:cs="Palatino Linotype"/>
          <w:i/>
          <w:color w:val="000000"/>
          <w:sz w:val="16"/>
          <w:szCs w:val="16"/>
        </w:rPr>
        <w:t>Semanario Judicial de la Federación</w:t>
      </w:r>
      <w:r>
        <w:rPr>
          <w:rFonts w:ascii="Palatino Linotype" w:eastAsia="Palatino Linotype" w:hAnsi="Palatino Linotype" w:cs="Palatino Linotype"/>
          <w:color w:val="000000"/>
          <w:sz w:val="16"/>
          <w:szCs w:val="16"/>
        </w:rPr>
        <w:t>, Octava Época, tomo XV-1, febrero de 1995, pág. 138.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e"/>
      <w:tblW w:w="7270"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734"/>
      <w:gridCol w:w="4536"/>
    </w:tblGrid>
    <w:tr w:rsidR="00224033" w:rsidTr="00816A2B">
      <w:trPr>
        <w:trHeight w:val="138"/>
      </w:trPr>
      <w:tc>
        <w:tcPr>
          <w:tcW w:w="2734"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Recurso de Revisión:</w:t>
          </w:r>
        </w:p>
      </w:tc>
      <w:tc>
        <w:tcPr>
          <w:tcW w:w="4536" w:type="dxa"/>
          <w:vAlign w:val="center"/>
        </w:tcPr>
        <w:p w:rsidR="00224033" w:rsidRPr="00816A2B" w:rsidRDefault="008E69F9" w:rsidP="00B61CD9">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816A2B">
            <w:rPr>
              <w:rFonts w:ascii="Palatino Linotype" w:eastAsia="Palatino Linotype" w:hAnsi="Palatino Linotype" w:cs="Palatino Linotype"/>
              <w:color w:val="000000"/>
              <w:sz w:val="24"/>
            </w:rPr>
            <w:t>10488</w:t>
          </w:r>
          <w:r w:rsidR="00224033" w:rsidRPr="00816A2B">
            <w:rPr>
              <w:rFonts w:ascii="Palatino Linotype" w:eastAsia="Palatino Linotype" w:hAnsi="Palatino Linotype" w:cs="Palatino Linotype"/>
              <w:color w:val="000000"/>
              <w:sz w:val="24"/>
            </w:rPr>
            <w:t>/INFOEM/IP/RR/2025</w:t>
          </w:r>
        </w:p>
      </w:tc>
    </w:tr>
    <w:tr w:rsidR="00224033" w:rsidTr="00816A2B">
      <w:trPr>
        <w:trHeight w:val="321"/>
      </w:trPr>
      <w:tc>
        <w:tcPr>
          <w:tcW w:w="2734"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Sujeto Obligado:</w:t>
          </w:r>
        </w:p>
      </w:tc>
      <w:tc>
        <w:tcPr>
          <w:tcW w:w="4536" w:type="dxa"/>
          <w:vAlign w:val="center"/>
        </w:tcPr>
        <w:p w:rsidR="00224033" w:rsidRPr="00816A2B" w:rsidRDefault="00224033" w:rsidP="000632C2">
          <w:pPr>
            <w:ind w:right="-204"/>
            <w:rPr>
              <w:rFonts w:ascii="Palatino Linotype" w:eastAsia="Palatino Linotype" w:hAnsi="Palatino Linotype" w:cs="Palatino Linotype"/>
              <w:sz w:val="24"/>
            </w:rPr>
          </w:pPr>
          <w:r w:rsidRPr="00816A2B">
            <w:rPr>
              <w:rFonts w:ascii="Palatino Linotype" w:eastAsia="Palatino Linotype" w:hAnsi="Palatino Linotype" w:cs="Palatino Linotype"/>
              <w:sz w:val="24"/>
            </w:rPr>
            <w:t>Ayuntamiento de Ecatepec de Morelos</w:t>
          </w:r>
        </w:p>
      </w:tc>
    </w:tr>
    <w:tr w:rsidR="00224033" w:rsidTr="00816A2B">
      <w:trPr>
        <w:trHeight w:val="321"/>
      </w:trPr>
      <w:tc>
        <w:tcPr>
          <w:tcW w:w="2734"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Comisionada Ponente:</w:t>
          </w:r>
        </w:p>
      </w:tc>
      <w:tc>
        <w:tcPr>
          <w:tcW w:w="4536" w:type="dxa"/>
          <w:vAlign w:val="center"/>
        </w:tcPr>
        <w:p w:rsidR="00224033" w:rsidRPr="00816A2B" w:rsidRDefault="00224033">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816A2B">
            <w:rPr>
              <w:rFonts w:ascii="Palatino Linotype" w:eastAsia="Palatino Linotype" w:hAnsi="Palatino Linotype" w:cs="Palatino Linotype"/>
              <w:color w:val="000000"/>
              <w:sz w:val="24"/>
            </w:rPr>
            <w:t>María del Rosario Mejía Ayala</w:t>
          </w:r>
        </w:p>
      </w:tc>
    </w:tr>
  </w:tbl>
  <w:p w:rsidR="00224033" w:rsidRDefault="00816A2B">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8240" behindDoc="1" locked="0" layoutInCell="1" hidden="0" allowOverlap="1">
          <wp:simplePos x="0" y="0"/>
          <wp:positionH relativeFrom="column">
            <wp:posOffset>-940483</wp:posOffset>
          </wp:positionH>
          <wp:positionV relativeFrom="paragraph">
            <wp:posOffset>-1240442</wp:posOffset>
          </wp:positionV>
          <wp:extent cx="7809876" cy="10165823"/>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224033" w:rsidRDefault="0022403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
      <w:tblW w:w="7544" w:type="dxa"/>
      <w:tblInd w:w="27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725"/>
      <w:gridCol w:w="255"/>
      <w:gridCol w:w="4564"/>
    </w:tblGrid>
    <w:tr w:rsidR="00224033" w:rsidTr="00816A2B">
      <w:trPr>
        <w:trHeight w:val="138"/>
      </w:trPr>
      <w:tc>
        <w:tcPr>
          <w:tcW w:w="2725"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Recurso de Revisión:</w:t>
          </w:r>
        </w:p>
      </w:tc>
      <w:tc>
        <w:tcPr>
          <w:tcW w:w="255" w:type="dxa"/>
          <w:vAlign w:val="center"/>
        </w:tcPr>
        <w:p w:rsidR="00224033" w:rsidRPr="00816A2B" w:rsidRDefault="0022403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564" w:type="dxa"/>
          <w:vAlign w:val="center"/>
        </w:tcPr>
        <w:p w:rsidR="00224033" w:rsidRPr="00816A2B" w:rsidRDefault="00224033" w:rsidP="000632C2">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816A2B">
            <w:rPr>
              <w:rFonts w:ascii="Palatino Linotype" w:eastAsia="Palatino Linotype" w:hAnsi="Palatino Linotype" w:cs="Palatino Linotype"/>
              <w:color w:val="000000"/>
              <w:sz w:val="24"/>
            </w:rPr>
            <w:t>10488/INFOEM/IP/RR/2025</w:t>
          </w:r>
        </w:p>
      </w:tc>
    </w:tr>
    <w:tr w:rsidR="00224033" w:rsidTr="00816A2B">
      <w:trPr>
        <w:trHeight w:val="227"/>
      </w:trPr>
      <w:tc>
        <w:tcPr>
          <w:tcW w:w="2725"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Recurrente:</w:t>
          </w:r>
        </w:p>
      </w:tc>
      <w:tc>
        <w:tcPr>
          <w:tcW w:w="255" w:type="dxa"/>
          <w:vAlign w:val="center"/>
        </w:tcPr>
        <w:p w:rsidR="00224033" w:rsidRPr="00816A2B" w:rsidRDefault="0022403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564" w:type="dxa"/>
          <w:vAlign w:val="center"/>
        </w:tcPr>
        <w:p w:rsidR="00224033" w:rsidRPr="00816A2B" w:rsidRDefault="003D062D">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Pr>
              <w:rFonts w:ascii="Palatino Linotype" w:eastAsia="Palatino Linotype" w:hAnsi="Palatino Linotype" w:cs="Palatino Linotype"/>
              <w:color w:val="000000"/>
              <w:sz w:val="24"/>
            </w:rPr>
            <w:t>XXXX</w:t>
          </w:r>
        </w:p>
      </w:tc>
    </w:tr>
    <w:tr w:rsidR="00224033" w:rsidTr="00816A2B">
      <w:trPr>
        <w:trHeight w:val="232"/>
      </w:trPr>
      <w:tc>
        <w:tcPr>
          <w:tcW w:w="2725"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Sujeto Obligado:</w:t>
          </w:r>
        </w:p>
      </w:tc>
      <w:tc>
        <w:tcPr>
          <w:tcW w:w="255" w:type="dxa"/>
          <w:vAlign w:val="center"/>
        </w:tcPr>
        <w:p w:rsidR="00224033" w:rsidRPr="00816A2B" w:rsidRDefault="0022403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564" w:type="dxa"/>
          <w:vAlign w:val="center"/>
        </w:tcPr>
        <w:p w:rsidR="00224033" w:rsidRPr="00816A2B" w:rsidRDefault="00224033" w:rsidP="000632C2">
          <w:pPr>
            <w:ind w:right="-73"/>
            <w:rPr>
              <w:sz w:val="24"/>
            </w:rPr>
          </w:pPr>
          <w:r w:rsidRPr="00816A2B">
            <w:rPr>
              <w:rFonts w:ascii="Palatino Linotype" w:eastAsia="Palatino Linotype" w:hAnsi="Palatino Linotype" w:cs="Palatino Linotype"/>
              <w:sz w:val="24"/>
            </w:rPr>
            <w:t>Ayuntamiento de Ecatepec de Morelos</w:t>
          </w:r>
        </w:p>
      </w:tc>
    </w:tr>
    <w:tr w:rsidR="00224033" w:rsidTr="00816A2B">
      <w:trPr>
        <w:trHeight w:val="320"/>
      </w:trPr>
      <w:tc>
        <w:tcPr>
          <w:tcW w:w="2725" w:type="dxa"/>
          <w:vAlign w:val="center"/>
        </w:tcPr>
        <w:p w:rsidR="00224033" w:rsidRPr="00816A2B" w:rsidRDefault="00224033">
          <w:pPr>
            <w:rPr>
              <w:rFonts w:ascii="Palatino Linotype" w:eastAsia="Palatino Linotype" w:hAnsi="Palatino Linotype" w:cs="Palatino Linotype"/>
              <w:b/>
              <w:sz w:val="24"/>
            </w:rPr>
          </w:pPr>
          <w:r w:rsidRPr="00816A2B">
            <w:rPr>
              <w:rFonts w:ascii="Palatino Linotype" w:eastAsia="Palatino Linotype" w:hAnsi="Palatino Linotype" w:cs="Palatino Linotype"/>
              <w:b/>
              <w:sz w:val="24"/>
            </w:rPr>
            <w:t>Comisionada Ponente:</w:t>
          </w:r>
        </w:p>
      </w:tc>
      <w:tc>
        <w:tcPr>
          <w:tcW w:w="255" w:type="dxa"/>
          <w:vAlign w:val="center"/>
        </w:tcPr>
        <w:p w:rsidR="00224033" w:rsidRPr="00816A2B" w:rsidRDefault="00224033">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color w:val="000000"/>
              <w:sz w:val="24"/>
            </w:rPr>
          </w:pPr>
        </w:p>
      </w:tc>
      <w:tc>
        <w:tcPr>
          <w:tcW w:w="4564" w:type="dxa"/>
          <w:vAlign w:val="center"/>
        </w:tcPr>
        <w:p w:rsidR="00224033" w:rsidRPr="00816A2B" w:rsidRDefault="00224033">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816A2B">
            <w:rPr>
              <w:rFonts w:ascii="Palatino Linotype" w:eastAsia="Palatino Linotype" w:hAnsi="Palatino Linotype" w:cs="Palatino Linotype"/>
              <w:color w:val="000000"/>
              <w:sz w:val="24"/>
            </w:rPr>
            <w:t>María del Rosario Mejía Ayala</w:t>
          </w:r>
        </w:p>
      </w:tc>
    </w:tr>
  </w:tbl>
  <w:p w:rsidR="00224033" w:rsidRDefault="00816A2B">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column">
            <wp:posOffset>-1059838</wp:posOffset>
          </wp:positionH>
          <wp:positionV relativeFrom="paragraph">
            <wp:posOffset>-1246673</wp:posOffset>
          </wp:positionV>
          <wp:extent cx="7809876" cy="10165823"/>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224033" w:rsidRDefault="0022403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8682C"/>
    <w:multiLevelType w:val="multilevel"/>
    <w:tmpl w:val="593266C8"/>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C1274E"/>
    <w:multiLevelType w:val="multilevel"/>
    <w:tmpl w:val="1388BC6C"/>
    <w:lvl w:ilvl="0">
      <w:start w:val="1"/>
      <w:numFmt w:val="decimal"/>
      <w:lvlText w:val="%1."/>
      <w:lvlJc w:val="left"/>
      <w:pPr>
        <w:ind w:left="357" w:hanging="357"/>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992483"/>
    <w:multiLevelType w:val="multilevel"/>
    <w:tmpl w:val="E14A5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E63E93"/>
    <w:multiLevelType w:val="hybridMultilevel"/>
    <w:tmpl w:val="9C18BB42"/>
    <w:lvl w:ilvl="0" w:tplc="89CCCEAE">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0">
    <w:nsid w:val="23C31FA9"/>
    <w:multiLevelType w:val="hybridMultilevel"/>
    <w:tmpl w:val="9ED6E9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03496D"/>
    <w:multiLevelType w:val="multilevel"/>
    <w:tmpl w:val="3E0CA868"/>
    <w:lvl w:ilvl="0">
      <w:start w:val="1"/>
      <w:numFmt w:val="lowerLetter"/>
      <w:lvlText w:val="%1)"/>
      <w:lvlJc w:val="left"/>
      <w:pPr>
        <w:ind w:left="1068" w:hanging="360"/>
      </w:pPr>
      <w:rPr>
        <w:rFonts w:ascii="Palatino Linotype" w:eastAsia="Palatino Linotype" w:hAnsi="Palatino Linotype" w:cs="Palatino Linotype"/>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6" w15:restartNumberingAfterBreak="0">
    <w:nsid w:val="276F7797"/>
    <w:multiLevelType w:val="hybridMultilevel"/>
    <w:tmpl w:val="7F4A9C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78A0D39"/>
    <w:multiLevelType w:val="multilevel"/>
    <w:tmpl w:val="DE0E5EBC"/>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B47A2F"/>
    <w:multiLevelType w:val="hybridMultilevel"/>
    <w:tmpl w:val="3B882CD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D74097B"/>
    <w:multiLevelType w:val="multilevel"/>
    <w:tmpl w:val="EE3C38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325D1E"/>
    <w:multiLevelType w:val="multilevel"/>
    <w:tmpl w:val="3F005E64"/>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18F73FC"/>
    <w:multiLevelType w:val="multilevel"/>
    <w:tmpl w:val="CD38828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6D95B6B"/>
    <w:multiLevelType w:val="multilevel"/>
    <w:tmpl w:val="C846B3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97736C0"/>
    <w:multiLevelType w:val="multilevel"/>
    <w:tmpl w:val="289411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1BC11B7"/>
    <w:multiLevelType w:val="hybridMultilevel"/>
    <w:tmpl w:val="A5CE5F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85055A"/>
    <w:multiLevelType w:val="hybridMultilevel"/>
    <w:tmpl w:val="42CCF11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120118B"/>
    <w:multiLevelType w:val="multilevel"/>
    <w:tmpl w:val="1A94F384"/>
    <w:lvl w:ilvl="0">
      <w:start w:val="60"/>
      <w:numFmt w:val="decimal"/>
      <w:lvlText w:val="%1."/>
      <w:lvlJc w:val="left"/>
      <w:pPr>
        <w:ind w:left="0" w:firstLine="0"/>
      </w:pPr>
      <w:rPr>
        <w:rFonts w:ascii="Palatino Linotype" w:eastAsia="Palatino Linotype" w:hAnsi="Palatino Linotype" w:cs="Palatino Linotype" w:hint="default"/>
        <w:b/>
        <w:i w:val="0"/>
        <w:sz w:val="24"/>
        <w:szCs w:val="24"/>
      </w:rPr>
    </w:lvl>
    <w:lvl w:ilvl="1">
      <w:start w:val="1"/>
      <w:numFmt w:val="lowerLetter"/>
      <w:lvlText w:val="%2)"/>
      <w:lvlJc w:val="left"/>
      <w:pPr>
        <w:ind w:left="1440" w:hanging="360"/>
      </w:pPr>
      <w:rPr>
        <w:rFonts w:hint="default"/>
        <w:b/>
        <w:i w:val="0"/>
      </w:rPr>
    </w:lvl>
    <w:lvl w:ilvl="2">
      <w:start w:val="1"/>
      <w:numFmt w:val="bullet"/>
      <w:lvlText w:val="⮚"/>
      <w:lvlJc w:val="left"/>
      <w:pPr>
        <w:ind w:left="2340" w:hanging="360"/>
      </w:pPr>
      <w:rPr>
        <w:rFonts w:ascii="Noto Sans Symbols" w:eastAsia="Noto Sans Symbols" w:hAnsi="Noto Sans Symbols" w:cs="Noto Sans Symbols" w:hint="default"/>
        <w:strike w: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C5866BE"/>
    <w:multiLevelType w:val="hybridMultilevel"/>
    <w:tmpl w:val="5EB841D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D195DC6"/>
    <w:multiLevelType w:val="hybridMultilevel"/>
    <w:tmpl w:val="7610A2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ECA2B9F"/>
    <w:multiLevelType w:val="hybridMultilevel"/>
    <w:tmpl w:val="006C8C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F2D7D6E"/>
    <w:multiLevelType w:val="multilevel"/>
    <w:tmpl w:val="86DAD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FBD1911"/>
    <w:multiLevelType w:val="multilevel"/>
    <w:tmpl w:val="A120D07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02B190D"/>
    <w:multiLevelType w:val="hybridMultilevel"/>
    <w:tmpl w:val="27BA8216"/>
    <w:lvl w:ilvl="0" w:tplc="3EF48730">
      <w:start w:val="1"/>
      <w:numFmt w:val="decimal"/>
      <w:lvlText w:val="%1."/>
      <w:lvlJc w:val="left"/>
      <w:pPr>
        <w:ind w:left="360" w:hanging="360"/>
      </w:pPr>
      <w:rPr>
        <w:rFonts w:ascii="Palatino Linotype" w:hAnsi="Palatino Linotype" w:hint="default"/>
        <w:b/>
        <w:i w:val="0"/>
        <w:color w:val="auto"/>
        <w:sz w:val="24"/>
      </w:rPr>
    </w:lvl>
    <w:lvl w:ilvl="1" w:tplc="E6865752">
      <w:start w:val="1"/>
      <w:numFmt w:val="lowerLetter"/>
      <w:lvlText w:val="%2."/>
      <w:lvlJc w:val="left"/>
      <w:pPr>
        <w:ind w:left="1440" w:hanging="360"/>
      </w:pPr>
      <w:rPr>
        <w:sz w:val="22"/>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606853C6"/>
    <w:multiLevelType w:val="hybridMultilevel"/>
    <w:tmpl w:val="77848FCC"/>
    <w:lvl w:ilvl="0" w:tplc="7EE0C6EC">
      <w:start w:val="1"/>
      <w:numFmt w:val="decimal"/>
      <w:lvlText w:val="%1."/>
      <w:lvlJc w:val="left"/>
      <w:pPr>
        <w:ind w:left="0" w:firstLine="0"/>
      </w:pPr>
      <w:rPr>
        <w:rFonts w:ascii="Palatino Linotype" w:hAnsi="Palatino Linotype" w:hint="default"/>
        <w:b/>
        <w:i w:val="0"/>
        <w:sz w:val="24"/>
      </w:rPr>
    </w:lvl>
    <w:lvl w:ilvl="1" w:tplc="080A0001">
      <w:start w:val="1"/>
      <w:numFmt w:val="bullet"/>
      <w:lvlText w:val=""/>
      <w:lvlJc w:val="left"/>
      <w:pPr>
        <w:ind w:left="1440" w:hanging="360"/>
      </w:pPr>
      <w:rPr>
        <w:rFonts w:ascii="Symbol" w:hAnsi="Symbol" w:hint="default"/>
      </w:rPr>
    </w:lvl>
    <w:lvl w:ilvl="2" w:tplc="080A000B">
      <w:start w:val="1"/>
      <w:numFmt w:val="bullet"/>
      <w:lvlText w:val=""/>
      <w:lvlJc w:val="left"/>
      <w:pPr>
        <w:ind w:left="2340" w:hanging="360"/>
      </w:pPr>
      <w:rPr>
        <w:rFonts w:ascii="Wingdings" w:hAnsi="Wingdings" w:cs="Wingdings" w:hint="default"/>
        <w:strike w:val="0"/>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7D06A83"/>
    <w:multiLevelType w:val="multilevel"/>
    <w:tmpl w:val="BF6E77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48553ED"/>
    <w:multiLevelType w:val="multilevel"/>
    <w:tmpl w:val="6A44154C"/>
    <w:lvl w:ilvl="0">
      <w:start w:val="34"/>
      <w:numFmt w:val="decimal"/>
      <w:lvlText w:val="%1."/>
      <w:lvlJc w:val="left"/>
      <w:pPr>
        <w:ind w:left="1211" w:hanging="360"/>
      </w:pPr>
      <w:rPr>
        <w:rFonts w:hint="default"/>
        <w:b/>
        <w:i w:val="0"/>
        <w:color w:val="000000"/>
        <w:sz w:val="24"/>
        <w:szCs w:val="24"/>
      </w:rPr>
    </w:lvl>
    <w:lvl w:ilvl="1">
      <w:start w:val="1"/>
      <w:numFmt w:val="lowerLetter"/>
      <w:lvlText w:val="%2."/>
      <w:lvlJc w:val="left"/>
      <w:pPr>
        <w:ind w:left="1440" w:hanging="360"/>
      </w:pPr>
      <w:rPr>
        <w:rFonts w:hint="default"/>
      </w:rPr>
    </w:lvl>
    <w:lvl w:ilvl="2">
      <w:numFmt w:val="bullet"/>
      <w:lvlText w:val="•"/>
      <w:lvlJc w:val="left"/>
      <w:pPr>
        <w:ind w:left="2340" w:hanging="360"/>
      </w:pPr>
      <w:rPr>
        <w:rFonts w:ascii="Palatino Linotype" w:eastAsia="Palatino Linotype" w:hAnsi="Palatino Linotype" w:cs="Palatino Linotype"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786C0896"/>
    <w:multiLevelType w:val="multilevel"/>
    <w:tmpl w:val="114CF5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B3E5BB4"/>
    <w:multiLevelType w:val="hybridMultilevel"/>
    <w:tmpl w:val="124C65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21"/>
  </w:num>
  <w:num w:numId="3">
    <w:abstractNumId w:val="17"/>
  </w:num>
  <w:num w:numId="4">
    <w:abstractNumId w:val="23"/>
  </w:num>
  <w:num w:numId="5">
    <w:abstractNumId w:val="1"/>
  </w:num>
  <w:num w:numId="6">
    <w:abstractNumId w:val="8"/>
  </w:num>
  <w:num w:numId="7">
    <w:abstractNumId w:val="9"/>
  </w:num>
  <w:num w:numId="8">
    <w:abstractNumId w:val="3"/>
  </w:num>
  <w:num w:numId="9">
    <w:abstractNumId w:val="0"/>
  </w:num>
  <w:num w:numId="10">
    <w:abstractNumId w:val="20"/>
  </w:num>
  <w:num w:numId="11">
    <w:abstractNumId w:val="12"/>
  </w:num>
  <w:num w:numId="12">
    <w:abstractNumId w:val="13"/>
  </w:num>
  <w:num w:numId="13">
    <w:abstractNumId w:val="24"/>
  </w:num>
  <w:num w:numId="14">
    <w:abstractNumId w:val="4"/>
  </w:num>
  <w:num w:numId="15">
    <w:abstractNumId w:val="18"/>
  </w:num>
  <w:num w:numId="16">
    <w:abstractNumId w:val="22"/>
  </w:num>
  <w:num w:numId="17">
    <w:abstractNumId w:val="6"/>
  </w:num>
  <w:num w:numId="18">
    <w:abstractNumId w:val="27"/>
  </w:num>
  <w:num w:numId="19">
    <w:abstractNumId w:val="19"/>
  </w:num>
  <w:num w:numId="20">
    <w:abstractNumId w:val="15"/>
  </w:num>
  <w:num w:numId="21">
    <w:abstractNumId w:val="2"/>
  </w:num>
  <w:num w:numId="22">
    <w:abstractNumId w:val="11"/>
  </w:num>
  <w:num w:numId="23">
    <w:abstractNumId w:val="10"/>
  </w:num>
  <w:num w:numId="24">
    <w:abstractNumId w:val="25"/>
  </w:num>
  <w:num w:numId="25">
    <w:abstractNumId w:val="16"/>
  </w:num>
  <w:num w:numId="26">
    <w:abstractNumId w:val="26"/>
  </w:num>
  <w:num w:numId="27">
    <w:abstractNumId w:val="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E74"/>
    <w:rsid w:val="000261F9"/>
    <w:rsid w:val="0003724B"/>
    <w:rsid w:val="0005385B"/>
    <w:rsid w:val="000632C2"/>
    <w:rsid w:val="00065503"/>
    <w:rsid w:val="0009595D"/>
    <w:rsid w:val="000E6B21"/>
    <w:rsid w:val="001114DB"/>
    <w:rsid w:val="001D2F5C"/>
    <w:rsid w:val="001E06D6"/>
    <w:rsid w:val="001E772B"/>
    <w:rsid w:val="001F048C"/>
    <w:rsid w:val="00211124"/>
    <w:rsid w:val="002153FF"/>
    <w:rsid w:val="00224033"/>
    <w:rsid w:val="002A1395"/>
    <w:rsid w:val="002A6AF6"/>
    <w:rsid w:val="00327D9C"/>
    <w:rsid w:val="00367F59"/>
    <w:rsid w:val="0037699F"/>
    <w:rsid w:val="003A6EDC"/>
    <w:rsid w:val="003D062D"/>
    <w:rsid w:val="00407E28"/>
    <w:rsid w:val="0043094E"/>
    <w:rsid w:val="004D1DF0"/>
    <w:rsid w:val="004D2425"/>
    <w:rsid w:val="0051138E"/>
    <w:rsid w:val="005235B9"/>
    <w:rsid w:val="005F2DF6"/>
    <w:rsid w:val="00636840"/>
    <w:rsid w:val="00663745"/>
    <w:rsid w:val="006C313E"/>
    <w:rsid w:val="00712727"/>
    <w:rsid w:val="0076269B"/>
    <w:rsid w:val="00791BEE"/>
    <w:rsid w:val="007928E2"/>
    <w:rsid w:val="007E6BEA"/>
    <w:rsid w:val="00812C87"/>
    <w:rsid w:val="00816A2B"/>
    <w:rsid w:val="00875579"/>
    <w:rsid w:val="00882DDD"/>
    <w:rsid w:val="008B50F4"/>
    <w:rsid w:val="008D0768"/>
    <w:rsid w:val="008E2AE5"/>
    <w:rsid w:val="008E69F9"/>
    <w:rsid w:val="00922CB2"/>
    <w:rsid w:val="009303EB"/>
    <w:rsid w:val="00966A65"/>
    <w:rsid w:val="009F2FA0"/>
    <w:rsid w:val="009F75E9"/>
    <w:rsid w:val="00A30285"/>
    <w:rsid w:val="00A65077"/>
    <w:rsid w:val="00A80813"/>
    <w:rsid w:val="00AA7F87"/>
    <w:rsid w:val="00AB4926"/>
    <w:rsid w:val="00AD240C"/>
    <w:rsid w:val="00AF0256"/>
    <w:rsid w:val="00B05C77"/>
    <w:rsid w:val="00B61CD9"/>
    <w:rsid w:val="00B93ACB"/>
    <w:rsid w:val="00BD7A1F"/>
    <w:rsid w:val="00C061D5"/>
    <w:rsid w:val="00CE7CA6"/>
    <w:rsid w:val="00D23705"/>
    <w:rsid w:val="00D24620"/>
    <w:rsid w:val="00D54E22"/>
    <w:rsid w:val="00D86E74"/>
    <w:rsid w:val="00DA03B4"/>
    <w:rsid w:val="00E46E89"/>
    <w:rsid w:val="00EC13DD"/>
    <w:rsid w:val="00F1514E"/>
    <w:rsid w:val="00F23537"/>
    <w:rsid w:val="00FB3F36"/>
    <w:rsid w:val="00FF56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996C64-82E1-4378-A9E3-AF41129E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color w:val="366091"/>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87366"/>
    <w:pPr>
      <w:tabs>
        <w:tab w:val="center" w:pos="4252"/>
        <w:tab w:val="right" w:pos="8504"/>
      </w:tabs>
    </w:pPr>
  </w:style>
  <w:style w:type="character" w:customStyle="1" w:styleId="EncabezadoCar">
    <w:name w:val="Encabezado Car"/>
    <w:basedOn w:val="Fuentedeprrafopredeter"/>
    <w:link w:val="Encabezado"/>
    <w:uiPriority w:val="99"/>
    <w:rsid w:val="00587366"/>
  </w:style>
  <w:style w:type="paragraph" w:styleId="Piedepgina">
    <w:name w:val="footer"/>
    <w:basedOn w:val="Normal"/>
    <w:link w:val="PiedepginaCar"/>
    <w:uiPriority w:val="99"/>
    <w:unhideWhenUsed/>
    <w:rsid w:val="00587366"/>
    <w:pPr>
      <w:tabs>
        <w:tab w:val="center" w:pos="4252"/>
        <w:tab w:val="right" w:pos="8504"/>
      </w:tabs>
    </w:pPr>
  </w:style>
  <w:style w:type="character" w:customStyle="1" w:styleId="PiedepginaCar">
    <w:name w:val="Pie de página Car"/>
    <w:basedOn w:val="Fuentedeprrafopredeter"/>
    <w:link w:val="Piedepgina"/>
    <w:uiPriority w:val="99"/>
    <w:rsid w:val="00587366"/>
  </w:style>
  <w:style w:type="table" w:styleId="Tablaconcuadrcula">
    <w:name w:val="Table Grid"/>
    <w:basedOn w:val="Tablanormal"/>
    <w:uiPriority w:val="39"/>
    <w:rsid w:val="005873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8736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587366"/>
    <w:rPr>
      <w:rFonts w:ascii="Lucida Grande" w:hAnsi="Lucida Grande" w:cs="Lucida Grande"/>
      <w:sz w:val="18"/>
      <w:szCs w:val="18"/>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2C69"/>
    <w:pPr>
      <w:ind w:left="720"/>
      <w:contextualSpacing/>
    </w:pPr>
  </w:style>
  <w:style w:type="paragraph" w:styleId="Sinespaciado">
    <w:name w:val="No Spacing"/>
    <w:aliases w:val="Francesa"/>
    <w:link w:val="SinespaciadoCar"/>
    <w:uiPriority w:val="1"/>
    <w:qFormat/>
    <w:rsid w:val="00166794"/>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A3513"/>
  </w:style>
  <w:style w:type="character" w:styleId="Hipervnculo">
    <w:name w:val="Hyperlink"/>
    <w:aliases w:val="Hipervínculo1,Hipervínculo11,Hipervínculo12,Hipervínculo13,Hipervínculo14,Hipervínculo15"/>
    <w:basedOn w:val="Fuentedeprrafopredeter"/>
    <w:uiPriority w:val="99"/>
    <w:unhideWhenUsed/>
    <w:rsid w:val="008167F5"/>
    <w:rPr>
      <w:color w:val="0000FF" w:themeColor="hyperlink"/>
      <w:u w:val="single"/>
    </w:rPr>
  </w:style>
  <w:style w:type="paragraph" w:styleId="TDC1">
    <w:name w:val="toc 1"/>
    <w:basedOn w:val="Normal"/>
    <w:next w:val="Normal"/>
    <w:autoRedefine/>
    <w:uiPriority w:val="39"/>
    <w:unhideWhenUsed/>
    <w:rsid w:val="008826F4"/>
    <w:pPr>
      <w:tabs>
        <w:tab w:val="right" w:leader="dot" w:pos="8779"/>
      </w:tabs>
      <w:spacing w:after="100" w:line="360" w:lineRule="auto"/>
      <w:ind w:left="284"/>
    </w:pPr>
  </w:style>
  <w:style w:type="paragraph" w:styleId="TDC2">
    <w:name w:val="toc 2"/>
    <w:basedOn w:val="Normal"/>
    <w:next w:val="Normal"/>
    <w:autoRedefine/>
    <w:uiPriority w:val="39"/>
    <w:unhideWhenUsed/>
    <w:rsid w:val="00B37AEC"/>
    <w:pPr>
      <w:tabs>
        <w:tab w:val="left" w:pos="709"/>
        <w:tab w:val="right" w:leader="dot" w:pos="8779"/>
      </w:tabs>
      <w:spacing w:after="100" w:line="480" w:lineRule="auto"/>
      <w:ind w:left="284"/>
    </w:pPr>
  </w:style>
  <w:style w:type="character" w:styleId="Refdecomentario">
    <w:name w:val="annotation reference"/>
    <w:basedOn w:val="Fuentedeprrafopredeter"/>
    <w:uiPriority w:val="99"/>
    <w:semiHidden/>
    <w:unhideWhenUsed/>
    <w:rsid w:val="00750A80"/>
    <w:rPr>
      <w:sz w:val="16"/>
      <w:szCs w:val="16"/>
    </w:rPr>
  </w:style>
  <w:style w:type="paragraph" w:styleId="Textocomentario">
    <w:name w:val="annotation text"/>
    <w:basedOn w:val="Normal"/>
    <w:link w:val="TextocomentarioCar"/>
    <w:uiPriority w:val="99"/>
    <w:semiHidden/>
    <w:unhideWhenUsed/>
    <w:rsid w:val="00750A80"/>
    <w:rPr>
      <w:sz w:val="20"/>
      <w:szCs w:val="20"/>
    </w:rPr>
  </w:style>
  <w:style w:type="character" w:customStyle="1" w:styleId="TextocomentarioCar">
    <w:name w:val="Texto comentario Car"/>
    <w:basedOn w:val="Fuentedeprrafopredeter"/>
    <w:link w:val="Textocomentario"/>
    <w:uiPriority w:val="99"/>
    <w:semiHidden/>
    <w:rsid w:val="00750A80"/>
    <w:rPr>
      <w:sz w:val="20"/>
      <w:szCs w:val="20"/>
    </w:rPr>
  </w:style>
  <w:style w:type="paragraph" w:styleId="Asuntodelcomentario">
    <w:name w:val="annotation subject"/>
    <w:basedOn w:val="Textocomentario"/>
    <w:next w:val="Textocomentario"/>
    <w:link w:val="AsuntodelcomentarioCar"/>
    <w:uiPriority w:val="99"/>
    <w:semiHidden/>
    <w:unhideWhenUsed/>
    <w:rsid w:val="00750A80"/>
    <w:rPr>
      <w:b/>
      <w:bCs/>
    </w:rPr>
  </w:style>
  <w:style w:type="character" w:customStyle="1" w:styleId="AsuntodelcomentarioCar">
    <w:name w:val="Asunto del comentario Car"/>
    <w:basedOn w:val="TextocomentarioCar"/>
    <w:link w:val="Asuntodelcomentario"/>
    <w:uiPriority w:val="99"/>
    <w:semiHidden/>
    <w:rsid w:val="00750A80"/>
    <w:rPr>
      <w:b/>
      <w:bCs/>
      <w:sz w:val="20"/>
      <w:szCs w:val="20"/>
    </w:rPr>
  </w:style>
  <w:style w:type="character" w:customStyle="1" w:styleId="Ttulo1Car">
    <w:name w:val="Título 1 Car"/>
    <w:basedOn w:val="Fuentedeprrafopredeter"/>
    <w:uiPriority w:val="9"/>
    <w:rsid w:val="00F214E5"/>
    <w:rPr>
      <w:rFonts w:ascii="Palatino Linotype" w:eastAsiaTheme="majorEastAsia" w:hAnsi="Palatino Linotype" w:cstheme="majorBidi"/>
      <w:b/>
      <w:color w:val="000000" w:themeColor="text1"/>
      <w:szCs w:val="32"/>
      <w:lang w:val="es-MX" w:eastAsia="en-US"/>
    </w:rPr>
  </w:style>
  <w:style w:type="character" w:customStyle="1" w:styleId="Ttulo2Car">
    <w:name w:val="Título 2 Car"/>
    <w:basedOn w:val="Fuentedeprrafopredeter"/>
    <w:uiPriority w:val="9"/>
    <w:rsid w:val="008E2E89"/>
    <w:rPr>
      <w:rFonts w:ascii="Palatino Linotype" w:eastAsiaTheme="majorEastAsia" w:hAnsi="Palatino Linotype" w:cstheme="majorBidi"/>
      <w:b/>
      <w:color w:val="000000" w:themeColor="text1"/>
      <w:szCs w:val="26"/>
      <w:lang w:val="es-MX" w:eastAsia="en-US"/>
    </w:rPr>
  </w:style>
  <w:style w:type="character" w:customStyle="1" w:styleId="apple-converted-space">
    <w:name w:val="apple-converted-space"/>
    <w:basedOn w:val="Fuentedeprrafopredeter"/>
    <w:rsid w:val="00E43ABE"/>
  </w:style>
  <w:style w:type="paragraph" w:styleId="Textoindependiente">
    <w:name w:val="Body Text"/>
    <w:basedOn w:val="Normal"/>
    <w:link w:val="TextoindependienteCar"/>
    <w:rsid w:val="00A8769A"/>
    <w:pPr>
      <w:jc w:val="both"/>
    </w:pPr>
    <w:rPr>
      <w:rFonts w:ascii="Arial" w:eastAsia="Times New Roman" w:hAnsi="Arial" w:cs="Times New Roman"/>
      <w:szCs w:val="20"/>
    </w:rPr>
  </w:style>
  <w:style w:type="character" w:customStyle="1" w:styleId="TextoindependienteCar">
    <w:name w:val="Texto independiente Car"/>
    <w:basedOn w:val="Fuentedeprrafopredeter"/>
    <w:link w:val="Textoindependiente"/>
    <w:rsid w:val="00A8769A"/>
    <w:rPr>
      <w:rFonts w:ascii="Arial" w:eastAsia="Times New Roman" w:hAnsi="Arial" w:cs="Times New Roman"/>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6C563A"/>
    <w:rPr>
      <w:rFonts w:eastAsiaTheme="minorHAns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6C563A"/>
    <w:rPr>
      <w:rFonts w:eastAsiaTheme="minorHAnsi"/>
      <w:sz w:val="20"/>
      <w:szCs w:val="20"/>
      <w:lang w:val="es-MX"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6C563A"/>
    <w:rPr>
      <w:vertAlign w:val="superscript"/>
    </w:rPr>
  </w:style>
  <w:style w:type="paragraph" w:customStyle="1" w:styleId="p">
    <w:name w:val="p"/>
    <w:basedOn w:val="Normal"/>
    <w:rsid w:val="006C563A"/>
    <w:pPr>
      <w:spacing w:before="100" w:beforeAutospacing="1" w:after="100" w:afterAutospacing="1"/>
    </w:pPr>
    <w:rPr>
      <w:rFonts w:ascii="Times New Roman" w:eastAsia="Times New Roman" w:hAnsi="Times New Roman" w:cs="Times New Roman"/>
      <w:lang w:val="es-MX"/>
    </w:rPr>
  </w:style>
  <w:style w:type="character" w:customStyle="1" w:styleId="f">
    <w:name w:val="f"/>
    <w:basedOn w:val="Fuentedeprrafopredeter"/>
    <w:rsid w:val="006C563A"/>
  </w:style>
  <w:style w:type="character" w:customStyle="1" w:styleId="a">
    <w:name w:val="a"/>
    <w:basedOn w:val="Fuentedeprrafopredeter"/>
    <w:rsid w:val="006C563A"/>
  </w:style>
  <w:style w:type="character" w:customStyle="1" w:styleId="d">
    <w:name w:val="d"/>
    <w:basedOn w:val="Fuentedeprrafopredeter"/>
    <w:rsid w:val="006C563A"/>
  </w:style>
  <w:style w:type="character" w:customStyle="1" w:styleId="b">
    <w:name w:val="b"/>
    <w:basedOn w:val="Fuentedeprrafopredeter"/>
    <w:rsid w:val="006C563A"/>
  </w:style>
  <w:style w:type="character" w:customStyle="1" w:styleId="g">
    <w:name w:val="g"/>
    <w:basedOn w:val="Fuentedeprrafopredeter"/>
    <w:rsid w:val="006C563A"/>
  </w:style>
  <w:style w:type="table" w:customStyle="1" w:styleId="Tablaconcuadrcula1">
    <w:name w:val="Tabla con cuadrícula1"/>
    <w:basedOn w:val="Tablanormal"/>
    <w:next w:val="Tablaconcuadrcula"/>
    <w:uiPriority w:val="59"/>
    <w:rsid w:val="00E0324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next w:val="Normal"/>
    <w:uiPriority w:val="39"/>
    <w:unhideWhenUsed/>
    <w:qFormat/>
    <w:rsid w:val="00CD7893"/>
  </w:style>
  <w:style w:type="character" w:styleId="Hipervnculovisitado">
    <w:name w:val="FollowedHyperlink"/>
    <w:basedOn w:val="Fuentedeprrafopredeter"/>
    <w:uiPriority w:val="99"/>
    <w:semiHidden/>
    <w:unhideWhenUsed/>
    <w:rsid w:val="00A575AA"/>
    <w:rPr>
      <w:color w:val="800080" w:themeColor="followedHyperlink"/>
      <w:u w:val="single"/>
    </w:rPr>
  </w:style>
  <w:style w:type="paragraph" w:customStyle="1" w:styleId="Default">
    <w:name w:val="Default"/>
    <w:qFormat/>
    <w:rsid w:val="00946F09"/>
    <w:pPr>
      <w:autoSpaceDE w:val="0"/>
      <w:autoSpaceDN w:val="0"/>
      <w:adjustRightInd w:val="0"/>
    </w:pPr>
    <w:rPr>
      <w:rFonts w:ascii="Palatino Linotype" w:eastAsiaTheme="minorHAnsi" w:hAnsi="Palatino Linotype" w:cs="Palatino Linotype"/>
      <w:color w:val="000000"/>
      <w:lang w:val="es-MX" w:eastAsia="en-US"/>
    </w:rPr>
  </w:style>
  <w:style w:type="paragraph" w:styleId="NormalWeb">
    <w:name w:val="Normal (Web)"/>
    <w:basedOn w:val="Normal"/>
    <w:uiPriority w:val="99"/>
    <w:unhideWhenUsed/>
    <w:rsid w:val="0033477F"/>
    <w:pPr>
      <w:spacing w:before="100" w:beforeAutospacing="1" w:after="100" w:afterAutospacing="1"/>
    </w:pPr>
    <w:rPr>
      <w:rFonts w:ascii="Times New Roman" w:eastAsia="Times New Roman" w:hAnsi="Times New Roman" w:cs="Times New Roman"/>
      <w:lang w:val="es-ES"/>
    </w:rPr>
  </w:style>
  <w:style w:type="character" w:customStyle="1" w:styleId="nacep">
    <w:name w:val="n_acep"/>
    <w:basedOn w:val="Fuentedeprrafopredeter"/>
    <w:rsid w:val="0033477F"/>
  </w:style>
  <w:style w:type="character" w:customStyle="1" w:styleId="apple-style-span">
    <w:name w:val="apple-style-span"/>
    <w:rsid w:val="00E53334"/>
  </w:style>
  <w:style w:type="paragraph" w:customStyle="1" w:styleId="FootnoteTextCharCharChar1">
    <w:name w:val="Footnote Text Char Char Char1"/>
    <w:basedOn w:val="Normal"/>
    <w:next w:val="Textonotapie"/>
    <w:unhideWhenUsed/>
    <w:rsid w:val="00A4327F"/>
    <w:rPr>
      <w:sz w:val="20"/>
      <w:szCs w:val="20"/>
      <w:lang w:val="es-MX" w:eastAsia="en-US"/>
    </w:rPr>
  </w:style>
  <w:style w:type="character" w:customStyle="1" w:styleId="il">
    <w:name w:val="il"/>
    <w:basedOn w:val="Fuentedeprrafopredeter"/>
    <w:rsid w:val="0052151F"/>
  </w:style>
  <w:style w:type="character" w:customStyle="1" w:styleId="Ttulo3Car">
    <w:name w:val="Título 3 Car"/>
    <w:basedOn w:val="Fuentedeprrafopredeter"/>
    <w:uiPriority w:val="9"/>
    <w:rsid w:val="004D215D"/>
    <w:rPr>
      <w:rFonts w:asciiTheme="majorHAnsi" w:eastAsiaTheme="majorEastAsia" w:hAnsiTheme="majorHAnsi" w:cstheme="majorBidi"/>
      <w:color w:val="243F60" w:themeColor="accent1" w:themeShade="7F"/>
    </w:rPr>
  </w:style>
  <w:style w:type="paragraph" w:styleId="TDC3">
    <w:name w:val="toc 3"/>
    <w:basedOn w:val="Normal"/>
    <w:next w:val="Normal"/>
    <w:autoRedefine/>
    <w:uiPriority w:val="39"/>
    <w:unhideWhenUsed/>
    <w:rsid w:val="00756F43"/>
    <w:pPr>
      <w:spacing w:after="100"/>
      <w:ind w:left="480"/>
    </w:pPr>
  </w:style>
  <w:style w:type="paragraph" w:styleId="Textoindependiente2">
    <w:name w:val="Body Text 2"/>
    <w:basedOn w:val="Normal"/>
    <w:link w:val="Textoindependiente2Car"/>
    <w:uiPriority w:val="99"/>
    <w:semiHidden/>
    <w:unhideWhenUsed/>
    <w:rsid w:val="00967CE6"/>
    <w:pPr>
      <w:spacing w:after="120" w:line="480" w:lineRule="auto"/>
    </w:pPr>
  </w:style>
  <w:style w:type="character" w:customStyle="1" w:styleId="Textoindependiente2Car">
    <w:name w:val="Texto independiente 2 Car"/>
    <w:basedOn w:val="Fuentedeprrafopredeter"/>
    <w:link w:val="Textoindependiente2"/>
    <w:uiPriority w:val="99"/>
    <w:semiHidden/>
    <w:rsid w:val="00967CE6"/>
  </w:style>
  <w:style w:type="character" w:styleId="Textoennegrita">
    <w:name w:val="Strong"/>
    <w:uiPriority w:val="22"/>
    <w:qFormat/>
    <w:rsid w:val="009C113B"/>
    <w:rPr>
      <w:b/>
      <w:bCs/>
    </w:rPr>
  </w:style>
  <w:style w:type="character" w:customStyle="1" w:styleId="SinespaciadoCar">
    <w:name w:val="Sin espaciado Car"/>
    <w:aliases w:val="Francesa Car"/>
    <w:link w:val="Sinespaciado"/>
    <w:uiPriority w:val="1"/>
    <w:locked/>
    <w:rsid w:val="009C113B"/>
  </w:style>
  <w:style w:type="paragraph" w:customStyle="1" w:styleId="q">
    <w:name w:val="q"/>
    <w:basedOn w:val="Normal"/>
    <w:rsid w:val="00732EA5"/>
    <w:pPr>
      <w:spacing w:before="100" w:beforeAutospacing="1" w:after="100" w:afterAutospacing="1"/>
    </w:pPr>
    <w:rPr>
      <w:rFonts w:ascii="Times New Roman" w:eastAsia="Times New Roman" w:hAnsi="Times New Roman" w:cs="Times New Roman"/>
      <w:lang w:val="es-MX"/>
    </w:rPr>
  </w:style>
  <w:style w:type="character" w:customStyle="1" w:styleId="k">
    <w:name w:val="k"/>
    <w:basedOn w:val="Fuentedeprrafopredeter"/>
    <w:rsid w:val="00732EA5"/>
  </w:style>
  <w:style w:type="character" w:customStyle="1" w:styleId="h">
    <w:name w:val="h"/>
    <w:basedOn w:val="Fuentedeprrafopredeter"/>
    <w:rsid w:val="00732EA5"/>
  </w:style>
  <w:style w:type="character" w:customStyle="1" w:styleId="titulorubrolgt">
    <w:name w:val="titulorubrolgt"/>
    <w:basedOn w:val="Fuentedeprrafopredeter"/>
    <w:rsid w:val="00CA063C"/>
  </w:style>
  <w:style w:type="character" w:customStyle="1" w:styleId="ctr">
    <w:name w:val="ctr"/>
    <w:basedOn w:val="Fuentedeprrafopredeter"/>
    <w:rsid w:val="00CA063C"/>
  </w:style>
  <w:style w:type="paragraph" w:customStyle="1" w:styleId="Textonotapie1">
    <w:name w:val="Texto nota pie1"/>
    <w:basedOn w:val="Normal"/>
    <w:next w:val="Textonotapie"/>
    <w:uiPriority w:val="99"/>
    <w:unhideWhenUsed/>
    <w:rsid w:val="00EC6B99"/>
    <w:rPr>
      <w:sz w:val="20"/>
      <w:szCs w:val="20"/>
      <w:lang w:val="es-MX" w:eastAsia="en-US"/>
    </w:rPr>
  </w:style>
  <w:style w:type="paragraph" w:customStyle="1" w:styleId="n2">
    <w:name w:val="n2"/>
    <w:basedOn w:val="Normal"/>
    <w:rsid w:val="009E1584"/>
    <w:pPr>
      <w:spacing w:before="100" w:beforeAutospacing="1" w:after="100" w:afterAutospacing="1"/>
    </w:pPr>
    <w:rPr>
      <w:rFonts w:ascii="Times New Roman" w:eastAsia="Times New Roman" w:hAnsi="Times New Roman" w:cs="Times New Roman"/>
      <w:lang w:val="es-MX"/>
    </w:rPr>
  </w:style>
  <w:style w:type="character" w:styleId="nfasis">
    <w:name w:val="Emphasis"/>
    <w:basedOn w:val="Fuentedeprrafopredeter"/>
    <w:uiPriority w:val="20"/>
    <w:qFormat/>
    <w:rsid w:val="009E1584"/>
    <w:rPr>
      <w:i/>
      <w:iCs/>
    </w:rPr>
  </w:style>
  <w:style w:type="paragraph" w:customStyle="1" w:styleId="j">
    <w:name w:val="j"/>
    <w:basedOn w:val="Normal"/>
    <w:rsid w:val="009E1584"/>
    <w:pPr>
      <w:spacing w:before="100" w:beforeAutospacing="1" w:after="100" w:afterAutospacing="1"/>
    </w:pPr>
    <w:rPr>
      <w:rFonts w:ascii="Times New Roman" w:eastAsia="Times New Roman" w:hAnsi="Times New Roman" w:cs="Times New Roman"/>
      <w:lang w:val="es-MX"/>
    </w:rPr>
  </w:style>
  <w:style w:type="paragraph" w:customStyle="1" w:styleId="j1">
    <w:name w:val="j1"/>
    <w:basedOn w:val="Normal"/>
    <w:rsid w:val="009E1584"/>
    <w:pPr>
      <w:spacing w:before="100" w:beforeAutospacing="1" w:after="100" w:afterAutospacing="1"/>
    </w:pPr>
    <w:rPr>
      <w:rFonts w:ascii="Times New Roman" w:eastAsia="Times New Roman" w:hAnsi="Times New Roman" w:cs="Times New Roman"/>
      <w:lang w:val="es-MX"/>
    </w:rPr>
  </w:style>
  <w:style w:type="table" w:customStyle="1" w:styleId="Cuadrculadetablaclara1">
    <w:name w:val="Cuadrícula de tabla clara1"/>
    <w:basedOn w:val="Tablanormal"/>
    <w:uiPriority w:val="40"/>
    <w:rsid w:val="00226E61"/>
    <w:rPr>
      <w:rFonts w:eastAsiaTheme="minorHAnsi"/>
      <w:sz w:val="22"/>
      <w:szCs w:val="22"/>
      <w:lang w:val="es-MX"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o">
    <w:name w:val="Texto"/>
    <w:basedOn w:val="Normal"/>
    <w:link w:val="TextoCar"/>
    <w:rsid w:val="00041C72"/>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041C72"/>
    <w:rPr>
      <w:rFonts w:ascii="Arial" w:eastAsia="Times New Roman" w:hAnsi="Arial" w:cs="Arial"/>
      <w:sz w:val="18"/>
      <w:szCs w:val="20"/>
      <w:lang w:val="es-ES"/>
    </w:rPr>
  </w:style>
  <w:style w:type="paragraph" w:styleId="Textosinformato">
    <w:name w:val="Plain Text"/>
    <w:basedOn w:val="Normal"/>
    <w:link w:val="TextosinformatoCar"/>
    <w:rsid w:val="00D4338A"/>
    <w:rPr>
      <w:rFonts w:ascii="Courier New" w:eastAsia="Times New Roman" w:hAnsi="Courier New" w:cs="Times New Roman"/>
      <w:sz w:val="20"/>
      <w:szCs w:val="20"/>
      <w:lang w:val="es-ES"/>
    </w:rPr>
  </w:style>
  <w:style w:type="character" w:customStyle="1" w:styleId="TextosinformatoCar">
    <w:name w:val="Texto sin formato Car"/>
    <w:basedOn w:val="Fuentedeprrafopredeter"/>
    <w:link w:val="Textosinformato"/>
    <w:rsid w:val="00D4338A"/>
    <w:rPr>
      <w:rFonts w:ascii="Courier New" w:eastAsia="Times New Roman" w:hAnsi="Courier New" w:cs="Times New Roman"/>
      <w:sz w:val="20"/>
      <w:szCs w:val="20"/>
      <w:lang w:val="es-ES"/>
    </w:rPr>
  </w:style>
  <w:style w:type="table" w:customStyle="1" w:styleId="Tablanormal11">
    <w:name w:val="Tabla normal 11"/>
    <w:basedOn w:val="Tablanormal"/>
    <w:uiPriority w:val="41"/>
    <w:rsid w:val="00962626"/>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3468294172500300143gmail-msolistparagraph">
    <w:name w:val="m_3468294172500300143gmail-msolistparagraph"/>
    <w:basedOn w:val="Normal"/>
    <w:rsid w:val="00480BA2"/>
    <w:pPr>
      <w:spacing w:before="100" w:beforeAutospacing="1" w:after="100" w:afterAutospacing="1"/>
    </w:pPr>
    <w:rPr>
      <w:rFonts w:ascii="Times New Roman" w:eastAsia="Times New Roman" w:hAnsi="Times New Roman" w:cs="Times New Roman"/>
      <w:lang w:val="es-MX"/>
    </w:rPr>
  </w:style>
  <w:style w:type="paragraph" w:customStyle="1" w:styleId="m7640689326625126977gmail-msolistparagraph">
    <w:name w:val="m_7640689326625126977gmail-msolistparagraph"/>
    <w:basedOn w:val="Normal"/>
    <w:rsid w:val="00631337"/>
    <w:pPr>
      <w:spacing w:before="100" w:beforeAutospacing="1" w:after="100" w:afterAutospacing="1"/>
    </w:pPr>
    <w:rPr>
      <w:rFonts w:ascii="Times New Roman" w:eastAsia="Times New Roman" w:hAnsi="Times New Roman" w:cs="Times New Roman"/>
      <w:lang w:val="es-MX"/>
    </w:rPr>
  </w:style>
  <w:style w:type="character" w:customStyle="1" w:styleId="stytxtare">
    <w:name w:val="stytxtare"/>
    <w:rsid w:val="005B0EC2"/>
  </w:style>
  <w:style w:type="character" w:customStyle="1" w:styleId="Ttulo4Car">
    <w:name w:val="Título 4 Car"/>
    <w:basedOn w:val="Fuentedeprrafopredeter"/>
    <w:uiPriority w:val="9"/>
    <w:rsid w:val="00D55B7A"/>
    <w:rPr>
      <w:rFonts w:asciiTheme="majorHAnsi" w:eastAsiaTheme="majorEastAsia" w:hAnsiTheme="majorHAnsi" w:cstheme="majorBidi"/>
      <w:i/>
      <w:iCs/>
      <w:color w:val="365F91" w:themeColor="accent1" w:themeShade="BF"/>
    </w:rPr>
  </w:style>
  <w:style w:type="paragraph" w:customStyle="1" w:styleId="paragraph">
    <w:name w:val="paragraph"/>
    <w:basedOn w:val="Normal"/>
    <w:uiPriority w:val="99"/>
    <w:rsid w:val="00BC13F7"/>
    <w:pPr>
      <w:spacing w:before="100" w:beforeAutospacing="1" w:after="100" w:afterAutospacing="1"/>
    </w:pPr>
    <w:rPr>
      <w:rFonts w:ascii="Times New Roman" w:eastAsia="Times New Roman" w:hAnsi="Times New Roman" w:cs="Times New Roman"/>
      <w:lang w:val="es-MX"/>
    </w:rPr>
  </w:style>
  <w:style w:type="paragraph" w:customStyle="1" w:styleId="yiv6449924580ydp7ca81294msonormal">
    <w:name w:val="yiv6449924580ydp7ca81294msonormal"/>
    <w:basedOn w:val="Normal"/>
    <w:rsid w:val="003B7B09"/>
    <w:pPr>
      <w:spacing w:before="100" w:beforeAutospacing="1" w:after="100" w:afterAutospacing="1"/>
    </w:pPr>
    <w:rPr>
      <w:rFonts w:ascii="Times New Roman" w:eastAsia="Times New Roman" w:hAnsi="Times New Roman" w:cs="Times New Roman"/>
      <w:lang w:val="es-MX"/>
    </w:rPr>
  </w:style>
  <w:style w:type="paragraph" w:customStyle="1" w:styleId="gmail-msolistparagraph">
    <w:name w:val="gmail-msolistparagraph"/>
    <w:basedOn w:val="Normal"/>
    <w:rsid w:val="00CA1CD0"/>
    <w:pPr>
      <w:spacing w:before="100" w:beforeAutospacing="1" w:after="100" w:afterAutospacing="1"/>
    </w:pPr>
    <w:rPr>
      <w:rFonts w:ascii="Times New Roman" w:eastAsia="Times New Roman" w:hAnsi="Times New Roman" w:cs="Times New Roman"/>
      <w:lang w:val="es-MX"/>
    </w:rPr>
  </w:style>
  <w:style w:type="character" w:customStyle="1" w:styleId="vidspn">
    <w:name w:val="vid_spn"/>
    <w:basedOn w:val="Fuentedeprrafopredeter"/>
    <w:rsid w:val="006B78BA"/>
  </w:style>
  <w:style w:type="table" w:styleId="Tablanormal1">
    <w:name w:val="Plain Table 1"/>
    <w:basedOn w:val="Tablanormal"/>
    <w:uiPriority w:val="41"/>
    <w:rsid w:val="00BE721C"/>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itas">
    <w:name w:val="Citas"/>
    <w:basedOn w:val="Normal"/>
    <w:qFormat/>
    <w:rsid w:val="000E0EF6"/>
    <w:pPr>
      <w:spacing w:before="240" w:after="160" w:line="360" w:lineRule="auto"/>
      <w:ind w:left="851" w:right="851"/>
      <w:jc w:val="both"/>
    </w:pPr>
    <w:rPr>
      <w:rFonts w:ascii="Palatino Linotype" w:eastAsia="Times New Roman" w:hAnsi="Palatino Linotype" w:cs="Arial"/>
      <w:i/>
      <w:sz w:val="22"/>
      <w:szCs w:val="22"/>
      <w:lang w:val="es-MX" w:eastAsia="en-US"/>
    </w:rPr>
  </w:style>
  <w:style w:type="table" w:customStyle="1" w:styleId="Tablanormal12">
    <w:name w:val="Tabla normal 12"/>
    <w:basedOn w:val="Tablanormal"/>
    <w:next w:val="Tablanormal1"/>
    <w:uiPriority w:val="41"/>
    <w:rsid w:val="00F82B3B"/>
    <w:rPr>
      <w:rFonts w:eastAsiaTheme="minorHAnsi"/>
      <w:sz w:val="22"/>
      <w:szCs w:val="22"/>
      <w:lang w:val="es-MX"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object">
    <w:name w:val="object"/>
    <w:basedOn w:val="Fuentedeprrafopredeter"/>
    <w:rsid w:val="00977AFF"/>
  </w:style>
  <w:style w:type="table" w:customStyle="1" w:styleId="3">
    <w:name w:val="3"/>
    <w:basedOn w:val="TableNormal3"/>
    <w:tblPr>
      <w:tblStyleRowBandSize w:val="1"/>
      <w:tblStyleColBandSize w:val="1"/>
      <w:tblCellMar>
        <w:left w:w="115" w:type="dxa"/>
        <w:right w:w="115" w:type="dxa"/>
      </w:tblCellMar>
    </w:tblPr>
  </w:style>
  <w:style w:type="table" w:customStyle="1" w:styleId="2">
    <w:name w:val="2"/>
    <w:basedOn w:val="TableNormal3"/>
    <w:rPr>
      <w:sz w:val="22"/>
      <w:szCs w:val="22"/>
    </w:rPr>
    <w:tblPr>
      <w:tblStyleRowBandSize w:val="1"/>
      <w:tblStyleColBandSize w:val="1"/>
      <w:tblCellMar>
        <w:left w:w="108" w:type="dxa"/>
        <w:right w:w="108" w:type="dxa"/>
      </w:tblCellMar>
    </w:tblPr>
  </w:style>
  <w:style w:type="table" w:customStyle="1" w:styleId="1">
    <w:name w:val="1"/>
    <w:basedOn w:val="TableNormal3"/>
    <w:rPr>
      <w:sz w:val="22"/>
      <w:szCs w:val="22"/>
    </w:rPr>
    <w:tblPr>
      <w:tblStyleRowBandSize w:val="1"/>
      <w:tblStyleColBandSize w:val="1"/>
      <w:tblCellMar>
        <w:left w:w="108" w:type="dxa"/>
        <w:right w:w="108" w:type="dxa"/>
      </w:tblCellMar>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rPr>
      <w:sz w:val="22"/>
      <w:szCs w:val="22"/>
    </w:rPr>
    <w:tblPr>
      <w:tblStyleRowBandSize w:val="1"/>
      <w:tblStyleColBandSize w:val="1"/>
      <w:tblCellMar>
        <w:left w:w="108" w:type="dxa"/>
        <w:right w:w="108" w:type="dxa"/>
      </w:tblCellMar>
    </w:tblPr>
  </w:style>
  <w:style w:type="table" w:customStyle="1" w:styleId="a3">
    <w:basedOn w:val="TableNormal3"/>
    <w:rPr>
      <w:sz w:val="22"/>
      <w:szCs w:val="22"/>
    </w:rPr>
    <w:tblPr>
      <w:tblStyleRowBandSize w:val="1"/>
      <w:tblStyleColBandSize w:val="1"/>
      <w:tblCellMar>
        <w:left w:w="108" w:type="dxa"/>
        <w:right w:w="108" w:type="dxa"/>
      </w:tblCellMar>
    </w:tblPr>
  </w:style>
  <w:style w:type="table" w:customStyle="1" w:styleId="a4">
    <w:basedOn w:val="TableNormal2"/>
    <w:tblPr>
      <w:tblStyleRowBandSize w:val="1"/>
      <w:tblStyleColBandSize w:val="1"/>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rPr>
      <w:sz w:val="22"/>
      <w:szCs w:val="22"/>
    </w:rPr>
    <w:tblPr>
      <w:tblStyleRowBandSize w:val="1"/>
      <w:tblStyleColBandSize w:val="1"/>
      <w:tblCellMar>
        <w:left w:w="108" w:type="dxa"/>
        <w:right w:w="108" w:type="dxa"/>
      </w:tblCellMar>
    </w:tblPr>
  </w:style>
  <w:style w:type="table" w:customStyle="1" w:styleId="a7">
    <w:basedOn w:val="TableNormal2"/>
    <w:rPr>
      <w:sz w:val="22"/>
      <w:szCs w:val="22"/>
    </w:rPr>
    <w:tblPr>
      <w:tblStyleRowBandSize w:val="1"/>
      <w:tblStyleColBandSize w:val="1"/>
      <w:tblCellMar>
        <w:left w:w="108" w:type="dxa"/>
        <w:right w:w="108" w:type="dxa"/>
      </w:tblCellMar>
    </w:tblPr>
  </w:style>
  <w:style w:type="table" w:customStyle="1" w:styleId="Tablanormal13">
    <w:name w:val="Tabla normal 13"/>
    <w:basedOn w:val="Tablanormal"/>
    <w:next w:val="Tablanormal1"/>
    <w:uiPriority w:val="41"/>
    <w:rsid w:val="00AB673E"/>
    <w:rPr>
      <w:rFonts w:asciiTheme="minorHAnsi" w:eastAsiaTheme="minorHAnsi" w:hAnsiTheme="minorHAnsi" w:cstheme="minorBidi"/>
      <w:sz w:val="22"/>
      <w:szCs w:val="22"/>
      <w:lang w:val="es-MX"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a8">
    <w:basedOn w:val="TableNormal1"/>
    <w:tblPr>
      <w:tblStyleRowBandSize w:val="1"/>
      <w:tblStyleColBandSize w:val="1"/>
      <w:tblCellMar>
        <w:left w:w="108" w:type="dxa"/>
        <w:right w:w="108"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2"/>
      <w:szCs w:val="22"/>
    </w:rPr>
    <w:tblPr>
      <w:tblStyleRowBandSize w:val="1"/>
      <w:tblStyleColBandSize w:val="1"/>
      <w:tblCellMar>
        <w:left w:w="108" w:type="dxa"/>
        <w:right w:w="108" w:type="dxa"/>
      </w:tblCellMar>
    </w:tblPr>
  </w:style>
  <w:style w:type="table" w:customStyle="1" w:styleId="ab">
    <w:basedOn w:val="TableNormal1"/>
    <w:rPr>
      <w:sz w:val="22"/>
      <w:szCs w:val="22"/>
    </w:rPr>
    <w:tblPr>
      <w:tblStyleRowBandSize w:val="1"/>
      <w:tblStyleColBandSize w:val="1"/>
      <w:tblCellMar>
        <w:left w:w="108" w:type="dxa"/>
        <w:right w:w="108"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c">
    <w:basedOn w:val="TableNormal1"/>
    <w:tblPr>
      <w:tblStyleRowBandSize w:val="1"/>
      <w:tblStyleColBandSize w:val="1"/>
      <w:tblCellMar>
        <w:left w:w="108" w:type="dxa"/>
        <w:right w:w="108"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rPr>
      <w:sz w:val="22"/>
      <w:szCs w:val="22"/>
    </w:rPr>
    <w:tblPr>
      <w:tblStyleRowBandSize w:val="1"/>
      <w:tblStyleColBandSize w:val="1"/>
      <w:tblCellMar>
        <w:left w:w="108" w:type="dxa"/>
        <w:right w:w="108" w:type="dxa"/>
      </w:tblCellMar>
    </w:tblPr>
  </w:style>
  <w:style w:type="table" w:customStyle="1" w:styleId="af">
    <w:basedOn w:val="TableNormal1"/>
    <w:rPr>
      <w:sz w:val="22"/>
      <w:szCs w:val="22"/>
    </w:rPr>
    <w:tblPr>
      <w:tblStyleRowBandSize w:val="1"/>
      <w:tblStyleColBandSize w:val="1"/>
      <w:tblCellMar>
        <w:left w:w="108" w:type="dxa"/>
        <w:right w:w="108" w:type="dxa"/>
      </w:tblCellMar>
    </w:tblPr>
  </w:style>
  <w:style w:type="paragraph" w:customStyle="1" w:styleId="xgmail-msolistparagraph">
    <w:name w:val="x_gmail-msolistparagraph"/>
    <w:basedOn w:val="Normal"/>
    <w:rsid w:val="009F75E9"/>
    <w:pPr>
      <w:spacing w:before="100" w:beforeAutospacing="1" w:after="100" w:afterAutospacing="1"/>
    </w:pPr>
    <w:rPr>
      <w:rFonts w:ascii="Times New Roman" w:eastAsia="Times New Roman" w:hAnsi="Times New Roman" w:cs="Times New Roman"/>
      <w:lang w:val="es-MX"/>
    </w:rPr>
  </w:style>
  <w:style w:type="paragraph" w:customStyle="1" w:styleId="xmsonormal">
    <w:name w:val="x_msonormal"/>
    <w:basedOn w:val="Normal"/>
    <w:rsid w:val="009F75E9"/>
    <w:pPr>
      <w:spacing w:before="100" w:beforeAutospacing="1" w:after="100" w:afterAutospacing="1"/>
    </w:pPr>
    <w:rPr>
      <w:rFonts w:ascii="Times New Roman" w:eastAsia="Times New Roman" w:hAnsi="Times New Roman" w:cs="Times New Roman"/>
      <w:lang w:val="es-MX"/>
    </w:rPr>
  </w:style>
  <w:style w:type="paragraph" w:customStyle="1" w:styleId="xgmail-msonormal">
    <w:name w:val="x_gmail-msonormal"/>
    <w:basedOn w:val="Normal"/>
    <w:rsid w:val="009F75E9"/>
    <w:pPr>
      <w:spacing w:before="100" w:beforeAutospacing="1" w:after="100" w:afterAutospacing="1"/>
    </w:pPr>
    <w:rPr>
      <w:rFonts w:ascii="Times New Roman" w:eastAsia="Times New Roman" w:hAnsi="Times New Roman" w:cs="Times New Roman"/>
      <w:lang w:val="es-MX"/>
    </w:rPr>
  </w:style>
  <w:style w:type="character" w:customStyle="1" w:styleId="xgmail-msocommentreference">
    <w:name w:val="x_gmail-msocommentreference"/>
    <w:basedOn w:val="Fuentedeprrafopredeter"/>
    <w:rsid w:val="009F75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62163">
      <w:bodyDiv w:val="1"/>
      <w:marLeft w:val="0"/>
      <w:marRight w:val="0"/>
      <w:marTop w:val="0"/>
      <w:marBottom w:val="0"/>
      <w:divBdr>
        <w:top w:val="none" w:sz="0" w:space="0" w:color="auto"/>
        <w:left w:val="none" w:sz="0" w:space="0" w:color="auto"/>
        <w:bottom w:val="none" w:sz="0" w:space="0" w:color="auto"/>
        <w:right w:val="none" w:sz="0" w:space="0" w:color="auto"/>
      </w:divBdr>
    </w:div>
    <w:div w:id="581452023">
      <w:bodyDiv w:val="1"/>
      <w:marLeft w:val="0"/>
      <w:marRight w:val="0"/>
      <w:marTop w:val="0"/>
      <w:marBottom w:val="0"/>
      <w:divBdr>
        <w:top w:val="none" w:sz="0" w:space="0" w:color="auto"/>
        <w:left w:val="none" w:sz="0" w:space="0" w:color="auto"/>
        <w:bottom w:val="none" w:sz="0" w:space="0" w:color="auto"/>
        <w:right w:val="none" w:sz="0" w:space="0" w:color="auto"/>
      </w:divBdr>
    </w:div>
    <w:div w:id="976885209">
      <w:bodyDiv w:val="1"/>
      <w:marLeft w:val="0"/>
      <w:marRight w:val="0"/>
      <w:marTop w:val="0"/>
      <w:marBottom w:val="0"/>
      <w:divBdr>
        <w:top w:val="none" w:sz="0" w:space="0" w:color="auto"/>
        <w:left w:val="none" w:sz="0" w:space="0" w:color="auto"/>
        <w:bottom w:val="none" w:sz="0" w:space="0" w:color="auto"/>
        <w:right w:val="none" w:sz="0" w:space="0" w:color="auto"/>
      </w:divBdr>
    </w:div>
    <w:div w:id="17721681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mOKLqleCpZxwHwzZX6JDx86k8Q==">CgMxLjAyDmguc3JlOWgwNXE0djBiMghoLmdqZGd4czIJaC4zMGowemxsMgloLjFmb2I5dGUyCWguM3pueXNoNzIJaC4yZXQ5MnAwMghoLnR5amN3dDIJaC4zZHk2dmttMgloLjF0M2g1c2YyCWguMjZpbjFyZzIJaC40ZDM0b2c4MghoLmxueGJ6OTIJaC4zNW5rdW4yMg5oLmRpcHFiZnZ2cThxcDgAciExektSaFNXTS1Pb25oSmx1dUYyYjBwNzFyVHhpZVhMVlg=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34</Pages>
  <Words>8855</Words>
  <Characters>48703</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57444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iMac</dc:creator>
  <cp:lastModifiedBy>Cuenta Microsoft</cp:lastModifiedBy>
  <cp:revision>9</cp:revision>
  <cp:lastPrinted>2026-02-27T16:19:00Z</cp:lastPrinted>
  <dcterms:created xsi:type="dcterms:W3CDTF">2026-02-23T22:32:00Z</dcterms:created>
  <dcterms:modified xsi:type="dcterms:W3CDTF">2026-03-06T19:32:00Z</dcterms:modified>
</cp:coreProperties>
</file>