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FE640" w14:textId="758ECDCC"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bookmarkStart w:id="0" w:name="_heading=h.3rdcrjn" w:colFirst="0" w:colLast="0"/>
      <w:bookmarkStart w:id="1" w:name="_GoBack"/>
      <w:bookmarkEnd w:id="0"/>
      <w:bookmarkEnd w:id="1"/>
      <w:r w:rsidRPr="0059485F">
        <w:rPr>
          <w:rFonts w:ascii="Palatino Linotype" w:eastAsia="Palatino Linotype" w:hAnsi="Palatino Linotype" w:cs="Palatino Linotype"/>
          <w:sz w:val="22"/>
          <w:szCs w:val="22"/>
        </w:rPr>
        <w:t>Resolución del Pleno del Instituto de Transparencia, Acceso a la Información Pública y Protección de Datos Personales del Estado de México y Municipios, con domicilio en Me</w:t>
      </w:r>
      <w:r w:rsidR="00FB77D5" w:rsidRPr="0059485F">
        <w:rPr>
          <w:rFonts w:ascii="Palatino Linotype" w:eastAsia="Palatino Linotype" w:hAnsi="Palatino Linotype" w:cs="Palatino Linotype"/>
          <w:sz w:val="22"/>
          <w:szCs w:val="22"/>
        </w:rPr>
        <w:t xml:space="preserve">tepec, Estado de México, a </w:t>
      </w:r>
      <w:r w:rsidR="00D07252" w:rsidRPr="0059485F">
        <w:rPr>
          <w:rFonts w:ascii="Palatino Linotype" w:eastAsia="Palatino Linotype" w:hAnsi="Palatino Linotype" w:cs="Palatino Linotype"/>
          <w:sz w:val="22"/>
          <w:szCs w:val="22"/>
        </w:rPr>
        <w:t>diecisiete de septiembre</w:t>
      </w:r>
      <w:r w:rsidR="00AD7F25" w:rsidRPr="0059485F">
        <w:rPr>
          <w:rFonts w:ascii="Palatino Linotype" w:eastAsia="Palatino Linotype" w:hAnsi="Palatino Linotype" w:cs="Palatino Linotype"/>
          <w:sz w:val="22"/>
          <w:szCs w:val="22"/>
        </w:rPr>
        <w:t xml:space="preserve"> </w:t>
      </w:r>
      <w:r w:rsidR="0001490F" w:rsidRPr="0059485F">
        <w:rPr>
          <w:rFonts w:ascii="Palatino Linotype" w:eastAsia="Palatino Linotype" w:hAnsi="Palatino Linotype" w:cs="Palatino Linotype"/>
          <w:sz w:val="22"/>
          <w:szCs w:val="22"/>
        </w:rPr>
        <w:t>de dos mil veintiséis</w:t>
      </w:r>
      <w:r w:rsidRPr="0059485F">
        <w:rPr>
          <w:rFonts w:ascii="Palatino Linotype" w:eastAsia="Palatino Linotype" w:hAnsi="Palatino Linotype" w:cs="Palatino Linotype"/>
          <w:sz w:val="22"/>
          <w:szCs w:val="22"/>
        </w:rPr>
        <w:t xml:space="preserve">. </w:t>
      </w:r>
    </w:p>
    <w:p w14:paraId="30E0E444" w14:textId="19AB5B14" w:rsidR="005A75CA" w:rsidRPr="0059485F" w:rsidRDefault="00E96B90" w:rsidP="00D7204E">
      <w:pPr>
        <w:tabs>
          <w:tab w:val="left" w:pos="5812"/>
        </w:tabs>
        <w:spacing w:before="240" w:after="240" w:line="360" w:lineRule="auto"/>
        <w:jc w:val="both"/>
        <w:rPr>
          <w:rFonts w:ascii="Palatino Linotype" w:eastAsia="Palatino Linotype" w:hAnsi="Palatino Linotype" w:cs="Palatino Linotype"/>
          <w:sz w:val="22"/>
          <w:szCs w:val="22"/>
        </w:rPr>
      </w:pPr>
      <w:bookmarkStart w:id="2" w:name="_heading=h.daj3j2xo6q66" w:colFirst="0" w:colLast="0"/>
      <w:bookmarkEnd w:id="2"/>
      <w:r w:rsidRPr="0059485F">
        <w:rPr>
          <w:rFonts w:ascii="Palatino Linotype" w:eastAsia="Palatino Linotype" w:hAnsi="Palatino Linotype" w:cs="Palatino Linotype"/>
          <w:b/>
          <w:sz w:val="22"/>
          <w:szCs w:val="22"/>
        </w:rPr>
        <w:t>VISTO</w:t>
      </w:r>
      <w:r w:rsidRPr="0059485F">
        <w:rPr>
          <w:rFonts w:ascii="Palatino Linotype" w:eastAsia="Palatino Linotype" w:hAnsi="Palatino Linotype" w:cs="Palatino Linotype"/>
          <w:sz w:val="22"/>
          <w:szCs w:val="22"/>
        </w:rPr>
        <w:t xml:space="preserve"> el expediente formado con motivo del recurso de revisión </w:t>
      </w:r>
      <w:r w:rsidR="0001490F" w:rsidRPr="0059485F">
        <w:rPr>
          <w:rFonts w:ascii="Palatino Linotype" w:eastAsia="Palatino Linotype" w:hAnsi="Palatino Linotype" w:cs="Palatino Linotype"/>
          <w:b/>
          <w:sz w:val="22"/>
          <w:szCs w:val="22"/>
        </w:rPr>
        <w:t>0</w:t>
      </w:r>
      <w:r w:rsidR="00D07252" w:rsidRPr="0059485F">
        <w:rPr>
          <w:rFonts w:ascii="Palatino Linotype" w:eastAsia="Palatino Linotype" w:hAnsi="Palatino Linotype" w:cs="Palatino Linotype"/>
          <w:b/>
          <w:sz w:val="22"/>
          <w:szCs w:val="22"/>
        </w:rPr>
        <w:t>8159</w:t>
      </w:r>
      <w:r w:rsidR="0001490F" w:rsidRPr="0059485F">
        <w:rPr>
          <w:rFonts w:ascii="Palatino Linotype" w:eastAsia="Palatino Linotype" w:hAnsi="Palatino Linotype" w:cs="Palatino Linotype"/>
          <w:b/>
          <w:sz w:val="22"/>
          <w:szCs w:val="22"/>
        </w:rPr>
        <w:t>/INFOEM/IP/RR/2026</w:t>
      </w:r>
      <w:r w:rsidRPr="0059485F">
        <w:rPr>
          <w:rFonts w:ascii="Palatino Linotype" w:eastAsia="Palatino Linotype" w:hAnsi="Palatino Linotype" w:cs="Palatino Linotype"/>
          <w:sz w:val="22"/>
          <w:szCs w:val="22"/>
        </w:rPr>
        <w:t>, interpuesto por</w:t>
      </w:r>
      <w:r w:rsidR="00D07252" w:rsidRPr="0059485F">
        <w:rPr>
          <w:rFonts w:ascii="Palatino Linotype" w:eastAsia="Palatino Linotype" w:hAnsi="Palatino Linotype" w:cs="Palatino Linotype"/>
          <w:sz w:val="22"/>
          <w:szCs w:val="22"/>
        </w:rPr>
        <w:t xml:space="preserve"> </w:t>
      </w:r>
      <w:r w:rsidR="00D07252" w:rsidRPr="0059485F">
        <w:rPr>
          <w:rFonts w:ascii="Palatino Linotype" w:eastAsia="Palatino Linotype" w:hAnsi="Palatino Linotype" w:cs="Palatino Linotype"/>
          <w:b/>
          <w:sz w:val="22"/>
          <w:szCs w:val="22"/>
        </w:rPr>
        <w:t>una persona que no proporcionó nombre o seudónimo para ser identificado</w:t>
      </w:r>
      <w:r w:rsidRPr="0059485F">
        <w:rPr>
          <w:rFonts w:ascii="Palatino Linotype" w:eastAsia="Palatino Linotype" w:hAnsi="Palatino Linotype" w:cs="Palatino Linotype"/>
          <w:b/>
          <w:sz w:val="22"/>
          <w:szCs w:val="22"/>
        </w:rPr>
        <w:t>,</w:t>
      </w:r>
      <w:r w:rsidRPr="0059485F">
        <w:rPr>
          <w:rFonts w:ascii="Palatino Linotype" w:eastAsia="Palatino Linotype" w:hAnsi="Palatino Linotype" w:cs="Palatino Linotype"/>
          <w:sz w:val="22"/>
          <w:szCs w:val="22"/>
        </w:rPr>
        <w:t xml:space="preserve"> en lo sucesivo</w:t>
      </w:r>
      <w:r w:rsidRPr="0059485F">
        <w:rPr>
          <w:rFonts w:ascii="Palatino Linotype" w:eastAsia="Palatino Linotype" w:hAnsi="Palatino Linotype" w:cs="Palatino Linotype"/>
          <w:b/>
          <w:sz w:val="22"/>
          <w:szCs w:val="22"/>
        </w:rPr>
        <w:t xml:space="preserve"> </w:t>
      </w:r>
      <w:r w:rsidRPr="0059485F">
        <w:rPr>
          <w:rFonts w:ascii="Palatino Linotype" w:eastAsia="Palatino Linotype" w:hAnsi="Palatino Linotype" w:cs="Palatino Linotype"/>
          <w:sz w:val="22"/>
          <w:szCs w:val="22"/>
        </w:rPr>
        <w:t xml:space="preserve">la parte </w:t>
      </w:r>
      <w:r w:rsidRPr="0059485F">
        <w:rPr>
          <w:rFonts w:ascii="Palatino Linotype" w:eastAsia="Palatino Linotype" w:hAnsi="Palatino Linotype" w:cs="Palatino Linotype"/>
          <w:b/>
          <w:sz w:val="22"/>
          <w:szCs w:val="22"/>
        </w:rPr>
        <w:t>Recurrente,</w:t>
      </w:r>
      <w:r w:rsidRPr="0059485F">
        <w:rPr>
          <w:rFonts w:ascii="Palatino Linotype" w:eastAsia="Palatino Linotype" w:hAnsi="Palatino Linotype" w:cs="Palatino Linotype"/>
          <w:sz w:val="22"/>
          <w:szCs w:val="22"/>
        </w:rPr>
        <w:t xml:space="preserve"> en contra de la respuesta a la solicitud de información con número de folio</w:t>
      </w:r>
      <w:r w:rsidRPr="0059485F">
        <w:rPr>
          <w:rFonts w:ascii="Palatino Linotype" w:eastAsia="Palatino Linotype" w:hAnsi="Palatino Linotype" w:cs="Palatino Linotype"/>
          <w:b/>
          <w:sz w:val="22"/>
          <w:szCs w:val="22"/>
        </w:rPr>
        <w:t xml:space="preserve"> </w:t>
      </w:r>
      <w:r w:rsidR="00D07252" w:rsidRPr="0059485F">
        <w:rPr>
          <w:rFonts w:ascii="Palatino Linotype" w:eastAsia="Palatino Linotype" w:hAnsi="Palatino Linotype" w:cs="Palatino Linotype"/>
          <w:b/>
          <w:bCs/>
          <w:sz w:val="22"/>
          <w:szCs w:val="22"/>
        </w:rPr>
        <w:t>00005/IMD/IP/2026</w:t>
      </w:r>
      <w:r w:rsidRPr="0059485F">
        <w:rPr>
          <w:rFonts w:ascii="Palatino Linotype" w:eastAsia="Palatino Linotype" w:hAnsi="Palatino Linotype" w:cs="Palatino Linotype"/>
          <w:b/>
          <w:sz w:val="22"/>
          <w:szCs w:val="22"/>
        </w:rPr>
        <w:t xml:space="preserve">, </w:t>
      </w:r>
      <w:r w:rsidRPr="0059485F">
        <w:rPr>
          <w:rFonts w:ascii="Palatino Linotype" w:eastAsia="Palatino Linotype" w:hAnsi="Palatino Linotype" w:cs="Palatino Linotype"/>
          <w:sz w:val="22"/>
          <w:szCs w:val="22"/>
        </w:rPr>
        <w:t xml:space="preserve">por parte del </w:t>
      </w:r>
      <w:r w:rsidR="00D07252" w:rsidRPr="0059485F">
        <w:rPr>
          <w:rFonts w:ascii="Palatino Linotype" w:eastAsia="Palatino Linotype" w:hAnsi="Palatino Linotype" w:cs="Palatino Linotype"/>
          <w:b/>
          <w:bCs/>
          <w:sz w:val="22"/>
          <w:szCs w:val="22"/>
        </w:rPr>
        <w:t>Instituto Mexiquense para la Discapacidad</w:t>
      </w:r>
      <w:r w:rsidRPr="0059485F">
        <w:rPr>
          <w:rFonts w:ascii="Palatino Linotype" w:eastAsia="Palatino Linotype" w:hAnsi="Palatino Linotype" w:cs="Palatino Linotype"/>
          <w:b/>
          <w:sz w:val="22"/>
          <w:szCs w:val="22"/>
        </w:rPr>
        <w:t xml:space="preserve">, </w:t>
      </w:r>
      <w:r w:rsidRPr="0059485F">
        <w:rPr>
          <w:rFonts w:ascii="Palatino Linotype" w:eastAsia="Palatino Linotype" w:hAnsi="Palatino Linotype" w:cs="Palatino Linotype"/>
          <w:sz w:val="22"/>
          <w:szCs w:val="22"/>
        </w:rPr>
        <w:t xml:space="preserve">en lo sucesivo el </w:t>
      </w:r>
      <w:r w:rsidRPr="0059485F">
        <w:rPr>
          <w:rFonts w:ascii="Palatino Linotype" w:eastAsia="Palatino Linotype" w:hAnsi="Palatino Linotype" w:cs="Palatino Linotype"/>
          <w:b/>
          <w:sz w:val="22"/>
          <w:szCs w:val="22"/>
        </w:rPr>
        <w:t xml:space="preserve">Sujeto Obligado, </w:t>
      </w:r>
      <w:r w:rsidRPr="0059485F">
        <w:rPr>
          <w:rFonts w:ascii="Palatino Linotype" w:eastAsia="Palatino Linotype" w:hAnsi="Palatino Linotype" w:cs="Palatino Linotype"/>
          <w:sz w:val="22"/>
          <w:szCs w:val="22"/>
        </w:rPr>
        <w:t xml:space="preserve">se procede a dictar la presente resolución con base en los siguientes: </w:t>
      </w:r>
    </w:p>
    <w:p w14:paraId="3EA1D554" w14:textId="77777777" w:rsidR="005A75CA" w:rsidRPr="0059485F" w:rsidRDefault="00E96B90" w:rsidP="00D7204E">
      <w:pPr>
        <w:spacing w:before="240" w:after="240" w:line="360" w:lineRule="auto"/>
        <w:jc w:val="center"/>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I. A N T E C E D E N T E S</w:t>
      </w:r>
    </w:p>
    <w:p w14:paraId="6181BC13" w14:textId="795D7C19"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bookmarkStart w:id="3" w:name="_heading=h.gjdgxs" w:colFirst="0" w:colLast="0"/>
      <w:bookmarkEnd w:id="3"/>
      <w:r w:rsidRPr="0059485F">
        <w:rPr>
          <w:rFonts w:ascii="Palatino Linotype" w:eastAsia="Palatino Linotype" w:hAnsi="Palatino Linotype" w:cs="Palatino Linotype"/>
          <w:b/>
          <w:sz w:val="22"/>
          <w:szCs w:val="22"/>
        </w:rPr>
        <w:t>1. Solicitud de acceso a la información.</w:t>
      </w:r>
      <w:r w:rsidRPr="0059485F">
        <w:rPr>
          <w:rFonts w:ascii="Palatino Linotype" w:eastAsia="Palatino Linotype" w:hAnsi="Palatino Linotype" w:cs="Palatino Linotype"/>
          <w:sz w:val="22"/>
          <w:szCs w:val="22"/>
        </w:rPr>
        <w:t xml:space="preserve"> El </w:t>
      </w:r>
      <w:r w:rsidR="00D07252" w:rsidRPr="0059485F">
        <w:rPr>
          <w:rFonts w:ascii="Palatino Linotype" w:eastAsia="Palatino Linotype" w:hAnsi="Palatino Linotype" w:cs="Palatino Linotype"/>
          <w:b/>
          <w:sz w:val="22"/>
          <w:szCs w:val="22"/>
        </w:rPr>
        <w:t>veinticinco de julio</w:t>
      </w:r>
      <w:r w:rsidR="00AD7F25" w:rsidRPr="0059485F">
        <w:rPr>
          <w:rFonts w:ascii="Palatino Linotype" w:eastAsia="Palatino Linotype" w:hAnsi="Palatino Linotype" w:cs="Palatino Linotype"/>
          <w:b/>
          <w:sz w:val="22"/>
          <w:szCs w:val="22"/>
        </w:rPr>
        <w:t xml:space="preserve"> de </w:t>
      </w:r>
      <w:r w:rsidRPr="0059485F">
        <w:rPr>
          <w:rFonts w:ascii="Palatino Linotype" w:eastAsia="Palatino Linotype" w:hAnsi="Palatino Linotype" w:cs="Palatino Linotype"/>
          <w:b/>
          <w:sz w:val="22"/>
          <w:szCs w:val="22"/>
        </w:rPr>
        <w:t>dos mil veinti</w:t>
      </w:r>
      <w:r w:rsidR="003B12AA" w:rsidRPr="0059485F">
        <w:rPr>
          <w:rFonts w:ascii="Palatino Linotype" w:eastAsia="Palatino Linotype" w:hAnsi="Palatino Linotype" w:cs="Palatino Linotype"/>
          <w:b/>
          <w:sz w:val="22"/>
          <w:szCs w:val="22"/>
        </w:rPr>
        <w:t>séis</w:t>
      </w:r>
      <w:r w:rsidRPr="0059485F">
        <w:rPr>
          <w:rFonts w:ascii="Palatino Linotype" w:eastAsia="Palatino Linotype" w:hAnsi="Palatino Linotype" w:cs="Palatino Linotype"/>
          <w:b/>
          <w:sz w:val="22"/>
          <w:szCs w:val="22"/>
        </w:rPr>
        <w:t>,</w:t>
      </w:r>
      <w:r w:rsidRPr="0059485F">
        <w:rPr>
          <w:rFonts w:ascii="Palatino Linotype" w:eastAsia="Palatino Linotype" w:hAnsi="Palatino Linotype" w:cs="Palatino Linotype"/>
          <w:sz w:val="22"/>
          <w:szCs w:val="22"/>
        </w:rPr>
        <w:t xml:space="preserve"> la parte </w:t>
      </w:r>
      <w:r w:rsidRPr="0059485F">
        <w:rPr>
          <w:rFonts w:ascii="Palatino Linotype" w:eastAsia="Palatino Linotype" w:hAnsi="Palatino Linotype" w:cs="Palatino Linotype"/>
          <w:b/>
          <w:sz w:val="22"/>
          <w:szCs w:val="22"/>
        </w:rPr>
        <w:t xml:space="preserve">Recurrente </w:t>
      </w:r>
      <w:r w:rsidRPr="0059485F">
        <w:rPr>
          <w:rFonts w:ascii="Palatino Linotype" w:eastAsia="Palatino Linotype" w:hAnsi="Palatino Linotype" w:cs="Palatino Linotype"/>
          <w:sz w:val="22"/>
          <w:szCs w:val="22"/>
        </w:rPr>
        <w:t xml:space="preserve">presentó la solicitud de acceso a la información pública ante el </w:t>
      </w:r>
      <w:r w:rsidRPr="0059485F">
        <w:rPr>
          <w:rFonts w:ascii="Palatino Linotype" w:eastAsia="Palatino Linotype" w:hAnsi="Palatino Linotype" w:cs="Palatino Linotype"/>
          <w:b/>
          <w:sz w:val="22"/>
          <w:szCs w:val="22"/>
        </w:rPr>
        <w:t>Sujeto Obligado</w:t>
      </w:r>
      <w:r w:rsidRPr="0059485F">
        <w:rPr>
          <w:rFonts w:ascii="Palatino Linotype" w:eastAsia="Palatino Linotype" w:hAnsi="Palatino Linotype" w:cs="Palatino Linotype"/>
          <w:sz w:val="22"/>
          <w:szCs w:val="22"/>
        </w:rPr>
        <w:t xml:space="preserve">, a través del Sistema de Acceso a la Información Mexiquense, en lo subsecuente el </w:t>
      </w:r>
      <w:r w:rsidRPr="0059485F">
        <w:rPr>
          <w:rFonts w:ascii="Palatino Linotype" w:eastAsia="Palatino Linotype" w:hAnsi="Palatino Linotype" w:cs="Palatino Linotype"/>
          <w:b/>
          <w:sz w:val="22"/>
          <w:szCs w:val="22"/>
        </w:rPr>
        <w:t>SAIMEX,</w:t>
      </w:r>
      <w:r w:rsidR="003B12AA" w:rsidRPr="0059485F">
        <w:rPr>
          <w:rFonts w:ascii="Palatino Linotype" w:eastAsia="Palatino Linotype" w:hAnsi="Palatino Linotype" w:cs="Palatino Linotype"/>
          <w:b/>
          <w:sz w:val="22"/>
          <w:szCs w:val="22"/>
        </w:rPr>
        <w:t xml:space="preserve"> </w:t>
      </w:r>
      <w:r w:rsidR="00D07252" w:rsidRPr="0059485F">
        <w:rPr>
          <w:rFonts w:ascii="Palatino Linotype" w:eastAsia="Palatino Linotype" w:hAnsi="Palatino Linotype" w:cs="Palatino Linotype"/>
          <w:sz w:val="22"/>
          <w:szCs w:val="22"/>
        </w:rPr>
        <w:t>no obstante</w:t>
      </w:r>
      <w:r w:rsidR="00D07252" w:rsidRPr="0059485F">
        <w:rPr>
          <w:rFonts w:ascii="Palatino Linotype" w:eastAsia="Palatino Linotype" w:hAnsi="Palatino Linotype" w:cs="Palatino Linotype"/>
          <w:b/>
          <w:sz w:val="22"/>
          <w:szCs w:val="22"/>
        </w:rPr>
        <w:t xml:space="preserve"> </w:t>
      </w:r>
      <w:r w:rsidR="00D07252" w:rsidRPr="0059485F">
        <w:rPr>
          <w:rFonts w:ascii="Palatino Linotype" w:eastAsia="Palatino Linotype" w:hAnsi="Palatino Linotype" w:cs="Palatino Linotype"/>
          <w:sz w:val="22"/>
          <w:szCs w:val="22"/>
        </w:rPr>
        <w:t xml:space="preserve">por corresponder a un día inhábil, la misma se tuvo por presentada el </w:t>
      </w:r>
      <w:r w:rsidR="00D07252" w:rsidRPr="0059485F">
        <w:rPr>
          <w:rFonts w:ascii="Palatino Linotype" w:eastAsia="Palatino Linotype" w:hAnsi="Palatino Linotype" w:cs="Palatino Linotype"/>
          <w:b/>
          <w:sz w:val="22"/>
          <w:szCs w:val="22"/>
        </w:rPr>
        <w:t>tres de agosto de dos mil veintiséis</w:t>
      </w:r>
      <w:r w:rsidR="00D07252"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sz w:val="22"/>
          <w:szCs w:val="22"/>
        </w:rPr>
        <w:t>mediante la cual requirió lo siguiente:</w:t>
      </w:r>
    </w:p>
    <w:p w14:paraId="49190675" w14:textId="6314684B" w:rsidR="005A75CA" w:rsidRPr="0059485F" w:rsidRDefault="009F548D" w:rsidP="00D7204E">
      <w:pPr>
        <w:spacing w:before="120" w:after="120"/>
        <w:ind w:left="851" w:right="902"/>
        <w:jc w:val="both"/>
        <w:rPr>
          <w:rFonts w:ascii="Palatino Linotype" w:eastAsia="Palatino Linotype" w:hAnsi="Palatino Linotype" w:cs="Palatino Linotype"/>
          <w:b/>
          <w:i/>
          <w:sz w:val="22"/>
          <w:szCs w:val="22"/>
        </w:rPr>
      </w:pPr>
      <w:r w:rsidRPr="0059485F">
        <w:rPr>
          <w:rFonts w:ascii="Palatino Linotype" w:eastAsia="Palatino Linotype" w:hAnsi="Palatino Linotype" w:cs="Palatino Linotype"/>
          <w:i/>
          <w:sz w:val="22"/>
          <w:szCs w:val="22"/>
        </w:rPr>
        <w:t xml:space="preserve"> “</w:t>
      </w:r>
      <w:r w:rsidR="00D07252" w:rsidRPr="0059485F">
        <w:rPr>
          <w:rFonts w:ascii="Palatino Linotype" w:eastAsia="Palatino Linotype" w:hAnsi="Palatino Linotype" w:cs="Palatino Linotype"/>
          <w:i/>
          <w:sz w:val="22"/>
          <w:szCs w:val="22"/>
        </w:rPr>
        <w:t>Recibos de nómina de quincenas, aguinaldo y primas de diciembre 2024 y diciembre 2025, de todos los empleados.</w:t>
      </w:r>
      <w:r w:rsidR="00E96B90" w:rsidRPr="0059485F">
        <w:rPr>
          <w:rFonts w:ascii="Palatino Linotype" w:eastAsia="Palatino Linotype" w:hAnsi="Palatino Linotype" w:cs="Palatino Linotype"/>
          <w:b/>
          <w:i/>
          <w:sz w:val="22"/>
          <w:szCs w:val="22"/>
        </w:rPr>
        <w:t>”</w:t>
      </w:r>
      <w:r w:rsidR="00E96B90" w:rsidRPr="0059485F">
        <w:rPr>
          <w:rFonts w:ascii="Palatino Linotype" w:eastAsia="Palatino Linotype" w:hAnsi="Palatino Linotype" w:cs="Palatino Linotype"/>
          <w:i/>
          <w:sz w:val="22"/>
          <w:szCs w:val="22"/>
        </w:rPr>
        <w:t xml:space="preserve"> (sic) </w:t>
      </w:r>
    </w:p>
    <w:p w14:paraId="6019A360" w14:textId="77777777"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bookmarkStart w:id="4" w:name="_heading=h.3dy6vkm" w:colFirst="0" w:colLast="0"/>
      <w:bookmarkEnd w:id="4"/>
      <w:r w:rsidRPr="0059485F">
        <w:rPr>
          <w:rFonts w:ascii="Palatino Linotype" w:eastAsia="Palatino Linotype" w:hAnsi="Palatino Linotype" w:cs="Palatino Linotype"/>
          <w:b/>
          <w:sz w:val="22"/>
          <w:szCs w:val="22"/>
        </w:rPr>
        <w:t>Modalidad de Entrega:</w:t>
      </w:r>
      <w:r w:rsidRPr="0059485F">
        <w:rPr>
          <w:rFonts w:ascii="Palatino Linotype" w:eastAsia="Palatino Linotype" w:hAnsi="Palatino Linotype" w:cs="Palatino Linotype"/>
          <w:sz w:val="22"/>
          <w:szCs w:val="22"/>
        </w:rPr>
        <w:t xml:space="preserve"> a través del</w:t>
      </w:r>
      <w:r w:rsidRPr="0059485F">
        <w:rPr>
          <w:rFonts w:ascii="Palatino Linotype" w:eastAsia="Palatino Linotype" w:hAnsi="Palatino Linotype" w:cs="Palatino Linotype"/>
          <w:b/>
          <w:sz w:val="22"/>
          <w:szCs w:val="22"/>
        </w:rPr>
        <w:t xml:space="preserve"> SAIMEX.</w:t>
      </w:r>
    </w:p>
    <w:p w14:paraId="2625098D" w14:textId="34BE15EC" w:rsidR="00690D64" w:rsidRPr="0059485F" w:rsidRDefault="00E96B90" w:rsidP="00D07252">
      <w:pPr>
        <w:pBdr>
          <w:top w:val="nil"/>
          <w:left w:val="nil"/>
          <w:bottom w:val="nil"/>
          <w:right w:val="nil"/>
          <w:between w:val="nil"/>
        </w:pBdr>
        <w:tabs>
          <w:tab w:val="left" w:pos="3119"/>
        </w:tabs>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sz w:val="22"/>
          <w:szCs w:val="22"/>
        </w:rPr>
        <w:t xml:space="preserve">2. </w:t>
      </w:r>
      <w:r w:rsidR="0001490F" w:rsidRPr="0059485F">
        <w:rPr>
          <w:rFonts w:ascii="Palatino Linotype" w:eastAsia="Palatino Linotype" w:hAnsi="Palatino Linotype" w:cs="Palatino Linotype"/>
          <w:b/>
          <w:bCs/>
          <w:sz w:val="22"/>
          <w:szCs w:val="22"/>
        </w:rPr>
        <w:t>Respuesta.</w:t>
      </w:r>
      <w:r w:rsidR="00690D64" w:rsidRPr="0059485F">
        <w:rPr>
          <w:rFonts w:ascii="Palatino Linotype" w:eastAsia="Palatino Linotype" w:hAnsi="Palatino Linotype" w:cs="Palatino Linotype"/>
          <w:b/>
          <w:bCs/>
          <w:sz w:val="22"/>
          <w:szCs w:val="22"/>
        </w:rPr>
        <w:t xml:space="preserve"> </w:t>
      </w:r>
      <w:r w:rsidR="00690D64" w:rsidRPr="0059485F">
        <w:rPr>
          <w:rFonts w:ascii="Palatino Linotype" w:eastAsia="Palatino Linotype" w:hAnsi="Palatino Linotype" w:cs="Palatino Linotype"/>
          <w:sz w:val="22"/>
          <w:szCs w:val="22"/>
        </w:rPr>
        <w:t xml:space="preserve">El </w:t>
      </w:r>
      <w:r w:rsidR="00D07252" w:rsidRPr="0059485F">
        <w:rPr>
          <w:rFonts w:ascii="Palatino Linotype" w:eastAsia="Palatino Linotype" w:hAnsi="Palatino Linotype" w:cs="Palatino Linotype"/>
          <w:b/>
          <w:bCs/>
          <w:sz w:val="22"/>
          <w:szCs w:val="22"/>
        </w:rPr>
        <w:t>diez de agosto</w:t>
      </w:r>
      <w:r w:rsidR="00690D64" w:rsidRPr="0059485F">
        <w:rPr>
          <w:rFonts w:ascii="Palatino Linotype" w:eastAsia="Palatino Linotype" w:hAnsi="Palatino Linotype" w:cs="Palatino Linotype"/>
          <w:b/>
          <w:bCs/>
          <w:sz w:val="22"/>
          <w:szCs w:val="22"/>
        </w:rPr>
        <w:t xml:space="preserve"> de dos mil veintiséis,</w:t>
      </w:r>
      <w:r w:rsidR="00690D64" w:rsidRPr="0059485F">
        <w:rPr>
          <w:rFonts w:ascii="Palatino Linotype" w:eastAsia="Palatino Linotype" w:hAnsi="Palatino Linotype" w:cs="Palatino Linotype"/>
          <w:sz w:val="22"/>
          <w:szCs w:val="22"/>
        </w:rPr>
        <w:t xml:space="preserve"> el </w:t>
      </w:r>
      <w:r w:rsidR="00690D64" w:rsidRPr="0059485F">
        <w:rPr>
          <w:rFonts w:ascii="Palatino Linotype" w:eastAsia="Palatino Linotype" w:hAnsi="Palatino Linotype" w:cs="Palatino Linotype"/>
          <w:b/>
          <w:bCs/>
          <w:sz w:val="22"/>
          <w:szCs w:val="22"/>
        </w:rPr>
        <w:t xml:space="preserve">Sujeto Obligado </w:t>
      </w:r>
      <w:r w:rsidR="00690D64" w:rsidRPr="0059485F">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75EC29A8" w14:textId="631EE96F" w:rsidR="00690D64" w:rsidRPr="0059485F" w:rsidRDefault="00690D64" w:rsidP="00690D64">
      <w:pPr>
        <w:spacing w:before="240" w:after="240"/>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lastRenderedPageBreak/>
        <w:t>“…</w:t>
      </w:r>
      <w:r w:rsidR="00D07252" w:rsidRPr="0059485F">
        <w:rPr>
          <w:rFonts w:ascii="Palatino Linotype" w:eastAsia="Palatino Linotype" w:hAnsi="Palatino Linotype" w:cs="Palatino Linotype"/>
          <w:i/>
          <w:iCs/>
          <w:sz w:val="22"/>
          <w:szCs w:val="22"/>
        </w:rPr>
        <w:t>Con base en el Manual General de Organización del Instituto Mexiquense para la Discapacidad, publicado en el Periódico Oficial Gaceta del Gobierno el 23 de marzo de 2023, y por razón de competencia, correspondió atender su solicitud a la Subdirección de Planeación, Administración y Estadística de este Instituto, de lo que se derivó el oficio número 208C0801000/200L/0342/2026, mediante el cual se proporciona la información requerida, en su solicitud que a la letra dice: “Recibos de nómina de quincenas, aguinaldo y primas de diciembre 2024 y diciembre 2025, de todos los empleados”, se anexa el oficio referido para pronta referencia.</w:t>
      </w:r>
      <w:r w:rsidR="00F96B61"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i/>
          <w:iCs/>
          <w:sz w:val="22"/>
          <w:szCs w:val="22"/>
        </w:rPr>
        <w:t>...” (sic)</w:t>
      </w:r>
    </w:p>
    <w:p w14:paraId="47BB008D" w14:textId="4359F0C7" w:rsidR="00F96B61" w:rsidRPr="0059485F" w:rsidRDefault="00690D64" w:rsidP="005D5DE1">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El </w:t>
      </w:r>
      <w:r w:rsidRPr="0059485F">
        <w:rPr>
          <w:rFonts w:ascii="Palatino Linotype" w:eastAsia="Palatino Linotype" w:hAnsi="Palatino Linotype" w:cs="Palatino Linotype"/>
          <w:b/>
          <w:bCs/>
          <w:sz w:val="22"/>
          <w:szCs w:val="22"/>
        </w:rPr>
        <w:t xml:space="preserve">Sujeto Obligado </w:t>
      </w:r>
      <w:r w:rsidRPr="0059485F">
        <w:rPr>
          <w:rFonts w:ascii="Palatino Linotype" w:eastAsia="Palatino Linotype" w:hAnsi="Palatino Linotype" w:cs="Palatino Linotype"/>
          <w:sz w:val="22"/>
          <w:szCs w:val="22"/>
        </w:rPr>
        <w:t xml:space="preserve">adjuntó </w:t>
      </w:r>
      <w:r w:rsidR="00F96B61" w:rsidRPr="0059485F">
        <w:rPr>
          <w:rFonts w:ascii="Palatino Linotype" w:eastAsia="Palatino Linotype" w:hAnsi="Palatino Linotype" w:cs="Palatino Linotype"/>
          <w:sz w:val="22"/>
          <w:szCs w:val="22"/>
        </w:rPr>
        <w:t>lo siguiente:</w:t>
      </w:r>
    </w:p>
    <w:p w14:paraId="0EFF7C64" w14:textId="709ADBB7" w:rsidR="00F52395" w:rsidRPr="0059485F" w:rsidRDefault="00F96B61" w:rsidP="00D07252">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 Oficio </w:t>
      </w:r>
      <w:r w:rsidR="00D07252" w:rsidRPr="0059485F">
        <w:rPr>
          <w:rFonts w:ascii="Palatino Linotype" w:eastAsia="Palatino Linotype" w:hAnsi="Palatino Linotype" w:cs="Palatino Linotype"/>
          <w:sz w:val="22"/>
          <w:szCs w:val="22"/>
        </w:rPr>
        <w:t>del diez de agosto de dos mil veintiséis, a través del cual el Titular de la Unidad de Transparencia refiere remitir la respuesta.</w:t>
      </w:r>
    </w:p>
    <w:p w14:paraId="7FEBE3DA" w14:textId="44BE5874" w:rsidR="00D07252" w:rsidRPr="0059485F" w:rsidRDefault="00D07252" w:rsidP="00D07252">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 Oficio del seis de agosto de dos mil veintiséis, a través del cual </w:t>
      </w:r>
      <w:r w:rsidR="00A61680" w:rsidRPr="0059485F">
        <w:rPr>
          <w:rFonts w:ascii="Palatino Linotype" w:eastAsia="Palatino Linotype" w:hAnsi="Palatino Linotype" w:cs="Palatino Linotype"/>
          <w:sz w:val="22"/>
          <w:szCs w:val="22"/>
        </w:rPr>
        <w:t>la Subdirectora de Planeación, Administración y Estadística refiere que la versión pública de lo requerido se proporcionará previo pago por los costos de reproducción.</w:t>
      </w:r>
    </w:p>
    <w:p w14:paraId="7CFCEA31" w14:textId="332703A1" w:rsidR="005A75CA" w:rsidRPr="0059485F" w:rsidRDefault="007E3F38" w:rsidP="00D7204E">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sz w:val="22"/>
          <w:szCs w:val="22"/>
        </w:rPr>
        <w:t>4</w:t>
      </w:r>
      <w:r w:rsidR="00E96B90" w:rsidRPr="0059485F">
        <w:rPr>
          <w:rFonts w:ascii="Palatino Linotype" w:eastAsia="Palatino Linotype" w:hAnsi="Palatino Linotype" w:cs="Palatino Linotype"/>
          <w:b/>
          <w:sz w:val="22"/>
          <w:szCs w:val="22"/>
        </w:rPr>
        <w:t xml:space="preserve">. Interposición del recurso de revisión. </w:t>
      </w:r>
      <w:r w:rsidR="00E96B90" w:rsidRPr="0059485F">
        <w:rPr>
          <w:rFonts w:ascii="Palatino Linotype" w:eastAsia="Palatino Linotype" w:hAnsi="Palatino Linotype" w:cs="Palatino Linotype"/>
          <w:sz w:val="22"/>
          <w:szCs w:val="22"/>
        </w:rPr>
        <w:t xml:space="preserve">Inconforme con los términos de la respuesta emitida por parte del </w:t>
      </w:r>
      <w:r w:rsidR="00E96B90" w:rsidRPr="0059485F">
        <w:rPr>
          <w:rFonts w:ascii="Palatino Linotype" w:eastAsia="Palatino Linotype" w:hAnsi="Palatino Linotype" w:cs="Palatino Linotype"/>
          <w:b/>
          <w:sz w:val="22"/>
          <w:szCs w:val="22"/>
        </w:rPr>
        <w:t xml:space="preserve">Sujeto Obligado, </w:t>
      </w:r>
      <w:r w:rsidR="00E96B90" w:rsidRPr="0059485F">
        <w:rPr>
          <w:rFonts w:ascii="Palatino Linotype" w:eastAsia="Palatino Linotype" w:hAnsi="Palatino Linotype" w:cs="Palatino Linotype"/>
          <w:bCs/>
          <w:sz w:val="22"/>
          <w:szCs w:val="22"/>
        </w:rPr>
        <w:t xml:space="preserve">el </w:t>
      </w:r>
      <w:r w:rsidR="00A61680" w:rsidRPr="0059485F">
        <w:rPr>
          <w:rFonts w:ascii="Palatino Linotype" w:eastAsia="Palatino Linotype" w:hAnsi="Palatino Linotype" w:cs="Palatino Linotype"/>
          <w:b/>
          <w:sz w:val="22"/>
          <w:szCs w:val="22"/>
        </w:rPr>
        <w:t>veintiséis de agosto</w:t>
      </w:r>
      <w:r w:rsidR="003B12AA" w:rsidRPr="0059485F">
        <w:rPr>
          <w:rFonts w:ascii="Palatino Linotype" w:eastAsia="Palatino Linotype" w:hAnsi="Palatino Linotype" w:cs="Palatino Linotype"/>
          <w:b/>
          <w:sz w:val="22"/>
          <w:szCs w:val="22"/>
        </w:rPr>
        <w:t xml:space="preserve"> </w:t>
      </w:r>
      <w:r w:rsidR="00E96B90" w:rsidRPr="0059485F">
        <w:rPr>
          <w:rFonts w:ascii="Palatino Linotype" w:eastAsia="Palatino Linotype" w:hAnsi="Palatino Linotype" w:cs="Palatino Linotype"/>
          <w:b/>
          <w:sz w:val="22"/>
          <w:szCs w:val="22"/>
        </w:rPr>
        <w:t>de dos mil veinti</w:t>
      </w:r>
      <w:r w:rsidR="003B12AA" w:rsidRPr="0059485F">
        <w:rPr>
          <w:rFonts w:ascii="Palatino Linotype" w:eastAsia="Palatino Linotype" w:hAnsi="Palatino Linotype" w:cs="Palatino Linotype"/>
          <w:b/>
          <w:sz w:val="22"/>
          <w:szCs w:val="22"/>
        </w:rPr>
        <w:t>séis</w:t>
      </w:r>
      <w:r w:rsidR="00E96B90" w:rsidRPr="0059485F">
        <w:rPr>
          <w:rFonts w:ascii="Palatino Linotype" w:eastAsia="Palatino Linotype" w:hAnsi="Palatino Linotype" w:cs="Palatino Linotype"/>
          <w:b/>
          <w:sz w:val="22"/>
          <w:szCs w:val="22"/>
        </w:rPr>
        <w:t>,</w:t>
      </w:r>
      <w:r w:rsidR="00E96B90" w:rsidRPr="0059485F">
        <w:rPr>
          <w:rFonts w:ascii="Palatino Linotype" w:eastAsia="Palatino Linotype" w:hAnsi="Palatino Linotype" w:cs="Palatino Linotype"/>
          <w:sz w:val="22"/>
          <w:szCs w:val="22"/>
        </w:rPr>
        <w:t xml:space="preserve"> la parte </w:t>
      </w:r>
      <w:r w:rsidR="00E96B90" w:rsidRPr="0059485F">
        <w:rPr>
          <w:rFonts w:ascii="Palatino Linotype" w:eastAsia="Palatino Linotype" w:hAnsi="Palatino Linotype" w:cs="Palatino Linotype"/>
          <w:b/>
          <w:sz w:val="22"/>
          <w:szCs w:val="22"/>
        </w:rPr>
        <w:t>Recurrente</w:t>
      </w:r>
      <w:r w:rsidR="00E96B90" w:rsidRPr="0059485F">
        <w:rPr>
          <w:rFonts w:ascii="Palatino Linotype" w:eastAsia="Palatino Linotype" w:hAnsi="Palatino Linotype" w:cs="Palatino Linotype"/>
          <w:sz w:val="22"/>
          <w:szCs w:val="22"/>
        </w:rPr>
        <w:t xml:space="preserve"> interpuso el recurso de revisión a través de </w:t>
      </w:r>
      <w:r w:rsidR="00E96B90" w:rsidRPr="0059485F">
        <w:rPr>
          <w:rFonts w:ascii="Palatino Linotype" w:eastAsia="Palatino Linotype" w:hAnsi="Palatino Linotype" w:cs="Palatino Linotype"/>
          <w:b/>
          <w:sz w:val="22"/>
          <w:szCs w:val="22"/>
        </w:rPr>
        <w:t xml:space="preserve">SAIMEX, </w:t>
      </w:r>
      <w:r w:rsidR="00E96B90" w:rsidRPr="0059485F">
        <w:rPr>
          <w:rFonts w:ascii="Palatino Linotype" w:eastAsia="Palatino Linotype" w:hAnsi="Palatino Linotype" w:cs="Palatino Linotype"/>
          <w:sz w:val="22"/>
          <w:szCs w:val="22"/>
        </w:rPr>
        <w:t>en donde se manifestó de la siguiente manera:</w:t>
      </w:r>
    </w:p>
    <w:p w14:paraId="0DB160D3" w14:textId="77777777" w:rsidR="005A75CA" w:rsidRPr="0059485F" w:rsidRDefault="00E96B90" w:rsidP="00D7204E">
      <w:pPr>
        <w:spacing w:before="240" w:after="240" w:line="360" w:lineRule="auto"/>
        <w:ind w:right="49"/>
        <w:jc w:val="both"/>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 xml:space="preserve">Acto impugnado: </w:t>
      </w:r>
    </w:p>
    <w:p w14:paraId="68DC3E6A" w14:textId="3C334B2C" w:rsidR="005A75CA" w:rsidRPr="0059485F" w:rsidRDefault="00E96B90" w:rsidP="00D7204E">
      <w:pPr>
        <w:tabs>
          <w:tab w:val="left" w:pos="2745"/>
        </w:tabs>
        <w:spacing w:before="240" w:after="240"/>
        <w:ind w:left="851" w:right="900"/>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r w:rsidR="00A61680" w:rsidRPr="0059485F">
        <w:rPr>
          <w:rFonts w:ascii="Palatino Linotype" w:eastAsia="Palatino Linotype" w:hAnsi="Palatino Linotype" w:cs="Palatino Linotype"/>
          <w:i/>
          <w:sz w:val="22"/>
          <w:szCs w:val="22"/>
        </w:rPr>
        <w:t>La negativa a proporcionar información sin motivación ni justificación suficiente.</w:t>
      </w:r>
      <w:r w:rsidRPr="0059485F">
        <w:rPr>
          <w:rFonts w:ascii="Palatino Linotype" w:eastAsia="Palatino Linotype" w:hAnsi="Palatino Linotype" w:cs="Palatino Linotype"/>
          <w:i/>
          <w:sz w:val="22"/>
          <w:szCs w:val="22"/>
        </w:rPr>
        <w:t>” (sic)</w:t>
      </w:r>
    </w:p>
    <w:p w14:paraId="64535873" w14:textId="77777777" w:rsidR="005A75CA" w:rsidRPr="0059485F" w:rsidRDefault="00E96B90" w:rsidP="00D7204E">
      <w:pPr>
        <w:spacing w:line="360" w:lineRule="auto"/>
        <w:jc w:val="both"/>
        <w:rPr>
          <w:rFonts w:ascii="Palatino Linotype" w:eastAsia="Palatino Linotype" w:hAnsi="Palatino Linotype" w:cs="Palatino Linotype"/>
          <w:sz w:val="22"/>
          <w:szCs w:val="22"/>
        </w:rPr>
      </w:pPr>
      <w:bookmarkStart w:id="5" w:name="_heading=h.30j0zll" w:colFirst="0" w:colLast="0"/>
      <w:bookmarkEnd w:id="5"/>
      <w:r w:rsidRPr="0059485F">
        <w:rPr>
          <w:rFonts w:ascii="Palatino Linotype" w:eastAsia="Palatino Linotype" w:hAnsi="Palatino Linotype" w:cs="Palatino Linotype"/>
          <w:b/>
          <w:sz w:val="22"/>
          <w:szCs w:val="22"/>
        </w:rPr>
        <w:t>Y, Razones o motivos de inconformidad</w:t>
      </w:r>
      <w:r w:rsidRPr="0059485F">
        <w:rPr>
          <w:rFonts w:ascii="Palatino Linotype" w:eastAsia="Palatino Linotype" w:hAnsi="Palatino Linotype" w:cs="Palatino Linotype"/>
          <w:sz w:val="22"/>
          <w:szCs w:val="22"/>
        </w:rPr>
        <w:t>:</w:t>
      </w:r>
    </w:p>
    <w:p w14:paraId="6C751BDA" w14:textId="745302F5" w:rsidR="005A75CA" w:rsidRPr="0059485F" w:rsidRDefault="00E96B90" w:rsidP="00D7204E">
      <w:pPr>
        <w:tabs>
          <w:tab w:val="left" w:pos="2745"/>
        </w:tabs>
        <w:spacing w:before="240" w:after="240"/>
        <w:ind w:left="851" w:right="900"/>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r w:rsidR="00A61680" w:rsidRPr="0059485F">
        <w:rPr>
          <w:rFonts w:ascii="Palatino Linotype" w:eastAsia="Palatino Linotype" w:hAnsi="Palatino Linotype" w:cs="Palatino Linotype"/>
          <w:i/>
          <w:sz w:val="22"/>
          <w:szCs w:val="22"/>
        </w:rPr>
        <w:t>No dan una respuesta clara del porque me quieren cambiar la modalidad de proporcionar la información.</w:t>
      </w:r>
      <w:r w:rsidRPr="0059485F">
        <w:rPr>
          <w:rFonts w:ascii="Palatino Linotype" w:eastAsia="Palatino Linotype" w:hAnsi="Palatino Linotype" w:cs="Palatino Linotype"/>
          <w:i/>
          <w:sz w:val="22"/>
          <w:szCs w:val="22"/>
        </w:rPr>
        <w:t>” (sic)</w:t>
      </w:r>
    </w:p>
    <w:p w14:paraId="63BA5F7F" w14:textId="0A0FE57E" w:rsidR="005A75CA" w:rsidRPr="0059485F" w:rsidRDefault="007E3F38" w:rsidP="00D7204E">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sz w:val="22"/>
          <w:szCs w:val="22"/>
        </w:rPr>
        <w:lastRenderedPageBreak/>
        <w:t>5</w:t>
      </w:r>
      <w:r w:rsidR="00E96B90" w:rsidRPr="0059485F">
        <w:rPr>
          <w:rFonts w:ascii="Palatino Linotype" w:eastAsia="Palatino Linotype" w:hAnsi="Palatino Linotype" w:cs="Palatino Linotype"/>
          <w:b/>
          <w:sz w:val="22"/>
          <w:szCs w:val="22"/>
        </w:rPr>
        <w:t xml:space="preserve">. Turno. </w:t>
      </w:r>
      <w:r w:rsidR="00E96B90" w:rsidRPr="0059485F">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E96B90" w:rsidRPr="0059485F">
        <w:rPr>
          <w:rFonts w:ascii="Palatino Linotype" w:eastAsia="Palatino Linotype" w:hAnsi="Palatino Linotype" w:cs="Palatino Linotype"/>
          <w:b/>
          <w:sz w:val="22"/>
          <w:szCs w:val="22"/>
        </w:rPr>
        <w:t xml:space="preserve">Guadalupe Ramírez Peña, </w:t>
      </w:r>
      <w:r w:rsidR="00E96B90" w:rsidRPr="0059485F">
        <w:rPr>
          <w:rFonts w:ascii="Palatino Linotype" w:eastAsia="Palatino Linotype" w:hAnsi="Palatino Linotype" w:cs="Palatino Linotype"/>
          <w:sz w:val="22"/>
          <w:szCs w:val="22"/>
        </w:rPr>
        <w:t>a efecto de que analizara sobre su admisión o su desechamiento.</w:t>
      </w:r>
    </w:p>
    <w:p w14:paraId="7FEE7B27" w14:textId="7A49E939" w:rsidR="005A75CA" w:rsidRPr="0059485F" w:rsidRDefault="007E3F38" w:rsidP="00D7204E">
      <w:pPr>
        <w:spacing w:before="240" w:after="240" w:line="360" w:lineRule="auto"/>
        <w:jc w:val="both"/>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6</w:t>
      </w:r>
      <w:r w:rsidR="0001490F" w:rsidRPr="0059485F">
        <w:rPr>
          <w:rFonts w:ascii="Palatino Linotype" w:eastAsia="Palatino Linotype" w:hAnsi="Palatino Linotype" w:cs="Palatino Linotype"/>
          <w:b/>
          <w:sz w:val="22"/>
          <w:szCs w:val="22"/>
        </w:rPr>
        <w:t>.</w:t>
      </w:r>
      <w:r w:rsidR="00E96B90" w:rsidRPr="0059485F">
        <w:rPr>
          <w:rFonts w:ascii="Palatino Linotype" w:eastAsia="Palatino Linotype" w:hAnsi="Palatino Linotype" w:cs="Palatino Linotype"/>
          <w:b/>
          <w:sz w:val="22"/>
          <w:szCs w:val="22"/>
        </w:rPr>
        <w:t xml:space="preserve"> Admisión del Recurso de revisión.</w:t>
      </w:r>
      <w:r w:rsidR="00E96B90" w:rsidRPr="0059485F">
        <w:rPr>
          <w:rFonts w:ascii="Palatino Linotype" w:eastAsia="Palatino Linotype" w:hAnsi="Palatino Linotype" w:cs="Palatino Linotype"/>
          <w:sz w:val="22"/>
          <w:szCs w:val="22"/>
        </w:rPr>
        <w:t xml:space="preserve"> El</w:t>
      </w:r>
      <w:r w:rsidR="008C0431" w:rsidRPr="0059485F">
        <w:rPr>
          <w:rFonts w:ascii="Palatino Linotype" w:eastAsia="Palatino Linotype" w:hAnsi="Palatino Linotype" w:cs="Palatino Linotype"/>
          <w:sz w:val="22"/>
          <w:szCs w:val="22"/>
        </w:rPr>
        <w:t xml:space="preserve"> </w:t>
      </w:r>
      <w:r w:rsidR="00A61680" w:rsidRPr="0059485F">
        <w:rPr>
          <w:rFonts w:ascii="Palatino Linotype" w:eastAsia="Palatino Linotype" w:hAnsi="Palatino Linotype" w:cs="Palatino Linotype"/>
          <w:b/>
          <w:sz w:val="22"/>
          <w:szCs w:val="22"/>
        </w:rPr>
        <w:t>veintisiete de agosto</w:t>
      </w:r>
      <w:r w:rsidR="008C0431" w:rsidRPr="0059485F">
        <w:rPr>
          <w:rFonts w:ascii="Palatino Linotype" w:eastAsia="Palatino Linotype" w:hAnsi="Palatino Linotype" w:cs="Palatino Linotype"/>
          <w:b/>
          <w:sz w:val="22"/>
          <w:szCs w:val="22"/>
        </w:rPr>
        <w:t xml:space="preserve"> de dos mil veintiséis, </w:t>
      </w:r>
      <w:r w:rsidR="00E96B90" w:rsidRPr="0059485F">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E96B90" w:rsidRPr="0059485F">
        <w:rPr>
          <w:rFonts w:ascii="Palatino Linotype" w:eastAsia="Palatino Linotype" w:hAnsi="Palatino Linotype" w:cs="Palatino Linotype"/>
          <w:b/>
          <w:sz w:val="22"/>
          <w:szCs w:val="22"/>
        </w:rPr>
        <w:t xml:space="preserve">Sujeto Obligado </w:t>
      </w:r>
      <w:r w:rsidR="00E96B90" w:rsidRPr="0059485F">
        <w:rPr>
          <w:rFonts w:ascii="Palatino Linotype" w:eastAsia="Palatino Linotype" w:hAnsi="Palatino Linotype" w:cs="Palatino Linotype"/>
          <w:sz w:val="22"/>
          <w:szCs w:val="22"/>
        </w:rPr>
        <w:t>presentara su informe justificado.</w:t>
      </w:r>
    </w:p>
    <w:p w14:paraId="6AF479FB" w14:textId="3EC9AB4E" w:rsidR="006D6CC9" w:rsidRPr="0059485F" w:rsidRDefault="004646CD" w:rsidP="00A61680">
      <w:pPr>
        <w:spacing w:before="240" w:after="240" w:line="360" w:lineRule="auto"/>
        <w:jc w:val="both"/>
        <w:rPr>
          <w:rFonts w:ascii="Palatino Linotype" w:eastAsia="Palatino Linotype" w:hAnsi="Palatino Linotype" w:cs="Palatino Linotype"/>
          <w:sz w:val="22"/>
          <w:szCs w:val="22"/>
        </w:rPr>
      </w:pPr>
      <w:bookmarkStart w:id="6" w:name="_heading=h.2s8eyo1" w:colFirst="0" w:colLast="0"/>
      <w:bookmarkEnd w:id="6"/>
      <w:r w:rsidRPr="0059485F">
        <w:rPr>
          <w:rFonts w:ascii="Palatino Linotype" w:eastAsia="Palatino Linotype" w:hAnsi="Palatino Linotype" w:cs="Palatino Linotype"/>
          <w:b/>
          <w:sz w:val="22"/>
          <w:szCs w:val="22"/>
        </w:rPr>
        <w:t>7</w:t>
      </w:r>
      <w:r w:rsidR="00E96B90" w:rsidRPr="0059485F">
        <w:rPr>
          <w:rFonts w:ascii="Palatino Linotype" w:eastAsia="Palatino Linotype" w:hAnsi="Palatino Linotype" w:cs="Palatino Linotype"/>
          <w:b/>
          <w:sz w:val="22"/>
          <w:szCs w:val="22"/>
        </w:rPr>
        <w:t>. Manifestaciones</w:t>
      </w:r>
      <w:r w:rsidR="00E96B90" w:rsidRPr="0059485F">
        <w:rPr>
          <w:rFonts w:ascii="Palatino Linotype" w:eastAsia="Palatino Linotype" w:hAnsi="Palatino Linotype" w:cs="Palatino Linotype"/>
          <w:sz w:val="22"/>
          <w:szCs w:val="22"/>
        </w:rPr>
        <w:t xml:space="preserve">. </w:t>
      </w:r>
      <w:r w:rsidR="00A61680" w:rsidRPr="0059485F">
        <w:rPr>
          <w:rFonts w:ascii="Palatino Linotype" w:eastAsia="Palatino Linotype" w:hAnsi="Palatino Linotype" w:cs="Palatino Linotype"/>
          <w:sz w:val="22"/>
          <w:szCs w:val="22"/>
        </w:rPr>
        <w:t>De las constancias que obran en el SAIMEX, se advierte que las partes fueron omisas en hacer valer manifestaciones que conforme a derecho resultaran procedentes, como se desprende de la siguiente digitalización:</w:t>
      </w:r>
    </w:p>
    <w:p w14:paraId="59BDB6F6" w14:textId="146F3F9C" w:rsidR="00A61680" w:rsidRPr="0059485F" w:rsidRDefault="00A61680" w:rsidP="00A61680">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noProof/>
          <w:sz w:val="22"/>
          <w:szCs w:val="22"/>
        </w:rPr>
        <w:drawing>
          <wp:inline distT="0" distB="0" distL="0" distR="0" wp14:anchorId="0AE7ED09" wp14:editId="02AE5684">
            <wp:extent cx="5612130" cy="1457960"/>
            <wp:effectExtent l="19050" t="19050" r="26670" b="279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1457960"/>
                    </a:xfrm>
                    <a:prstGeom prst="rect">
                      <a:avLst/>
                    </a:prstGeom>
                    <a:ln>
                      <a:solidFill>
                        <a:schemeClr val="accent1"/>
                      </a:solidFill>
                    </a:ln>
                  </pic:spPr>
                </pic:pic>
              </a:graphicData>
            </a:graphic>
          </wp:inline>
        </w:drawing>
      </w:r>
    </w:p>
    <w:p w14:paraId="7B6D585C" w14:textId="3715E9EC" w:rsidR="00122A9E" w:rsidRPr="0059485F" w:rsidRDefault="005E3413" w:rsidP="00B41661">
      <w:pPr>
        <w:spacing w:before="240" w:after="240" w:line="360" w:lineRule="auto"/>
        <w:jc w:val="both"/>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8</w:t>
      </w:r>
      <w:r w:rsidR="00CD4734" w:rsidRPr="0059485F">
        <w:rPr>
          <w:rFonts w:ascii="Palatino Linotype" w:eastAsia="Palatino Linotype" w:hAnsi="Palatino Linotype" w:cs="Palatino Linotype"/>
          <w:b/>
          <w:sz w:val="22"/>
          <w:szCs w:val="22"/>
        </w:rPr>
        <w:t xml:space="preserve">. </w:t>
      </w:r>
      <w:r w:rsidR="00122A9E" w:rsidRPr="0059485F">
        <w:rPr>
          <w:rFonts w:ascii="Palatino Linotype" w:eastAsia="Palatino Linotype" w:hAnsi="Palatino Linotype" w:cs="Palatino Linotype"/>
          <w:b/>
          <w:sz w:val="22"/>
          <w:szCs w:val="22"/>
        </w:rPr>
        <w:t xml:space="preserve">Cierre de instrucción. </w:t>
      </w:r>
      <w:r w:rsidR="00122A9E" w:rsidRPr="0059485F">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00A61680" w:rsidRPr="0059485F">
        <w:rPr>
          <w:rFonts w:ascii="Palatino Linotype" w:eastAsia="Palatino Linotype" w:hAnsi="Palatino Linotype" w:cs="Palatino Linotype"/>
          <w:b/>
          <w:bCs/>
          <w:sz w:val="22"/>
          <w:szCs w:val="22"/>
        </w:rPr>
        <w:t>nueve de septiembre</w:t>
      </w:r>
      <w:r w:rsidR="00122A9E" w:rsidRPr="0059485F">
        <w:rPr>
          <w:rFonts w:ascii="Palatino Linotype" w:eastAsia="Palatino Linotype" w:hAnsi="Palatino Linotype" w:cs="Palatino Linotype"/>
          <w:b/>
          <w:sz w:val="22"/>
          <w:szCs w:val="22"/>
        </w:rPr>
        <w:t xml:space="preserve"> de dos mil veintiséis</w:t>
      </w:r>
      <w:r w:rsidR="00122A9E" w:rsidRPr="0059485F">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0A66F519" w14:textId="54F5B78C"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2AD56F5D" w14:textId="77777777" w:rsidR="005A75CA" w:rsidRPr="0059485F" w:rsidRDefault="00E96B90" w:rsidP="001205A1">
      <w:pPr>
        <w:widowControl w:val="0"/>
        <w:spacing w:before="240" w:after="240" w:line="360" w:lineRule="auto"/>
        <w:jc w:val="center"/>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II. C O N S I D E R A N D O S</w:t>
      </w:r>
    </w:p>
    <w:p w14:paraId="591E0DDD" w14:textId="70ECD718"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sz w:val="22"/>
          <w:szCs w:val="22"/>
        </w:rPr>
        <w:t>Primero. Competencia.</w:t>
      </w:r>
      <w:r w:rsidRPr="0059485F">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w:t>
      </w:r>
      <w:r w:rsidR="00170F4F" w:rsidRPr="0059485F">
        <w:rPr>
          <w:rFonts w:ascii="Palatino Linotype" w:eastAsia="Palatino Linotype" w:hAnsi="Palatino Linotype" w:cs="Palatino Linotype"/>
          <w:sz w:val="22"/>
          <w:szCs w:val="22"/>
        </w:rPr>
        <w:t xml:space="preserve"> 5 párrafos cuadragésimo cuarto, cuadragésimo quinto y cuadragésimo sexto, fracciones IV y V de la Constitución Política del Estado Libre y Soberano de México; transitorio Cuarto del Decreto número 198 de la “LXII” Legislatura del Estado de México</w:t>
      </w:r>
      <w:r w:rsidRPr="0059485F">
        <w:rPr>
          <w:rFonts w:ascii="Palatino Linotype" w:eastAsia="Palatino Linotype" w:hAnsi="Palatino Linotype" w:cs="Palatino Linotype"/>
          <w:sz w:val="22"/>
          <w:szCs w:val="22"/>
        </w:rPr>
        <w:t>;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0208CE6F" w14:textId="77777777" w:rsidR="00BC7DDC" w:rsidRPr="0059485F" w:rsidRDefault="00BC7DDC" w:rsidP="00BC7DDC">
      <w:pPr>
        <w:spacing w:before="240" w:after="240" w:line="360" w:lineRule="auto"/>
        <w:jc w:val="both"/>
        <w:rPr>
          <w:rFonts w:ascii="Palatino Linotype" w:eastAsia="Palatino Linotype" w:hAnsi="Palatino Linotype" w:cs="Palatino Linotype"/>
          <w:sz w:val="22"/>
          <w:szCs w:val="22"/>
        </w:rPr>
      </w:pPr>
      <w:bookmarkStart w:id="7" w:name="_heading=h.3znysh7" w:colFirst="0" w:colLast="0"/>
      <w:bookmarkEnd w:id="7"/>
      <w:r w:rsidRPr="0059485F">
        <w:rPr>
          <w:rFonts w:ascii="Palatino Linotype" w:eastAsia="Palatino Linotype" w:hAnsi="Palatino Linotype" w:cs="Palatino Linotype"/>
          <w:b/>
          <w:bCs/>
          <w:sz w:val="22"/>
          <w:szCs w:val="22"/>
        </w:rPr>
        <w:t>Segundo. Oportunidad y Procedibilidad del Recurso de Revisión</w:t>
      </w:r>
      <w:r w:rsidRPr="0059485F">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26E43ADD" w14:textId="6FBDB838" w:rsidR="00BC7DDC" w:rsidRPr="0059485F" w:rsidRDefault="00BC7DDC" w:rsidP="00BC7DDC">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59485F">
        <w:rPr>
          <w:rFonts w:ascii="Palatino Linotype" w:eastAsia="Palatino Linotype" w:hAnsi="Palatino Linotype" w:cs="Palatino Linotype"/>
          <w:b/>
          <w:bCs/>
          <w:sz w:val="22"/>
          <w:szCs w:val="22"/>
        </w:rPr>
        <w:t xml:space="preserve">Sujeto Obligado </w:t>
      </w:r>
      <w:r w:rsidRPr="0059485F">
        <w:rPr>
          <w:rFonts w:ascii="Palatino Linotype" w:eastAsia="Palatino Linotype" w:hAnsi="Palatino Linotype" w:cs="Palatino Linotype"/>
          <w:sz w:val="22"/>
          <w:szCs w:val="22"/>
        </w:rPr>
        <w:t xml:space="preserve">remitió la respuesta a la solicitud de información el día </w:t>
      </w:r>
      <w:r w:rsidR="00A61680" w:rsidRPr="0059485F">
        <w:rPr>
          <w:rFonts w:ascii="Palatino Linotype" w:eastAsia="Palatino Linotype" w:hAnsi="Palatino Linotype" w:cs="Palatino Linotype"/>
          <w:b/>
          <w:bCs/>
          <w:sz w:val="22"/>
          <w:szCs w:val="22"/>
        </w:rPr>
        <w:t>diez de agosto de dos mil veintiséis</w:t>
      </w:r>
      <w:r w:rsidRPr="0059485F">
        <w:rPr>
          <w:rFonts w:ascii="Palatino Linotype" w:eastAsia="Palatino Linotype" w:hAnsi="Palatino Linotype" w:cs="Palatino Linotype"/>
          <w:b/>
          <w:bCs/>
          <w:sz w:val="22"/>
          <w:szCs w:val="22"/>
        </w:rPr>
        <w:t xml:space="preserve">, </w:t>
      </w:r>
      <w:r w:rsidRPr="0059485F">
        <w:rPr>
          <w:rFonts w:ascii="Palatino Linotype" w:eastAsia="Palatino Linotype" w:hAnsi="Palatino Linotype" w:cs="Palatino Linotype"/>
          <w:sz w:val="22"/>
          <w:szCs w:val="22"/>
        </w:rPr>
        <w:t xml:space="preserve">mientras que el recurso de revisión interpuesto por la parte </w:t>
      </w:r>
      <w:r w:rsidRPr="0059485F">
        <w:rPr>
          <w:rFonts w:ascii="Palatino Linotype" w:eastAsia="Palatino Linotype" w:hAnsi="Palatino Linotype" w:cs="Palatino Linotype"/>
          <w:b/>
          <w:bCs/>
          <w:sz w:val="22"/>
          <w:szCs w:val="22"/>
        </w:rPr>
        <w:t xml:space="preserve">Recurrente, </w:t>
      </w:r>
      <w:r w:rsidRPr="0059485F">
        <w:rPr>
          <w:rFonts w:ascii="Palatino Linotype" w:eastAsia="Palatino Linotype" w:hAnsi="Palatino Linotype" w:cs="Palatino Linotype"/>
          <w:sz w:val="22"/>
          <w:szCs w:val="22"/>
        </w:rPr>
        <w:t>se tuvo por presentado el día</w:t>
      </w:r>
      <w:r w:rsidRPr="0059485F">
        <w:rPr>
          <w:rFonts w:ascii="Palatino Linotype" w:eastAsia="Palatino Linotype" w:hAnsi="Palatino Linotype" w:cs="Palatino Linotype"/>
          <w:b/>
          <w:bCs/>
          <w:sz w:val="22"/>
          <w:szCs w:val="22"/>
        </w:rPr>
        <w:t xml:space="preserve"> </w:t>
      </w:r>
      <w:r w:rsidR="00A61680" w:rsidRPr="0059485F">
        <w:rPr>
          <w:rFonts w:ascii="Palatino Linotype" w:eastAsia="Palatino Linotype" w:hAnsi="Palatino Linotype" w:cs="Palatino Linotype"/>
          <w:b/>
          <w:sz w:val="22"/>
          <w:szCs w:val="22"/>
        </w:rPr>
        <w:t>veintiséis de agosto de dos mil veintiséis</w:t>
      </w:r>
      <w:r w:rsidRPr="0059485F">
        <w:rPr>
          <w:rFonts w:ascii="Palatino Linotype" w:eastAsia="Palatino Linotype" w:hAnsi="Palatino Linotype" w:cs="Palatino Linotype"/>
          <w:b/>
          <w:bCs/>
          <w:sz w:val="22"/>
          <w:szCs w:val="22"/>
        </w:rPr>
        <w:t xml:space="preserve">, </w:t>
      </w:r>
      <w:r w:rsidRPr="0059485F">
        <w:rPr>
          <w:rFonts w:ascii="Palatino Linotype" w:eastAsia="Palatino Linotype" w:hAnsi="Palatino Linotype" w:cs="Palatino Linotype"/>
          <w:sz w:val="22"/>
          <w:szCs w:val="22"/>
        </w:rPr>
        <w:t xml:space="preserve">esto es, al </w:t>
      </w:r>
      <w:r w:rsidR="00A61680" w:rsidRPr="0059485F">
        <w:rPr>
          <w:rFonts w:ascii="Palatino Linotype" w:eastAsia="Palatino Linotype" w:hAnsi="Palatino Linotype" w:cs="Palatino Linotype"/>
          <w:sz w:val="22"/>
          <w:szCs w:val="22"/>
        </w:rPr>
        <w:t>décimo segundo</w:t>
      </w:r>
      <w:r w:rsidRPr="0059485F">
        <w:rPr>
          <w:rFonts w:ascii="Palatino Linotype" w:eastAsia="Palatino Linotype" w:hAnsi="Palatino Linotype" w:cs="Palatino Linotype"/>
          <w:sz w:val="22"/>
          <w:szCs w:val="22"/>
        </w:rPr>
        <w:t xml:space="preserve"> día hábil posterior a aquel en el que tuvo conocimiento de la respuesta impugnada. En este sentido, se concluye que el presente recurso de revisión se encuentra dentro de los márgenes temporales previstos en las disposiciones legales referidas.</w:t>
      </w:r>
    </w:p>
    <w:p w14:paraId="2FA335CB" w14:textId="77777777" w:rsidR="000F7432" w:rsidRPr="0059485F" w:rsidRDefault="000F7432" w:rsidP="000F7432">
      <w:pPr>
        <w:tabs>
          <w:tab w:val="left" w:pos="7938"/>
        </w:tabs>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4772C6A7" w14:textId="77777777" w:rsidR="00A61680" w:rsidRPr="0059485F" w:rsidRDefault="00A61680" w:rsidP="00A61680">
      <w:pPr>
        <w:spacing w:before="240" w:after="240" w:line="360" w:lineRule="auto"/>
        <w:jc w:val="both"/>
        <w:rPr>
          <w:rFonts w:ascii="Palatino Linotype" w:eastAsia="Palatino Linotype" w:hAnsi="Palatino Linotype" w:cs="Palatino Linotype"/>
          <w:b/>
          <w:bCs/>
          <w:sz w:val="22"/>
        </w:rPr>
      </w:pPr>
      <w:r w:rsidRPr="0059485F">
        <w:rPr>
          <w:rFonts w:ascii="Palatino Linotype" w:eastAsia="Palatino Linotype" w:hAnsi="Palatino Linotype" w:cs="Palatino Linotype"/>
          <w:sz w:val="22"/>
        </w:rPr>
        <w:t>Además, por cuanto hace a la procedibilidad del recurso de revisión, es de suma importancia señalar que la parte</w:t>
      </w:r>
      <w:r w:rsidRPr="0059485F">
        <w:rPr>
          <w:rFonts w:ascii="Palatino Linotype" w:eastAsia="Palatino Linotype" w:hAnsi="Palatino Linotype" w:cs="Palatino Linotype"/>
          <w:b/>
          <w:bCs/>
          <w:sz w:val="22"/>
        </w:rPr>
        <w:t xml:space="preserve"> Recurrente</w:t>
      </w:r>
      <w:r w:rsidRPr="0059485F">
        <w:rPr>
          <w:rFonts w:ascii="Palatino Linotype" w:eastAsia="Palatino Linotype" w:hAnsi="Palatino Linotype" w:cs="Palatino Linotype"/>
          <w:sz w:val="22"/>
        </w:rPr>
        <w:t xml:space="preserve">, no señaló un </w:t>
      </w:r>
      <w:r w:rsidRPr="0059485F">
        <w:rPr>
          <w:rFonts w:ascii="Palatino Linotype" w:eastAsia="Palatino Linotype" w:hAnsi="Palatino Linotype" w:cs="Palatino Linotype"/>
          <w:b/>
          <w:bCs/>
          <w:sz w:val="22"/>
        </w:rPr>
        <w:t>nombre</w:t>
      </w:r>
      <w:r w:rsidRPr="0059485F">
        <w:rPr>
          <w:rFonts w:ascii="Palatino Linotype" w:eastAsia="Palatino Linotype" w:hAnsi="Palatino Linotype" w:cs="Palatino Linotype"/>
          <w:sz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193BC72B" w14:textId="77777777" w:rsidR="00A61680" w:rsidRPr="0059485F" w:rsidRDefault="00A61680" w:rsidP="00A61680">
      <w:pPr>
        <w:spacing w:before="120" w:after="120"/>
        <w:ind w:left="851" w:right="902"/>
        <w:jc w:val="both"/>
        <w:rPr>
          <w:rFonts w:ascii="Palatino Linotype" w:eastAsia="Palatino Linotype" w:hAnsi="Palatino Linotype" w:cs="Palatino Linotype"/>
          <w:i/>
          <w:iCs/>
          <w:sz w:val="22"/>
        </w:rPr>
      </w:pPr>
      <w:r w:rsidRPr="0059485F">
        <w:rPr>
          <w:rFonts w:ascii="Palatino Linotype" w:eastAsia="Palatino Linotype" w:hAnsi="Palatino Linotype" w:cs="Palatino Linotype"/>
          <w:i/>
          <w:iCs/>
          <w:sz w:val="22"/>
        </w:rPr>
        <w:t>"</w:t>
      </w:r>
      <w:r w:rsidRPr="0059485F">
        <w:rPr>
          <w:rFonts w:ascii="Palatino Linotype" w:eastAsia="Palatino Linotype" w:hAnsi="Palatino Linotype" w:cs="Palatino Linotype"/>
          <w:b/>
          <w:bCs/>
          <w:i/>
          <w:iCs/>
          <w:sz w:val="22"/>
        </w:rPr>
        <w:t>Las solicitudes anónimas</w:t>
      </w:r>
      <w:r w:rsidRPr="0059485F">
        <w:rPr>
          <w:rFonts w:ascii="Palatino Linotype" w:eastAsia="Palatino Linotype" w:hAnsi="Palatino Linotype" w:cs="Palatino Linotype"/>
          <w:i/>
          <w:iCs/>
          <w:sz w:val="22"/>
        </w:rPr>
        <w:t xml:space="preserve">, con nombre incompleto o </w:t>
      </w:r>
      <w:r w:rsidRPr="0059485F">
        <w:rPr>
          <w:rFonts w:ascii="Palatino Linotype" w:eastAsia="Palatino Linotype" w:hAnsi="Palatino Linotype" w:cs="Palatino Linotype"/>
          <w:b/>
          <w:bCs/>
          <w:i/>
          <w:iCs/>
          <w:sz w:val="22"/>
        </w:rPr>
        <w:t>seudónimo</w:t>
      </w:r>
      <w:r w:rsidRPr="0059485F">
        <w:rPr>
          <w:rFonts w:ascii="Palatino Linotype" w:eastAsia="Palatino Linotype" w:hAnsi="Palatino Linotype" w:cs="Palatino Linotype"/>
          <w:i/>
          <w:iCs/>
          <w:sz w:val="22"/>
        </w:rPr>
        <w:t xml:space="preserve"> serán procedentes para su trámite por parte del sujeto obligado ante quien se presente. No podrá requerirse información adicional con motivo del nombre proporcionado por el solicitante."</w:t>
      </w:r>
    </w:p>
    <w:p w14:paraId="1B38E422" w14:textId="1B573D48"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Finalmente, antes de entrar al estudio de la presente resolución es preciso determinar si resulta procedente la interposición del recurso de revisión, toda vez que se actualiza la hipótesis prevista en el artículo 179, fracci</w:t>
      </w:r>
      <w:r w:rsidR="00C460B7" w:rsidRPr="0059485F">
        <w:rPr>
          <w:rFonts w:ascii="Palatino Linotype" w:eastAsia="Palatino Linotype" w:hAnsi="Palatino Linotype" w:cs="Palatino Linotype"/>
          <w:sz w:val="22"/>
          <w:szCs w:val="22"/>
        </w:rPr>
        <w:t>ón</w:t>
      </w:r>
      <w:r w:rsidRPr="0059485F">
        <w:rPr>
          <w:rFonts w:ascii="Palatino Linotype" w:eastAsia="Palatino Linotype" w:hAnsi="Palatino Linotype" w:cs="Palatino Linotype"/>
          <w:sz w:val="22"/>
          <w:szCs w:val="22"/>
        </w:rPr>
        <w:t xml:space="preserve"> </w:t>
      </w:r>
      <w:r w:rsidR="00AD7321" w:rsidRPr="0059485F">
        <w:rPr>
          <w:rFonts w:ascii="Palatino Linotype" w:eastAsia="Palatino Linotype" w:hAnsi="Palatino Linotype" w:cs="Palatino Linotype"/>
          <w:sz w:val="22"/>
          <w:szCs w:val="22"/>
        </w:rPr>
        <w:t>X</w:t>
      </w:r>
      <w:r w:rsidR="0024539A"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sz w:val="22"/>
          <w:szCs w:val="22"/>
        </w:rPr>
        <w:t>de la ley de la materia, que a la letra dice:</w:t>
      </w:r>
    </w:p>
    <w:p w14:paraId="6FB65DE7" w14:textId="77777777" w:rsidR="00C04D06" w:rsidRPr="0059485F" w:rsidRDefault="00E96B90" w:rsidP="00C04D06">
      <w:pPr>
        <w:spacing w:before="120" w:after="120"/>
        <w:ind w:left="851" w:right="851"/>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r w:rsidRPr="0059485F">
        <w:rPr>
          <w:rFonts w:ascii="Palatino Linotype" w:eastAsia="Palatino Linotype" w:hAnsi="Palatino Linotype" w:cs="Palatino Linotype"/>
          <w:b/>
          <w:i/>
          <w:sz w:val="22"/>
          <w:szCs w:val="22"/>
        </w:rPr>
        <w:t xml:space="preserve">Artículo 179. </w:t>
      </w:r>
      <w:r w:rsidRPr="0059485F">
        <w:rPr>
          <w:rFonts w:ascii="Palatino Linotype" w:eastAsia="Palatino Linotype" w:hAnsi="Palatino Linotype" w:cs="Palatino Linotype"/>
          <w:i/>
          <w:sz w:val="22"/>
          <w:szCs w:val="22"/>
        </w:rPr>
        <w:t>El recurso de revisión es un medio de protección que la Ley otorga a los particulares, para hacer valer su derecho de acceso a la información pública, y procederá en contra de las siguientes causas:</w:t>
      </w:r>
    </w:p>
    <w:p w14:paraId="3D99131A" w14:textId="77777777" w:rsidR="00AD7321" w:rsidRPr="0059485F" w:rsidRDefault="00AD7321" w:rsidP="00AD7321">
      <w:pPr>
        <w:tabs>
          <w:tab w:val="left" w:pos="7938"/>
        </w:tabs>
        <w:spacing w:before="120" w:after="120"/>
        <w:ind w:left="851" w:right="900"/>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p>
    <w:p w14:paraId="45A224F4" w14:textId="77777777" w:rsidR="00AD7321" w:rsidRPr="0059485F" w:rsidRDefault="00AD7321" w:rsidP="00AD7321">
      <w:pPr>
        <w:tabs>
          <w:tab w:val="left" w:pos="7938"/>
        </w:tabs>
        <w:spacing w:before="120" w:after="120"/>
        <w:ind w:left="851" w:right="900"/>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bCs/>
          <w:i/>
          <w:sz w:val="22"/>
          <w:szCs w:val="22"/>
        </w:rPr>
        <w:t>X</w:t>
      </w:r>
      <w:r w:rsidRPr="0059485F">
        <w:rPr>
          <w:rFonts w:ascii="Palatino Linotype" w:eastAsia="Palatino Linotype" w:hAnsi="Palatino Linotype" w:cs="Palatino Linotype"/>
          <w:i/>
          <w:sz w:val="22"/>
          <w:szCs w:val="22"/>
        </w:rPr>
        <w:t>. Los costos o tiempos de entrega de la información;</w:t>
      </w:r>
    </w:p>
    <w:p w14:paraId="108CFBAE" w14:textId="652B3521" w:rsidR="005A75CA" w:rsidRPr="0059485F" w:rsidRDefault="003A53D5" w:rsidP="00AD7321">
      <w:pPr>
        <w:tabs>
          <w:tab w:val="left" w:pos="7938"/>
        </w:tabs>
        <w:spacing w:before="120" w:after="120"/>
        <w:ind w:left="851" w:right="900"/>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r w:rsidR="00E96B90" w:rsidRPr="0059485F">
        <w:rPr>
          <w:rFonts w:ascii="Palatino Linotype" w:eastAsia="Palatino Linotype" w:hAnsi="Palatino Linotype" w:cs="Palatino Linotype"/>
          <w:i/>
          <w:sz w:val="22"/>
          <w:szCs w:val="22"/>
        </w:rPr>
        <w:t>;</w:t>
      </w:r>
    </w:p>
    <w:p w14:paraId="12A9D239" w14:textId="77777777" w:rsidR="005A75CA" w:rsidRPr="0059485F" w:rsidRDefault="00E96B90" w:rsidP="00D7204E">
      <w:pPr>
        <w:spacing w:before="240" w:after="240" w:line="360" w:lineRule="auto"/>
        <w:jc w:val="both"/>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 xml:space="preserve">Tercero. Materia de la revisión. </w:t>
      </w:r>
      <w:r w:rsidRPr="0059485F">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59485F">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59485F">
        <w:rPr>
          <w:rFonts w:ascii="Palatino Linotype" w:eastAsia="Palatino Linotype" w:hAnsi="Palatino Linotype" w:cs="Palatino Linotype"/>
          <w:sz w:val="22"/>
          <w:szCs w:val="22"/>
        </w:rPr>
        <w:t xml:space="preserve">de la parte </w:t>
      </w:r>
      <w:r w:rsidRPr="0059485F">
        <w:rPr>
          <w:rFonts w:ascii="Palatino Linotype" w:eastAsia="Palatino Linotype" w:hAnsi="Palatino Linotype" w:cs="Palatino Linotype"/>
          <w:b/>
          <w:sz w:val="22"/>
          <w:szCs w:val="22"/>
        </w:rPr>
        <w:t>Recurrente</w:t>
      </w:r>
      <w:r w:rsidRPr="0059485F">
        <w:rPr>
          <w:rFonts w:ascii="Palatino Linotype" w:eastAsia="Palatino Linotype" w:hAnsi="Palatino Linotype" w:cs="Palatino Linotype"/>
          <w:sz w:val="22"/>
          <w:szCs w:val="22"/>
        </w:rPr>
        <w:t>, o en su defecto, en caso de ser procedente, ordenar la entrega de información.</w:t>
      </w:r>
    </w:p>
    <w:p w14:paraId="17F2A1BC" w14:textId="77777777"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bookmarkStart w:id="8" w:name="_heading=h.2et92p0" w:colFirst="0" w:colLast="0"/>
      <w:bookmarkEnd w:id="8"/>
      <w:r w:rsidRPr="0059485F">
        <w:rPr>
          <w:rFonts w:ascii="Palatino Linotype" w:eastAsia="Palatino Linotype" w:hAnsi="Palatino Linotype" w:cs="Palatino Linotype"/>
          <w:b/>
          <w:sz w:val="22"/>
          <w:szCs w:val="22"/>
        </w:rPr>
        <w:t xml:space="preserve">Cuarto. Estudio del asunto. </w:t>
      </w:r>
      <w:r w:rsidRPr="0059485F">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523378A5" w14:textId="77777777" w:rsidR="005A75CA" w:rsidRPr="0059485F" w:rsidRDefault="00E96B90" w:rsidP="00D7204E">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r w:rsidRPr="0059485F">
        <w:rPr>
          <w:rFonts w:ascii="Palatino Linotype" w:eastAsia="Palatino Linotype" w:hAnsi="Palatino Linotype" w:cs="Palatino Linotype"/>
          <w:b/>
          <w:i/>
          <w:sz w:val="22"/>
          <w:szCs w:val="22"/>
        </w:rPr>
        <w:t>Artículo 4</w:t>
      </w:r>
      <w:r w:rsidRPr="0059485F">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1BA8397F" w14:textId="77777777" w:rsidR="005A75CA" w:rsidRPr="0059485F" w:rsidRDefault="00E96B90" w:rsidP="00D7204E">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59485F">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1FB271AA" w14:textId="77777777" w:rsidR="005A75CA" w:rsidRPr="0059485F" w:rsidRDefault="00E96B90" w:rsidP="00D7204E">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59485F">
        <w:rPr>
          <w:rFonts w:ascii="Palatino Linotype" w:eastAsia="Palatino Linotype" w:hAnsi="Palatino Linotype" w:cs="Palatino Linotype"/>
          <w:i/>
          <w:sz w:val="22"/>
          <w:szCs w:val="22"/>
        </w:rPr>
        <w:t>.”</w:t>
      </w:r>
    </w:p>
    <w:p w14:paraId="1BBF46E6" w14:textId="77777777"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140FAB9E" w14:textId="77777777" w:rsidR="005A75CA" w:rsidRPr="0059485F" w:rsidRDefault="00E96B90" w:rsidP="00D7204E">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i/>
          <w:sz w:val="22"/>
          <w:szCs w:val="22"/>
        </w:rPr>
        <w:t>“Artículo 12.-</w:t>
      </w:r>
      <w:r w:rsidRPr="0059485F">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38377982" w14:textId="77777777" w:rsidR="005A75CA" w:rsidRPr="0059485F" w:rsidRDefault="00E96B90" w:rsidP="00D7204E">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59485F">
        <w:rPr>
          <w:rFonts w:ascii="Palatino Linotype" w:eastAsia="Palatino Linotype" w:hAnsi="Palatino Linotype" w:cs="Palatino Linotype"/>
          <w:i/>
          <w:sz w:val="22"/>
          <w:szCs w:val="22"/>
        </w:rPr>
        <w:t xml:space="preserve">. </w:t>
      </w:r>
      <w:r w:rsidRPr="0059485F">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433D310A" w14:textId="77777777" w:rsidR="005A75CA" w:rsidRPr="0059485F" w:rsidRDefault="00E96B90" w:rsidP="00D7204E">
      <w:pPr>
        <w:spacing w:before="240" w:after="240" w:line="360" w:lineRule="auto"/>
        <w:ind w:right="-93"/>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1D8F2B0B" w14:textId="77777777" w:rsidR="005A75CA" w:rsidRPr="0059485F" w:rsidRDefault="00E96B90" w:rsidP="00D7204E">
      <w:pPr>
        <w:spacing w:before="240" w:after="240" w:line="360" w:lineRule="auto"/>
        <w:jc w:val="both"/>
        <w:rPr>
          <w:rFonts w:ascii="Palatino Linotype" w:eastAsia="Palatino Linotype" w:hAnsi="Palatino Linotype" w:cs="Palatino Linotype"/>
          <w:b/>
          <w:sz w:val="22"/>
          <w:szCs w:val="22"/>
        </w:rPr>
      </w:pPr>
      <w:r w:rsidRPr="0059485F">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59485F">
        <w:rPr>
          <w:rFonts w:ascii="Palatino Linotype" w:eastAsia="Palatino Linotype" w:hAnsi="Palatino Linotype" w:cs="Palatino Linotype"/>
          <w:b/>
          <w:sz w:val="22"/>
          <w:szCs w:val="22"/>
        </w:rPr>
        <w:t xml:space="preserve"> </w:t>
      </w:r>
    </w:p>
    <w:p w14:paraId="187319BE" w14:textId="77777777" w:rsidR="005A75CA" w:rsidRPr="0059485F" w:rsidRDefault="00E96B90" w:rsidP="002A5C21">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 xml:space="preserve"> “</w:t>
      </w:r>
      <w:r w:rsidRPr="0059485F">
        <w:rPr>
          <w:rFonts w:ascii="Palatino Linotype" w:eastAsia="Palatino Linotype" w:hAnsi="Palatino Linotype" w:cs="Palatino Linotype"/>
          <w:b/>
          <w:i/>
          <w:sz w:val="22"/>
          <w:szCs w:val="22"/>
        </w:rPr>
        <w:t>No existe obligación de elaborar documentos ad hoc para atender las solicitudes de acceso a la información.</w:t>
      </w:r>
      <w:r w:rsidRPr="0059485F">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12AF5236" w14:textId="77777777" w:rsidR="005A75CA" w:rsidRPr="0059485F" w:rsidRDefault="00E96B90" w:rsidP="00D7204E">
      <w:pPr>
        <w:spacing w:before="120" w:after="12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6AF1A054" w14:textId="77777777" w:rsidR="005A75CA" w:rsidRPr="0059485F" w:rsidRDefault="00E96B90" w:rsidP="00D7204E">
      <w:pPr>
        <w:spacing w:before="120" w:after="12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2A0B7FE"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r w:rsidRPr="0059485F">
        <w:rPr>
          <w:rFonts w:ascii="Palatino Linotype" w:eastAsia="Palatino Linotype" w:hAnsi="Palatino Linotype" w:cs="Palatino Linotype"/>
          <w:b/>
          <w:i/>
          <w:sz w:val="22"/>
          <w:szCs w:val="22"/>
        </w:rPr>
        <w:t xml:space="preserve">Artículo 3. </w:t>
      </w:r>
      <w:r w:rsidRPr="0059485F">
        <w:rPr>
          <w:rFonts w:ascii="Palatino Linotype" w:eastAsia="Palatino Linotype" w:hAnsi="Palatino Linotype" w:cs="Palatino Linotype"/>
          <w:i/>
          <w:sz w:val="22"/>
          <w:szCs w:val="22"/>
        </w:rPr>
        <w:t>Para los efectos de la presente Ley se entenderá por:</w:t>
      </w:r>
    </w:p>
    <w:p w14:paraId="7ABF6050"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w:t>
      </w:r>
    </w:p>
    <w:p w14:paraId="1ADEE37D"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i/>
          <w:sz w:val="22"/>
          <w:szCs w:val="22"/>
        </w:rPr>
        <w:t>XI. Documento:</w:t>
      </w:r>
      <w:r w:rsidRPr="0059485F">
        <w:rPr>
          <w:rFonts w:ascii="Palatino Linotype" w:eastAsia="Palatino Linotype" w:hAnsi="Palatino Linotype" w:cs="Palatino Linotype"/>
          <w:i/>
          <w:sz w:val="22"/>
          <w:szCs w:val="22"/>
        </w:rPr>
        <w:t xml:space="preserve"> Los expedientes, reportes, estudios, actas</w:t>
      </w:r>
      <w:r w:rsidRPr="0059485F">
        <w:rPr>
          <w:rFonts w:ascii="Palatino Linotype" w:eastAsia="Palatino Linotype" w:hAnsi="Palatino Linotype" w:cs="Palatino Linotype"/>
          <w:b/>
          <w:i/>
          <w:sz w:val="22"/>
          <w:szCs w:val="22"/>
        </w:rPr>
        <w:t>,</w:t>
      </w:r>
      <w:r w:rsidRPr="0059485F">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73C9E0CA" w14:textId="77777777"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22C18FEF"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b/>
          <w:sz w:val="22"/>
          <w:szCs w:val="22"/>
        </w:rPr>
        <w:t>“</w:t>
      </w:r>
      <w:r w:rsidRPr="0059485F">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59485F">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6BB82B0"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129182FD"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735AF0DC"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02D716AC" w14:textId="77777777" w:rsidR="005A75CA" w:rsidRPr="0059485F" w:rsidRDefault="00E96B90" w:rsidP="00E3627B">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108D6395" w14:textId="77777777" w:rsidR="005A75CA" w:rsidRPr="0059485F" w:rsidRDefault="00E96B90" w:rsidP="00D7204E">
      <w:pPr>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1B320D38" w14:textId="77777777"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081431D0" w14:textId="2DF95C32" w:rsidR="00C04D06" w:rsidRPr="0059485F" w:rsidRDefault="00C04D06" w:rsidP="00C04D06">
      <w:pPr>
        <w:spacing w:before="240" w:after="240" w:line="360" w:lineRule="auto"/>
        <w:ind w:right="51"/>
        <w:jc w:val="both"/>
        <w:rPr>
          <w:rFonts w:ascii="Palatino Linotype" w:eastAsia="Palatino Linotype" w:hAnsi="Palatino Linotype" w:cs="Palatino Linotype"/>
          <w:bCs/>
          <w:sz w:val="22"/>
          <w:szCs w:val="22"/>
        </w:rPr>
      </w:pPr>
      <w:r w:rsidRPr="0059485F">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59485F">
        <w:rPr>
          <w:rFonts w:ascii="Palatino Linotype" w:eastAsia="Palatino Linotype" w:hAnsi="Palatino Linotype" w:cs="Palatino Linotype"/>
          <w:b/>
          <w:bCs/>
          <w:sz w:val="22"/>
          <w:szCs w:val="22"/>
        </w:rPr>
        <w:t>Recurrente</w:t>
      </w:r>
      <w:r w:rsidRPr="0059485F">
        <w:rPr>
          <w:rFonts w:ascii="Palatino Linotype" w:eastAsia="Palatino Linotype" w:hAnsi="Palatino Linotype" w:cs="Palatino Linotype"/>
          <w:sz w:val="22"/>
          <w:szCs w:val="22"/>
        </w:rPr>
        <w:t xml:space="preserve"> requirió </w:t>
      </w:r>
      <w:r w:rsidR="00EB4C97" w:rsidRPr="0059485F">
        <w:rPr>
          <w:rFonts w:ascii="Palatino Linotype" w:eastAsia="Palatino Linotype" w:hAnsi="Palatino Linotype" w:cs="Palatino Linotype"/>
          <w:sz w:val="22"/>
          <w:szCs w:val="22"/>
        </w:rPr>
        <w:t xml:space="preserve">se </w:t>
      </w:r>
      <w:r w:rsidRPr="0059485F">
        <w:rPr>
          <w:rFonts w:ascii="Palatino Linotype" w:eastAsia="Palatino Linotype" w:hAnsi="Palatino Linotype" w:cs="Palatino Linotype"/>
          <w:sz w:val="22"/>
          <w:szCs w:val="22"/>
        </w:rPr>
        <w:t xml:space="preserve">le proporcione, </w:t>
      </w:r>
      <w:r w:rsidR="00EB4C97" w:rsidRPr="0059485F">
        <w:rPr>
          <w:rFonts w:ascii="Palatino Linotype" w:eastAsia="Palatino Linotype" w:hAnsi="Palatino Linotype" w:cs="Palatino Linotype"/>
          <w:sz w:val="22"/>
          <w:szCs w:val="22"/>
        </w:rPr>
        <w:t xml:space="preserve">respecto de los servidores públicos adscritos al </w:t>
      </w:r>
      <w:r w:rsidR="00EB4C97" w:rsidRPr="0059485F">
        <w:rPr>
          <w:rFonts w:ascii="Palatino Linotype" w:eastAsia="Palatino Linotype" w:hAnsi="Palatino Linotype" w:cs="Palatino Linotype"/>
          <w:b/>
          <w:bCs/>
          <w:sz w:val="22"/>
          <w:szCs w:val="22"/>
        </w:rPr>
        <w:t xml:space="preserve">Sujeto Obligado </w:t>
      </w:r>
      <w:r w:rsidR="00EB4C97" w:rsidRPr="0059485F">
        <w:rPr>
          <w:rFonts w:ascii="Palatino Linotype" w:eastAsia="Palatino Linotype" w:hAnsi="Palatino Linotype" w:cs="Palatino Linotype"/>
          <w:bCs/>
          <w:sz w:val="22"/>
          <w:szCs w:val="22"/>
        </w:rPr>
        <w:t>lo siguiente:</w:t>
      </w:r>
    </w:p>
    <w:p w14:paraId="179D2045" w14:textId="127CC0E5" w:rsidR="00A61680" w:rsidRPr="0059485F" w:rsidRDefault="00EB4C97" w:rsidP="007C48A1">
      <w:pPr>
        <w:pStyle w:val="Prrafodelista"/>
        <w:numPr>
          <w:ilvl w:val="0"/>
          <w:numId w:val="21"/>
        </w:num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sz w:val="22"/>
          <w:szCs w:val="22"/>
        </w:rPr>
        <w:t xml:space="preserve">Recibos de nómina por el pago de quincena, aguinaldo y prima vacacional en los meses de diciembre de dos mil veinticuatro y diciembre de dos mil veinticinco. </w:t>
      </w:r>
    </w:p>
    <w:p w14:paraId="34EC1119" w14:textId="4D7B31E3" w:rsidR="00EB4C97" w:rsidRPr="0059485F" w:rsidRDefault="001E3C46" w:rsidP="00EB4C97">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respuesta a la solicitud,</w:t>
      </w:r>
      <w:r w:rsidR="00686B04" w:rsidRPr="0059485F">
        <w:rPr>
          <w:rFonts w:ascii="Palatino Linotype" w:eastAsia="Palatino Linotype" w:hAnsi="Palatino Linotype" w:cs="Palatino Linotype"/>
          <w:sz w:val="22"/>
          <w:szCs w:val="22"/>
        </w:rPr>
        <w:t xml:space="preserve"> el </w:t>
      </w:r>
      <w:r w:rsidR="00686B04" w:rsidRPr="0059485F">
        <w:rPr>
          <w:rFonts w:ascii="Palatino Linotype" w:eastAsia="Palatino Linotype" w:hAnsi="Palatino Linotype" w:cs="Palatino Linotype"/>
          <w:b/>
          <w:bCs/>
          <w:sz w:val="22"/>
          <w:szCs w:val="22"/>
        </w:rPr>
        <w:t xml:space="preserve">Sujeto Obligado, </w:t>
      </w:r>
      <w:r w:rsidR="00EB4C97" w:rsidRPr="0059485F">
        <w:rPr>
          <w:rFonts w:ascii="Palatino Linotype" w:eastAsia="Palatino Linotype" w:hAnsi="Palatino Linotype" w:cs="Palatino Linotype"/>
          <w:sz w:val="22"/>
          <w:szCs w:val="22"/>
        </w:rPr>
        <w:t>por conducto de la Subdirectora de Planeación, Administración y Estadística refiere que la versión pública de lo requerido se proporcionará previo pago por los costos de reproducción.</w:t>
      </w:r>
    </w:p>
    <w:p w14:paraId="7CB6822A" w14:textId="797D2704" w:rsidR="00B50A90" w:rsidRPr="0059485F" w:rsidRDefault="001E3C46" w:rsidP="001E3C46">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 Sin embargo, al no estar conforme con los términos de la respuesta proporcionada en primera instancia, la parte </w:t>
      </w:r>
      <w:r w:rsidRPr="0059485F">
        <w:rPr>
          <w:rFonts w:ascii="Palatino Linotype" w:eastAsia="Palatino Linotype" w:hAnsi="Palatino Linotype" w:cs="Palatino Linotype"/>
          <w:b/>
          <w:bCs/>
          <w:sz w:val="22"/>
          <w:szCs w:val="22"/>
        </w:rPr>
        <w:t xml:space="preserve">Recurrente </w:t>
      </w:r>
      <w:r w:rsidRPr="0059485F">
        <w:rPr>
          <w:rFonts w:ascii="Palatino Linotype" w:eastAsia="Palatino Linotype" w:hAnsi="Palatino Linotype" w:cs="Palatino Linotype"/>
          <w:sz w:val="22"/>
          <w:szCs w:val="22"/>
        </w:rPr>
        <w:t xml:space="preserve">interpuso el recurso de revisión que nos ocupa, </w:t>
      </w:r>
      <w:r w:rsidR="00EB4C97" w:rsidRPr="0059485F">
        <w:rPr>
          <w:rFonts w:ascii="Palatino Linotype" w:eastAsia="Palatino Linotype" w:hAnsi="Palatino Linotype" w:cs="Palatino Linotype"/>
          <w:sz w:val="22"/>
          <w:szCs w:val="22"/>
        </w:rPr>
        <w:t>manifestando a manera de motivos de inconformidad los costos de entrega de la información.</w:t>
      </w:r>
    </w:p>
    <w:p w14:paraId="63D8FC8B" w14:textId="77777777" w:rsidR="00EB4C97" w:rsidRPr="0059485F" w:rsidRDefault="00EB4C97" w:rsidP="001E3C46">
      <w:pP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De las constancias que obran en el SAIMEX, se advierte que las partes fueron omisas en hacer valer manifestaciones que conforme a derecho resultaran procedentes.</w:t>
      </w:r>
    </w:p>
    <w:p w14:paraId="52D2EE5A" w14:textId="165D5A2F" w:rsidR="001E3C46" w:rsidRPr="0059485F" w:rsidRDefault="001E3C46" w:rsidP="001E3C46">
      <w:pP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Una vez establecidas las posturas de las partes, se procede al análisis de los requerimientos de información, así como la información proporcionada por el </w:t>
      </w:r>
      <w:r w:rsidRPr="0059485F">
        <w:rPr>
          <w:rFonts w:ascii="Palatino Linotype" w:eastAsia="Palatino Linotype" w:hAnsi="Palatino Linotype" w:cs="Palatino Linotype"/>
          <w:b/>
          <w:sz w:val="22"/>
          <w:szCs w:val="22"/>
        </w:rPr>
        <w:t xml:space="preserve">Sujeto Obligado, </w:t>
      </w:r>
      <w:r w:rsidRPr="0059485F">
        <w:rPr>
          <w:rFonts w:ascii="Palatino Linotype" w:eastAsia="Palatino Linotype" w:hAnsi="Palatino Linotype" w:cs="Palatino Linotype"/>
          <w:sz w:val="22"/>
          <w:szCs w:val="22"/>
        </w:rPr>
        <w:t xml:space="preserve">en contraposición con el motivo de inconformidad alegado por la parte </w:t>
      </w:r>
      <w:r w:rsidRPr="0059485F">
        <w:rPr>
          <w:rFonts w:ascii="Palatino Linotype" w:eastAsia="Palatino Linotype" w:hAnsi="Palatino Linotype" w:cs="Palatino Linotype"/>
          <w:b/>
          <w:sz w:val="22"/>
          <w:szCs w:val="22"/>
        </w:rPr>
        <w:t xml:space="preserve">Recurrente, </w:t>
      </w:r>
      <w:r w:rsidRPr="0059485F">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010EDD2C" w14:textId="77777777" w:rsidR="001E3C46" w:rsidRPr="0059485F" w:rsidRDefault="001E3C46" w:rsidP="001E3C46">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esta tesitura, de las constancias que integran el expediente electrónico  relacionado con el recurso de revisión materia de estudio, se colige que </w:t>
      </w:r>
      <w:r w:rsidRPr="0059485F">
        <w:rPr>
          <w:rFonts w:ascii="Palatino Linotype" w:eastAsia="Palatino Linotype" w:hAnsi="Palatino Linotype" w:cs="Palatino Linotype"/>
          <w:b/>
          <w:sz w:val="22"/>
          <w:szCs w:val="22"/>
        </w:rPr>
        <w:t>el Sujeto Obligado</w:t>
      </w:r>
      <w:r w:rsidRPr="0059485F">
        <w:rPr>
          <w:rFonts w:ascii="Palatino Linotype" w:eastAsia="Palatino Linotype" w:hAnsi="Palatino Linotype" w:cs="Palatino Linotype"/>
          <w:sz w:val="22"/>
          <w:szCs w:val="22"/>
        </w:rPr>
        <w:t xml:space="preserve"> no niega la competencia para conocer de la información solicitada, sino por el contrario, con la respuesta pronunciada asevera que es competente para conocer de la solicitud de información</w:t>
      </w:r>
      <w:r w:rsidRPr="0059485F">
        <w:rPr>
          <w:rFonts w:ascii="Palatino Linotype" w:eastAsia="Palatino Linotype" w:hAnsi="Palatino Linotype" w:cs="Palatino Linotype"/>
          <w:i/>
          <w:sz w:val="22"/>
          <w:szCs w:val="22"/>
        </w:rPr>
        <w:t xml:space="preserve">, </w:t>
      </w:r>
      <w:r w:rsidRPr="0059485F">
        <w:rPr>
          <w:rFonts w:ascii="Palatino Linotype" w:eastAsia="Palatino Linotype" w:hAnsi="Palatino Linotype" w:cs="Palatino Linotype"/>
          <w:sz w:val="22"/>
          <w:szCs w:val="22"/>
        </w:rPr>
        <w:t xml:space="preserve">lo anterior es así, ya que el estudio enunciado tiene por objeto determinar si </w:t>
      </w:r>
      <w:r w:rsidRPr="0059485F">
        <w:rPr>
          <w:rFonts w:ascii="Palatino Linotype" w:hAnsi="Palatino Linotype"/>
          <w:sz w:val="22"/>
          <w:szCs w:val="22"/>
        </w:rPr>
        <w:t>los</w:t>
      </w:r>
      <w:r w:rsidRPr="0059485F">
        <w:rPr>
          <w:rFonts w:ascii="Palatino Linotype" w:eastAsia="Palatino Linotype" w:hAnsi="Palatino Linotype" w:cs="Palatino Linotype"/>
          <w:sz w:val="22"/>
          <w:szCs w:val="22"/>
        </w:rPr>
        <w:t xml:space="preserve"> Sujeto</w:t>
      </w:r>
      <w:r w:rsidRPr="0059485F">
        <w:rPr>
          <w:rFonts w:ascii="Palatino Linotype" w:hAnsi="Palatino Linotype"/>
          <w:sz w:val="22"/>
          <w:szCs w:val="22"/>
        </w:rPr>
        <w:t>s</w:t>
      </w:r>
      <w:r w:rsidRPr="0059485F">
        <w:rPr>
          <w:rFonts w:ascii="Palatino Linotype" w:eastAsia="Palatino Linotype" w:hAnsi="Palatino Linotype" w:cs="Palatino Linotype"/>
          <w:sz w:val="22"/>
          <w:szCs w:val="22"/>
        </w:rPr>
        <w:t xml:space="preserve"> Obligado</w:t>
      </w:r>
      <w:r w:rsidRPr="0059485F">
        <w:rPr>
          <w:rFonts w:ascii="Palatino Linotype" w:hAnsi="Palatino Linotype"/>
          <w:sz w:val="22"/>
          <w:szCs w:val="22"/>
        </w:rPr>
        <w:t>s</w:t>
      </w:r>
      <w:r w:rsidRPr="0059485F">
        <w:rPr>
          <w:rFonts w:ascii="Palatino Linotype" w:eastAsia="Palatino Linotype" w:hAnsi="Palatino Linotype" w:cs="Palatino Linotype"/>
          <w:sz w:val="22"/>
          <w:szCs w:val="22"/>
        </w:rPr>
        <w:t xml:space="preserve"> generan, poseen o administran  la información solicitada, sin embargo, en aquellos casos en que </w:t>
      </w:r>
      <w:r w:rsidRPr="0059485F">
        <w:rPr>
          <w:rFonts w:ascii="Palatino Linotype" w:hAnsi="Palatino Linotype"/>
          <w:sz w:val="22"/>
          <w:szCs w:val="22"/>
        </w:rPr>
        <w:t>e</w:t>
      </w:r>
      <w:r w:rsidRPr="0059485F">
        <w:rPr>
          <w:rFonts w:ascii="Palatino Linotype" w:eastAsia="Palatino Linotype" w:hAnsi="Palatino Linotype" w:cs="Palatino Linotype"/>
          <w:sz w:val="22"/>
          <w:szCs w:val="22"/>
        </w:rPr>
        <w:t>st</w:t>
      </w:r>
      <w:r w:rsidRPr="0059485F">
        <w:rPr>
          <w:rFonts w:ascii="Palatino Linotype" w:hAnsi="Palatino Linotype"/>
          <w:sz w:val="22"/>
          <w:szCs w:val="22"/>
        </w:rPr>
        <w:t xml:space="preserve">os </w:t>
      </w:r>
      <w:r w:rsidRPr="0059485F">
        <w:rPr>
          <w:rFonts w:ascii="Palatino Linotype" w:eastAsia="Palatino Linotype" w:hAnsi="Palatino Linotype" w:cs="Palatino Linotype"/>
          <w:sz w:val="22"/>
          <w:szCs w:val="22"/>
        </w:rPr>
        <w:t>ha</w:t>
      </w:r>
      <w:r w:rsidRPr="0059485F">
        <w:rPr>
          <w:rFonts w:ascii="Palatino Linotype" w:hAnsi="Palatino Linotype"/>
          <w:sz w:val="22"/>
          <w:szCs w:val="22"/>
        </w:rPr>
        <w:t>n</w:t>
      </w:r>
      <w:r w:rsidRPr="0059485F">
        <w:rPr>
          <w:rFonts w:ascii="Palatino Linotype" w:eastAsia="Palatino Linotype" w:hAnsi="Palatino Linotype" w:cs="Palatino Linotype"/>
          <w:sz w:val="22"/>
          <w:szCs w:val="22"/>
        </w:rPr>
        <w:t xml:space="preserve"> asumido </w:t>
      </w:r>
      <w:r w:rsidRPr="0059485F">
        <w:rPr>
          <w:rFonts w:ascii="Palatino Linotype" w:eastAsia="Palatino Linotype" w:hAnsi="Palatino Linotype" w:cs="Palatino Linotype"/>
          <w:b/>
          <w:sz w:val="22"/>
          <w:szCs w:val="22"/>
        </w:rPr>
        <w:t>la competencia</w:t>
      </w:r>
      <w:r w:rsidRPr="0059485F">
        <w:rPr>
          <w:rFonts w:ascii="Palatino Linotype" w:eastAsia="Palatino Linotype" w:hAnsi="Palatino Linotype" w:cs="Palatino Linotype"/>
          <w:sz w:val="22"/>
          <w:szCs w:val="22"/>
        </w:rPr>
        <w:t xml:space="preserve">, sería ocioso y a nada práctico nos conduciría su estudio, ya que, se insiste, el ente obligado </w:t>
      </w:r>
      <w:r w:rsidRPr="0059485F">
        <w:rPr>
          <w:rFonts w:ascii="Palatino Linotype" w:eastAsia="Palatino Linotype" w:hAnsi="Palatino Linotype" w:cs="Palatino Linotype"/>
          <w:b/>
          <w:sz w:val="22"/>
          <w:szCs w:val="22"/>
          <w:u w:val="single"/>
        </w:rPr>
        <w:t>asumió la competencia referida</w:t>
      </w:r>
      <w:r w:rsidRPr="0059485F">
        <w:rPr>
          <w:rFonts w:ascii="Palatino Linotype" w:eastAsia="Palatino Linotype" w:hAnsi="Palatino Linotype" w:cs="Palatino Linotype"/>
          <w:sz w:val="22"/>
          <w:szCs w:val="22"/>
        </w:rPr>
        <w:t>, motivo por el cual se actualiza el supuesto previsto en el artículo 12 de la legislación aplicable en la materia, citado con antelación.</w:t>
      </w:r>
    </w:p>
    <w:p w14:paraId="324798BB" w14:textId="6554F565" w:rsidR="001E3C46" w:rsidRPr="0059485F" w:rsidRDefault="001E3C46" w:rsidP="001E3C46">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Asimismo, es imprescindible mencionar que el </w:t>
      </w:r>
      <w:r w:rsidRPr="0059485F">
        <w:rPr>
          <w:rFonts w:ascii="Palatino Linotype" w:eastAsia="Palatino Linotype" w:hAnsi="Palatino Linotype" w:cs="Palatino Linotype"/>
          <w:b/>
          <w:sz w:val="22"/>
          <w:szCs w:val="22"/>
        </w:rPr>
        <w:t xml:space="preserve">Sujeto Obligado, </w:t>
      </w:r>
      <w:r w:rsidRPr="0059485F">
        <w:rPr>
          <w:rFonts w:ascii="Palatino Linotype" w:eastAsia="Palatino Linotype" w:hAnsi="Palatino Linotype" w:cs="Palatino Linotype"/>
          <w:sz w:val="22"/>
          <w:szCs w:val="22"/>
        </w:rPr>
        <w:t xml:space="preserve">por conducto de la </w:t>
      </w:r>
      <w:r w:rsidR="00EB4C97" w:rsidRPr="0059485F">
        <w:rPr>
          <w:rFonts w:ascii="Palatino Linotype" w:eastAsia="Palatino Linotype" w:hAnsi="Palatino Linotype" w:cs="Palatino Linotype"/>
          <w:sz w:val="22"/>
          <w:szCs w:val="22"/>
        </w:rPr>
        <w:t>Subdirectora de Planeación, Administración y Estadística</w:t>
      </w:r>
      <w:r w:rsidR="004205DC"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sz w:val="22"/>
          <w:szCs w:val="22"/>
        </w:rPr>
        <w:t>asumió la existencia de la información peticionada, tan es así que solicitó a la persona solicitante realizar el pago de derechos correspondientes a efecto de entregar</w:t>
      </w:r>
      <w:r w:rsidR="00EB4C97" w:rsidRPr="0059485F">
        <w:rPr>
          <w:rFonts w:ascii="Palatino Linotype" w:eastAsia="Palatino Linotype" w:hAnsi="Palatino Linotype" w:cs="Palatino Linotype"/>
          <w:sz w:val="22"/>
          <w:szCs w:val="22"/>
        </w:rPr>
        <w:t xml:space="preserve"> la </w:t>
      </w:r>
      <w:r w:rsidRPr="0059485F">
        <w:rPr>
          <w:rFonts w:ascii="Palatino Linotype" w:eastAsia="Palatino Linotype" w:hAnsi="Palatino Linotype" w:cs="Palatino Linotype"/>
          <w:sz w:val="22"/>
          <w:szCs w:val="22"/>
        </w:rPr>
        <w:t>información</w:t>
      </w:r>
      <w:r w:rsidR="00EB4C97" w:rsidRPr="0059485F">
        <w:rPr>
          <w:rFonts w:ascii="Palatino Linotype" w:eastAsia="Palatino Linotype" w:hAnsi="Palatino Linotype" w:cs="Palatino Linotype"/>
          <w:sz w:val="22"/>
          <w:szCs w:val="22"/>
        </w:rPr>
        <w:t xml:space="preserve"> en versión pública</w:t>
      </w:r>
      <w:r w:rsidRPr="0059485F">
        <w:rPr>
          <w:rFonts w:ascii="Palatino Linotype" w:eastAsia="Palatino Linotype" w:hAnsi="Palatino Linotype" w:cs="Palatino Linotype"/>
          <w:sz w:val="22"/>
          <w:szCs w:val="22"/>
        </w:rPr>
        <w:t>, en consecuencia, se asume que cuentan con la información</w:t>
      </w:r>
      <w:r w:rsidR="00EB4C97" w:rsidRPr="0059485F">
        <w:rPr>
          <w:rFonts w:ascii="Palatino Linotype" w:eastAsia="Palatino Linotype" w:hAnsi="Palatino Linotype" w:cs="Palatino Linotype"/>
          <w:sz w:val="22"/>
          <w:szCs w:val="22"/>
        </w:rPr>
        <w:t>.</w:t>
      </w:r>
    </w:p>
    <w:p w14:paraId="2FD03600" w14:textId="4F2A0C7B" w:rsidR="00EB4C97" w:rsidRPr="0059485F" w:rsidRDefault="00EB4C97" w:rsidP="001E3C46">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Máxime que del análisis a la naturaleza de la información se desprende que la misma es susceptible de proporcionarse.</w:t>
      </w:r>
    </w:p>
    <w:p w14:paraId="4010D8F0"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sz w:val="22"/>
          <w:szCs w:val="22"/>
        </w:rPr>
        <w:t>Al respecto,</w:t>
      </w:r>
      <w:r w:rsidRPr="0059485F">
        <w:rPr>
          <w:rFonts w:ascii="Palatino Linotype" w:eastAsia="Palatino Linotype" w:hAnsi="Palatino Linotype" w:cs="Palatino Linotype"/>
          <w:sz w:val="22"/>
          <w:szCs w:val="22"/>
          <w:lang w:eastAsia="en-US"/>
        </w:rPr>
        <w:t xml:space="preserve"> la Ley del Trabajo de los Servidores Públicos del Estado y Municipios hace referencia a los comprobantes que las instituciones públicas realizan </w:t>
      </w:r>
      <w:r w:rsidRPr="0059485F">
        <w:rPr>
          <w:rFonts w:ascii="Palatino Linotype" w:eastAsia="Palatino Linotype" w:hAnsi="Palatino Linotype" w:cs="Palatino Linotype"/>
          <w:b/>
          <w:sz w:val="22"/>
          <w:szCs w:val="22"/>
          <w:u w:val="single"/>
          <w:lang w:eastAsia="en-US"/>
        </w:rPr>
        <w:t>para documentar el pago de salarios y demás prestaciones otorgadas a un servidor público</w:t>
      </w:r>
      <w:r w:rsidRPr="0059485F">
        <w:rPr>
          <w:rFonts w:ascii="Palatino Linotype" w:eastAsia="Palatino Linotype" w:hAnsi="Palatino Linotype" w:cs="Palatino Linotype"/>
          <w:sz w:val="22"/>
          <w:szCs w:val="22"/>
          <w:lang w:eastAsia="en-US"/>
        </w:rPr>
        <w:t>, denominándose "</w:t>
      </w:r>
      <w:r w:rsidRPr="0059485F">
        <w:rPr>
          <w:rFonts w:ascii="Palatino Linotype" w:eastAsia="Palatino Linotype" w:hAnsi="Palatino Linotype" w:cs="Palatino Linotype"/>
          <w:i/>
          <w:sz w:val="22"/>
          <w:szCs w:val="22"/>
          <w:lang w:eastAsia="en-US"/>
        </w:rPr>
        <w:t>recibos o comprobantes de pago</w:t>
      </w:r>
      <w:r w:rsidRPr="0059485F">
        <w:rPr>
          <w:rFonts w:ascii="Palatino Linotype" w:eastAsia="Palatino Linotype" w:hAnsi="Palatino Linotype" w:cs="Palatino Linotype"/>
          <w:sz w:val="22"/>
          <w:szCs w:val="22"/>
          <w:lang w:eastAsia="en-US"/>
        </w:rPr>
        <w:t>", los cuales constituyen un instrumento mediante el cual el sujeto obligado acredita las remuneraciones al personal y, que de acuerdo al uso implantado en la colectividad se denominan "recibos de nómina".</w:t>
      </w:r>
    </w:p>
    <w:p w14:paraId="615F347F" w14:textId="77777777" w:rsidR="007C48A1" w:rsidRPr="0059485F" w:rsidRDefault="007C48A1" w:rsidP="007C48A1">
      <w:pPr>
        <w:spacing w:line="360" w:lineRule="auto"/>
        <w:rPr>
          <w:rFonts w:ascii="Palatino Linotype" w:eastAsia="Palatino Linotype" w:hAnsi="Palatino Linotype" w:cs="Palatino Linotype"/>
          <w:sz w:val="22"/>
          <w:szCs w:val="22"/>
          <w:lang w:eastAsia="en-US"/>
        </w:rPr>
      </w:pPr>
    </w:p>
    <w:p w14:paraId="1C6DC6A7"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sz w:val="22"/>
          <w:szCs w:val="22"/>
          <w:lang w:eastAsia="en-US"/>
        </w:rPr>
        <w:t xml:space="preserve">A efecto de robustecer lo anterior, es preciso hacer alusión, en primera instancia, a lo establecido en las normas de carácter general del </w:t>
      </w:r>
      <w:r w:rsidRPr="0059485F">
        <w:rPr>
          <w:rFonts w:ascii="Palatino Linotype" w:eastAsia="Palatino Linotype" w:hAnsi="Palatino Linotype" w:cs="Palatino Linotype"/>
          <w:b/>
          <w:sz w:val="22"/>
          <w:szCs w:val="22"/>
          <w:lang w:eastAsia="en-US"/>
        </w:rPr>
        <w:t>Manual Único de Contabilidad Gubernamental para las Dependencias y Entidades Públicas del Gobierno y Municipios del Estado de México</w:t>
      </w:r>
      <w:r w:rsidRPr="0059485F">
        <w:rPr>
          <w:rFonts w:ascii="Palatino Linotype" w:eastAsia="Palatino Linotype" w:hAnsi="Palatino Linotype" w:cs="Palatino Linotype"/>
          <w:i/>
          <w:sz w:val="22"/>
          <w:szCs w:val="22"/>
          <w:lang w:eastAsia="en-US"/>
        </w:rPr>
        <w:t xml:space="preserve">,  </w:t>
      </w:r>
      <w:r w:rsidRPr="0059485F">
        <w:rPr>
          <w:rFonts w:ascii="Palatino Linotype" w:eastAsia="Palatino Linotype" w:hAnsi="Palatino Linotype" w:cs="Palatino Linotype"/>
          <w:sz w:val="22"/>
          <w:szCs w:val="22"/>
          <w:lang w:eastAsia="en-US"/>
        </w:rPr>
        <w:t xml:space="preserve">en donde se señala que el Régimen Fiscal para las entidades públicas es el correspondiente a </w:t>
      </w:r>
      <w:r w:rsidRPr="0059485F">
        <w:rPr>
          <w:rFonts w:ascii="Palatino Linotype" w:eastAsia="Palatino Linotype" w:hAnsi="Palatino Linotype" w:cs="Palatino Linotype"/>
          <w:i/>
          <w:sz w:val="22"/>
          <w:szCs w:val="22"/>
          <w:lang w:eastAsia="en-US"/>
        </w:rPr>
        <w:t xml:space="preserve">personas morales con fines no lucrativos, </w:t>
      </w:r>
      <w:r w:rsidRPr="0059485F">
        <w:rPr>
          <w:rFonts w:ascii="Palatino Linotype" w:eastAsia="Palatino Linotype" w:hAnsi="Palatino Linotype" w:cs="Palatino Linotype"/>
          <w:sz w:val="22"/>
          <w:szCs w:val="22"/>
          <w:lang w:eastAsia="en-US"/>
        </w:rPr>
        <w:t xml:space="preserve">y en segundo lugar remitirnos al párrafo séptimo del artículo 86 del Título III del Régimen de las Personas Morales con fines no lucrativos, de la </w:t>
      </w:r>
      <w:r w:rsidRPr="0059485F">
        <w:rPr>
          <w:rFonts w:ascii="Palatino Linotype" w:eastAsia="Palatino Linotype" w:hAnsi="Palatino Linotype" w:cs="Palatino Linotype"/>
          <w:b/>
          <w:sz w:val="22"/>
          <w:szCs w:val="22"/>
          <w:lang w:eastAsia="en-US"/>
        </w:rPr>
        <w:t>Ley del Impuesto Sobre la Renta</w:t>
      </w:r>
      <w:r w:rsidRPr="0059485F">
        <w:rPr>
          <w:rFonts w:ascii="Palatino Linotype" w:eastAsia="Palatino Linotype" w:hAnsi="Palatino Linotype" w:cs="Palatino Linotype"/>
          <w:i/>
          <w:sz w:val="22"/>
          <w:szCs w:val="22"/>
          <w:lang w:eastAsia="en-US"/>
        </w:rPr>
        <w:t xml:space="preserve">, </w:t>
      </w:r>
      <w:r w:rsidRPr="0059485F">
        <w:rPr>
          <w:rFonts w:ascii="Palatino Linotype" w:eastAsia="Palatino Linotype" w:hAnsi="Palatino Linotype" w:cs="Palatino Linotype"/>
          <w:sz w:val="22"/>
          <w:szCs w:val="22"/>
          <w:lang w:eastAsia="en-US"/>
        </w:rPr>
        <w:t>que a la letra señala lo siguiente:</w:t>
      </w:r>
    </w:p>
    <w:p w14:paraId="3A6AB854" w14:textId="77777777" w:rsidR="007C48A1" w:rsidRPr="0059485F" w:rsidRDefault="007C48A1" w:rsidP="007C48A1">
      <w:pPr>
        <w:spacing w:line="276" w:lineRule="auto"/>
        <w:ind w:left="851" w:right="616"/>
        <w:jc w:val="both"/>
        <w:rPr>
          <w:rFonts w:ascii="Palatino Linotype" w:eastAsia="Palatino Linotype" w:hAnsi="Palatino Linotype" w:cs="Palatino Linotype"/>
          <w:b/>
          <w:i/>
          <w:sz w:val="22"/>
          <w:szCs w:val="22"/>
          <w:lang w:eastAsia="en-US"/>
        </w:rPr>
      </w:pPr>
    </w:p>
    <w:p w14:paraId="2B2E492E"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b/>
          <w:i/>
          <w:sz w:val="22"/>
          <w:szCs w:val="22"/>
          <w:lang w:eastAsia="en-US"/>
        </w:rPr>
        <w:t>“Artículo.- 86 </w:t>
      </w:r>
    </w:p>
    <w:p w14:paraId="29BA3B4F"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b/>
          <w:i/>
          <w:sz w:val="22"/>
          <w:szCs w:val="22"/>
          <w:lang w:eastAsia="en-US"/>
        </w:rPr>
        <w:t>(</w:t>
      </w:r>
      <w:r w:rsidRPr="0059485F">
        <w:rPr>
          <w:rFonts w:ascii="Palatino Linotype" w:eastAsia="Palatino Linotype" w:hAnsi="Palatino Linotype" w:cs="Palatino Linotype"/>
          <w:i/>
          <w:sz w:val="22"/>
          <w:szCs w:val="22"/>
          <w:lang w:eastAsia="en-US"/>
        </w:rPr>
        <w:t>…)</w:t>
      </w:r>
    </w:p>
    <w:p w14:paraId="6882181E"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 xml:space="preserve">Los partidos y asociaciones políticas, legalmente reconocidos, la Federación, las entidades federativas, los municipios y las instituciones que por Ley estén obligadas a entregar al Gobierno Federal el importe íntegro de su remanente de operación y los organismos descentralizados que no tributen conforme al Título II de esta Ley </w:t>
      </w:r>
      <w:r w:rsidRPr="0059485F">
        <w:rPr>
          <w:rFonts w:ascii="Palatino Linotype" w:eastAsia="Palatino Linotype" w:hAnsi="Palatino Linotype" w:cs="Palatino Linotype"/>
          <w:b/>
          <w:i/>
          <w:sz w:val="22"/>
          <w:szCs w:val="22"/>
          <w:lang w:eastAsia="en-US"/>
        </w:rPr>
        <w:t>están obligados a expedir y entregar comprobantes fiscales a las personas que reciban pagos por concepto de salarios y, en general, por la prestación de un servicio personal subordinado, en la fecha en que se realice la erogación correspondiente, los cuales podrán utilizarse como constancia o recibo de pago</w:t>
      </w:r>
      <w:r w:rsidRPr="0059485F">
        <w:rPr>
          <w:rFonts w:ascii="Palatino Linotype" w:eastAsia="Palatino Linotype" w:hAnsi="Palatino Linotype" w:cs="Palatino Linotype"/>
          <w:i/>
          <w:sz w:val="22"/>
          <w:szCs w:val="22"/>
          <w:lang w:eastAsia="en-US"/>
        </w:rPr>
        <w:t xml:space="preserve"> para efectos de la legislación laboral a que se refieren los artículos 132 fracciones VII y VIII, y 804 primer párrafo fracciones II y IV de la Ley Federal del Trabajo…</w:t>
      </w:r>
      <w:r w:rsidRPr="0059485F">
        <w:rPr>
          <w:rFonts w:ascii="Palatino Linotype" w:eastAsia="Palatino Linotype" w:hAnsi="Palatino Linotype" w:cs="Palatino Linotype"/>
          <w:sz w:val="22"/>
          <w:szCs w:val="22"/>
          <w:lang w:eastAsia="en-US"/>
        </w:rPr>
        <w:t>” </w:t>
      </w:r>
    </w:p>
    <w:p w14:paraId="61E42F9B" w14:textId="77777777" w:rsidR="007C48A1" w:rsidRPr="0059485F" w:rsidRDefault="007C48A1" w:rsidP="007C48A1">
      <w:pPr>
        <w:spacing w:line="276" w:lineRule="auto"/>
        <w:rPr>
          <w:rFonts w:ascii="Palatino Linotype" w:eastAsia="Palatino Linotype" w:hAnsi="Palatino Linotype" w:cs="Palatino Linotype"/>
          <w:sz w:val="22"/>
          <w:szCs w:val="22"/>
          <w:lang w:eastAsia="en-US"/>
        </w:rPr>
      </w:pPr>
    </w:p>
    <w:p w14:paraId="0A033F0E"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sz w:val="22"/>
          <w:szCs w:val="22"/>
          <w:lang w:eastAsia="en-US"/>
        </w:rPr>
        <w:t xml:space="preserve">Del precepto citado, se advierte que las entidades federativas al ser entes públicos se encuentran constreñidos a expedir y entregar los </w:t>
      </w:r>
      <w:r w:rsidRPr="0059485F">
        <w:rPr>
          <w:rFonts w:ascii="Palatino Linotype" w:eastAsia="Palatino Linotype" w:hAnsi="Palatino Linotype" w:cs="Palatino Linotype"/>
          <w:b/>
          <w:sz w:val="22"/>
          <w:szCs w:val="22"/>
          <w:lang w:eastAsia="en-US"/>
        </w:rPr>
        <w:t xml:space="preserve">comprobantes fiscales correspondientes a las personas que reciban pagos por conceptos de salarios y demás prestaciones establecidas en la Ley, </w:t>
      </w:r>
      <w:r w:rsidRPr="0059485F">
        <w:rPr>
          <w:rFonts w:ascii="Palatino Linotype" w:eastAsia="Palatino Linotype" w:hAnsi="Palatino Linotype" w:cs="Palatino Linotype"/>
          <w:sz w:val="22"/>
          <w:szCs w:val="22"/>
          <w:lang w:eastAsia="en-US"/>
        </w:rPr>
        <w:t xml:space="preserve">mismos que pueden ser utilizados como </w:t>
      </w:r>
      <w:r w:rsidRPr="0059485F">
        <w:rPr>
          <w:rFonts w:ascii="Palatino Linotype" w:eastAsia="Palatino Linotype" w:hAnsi="Palatino Linotype" w:cs="Palatino Linotype"/>
          <w:b/>
          <w:sz w:val="22"/>
          <w:szCs w:val="22"/>
          <w:lang w:eastAsia="en-US"/>
        </w:rPr>
        <w:t>constancia o</w:t>
      </w:r>
      <w:r w:rsidRPr="0059485F">
        <w:rPr>
          <w:rFonts w:ascii="Palatino Linotype" w:eastAsia="Palatino Linotype" w:hAnsi="Palatino Linotype" w:cs="Palatino Linotype"/>
          <w:sz w:val="22"/>
          <w:szCs w:val="22"/>
          <w:lang w:eastAsia="en-US"/>
        </w:rPr>
        <w:t xml:space="preserve"> </w:t>
      </w:r>
      <w:r w:rsidRPr="0059485F">
        <w:rPr>
          <w:rFonts w:ascii="Palatino Linotype" w:eastAsia="Palatino Linotype" w:hAnsi="Palatino Linotype" w:cs="Palatino Linotype"/>
          <w:b/>
          <w:sz w:val="22"/>
          <w:szCs w:val="22"/>
          <w:lang w:eastAsia="en-US"/>
        </w:rPr>
        <w:t>recibo de pago</w:t>
      </w:r>
      <w:r w:rsidRPr="0059485F">
        <w:rPr>
          <w:rFonts w:ascii="Palatino Linotype" w:eastAsia="Palatino Linotype" w:hAnsi="Palatino Linotype" w:cs="Palatino Linotype"/>
          <w:sz w:val="22"/>
          <w:szCs w:val="22"/>
          <w:lang w:eastAsia="en-US"/>
        </w:rPr>
        <w:t>.</w:t>
      </w:r>
    </w:p>
    <w:p w14:paraId="6265A85A" w14:textId="77777777" w:rsidR="00317373" w:rsidRPr="0059485F" w:rsidRDefault="00317373" w:rsidP="007C48A1">
      <w:pPr>
        <w:spacing w:line="360" w:lineRule="auto"/>
        <w:jc w:val="both"/>
        <w:rPr>
          <w:rFonts w:ascii="Palatino Linotype" w:eastAsia="Palatino Linotype" w:hAnsi="Palatino Linotype" w:cs="Palatino Linotype"/>
          <w:i/>
          <w:sz w:val="22"/>
          <w:szCs w:val="22"/>
          <w:lang w:eastAsia="en-US"/>
        </w:rPr>
      </w:pPr>
    </w:p>
    <w:p w14:paraId="634D4AD4"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sz w:val="22"/>
          <w:szCs w:val="22"/>
          <w:lang w:eastAsia="en-US"/>
        </w:rPr>
        <w:t>Por su parte la Ley del Trabajo de los Servidores Públicos del Estado y Municipios, en su artículo 220-K fracciones II y IV y último párrafo, establecen lo siguiente:</w:t>
      </w:r>
    </w:p>
    <w:p w14:paraId="273CA007" w14:textId="77777777" w:rsidR="007C48A1" w:rsidRPr="0059485F" w:rsidRDefault="007C48A1" w:rsidP="007C48A1">
      <w:pPr>
        <w:spacing w:line="276" w:lineRule="auto"/>
        <w:ind w:left="851" w:right="616"/>
        <w:jc w:val="both"/>
        <w:rPr>
          <w:rFonts w:ascii="Palatino Linotype" w:eastAsia="Palatino Linotype" w:hAnsi="Palatino Linotype" w:cs="Palatino Linotype"/>
          <w:i/>
          <w:sz w:val="22"/>
          <w:szCs w:val="22"/>
          <w:lang w:eastAsia="en-US"/>
        </w:rPr>
      </w:pPr>
    </w:p>
    <w:p w14:paraId="5BD3ED6E"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w:t>
      </w:r>
      <w:r w:rsidRPr="0059485F">
        <w:rPr>
          <w:rFonts w:ascii="Palatino Linotype" w:eastAsia="Palatino Linotype" w:hAnsi="Palatino Linotype" w:cs="Palatino Linotype"/>
          <w:b/>
          <w:i/>
          <w:sz w:val="22"/>
          <w:szCs w:val="22"/>
          <w:lang w:eastAsia="en-US"/>
        </w:rPr>
        <w:t>ARTÍCULO 220 K.-</w:t>
      </w:r>
      <w:r w:rsidRPr="0059485F">
        <w:rPr>
          <w:rFonts w:ascii="Palatino Linotype" w:eastAsia="Palatino Linotype" w:hAnsi="Palatino Linotype" w:cs="Palatino Linotype"/>
          <w:i/>
          <w:sz w:val="22"/>
          <w:szCs w:val="22"/>
          <w:lang w:eastAsia="en-US"/>
        </w:rPr>
        <w:t xml:space="preserve"> La institución o dependencia pública tiene la obligación de conservar y exhibir en el proceso los documentos que a continuación se precisan:</w:t>
      </w:r>
    </w:p>
    <w:p w14:paraId="6C487A56"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w:t>
      </w:r>
    </w:p>
    <w:p w14:paraId="338A2C3B"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 xml:space="preserve">II. </w:t>
      </w:r>
      <w:r w:rsidRPr="0059485F">
        <w:rPr>
          <w:rFonts w:ascii="Palatino Linotype" w:eastAsia="Palatino Linotype" w:hAnsi="Palatino Linotype" w:cs="Palatino Linotype"/>
          <w:b/>
          <w:i/>
          <w:sz w:val="22"/>
          <w:szCs w:val="22"/>
          <w:lang w:eastAsia="en-US"/>
        </w:rPr>
        <w:t>Recibos de pagos de salarios</w:t>
      </w:r>
      <w:r w:rsidRPr="0059485F">
        <w:rPr>
          <w:rFonts w:ascii="Palatino Linotype" w:eastAsia="Palatino Linotype" w:hAnsi="Palatino Linotype" w:cs="Palatino Linotype"/>
          <w:i/>
          <w:sz w:val="22"/>
          <w:szCs w:val="22"/>
          <w:lang w:eastAsia="en-US"/>
        </w:rPr>
        <w:t xml:space="preserve"> o las constancias documentales del pago de salario cuando sea por depósito o mediante información electrónica;</w:t>
      </w:r>
    </w:p>
    <w:p w14:paraId="56CF97FE"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w:t>
      </w:r>
    </w:p>
    <w:p w14:paraId="7506CCD4" w14:textId="77777777" w:rsidR="007C48A1" w:rsidRPr="0059485F" w:rsidRDefault="007C48A1" w:rsidP="007C48A1">
      <w:pPr>
        <w:spacing w:line="276" w:lineRule="auto"/>
        <w:ind w:left="851" w:right="616"/>
        <w:rPr>
          <w:rFonts w:ascii="Palatino Linotype" w:eastAsia="Palatino Linotype" w:hAnsi="Palatino Linotype" w:cs="Palatino Linotype"/>
          <w:sz w:val="22"/>
          <w:szCs w:val="22"/>
          <w:lang w:eastAsia="en-US"/>
        </w:rPr>
      </w:pPr>
    </w:p>
    <w:p w14:paraId="20ECCDE3" w14:textId="77777777" w:rsidR="007C48A1" w:rsidRPr="0059485F" w:rsidRDefault="007C48A1" w:rsidP="007C48A1">
      <w:pPr>
        <w:spacing w:line="276" w:lineRule="auto"/>
        <w:ind w:left="851" w:right="616"/>
        <w:jc w:val="both"/>
        <w:rPr>
          <w:rFonts w:ascii="Palatino Linotype" w:eastAsia="Palatino Linotype" w:hAnsi="Palatino Linotype" w:cs="Palatino Linotype"/>
          <w:i/>
          <w:sz w:val="22"/>
          <w:szCs w:val="22"/>
          <w:lang w:eastAsia="en-US"/>
        </w:rPr>
      </w:pPr>
      <w:r w:rsidRPr="0059485F">
        <w:rPr>
          <w:rFonts w:ascii="Palatino Linotype" w:eastAsia="Palatino Linotype" w:hAnsi="Palatino Linotype" w:cs="Palatino Linotype"/>
          <w:b/>
          <w:i/>
          <w:sz w:val="22"/>
          <w:szCs w:val="22"/>
          <w:lang w:eastAsia="en-US"/>
        </w:rPr>
        <w:t>IV. Recibos</w:t>
      </w:r>
      <w:r w:rsidRPr="0059485F">
        <w:rPr>
          <w:rFonts w:ascii="Palatino Linotype" w:eastAsia="Palatino Linotype" w:hAnsi="Palatino Linotype" w:cs="Palatino Linotype"/>
          <w:i/>
          <w:sz w:val="22"/>
          <w:szCs w:val="22"/>
          <w:lang w:eastAsia="en-US"/>
        </w:rPr>
        <w:t xml:space="preserve"> o las constancias de depósito o del medio de información magnética o electrónica que sean utilizadas </w:t>
      </w:r>
      <w:r w:rsidRPr="0059485F">
        <w:rPr>
          <w:rFonts w:ascii="Palatino Linotype" w:eastAsia="Palatino Linotype" w:hAnsi="Palatino Linotype" w:cs="Palatino Linotype"/>
          <w:b/>
          <w:i/>
          <w:sz w:val="22"/>
          <w:szCs w:val="22"/>
          <w:lang w:eastAsia="en-US"/>
        </w:rPr>
        <w:t>para el pago de salarios, prima vacacional, aguinaldo y demás prestaciones establecidas en la presente ley</w:t>
      </w:r>
      <w:r w:rsidRPr="0059485F">
        <w:rPr>
          <w:rFonts w:ascii="Palatino Linotype" w:eastAsia="Palatino Linotype" w:hAnsi="Palatino Linotype" w:cs="Palatino Linotype"/>
          <w:i/>
          <w:sz w:val="22"/>
          <w:szCs w:val="22"/>
          <w:lang w:eastAsia="en-US"/>
        </w:rPr>
        <w:t>; y…</w:t>
      </w:r>
    </w:p>
    <w:p w14:paraId="37A35475"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p>
    <w:p w14:paraId="0FEBE1ED"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Los documentos señalados en la fracción I de este artículo, deberán conservarse mientras dure la relación laboral y hasta un año después; los señalados por las fracciones II, III, IV durante el último año y un año después de que se extinga la relación laboral, y los mencionados en la fracción V, conforme lo señalen las leyes que los rijan.</w:t>
      </w:r>
    </w:p>
    <w:p w14:paraId="6746F745"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Los documentos y constancias aquí señalados, la institución o dependencia podrá conservarlos por medio de los sistemas de digitalización o de información magnética o electrónica o cualquier medio descubierto por la ciencia y las constancias expedidas por el encargado del área de personal de éstas, harán prueba plena.</w:t>
      </w:r>
    </w:p>
    <w:p w14:paraId="2888F86C" w14:textId="77777777" w:rsidR="007C48A1" w:rsidRPr="0059485F" w:rsidRDefault="007C48A1" w:rsidP="007C48A1">
      <w:pPr>
        <w:spacing w:line="276" w:lineRule="auto"/>
        <w:ind w:left="851" w:right="616"/>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i/>
          <w:sz w:val="22"/>
          <w:szCs w:val="22"/>
          <w:lang w:eastAsia="en-US"/>
        </w:rPr>
        <w:t>El incumplimiento por lo dispuesto por este artículo, establecerá la presunción de ser ciertos los hechos que el actor exprese en su demanda, en relación con tales documentos, salvo prueba en contrario.”</w:t>
      </w:r>
    </w:p>
    <w:p w14:paraId="29AEFF5B"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p>
    <w:p w14:paraId="398721C6"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sz w:val="22"/>
          <w:szCs w:val="22"/>
          <w:lang w:eastAsia="en-US"/>
        </w:rPr>
        <w:t xml:space="preserve">Sobre la base del precepto legal citado, se advierte que toda institución pública o dependencia pública del Estado de México </w:t>
      </w:r>
      <w:r w:rsidRPr="0059485F">
        <w:rPr>
          <w:rFonts w:ascii="Palatino Linotype" w:eastAsia="Palatino Linotype" w:hAnsi="Palatino Linotype" w:cs="Palatino Linotype"/>
          <w:b/>
          <w:sz w:val="22"/>
          <w:szCs w:val="22"/>
          <w:lang w:eastAsia="en-US"/>
        </w:rPr>
        <w:t>debe conservar las constancias de pago de salarios y demás prestaciones legales de acuerdo con la forma en que se haya realizado el pago;</w:t>
      </w:r>
      <w:r w:rsidRPr="0059485F">
        <w:rPr>
          <w:rFonts w:ascii="Palatino Linotype" w:eastAsia="Palatino Linotype" w:hAnsi="Palatino Linotype" w:cs="Palatino Linotype"/>
          <w:sz w:val="22"/>
          <w:szCs w:val="22"/>
          <w:lang w:eastAsia="en-US"/>
        </w:rPr>
        <w:t xml:space="preserve"> es decir, en efectivo, cheque, depósito, transferencia u otra, debiendo conservar dicha documentación durante el último año y un año después de que se extingue la relación laboral a través de los sistemas de digitalización o de información magnética o electrónica.</w:t>
      </w:r>
    </w:p>
    <w:p w14:paraId="102768FF" w14:textId="77777777" w:rsidR="007C48A1" w:rsidRPr="0059485F" w:rsidRDefault="007C48A1" w:rsidP="007C48A1">
      <w:pPr>
        <w:spacing w:line="360" w:lineRule="auto"/>
        <w:rPr>
          <w:rFonts w:ascii="Palatino Linotype" w:eastAsia="Palatino Linotype" w:hAnsi="Palatino Linotype" w:cs="Palatino Linotype"/>
          <w:sz w:val="22"/>
          <w:szCs w:val="22"/>
          <w:lang w:eastAsia="en-US"/>
        </w:rPr>
      </w:pPr>
    </w:p>
    <w:p w14:paraId="52F3BDBA" w14:textId="77777777" w:rsidR="007C48A1" w:rsidRPr="0059485F" w:rsidRDefault="007C48A1" w:rsidP="007C48A1">
      <w:pPr>
        <w:spacing w:line="360" w:lineRule="auto"/>
        <w:jc w:val="both"/>
        <w:rPr>
          <w:rFonts w:ascii="Palatino Linotype" w:eastAsia="Palatino Linotype" w:hAnsi="Palatino Linotype" w:cs="Palatino Linotype"/>
          <w:sz w:val="22"/>
          <w:szCs w:val="22"/>
          <w:lang w:eastAsia="en-US"/>
        </w:rPr>
      </w:pPr>
      <w:r w:rsidRPr="0059485F">
        <w:rPr>
          <w:rFonts w:ascii="Palatino Linotype" w:eastAsia="Palatino Linotype" w:hAnsi="Palatino Linotype" w:cs="Palatino Linotype"/>
          <w:sz w:val="22"/>
          <w:szCs w:val="22"/>
          <w:lang w:eastAsia="en-US"/>
        </w:rPr>
        <w:t xml:space="preserve">En estas condiciones, resulta claro que la información de mérito es generada en ejercicio de las atribuciones del </w:t>
      </w:r>
      <w:r w:rsidRPr="0059485F">
        <w:rPr>
          <w:rFonts w:ascii="Palatino Linotype" w:eastAsia="Palatino Linotype" w:hAnsi="Palatino Linotype" w:cs="Palatino Linotype"/>
          <w:b/>
          <w:sz w:val="22"/>
          <w:szCs w:val="22"/>
          <w:lang w:eastAsia="en-US"/>
        </w:rPr>
        <w:t>Sujeto Obligado</w:t>
      </w:r>
      <w:r w:rsidRPr="0059485F">
        <w:rPr>
          <w:rFonts w:ascii="Palatino Linotype" w:eastAsia="Palatino Linotype" w:hAnsi="Palatino Linotype" w:cs="Palatino Linotype"/>
          <w:sz w:val="22"/>
          <w:szCs w:val="22"/>
          <w:lang w:eastAsia="en-US"/>
        </w:rPr>
        <w:t xml:space="preserve"> de acuerdo a lo dispuesto por los artículos 4, segundo párrafo y 12, segundo párrafo de la Ley de Transparencia y Acceso a la Información Pública del Estado de México y Municipios; consecuentemente debe obrar en sus archivos de conformidad a lo que señala el artículo 19 de la Ley de Transparencia Local que establece que debe presumirse la existencia de la información, si se refiere a las facultades, competencias y funciones que los ordenamientos jurídicos aplicables otorgan a los Sujetos Obligados.</w:t>
      </w:r>
    </w:p>
    <w:p w14:paraId="6BC26029" w14:textId="77777777" w:rsidR="007C48A1" w:rsidRPr="0059485F" w:rsidRDefault="007C48A1" w:rsidP="007C48A1">
      <w:pPr>
        <w:spacing w:line="360" w:lineRule="auto"/>
        <w:rPr>
          <w:rFonts w:ascii="Palatino Linotype" w:eastAsia="Palatino Linotype" w:hAnsi="Palatino Linotype" w:cs="Palatino Linotype"/>
          <w:sz w:val="22"/>
          <w:szCs w:val="22"/>
          <w:lang w:eastAsia="en-US"/>
        </w:rPr>
      </w:pPr>
    </w:p>
    <w:p w14:paraId="3FF73577" w14:textId="77777777" w:rsidR="007C48A1" w:rsidRPr="0059485F" w:rsidRDefault="007C48A1" w:rsidP="007C48A1">
      <w:pPr>
        <w:spacing w:line="360" w:lineRule="auto"/>
        <w:jc w:val="both"/>
        <w:rPr>
          <w:sz w:val="22"/>
          <w:szCs w:val="22"/>
        </w:rPr>
      </w:pPr>
      <w:r w:rsidRPr="0059485F">
        <w:rPr>
          <w:rFonts w:ascii="Palatino Linotype" w:eastAsia="Palatino Linotype" w:hAnsi="Palatino Linotype" w:cs="Palatino Linotype"/>
          <w:sz w:val="22"/>
          <w:szCs w:val="22"/>
        </w:rPr>
        <w:t>Además, dicha información es de interés general y de alcance público, puesto que la ciudadanía tiene derecho a saber cuál es el gasto ejercido para el pago de remuneraciones por servicios personales al realizar las funciones públicas; esto es, su acceso permite transparentar la aplicación de los recursos públicos que son otorgados para el cumplimiento de sus funciones, ello conforme a lo dispuesto por los artículos 7 y 23 de la Ley de Transparencia y Acceso a la Información Pública del Estado de México y Municipios, que establece como deber de los Sujetos Obligados el hacer pública toda la información respecto a los montos y nombres de las personas a quienes se entreguen recursos públicos y con ello transparentar la forma, términos, causas y finalidad en la disposición de esos recursos; precepto legal que es del tenor siguiente:</w:t>
      </w:r>
    </w:p>
    <w:p w14:paraId="09CAF325" w14:textId="77777777" w:rsidR="007C48A1" w:rsidRPr="0059485F" w:rsidRDefault="007C48A1" w:rsidP="007C48A1">
      <w:pPr>
        <w:rPr>
          <w:sz w:val="22"/>
          <w:szCs w:val="22"/>
        </w:rPr>
      </w:pPr>
    </w:p>
    <w:p w14:paraId="49DE8EE9"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b/>
          <w:bCs/>
          <w:i/>
          <w:iCs/>
          <w:sz w:val="22"/>
          <w:szCs w:val="22"/>
          <w:u w:val="single"/>
        </w:rPr>
        <w:t>“Artículo 7. El Estado de México garantizará el efectivo acceso de toda persona a la información en posesión de cualquier entidad,</w:t>
      </w:r>
      <w:r w:rsidRPr="0059485F">
        <w:rPr>
          <w:rFonts w:ascii="Palatino Linotype" w:eastAsia="Palatino Linotype" w:hAnsi="Palatino Linotype" w:cs="Palatino Linotype"/>
          <w:i/>
          <w:iCs/>
          <w:sz w:val="22"/>
          <w:szCs w:val="22"/>
        </w:rPr>
        <w:t xml:space="preserve"> autoridad, órgano y organismo de los poderes Ejecutivo, Legislativo y Judicial, órganos autónomos, partidos políticos, fideicomisos y fondos públicos, así como de cualquier persona física, jurídico colectiva o sindicato </w:t>
      </w:r>
      <w:r w:rsidRPr="0059485F">
        <w:rPr>
          <w:rFonts w:ascii="Palatino Linotype" w:eastAsia="Palatino Linotype" w:hAnsi="Palatino Linotype" w:cs="Palatino Linotype"/>
          <w:b/>
          <w:bCs/>
          <w:i/>
          <w:iCs/>
          <w:sz w:val="22"/>
          <w:szCs w:val="22"/>
          <w:u w:val="single"/>
        </w:rPr>
        <w:t>que reciba y ejerza recursos públicos</w:t>
      </w:r>
      <w:r w:rsidRPr="0059485F">
        <w:rPr>
          <w:rFonts w:ascii="Palatino Linotype" w:eastAsia="Palatino Linotype" w:hAnsi="Palatino Linotype" w:cs="Palatino Linotype"/>
          <w:i/>
          <w:iCs/>
          <w:sz w:val="22"/>
          <w:szCs w:val="22"/>
        </w:rPr>
        <w:t xml:space="preserve"> o realice actos de autoridad </w:t>
      </w:r>
      <w:r w:rsidRPr="0059485F">
        <w:rPr>
          <w:rFonts w:ascii="Palatino Linotype" w:eastAsia="Palatino Linotype" w:hAnsi="Palatino Linotype" w:cs="Palatino Linotype"/>
          <w:b/>
          <w:bCs/>
          <w:i/>
          <w:iCs/>
          <w:sz w:val="22"/>
          <w:szCs w:val="22"/>
          <w:u w:val="single"/>
        </w:rPr>
        <w:t>en el ámbito de competencia del Estado de México y sus municipios</w:t>
      </w:r>
      <w:r w:rsidRPr="0059485F">
        <w:rPr>
          <w:rFonts w:ascii="Palatino Linotype" w:eastAsia="Palatino Linotype" w:hAnsi="Palatino Linotype" w:cs="Palatino Linotype"/>
          <w:i/>
          <w:iCs/>
          <w:sz w:val="22"/>
          <w:szCs w:val="22"/>
          <w:u w:val="single"/>
        </w:rPr>
        <w:t>.</w:t>
      </w:r>
    </w:p>
    <w:p w14:paraId="7A1D4A85"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i/>
          <w:iCs/>
          <w:sz w:val="22"/>
          <w:szCs w:val="22"/>
        </w:rPr>
        <w:t>Artículo 23. Son sujetos obligados a transparentar y permitir el acceso a su información y proteger los datos personales que obren en su poder:</w:t>
      </w:r>
    </w:p>
    <w:p w14:paraId="50C0D444"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i/>
          <w:iCs/>
          <w:sz w:val="22"/>
          <w:szCs w:val="22"/>
        </w:rPr>
        <w:t>(…)</w:t>
      </w:r>
    </w:p>
    <w:p w14:paraId="109C099A"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b/>
          <w:bCs/>
          <w:i/>
          <w:iCs/>
          <w:sz w:val="22"/>
          <w:szCs w:val="22"/>
          <w:u w:val="single"/>
        </w:rPr>
        <w:t>IV. Los ayuntamientos y las dependencias, organismos, órganos y entidades de la administración municipal;</w:t>
      </w:r>
    </w:p>
    <w:p w14:paraId="4D2904B4"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i/>
          <w:iCs/>
          <w:sz w:val="22"/>
          <w:szCs w:val="22"/>
        </w:rPr>
        <w:t>(…)</w:t>
      </w:r>
    </w:p>
    <w:p w14:paraId="39A64A3A"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b/>
          <w:bCs/>
          <w:i/>
          <w:iCs/>
          <w:sz w:val="22"/>
          <w:szCs w:val="22"/>
          <w:u w:val="single"/>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B7A6EEF" w14:textId="77777777" w:rsidR="007C48A1" w:rsidRPr="0059485F" w:rsidRDefault="007C48A1" w:rsidP="007C48A1">
      <w:pPr>
        <w:spacing w:line="276" w:lineRule="auto"/>
        <w:ind w:left="851" w:right="616"/>
        <w:jc w:val="both"/>
        <w:rPr>
          <w:sz w:val="22"/>
          <w:szCs w:val="22"/>
        </w:rPr>
      </w:pPr>
      <w:r w:rsidRPr="0059485F">
        <w:rPr>
          <w:rFonts w:ascii="Palatino Linotype" w:eastAsia="Palatino Linotype" w:hAnsi="Palatino Linotype" w:cs="Palatino Linotype"/>
          <w:i/>
          <w:iCs/>
          <w:sz w:val="22"/>
          <w:szCs w:val="22"/>
        </w:rPr>
        <w:t>Los servidores públicos deberán transparentar sus acciones así como garantizar y respetar el derecho de acceso a la información pública.”</w:t>
      </w:r>
      <w:r w:rsidRPr="0059485F">
        <w:rPr>
          <w:rFonts w:ascii="Palatino Linotype" w:eastAsia="Palatino Linotype" w:hAnsi="Palatino Linotype" w:cs="Palatino Linotype"/>
          <w:b/>
          <w:bCs/>
          <w:i/>
          <w:iCs/>
          <w:sz w:val="22"/>
          <w:szCs w:val="22"/>
        </w:rPr>
        <w:t xml:space="preserve"> </w:t>
      </w:r>
    </w:p>
    <w:p w14:paraId="62FE94D3" w14:textId="77777777" w:rsidR="007C48A1" w:rsidRPr="0059485F" w:rsidRDefault="007C48A1" w:rsidP="007C48A1">
      <w:pPr>
        <w:rPr>
          <w:sz w:val="22"/>
          <w:szCs w:val="22"/>
        </w:rPr>
      </w:pPr>
    </w:p>
    <w:p w14:paraId="5BA03FDD" w14:textId="77777777" w:rsidR="007C48A1" w:rsidRPr="0059485F" w:rsidRDefault="007C48A1" w:rsidP="007C48A1">
      <w:pPr>
        <w:spacing w:line="360" w:lineRule="auto"/>
        <w:jc w:val="both"/>
        <w:rPr>
          <w:sz w:val="22"/>
          <w:szCs w:val="22"/>
        </w:rPr>
      </w:pPr>
      <w:r w:rsidRPr="0059485F">
        <w:rPr>
          <w:rFonts w:ascii="Palatino Linotype" w:eastAsia="Palatino Linotype" w:hAnsi="Palatino Linotype" w:cs="Palatino Linotype"/>
          <w:sz w:val="22"/>
          <w:szCs w:val="22"/>
        </w:rPr>
        <w:t xml:space="preserve">Sirve de sustento por analogía, para justificar la publicidad sobre los datos relativos a los montos por concepto de pago de las remuneraciones, los criterios </w:t>
      </w:r>
      <w:r w:rsidRPr="0059485F">
        <w:rPr>
          <w:rFonts w:ascii="Palatino Linotype" w:eastAsia="Palatino Linotype" w:hAnsi="Palatino Linotype" w:cs="Palatino Linotype"/>
          <w:b/>
          <w:bCs/>
          <w:sz w:val="22"/>
          <w:szCs w:val="22"/>
        </w:rPr>
        <w:t>01/2003</w:t>
      </w:r>
      <w:r w:rsidRPr="0059485F">
        <w:rPr>
          <w:rFonts w:ascii="Palatino Linotype" w:eastAsia="Palatino Linotype" w:hAnsi="Palatino Linotype" w:cs="Palatino Linotype"/>
          <w:sz w:val="22"/>
          <w:szCs w:val="22"/>
        </w:rPr>
        <w:t xml:space="preserve"> y </w:t>
      </w:r>
      <w:r w:rsidRPr="0059485F">
        <w:rPr>
          <w:rFonts w:ascii="Palatino Linotype" w:eastAsia="Palatino Linotype" w:hAnsi="Palatino Linotype" w:cs="Palatino Linotype"/>
          <w:b/>
          <w:bCs/>
          <w:sz w:val="22"/>
          <w:szCs w:val="22"/>
        </w:rPr>
        <w:t>02/2003</w:t>
      </w:r>
      <w:r w:rsidRPr="0059485F">
        <w:rPr>
          <w:rFonts w:ascii="Palatino Linotype" w:eastAsia="Palatino Linotype" w:hAnsi="Palatino Linotype" w:cs="Palatino Linotype"/>
          <w:sz w:val="22"/>
          <w:szCs w:val="22"/>
        </w:rPr>
        <w:t xml:space="preserve"> emitidos por el Comité de Acceso a la Información Pública y Protección de Datos Personales de la Suprema Corte de Justicia de la Nación que a continuación se citan: </w:t>
      </w:r>
    </w:p>
    <w:p w14:paraId="2DBED9A1" w14:textId="77777777" w:rsidR="007C48A1" w:rsidRPr="0059485F" w:rsidRDefault="007C48A1" w:rsidP="007C48A1">
      <w:pPr>
        <w:tabs>
          <w:tab w:val="left" w:pos="7513"/>
        </w:tabs>
        <w:spacing w:line="276" w:lineRule="auto"/>
        <w:ind w:left="851" w:right="616"/>
        <w:rPr>
          <w:sz w:val="22"/>
          <w:szCs w:val="22"/>
        </w:rPr>
      </w:pPr>
      <w:r w:rsidRPr="0059485F">
        <w:rPr>
          <w:rFonts w:ascii="Palatino Linotype" w:eastAsia="Palatino Linotype" w:hAnsi="Palatino Linotype" w:cs="Palatino Linotype"/>
          <w:b/>
          <w:bCs/>
          <w:i/>
          <w:iCs/>
          <w:sz w:val="22"/>
          <w:szCs w:val="22"/>
        </w:rPr>
        <w:t>“Criterio 01/2003.</w:t>
      </w:r>
    </w:p>
    <w:p w14:paraId="0DAFAEE3" w14:textId="77777777" w:rsidR="007C48A1" w:rsidRPr="0059485F" w:rsidRDefault="007C48A1" w:rsidP="007C48A1">
      <w:pPr>
        <w:tabs>
          <w:tab w:val="left" w:pos="7513"/>
        </w:tabs>
        <w:spacing w:line="276" w:lineRule="auto"/>
        <w:ind w:left="851" w:right="616"/>
        <w:jc w:val="both"/>
        <w:rPr>
          <w:sz w:val="22"/>
          <w:szCs w:val="22"/>
        </w:rPr>
      </w:pPr>
      <w:r w:rsidRPr="0059485F">
        <w:rPr>
          <w:rFonts w:ascii="Palatino Linotype" w:eastAsia="Palatino Linotype" w:hAnsi="Palatino Linotype" w:cs="Palatino Linotype"/>
          <w:b/>
          <w:bCs/>
          <w:i/>
          <w:iCs/>
          <w:sz w:val="22"/>
          <w:szCs w:val="22"/>
        </w:rPr>
        <w:t>INGRESOS DE LOS SERVIDORES PÚBLICOS. CONSTITUYEN INFORMACIÓN PÚBLICA AÚN Y CUANDO SU DIFUSIÓN PUEDE AFECTAR LA VIDA O LA SEGURIDAD DE AQUELLOS.</w:t>
      </w:r>
      <w:r w:rsidRPr="0059485F">
        <w:rPr>
          <w:rFonts w:ascii="Palatino Linotype" w:eastAsia="Palatino Linotype" w:hAnsi="Palatino Linotype" w:cs="Palatino Linotype"/>
          <w:i/>
          <w:iCs/>
          <w:sz w:val="22"/>
          <w:szCs w:val="22"/>
        </w:rPr>
        <w:t> </w:t>
      </w:r>
    </w:p>
    <w:p w14:paraId="27D4F330" w14:textId="77777777" w:rsidR="007C48A1" w:rsidRPr="0059485F" w:rsidRDefault="007C48A1" w:rsidP="007C48A1">
      <w:pPr>
        <w:tabs>
          <w:tab w:val="left" w:pos="7513"/>
        </w:tabs>
        <w:spacing w:line="276" w:lineRule="auto"/>
        <w:ind w:left="851" w:right="616"/>
        <w:jc w:val="both"/>
        <w:rPr>
          <w:sz w:val="22"/>
          <w:szCs w:val="22"/>
        </w:rPr>
      </w:pPr>
      <w:r w:rsidRPr="0059485F">
        <w:rPr>
          <w:rFonts w:ascii="Palatino Linotype" w:eastAsia="Palatino Linotype" w:hAnsi="Palatino Linotype" w:cs="Palatino Linotype"/>
          <w:i/>
          <w:iCs/>
          <w:sz w:val="22"/>
          <w:szCs w:val="22"/>
        </w:rPr>
        <w:t xml:space="preserve">Si bien el artículo 13, fracción IV, de la Ley Federal de Transparencia y  Acceso  a la información Pública Gubernamental establece que debe clasificarse como información confidencial la que conste en expedientes administrativos cuya difusión  pueda poner en riesgo la vida, la seguridad o la salud de cualquier persona, debe reconocerse que aun y  cuando en ese supuesto podría encuadrar la relativa a las percepciones ordinarias y extraordinaria de los servidores públicos, ello no obsta para reconocer que el legislador estableció en el artículo 7 de ese mismo ordenamiento que la referida información, como una obligación de trasparencia, </w:t>
      </w:r>
      <w:r w:rsidRPr="0059485F">
        <w:rPr>
          <w:rFonts w:ascii="Palatino Linotype" w:eastAsia="Palatino Linotype" w:hAnsi="Palatino Linotype" w:cs="Palatino Linotype"/>
          <w:b/>
          <w:bCs/>
          <w:i/>
          <w:iCs/>
          <w:sz w:val="22"/>
          <w:szCs w:val="22"/>
          <w:u w:val="single"/>
        </w:rPr>
        <w:t>deben publicarse en medios remotos o locales de comunicación electrónica, lo que se sustenta en el hecho de que el monto de todos los ingresos que recibe un servidor público por desarrollar las labores que les son encomendadas con motivo del desempeño del cargo respecto. Constituyen información pública, en tanto que se trata de erogaciones que realiza un órgano del Estado en base con los recursos que encuentran su origen en mayor medida en las contribuciones aportados por los gobernados</w:t>
      </w:r>
      <w:r w:rsidRPr="0059485F">
        <w:rPr>
          <w:rFonts w:ascii="Palatino Linotype" w:eastAsia="Palatino Linotype" w:hAnsi="Palatino Linotype" w:cs="Palatino Linotype"/>
          <w:i/>
          <w:iCs/>
          <w:sz w:val="22"/>
          <w:szCs w:val="22"/>
          <w:u w:val="single"/>
        </w:rPr>
        <w:t>…”</w:t>
      </w:r>
    </w:p>
    <w:p w14:paraId="2F823F2C" w14:textId="77777777" w:rsidR="007C48A1" w:rsidRPr="0059485F" w:rsidRDefault="007C48A1" w:rsidP="007C48A1">
      <w:pPr>
        <w:tabs>
          <w:tab w:val="left" w:pos="7513"/>
        </w:tabs>
        <w:spacing w:line="276" w:lineRule="auto"/>
        <w:ind w:right="616"/>
        <w:rPr>
          <w:sz w:val="22"/>
          <w:szCs w:val="22"/>
        </w:rPr>
      </w:pPr>
    </w:p>
    <w:p w14:paraId="32BE4072" w14:textId="77777777" w:rsidR="007C48A1" w:rsidRPr="0059485F" w:rsidRDefault="007C48A1" w:rsidP="007C48A1">
      <w:pPr>
        <w:tabs>
          <w:tab w:val="left" w:pos="7513"/>
        </w:tabs>
        <w:spacing w:line="276" w:lineRule="auto"/>
        <w:ind w:left="851" w:right="616"/>
        <w:rPr>
          <w:sz w:val="22"/>
          <w:szCs w:val="22"/>
        </w:rPr>
      </w:pPr>
      <w:r w:rsidRPr="0059485F">
        <w:rPr>
          <w:rFonts w:ascii="Palatino Linotype" w:eastAsia="Palatino Linotype" w:hAnsi="Palatino Linotype" w:cs="Palatino Linotype"/>
          <w:b/>
          <w:bCs/>
          <w:i/>
          <w:iCs/>
          <w:sz w:val="22"/>
          <w:szCs w:val="22"/>
        </w:rPr>
        <w:t>“Criterio 02/2003.</w:t>
      </w:r>
    </w:p>
    <w:p w14:paraId="47BB1780" w14:textId="77777777" w:rsidR="007C48A1" w:rsidRPr="0059485F" w:rsidRDefault="007C48A1" w:rsidP="007C48A1">
      <w:pPr>
        <w:tabs>
          <w:tab w:val="left" w:pos="7513"/>
        </w:tabs>
        <w:spacing w:line="276" w:lineRule="auto"/>
        <w:ind w:left="851" w:right="616"/>
        <w:jc w:val="both"/>
        <w:rPr>
          <w:sz w:val="22"/>
          <w:szCs w:val="22"/>
        </w:rPr>
      </w:pPr>
      <w:r w:rsidRPr="0059485F">
        <w:rPr>
          <w:rFonts w:ascii="Palatino Linotype" w:eastAsia="Palatino Linotype" w:hAnsi="Palatino Linotype" w:cs="Palatino Linotype"/>
          <w:b/>
          <w:bCs/>
          <w:i/>
          <w:iCs/>
          <w:sz w:val="22"/>
          <w:szCs w:val="22"/>
        </w:rPr>
        <w:t>INGRESOS DE LOS SERVIDORES PÚBLICOS, SON INFORMACIÓN PÚBLICA AÚN Y CUANDO CONSTITUYEN DATOS PERSONALES QUE SE REFIEREN AL PATRIMONIO DE AQUÉLLOS.</w:t>
      </w:r>
      <w:r w:rsidRPr="0059485F">
        <w:rPr>
          <w:rFonts w:ascii="Palatino Linotype" w:eastAsia="Palatino Linotype" w:hAnsi="Palatino Linotype" w:cs="Palatino Linotype"/>
          <w:i/>
          <w:iCs/>
          <w:sz w:val="22"/>
          <w:szCs w:val="22"/>
        </w:rPr>
        <w:t> </w:t>
      </w:r>
    </w:p>
    <w:p w14:paraId="6F816B47" w14:textId="77777777" w:rsidR="007C48A1" w:rsidRPr="0059485F" w:rsidRDefault="007C48A1" w:rsidP="007C48A1">
      <w:pPr>
        <w:tabs>
          <w:tab w:val="left" w:pos="7513"/>
        </w:tabs>
        <w:spacing w:line="276" w:lineRule="auto"/>
        <w:ind w:left="851" w:right="616"/>
        <w:jc w:val="both"/>
        <w:rPr>
          <w:sz w:val="22"/>
          <w:szCs w:val="22"/>
        </w:rPr>
      </w:pPr>
      <w:r w:rsidRPr="0059485F">
        <w:rPr>
          <w:rFonts w:ascii="Palatino Linotype" w:eastAsia="Palatino Linotype" w:hAnsi="Palatino Linotype" w:cs="Palatino Linotype"/>
          <w:i/>
          <w:iCs/>
          <w:sz w:val="22"/>
          <w:szCs w:val="22"/>
        </w:rPr>
        <w:t xml:space="preserve">De la interpretación sistemática de lo previsto en los artículos 3º, fracción II; 7º, 9º y 18, fracción II, de la Ley Federal de Transparencia y Acceso a la Información Pública Gubernamental se advierte que no constituye información confidencial la relativa a los ingresos que reciben los servidores públicos, ya que aun y cuando se trata de datos personales relativos a su patrimonio, para su difusión no se requiere consentimiento de aquellos, </w:t>
      </w:r>
      <w:r w:rsidRPr="0059485F">
        <w:rPr>
          <w:rFonts w:ascii="Palatino Linotype" w:eastAsia="Palatino Linotype" w:hAnsi="Palatino Linotype" w:cs="Palatino Linotype"/>
          <w:b/>
          <w:bCs/>
          <w:i/>
          <w:iCs/>
          <w:sz w:val="22"/>
          <w:szCs w:val="22"/>
          <w:u w:val="single"/>
        </w:rPr>
        <w:t>lo que deriva del hecho de que en términos de los previsto en el citado ordenamiento deben ponerse a disposición del público a través de medios remotos o locales de comunicación electrónica, tanto el directorio de servidores públicos como las remuneraciones mensuales por puesto incluso</w:t>
      </w:r>
      <w:r w:rsidRPr="0059485F">
        <w:rPr>
          <w:rFonts w:ascii="Palatino Linotype" w:eastAsia="Palatino Linotype" w:hAnsi="Palatino Linotype" w:cs="Palatino Linotype"/>
          <w:i/>
          <w:iCs/>
          <w:sz w:val="22"/>
          <w:szCs w:val="22"/>
        </w:rPr>
        <w:t xml:space="preserve"> el sistema de compensación…”</w:t>
      </w:r>
    </w:p>
    <w:p w14:paraId="52FD8491"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p>
    <w:p w14:paraId="62D39F97" w14:textId="77777777" w:rsidR="007C48A1" w:rsidRPr="0059485F" w:rsidRDefault="007C48A1" w:rsidP="007C48A1">
      <w:pPr>
        <w:spacing w:line="360" w:lineRule="auto"/>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sz w:val="22"/>
          <w:szCs w:val="22"/>
        </w:rPr>
        <w:t xml:space="preserve">De lo anterior, se colige que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cuenta con las competencias, facultades y atribuciones para conocer, administrar y generar la información relacionada con </w:t>
      </w:r>
      <w:r w:rsidRPr="0059485F">
        <w:rPr>
          <w:rFonts w:ascii="Palatino Linotype" w:eastAsia="Palatino Linotype" w:hAnsi="Palatino Linotype" w:cs="Palatino Linotype"/>
          <w:b/>
          <w:bCs/>
          <w:sz w:val="22"/>
          <w:szCs w:val="22"/>
        </w:rPr>
        <w:t>las remuneraciones de los servidores públicos adscritos al mismo, las cuales incluyen los pagos por prestaciones como aguinaldo y prima vacacional.</w:t>
      </w:r>
    </w:p>
    <w:p w14:paraId="6B9E59CA" w14:textId="77777777" w:rsidR="007C48A1" w:rsidRPr="0059485F" w:rsidRDefault="007C48A1" w:rsidP="007C48A1">
      <w:pPr>
        <w:spacing w:line="360" w:lineRule="auto"/>
        <w:jc w:val="both"/>
        <w:rPr>
          <w:rFonts w:ascii="Palatino Linotype" w:eastAsia="Palatino Linotype" w:hAnsi="Palatino Linotype" w:cs="Palatino Linotype"/>
          <w:b/>
          <w:bCs/>
          <w:sz w:val="22"/>
          <w:szCs w:val="22"/>
        </w:rPr>
      </w:pPr>
    </w:p>
    <w:p w14:paraId="16F9DBFD"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Además, lo anterior, encuentra sustento en la fracción VIII, del artículo 92, de la Ley de Transparencia y Acceso a la Información Pública del Estado de México y Municipios, que establece que las remuneraciones brutas y netas de todos los servidores públicos es información que los entes obligados deben de poner a disposición del público, a saber:</w:t>
      </w:r>
    </w:p>
    <w:p w14:paraId="0A793049" w14:textId="77777777" w:rsidR="007C48A1" w:rsidRPr="0059485F" w:rsidRDefault="007C48A1" w:rsidP="007C48A1">
      <w:pPr>
        <w:ind w:left="567" w:right="616"/>
        <w:jc w:val="both"/>
        <w:rPr>
          <w:rFonts w:ascii="Palatino Linotype" w:eastAsia="Palatino Linotype" w:hAnsi="Palatino Linotype" w:cs="Palatino Linotype"/>
          <w:i/>
          <w:iCs/>
          <w:sz w:val="22"/>
          <w:szCs w:val="22"/>
        </w:rPr>
      </w:pPr>
    </w:p>
    <w:p w14:paraId="663E1CE9" w14:textId="77777777" w:rsidR="007C48A1" w:rsidRPr="0059485F" w:rsidRDefault="007C48A1" w:rsidP="007C48A1">
      <w:pPr>
        <w:ind w:left="567"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“Artículo 92.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77E7FFEA" w14:textId="77777777" w:rsidR="007C48A1" w:rsidRPr="0059485F" w:rsidRDefault="007C48A1" w:rsidP="007C48A1">
      <w:pPr>
        <w:ind w:left="567"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1A51BC15" w14:textId="77777777" w:rsidR="007C48A1" w:rsidRPr="0059485F" w:rsidRDefault="007C48A1" w:rsidP="007C48A1">
      <w:pPr>
        <w:ind w:left="567"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u w:val="single"/>
        </w:rPr>
        <w:t xml:space="preserve">VIII. La remuneración bruta y neta de todos los servidores públicos </w:t>
      </w:r>
      <w:r w:rsidRPr="0059485F">
        <w:rPr>
          <w:rFonts w:ascii="Palatino Linotype" w:eastAsia="Palatino Linotype" w:hAnsi="Palatino Linotype" w:cs="Palatino Linotype"/>
          <w:i/>
          <w:iCs/>
          <w:sz w:val="22"/>
          <w:szCs w:val="22"/>
        </w:rPr>
        <w:t>de base o de confianza, de todas las percepciones, incluyendo sueldos, prestaciones, gratificaciones, primas, comisiones, dietas, bonos, estímulos, ingresos y sistemas de compensación, señalando la periodicidad de dicha remuneración; […]”</w:t>
      </w:r>
    </w:p>
    <w:p w14:paraId="4CA91FB6" w14:textId="77777777" w:rsidR="007C48A1" w:rsidRPr="0059485F" w:rsidRDefault="007C48A1" w:rsidP="007C48A1">
      <w:pPr>
        <w:ind w:left="567" w:right="616"/>
        <w:jc w:val="both"/>
        <w:rPr>
          <w:rFonts w:ascii="Palatino Linotype" w:eastAsia="Palatino Linotype" w:hAnsi="Palatino Linotype" w:cs="Palatino Linotype"/>
          <w:i/>
          <w:iCs/>
          <w:sz w:val="22"/>
          <w:szCs w:val="22"/>
        </w:rPr>
      </w:pPr>
    </w:p>
    <w:p w14:paraId="0F3257CC" w14:textId="77777777" w:rsidR="007C48A1" w:rsidRPr="0059485F" w:rsidRDefault="007C48A1" w:rsidP="007C48A1">
      <w:pPr>
        <w:ind w:left="567" w:right="616"/>
        <w:jc w:val="right"/>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(Énfasis añadido)</w:t>
      </w:r>
    </w:p>
    <w:p w14:paraId="195ED5F3"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p>
    <w:p w14:paraId="66427E87"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 mayor abundamiento, respecto la </w:t>
      </w:r>
      <w:r w:rsidRPr="0059485F">
        <w:rPr>
          <w:rFonts w:ascii="Palatino Linotype" w:eastAsia="Palatino Linotype" w:hAnsi="Palatino Linotype" w:cs="Palatino Linotype"/>
          <w:b/>
          <w:bCs/>
          <w:sz w:val="22"/>
          <w:szCs w:val="22"/>
        </w:rPr>
        <w:t>prima vacacional y el aguinaldo</w:t>
      </w:r>
      <w:r w:rsidRPr="0059485F">
        <w:rPr>
          <w:rFonts w:ascii="Palatino Linotype" w:eastAsia="Palatino Linotype" w:hAnsi="Palatino Linotype" w:cs="Palatino Linotype"/>
          <w:sz w:val="22"/>
          <w:szCs w:val="22"/>
        </w:rPr>
        <w:t>, conviene citar el contenido de los artículos 66, párrafo primero, 68 y 78, párrafo segundo de la Ley del Trabajo de los Servidores Públicos del Estado y Municipios, a saber:</w:t>
      </w:r>
    </w:p>
    <w:p w14:paraId="1FFCE42D" w14:textId="77777777" w:rsidR="007C48A1" w:rsidRPr="0059485F" w:rsidRDefault="007C48A1" w:rsidP="007C48A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43CA51BD" w14:textId="77777777" w:rsidR="007C48A1" w:rsidRPr="0059485F" w:rsidRDefault="007C48A1" w:rsidP="007C48A1">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b/>
          <w:bCs/>
          <w:i/>
          <w:iCs/>
          <w:sz w:val="22"/>
          <w:szCs w:val="22"/>
        </w:rPr>
        <w:t>ARTÍCULO 66</w:t>
      </w:r>
      <w:r w:rsidRPr="0059485F">
        <w:rPr>
          <w:rFonts w:ascii="Palatino Linotype" w:eastAsia="Palatino Linotype" w:hAnsi="Palatino Linotype" w:cs="Palatino Linotype"/>
          <w:i/>
          <w:iCs/>
          <w:sz w:val="22"/>
          <w:szCs w:val="22"/>
        </w:rPr>
        <w:t>. Se establecen dos períodos anuales de vacaciones, de diez días laborables cada uno, cuyas fechas deberán ser dadas a conocer oportunamente por cada institución pública. Los servidores públicos podrán hacer uso de su primer período vacacional siempre y cuando hayan cumplido seis meses en el servicio.</w:t>
      </w:r>
    </w:p>
    <w:p w14:paraId="43AE8CC3" w14:textId="77777777" w:rsidR="007C48A1" w:rsidRPr="0059485F" w:rsidRDefault="007C48A1" w:rsidP="007C48A1">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1A5AEB29" w14:textId="77777777" w:rsidR="007C48A1" w:rsidRPr="0059485F" w:rsidRDefault="007C48A1" w:rsidP="007C48A1">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68.-</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Cuando por cualquier motivo el servidor público no pudiere hacer uso de alguno de los períodos vacacionales en los términos señalados, la institución pública estará obligada a concederlos a partir del día hábil siguiente de concluido dicho período.</w:t>
      </w:r>
    </w:p>
    <w:p w14:paraId="2CFC40F6" w14:textId="77777777" w:rsidR="007C48A1" w:rsidRPr="0059485F" w:rsidRDefault="007C48A1" w:rsidP="007C48A1">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6454F8A1" w14:textId="77777777" w:rsidR="007C48A1" w:rsidRPr="0059485F" w:rsidRDefault="007C48A1" w:rsidP="007C48A1">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78</w:t>
      </w:r>
      <w:r w:rsidRPr="0059485F">
        <w:rPr>
          <w:rFonts w:ascii="Palatino Linotype" w:eastAsia="Palatino Linotype" w:hAnsi="Palatino Linotype" w:cs="Palatino Linotype"/>
          <w:i/>
          <w:iCs/>
          <w:sz w:val="22"/>
          <w:szCs w:val="22"/>
        </w:rPr>
        <w:t>. Los servidores públicos tendrán derecho a un aguinaldo anual, equivalente a 40 días de sueldo base, cuando menos, sin deducción alguna, y estará comprendido en el presupuesto de egresos correspondiente.</w:t>
      </w:r>
    </w:p>
    <w:p w14:paraId="2AD31B78" w14:textId="77777777" w:rsidR="007C48A1" w:rsidRPr="0059485F" w:rsidRDefault="007C48A1" w:rsidP="007C48A1">
      <w:pPr>
        <w:pBdr>
          <w:top w:val="nil"/>
          <w:left w:val="nil"/>
          <w:bottom w:val="nil"/>
          <w:right w:val="nil"/>
          <w:between w:val="nil"/>
        </w:pBdr>
        <w:spacing w:before="120" w:after="120"/>
        <w:ind w:left="851" w:right="902"/>
        <w:jc w:val="both"/>
        <w:rPr>
          <w:sz w:val="22"/>
          <w:szCs w:val="22"/>
        </w:rPr>
      </w:pPr>
      <w:r w:rsidRPr="0059485F">
        <w:rPr>
          <w:rFonts w:ascii="Palatino Linotype" w:eastAsia="Palatino Linotype" w:hAnsi="Palatino Linotype" w:cs="Palatino Linotype"/>
          <w:i/>
          <w:iCs/>
          <w:sz w:val="22"/>
          <w:szCs w:val="22"/>
        </w:rPr>
        <w:t>Dicho aguinaldo deberá pagarse en dos entregas, la primera de ellas previo al primer período vacacional y la segunda a más tardar el día 15 de diciembre.”</w:t>
      </w:r>
    </w:p>
    <w:p w14:paraId="7FD1A268"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p>
    <w:p w14:paraId="28506B7D" w14:textId="77777777" w:rsidR="007C48A1" w:rsidRPr="0059485F" w:rsidRDefault="007C48A1" w:rsidP="007C48A1">
      <w:pPr>
        <w:spacing w:line="360" w:lineRule="auto"/>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sz w:val="22"/>
          <w:szCs w:val="22"/>
        </w:rPr>
        <w:t xml:space="preserve">De los preceptos citados se desprende que los servidores públicos cuentan con el derecho de gozar de </w:t>
      </w:r>
      <w:r w:rsidRPr="0059485F">
        <w:rPr>
          <w:rFonts w:ascii="Palatino Linotype" w:eastAsia="Palatino Linotype" w:hAnsi="Palatino Linotype" w:cs="Palatino Linotype"/>
          <w:b/>
          <w:bCs/>
          <w:sz w:val="22"/>
          <w:szCs w:val="22"/>
          <w:u w:val="single"/>
        </w:rPr>
        <w:t>dos periodos de vacaciones durante el año</w:t>
      </w:r>
      <w:r w:rsidRPr="0059485F">
        <w:rPr>
          <w:rFonts w:ascii="Palatino Linotype" w:eastAsia="Palatino Linotype" w:hAnsi="Palatino Linotype" w:cs="Palatino Linotype"/>
          <w:sz w:val="22"/>
          <w:szCs w:val="22"/>
        </w:rPr>
        <w:t xml:space="preserve">, de diez días laborables cada uno, no obstante, </w:t>
      </w:r>
      <w:r w:rsidRPr="0059485F">
        <w:rPr>
          <w:rFonts w:ascii="Palatino Linotype" w:eastAsia="Palatino Linotype" w:hAnsi="Palatino Linotype" w:cs="Palatino Linotype"/>
          <w:b/>
          <w:bCs/>
          <w:sz w:val="22"/>
          <w:szCs w:val="22"/>
        </w:rPr>
        <w:t xml:space="preserve">dicho derecho es exigible </w:t>
      </w:r>
      <w:r w:rsidRPr="0059485F">
        <w:rPr>
          <w:rFonts w:ascii="Palatino Linotype" w:eastAsia="Palatino Linotype" w:hAnsi="Palatino Linotype" w:cs="Palatino Linotype"/>
          <w:b/>
          <w:bCs/>
          <w:sz w:val="22"/>
          <w:szCs w:val="22"/>
          <w:u w:val="single"/>
        </w:rPr>
        <w:t>siempre que se hayan cumplido seis meses en el servicio</w:t>
      </w:r>
      <w:r w:rsidRPr="0059485F">
        <w:rPr>
          <w:rFonts w:ascii="Palatino Linotype" w:eastAsia="Palatino Linotype" w:hAnsi="Palatino Linotype" w:cs="Palatino Linotype"/>
          <w:b/>
          <w:bCs/>
          <w:sz w:val="22"/>
          <w:szCs w:val="22"/>
        </w:rPr>
        <w:t>.</w:t>
      </w:r>
    </w:p>
    <w:p w14:paraId="3038700E"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p>
    <w:p w14:paraId="002F942B"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Asimismo, al servidor público que tenga derecho a disfrutar los periodos de vacaciones indicados, les corresponderá el pago de lo que se denomina prima vacacional.</w:t>
      </w:r>
    </w:p>
    <w:p w14:paraId="3C53E93F"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p>
    <w:p w14:paraId="7A27F57E" w14:textId="77777777" w:rsidR="007C48A1" w:rsidRPr="0059485F" w:rsidRDefault="007C48A1" w:rsidP="007C48A1">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Ahora bien, </w:t>
      </w:r>
      <w:r w:rsidRPr="0059485F">
        <w:rPr>
          <w:rFonts w:ascii="Palatino Linotype" w:eastAsia="Palatino Linotype" w:hAnsi="Palatino Linotype" w:cs="Palatino Linotype"/>
          <w:b/>
          <w:bCs/>
          <w:sz w:val="22"/>
          <w:szCs w:val="22"/>
          <w:u w:val="single"/>
        </w:rPr>
        <w:t>sobre el recibo de aguinaldo</w:t>
      </w:r>
      <w:r w:rsidRPr="0059485F">
        <w:rPr>
          <w:rFonts w:ascii="Palatino Linotype" w:eastAsia="Palatino Linotype" w:hAnsi="Palatino Linotype" w:cs="Palatino Linotype"/>
          <w:sz w:val="22"/>
          <w:szCs w:val="22"/>
        </w:rPr>
        <w:t>, de los preceptos legales transcritos se desprende que los servidores públicos tienen derecho a recibir un aguinaldo de manera anual, mismo que se puede pagar en dos entregas, la primera entrega antes del primer periodo vacacional, que se entiende que son las correspondientes al mes de julio del año correspondiente, en términos del calendario oficial de labores del ente público, y la segunda entrega a más tardar el día 15 de diciembre de cada año.</w:t>
      </w:r>
    </w:p>
    <w:p w14:paraId="7FBB1D2A" w14:textId="0C18AE31" w:rsidR="001E3C46" w:rsidRPr="0059485F" w:rsidRDefault="00576638" w:rsidP="001E3C46">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Acotado lo anterior, y toda vez que en el caso se asumió que se cuenta con la información, </w:t>
      </w:r>
      <w:r w:rsidR="001E3C46" w:rsidRPr="0059485F">
        <w:rPr>
          <w:rFonts w:ascii="Palatino Linotype" w:eastAsia="Palatino Linotype" w:hAnsi="Palatino Linotype" w:cs="Palatino Linotype"/>
          <w:sz w:val="22"/>
          <w:szCs w:val="22"/>
        </w:rPr>
        <w:t>resulta indispensable consultar el formato de solicitud de acceso a la información pública para determinar la modalidad a través de la cual se eligió la entrega de la información por parte de la persona solicitante, por lo que en el expediente electrónico se halló lo siguiente:</w:t>
      </w:r>
    </w:p>
    <w:p w14:paraId="5E8D0988" w14:textId="542995C5" w:rsidR="00F11672" w:rsidRPr="0059485F" w:rsidRDefault="00576638" w:rsidP="00DA3E2B">
      <w:pPr>
        <w:spacing w:before="240" w:after="240" w:line="360" w:lineRule="auto"/>
        <w:jc w:val="center"/>
        <w:rPr>
          <w:rFonts w:ascii="Palatino Linotype" w:eastAsia="Palatino Linotype" w:hAnsi="Palatino Linotype" w:cs="Palatino Linotype"/>
          <w:sz w:val="22"/>
          <w:szCs w:val="22"/>
        </w:rPr>
      </w:pPr>
      <w:r w:rsidRPr="0059485F">
        <w:rPr>
          <w:rFonts w:ascii="Palatino Linotype" w:eastAsia="Palatino Linotype" w:hAnsi="Palatino Linotype" w:cs="Palatino Linotype"/>
          <w:noProof/>
          <w:sz w:val="22"/>
          <w:szCs w:val="22"/>
        </w:rPr>
        <w:drawing>
          <wp:inline distT="0" distB="0" distL="0" distR="0" wp14:anchorId="5A638CFE" wp14:editId="33852C5A">
            <wp:extent cx="5612130" cy="1737360"/>
            <wp:effectExtent l="19050" t="19050" r="26670" b="152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737360"/>
                    </a:xfrm>
                    <a:prstGeom prst="rect">
                      <a:avLst/>
                    </a:prstGeom>
                    <a:ln>
                      <a:solidFill>
                        <a:schemeClr val="accent1"/>
                      </a:solidFill>
                    </a:ln>
                  </pic:spPr>
                </pic:pic>
              </a:graphicData>
            </a:graphic>
          </wp:inline>
        </w:drawing>
      </w:r>
    </w:p>
    <w:p w14:paraId="608869A6" w14:textId="77777777" w:rsidR="001E3C46" w:rsidRPr="0059485F" w:rsidRDefault="001E3C46" w:rsidP="001E3C46">
      <w:pPr>
        <w:spacing w:before="240" w:after="240" w:line="360" w:lineRule="auto"/>
        <w:jc w:val="both"/>
        <w:rPr>
          <w:rFonts w:ascii="Palatino Linotype" w:hAnsi="Palatino Linotype"/>
          <w:sz w:val="22"/>
          <w:szCs w:val="22"/>
        </w:rPr>
      </w:pPr>
      <w:r w:rsidRPr="0059485F">
        <w:rPr>
          <w:rFonts w:ascii="Palatino Linotype" w:eastAsia="Palatino Linotype" w:hAnsi="Palatino Linotype" w:cs="Palatino Linotype"/>
          <w:sz w:val="22"/>
          <w:szCs w:val="22"/>
        </w:rPr>
        <w:t xml:space="preserve">Como se puede observar de la imagen inserta, la persona solicitante requirió la entrega del soporte documental </w:t>
      </w:r>
      <w:r w:rsidRPr="0059485F">
        <w:rPr>
          <w:rFonts w:ascii="Palatino Linotype" w:hAnsi="Palatino Linotype"/>
          <w:sz w:val="22"/>
          <w:szCs w:val="22"/>
        </w:rPr>
        <w:t xml:space="preserve">información a través del sistema SAIMEX, </w:t>
      </w:r>
      <w:r w:rsidRPr="0059485F">
        <w:rPr>
          <w:rFonts w:ascii="Palatino Linotype" w:eastAsia="Palatino Linotype" w:hAnsi="Palatino Linotype" w:cs="Palatino Linotype"/>
          <w:sz w:val="22"/>
          <w:szCs w:val="22"/>
        </w:rPr>
        <w:t xml:space="preserve">por lo tanto, es evidente que </w:t>
      </w:r>
      <w:r w:rsidRPr="0059485F">
        <w:rPr>
          <w:rFonts w:ascii="Palatino Linotype" w:hAnsi="Palatino Linotype"/>
          <w:sz w:val="22"/>
          <w:szCs w:val="22"/>
        </w:rPr>
        <w:t xml:space="preserve">las razones o motivos de inconformidad alegados devienen fundados en razón de que no le fue proporcionada la información que requirió, a pesar de haber reconocido el </w:t>
      </w:r>
      <w:r w:rsidRPr="0059485F">
        <w:rPr>
          <w:rFonts w:ascii="Palatino Linotype" w:eastAsia="Palatino Linotype" w:hAnsi="Palatino Linotype" w:cs="Palatino Linotype"/>
          <w:b/>
          <w:sz w:val="22"/>
          <w:szCs w:val="22"/>
        </w:rPr>
        <w:t>Sujeto Obligado</w:t>
      </w:r>
      <w:r w:rsidRPr="0059485F">
        <w:rPr>
          <w:rFonts w:ascii="Palatino Linotype" w:hAnsi="Palatino Linotype"/>
          <w:sz w:val="22"/>
          <w:szCs w:val="22"/>
        </w:rPr>
        <w:t>, de manera expresa, que cuenta con ella, por tal motivo el Derecho de acceso no pude tenerse por colmado, toda vez que se condicionó la entrega de dicha información a la realización de un pago.</w:t>
      </w:r>
    </w:p>
    <w:p w14:paraId="6C49DF37" w14:textId="77777777" w:rsidR="001E3C46" w:rsidRPr="0059485F" w:rsidRDefault="001E3C46" w:rsidP="001E3C46">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Atento a lo anterior, es oportuno referir que la Ley de Transparencia y Acceso a la Información Pública del Estado de México y Municipios, en el artículo 155 fracción V, dispone que para presentar solicitud de acceso a la información se deberá atender lo dispuesto en el mismo, resaltando que deberá indicarse la modalidad en la que prefiere se otorgue la información, la cual podrá ser verbal, siempre y cuando sea para fines de orientación, mediante consulta directa, mediante la expedición de copias simples o certificadas o la reproducción en cualquier otro medio, incluidos los electrónicos, que en el caso, en la entidad, el Órgano Garante determinó en el formato de solicitud, que podría ser SAIMEX, CD-Rom (con costo), copias simples (con costo), copias certificadas (con costo), consulta directa (sin costo), o bien, cualquier otro que determine el particular.</w:t>
      </w:r>
    </w:p>
    <w:p w14:paraId="69053FFB" w14:textId="77777777" w:rsidR="001E3C46" w:rsidRPr="0059485F" w:rsidRDefault="001E3C46" w:rsidP="001E3C46">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Por su parte, el artículo 164 de la Ley de Transparencia y Acceso a la Información Pública del Estado de México y Municipios, establece lo que es de la literalidad siguiente:</w:t>
      </w:r>
    </w:p>
    <w:p w14:paraId="09747BE5" w14:textId="77777777" w:rsidR="001E3C46" w:rsidRPr="0059485F" w:rsidRDefault="001E3C46" w:rsidP="001E3C46">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 xml:space="preserve"> “</w:t>
      </w:r>
      <w:r w:rsidRPr="0059485F">
        <w:rPr>
          <w:rFonts w:ascii="Palatino Linotype" w:eastAsia="Palatino Linotype" w:hAnsi="Palatino Linotype" w:cs="Palatino Linotype"/>
          <w:b/>
          <w:i/>
          <w:sz w:val="22"/>
          <w:szCs w:val="22"/>
        </w:rPr>
        <w:t>Artículo 164</w:t>
      </w:r>
      <w:r w:rsidRPr="0059485F">
        <w:rPr>
          <w:rFonts w:ascii="Palatino Linotype" w:eastAsia="Palatino Linotype" w:hAnsi="Palatino Linotype" w:cs="Palatino Linotype"/>
          <w:i/>
          <w:sz w:val="22"/>
          <w:szCs w:val="22"/>
        </w:rPr>
        <w:t xml:space="preserve">. </w:t>
      </w:r>
      <w:r w:rsidRPr="0059485F">
        <w:rPr>
          <w:rFonts w:ascii="Palatino Linotype" w:eastAsia="Palatino Linotype" w:hAnsi="Palatino Linotype" w:cs="Palatino Linotype"/>
          <w:b/>
          <w:i/>
          <w:sz w:val="22"/>
          <w:szCs w:val="22"/>
        </w:rPr>
        <w:t>El acceso se dará en la modalidad de entrega y, en su caso, de envío elegidos por el solicitante</w:t>
      </w:r>
      <w:r w:rsidRPr="0059485F">
        <w:rPr>
          <w:rFonts w:ascii="Palatino Linotype" w:eastAsia="Palatino Linotype" w:hAnsi="Palatino Linotype" w:cs="Palatino Linotype"/>
          <w:i/>
          <w:sz w:val="22"/>
          <w:szCs w:val="22"/>
        </w:rPr>
        <w:t>. Cuando la información no pueda entregarse o enviarse en la modalidad solicitada, el sujeto obligado deberá ofrecer otra u otras modalidades de entrega.</w:t>
      </w:r>
    </w:p>
    <w:p w14:paraId="54C1AF65" w14:textId="77777777" w:rsidR="001E3C46" w:rsidRPr="0059485F" w:rsidRDefault="001E3C46" w:rsidP="001E3C46">
      <w:pPr>
        <w:spacing w:before="120" w:after="120"/>
        <w:ind w:left="851" w:right="902"/>
        <w:jc w:val="both"/>
        <w:rPr>
          <w:rFonts w:ascii="Palatino Linotype" w:eastAsia="Palatino Linotype" w:hAnsi="Palatino Linotype" w:cs="Palatino Linotype"/>
          <w:i/>
          <w:sz w:val="22"/>
          <w:szCs w:val="22"/>
        </w:rPr>
      </w:pPr>
      <w:r w:rsidRPr="0059485F">
        <w:rPr>
          <w:rFonts w:ascii="Palatino Linotype" w:eastAsia="Palatino Linotype" w:hAnsi="Palatino Linotype" w:cs="Palatino Linotype"/>
          <w:i/>
          <w:sz w:val="22"/>
          <w:szCs w:val="22"/>
        </w:rPr>
        <w:t>En cualquier caso, se deberá fundar y motivar la necesidad de ofrecer otras modalidades.”</w:t>
      </w:r>
    </w:p>
    <w:p w14:paraId="2572A02B" w14:textId="77777777" w:rsidR="001E3C46" w:rsidRPr="0059485F" w:rsidRDefault="001E3C46" w:rsidP="001E3C46">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De modo, que el acceso a la información debe darse en la modalidad de entrega elegida por la persona solicitante, y sólo para los casos en que se encuentren impedidos los Sujetos Obligados podrán ofrecer otra u otras modalidades debiendo fundar y motivar adecuadamente el cambio de modalidad en la entrega de la información.</w:t>
      </w:r>
    </w:p>
    <w:p w14:paraId="3977495E" w14:textId="77777777" w:rsidR="001E3C46" w:rsidRPr="0059485F" w:rsidRDefault="001E3C46" w:rsidP="001E3C46">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los mismos términos, el artículo 16 de la Constitución Política de los Estados Unidos Mexicanos, exige que todo acto de autoridad debe de estar debidamente fundado y motivado, en el que se exprese el precepto legal aplicable al caso, además de señalarse las circunstancias, razones particulares o causas inmediatas que se hayan tenido en cuenta para la emisión del acto. </w:t>
      </w:r>
    </w:p>
    <w:p w14:paraId="30467A62" w14:textId="77777777" w:rsidR="001E3C46" w:rsidRPr="0059485F" w:rsidRDefault="001E3C46" w:rsidP="001E3C46">
      <w:pPr>
        <w:spacing w:before="240" w:after="240" w:line="360" w:lineRule="auto"/>
        <w:jc w:val="both"/>
        <w:rPr>
          <w:rFonts w:ascii="Palatino Linotype" w:hAnsi="Palatino Linotype"/>
          <w:sz w:val="22"/>
          <w:szCs w:val="22"/>
        </w:rPr>
      </w:pPr>
      <w:r w:rsidRPr="0059485F">
        <w:rPr>
          <w:rFonts w:ascii="Palatino Linotype" w:hAnsi="Palatino Linotype"/>
          <w:sz w:val="22"/>
          <w:szCs w:val="22"/>
        </w:rPr>
        <w:t>Asimismo, debemos partir de la premisa de que el ejercicio del derecho de acceso a la información, conlleva la observancia de  principios rectores que consisten en las bases, fundamentos o los parámetros fundamentales que permitan el ejercicio de la garantía que posee toda persona para atraerse de información, informar y ser informada, estableciéndose de manera genérica, los principios de acceso universal, de máxima publicidad, de</w:t>
      </w:r>
      <w:r w:rsidRPr="0059485F">
        <w:rPr>
          <w:rFonts w:ascii="Palatino Linotype" w:hAnsi="Palatino Linotype"/>
          <w:b/>
          <w:i/>
          <w:sz w:val="22"/>
          <w:szCs w:val="22"/>
        </w:rPr>
        <w:t xml:space="preserve"> gratuidad</w:t>
      </w:r>
      <w:r w:rsidRPr="0059485F">
        <w:rPr>
          <w:rFonts w:ascii="Palatino Linotype" w:hAnsi="Palatino Linotype"/>
          <w:sz w:val="22"/>
          <w:szCs w:val="22"/>
        </w:rPr>
        <w:t>, de certeza, de celeridad, de objetividad,  entre otros.</w:t>
      </w:r>
    </w:p>
    <w:p w14:paraId="1AD1D646" w14:textId="77777777" w:rsidR="001E3C46" w:rsidRPr="0059485F" w:rsidRDefault="001E3C46" w:rsidP="001E3C46">
      <w:pPr>
        <w:spacing w:before="240" w:after="240" w:line="360" w:lineRule="auto"/>
        <w:jc w:val="both"/>
        <w:rPr>
          <w:rFonts w:ascii="Palatino Linotype" w:hAnsi="Palatino Linotype"/>
          <w:sz w:val="22"/>
          <w:szCs w:val="22"/>
        </w:rPr>
      </w:pPr>
      <w:r w:rsidRPr="0059485F">
        <w:rPr>
          <w:rFonts w:ascii="Palatino Linotype" w:hAnsi="Palatino Linotype"/>
          <w:sz w:val="22"/>
          <w:szCs w:val="22"/>
        </w:rPr>
        <w:t>Así, a través del principio de gratuidad del acceso a la información pública, se busca que el mayor número posible de personas pueda ejercer el derecho fundamental de acceso a la información, con la finalidad de que la condición económica de las personas, no constituya un obstáculo para el ejercicio de acceso a la información, o bien y en virtud de la modalidad de acceso a la información solicitada, su costo represente una barrera fácilmente franqueable.</w:t>
      </w:r>
    </w:p>
    <w:p w14:paraId="7F15F8A5" w14:textId="77777777" w:rsidR="001E3C46" w:rsidRPr="0059485F" w:rsidRDefault="001E3C46" w:rsidP="001E3C46">
      <w:pPr>
        <w:spacing w:before="240" w:after="240" w:line="360" w:lineRule="auto"/>
        <w:jc w:val="both"/>
        <w:rPr>
          <w:rFonts w:ascii="Palatino Linotype" w:hAnsi="Palatino Linotype" w:cs="Arial"/>
          <w:sz w:val="22"/>
          <w:szCs w:val="22"/>
          <w:lang w:val="es-ES_tradnl"/>
        </w:rPr>
      </w:pPr>
      <w:r w:rsidRPr="0059485F">
        <w:rPr>
          <w:rFonts w:ascii="Palatino Linotype" w:hAnsi="Palatino Linotype"/>
          <w:sz w:val="22"/>
          <w:szCs w:val="22"/>
        </w:rPr>
        <w:t xml:space="preserve">En razón de este principio, se instituye que la consulta de documentos o información en el sitio donde se encontrare no tendrá costo alguno; asimismo, los costos por obtener información no podrán ser superiores a la suma del costo de los materiales utilizados para la </w:t>
      </w:r>
      <w:r w:rsidRPr="0059485F">
        <w:rPr>
          <w:rFonts w:ascii="Palatino Linotype" w:hAnsi="Palatino Linotype"/>
          <w:b/>
          <w:i/>
          <w:sz w:val="22"/>
          <w:szCs w:val="22"/>
        </w:rPr>
        <w:t xml:space="preserve">reproducción </w:t>
      </w:r>
      <w:r w:rsidRPr="0059485F">
        <w:rPr>
          <w:rFonts w:ascii="Palatino Linotype" w:hAnsi="Palatino Linotype"/>
          <w:sz w:val="22"/>
          <w:szCs w:val="22"/>
        </w:rPr>
        <w:t xml:space="preserve">de la información, y en su caso del costo de </w:t>
      </w:r>
      <w:r w:rsidRPr="0059485F">
        <w:rPr>
          <w:rFonts w:ascii="Palatino Linotype" w:hAnsi="Palatino Linotype"/>
          <w:b/>
          <w:i/>
          <w:sz w:val="22"/>
          <w:szCs w:val="22"/>
        </w:rPr>
        <w:t>envío</w:t>
      </w:r>
      <w:r w:rsidRPr="0059485F">
        <w:rPr>
          <w:rFonts w:ascii="Palatino Linotype" w:hAnsi="Palatino Linotype"/>
          <w:sz w:val="22"/>
          <w:szCs w:val="22"/>
        </w:rPr>
        <w:t>, finalmente, conlleva implícitamente un esfuerzo por parte de los Sujetos Obligados para reducir los costos de entrega de la información.</w:t>
      </w:r>
    </w:p>
    <w:p w14:paraId="08F0BB25" w14:textId="77777777" w:rsidR="001E3C46" w:rsidRPr="0059485F" w:rsidRDefault="001E3C46" w:rsidP="001E3C46">
      <w:pPr>
        <w:spacing w:before="240" w:after="240" w:line="360" w:lineRule="auto"/>
        <w:jc w:val="both"/>
        <w:rPr>
          <w:rFonts w:ascii="Palatino Linotype" w:hAnsi="Palatino Linotype" w:cs="Arial"/>
          <w:sz w:val="22"/>
          <w:szCs w:val="22"/>
        </w:rPr>
      </w:pPr>
      <w:r w:rsidRPr="0059485F">
        <w:rPr>
          <w:rFonts w:ascii="Palatino Linotype" w:hAnsi="Palatino Linotype"/>
          <w:sz w:val="22"/>
          <w:szCs w:val="22"/>
        </w:rPr>
        <w:t xml:space="preserve">Atento a lo anterior, nuestra Carta Magna, así como la Constitución Política de nuestro Estado, contemplan el ejercicio del derecho de acceso a la información bajo el principio de gratuidad, </w:t>
      </w:r>
      <w:r w:rsidRPr="0059485F">
        <w:rPr>
          <w:rFonts w:ascii="Palatino Linotype" w:hAnsi="Palatino Linotype" w:cs="Arial"/>
          <w:sz w:val="22"/>
          <w:szCs w:val="22"/>
        </w:rPr>
        <w:t>garantizando la protección a un derecho fundamental que tienen dimensión social, al ser un condicionante necesario para el funcionamiento de una sociedad democrática, por lo que cualquier afectación a éste exige una justificación y jamás puede tener efectos recaudatorios, al menos que la reproducción de la información sea en fotocopias, respaldos informativos, entre otros.</w:t>
      </w:r>
    </w:p>
    <w:p w14:paraId="16482ED2" w14:textId="77777777" w:rsidR="001E3C46" w:rsidRPr="0059485F" w:rsidRDefault="001E3C46" w:rsidP="001E3C46">
      <w:pPr>
        <w:spacing w:before="240" w:after="240" w:line="360" w:lineRule="auto"/>
        <w:jc w:val="both"/>
        <w:rPr>
          <w:rFonts w:ascii="Palatino Linotype" w:hAnsi="Palatino Linotype" w:cs="Arial"/>
          <w:sz w:val="22"/>
          <w:szCs w:val="22"/>
        </w:rPr>
      </w:pPr>
      <w:r w:rsidRPr="0059485F">
        <w:rPr>
          <w:rFonts w:ascii="Palatino Linotype" w:hAnsi="Palatino Linotype"/>
          <w:sz w:val="22"/>
          <w:szCs w:val="22"/>
        </w:rPr>
        <w:t xml:space="preserve">Por otra parte, la Ley </w:t>
      </w:r>
      <w:r w:rsidRPr="0059485F">
        <w:rPr>
          <w:rFonts w:ascii="Palatino Linotype" w:hAnsi="Palatino Linotype" w:cs="Arial"/>
          <w:sz w:val="22"/>
          <w:szCs w:val="22"/>
        </w:rPr>
        <w:t xml:space="preserve">de Transparencia y Acceso a la Información Pública del Estado de México y Municipios, que tiene entre sus objetivos el de proveer lo necesario para garantizar a toda persona el derecho de acceso a la información pública, a través de procedimientos sencillos, expeditos, oportunos y </w:t>
      </w:r>
      <w:r w:rsidRPr="0059485F">
        <w:rPr>
          <w:rFonts w:ascii="Palatino Linotype" w:hAnsi="Palatino Linotype" w:cs="Arial"/>
          <w:b/>
          <w:i/>
          <w:sz w:val="22"/>
          <w:szCs w:val="22"/>
        </w:rPr>
        <w:t>gratuitos</w:t>
      </w:r>
      <w:r w:rsidRPr="0059485F">
        <w:rPr>
          <w:rFonts w:ascii="Palatino Linotype" w:hAnsi="Palatino Linotype" w:cs="Arial"/>
          <w:b/>
          <w:sz w:val="22"/>
          <w:szCs w:val="22"/>
        </w:rPr>
        <w:t xml:space="preserve">, </w:t>
      </w:r>
      <w:r w:rsidRPr="0059485F">
        <w:rPr>
          <w:rFonts w:ascii="Palatino Linotype" w:hAnsi="Palatino Linotype" w:cs="Arial"/>
          <w:sz w:val="22"/>
          <w:szCs w:val="22"/>
        </w:rPr>
        <w:t xml:space="preserve"> refiere en los artículos 17 y 150, que la búsqueda y acceso a la información es gratuita y </w:t>
      </w:r>
      <w:r w:rsidRPr="0059485F">
        <w:rPr>
          <w:rFonts w:ascii="Palatino Linotype" w:hAnsi="Palatino Linotype" w:cs="Arial"/>
          <w:b/>
          <w:i/>
          <w:sz w:val="22"/>
          <w:szCs w:val="22"/>
        </w:rPr>
        <w:t>sólo se cubrirá en su caso, los gastos de reproducción</w:t>
      </w:r>
      <w:r w:rsidRPr="0059485F">
        <w:rPr>
          <w:rFonts w:ascii="Palatino Linotype" w:hAnsi="Palatino Linotype" w:cs="Arial"/>
          <w:sz w:val="22"/>
          <w:szCs w:val="22"/>
        </w:rPr>
        <w:t xml:space="preserve">, </w:t>
      </w:r>
      <w:r w:rsidRPr="0059485F">
        <w:rPr>
          <w:rFonts w:ascii="Palatino Linotype" w:hAnsi="Palatino Linotype" w:cs="Arial"/>
          <w:b/>
          <w:i/>
          <w:sz w:val="22"/>
          <w:szCs w:val="22"/>
          <w:u w:val="single"/>
        </w:rPr>
        <w:t>por la modalidad de entrega solicitada</w:t>
      </w:r>
      <w:r w:rsidRPr="0059485F">
        <w:rPr>
          <w:rFonts w:ascii="Palatino Linotype" w:hAnsi="Palatino Linotype" w:cs="Arial"/>
          <w:sz w:val="22"/>
          <w:szCs w:val="22"/>
          <w:u w:val="single"/>
        </w:rPr>
        <w:t xml:space="preserve">, </w:t>
      </w:r>
      <w:r w:rsidRPr="0059485F">
        <w:rPr>
          <w:rFonts w:ascii="Palatino Linotype" w:hAnsi="Palatino Linotype" w:cs="Arial"/>
          <w:b/>
          <w:i/>
          <w:sz w:val="22"/>
          <w:szCs w:val="22"/>
          <w:u w:val="single"/>
        </w:rPr>
        <w:t>o por el envió</w:t>
      </w:r>
      <w:r w:rsidRPr="0059485F">
        <w:rPr>
          <w:rFonts w:ascii="Palatino Linotype" w:hAnsi="Palatino Linotype" w:cs="Arial"/>
          <w:sz w:val="22"/>
          <w:szCs w:val="22"/>
          <w:u w:val="single"/>
        </w:rPr>
        <w:t xml:space="preserve"> </w:t>
      </w:r>
      <w:r w:rsidRPr="0059485F">
        <w:rPr>
          <w:rFonts w:ascii="Palatino Linotype" w:hAnsi="Palatino Linotype" w:cs="Arial"/>
          <w:sz w:val="22"/>
          <w:szCs w:val="22"/>
        </w:rPr>
        <w:t xml:space="preserve">de conformidad con los derechos, productos y aprovechamientos establecidos en la legislación aplicable, en razón de que el procedimiento de acceso a la información es la garantía primaria del derecho en cuestión y </w:t>
      </w:r>
      <w:r w:rsidRPr="0059485F">
        <w:rPr>
          <w:rFonts w:ascii="Palatino Linotype" w:hAnsi="Palatino Linotype" w:cs="Arial"/>
          <w:i/>
          <w:sz w:val="22"/>
          <w:szCs w:val="22"/>
        </w:rPr>
        <w:t>se rige por los principios de simplicidad, rapidez, gratuidad,</w:t>
      </w:r>
      <w:r w:rsidRPr="0059485F">
        <w:rPr>
          <w:rFonts w:ascii="Palatino Linotype" w:hAnsi="Palatino Linotype" w:cs="Arial"/>
          <w:sz w:val="22"/>
          <w:szCs w:val="22"/>
        </w:rPr>
        <w:t xml:space="preserve"> auxilio y orientación a los particulares, en virtud de que constituye el primer paso para integrar activamente a la ciudadanía en la acción gubernamental, toda vez que con la información proporcionada por medio de las políticas de transparencia, los ciudadanos son participes de las acciones realizadas por los entes públicos, lo que favorece la rendición de cuentas.</w:t>
      </w:r>
    </w:p>
    <w:p w14:paraId="6A38E07D" w14:textId="77777777" w:rsidR="001E3C46" w:rsidRPr="0059485F" w:rsidRDefault="001E3C46" w:rsidP="001E3C46">
      <w:pPr>
        <w:spacing w:before="240" w:after="240" w:line="360" w:lineRule="auto"/>
        <w:jc w:val="both"/>
        <w:rPr>
          <w:rFonts w:ascii="Palatino Linotype" w:hAnsi="Palatino Linotype" w:cs="Arial"/>
          <w:sz w:val="22"/>
          <w:szCs w:val="22"/>
        </w:rPr>
      </w:pPr>
      <w:r w:rsidRPr="0059485F">
        <w:rPr>
          <w:rFonts w:ascii="Palatino Linotype" w:hAnsi="Palatino Linotype" w:cs="Arial"/>
          <w:sz w:val="22"/>
          <w:szCs w:val="22"/>
        </w:rPr>
        <w:t xml:space="preserve">En este tenor, por regla general la entrega de la información que se solicite en ejercicio del derecho de acceso a la información pública, deberá ser en congruencia con el principio de gratuidad y solamente en casos excepcionales se procederá al cobro para la entrega de la información, lo cual ocurrirá  </w:t>
      </w:r>
      <w:r w:rsidRPr="0059485F">
        <w:rPr>
          <w:rFonts w:ascii="Palatino Linotype" w:hAnsi="Palatino Linotype" w:cs="Arial"/>
          <w:b/>
          <w:i/>
          <w:sz w:val="22"/>
          <w:szCs w:val="22"/>
        </w:rPr>
        <w:t>en caso de que se tenga que generar un gasto por la reproducción, por el envío, o por la modalidad de entrega solicitada,</w:t>
      </w:r>
      <w:r w:rsidRPr="0059485F">
        <w:rPr>
          <w:rFonts w:ascii="Palatino Linotype" w:hAnsi="Palatino Linotype" w:cs="Arial"/>
          <w:sz w:val="22"/>
          <w:szCs w:val="22"/>
        </w:rPr>
        <w:t xml:space="preserve"> supuestos que encuadran con lo  establecido en los artículos 9 fracción III, 17, 165, 174, 175 de la Ley de Acceso a la Información Pública del Estado de México y Municipios, así como el artículo 4.22 de su Reglamento.</w:t>
      </w:r>
    </w:p>
    <w:p w14:paraId="23091013" w14:textId="77777777" w:rsidR="001E3C46" w:rsidRPr="0059485F" w:rsidRDefault="001E3C46" w:rsidP="001E3C46">
      <w:pPr>
        <w:spacing w:before="240" w:after="240" w:line="360" w:lineRule="auto"/>
        <w:jc w:val="both"/>
        <w:rPr>
          <w:rFonts w:ascii="Palatino Linotype" w:hAnsi="Palatino Linotype" w:cs="Arial"/>
          <w:sz w:val="22"/>
          <w:szCs w:val="22"/>
        </w:rPr>
      </w:pPr>
      <w:r w:rsidRPr="0059485F">
        <w:rPr>
          <w:rFonts w:ascii="Palatino Linotype" w:hAnsi="Palatino Linotype" w:cs="Arial"/>
          <w:sz w:val="22"/>
          <w:szCs w:val="22"/>
        </w:rPr>
        <w:t xml:space="preserve">No obstante, en el caso concreto, dichos preceptos son interpretados en perjuicio de la solicitante, como se explica enseguida, para lo cual es necesario hacer referencia a los mismos en su parte conducente: </w:t>
      </w:r>
    </w:p>
    <w:p w14:paraId="2DBA7BA0" w14:textId="77777777" w:rsidR="001E3C46" w:rsidRPr="0059485F" w:rsidRDefault="001E3C46" w:rsidP="001E3C46">
      <w:pPr>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b/>
          <w:bCs/>
          <w:i/>
          <w:sz w:val="22"/>
          <w:szCs w:val="22"/>
        </w:rPr>
        <w:t xml:space="preserve">“Artículo 9. </w:t>
      </w:r>
      <w:r w:rsidRPr="0059485F">
        <w:rPr>
          <w:rFonts w:ascii="Palatino Linotype" w:eastAsiaTheme="minorEastAsia" w:hAnsi="Palatino Linotype" w:cs="Arial"/>
          <w:i/>
          <w:sz w:val="22"/>
          <w:szCs w:val="22"/>
        </w:rPr>
        <w:t>El Instituto deberá regir su funcionamiento de acuerdo a los siguientes principios:</w:t>
      </w:r>
    </w:p>
    <w:p w14:paraId="662570FB"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b/>
          <w:bCs/>
          <w:i/>
          <w:sz w:val="22"/>
          <w:szCs w:val="22"/>
        </w:rPr>
      </w:pPr>
      <w:r w:rsidRPr="0059485F">
        <w:rPr>
          <w:rFonts w:ascii="Palatino Linotype" w:eastAsiaTheme="minorEastAsia" w:hAnsi="Palatino Linotype" w:cs="Arial"/>
          <w:b/>
          <w:bCs/>
          <w:i/>
          <w:sz w:val="22"/>
          <w:szCs w:val="22"/>
        </w:rPr>
        <w:t>...</w:t>
      </w:r>
    </w:p>
    <w:p w14:paraId="456C2E71"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b/>
          <w:bCs/>
          <w:i/>
          <w:sz w:val="22"/>
          <w:szCs w:val="22"/>
        </w:rPr>
        <w:t xml:space="preserve">III. Gratuidad: </w:t>
      </w:r>
      <w:r w:rsidRPr="0059485F">
        <w:rPr>
          <w:rFonts w:ascii="Palatino Linotype" w:eastAsiaTheme="minorEastAsia" w:hAnsi="Palatino Linotype" w:cs="Arial"/>
          <w:i/>
          <w:sz w:val="22"/>
          <w:szCs w:val="22"/>
        </w:rPr>
        <w:t xml:space="preserve">Consiste en que el acceso a la información pública no genera costo alguno para los solicitantes, </w:t>
      </w:r>
      <w:r w:rsidRPr="0059485F">
        <w:rPr>
          <w:rFonts w:ascii="Palatino Linotype" w:eastAsiaTheme="minorEastAsia" w:hAnsi="Palatino Linotype" w:cs="Arial"/>
          <w:b/>
          <w:i/>
          <w:sz w:val="22"/>
          <w:szCs w:val="22"/>
        </w:rPr>
        <w:t xml:space="preserve">sólo podrá requerirse el cobro correspondiente a la modalidad de reproducción y entrega solicitada </w:t>
      </w:r>
      <w:r w:rsidRPr="0059485F">
        <w:rPr>
          <w:rFonts w:ascii="Palatino Linotype" w:eastAsiaTheme="minorEastAsia" w:hAnsi="Palatino Linotype" w:cs="Arial"/>
          <w:i/>
          <w:sz w:val="22"/>
          <w:szCs w:val="22"/>
        </w:rPr>
        <w:t>conforme a lo establecido en la presente Ley y demás disposiciones jurídicas aplicables;</w:t>
      </w:r>
    </w:p>
    <w:p w14:paraId="623E760C"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i/>
          <w:sz w:val="22"/>
          <w:szCs w:val="22"/>
        </w:rPr>
        <w:t>(…)</w:t>
      </w:r>
    </w:p>
    <w:p w14:paraId="114391C3"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b/>
          <w:bCs/>
          <w:i/>
          <w:sz w:val="22"/>
          <w:szCs w:val="22"/>
        </w:rPr>
        <w:t xml:space="preserve">Artículo 17. </w:t>
      </w:r>
      <w:r w:rsidRPr="0059485F">
        <w:rPr>
          <w:rFonts w:ascii="Palatino Linotype" w:eastAsiaTheme="minorEastAsia" w:hAnsi="Palatino Linotype" w:cs="Arial"/>
          <w:i/>
          <w:sz w:val="22"/>
          <w:szCs w:val="22"/>
        </w:rPr>
        <w:t xml:space="preserve">La búsqueda y acceso a la información es gratuita y </w:t>
      </w:r>
      <w:r w:rsidRPr="0059485F">
        <w:rPr>
          <w:rFonts w:ascii="Palatino Linotype" w:eastAsiaTheme="minorEastAsia" w:hAnsi="Palatino Linotype" w:cs="Arial"/>
          <w:b/>
          <w:i/>
          <w:sz w:val="22"/>
          <w:szCs w:val="22"/>
        </w:rPr>
        <w:t>solo se cubrirán los gastos de reproducción, o por la modalidad de entrega solicitada</w:t>
      </w:r>
      <w:r w:rsidRPr="0059485F">
        <w:rPr>
          <w:rFonts w:ascii="Palatino Linotype" w:eastAsiaTheme="minorEastAsia" w:hAnsi="Palatino Linotype" w:cs="Arial"/>
          <w:i/>
          <w:sz w:val="22"/>
          <w:szCs w:val="22"/>
        </w:rPr>
        <w:t xml:space="preserve">, </w:t>
      </w:r>
      <w:r w:rsidRPr="0059485F">
        <w:rPr>
          <w:rFonts w:ascii="Palatino Linotype" w:eastAsiaTheme="minorEastAsia" w:hAnsi="Palatino Linotype" w:cs="Arial"/>
          <w:b/>
          <w:i/>
          <w:sz w:val="22"/>
          <w:szCs w:val="22"/>
        </w:rPr>
        <w:t>así como por el envío</w:t>
      </w:r>
      <w:r w:rsidRPr="0059485F">
        <w:rPr>
          <w:rFonts w:ascii="Palatino Linotype" w:eastAsiaTheme="minorEastAsia" w:hAnsi="Palatino Linotype" w:cs="Arial"/>
          <w:i/>
          <w:sz w:val="22"/>
          <w:szCs w:val="22"/>
        </w:rPr>
        <w:t>, que en su caso se genere, de conformidad con los derechos, productos y aprovechamientos establecidos en la legislación aplicable, sin que exceda de los límites establecidos en la presente Ley.</w:t>
      </w:r>
    </w:p>
    <w:p w14:paraId="683BB2CA"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i/>
          <w:sz w:val="22"/>
          <w:szCs w:val="22"/>
        </w:rPr>
        <w:t>(…)</w:t>
      </w:r>
    </w:p>
    <w:p w14:paraId="5546DE20"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b/>
          <w:bCs/>
          <w:i/>
          <w:sz w:val="22"/>
          <w:szCs w:val="22"/>
        </w:rPr>
        <w:t>Artículo 165. …</w:t>
      </w:r>
    </w:p>
    <w:p w14:paraId="1AC45D4D"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i/>
          <w:sz w:val="22"/>
          <w:szCs w:val="22"/>
        </w:rPr>
        <w:t xml:space="preserve">La información que se entregue en versión pública, </w:t>
      </w:r>
      <w:r w:rsidRPr="0059485F">
        <w:rPr>
          <w:rFonts w:ascii="Palatino Linotype" w:eastAsiaTheme="minorEastAsia" w:hAnsi="Palatino Linotype" w:cs="Arial"/>
          <w:b/>
          <w:i/>
          <w:sz w:val="22"/>
          <w:szCs w:val="22"/>
        </w:rPr>
        <w:t xml:space="preserve">cuya modalidad de reproducción o envío tenga un costo, </w:t>
      </w:r>
      <w:r w:rsidRPr="0059485F">
        <w:rPr>
          <w:rFonts w:ascii="Palatino Linotype" w:eastAsiaTheme="minorEastAsia" w:hAnsi="Palatino Linotype" w:cs="Arial"/>
          <w:i/>
          <w:sz w:val="22"/>
          <w:szCs w:val="22"/>
        </w:rPr>
        <w:t>procederá una vez que se acredite el pago respectivo. No puede entenderse como reproducción la elaboración de la misma.</w:t>
      </w:r>
    </w:p>
    <w:p w14:paraId="7A3C071F"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i/>
          <w:sz w:val="22"/>
          <w:szCs w:val="22"/>
        </w:rPr>
        <w:t>(…)</w:t>
      </w:r>
    </w:p>
    <w:p w14:paraId="6BEA1A48" w14:textId="77777777" w:rsidR="001E3C46" w:rsidRPr="0059485F" w:rsidRDefault="001E3C46" w:rsidP="001E3C46">
      <w:pPr>
        <w:autoSpaceDE w:val="0"/>
        <w:autoSpaceDN w:val="0"/>
        <w:adjustRightInd w:val="0"/>
        <w:spacing w:before="120" w:after="120"/>
        <w:ind w:left="851" w:right="902"/>
        <w:jc w:val="both"/>
        <w:rPr>
          <w:rFonts w:ascii="Palatino Linotype" w:hAnsi="Palatino Linotype" w:cs="Arial"/>
          <w:bCs/>
          <w:i/>
          <w:sz w:val="22"/>
          <w:szCs w:val="22"/>
        </w:rPr>
      </w:pPr>
      <w:r w:rsidRPr="0059485F">
        <w:rPr>
          <w:rFonts w:ascii="Palatino Linotype" w:hAnsi="Palatino Linotype" w:cs="Arial"/>
          <w:b/>
          <w:bCs/>
          <w:i/>
          <w:sz w:val="22"/>
          <w:szCs w:val="22"/>
        </w:rPr>
        <w:t xml:space="preserve"> Artículo 174. En caso de existir costos para obtener la información</w:t>
      </w:r>
      <w:r w:rsidRPr="0059485F">
        <w:rPr>
          <w:rFonts w:ascii="Palatino Linotype" w:hAnsi="Palatino Linotype" w:cs="Arial"/>
          <w:bCs/>
          <w:i/>
          <w:sz w:val="22"/>
          <w:szCs w:val="22"/>
        </w:rPr>
        <w:t xml:space="preserve"> deberán cubrirse de manera previa a la entrega y </w:t>
      </w:r>
      <w:r w:rsidRPr="0059485F">
        <w:rPr>
          <w:rFonts w:ascii="Palatino Linotype" w:hAnsi="Palatino Linotype" w:cs="Arial"/>
          <w:b/>
          <w:bCs/>
          <w:i/>
          <w:sz w:val="22"/>
          <w:szCs w:val="22"/>
        </w:rPr>
        <w:t>no podrán ser superiores a la suma de</w:t>
      </w:r>
      <w:r w:rsidRPr="0059485F">
        <w:rPr>
          <w:rFonts w:ascii="Palatino Linotype" w:hAnsi="Palatino Linotype" w:cs="Arial"/>
          <w:bCs/>
          <w:i/>
          <w:sz w:val="22"/>
          <w:szCs w:val="22"/>
        </w:rPr>
        <w:t>:</w:t>
      </w:r>
    </w:p>
    <w:p w14:paraId="0EFF3D43" w14:textId="77777777" w:rsidR="001E3C46" w:rsidRPr="0059485F" w:rsidRDefault="001E3C46" w:rsidP="001E3C46">
      <w:pPr>
        <w:autoSpaceDE w:val="0"/>
        <w:autoSpaceDN w:val="0"/>
        <w:adjustRightInd w:val="0"/>
        <w:spacing w:before="120" w:after="120"/>
        <w:ind w:left="851" w:right="902"/>
        <w:jc w:val="both"/>
        <w:rPr>
          <w:rFonts w:ascii="Palatino Linotype" w:hAnsi="Palatino Linotype" w:cs="Arial"/>
          <w:bCs/>
          <w:i/>
          <w:sz w:val="22"/>
          <w:szCs w:val="22"/>
        </w:rPr>
      </w:pPr>
      <w:r w:rsidRPr="0059485F">
        <w:rPr>
          <w:rFonts w:ascii="Palatino Linotype" w:hAnsi="Palatino Linotype" w:cs="Arial"/>
          <w:b/>
          <w:bCs/>
          <w:i/>
          <w:sz w:val="22"/>
          <w:szCs w:val="22"/>
        </w:rPr>
        <w:t>I.</w:t>
      </w:r>
      <w:r w:rsidRPr="0059485F">
        <w:rPr>
          <w:rFonts w:ascii="Palatino Linotype" w:hAnsi="Palatino Linotype" w:cs="Arial"/>
          <w:bCs/>
          <w:i/>
          <w:sz w:val="22"/>
          <w:szCs w:val="22"/>
        </w:rPr>
        <w:t xml:space="preserve"> </w:t>
      </w:r>
      <w:r w:rsidRPr="0059485F">
        <w:rPr>
          <w:rFonts w:ascii="Palatino Linotype" w:hAnsi="Palatino Linotype" w:cs="Arial"/>
          <w:b/>
          <w:bCs/>
          <w:i/>
          <w:sz w:val="22"/>
          <w:szCs w:val="22"/>
        </w:rPr>
        <w:t>El costo de los materiales utilizados en la reproducción</w:t>
      </w:r>
      <w:r w:rsidRPr="0059485F">
        <w:rPr>
          <w:rFonts w:ascii="Palatino Linotype" w:hAnsi="Palatino Linotype" w:cs="Arial"/>
          <w:bCs/>
          <w:i/>
          <w:sz w:val="22"/>
          <w:szCs w:val="22"/>
        </w:rPr>
        <w:t xml:space="preserve"> de la información;</w:t>
      </w:r>
    </w:p>
    <w:p w14:paraId="70DDE59D" w14:textId="77777777" w:rsidR="001E3C46" w:rsidRPr="0059485F" w:rsidRDefault="001E3C46" w:rsidP="001E3C46">
      <w:pPr>
        <w:autoSpaceDE w:val="0"/>
        <w:autoSpaceDN w:val="0"/>
        <w:adjustRightInd w:val="0"/>
        <w:spacing w:before="120" w:after="120"/>
        <w:ind w:left="851" w:right="902"/>
        <w:jc w:val="both"/>
        <w:rPr>
          <w:rFonts w:ascii="Palatino Linotype" w:hAnsi="Palatino Linotype" w:cs="Arial"/>
          <w:bCs/>
          <w:i/>
          <w:sz w:val="22"/>
          <w:szCs w:val="22"/>
        </w:rPr>
      </w:pPr>
      <w:r w:rsidRPr="0059485F">
        <w:rPr>
          <w:rFonts w:ascii="Palatino Linotype" w:hAnsi="Palatino Linotype" w:cs="Arial"/>
          <w:b/>
          <w:bCs/>
          <w:i/>
          <w:sz w:val="22"/>
          <w:szCs w:val="22"/>
        </w:rPr>
        <w:t>II.</w:t>
      </w:r>
      <w:r w:rsidRPr="0059485F">
        <w:rPr>
          <w:rFonts w:ascii="Palatino Linotype" w:hAnsi="Palatino Linotype" w:cs="Arial"/>
          <w:bCs/>
          <w:i/>
          <w:sz w:val="22"/>
          <w:szCs w:val="22"/>
        </w:rPr>
        <w:t xml:space="preserve"> </w:t>
      </w:r>
      <w:r w:rsidRPr="0059485F">
        <w:rPr>
          <w:rFonts w:ascii="Palatino Linotype" w:hAnsi="Palatino Linotype" w:cs="Arial"/>
          <w:b/>
          <w:bCs/>
          <w:i/>
          <w:sz w:val="22"/>
          <w:szCs w:val="22"/>
        </w:rPr>
        <w:t>El costo de envío</w:t>
      </w:r>
      <w:r w:rsidRPr="0059485F">
        <w:rPr>
          <w:rFonts w:ascii="Palatino Linotype" w:hAnsi="Palatino Linotype" w:cs="Arial"/>
          <w:bCs/>
          <w:i/>
          <w:sz w:val="22"/>
          <w:szCs w:val="22"/>
        </w:rPr>
        <w:t>, en su caso; y</w:t>
      </w:r>
    </w:p>
    <w:p w14:paraId="0BBEB3AC" w14:textId="77777777" w:rsidR="001E3C46" w:rsidRPr="0059485F" w:rsidRDefault="001E3C46" w:rsidP="001E3C46">
      <w:pPr>
        <w:autoSpaceDE w:val="0"/>
        <w:autoSpaceDN w:val="0"/>
        <w:adjustRightInd w:val="0"/>
        <w:spacing w:before="120" w:after="120"/>
        <w:ind w:left="851" w:right="902"/>
        <w:jc w:val="both"/>
        <w:rPr>
          <w:rFonts w:ascii="Palatino Linotype" w:hAnsi="Palatino Linotype" w:cs="Arial"/>
          <w:bCs/>
          <w:i/>
          <w:sz w:val="22"/>
          <w:szCs w:val="22"/>
        </w:rPr>
      </w:pPr>
      <w:r w:rsidRPr="0059485F">
        <w:rPr>
          <w:rFonts w:ascii="Palatino Linotype" w:hAnsi="Palatino Linotype" w:cs="Arial"/>
          <w:b/>
          <w:bCs/>
          <w:i/>
          <w:sz w:val="22"/>
          <w:szCs w:val="22"/>
        </w:rPr>
        <w:t>III.</w:t>
      </w:r>
      <w:r w:rsidRPr="0059485F">
        <w:rPr>
          <w:rFonts w:ascii="Palatino Linotype" w:hAnsi="Palatino Linotype" w:cs="Arial"/>
          <w:bCs/>
          <w:i/>
          <w:sz w:val="22"/>
          <w:szCs w:val="22"/>
        </w:rPr>
        <w:t xml:space="preserve"> </w:t>
      </w:r>
      <w:r w:rsidRPr="0059485F">
        <w:rPr>
          <w:rFonts w:ascii="Palatino Linotype" w:hAnsi="Palatino Linotype" w:cs="Arial"/>
          <w:b/>
          <w:bCs/>
          <w:i/>
          <w:sz w:val="22"/>
          <w:szCs w:val="22"/>
        </w:rPr>
        <w:t>El pago de la certificación de los documentos</w:t>
      </w:r>
      <w:r w:rsidRPr="0059485F">
        <w:rPr>
          <w:rFonts w:ascii="Palatino Linotype" w:hAnsi="Palatino Linotype" w:cs="Arial"/>
          <w:bCs/>
          <w:i/>
          <w:sz w:val="22"/>
          <w:szCs w:val="22"/>
        </w:rPr>
        <w:t>, cuando proceda.</w:t>
      </w:r>
    </w:p>
    <w:p w14:paraId="2DFF75DF" w14:textId="77777777" w:rsidR="001E3C46" w:rsidRPr="0059485F" w:rsidRDefault="001E3C46" w:rsidP="001E3C46">
      <w:pPr>
        <w:spacing w:before="120" w:after="120"/>
        <w:ind w:left="851" w:right="902"/>
        <w:jc w:val="both"/>
        <w:rPr>
          <w:rFonts w:ascii="Palatino Linotype" w:hAnsi="Palatino Linotype" w:cs="Arial"/>
          <w:i/>
          <w:sz w:val="22"/>
          <w:szCs w:val="22"/>
        </w:rPr>
      </w:pPr>
      <w:r w:rsidRPr="0059485F">
        <w:rPr>
          <w:rFonts w:ascii="Palatino Linotype" w:hAnsi="Palatino Linotype" w:cs="Arial"/>
          <w:bCs/>
          <w:i/>
          <w:sz w:val="22"/>
          <w:szCs w:val="22"/>
        </w:rPr>
        <w:t xml:space="preserve">Las cuotas de los derechos aplicables deberán establecerse, en su caso, en el </w:t>
      </w:r>
      <w:r w:rsidRPr="0059485F">
        <w:rPr>
          <w:rFonts w:ascii="Palatino Linotype" w:hAnsi="Palatino Linotype" w:cs="Arial"/>
          <w:b/>
          <w:bCs/>
          <w:i/>
          <w:sz w:val="22"/>
          <w:szCs w:val="22"/>
        </w:rPr>
        <w:t>Código Financiero del Estado de México y Municipios</w:t>
      </w:r>
      <w:r w:rsidRPr="0059485F">
        <w:rPr>
          <w:rFonts w:ascii="Palatino Linotype" w:hAnsi="Palatino Linotype" w:cs="Arial"/>
          <w:bCs/>
          <w:i/>
          <w:sz w:val="22"/>
          <w:szCs w:val="22"/>
        </w:rPr>
        <w:t xml:space="preserve"> y demás disposiciones jurídicas aplicables, las cuales se publicarán en los sitios de internet de los sujetos obligados…”</w:t>
      </w:r>
      <w:r w:rsidRPr="0059485F">
        <w:rPr>
          <w:rFonts w:ascii="Palatino Linotype" w:hAnsi="Palatino Linotype" w:cs="Arial"/>
          <w:i/>
          <w:sz w:val="22"/>
          <w:szCs w:val="22"/>
        </w:rPr>
        <w:t xml:space="preserve"> </w:t>
      </w:r>
    </w:p>
    <w:p w14:paraId="3C59C22E"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bCs/>
          <w:i/>
          <w:sz w:val="22"/>
          <w:szCs w:val="22"/>
        </w:rPr>
      </w:pPr>
      <w:r w:rsidRPr="0059485F">
        <w:rPr>
          <w:rFonts w:ascii="Palatino Linotype" w:eastAsiaTheme="minorEastAsia" w:hAnsi="Palatino Linotype" w:cs="Arial"/>
          <w:bCs/>
          <w:i/>
          <w:sz w:val="22"/>
          <w:szCs w:val="22"/>
        </w:rPr>
        <w:t>(...)</w:t>
      </w:r>
    </w:p>
    <w:p w14:paraId="5A7B3434"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b/>
          <w:bCs/>
          <w:i/>
          <w:sz w:val="22"/>
          <w:szCs w:val="22"/>
        </w:rPr>
        <w:t xml:space="preserve">Artículo 175. </w:t>
      </w:r>
      <w:r w:rsidRPr="0059485F">
        <w:rPr>
          <w:rFonts w:ascii="Palatino Linotype" w:eastAsiaTheme="minorEastAsia" w:hAnsi="Palatino Linotype" w:cs="Arial"/>
          <w:i/>
          <w:sz w:val="22"/>
          <w:szCs w:val="22"/>
        </w:rPr>
        <w:t>…</w:t>
      </w:r>
    </w:p>
    <w:p w14:paraId="438E9265"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i/>
          <w:sz w:val="22"/>
          <w:szCs w:val="22"/>
        </w:rPr>
        <w:t>En ningún caso, el pago de derechos deberá exceder el</w:t>
      </w:r>
      <w:r w:rsidRPr="0059485F">
        <w:rPr>
          <w:rFonts w:ascii="Palatino Linotype" w:eastAsiaTheme="minorEastAsia" w:hAnsi="Palatino Linotype" w:cs="Arial"/>
          <w:b/>
          <w:i/>
          <w:sz w:val="22"/>
          <w:szCs w:val="22"/>
        </w:rPr>
        <w:t xml:space="preserve"> costo de reproducción de la información en el material solicitado</w:t>
      </w:r>
      <w:r w:rsidRPr="0059485F">
        <w:rPr>
          <w:rFonts w:ascii="Palatino Linotype" w:eastAsiaTheme="minorEastAsia" w:hAnsi="Palatino Linotype" w:cs="Arial"/>
          <w:i/>
          <w:sz w:val="22"/>
          <w:szCs w:val="22"/>
        </w:rPr>
        <w:t>.”</w:t>
      </w:r>
    </w:p>
    <w:p w14:paraId="4F930EEC" w14:textId="77777777" w:rsidR="001E3C46" w:rsidRPr="0059485F" w:rsidRDefault="001E3C46" w:rsidP="001E3C46">
      <w:pPr>
        <w:autoSpaceDE w:val="0"/>
        <w:autoSpaceDN w:val="0"/>
        <w:adjustRightInd w:val="0"/>
        <w:spacing w:before="120" w:after="120"/>
        <w:ind w:left="851" w:right="902"/>
        <w:jc w:val="both"/>
        <w:rPr>
          <w:rFonts w:ascii="Palatino Linotype" w:eastAsiaTheme="minorEastAsia" w:hAnsi="Palatino Linotype" w:cs="Arial"/>
          <w:i/>
          <w:sz w:val="22"/>
          <w:szCs w:val="22"/>
        </w:rPr>
      </w:pPr>
      <w:r w:rsidRPr="0059485F">
        <w:rPr>
          <w:rFonts w:ascii="Palatino Linotype" w:eastAsiaTheme="minorEastAsia" w:hAnsi="Palatino Linotype" w:cs="Arial"/>
          <w:i/>
          <w:sz w:val="22"/>
          <w:szCs w:val="22"/>
        </w:rPr>
        <w:t>“</w:t>
      </w:r>
      <w:r w:rsidRPr="0059485F">
        <w:rPr>
          <w:rFonts w:ascii="Palatino Linotype" w:eastAsiaTheme="minorEastAsia" w:hAnsi="Palatino Linotype" w:cs="Arial"/>
          <w:b/>
          <w:i/>
          <w:sz w:val="22"/>
          <w:szCs w:val="22"/>
        </w:rPr>
        <w:t>Artículo 4.22</w:t>
      </w:r>
      <w:r w:rsidRPr="0059485F">
        <w:rPr>
          <w:rFonts w:ascii="Palatino Linotype" w:eastAsiaTheme="minorEastAsia" w:hAnsi="Palatino Linotype" w:cs="Arial"/>
          <w:i/>
          <w:sz w:val="22"/>
          <w:szCs w:val="22"/>
        </w:rPr>
        <w:t>.- Cuando los solicitantes requieran de los sujetos obligados la expedición de copias simples, certificadas o en cualquier otro medio físico que contenga la información solicitada, y que pueda ser reproducida por tener los elementos necesarios para ello, o bien, que por disposiciones legales aplicables puedan ser materia de su reproducción, deberán acreditar previamente el pago por concepto de derechos, productos o aprovechamientos establecidos en el Código Financiero del Estado de México y Municipios, y demás normatividad aplicable. Los términos y plazos para que los sujetos obligados cumplan con las obligaciones correspondientes, se contarán a partir del día en que se acredite debidamente el pago, ante las unidades de información.”</w:t>
      </w:r>
    </w:p>
    <w:p w14:paraId="57B05298" w14:textId="77777777" w:rsidR="001E3C46" w:rsidRPr="0059485F" w:rsidRDefault="001E3C46" w:rsidP="001E3C46">
      <w:pPr>
        <w:spacing w:before="240" w:after="240" w:line="360" w:lineRule="auto"/>
        <w:jc w:val="both"/>
        <w:rPr>
          <w:rFonts w:ascii="Palatino Linotype" w:eastAsia="Palatino Linotype" w:hAnsi="Palatino Linotype" w:cs="Palatino Linotype"/>
          <w:sz w:val="22"/>
          <w:szCs w:val="22"/>
        </w:rPr>
      </w:pPr>
      <w:r w:rsidRPr="0059485F">
        <w:rPr>
          <w:rFonts w:ascii="Palatino Linotype" w:hAnsi="Palatino Linotype"/>
          <w:sz w:val="22"/>
          <w:szCs w:val="22"/>
        </w:rPr>
        <w:t xml:space="preserve">En efecto, de los preceptos citados se desprende que Ley de la Materia estableció el cobró de derechos para la entrega de la información, con el objeto de que se cubran los costos de los materiales utilizados en la reproducción de la información, el costo por el envió de la misma o el pago por la certificación, </w:t>
      </w:r>
      <w:r w:rsidRPr="0059485F">
        <w:rPr>
          <w:rFonts w:ascii="Palatino Linotype" w:eastAsia="Palatino Linotype" w:hAnsi="Palatino Linotype" w:cs="Palatino Linotype"/>
          <w:sz w:val="22"/>
          <w:szCs w:val="22"/>
        </w:rPr>
        <w:t xml:space="preserve">sin embargo, en el caso que nos ocupa, no se estima que se actualice alguno de los supuestos previstos en la norma, toda vez que la persona solicitante requirió la información a través del sistema SAIMEX, por lo tanto no se le está requiriendo al </w:t>
      </w:r>
      <w:r w:rsidRPr="0059485F">
        <w:rPr>
          <w:rFonts w:ascii="Palatino Linotype" w:eastAsia="Palatino Linotype" w:hAnsi="Palatino Linotype" w:cs="Palatino Linotype"/>
          <w:b/>
          <w:sz w:val="22"/>
          <w:szCs w:val="22"/>
        </w:rPr>
        <w:t>Sujeto Obligado</w:t>
      </w:r>
      <w:r w:rsidRPr="0059485F">
        <w:rPr>
          <w:rFonts w:ascii="Palatino Linotype" w:eastAsia="Palatino Linotype" w:hAnsi="Palatino Linotype" w:cs="Palatino Linotype"/>
          <w:sz w:val="22"/>
          <w:szCs w:val="22"/>
        </w:rPr>
        <w:t xml:space="preserve"> que expida copias certificadas o que reproduzca la información que ya asumió poseer, en cualquier otro medio físico, sino que proporcione la información de manera electrónica, en otras palabras, con la finalidad de satisfacer la solicitud, </w:t>
      </w:r>
      <w:r w:rsidRPr="0059485F">
        <w:rPr>
          <w:rFonts w:ascii="Palatino Linotype" w:eastAsia="Palatino Linotype" w:hAnsi="Palatino Linotype" w:cs="Palatino Linotype"/>
          <w:b/>
          <w:sz w:val="22"/>
          <w:szCs w:val="22"/>
        </w:rPr>
        <w:t>no es necesario que el Sujeto Obligado realice una reproducción física de la información que conserva en sus archivos,</w:t>
      </w:r>
      <w:r w:rsidRPr="0059485F">
        <w:rPr>
          <w:rFonts w:ascii="Palatino Linotype" w:eastAsia="Palatino Linotype" w:hAnsi="Palatino Linotype" w:cs="Palatino Linotype"/>
          <w:sz w:val="22"/>
          <w:szCs w:val="22"/>
        </w:rPr>
        <w:t xml:space="preserve"> más bien implicaría realizar una digitalización o escaneo de aquellos documentos que por su naturaleza pudieran encontrarse en medio físico.</w:t>
      </w:r>
    </w:p>
    <w:p w14:paraId="225D6969" w14:textId="77777777" w:rsidR="001E3C46" w:rsidRPr="0059485F" w:rsidRDefault="001E3C46" w:rsidP="001E3C46">
      <w:pPr>
        <w:spacing w:before="240" w:after="240" w:line="360" w:lineRule="auto"/>
        <w:jc w:val="both"/>
        <w:rPr>
          <w:rFonts w:ascii="Palatino Linotype" w:eastAsia="Palatino Linotype" w:hAnsi="Palatino Linotype" w:cs="Palatino Linotype"/>
          <w:sz w:val="22"/>
          <w:szCs w:val="22"/>
        </w:rPr>
      </w:pPr>
      <w:bookmarkStart w:id="9" w:name="_Hlk206577537"/>
      <w:bookmarkStart w:id="10" w:name="_Hlk206577608"/>
      <w:r w:rsidRPr="0059485F">
        <w:rPr>
          <w:rFonts w:ascii="Palatino Linotype" w:eastAsia="Palatino Linotype" w:hAnsi="Palatino Linotype" w:cs="Palatino Linotype"/>
          <w:sz w:val="22"/>
          <w:szCs w:val="22"/>
        </w:rPr>
        <w:t xml:space="preserve">Además, es necesario resaltar que </w:t>
      </w:r>
      <w:bookmarkEnd w:id="9"/>
      <w:r w:rsidRPr="0059485F">
        <w:rPr>
          <w:rFonts w:ascii="Palatino Linotype" w:eastAsia="Palatino Linotype" w:hAnsi="Palatino Linotype" w:cs="Palatino Linotype"/>
          <w:b/>
          <w:sz w:val="22"/>
          <w:szCs w:val="22"/>
          <w:u w:val="single"/>
        </w:rPr>
        <w:t>la digitalización o escaneo de la información, no conlleva la utilización de materiales que generen un costo</w:t>
      </w:r>
      <w:r w:rsidRPr="0059485F">
        <w:rPr>
          <w:rFonts w:ascii="Palatino Linotype" w:eastAsia="Palatino Linotype" w:hAnsi="Palatino Linotype" w:cs="Palatino Linotype"/>
          <w:sz w:val="22"/>
          <w:szCs w:val="22"/>
        </w:rPr>
        <w:t xml:space="preserve">, como podría serlo por ejemplo hojas de papel para la emisión de copias; de igual manera, tampoco se actualiza el cobro por certificación, ya que la parte solicitante no requirió la entrega en dicha modalidad, así tampoco se genera un gasto por el envió de la información, ya que una de la finalidades de la utilización del sistema SAIMEX es evitar la generación de gastos tanto para los solicitantes como para los Sujetos Obligados, pues se trata de un sistema electrónico que para acceder al mismo no necesita recurso alguno, sino solamente la conexión a un sistema de internet, por ello, </w:t>
      </w:r>
      <w:r w:rsidRPr="0059485F">
        <w:rPr>
          <w:rFonts w:ascii="Palatino Linotype" w:eastAsia="Palatino Linotype" w:hAnsi="Palatino Linotype" w:cs="Palatino Linotype"/>
          <w:b/>
          <w:sz w:val="22"/>
          <w:szCs w:val="22"/>
          <w:u w:val="single"/>
        </w:rPr>
        <w:t>en materia de transparencia no es procedente el pago de derechos por concepto de escaneo o digitalización</w:t>
      </w:r>
      <w:r w:rsidRPr="0059485F">
        <w:rPr>
          <w:rFonts w:ascii="Palatino Linotype" w:eastAsia="Palatino Linotype" w:hAnsi="Palatino Linotype" w:cs="Palatino Linotype"/>
          <w:sz w:val="22"/>
          <w:szCs w:val="22"/>
        </w:rPr>
        <w:t>, pues se asume que los Sujetos Obligados cuenten con los medios para realizar dichas acciones sin costo alguno.</w:t>
      </w:r>
    </w:p>
    <w:bookmarkEnd w:id="10"/>
    <w:p w14:paraId="74A1B2F7" w14:textId="77777777" w:rsidR="001E3C46" w:rsidRPr="0059485F" w:rsidRDefault="001E3C46" w:rsidP="001E3C46">
      <w:pP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Aunado a lo anterior, la exposición de motivos de la Ley de Transparencia y Acceso a la Información Pública del Estado de México y Municipios señala que se adoptará una ruta regida por el principio de progresividad en la materia, que implique que haya una plena interconectividad entre las plataformas estatales existentes, las cuales deberán acoplarse a la plataforma nacional, lo que implica, en un primer momento utilizar la información digitalizada por la propia función del gobierno y en datos abiertos, a su vez que en el artículo 24 fracción XXIII dispone como obligación de los entes públicos, la de procurar la digitalización de toda la información pública en su poder, mientras que diverso 175 prevé que la información que deban publicar los Sujetos Obligados en términos de la Ley o deba ser generada de manera electrónica, según lo dispongan las disposiciones legales o administrativas no podrán tener </w:t>
      </w:r>
      <w:r w:rsidRPr="0059485F">
        <w:rPr>
          <w:rFonts w:ascii="Palatino Linotype" w:eastAsia="Palatino Linotype" w:hAnsi="Palatino Linotype" w:cs="Palatino Linotype"/>
          <w:b/>
          <w:i/>
          <w:sz w:val="22"/>
          <w:szCs w:val="22"/>
        </w:rPr>
        <w:t>ningún costo</w:t>
      </w:r>
      <w:r w:rsidRPr="0059485F">
        <w:rPr>
          <w:rFonts w:ascii="Palatino Linotype" w:eastAsia="Palatino Linotype" w:hAnsi="Palatino Linotype" w:cs="Palatino Linotype"/>
          <w:i/>
          <w:sz w:val="22"/>
          <w:szCs w:val="22"/>
        </w:rPr>
        <w:t>,</w:t>
      </w:r>
      <w:r w:rsidRPr="0059485F">
        <w:rPr>
          <w:rFonts w:ascii="Palatino Linotype" w:eastAsia="Palatino Linotype" w:hAnsi="Palatino Linotype" w:cs="Palatino Linotype"/>
          <w:sz w:val="22"/>
          <w:szCs w:val="22"/>
        </w:rPr>
        <w:t xml:space="preserve"> incluyendo aquella que se hubiera digitalizado previamente por cualquier motivo, y aún menos en aquellos casos en que la modalidad de entrega sea por medio de la plataforma o vía electrónica.</w:t>
      </w:r>
    </w:p>
    <w:p w14:paraId="7A5B950E" w14:textId="77777777" w:rsidR="001E3C46" w:rsidRPr="0059485F" w:rsidRDefault="001E3C46" w:rsidP="001E3C46">
      <w:pP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Por lo que no existe presupuesto jurídico que autorice al </w:t>
      </w:r>
      <w:r w:rsidRPr="0059485F">
        <w:rPr>
          <w:rFonts w:ascii="Palatino Linotype" w:eastAsia="Palatino Linotype" w:hAnsi="Palatino Linotype" w:cs="Palatino Linotype"/>
          <w:b/>
          <w:sz w:val="22"/>
          <w:szCs w:val="22"/>
        </w:rPr>
        <w:t>Sujeto Obligado</w:t>
      </w:r>
      <w:r w:rsidRPr="0059485F">
        <w:rPr>
          <w:rFonts w:ascii="Palatino Linotype" w:eastAsia="Palatino Linotype" w:hAnsi="Palatino Linotype" w:cs="Palatino Linotype"/>
          <w:sz w:val="22"/>
          <w:szCs w:val="22"/>
        </w:rPr>
        <w:t xml:space="preserve"> a requerir un pago para entregar la información vía SAIMEX, debido a que dicho sistema fue creado para facilitar el registro y atención de las solicitudes de información, y es su obligación trasladar la información de un soporte físico a uno electrónico y cuidar que los medios electrónicos o impresos en los que conste tanto información pública, como confidencial y reservada se entreguen en versión pública en los casos que eso resulte necesario.</w:t>
      </w:r>
    </w:p>
    <w:p w14:paraId="26722682" w14:textId="77777777" w:rsidR="001E3C46" w:rsidRPr="0059485F" w:rsidRDefault="001E3C46" w:rsidP="001E3C46">
      <w:pPr>
        <w:spacing w:before="280" w:after="28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Pensar lo contrario, sería tanto como reconocer que la utilización del sistema SAIMEX, transgrede o limita el derecho de acceso a la información pública de los solicitantes, ya que de requerir la entrega de la información a la cual desean acceder a través del mismo, implica la obligación de pagar por la atención a su derecho, cuando se trate de información que no se encuentre contemplada en las obligaciones de transparencia comunes y específicas para los Sujetos Obligados, ya que respecto de cierta información no existe la obligación de tenerla digitalizada.</w:t>
      </w:r>
    </w:p>
    <w:p w14:paraId="043C1CC7" w14:textId="77777777" w:rsidR="001E3C46" w:rsidRPr="0059485F" w:rsidRDefault="001E3C46" w:rsidP="001E3C46">
      <w:pPr>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el presente caso, dado que no se está solicitando la reproducción de la información a través de copias simples o certificadas, o el envío a través de una modalidad que genere gastos, sino que se solicita la información de manera digital a través del SAIMEX, se estima que no es procedente el cobro que pretende el </w:t>
      </w:r>
      <w:r w:rsidRPr="0059485F">
        <w:rPr>
          <w:rFonts w:ascii="Palatino Linotype" w:eastAsia="Palatino Linotype" w:hAnsi="Palatino Linotype" w:cs="Palatino Linotype"/>
          <w:b/>
          <w:sz w:val="22"/>
          <w:szCs w:val="22"/>
        </w:rPr>
        <w:t>Sujeto Obligado</w:t>
      </w:r>
      <w:r w:rsidRPr="0059485F">
        <w:rPr>
          <w:rFonts w:ascii="Palatino Linotype" w:eastAsia="Palatino Linotype" w:hAnsi="Palatino Linotype" w:cs="Palatino Linotype"/>
          <w:sz w:val="22"/>
          <w:szCs w:val="22"/>
        </w:rPr>
        <w:t>, pues se insiste, la entrega de información a través de referido sistema no conlleva el uso de materiales, como pudieran ser hojas para expedir copias simples o certificadas, así como tampoco gastos de envío.</w:t>
      </w:r>
    </w:p>
    <w:p w14:paraId="698CFF79" w14:textId="6EF3CBE5" w:rsidR="00BE4CD0" w:rsidRPr="0059485F" w:rsidRDefault="00BE4CD0" w:rsidP="00BE4CD0">
      <w:pPr>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Sin perder de vista que durante la sustanciación del recurso de revisión el </w:t>
      </w:r>
      <w:r w:rsidRPr="0059485F">
        <w:rPr>
          <w:rFonts w:ascii="Palatino Linotype" w:eastAsia="Palatino Linotype" w:hAnsi="Palatino Linotype" w:cs="Palatino Linotype"/>
          <w:b/>
          <w:sz w:val="22"/>
          <w:szCs w:val="22"/>
        </w:rPr>
        <w:t>Sujeto Obligado</w:t>
      </w:r>
      <w:r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b/>
          <w:sz w:val="22"/>
          <w:szCs w:val="22"/>
        </w:rPr>
        <w:t>en ningún momento alego o manifestó alguna imposibilidad para entregar la información requerida a través de la modalidad solicitada derivado de la capacidad técnica, administrativa y/o humana del área competente, o bien la capacidad técnica del sistema SAIMEX</w:t>
      </w:r>
      <w:r w:rsidRPr="0059485F">
        <w:rPr>
          <w:rFonts w:ascii="Palatino Linotype" w:eastAsia="Palatino Linotype" w:hAnsi="Palatino Linotype" w:cs="Palatino Linotype"/>
          <w:sz w:val="22"/>
          <w:szCs w:val="22"/>
        </w:rPr>
        <w:t xml:space="preserve">, sino que, por cuenta propia, y </w:t>
      </w:r>
      <w:r w:rsidRPr="0059485F">
        <w:rPr>
          <w:rFonts w:ascii="Palatino Linotype" w:eastAsia="Palatino Linotype" w:hAnsi="Palatino Linotype" w:cs="Palatino Linotype"/>
          <w:b/>
          <w:sz w:val="22"/>
          <w:szCs w:val="22"/>
          <w:u w:val="single"/>
        </w:rPr>
        <w:t>de manera injustificada requirió un pago para hacer el escaneo de la información y estar en posibilidad de entregarla.</w:t>
      </w:r>
    </w:p>
    <w:p w14:paraId="47C5BB7B" w14:textId="564FA2F0" w:rsidR="001E3C46" w:rsidRPr="0059485F" w:rsidRDefault="001E3C46" w:rsidP="001E3C46">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De lo hasta aquí expuesto, se concluye que los motivos de inconformidad de la parte </w:t>
      </w:r>
      <w:r w:rsidRPr="0059485F">
        <w:rPr>
          <w:rFonts w:ascii="Palatino Linotype" w:eastAsia="Palatino Linotype" w:hAnsi="Palatino Linotype" w:cs="Palatino Linotype"/>
          <w:b/>
          <w:sz w:val="22"/>
          <w:szCs w:val="22"/>
        </w:rPr>
        <w:t xml:space="preserve">Recurrente </w:t>
      </w:r>
      <w:r w:rsidRPr="0059485F">
        <w:rPr>
          <w:rFonts w:ascii="Palatino Linotype" w:eastAsia="Palatino Linotype" w:hAnsi="Palatino Linotype" w:cs="Palatino Linotype"/>
          <w:sz w:val="22"/>
          <w:szCs w:val="22"/>
        </w:rPr>
        <w:t xml:space="preserve">devienen fundados, siendo procedente </w:t>
      </w:r>
      <w:r w:rsidRPr="0059485F">
        <w:rPr>
          <w:rFonts w:ascii="Palatino Linotype" w:eastAsia="Palatino Linotype" w:hAnsi="Palatino Linotype" w:cs="Palatino Linotype"/>
          <w:i/>
          <w:sz w:val="22"/>
          <w:szCs w:val="22"/>
        </w:rPr>
        <w:t xml:space="preserve">Revocar </w:t>
      </w:r>
      <w:r w:rsidRPr="0059485F">
        <w:rPr>
          <w:rFonts w:ascii="Palatino Linotype" w:eastAsia="Palatino Linotype" w:hAnsi="Palatino Linotype" w:cs="Palatino Linotype"/>
          <w:sz w:val="22"/>
          <w:szCs w:val="22"/>
        </w:rPr>
        <w:t xml:space="preserve">la respuesta proporcionada por el </w:t>
      </w:r>
      <w:r w:rsidRPr="0059485F">
        <w:rPr>
          <w:rFonts w:ascii="Palatino Linotype" w:eastAsia="Palatino Linotype" w:hAnsi="Palatino Linotype" w:cs="Palatino Linotype"/>
          <w:b/>
          <w:sz w:val="22"/>
          <w:szCs w:val="22"/>
        </w:rPr>
        <w:t xml:space="preserve">Sujeto Obligado </w:t>
      </w:r>
      <w:r w:rsidRPr="0059485F">
        <w:rPr>
          <w:rFonts w:ascii="Palatino Linotype" w:eastAsia="Palatino Linotype" w:hAnsi="Palatino Linotype" w:cs="Palatino Linotype"/>
          <w:sz w:val="22"/>
          <w:szCs w:val="22"/>
        </w:rPr>
        <w:t>en términos del artículo 186 fracción III de la Ley de Transparencia y Acceso a la Información Pública de</w:t>
      </w:r>
      <w:r w:rsidR="00576638" w:rsidRPr="0059485F">
        <w:rPr>
          <w:rFonts w:ascii="Palatino Linotype" w:eastAsia="Palatino Linotype" w:hAnsi="Palatino Linotype" w:cs="Palatino Linotype"/>
          <w:sz w:val="22"/>
          <w:szCs w:val="22"/>
        </w:rPr>
        <w:t>l Estado de México y Municipios; siendo procedente la entrega de lo requerido.</w:t>
      </w:r>
    </w:p>
    <w:p w14:paraId="5F568169" w14:textId="77777777" w:rsidR="00576638" w:rsidRPr="0059485F" w:rsidRDefault="00576638" w:rsidP="00576638">
      <w:pPr>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bCs/>
          <w:sz w:val="22"/>
          <w:szCs w:val="22"/>
        </w:rPr>
        <w:t xml:space="preserve">Quinto. Versión Pública. </w:t>
      </w:r>
      <w:r w:rsidRPr="0059485F">
        <w:rPr>
          <w:rFonts w:ascii="Palatino Linotype" w:eastAsia="Palatino Linotype" w:hAnsi="Palatino Linotype" w:cs="Palatino Linotype"/>
          <w:sz w:val="22"/>
          <w:szCs w:val="22"/>
        </w:rPr>
        <w:t>Como fue debidamente apuntado,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14AF92C2" w14:textId="77777777" w:rsidR="00576638" w:rsidRPr="0059485F" w:rsidRDefault="00576638" w:rsidP="00576638">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2E9DC863" w14:textId="77777777" w:rsidR="00576638" w:rsidRPr="0059485F" w:rsidRDefault="00576638" w:rsidP="00576638">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761D425F" w14:textId="77777777" w:rsidR="00576638" w:rsidRPr="0059485F" w:rsidRDefault="00576638" w:rsidP="00576638">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vigente establecen:</w:t>
      </w:r>
    </w:p>
    <w:p w14:paraId="5B88307E"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sz w:val="22"/>
          <w:szCs w:val="22"/>
        </w:rPr>
        <w:t> </w:t>
      </w:r>
      <w:r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b/>
          <w:bCs/>
          <w:i/>
          <w:iCs/>
          <w:sz w:val="22"/>
          <w:szCs w:val="22"/>
        </w:rPr>
        <w:t>Artículo 3.</w:t>
      </w:r>
      <w:r w:rsidRPr="0059485F">
        <w:rPr>
          <w:rFonts w:ascii="Palatino Linotype" w:eastAsia="Palatino Linotype" w:hAnsi="Palatino Linotype" w:cs="Palatino Linotype"/>
          <w:i/>
          <w:iCs/>
          <w:sz w:val="22"/>
          <w:szCs w:val="22"/>
        </w:rPr>
        <w:t xml:space="preserve"> Para los efectos de la presente Ley se entenderá por:</w:t>
      </w:r>
    </w:p>
    <w:p w14:paraId="12B946E4"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68E148A1"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IX. Datos personales</w:t>
      </w:r>
      <w:r w:rsidRPr="0059485F">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14:paraId="25AC4459"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5CC6C779"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XX. Información clasificada</w:t>
      </w:r>
      <w:r w:rsidRPr="0059485F">
        <w:rPr>
          <w:rFonts w:ascii="Palatino Linotype" w:eastAsia="Palatino Linotype" w:hAnsi="Palatino Linotype" w:cs="Palatino Linotype"/>
          <w:i/>
          <w:iCs/>
          <w:sz w:val="22"/>
          <w:szCs w:val="22"/>
        </w:rPr>
        <w:t>: Aquella considerada por la presente Ley como reservada o confidencial;</w:t>
      </w:r>
    </w:p>
    <w:p w14:paraId="50DF4F30"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XXI. Información confidencial</w:t>
      </w:r>
      <w:r w:rsidRPr="0059485F">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21EDC34D"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396A12CD"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XXXII. Protección de Datos Personales</w:t>
      </w:r>
      <w:r w:rsidRPr="0059485F">
        <w:rPr>
          <w:rFonts w:ascii="Palatino Linotype" w:eastAsia="Palatino Linotype" w:hAnsi="Palatino Linotype" w:cs="Palatino Linotype"/>
          <w:i/>
          <w:iCs/>
          <w:sz w:val="22"/>
          <w:szCs w:val="22"/>
        </w:rPr>
        <w:t>: Derecho humano que tutela la privacidad de datos personales en poder de los sujetos obligados y sujetos particulares;</w:t>
      </w:r>
    </w:p>
    <w:p w14:paraId="3560144C"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41F76893" w14:textId="77777777" w:rsidR="00576638" w:rsidRPr="0059485F" w:rsidRDefault="00576638" w:rsidP="00576638">
      <w:pPr>
        <w:tabs>
          <w:tab w:val="left" w:pos="1276"/>
        </w:tabs>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XLV. Versión pública</w:t>
      </w:r>
      <w:r w:rsidRPr="0059485F">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14:paraId="4B739563"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Artículo 6</w:t>
      </w:r>
      <w:r w:rsidRPr="0059485F">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2C36C378"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4BF59787"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91.</w:t>
      </w:r>
      <w:r w:rsidRPr="0059485F">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59485F">
        <w:rPr>
          <w:rFonts w:ascii="Palatino Linotype" w:eastAsia="Palatino Linotype" w:hAnsi="Palatino Linotype" w:cs="Palatino Linotype"/>
          <w:i/>
          <w:iCs/>
          <w:sz w:val="22"/>
          <w:szCs w:val="22"/>
        </w:rPr>
        <w:br/>
        <w:t>…</w:t>
      </w:r>
    </w:p>
    <w:p w14:paraId="27C2F414"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132.</w:t>
      </w:r>
      <w:r w:rsidRPr="0059485F">
        <w:rPr>
          <w:rFonts w:ascii="Palatino Linotype" w:eastAsia="Palatino Linotype" w:hAnsi="Palatino Linotype" w:cs="Palatino Linotype"/>
          <w:i/>
          <w:iCs/>
          <w:sz w:val="22"/>
          <w:szCs w:val="22"/>
        </w:rPr>
        <w:t xml:space="preserve"> La clasificación de la información se llevará a cabo en el momento en que:</w:t>
      </w:r>
    </w:p>
    <w:p w14:paraId="7D1A7B87"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Se reciba una solicitud de acceso a la información;</w:t>
      </w:r>
    </w:p>
    <w:p w14:paraId="7C01E931"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xml:space="preserve"> Se determine mediante resolución de autoridad competente; o</w:t>
      </w:r>
    </w:p>
    <w:p w14:paraId="705C0671"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14:paraId="157010D1"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w:t>
      </w:r>
    </w:p>
    <w:p w14:paraId="0741EDD5"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137.</w:t>
      </w:r>
      <w:r w:rsidRPr="0059485F">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074DB7EF"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Artículo 143.</w:t>
      </w:r>
      <w:r w:rsidRPr="0059485F">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14:paraId="4B95FE1A" w14:textId="77777777" w:rsidR="00576638" w:rsidRPr="0059485F" w:rsidRDefault="00576638" w:rsidP="00576638">
      <w:pPr>
        <w:spacing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544200B6" w14:textId="77777777" w:rsidR="00576638" w:rsidRPr="0059485F" w:rsidRDefault="00576638" w:rsidP="00576638">
      <w:pPr>
        <w:spacing w:before="240" w:after="240" w:line="360" w:lineRule="auto"/>
        <w:ind w:right="50"/>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03223B16" w14:textId="77777777" w:rsidR="00576638" w:rsidRPr="0059485F" w:rsidRDefault="00576638" w:rsidP="00576638">
      <w:pPr>
        <w:spacing w:before="240" w:after="240" w:line="360" w:lineRule="auto"/>
        <w:ind w:right="50"/>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53415CDC"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el caso específico, la información que se ordena si bien tiene el carácter información pública en razón de que se trata de documentos que se encuentran en posesión del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RPr="0059485F">
        <w:rPr>
          <w:rFonts w:ascii="Palatino Linotype" w:eastAsia="Palatino Linotype" w:hAnsi="Palatino Linotype" w:cs="Palatino Linotype"/>
          <w:b/>
          <w:bCs/>
          <w:sz w:val="22"/>
          <w:szCs w:val="22"/>
        </w:rPr>
        <w:t>Registro Federal de Contribuyentes</w:t>
      </w:r>
      <w:r w:rsidRPr="0059485F">
        <w:rPr>
          <w:rFonts w:ascii="Palatino Linotype" w:eastAsia="Palatino Linotype" w:hAnsi="Palatino Linotype" w:cs="Palatino Linotype"/>
          <w:sz w:val="22"/>
          <w:szCs w:val="22"/>
        </w:rPr>
        <w:t xml:space="preserve"> (RFC), la </w:t>
      </w:r>
      <w:r w:rsidRPr="0059485F">
        <w:rPr>
          <w:rFonts w:ascii="Palatino Linotype" w:eastAsia="Palatino Linotype" w:hAnsi="Palatino Linotype" w:cs="Palatino Linotype"/>
          <w:b/>
          <w:bCs/>
          <w:sz w:val="22"/>
          <w:szCs w:val="22"/>
        </w:rPr>
        <w:t>Clave Única de Registro de Población</w:t>
      </w:r>
      <w:r w:rsidRPr="0059485F">
        <w:rPr>
          <w:rFonts w:ascii="Palatino Linotype" w:eastAsia="Palatino Linotype" w:hAnsi="Palatino Linotype" w:cs="Palatino Linotype"/>
          <w:sz w:val="22"/>
          <w:szCs w:val="22"/>
        </w:rPr>
        <w:t xml:space="preserve"> (CURP), la </w:t>
      </w:r>
      <w:r w:rsidRPr="0059485F">
        <w:rPr>
          <w:rFonts w:ascii="Palatino Linotype" w:eastAsia="Palatino Linotype" w:hAnsi="Palatino Linotype" w:cs="Palatino Linotype"/>
          <w:b/>
          <w:bCs/>
          <w:sz w:val="22"/>
          <w:szCs w:val="22"/>
        </w:rPr>
        <w:t>Clave de cualquier tipo de seguridad social</w:t>
      </w:r>
      <w:r w:rsidRPr="0059485F">
        <w:rPr>
          <w:rFonts w:ascii="Palatino Linotype" w:eastAsia="Palatino Linotype" w:hAnsi="Palatino Linotype" w:cs="Palatino Linotype"/>
          <w:sz w:val="22"/>
          <w:szCs w:val="22"/>
        </w:rPr>
        <w:t xml:space="preserve"> (ISSEMYM, u otros), los </w:t>
      </w:r>
      <w:r w:rsidRPr="0059485F">
        <w:rPr>
          <w:rFonts w:ascii="Palatino Linotype" w:eastAsia="Palatino Linotype" w:hAnsi="Palatino Linotype" w:cs="Palatino Linotype"/>
          <w:b/>
          <w:bCs/>
          <w:sz w:val="22"/>
          <w:szCs w:val="22"/>
        </w:rPr>
        <w:t>números de cuentas bancarias</w:t>
      </w:r>
      <w:r w:rsidRPr="0059485F">
        <w:rPr>
          <w:rFonts w:ascii="Palatino Linotype" w:eastAsia="Palatino Linotype" w:hAnsi="Palatino Linotype" w:cs="Palatino Linotype"/>
          <w:sz w:val="22"/>
          <w:szCs w:val="22"/>
        </w:rPr>
        <w:t xml:space="preserve">, claves estandarizadas – interbancarias - (CLABES) y de tarjetas, los </w:t>
      </w:r>
      <w:r w:rsidRPr="0059485F">
        <w:rPr>
          <w:rFonts w:ascii="Palatino Linotype" w:eastAsia="Palatino Linotype" w:hAnsi="Palatino Linotype" w:cs="Palatino Linotype"/>
          <w:b/>
          <w:bCs/>
          <w:sz w:val="22"/>
          <w:szCs w:val="22"/>
        </w:rPr>
        <w:t>préstamos o descuentos</w:t>
      </w:r>
      <w:r w:rsidRPr="0059485F">
        <w:rPr>
          <w:rFonts w:ascii="Palatino Linotype" w:eastAsia="Palatino Linotype" w:hAnsi="Palatino Linotype" w:cs="Palatino Linotype"/>
          <w:sz w:val="22"/>
          <w:szCs w:val="22"/>
        </w:rPr>
        <w:t xml:space="preserve"> que se le hagan a la persona y que no tengan relación con los impuestos o la cuota por seguridad social, el</w:t>
      </w:r>
      <w:r w:rsidRPr="0059485F">
        <w:rPr>
          <w:rFonts w:ascii="Palatino Linotype" w:eastAsia="Palatino Linotype" w:hAnsi="Palatino Linotype" w:cs="Palatino Linotype"/>
          <w:b/>
          <w:bCs/>
          <w:sz w:val="22"/>
          <w:szCs w:val="22"/>
        </w:rPr>
        <w:t xml:space="preserve"> número de empleado, </w:t>
      </w:r>
      <w:r w:rsidRPr="0059485F">
        <w:rPr>
          <w:rFonts w:ascii="Palatino Linotype" w:eastAsia="Palatino Linotype" w:hAnsi="Palatino Linotype" w:cs="Palatino Linotype"/>
          <w:sz w:val="22"/>
          <w:szCs w:val="22"/>
        </w:rPr>
        <w:t xml:space="preserve">y, de ser el caso, el </w:t>
      </w:r>
      <w:r w:rsidRPr="0059485F">
        <w:rPr>
          <w:rFonts w:ascii="Palatino Linotype" w:eastAsia="Palatino Linotype" w:hAnsi="Palatino Linotype" w:cs="Palatino Linotype"/>
          <w:b/>
          <w:bCs/>
          <w:sz w:val="22"/>
          <w:szCs w:val="22"/>
        </w:rPr>
        <w:t>folio fiscal</w:t>
      </w:r>
      <w:r w:rsidRPr="0059485F">
        <w:rPr>
          <w:rFonts w:ascii="Palatino Linotype" w:eastAsia="Palatino Linotype" w:hAnsi="Palatino Linotype" w:cs="Palatino Linotype"/>
          <w:sz w:val="22"/>
          <w:szCs w:val="22"/>
        </w:rPr>
        <w:t xml:space="preserve">, la </w:t>
      </w:r>
      <w:r w:rsidRPr="0059485F">
        <w:rPr>
          <w:rFonts w:ascii="Palatino Linotype" w:eastAsia="Palatino Linotype" w:hAnsi="Palatino Linotype" w:cs="Palatino Linotype"/>
          <w:b/>
          <w:bCs/>
          <w:sz w:val="22"/>
          <w:szCs w:val="22"/>
        </w:rPr>
        <w:t xml:space="preserve">cadena original, </w:t>
      </w:r>
      <w:r w:rsidRPr="0059485F">
        <w:rPr>
          <w:rFonts w:ascii="Palatino Linotype" w:eastAsia="Palatino Linotype" w:hAnsi="Palatino Linotype" w:cs="Palatino Linotype"/>
          <w:sz w:val="22"/>
          <w:szCs w:val="22"/>
        </w:rPr>
        <w:t>los</w:t>
      </w:r>
      <w:r w:rsidRPr="0059485F">
        <w:rPr>
          <w:rFonts w:ascii="Palatino Linotype" w:eastAsia="Palatino Linotype" w:hAnsi="Palatino Linotype" w:cs="Palatino Linotype"/>
          <w:b/>
          <w:bCs/>
          <w:sz w:val="22"/>
          <w:szCs w:val="22"/>
        </w:rPr>
        <w:t xml:space="preserve"> códigos bidimensionales o códigos QR,</w:t>
      </w:r>
      <w:r w:rsidRPr="0059485F">
        <w:rPr>
          <w:rFonts w:ascii="Palatino Linotype" w:eastAsia="Palatino Linotype" w:hAnsi="Palatino Linotype" w:cs="Palatino Linotype"/>
          <w:sz w:val="22"/>
          <w:szCs w:val="22"/>
        </w:rPr>
        <w:t xml:space="preserve"> y cualquier información de carácter fiscal.</w:t>
      </w:r>
    </w:p>
    <w:p w14:paraId="0D9441AA" w14:textId="77777777" w:rsidR="00576638" w:rsidRPr="0059485F" w:rsidRDefault="00576638" w:rsidP="00576638">
      <w:pPr>
        <w:spacing w:before="240" w:after="240" w:line="360" w:lineRule="auto"/>
        <w:ind w:right="50"/>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0BA7C3CB" w14:textId="77777777" w:rsidR="00576638" w:rsidRPr="0059485F" w:rsidRDefault="00576638" w:rsidP="00576638">
      <w:pPr>
        <w:numPr>
          <w:ilvl w:val="0"/>
          <w:numId w:val="22"/>
        </w:numPr>
        <w:spacing w:line="360" w:lineRule="auto"/>
        <w:ind w:left="284" w:hanging="284"/>
        <w:jc w:val="both"/>
        <w:rPr>
          <w:rFonts w:ascii="Palatino Linotype" w:eastAsia="Palatino Linotype" w:hAnsi="Palatino Linotype" w:cs="Palatino Linotype"/>
          <w:b/>
          <w:bCs/>
          <w:sz w:val="22"/>
          <w:szCs w:val="22"/>
        </w:rPr>
      </w:pPr>
      <w:bookmarkStart w:id="11" w:name="_heading=h.3j2qqm3" w:colFirst="0" w:colLast="0"/>
      <w:bookmarkEnd w:id="11"/>
      <w:r w:rsidRPr="0059485F">
        <w:rPr>
          <w:rFonts w:ascii="Palatino Linotype" w:eastAsia="Palatino Linotype" w:hAnsi="Palatino Linotype" w:cs="Palatino Linotype"/>
          <w:b/>
          <w:bCs/>
          <w:sz w:val="22"/>
          <w:szCs w:val="22"/>
        </w:rPr>
        <w:t>El Registro Federal de Contribuyentes (RFC):</w:t>
      </w:r>
    </w:p>
    <w:p w14:paraId="3E0EFC97" w14:textId="77777777" w:rsidR="00576638" w:rsidRPr="0059485F" w:rsidRDefault="00576638" w:rsidP="00576638">
      <w:pPr>
        <w:spacing w:line="360" w:lineRule="auto"/>
        <w:ind w:right="49"/>
        <w:jc w:val="both"/>
        <w:rPr>
          <w:rFonts w:ascii="Palatino Linotype" w:eastAsia="Palatino Linotype" w:hAnsi="Palatino Linotype" w:cs="Palatino Linotype"/>
          <w:sz w:val="22"/>
          <w:szCs w:val="22"/>
        </w:rPr>
      </w:pPr>
    </w:p>
    <w:p w14:paraId="5FFD0F62" w14:textId="77777777" w:rsidR="00576638" w:rsidRPr="0059485F" w:rsidRDefault="00576638" w:rsidP="00576638">
      <w:pPr>
        <w:spacing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El RFC constituye un dato personal, ya que para su obtención es necesario acreditar ante la autoridad fiscal previamente la identidad de la persona, su fecha de nacimiento, entre otros aspectos.</w:t>
      </w:r>
    </w:p>
    <w:p w14:paraId="0A441D56" w14:textId="77777777" w:rsidR="00576638" w:rsidRPr="0059485F" w:rsidRDefault="00576638" w:rsidP="00576638">
      <w:pPr>
        <w:spacing w:line="360" w:lineRule="auto"/>
        <w:ind w:right="49"/>
        <w:jc w:val="both"/>
        <w:rPr>
          <w:rFonts w:ascii="Palatino Linotype" w:eastAsia="Palatino Linotype" w:hAnsi="Palatino Linotype" w:cs="Palatino Linotype"/>
          <w:sz w:val="22"/>
          <w:szCs w:val="22"/>
        </w:rPr>
      </w:pPr>
    </w:p>
    <w:p w14:paraId="722633F2"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14:paraId="3EA3C499"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Lo anterior era compartido por el entonces Instituto Nacional de Transparencia, Acceso a la Información y Protección de Datos (INAI) a través del Criterio orientador 19/17, el cual es del tenor literal siguiente:</w:t>
      </w:r>
    </w:p>
    <w:p w14:paraId="2BB9FAD3"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18D830F2" w14:textId="77777777" w:rsidR="00576638" w:rsidRPr="0059485F" w:rsidRDefault="00576638" w:rsidP="00576638">
      <w:pPr>
        <w:spacing w:line="259"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xml:space="preserve">“Registro Federal de Contribuyentes (RFC) de personas físicas. </w:t>
      </w:r>
      <w:r w:rsidRPr="0059485F">
        <w:rPr>
          <w:rFonts w:ascii="Palatino Linotype" w:eastAsia="Palatino Linotype" w:hAnsi="Palatino Linotype" w:cs="Palatino Linotype"/>
          <w:i/>
          <w:iCs/>
          <w:sz w:val="22"/>
          <w:szCs w:val="22"/>
        </w:rPr>
        <w:t>El RFC es una clave de carácter fiscal, única e irrepetible, que permite identificar al titular, su edad y fecha de nacimiento, por lo que es un dato personal de carácter confidencial.” (Sic)</w:t>
      </w:r>
    </w:p>
    <w:p w14:paraId="38DA618C" w14:textId="77777777" w:rsidR="00576638" w:rsidRPr="0059485F" w:rsidRDefault="00576638" w:rsidP="00576638">
      <w:pPr>
        <w:spacing w:line="259" w:lineRule="auto"/>
        <w:ind w:left="851" w:right="902"/>
        <w:jc w:val="both"/>
        <w:rPr>
          <w:rFonts w:ascii="Arial" w:eastAsia="Arial" w:hAnsi="Arial" w:cs="Arial"/>
          <w:sz w:val="22"/>
          <w:szCs w:val="22"/>
        </w:rPr>
      </w:pPr>
    </w:p>
    <w:p w14:paraId="2CDD0317" w14:textId="77777777" w:rsidR="00576638" w:rsidRPr="0059485F" w:rsidRDefault="00576638" w:rsidP="00576638">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Así, el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fracción VII de la Ley de Protección de Datos Personales del Estado de México; por lo que se actualiza la procedencia de la clasificación en términos de los dispuesto por el artículo 143 fracción I de la Ley de la Materia.</w:t>
      </w:r>
    </w:p>
    <w:p w14:paraId="35CC4AEB" w14:textId="77777777" w:rsidR="00576638" w:rsidRPr="0059485F" w:rsidRDefault="00576638" w:rsidP="00576638">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7962F0BC" w14:textId="77777777" w:rsidR="00576638" w:rsidRPr="0059485F" w:rsidRDefault="00576638" w:rsidP="00576638">
      <w:pPr>
        <w:numPr>
          <w:ilvl w:val="0"/>
          <w:numId w:val="22"/>
        </w:numPr>
        <w:pBdr>
          <w:top w:val="nil"/>
          <w:left w:val="nil"/>
          <w:bottom w:val="nil"/>
          <w:right w:val="nil"/>
          <w:between w:val="nil"/>
        </w:pBdr>
        <w:spacing w:line="360" w:lineRule="auto"/>
        <w:ind w:left="426"/>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b/>
          <w:bCs/>
          <w:sz w:val="22"/>
          <w:szCs w:val="22"/>
        </w:rPr>
        <w:t>Clave Única del Registro de Población (CURP):</w:t>
      </w:r>
    </w:p>
    <w:p w14:paraId="63BA548E" w14:textId="77777777" w:rsidR="00576638" w:rsidRPr="0059485F" w:rsidRDefault="00576638" w:rsidP="00576638">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cuanto al CURP, en virtud de que éste se integra por datos personales que únicamente le conciernen a un particular como son su fecha de nacimiento, su nombre, sus apellidos y su lugar de nacimiento; información que permite distinguirlo del resto de los habitantes, se considera que es de carácter confidencial;  por lo que se actualiza la procedencia de la clasificación en términos de los dispuesto por el artículo 143 fracción I de la Ley de la Materia.</w:t>
      </w:r>
    </w:p>
    <w:p w14:paraId="7E4AB9F4"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Argumento que era compartido por el entonces Instituto Nacional de Transparencia, Acceso a la Información y Protección de Datos (INAI)</w:t>
      </w:r>
      <w:r w:rsidRPr="0059485F">
        <w:rPr>
          <w:rFonts w:ascii="Palatino Linotype" w:eastAsia="Palatino Linotype" w:hAnsi="Palatino Linotype" w:cs="Palatino Linotype"/>
          <w:b/>
          <w:bCs/>
          <w:sz w:val="22"/>
          <w:szCs w:val="22"/>
        </w:rPr>
        <w:t xml:space="preserve">, conforme al </w:t>
      </w:r>
      <w:r w:rsidRPr="0059485F">
        <w:rPr>
          <w:rFonts w:ascii="Palatino Linotype" w:eastAsia="Palatino Linotype" w:hAnsi="Palatino Linotype" w:cs="Palatino Linotype"/>
          <w:sz w:val="22"/>
          <w:szCs w:val="22"/>
        </w:rPr>
        <w:t xml:space="preserve">criterio orientador número 18/17, el cual refiere: </w:t>
      </w:r>
    </w:p>
    <w:p w14:paraId="13CCB4D6"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2F423E80" w14:textId="77777777" w:rsidR="00576638" w:rsidRPr="0059485F" w:rsidRDefault="00576638" w:rsidP="00576638">
      <w:pPr>
        <w:pBdr>
          <w:top w:val="nil"/>
          <w:left w:val="nil"/>
          <w:bottom w:val="nil"/>
          <w:right w:val="nil"/>
          <w:between w:val="nil"/>
        </w:pBdr>
        <w:spacing w:line="259"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xml:space="preserve">“Clave Única de Registro de Población (CURP). </w:t>
      </w:r>
      <w:r w:rsidRPr="0059485F">
        <w:rPr>
          <w:rFonts w:ascii="Palatino Linotype" w:eastAsia="Palatino Linotype" w:hAnsi="Palatino Linotype" w:cs="Palatino Linotype"/>
          <w:i/>
          <w:iCs/>
          <w:sz w:val="22"/>
          <w:szCs w:val="22"/>
        </w:rPr>
        <w:t>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 (Sic)</w:t>
      </w:r>
    </w:p>
    <w:p w14:paraId="1B64764A" w14:textId="77777777" w:rsidR="00576638" w:rsidRPr="0059485F" w:rsidRDefault="00576638" w:rsidP="00576638">
      <w:pPr>
        <w:pBdr>
          <w:top w:val="nil"/>
          <w:left w:val="nil"/>
          <w:bottom w:val="nil"/>
          <w:right w:val="nil"/>
          <w:between w:val="nil"/>
        </w:pBdr>
        <w:spacing w:line="259" w:lineRule="auto"/>
        <w:ind w:left="851" w:right="902"/>
        <w:jc w:val="both"/>
        <w:rPr>
          <w:rFonts w:ascii="Palatino Linotype" w:eastAsia="Palatino Linotype" w:hAnsi="Palatino Linotype" w:cs="Palatino Linotype"/>
          <w:i/>
          <w:iCs/>
          <w:sz w:val="22"/>
          <w:szCs w:val="22"/>
        </w:rPr>
      </w:pPr>
    </w:p>
    <w:p w14:paraId="781ABACA" w14:textId="77777777" w:rsidR="00576638" w:rsidRPr="0059485F" w:rsidRDefault="00576638" w:rsidP="00576638">
      <w:pPr>
        <w:pBdr>
          <w:top w:val="nil"/>
          <w:left w:val="nil"/>
          <w:bottom w:val="nil"/>
          <w:right w:val="nil"/>
          <w:between w:val="nil"/>
        </w:pBdr>
        <w:spacing w:line="259" w:lineRule="auto"/>
        <w:ind w:left="851" w:right="902"/>
        <w:jc w:val="both"/>
        <w:rPr>
          <w:rFonts w:ascii="Arial" w:eastAsia="Arial" w:hAnsi="Arial" w:cs="Arial"/>
          <w:b/>
          <w:bCs/>
          <w:sz w:val="22"/>
          <w:szCs w:val="22"/>
        </w:rPr>
      </w:pPr>
    </w:p>
    <w:p w14:paraId="347CC348" w14:textId="77777777" w:rsidR="00576638" w:rsidRPr="0059485F" w:rsidRDefault="00576638" w:rsidP="00576638">
      <w:pPr>
        <w:numPr>
          <w:ilvl w:val="0"/>
          <w:numId w:val="22"/>
        </w:numPr>
        <w:spacing w:line="360" w:lineRule="auto"/>
        <w:ind w:left="284" w:hanging="284"/>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b/>
          <w:bCs/>
          <w:sz w:val="22"/>
          <w:szCs w:val="22"/>
        </w:rPr>
        <w:t>Clave seguridad social:</w:t>
      </w:r>
    </w:p>
    <w:p w14:paraId="315C6A36" w14:textId="77777777" w:rsidR="00576638" w:rsidRPr="0059485F" w:rsidRDefault="00576638" w:rsidP="00576638">
      <w:pPr>
        <w:spacing w:line="360" w:lineRule="auto"/>
        <w:jc w:val="both"/>
        <w:rPr>
          <w:rFonts w:ascii="Palatino Linotype" w:eastAsia="Palatino Linotype" w:hAnsi="Palatino Linotype" w:cs="Palatino Linotype"/>
          <w:b/>
          <w:bCs/>
          <w:sz w:val="22"/>
          <w:szCs w:val="22"/>
        </w:rPr>
      </w:pPr>
    </w:p>
    <w:p w14:paraId="41637747"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Al respecto, debe decirse que la Ley establece que es obligación de los derechohabientes tramitar la credencial que los acredite como tal, la cual será de naturaleza personal e intransferible. En esta credencial se consignan diversos datos personales y se le asigna una clave para hacer identificable al trabajador con el objetivo de poder proporcionar los servicios que brinda el instituto de seguridad social. </w:t>
      </w:r>
    </w:p>
    <w:p w14:paraId="1FE3BA95"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7E79AD28"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Como se advierte, la clave de seguridad social es un dato personal que permite identificar que una persona ya trabajó o trabaja en alguna institución pública, por la que tiene o tuvo derecho a esta prestación de seguridad social; es de destacar que esta clave no cambia, aunque el trabajador se dé de baja y alta en diversas ocasiones, con motivo de haber trabajado en diferentes instituciones públicas de la Entidad. </w:t>
      </w:r>
    </w:p>
    <w:p w14:paraId="1CF4DF3B"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79248C1C"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Contar con la prestación de seguridad social no es una obligación para entrar a trabajar a una institución pública, por el contrario es un derecho que se adquiere cuando se ingresa al servicio público, por tal motivo, es un dato personal confidencial, por lo que es procedente su eliminación en las versiones públicas que se elaboren, toda vez que actualiza el supuesto de confidencialidad del artículo 143, fracción I de la Ley de Transparencia y Acceso a la Información Pública del Estado de México y Municipios.</w:t>
      </w:r>
    </w:p>
    <w:p w14:paraId="0A1FF86C"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078A1098" w14:textId="77777777" w:rsidR="00576638" w:rsidRPr="0059485F" w:rsidRDefault="00576638" w:rsidP="00576638">
      <w:pPr>
        <w:numPr>
          <w:ilvl w:val="0"/>
          <w:numId w:val="22"/>
        </w:numPr>
        <w:pBdr>
          <w:top w:val="nil"/>
          <w:left w:val="nil"/>
          <w:bottom w:val="nil"/>
          <w:right w:val="nil"/>
          <w:between w:val="nil"/>
        </w:pBdr>
        <w:spacing w:line="360" w:lineRule="auto"/>
        <w:ind w:left="426"/>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b/>
          <w:bCs/>
          <w:sz w:val="22"/>
          <w:szCs w:val="22"/>
        </w:rPr>
        <w:t>Deducciones personales:</w:t>
      </w:r>
    </w:p>
    <w:p w14:paraId="56AB4406"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Por cuanto hace a los </w:t>
      </w:r>
      <w:r w:rsidRPr="0059485F">
        <w:rPr>
          <w:rFonts w:ascii="Palatino Linotype" w:eastAsia="Palatino Linotype" w:hAnsi="Palatino Linotype" w:cs="Palatino Linotype"/>
          <w:b/>
          <w:bCs/>
          <w:sz w:val="22"/>
          <w:szCs w:val="22"/>
        </w:rPr>
        <w:t>préstamos o descuentos de carácter personal</w:t>
      </w:r>
      <w:r w:rsidRPr="0059485F">
        <w:rPr>
          <w:rFonts w:ascii="Palatino Linotype" w:eastAsia="Palatino Linotype" w:hAnsi="Palatino Linotype" w:cs="Palatino Linotype"/>
          <w:sz w:val="22"/>
          <w:szCs w:val="22"/>
        </w:rPr>
        <w:t>, en virtud de no tener relación con la prestación del servicio y al no involucrar instituciones públicas, se consideran datos confidenciales.</w:t>
      </w:r>
    </w:p>
    <w:p w14:paraId="035D8BDA"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Para entender los límites y alcances de esta restricción, es oportuno recurrir al artículo 84 de la Ley del Trabajo de los Servidores Públicos del Estado y Municipios:</w:t>
      </w:r>
    </w:p>
    <w:p w14:paraId="36CACC5D"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b/>
          <w:bCs/>
          <w:i/>
          <w:iCs/>
          <w:sz w:val="22"/>
          <w:szCs w:val="22"/>
        </w:rPr>
      </w:pPr>
      <w:r w:rsidRPr="0059485F">
        <w:rPr>
          <w:rFonts w:ascii="Palatino Linotype" w:eastAsia="Palatino Linotype" w:hAnsi="Palatino Linotype" w:cs="Palatino Linotype"/>
          <w:b/>
          <w:bCs/>
          <w:i/>
          <w:iCs/>
          <w:sz w:val="22"/>
          <w:szCs w:val="22"/>
        </w:rPr>
        <w:t xml:space="preserve">“ARTÍCULO 84. </w:t>
      </w:r>
      <w:r w:rsidRPr="0059485F">
        <w:rPr>
          <w:rFonts w:ascii="Palatino Linotype" w:eastAsia="Palatino Linotype" w:hAnsi="Palatino Linotype" w:cs="Palatino Linotype"/>
          <w:i/>
          <w:iCs/>
          <w:sz w:val="22"/>
          <w:szCs w:val="22"/>
        </w:rPr>
        <w:t>Sólo podrán hacerse retenciones, descuentos o deducciones al sueldo de los servidores públicos por concepto de:</w:t>
      </w:r>
    </w:p>
    <w:p w14:paraId="1D0EDF08"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Gravámenes fiscales relacionados con el sueldo;</w:t>
      </w:r>
    </w:p>
    <w:p w14:paraId="5E8F082D"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xml:space="preserve"> Deudas contraídas con las instituciones públicas o dependencias por concepto de anticipos de sueldo, pagos hechos con exceso, errores o pérdidas debidamente comprobados;</w:t>
      </w:r>
    </w:p>
    <w:p w14:paraId="3039911F"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Cuotas sindicales</w:t>
      </w:r>
      <w:r w:rsidRPr="0059485F">
        <w:rPr>
          <w:rFonts w:ascii="Palatino Linotype" w:eastAsia="Palatino Linotype" w:hAnsi="Palatino Linotype" w:cs="Palatino Linotype"/>
          <w:i/>
          <w:iCs/>
          <w:sz w:val="22"/>
          <w:szCs w:val="22"/>
        </w:rPr>
        <w:t>;</w:t>
      </w:r>
    </w:p>
    <w:p w14:paraId="2B8125E2"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IV.</w:t>
      </w:r>
      <w:r w:rsidRPr="0059485F">
        <w:rPr>
          <w:rFonts w:ascii="Palatino Linotype" w:eastAsia="Palatino Linotype" w:hAnsi="Palatino Linotype" w:cs="Palatino Linotype"/>
          <w:i/>
          <w:iCs/>
          <w:sz w:val="22"/>
          <w:szCs w:val="22"/>
        </w:rPr>
        <w:t xml:space="preserve"> Cuotas de aportación a fondos para la constitución de cooperativas y de cajas de ahorro, siempre que el servidor público hubiese manifestado previamente, de manera expresa, su conformidad;</w:t>
      </w:r>
    </w:p>
    <w:p w14:paraId="14971DDB"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w:t>
      </w:r>
      <w:r w:rsidRPr="0059485F">
        <w:rPr>
          <w:rFonts w:ascii="Palatino Linotype" w:eastAsia="Palatino Linotype" w:hAnsi="Palatino Linotype" w:cs="Palatino Linotype"/>
          <w:i/>
          <w:iCs/>
          <w:sz w:val="22"/>
          <w:szCs w:val="22"/>
        </w:rPr>
        <w:t xml:space="preserve"> Descuentos ordenados por el Instituto de Seguridad Social del Estado de México y Municipios, con motivo de cuotas y obligaciones contraídas con éste por los servidores públicos;</w:t>
      </w:r>
    </w:p>
    <w:p w14:paraId="04610A5E"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VI.</w:t>
      </w:r>
      <w:r w:rsidRPr="0059485F">
        <w:rPr>
          <w:rFonts w:ascii="Palatino Linotype" w:eastAsia="Palatino Linotype" w:hAnsi="Palatino Linotype" w:cs="Palatino Linotype"/>
          <w:i/>
          <w:iCs/>
          <w:sz w:val="22"/>
          <w:szCs w:val="22"/>
        </w:rPr>
        <w:t xml:space="preserve"> Obligaciones a cargo del servidor público con las que haya consentido, derivadas de la adquisición o del uso de habitaciones consideradas como de interés social;</w:t>
      </w:r>
    </w:p>
    <w:p w14:paraId="19D76748"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VII.</w:t>
      </w:r>
      <w:r w:rsidRPr="0059485F">
        <w:rPr>
          <w:rFonts w:ascii="Palatino Linotype" w:eastAsia="Palatino Linotype" w:hAnsi="Palatino Linotype" w:cs="Palatino Linotype"/>
          <w:i/>
          <w:iCs/>
          <w:sz w:val="22"/>
          <w:szCs w:val="22"/>
        </w:rPr>
        <w:t xml:space="preserve"> Faltas de puntualidad o de asistencia injustificadas;</w:t>
      </w:r>
    </w:p>
    <w:p w14:paraId="77A1F24B"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VIII. Pensiones alimenticias ordenadas por la autoridad judicial;</w:t>
      </w:r>
      <w:r w:rsidRPr="0059485F">
        <w:rPr>
          <w:rFonts w:ascii="Palatino Linotype" w:eastAsia="Palatino Linotype" w:hAnsi="Palatino Linotype" w:cs="Palatino Linotype"/>
          <w:i/>
          <w:iCs/>
          <w:sz w:val="22"/>
          <w:szCs w:val="22"/>
        </w:rPr>
        <w:t xml:space="preserve"> o</w:t>
      </w:r>
    </w:p>
    <w:p w14:paraId="1AD92FD8"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b/>
          <w:bCs/>
          <w:i/>
          <w:iCs/>
          <w:sz w:val="22"/>
          <w:szCs w:val="22"/>
        </w:rPr>
      </w:pPr>
      <w:r w:rsidRPr="0059485F">
        <w:rPr>
          <w:rFonts w:ascii="Palatino Linotype" w:eastAsia="Palatino Linotype" w:hAnsi="Palatino Linotype" w:cs="Palatino Linotype"/>
          <w:b/>
          <w:bCs/>
          <w:i/>
          <w:iCs/>
          <w:sz w:val="22"/>
          <w:szCs w:val="22"/>
        </w:rPr>
        <w:t>IX. Cualquier otro convenido con instituciones de servicios y aceptado por el servidor público.</w:t>
      </w:r>
    </w:p>
    <w:p w14:paraId="190D2A0B"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14:paraId="2912A0CB"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14:paraId="4AAF5972"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De este modo, los </w:t>
      </w:r>
      <w:r w:rsidRPr="0059485F">
        <w:rPr>
          <w:rFonts w:ascii="Palatino Linotype" w:eastAsia="Palatino Linotype" w:hAnsi="Palatino Linotype" w:cs="Palatino Linotype"/>
          <w:b/>
          <w:bCs/>
          <w:sz w:val="22"/>
          <w:szCs w:val="22"/>
        </w:rPr>
        <w:t>descuentos o deducciones por cuotas sindicales</w:t>
      </w:r>
      <w:r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b/>
          <w:bCs/>
          <w:sz w:val="22"/>
          <w:szCs w:val="22"/>
        </w:rPr>
        <w:t>pensiones alimenticias</w:t>
      </w:r>
      <w:r w:rsidRPr="0059485F">
        <w:rPr>
          <w:rFonts w:ascii="Palatino Linotype" w:eastAsia="Palatino Linotype" w:hAnsi="Palatino Linotype" w:cs="Palatino Linotype"/>
          <w:sz w:val="22"/>
          <w:szCs w:val="22"/>
        </w:rPr>
        <w:t xml:space="preserve"> o </w:t>
      </w:r>
      <w:r w:rsidRPr="0059485F">
        <w:rPr>
          <w:rFonts w:ascii="Palatino Linotype" w:eastAsia="Palatino Linotype" w:hAnsi="Palatino Linotype" w:cs="Palatino Linotype"/>
          <w:b/>
          <w:bCs/>
          <w:sz w:val="22"/>
          <w:szCs w:val="22"/>
        </w:rPr>
        <w:t>créditos adquiridos con instituciones privadas</w:t>
      </w:r>
      <w:r w:rsidRPr="0059485F">
        <w:rPr>
          <w:rFonts w:ascii="Palatino Linotype" w:eastAsia="Palatino Linotype" w:hAnsi="Palatino Linotype" w:cs="Palatino Linotype"/>
          <w:sz w:val="22"/>
          <w:szCs w:val="22"/>
        </w:rPr>
        <w:t xml:space="preserve">, entre otros que no se relacionen con el gasto público, al revelar parte de las decisiones que adopta una persona respecto del uso y destino de su remuneración salarial, lo cual incide en la manera en que se integra su patrimonio, </w:t>
      </w:r>
      <w:r w:rsidRPr="0059485F">
        <w:rPr>
          <w:rFonts w:ascii="Palatino Linotype" w:eastAsia="Palatino Linotype" w:hAnsi="Palatino Linotype" w:cs="Palatino Linotype"/>
          <w:b/>
          <w:bCs/>
          <w:sz w:val="22"/>
          <w:szCs w:val="22"/>
        </w:rPr>
        <w:t>es información que no es de carácter público, sino que constituye información confidencial</w:t>
      </w:r>
      <w:r w:rsidRPr="0059485F">
        <w:rPr>
          <w:rFonts w:ascii="Palatino Linotype" w:eastAsia="Palatino Linotype" w:hAnsi="Palatino Linotype" w:cs="Palatino Linotype"/>
          <w:sz w:val="22"/>
          <w:szCs w:val="22"/>
        </w:rPr>
        <w:t xml:space="preserve"> en virtud de que corresponde con decisiones personales, y por tanto, se debe clasificar.</w:t>
      </w:r>
    </w:p>
    <w:p w14:paraId="4407521D" w14:textId="77777777" w:rsidR="00576638" w:rsidRPr="0059485F" w:rsidRDefault="00576638" w:rsidP="00576638">
      <w:pPr>
        <w:pBdr>
          <w:top w:val="nil"/>
          <w:left w:val="nil"/>
          <w:bottom w:val="nil"/>
          <w:right w:val="nil"/>
          <w:between w:val="nil"/>
        </w:pBdr>
        <w:spacing w:after="20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14:paraId="67E60B5C" w14:textId="77777777" w:rsidR="00576638" w:rsidRPr="0059485F" w:rsidRDefault="00576638" w:rsidP="00576638">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conclusión, la información relacionada con deducciones personales, únicamente por lo que corresponde a los préstamos o descuentos de carácter personal, en virtud de no tener relación con la prestación del servicio y al no involucrar instituciones públicas, se consideran datos confidenciales.</w:t>
      </w:r>
    </w:p>
    <w:p w14:paraId="7F4EA6AE"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Por lo que tratándose de deducciones establecidas por Ley las mismas serán públicas, esto excluyendo a las de carácter personal.</w:t>
      </w:r>
    </w:p>
    <w:p w14:paraId="075D4E63" w14:textId="77777777" w:rsidR="00576638" w:rsidRPr="0059485F" w:rsidRDefault="00576638" w:rsidP="00576638">
      <w:pPr>
        <w:spacing w:line="360" w:lineRule="auto"/>
        <w:jc w:val="both"/>
        <w:rPr>
          <w:rFonts w:ascii="Palatino Linotype" w:eastAsia="Palatino Linotype" w:hAnsi="Palatino Linotype" w:cs="Palatino Linotype"/>
          <w:b/>
          <w:bCs/>
          <w:sz w:val="22"/>
          <w:szCs w:val="22"/>
          <w:u w:val="single"/>
        </w:rPr>
      </w:pPr>
    </w:p>
    <w:p w14:paraId="2194D21B" w14:textId="77777777" w:rsidR="00576638" w:rsidRPr="0059485F" w:rsidRDefault="00576638" w:rsidP="00576638">
      <w:pPr>
        <w:numPr>
          <w:ilvl w:val="0"/>
          <w:numId w:val="22"/>
        </w:numPr>
        <w:spacing w:line="360" w:lineRule="auto"/>
        <w:ind w:left="284" w:hanging="284"/>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b/>
          <w:bCs/>
          <w:sz w:val="22"/>
          <w:szCs w:val="22"/>
        </w:rPr>
        <w:t>Número de Empleado:</w:t>
      </w:r>
    </w:p>
    <w:p w14:paraId="654D1ABE"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5A07C90F"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relación con el número de empleado de servidores públicos o su equivalente, con independencia del nombre que reciba, constituye un instrumento de control interno que permite a las dependencias y entidades identificar a sus trabajadores y a estos les facilita la realización de gestiones en su carácter de empleado.</w:t>
      </w:r>
    </w:p>
    <w:p w14:paraId="77B91CB6"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138F7146"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ese sentido, cuando el número de empleado se integre de datos personales de los trabajadores, procede su clasificación en términos de lo previsto en el artículo 143, fracción I de la Ley de Transparencia y Acceso a la Información Pública del Estado de México y Municipios; sin embargo, cuando dicho dato se conforma de dígitos, letras o símbolos que no revelan datos personales, no reviste el carácter de confidencial, al no dar por sí solo acceso a datos personales.</w:t>
      </w:r>
    </w:p>
    <w:p w14:paraId="00F9475A"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7632EEA8"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Lo anterior, toma sustento en el Criterio de Interpretación, de la Segunda Época, con número de registro SO/006/2019, emitido por el Instituto Nacional de Transparencia, Acceso a la Información y Protección de Datos Personales, que establece lo siguiente:</w:t>
      </w:r>
    </w:p>
    <w:p w14:paraId="1AFA8E42"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1930364C" w14:textId="77777777" w:rsidR="00576638" w:rsidRPr="0059485F" w:rsidRDefault="00576638" w:rsidP="00576638">
      <w:pPr>
        <w:spacing w:line="259" w:lineRule="auto"/>
        <w:ind w:left="851" w:right="851"/>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b/>
          <w:bCs/>
          <w:i/>
          <w:iCs/>
          <w:sz w:val="22"/>
          <w:szCs w:val="22"/>
        </w:rPr>
        <w:t>Número de empleado</w:t>
      </w:r>
      <w:r w:rsidRPr="0059485F">
        <w:rPr>
          <w:rFonts w:ascii="Palatino Linotype" w:eastAsia="Palatino Linotype" w:hAnsi="Palatino Linotype" w:cs="Palatino Linotype"/>
          <w:i/>
          <w:iCs/>
          <w:sz w:val="22"/>
          <w:szCs w:val="22"/>
        </w:rPr>
        <w:t>. 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confidencial.”(Sic)</w:t>
      </w:r>
    </w:p>
    <w:p w14:paraId="699FBD8D"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Así, se colige que solamente procederá la clasificación del número de empleado, cuando se integre con datos personales de los servidores públicos o funcione como clave de acceso que no requiera una contraseña para ingresar a sistemas o bases de datos.</w:t>
      </w:r>
    </w:p>
    <w:p w14:paraId="3037B00D"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p>
    <w:p w14:paraId="6369B6CA" w14:textId="77777777" w:rsidR="00576638" w:rsidRPr="0059485F" w:rsidRDefault="00576638" w:rsidP="00576638">
      <w:pPr>
        <w:spacing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De tales circunstancias, se considera que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deberá proporcionar dicho dato, en el caso, de que este se conforme únicamente de números, símbolos o dígitos, que de ninguna manera puedan revelar datos personales o de acceso a sistemas con información de los trabajadores; en el caso contrario, procederá su clasificación, en términos del artículo 143, fracción I, de la Ley de la materia.</w:t>
      </w:r>
    </w:p>
    <w:p w14:paraId="69965BF1" w14:textId="77777777" w:rsidR="00576638" w:rsidRPr="0059485F" w:rsidRDefault="00576638" w:rsidP="00576638">
      <w:pPr>
        <w:spacing w:line="360" w:lineRule="auto"/>
        <w:jc w:val="both"/>
        <w:rPr>
          <w:rFonts w:ascii="Palatino Linotype" w:eastAsia="Palatino Linotype" w:hAnsi="Palatino Linotype" w:cs="Palatino Linotype"/>
          <w:b/>
          <w:bCs/>
          <w:sz w:val="22"/>
          <w:szCs w:val="22"/>
        </w:rPr>
      </w:pPr>
    </w:p>
    <w:p w14:paraId="4852105B"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bCs/>
          <w:sz w:val="22"/>
          <w:szCs w:val="22"/>
        </w:rPr>
        <w:t>De la información fiscal</w:t>
      </w:r>
      <w:r w:rsidRPr="0059485F">
        <w:rPr>
          <w:rFonts w:ascii="Palatino Linotype" w:eastAsia="Palatino Linotype" w:hAnsi="Palatino Linotype" w:cs="Palatino Linotype"/>
          <w:sz w:val="22"/>
          <w:szCs w:val="22"/>
        </w:rPr>
        <w:t xml:space="preserve">: </w:t>
      </w:r>
    </w:p>
    <w:p w14:paraId="0F4A4ACE" w14:textId="77777777" w:rsidR="00576638" w:rsidRPr="0059485F" w:rsidRDefault="00576638" w:rsidP="00576638">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bCs/>
          <w:sz w:val="22"/>
          <w:szCs w:val="22"/>
          <w:u w:val="single"/>
        </w:rPr>
        <w:t>Por lo que hace Folio Fiscal</w:t>
      </w:r>
      <w:r w:rsidRPr="0059485F">
        <w:rPr>
          <w:rFonts w:ascii="Palatino Linotype" w:eastAsia="Palatino Linotype" w:hAnsi="Palatino Linotype" w:cs="Palatino Linotype"/>
          <w:sz w:val="22"/>
          <w:szCs w:val="22"/>
        </w:rPr>
        <w:t xml:space="preserve">, conforme al ANEXO 20 de la Segunda Resolución de modificaciones a la Resolución Miscelánea Fiscal, el folio fiscal se conforma de treinta seis caracteres alfanuméricos; además, que conforme al documento denominado “Cómo ubicar el Folio Fiscal en una factura”, el dato se ubica dentro de los datos del emisor o en el recuadro de los datos de identificación del comprobante fiscal. Es un número consecutivo contenido en los comprobantes fiscales digitales, compuesto por 5 grupos de números y letras separados por guiones. </w:t>
      </w:r>
    </w:p>
    <w:p w14:paraId="302468D9" w14:textId="77777777" w:rsidR="00576638" w:rsidRPr="0059485F" w:rsidRDefault="00576638" w:rsidP="00576638">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7FD72685" w14:textId="77777777" w:rsidR="00576638" w:rsidRPr="0059485F" w:rsidRDefault="00576638" w:rsidP="00576638">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ese contexto, del folio fiscal no se puede obtener información confidencial del emisor, pues solamente es un identificador del emisor, del cual su transparencia ayuda a legitimar que el documento cumple con todos los requisitos establecidos en la normatividad aplicable, sin necesidad algún dato personal, por lo que, </w:t>
      </w:r>
      <w:r w:rsidRPr="0059485F">
        <w:rPr>
          <w:rFonts w:ascii="Palatino Linotype" w:eastAsia="Palatino Linotype" w:hAnsi="Palatino Linotype" w:cs="Palatino Linotype"/>
          <w:b/>
          <w:bCs/>
          <w:sz w:val="22"/>
          <w:szCs w:val="22"/>
        </w:rPr>
        <w:t>no se actualiza la clasificación</w:t>
      </w:r>
      <w:r w:rsidRPr="0059485F">
        <w:rPr>
          <w:rFonts w:ascii="Palatino Linotype" w:eastAsia="Palatino Linotype" w:hAnsi="Palatino Linotype" w:cs="Palatino Linotype"/>
          <w:sz w:val="22"/>
          <w:szCs w:val="22"/>
        </w:rPr>
        <w:t>, en términos del artículo 143, fracción I de la Ley de la materia.</w:t>
      </w:r>
    </w:p>
    <w:p w14:paraId="7BEDA669" w14:textId="77777777" w:rsidR="00576638" w:rsidRPr="0059485F" w:rsidRDefault="00576638" w:rsidP="00576638">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67161223" w14:textId="77777777" w:rsidR="00576638" w:rsidRPr="0059485F" w:rsidRDefault="00576638" w:rsidP="00576638">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bCs/>
          <w:sz w:val="22"/>
          <w:szCs w:val="22"/>
          <w:u w:val="single"/>
        </w:rPr>
        <w:t>Sobre el lugar y fecha de emisión del comprobante</w:t>
      </w:r>
      <w:r w:rsidRPr="0059485F">
        <w:rPr>
          <w:rFonts w:ascii="Palatino Linotype" w:eastAsia="Palatino Linotype" w:hAnsi="Palatino Linotype" w:cs="Palatino Linotype"/>
          <w:sz w:val="22"/>
          <w:szCs w:val="22"/>
        </w:rPr>
        <w:t>, se considera que dicha información tampoco actualiza la causal de clasificación en términos del artículo 143, fracción I de la Ley de la materia, en razón de que únicamente darían cuenta de lugar y fecha donde se emitió el comprobante (ejemplo: Toluca, Estado de México a 14 de agosto de 2025).</w:t>
      </w:r>
    </w:p>
    <w:p w14:paraId="54C2BCA1"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Sobre la </w:t>
      </w:r>
      <w:r w:rsidRPr="0059485F">
        <w:rPr>
          <w:rFonts w:ascii="Palatino Linotype" w:eastAsia="Palatino Linotype" w:hAnsi="Palatino Linotype" w:cs="Palatino Linotype"/>
          <w:b/>
          <w:bCs/>
          <w:sz w:val="22"/>
          <w:szCs w:val="22"/>
        </w:rPr>
        <w:t>Cadena Original</w:t>
      </w:r>
      <w:r w:rsidRPr="0059485F">
        <w:rPr>
          <w:rFonts w:ascii="Palatino Linotype" w:eastAsia="Palatino Linotype" w:hAnsi="Palatino Linotype" w:cs="Palatino Linotype"/>
          <w:sz w:val="22"/>
          <w:szCs w:val="22"/>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analizar dicha circunstancia con la finalidad de proteger, de ser el caso, la información a través de su clasificación por actualizarse el supuesto de confidencialidad.</w:t>
      </w:r>
    </w:p>
    <w:p w14:paraId="4DCB4640"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Los </w:t>
      </w:r>
      <w:r w:rsidRPr="0059485F">
        <w:rPr>
          <w:rFonts w:ascii="Palatino Linotype" w:eastAsia="Palatino Linotype" w:hAnsi="Palatino Linotype" w:cs="Palatino Linotype"/>
          <w:b/>
          <w:bCs/>
          <w:sz w:val="22"/>
          <w:szCs w:val="22"/>
        </w:rPr>
        <w:t>códigos bidimensionales</w:t>
      </w:r>
      <w:r w:rsidRPr="0059485F">
        <w:rPr>
          <w:rFonts w:ascii="Palatino Linotype" w:eastAsia="Palatino Linotype" w:hAnsi="Palatino Linotype" w:cs="Palatino Linotype"/>
          <w:sz w:val="22"/>
          <w:szCs w:val="22"/>
        </w:rPr>
        <w:t xml:space="preserve"> o </w:t>
      </w:r>
      <w:r w:rsidRPr="0059485F">
        <w:rPr>
          <w:rFonts w:ascii="Palatino Linotype" w:eastAsia="Palatino Linotype" w:hAnsi="Palatino Linotype" w:cs="Palatino Linotype"/>
          <w:b/>
          <w:bCs/>
          <w:sz w:val="22"/>
          <w:szCs w:val="22"/>
        </w:rPr>
        <w:t xml:space="preserve">códigos QR, </w:t>
      </w:r>
      <w:r w:rsidRPr="0059485F">
        <w:rPr>
          <w:rFonts w:ascii="Palatino Linotype" w:eastAsia="Palatino Linotype" w:hAnsi="Palatino Linotype" w:cs="Palatino Linotype"/>
          <w:sz w:val="22"/>
          <w:szCs w:val="22"/>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analizar dicha circunstancia con la finalidad de determinar si se actualiza algún supuesto de confidencialidad.</w:t>
      </w:r>
    </w:p>
    <w:p w14:paraId="0A52F652"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En tal sentido, si derivado del análisis efectuado por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vulnerar la esfera más íntima de privacidad de su titular, deberá clasificarla como confidencial, de manera fundada y motivada en términos del artículo 143, fracción I de la Ley de Transparencia y Acceso a la Información Pública del Estado de México y Municipios.</w:t>
      </w:r>
    </w:p>
    <w:p w14:paraId="2BC05EF0" w14:textId="77777777" w:rsidR="00576638" w:rsidRPr="0059485F" w:rsidRDefault="00576638" w:rsidP="00576638">
      <w:pPr>
        <w:spacing w:before="240" w:after="240" w:line="360" w:lineRule="auto"/>
        <w:ind w:right="50"/>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0E06EB0B"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49.</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Los Comités de Transparencia</w:t>
      </w:r>
      <w:r w:rsidRPr="0059485F">
        <w:rPr>
          <w:rFonts w:ascii="Palatino Linotype" w:eastAsia="Palatino Linotype" w:hAnsi="Palatino Linotype" w:cs="Palatino Linotype"/>
          <w:i/>
          <w:iCs/>
          <w:sz w:val="22"/>
          <w:szCs w:val="22"/>
        </w:rPr>
        <w:t xml:space="preserve"> tendrán las siguientes atribuciones:</w:t>
      </w:r>
    </w:p>
    <w:p w14:paraId="3A73ADE8"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VIII. Aprobar, modificar o revocar la clasificación de la información</w:t>
      </w:r>
      <w:r w:rsidRPr="0059485F">
        <w:rPr>
          <w:rFonts w:ascii="Palatino Linotype" w:eastAsia="Palatino Linotype" w:hAnsi="Palatino Linotype" w:cs="Palatino Linotype"/>
          <w:i/>
          <w:iCs/>
          <w:sz w:val="22"/>
          <w:szCs w:val="22"/>
        </w:rPr>
        <w:t>…”</w:t>
      </w:r>
    </w:p>
    <w:p w14:paraId="02E37DDE"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b/>
          <w:bCs/>
          <w:i/>
          <w:iCs/>
          <w:sz w:val="22"/>
          <w:szCs w:val="22"/>
        </w:rPr>
        <w:t>Artículo 53.</w:t>
      </w:r>
      <w:r w:rsidRPr="0059485F">
        <w:rPr>
          <w:rFonts w:ascii="Palatino Linotype" w:eastAsia="Palatino Linotype" w:hAnsi="Palatino Linotype" w:cs="Palatino Linotype"/>
          <w:i/>
          <w:iCs/>
          <w:sz w:val="22"/>
          <w:szCs w:val="22"/>
        </w:rPr>
        <w:t xml:space="preserve"> Las </w:t>
      </w:r>
      <w:r w:rsidRPr="0059485F">
        <w:rPr>
          <w:rFonts w:ascii="Palatino Linotype" w:eastAsia="Palatino Linotype" w:hAnsi="Palatino Linotype" w:cs="Palatino Linotype"/>
          <w:b/>
          <w:bCs/>
          <w:i/>
          <w:iCs/>
          <w:sz w:val="22"/>
          <w:szCs w:val="22"/>
        </w:rPr>
        <w:t>Unidades de Transparencia</w:t>
      </w:r>
      <w:r w:rsidRPr="0059485F">
        <w:rPr>
          <w:rFonts w:ascii="Palatino Linotype" w:eastAsia="Palatino Linotype" w:hAnsi="Palatino Linotype" w:cs="Palatino Linotype"/>
          <w:i/>
          <w:iCs/>
          <w:sz w:val="22"/>
          <w:szCs w:val="22"/>
        </w:rPr>
        <w:t xml:space="preserve"> tendrán las siguientes </w:t>
      </w:r>
      <w:r w:rsidRPr="0059485F">
        <w:rPr>
          <w:rFonts w:ascii="Palatino Linotype" w:eastAsia="Palatino Linotype" w:hAnsi="Palatino Linotype" w:cs="Palatino Linotype"/>
          <w:b/>
          <w:bCs/>
          <w:i/>
          <w:iCs/>
          <w:sz w:val="22"/>
          <w:szCs w:val="22"/>
        </w:rPr>
        <w:t>funciones</w:t>
      </w:r>
      <w:r w:rsidRPr="0059485F">
        <w:rPr>
          <w:rFonts w:ascii="Palatino Linotype" w:eastAsia="Palatino Linotype" w:hAnsi="Palatino Linotype" w:cs="Palatino Linotype"/>
          <w:i/>
          <w:iCs/>
          <w:sz w:val="22"/>
          <w:szCs w:val="22"/>
        </w:rPr>
        <w:t>:</w:t>
      </w:r>
    </w:p>
    <w:p w14:paraId="6C60664B"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X. Presentar ante el Comité, el proyecto de clasificación de información</w:t>
      </w:r>
      <w:r w:rsidRPr="0059485F">
        <w:rPr>
          <w:rFonts w:ascii="Palatino Linotype" w:eastAsia="Palatino Linotype" w:hAnsi="Palatino Linotype" w:cs="Palatino Linotype"/>
          <w:i/>
          <w:iCs/>
          <w:sz w:val="22"/>
          <w:szCs w:val="22"/>
        </w:rPr>
        <w:t xml:space="preserve">…” </w:t>
      </w:r>
    </w:p>
    <w:p w14:paraId="49413160"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“Artículo 59.</w:t>
      </w:r>
      <w:r w:rsidRPr="0059485F">
        <w:rPr>
          <w:rFonts w:ascii="Palatino Linotype" w:eastAsia="Palatino Linotype" w:hAnsi="Palatino Linotype" w:cs="Palatino Linotype"/>
          <w:i/>
          <w:iCs/>
          <w:sz w:val="22"/>
          <w:szCs w:val="22"/>
        </w:rPr>
        <w:t xml:space="preserve"> Los </w:t>
      </w:r>
      <w:r w:rsidRPr="0059485F">
        <w:rPr>
          <w:rFonts w:ascii="Palatino Linotype" w:eastAsia="Palatino Linotype" w:hAnsi="Palatino Linotype" w:cs="Palatino Linotype"/>
          <w:b/>
          <w:bCs/>
          <w:i/>
          <w:iCs/>
          <w:sz w:val="22"/>
          <w:szCs w:val="22"/>
        </w:rPr>
        <w:t>servidores públicos habilitados</w:t>
      </w:r>
      <w:r w:rsidRPr="0059485F">
        <w:rPr>
          <w:rFonts w:ascii="Palatino Linotype" w:eastAsia="Palatino Linotype" w:hAnsi="Palatino Linotype" w:cs="Palatino Linotype"/>
          <w:i/>
          <w:iCs/>
          <w:sz w:val="22"/>
          <w:szCs w:val="22"/>
        </w:rPr>
        <w:t xml:space="preserve"> tendrán las </w:t>
      </w:r>
      <w:r w:rsidRPr="0059485F">
        <w:rPr>
          <w:rFonts w:ascii="Palatino Linotype" w:eastAsia="Palatino Linotype" w:hAnsi="Palatino Linotype" w:cs="Palatino Linotype"/>
          <w:b/>
          <w:bCs/>
          <w:i/>
          <w:iCs/>
          <w:sz w:val="22"/>
          <w:szCs w:val="22"/>
        </w:rPr>
        <w:t>funciones</w:t>
      </w:r>
      <w:r w:rsidRPr="0059485F">
        <w:rPr>
          <w:rFonts w:ascii="Palatino Linotype" w:eastAsia="Palatino Linotype" w:hAnsi="Palatino Linotype" w:cs="Palatino Linotype"/>
          <w:i/>
          <w:iCs/>
          <w:sz w:val="22"/>
          <w:szCs w:val="22"/>
        </w:rPr>
        <w:t xml:space="preserve"> siguientes:</w:t>
      </w:r>
    </w:p>
    <w:p w14:paraId="65101075"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59485F">
        <w:rPr>
          <w:rFonts w:ascii="Palatino Linotype" w:eastAsia="Palatino Linotype" w:hAnsi="Palatino Linotype" w:cs="Palatino Linotype"/>
          <w:i/>
          <w:iCs/>
          <w:sz w:val="22"/>
          <w:szCs w:val="22"/>
        </w:rPr>
        <w:t>, la cual tendrá los fundamentos y argumentos en que se basa dicha propuesta…”</w:t>
      </w:r>
    </w:p>
    <w:p w14:paraId="34543784"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1DE282B8"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15BD966D"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b/>
          <w:bCs/>
          <w:i/>
          <w:iCs/>
          <w:sz w:val="22"/>
          <w:szCs w:val="22"/>
        </w:rPr>
        <w:t>Artículo 149.</w:t>
      </w:r>
      <w:r w:rsidRPr="0059485F">
        <w:rPr>
          <w:rFonts w:ascii="Palatino Linotype" w:eastAsia="Palatino Linotype" w:hAnsi="Palatino Linotype" w:cs="Palatino Linotype"/>
          <w:i/>
          <w:iCs/>
          <w:sz w:val="22"/>
          <w:szCs w:val="22"/>
        </w:rPr>
        <w:t xml:space="preserve"> El </w:t>
      </w:r>
      <w:r w:rsidRPr="0059485F">
        <w:rPr>
          <w:rFonts w:ascii="Palatino Linotype" w:eastAsia="Palatino Linotype" w:hAnsi="Palatino Linotype" w:cs="Palatino Linotype"/>
          <w:b/>
          <w:bCs/>
          <w:i/>
          <w:iCs/>
          <w:sz w:val="22"/>
          <w:szCs w:val="22"/>
        </w:rPr>
        <w:t>acuerdo que clasifique la información como confidencial</w:t>
      </w:r>
      <w:r w:rsidRPr="0059485F">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25409550" w14:textId="77777777" w:rsidR="00576638" w:rsidRPr="0059485F" w:rsidRDefault="00576638" w:rsidP="00576638">
      <w:pPr>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Es decir,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39ACDD01" w14:textId="77777777" w:rsidR="00576638" w:rsidRPr="0059485F" w:rsidRDefault="00576638" w:rsidP="00576638">
      <w:pPr>
        <w:spacing w:before="240" w:after="240" w:line="360" w:lineRule="auto"/>
        <w:ind w:right="49"/>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Atento a lo anterior, cabe señalar que el Comité de Transparencia del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deberá emitir el acuerdo de clasificación de información debidamente fundado y motivado, en términos de los Lineamientos Segundo, fracción XVIII, y del Cuarto al Décimo Primero de los “Lineamientos Generales en materia de Clasificación y Desclasificación de la Información, así como para la elaboración de Versiones Públicas”, vigentes a la fecha de la solicitud que literalmente expresan:</w:t>
      </w:r>
    </w:p>
    <w:p w14:paraId="37A73905"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Segundo.-</w:t>
      </w:r>
      <w:r w:rsidRPr="0059485F">
        <w:rPr>
          <w:rFonts w:ascii="Palatino Linotype" w:eastAsia="Palatino Linotype" w:hAnsi="Palatino Linotype" w:cs="Palatino Linotype"/>
          <w:i/>
          <w:iCs/>
          <w:sz w:val="22"/>
          <w:szCs w:val="22"/>
        </w:rPr>
        <w:t xml:space="preserve"> Para efectos de los presentes Lineamientos Generales, se entenderá por:</w:t>
      </w:r>
    </w:p>
    <w:p w14:paraId="25433D80"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XVIII.</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Versión pública:</w:t>
      </w:r>
      <w:r w:rsidRPr="0059485F">
        <w:rPr>
          <w:rFonts w:ascii="Palatino Linotype" w:eastAsia="Palatino Linotype" w:hAnsi="Palatino Linotype" w:cs="Palatino Linotype"/>
          <w:i/>
          <w:iCs/>
          <w:sz w:val="22"/>
          <w:szCs w:val="22"/>
        </w:rPr>
        <w:t xml:space="preserve"> El documento a partir del que se otorga acceso a la información, en el que se testan partes o secciones clasificadas, indicando el contenido de éstas de manera genérica, </w:t>
      </w:r>
      <w:r w:rsidRPr="0059485F">
        <w:rPr>
          <w:rFonts w:ascii="Palatino Linotype" w:eastAsia="Palatino Linotype" w:hAnsi="Palatino Linotype" w:cs="Palatino Linotype"/>
          <w:b/>
          <w:bCs/>
          <w:i/>
          <w:iCs/>
          <w:sz w:val="22"/>
          <w:szCs w:val="22"/>
        </w:rPr>
        <w:t>fundando y motivando la</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reserva o confidencialidad</w:t>
      </w:r>
      <w:r w:rsidRPr="0059485F">
        <w:rPr>
          <w:rFonts w:ascii="Palatino Linotype" w:eastAsia="Palatino Linotype" w:hAnsi="Palatino Linotype" w:cs="Palatino Linotype"/>
          <w:i/>
          <w:iCs/>
          <w:sz w:val="22"/>
          <w:szCs w:val="22"/>
        </w:rPr>
        <w:t>, a través de la resolución que para tal efecto emita el Comité de Transparencia.</w:t>
      </w:r>
    </w:p>
    <w:p w14:paraId="1F9B1252"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b/>
          <w:bCs/>
          <w:i/>
          <w:iCs/>
          <w:sz w:val="22"/>
          <w:szCs w:val="22"/>
        </w:rPr>
      </w:pPr>
      <w:r w:rsidRPr="0059485F">
        <w:rPr>
          <w:rFonts w:ascii="Palatino Linotype" w:eastAsia="Palatino Linotype" w:hAnsi="Palatino Linotype" w:cs="Palatino Linotype"/>
          <w:b/>
          <w:bCs/>
          <w:i/>
          <w:iCs/>
          <w:sz w:val="22"/>
          <w:szCs w:val="22"/>
        </w:rPr>
        <w:t>...</w:t>
      </w:r>
    </w:p>
    <w:p w14:paraId="1B1A9DD2"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Cuarto.</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Para clasificar la información como</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reservada o</w:t>
      </w:r>
      <w:r w:rsidRPr="0059485F">
        <w:rPr>
          <w:rFonts w:ascii="Palatino Linotype" w:eastAsia="Palatino Linotype" w:hAnsi="Palatino Linotype" w:cs="Palatino Linotype"/>
          <w:i/>
          <w:iCs/>
          <w:sz w:val="22"/>
          <w:szCs w:val="22"/>
        </w:rPr>
        <w:t xml:space="preserve"> </w:t>
      </w:r>
      <w:r w:rsidRPr="0059485F">
        <w:rPr>
          <w:rFonts w:ascii="Palatino Linotype" w:eastAsia="Palatino Linotype" w:hAnsi="Palatino Linotype" w:cs="Palatino Linotype"/>
          <w:b/>
          <w:bCs/>
          <w:i/>
          <w:iCs/>
          <w:sz w:val="22"/>
          <w:szCs w:val="22"/>
        </w:rPr>
        <w:t>confidencial, de manera total o parcial, el titular del área del sujeto obligado deberá atender lo dispuesto por el Título Sexto de la Ley General</w:t>
      </w:r>
      <w:r w:rsidRPr="0059485F">
        <w:rPr>
          <w:rFonts w:ascii="Palatino Linotype" w:eastAsia="Palatino Linotype" w:hAnsi="Palatino Linotype" w:cs="Palatino Linotype"/>
          <w:i/>
          <w:iCs/>
          <w:sz w:val="22"/>
          <w:szCs w:val="22"/>
        </w:rPr>
        <w:t>, en relación con las disposiciones contenidas en los presentes lineamientos, así como en aquellas disposiciones legales aplicables a la materia en el ámbito de sus respectivas competencias, en tanto estas últimas no contravengan lo dispuesto en la Ley General.</w:t>
      </w:r>
    </w:p>
    <w:p w14:paraId="67254672"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Los sujetos obligados deberán aplicar, de manera estricta, las excepciones al derecho de acceso a la información y sólo podrán invocarlas cuando acrediten su procedencia.</w:t>
      </w:r>
    </w:p>
    <w:p w14:paraId="1C0C765B"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Quinto.</w:t>
      </w:r>
      <w:r w:rsidRPr="0059485F">
        <w:rPr>
          <w:rFonts w:ascii="Palatino Linotype" w:eastAsia="Palatino Linotype" w:hAnsi="Palatino Linotype" w:cs="Palatino Linotype"/>
          <w:i/>
          <w:iCs/>
          <w:sz w:val="22"/>
          <w:szCs w:val="22"/>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14:paraId="25254CF7"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Sexto.</w:t>
      </w:r>
      <w:r w:rsidRPr="0059485F">
        <w:rPr>
          <w:rFonts w:ascii="Palatino Linotype" w:eastAsia="Palatino Linotype" w:hAnsi="Palatino Linotype" w:cs="Palatino Linotype"/>
          <w:i/>
          <w:iCs/>
          <w:sz w:val="22"/>
          <w:szCs w:val="22"/>
        </w:rPr>
        <w:t xml:space="preserve"> Se deroga.</w:t>
      </w:r>
    </w:p>
    <w:p w14:paraId="23065349"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Séptimo.</w:t>
      </w:r>
      <w:r w:rsidRPr="0059485F">
        <w:rPr>
          <w:rFonts w:ascii="Palatino Linotype" w:eastAsia="Palatino Linotype" w:hAnsi="Palatino Linotype" w:cs="Palatino Linotype"/>
          <w:i/>
          <w:iCs/>
          <w:sz w:val="22"/>
          <w:szCs w:val="22"/>
        </w:rPr>
        <w:t xml:space="preserve"> La clasificación de la información se llevará a cabo en el momento en que:</w:t>
      </w:r>
    </w:p>
    <w:p w14:paraId="44B5C9CC"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Se reciba una solicitud de acceso a la información;</w:t>
      </w:r>
    </w:p>
    <w:p w14:paraId="0D0B6C62"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xml:space="preserve"> Se determine mediante resolución del Comité de Transparencia, el órgano garante competente, o en cumplimiento a una sentencia del Poder Judicial; o</w:t>
      </w:r>
    </w:p>
    <w:p w14:paraId="0A4993D7"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Se generen versiones públicas para dar cumplimiento a las obligaciones de transparencia previstas en la Ley General, la Ley Federal y las correspondientes de las entidades federativas.</w:t>
      </w:r>
    </w:p>
    <w:p w14:paraId="43B96756"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Los titulares de las áreas deberán revisar la clasificación al momento de la recepción de una solicitud de acceso, para verificar</w:t>
      </w:r>
      <w:r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i/>
          <w:iCs/>
          <w:sz w:val="22"/>
          <w:szCs w:val="22"/>
        </w:rPr>
        <w:t>conforme a su naturaleza, si encuadra en una causal de reserva o de confidencialidad.</w:t>
      </w:r>
    </w:p>
    <w:p w14:paraId="3ABE2BFA"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Octavo.</w:t>
      </w:r>
      <w:r w:rsidRPr="0059485F">
        <w:rPr>
          <w:rFonts w:ascii="Palatino Linotype" w:eastAsia="Palatino Linotype" w:hAnsi="Palatino Linotype" w:cs="Palatino Linotype"/>
          <w:i/>
          <w:iCs/>
          <w:sz w:val="22"/>
          <w:szCs w:val="22"/>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14:paraId="2CA9F894"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Para motivar la clasificación se deberán señalar las razones o circunstancias especiales que lo llevaron a concluir que el caso particular se ajusta al supuesto previsto por la norma legal invocada como fundamento.</w:t>
      </w:r>
    </w:p>
    <w:p w14:paraId="0FB208AE"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14:paraId="3C03B68E"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Noveno.</w:t>
      </w:r>
      <w:r w:rsidRPr="0059485F">
        <w:rPr>
          <w:rFonts w:ascii="Palatino Linotype" w:eastAsia="Palatino Linotype" w:hAnsi="Palatino Linotype" w:cs="Palatino Linotype"/>
          <w:i/>
          <w:iCs/>
          <w:sz w:val="22"/>
          <w:szCs w:val="22"/>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14:paraId="757F3A07"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Décimo.</w:t>
      </w:r>
      <w:r w:rsidRPr="0059485F">
        <w:rPr>
          <w:rFonts w:ascii="Palatino Linotype" w:eastAsia="Palatino Linotype" w:hAnsi="Palatino Linotype" w:cs="Palatino Linotype"/>
          <w:i/>
          <w:iCs/>
          <w:sz w:val="22"/>
          <w:szCs w:val="22"/>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14:paraId="2CE21395"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En ausencia de los titulares de las áreas, la información será clasificada o desclasificada por la persona que lo supla, en términos de la normativa que rija la actuación del sujeto obligado.</w:t>
      </w:r>
    </w:p>
    <w:p w14:paraId="78160A7A" w14:textId="77777777" w:rsidR="00576638" w:rsidRPr="0059485F" w:rsidRDefault="00576638" w:rsidP="00576638">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Décimo primero.</w:t>
      </w:r>
      <w:r w:rsidRPr="0059485F">
        <w:rPr>
          <w:rFonts w:ascii="Palatino Linotype" w:eastAsia="Palatino Linotype" w:hAnsi="Palatino Linotype" w:cs="Palatino Linotype"/>
          <w:i/>
          <w:iCs/>
          <w:sz w:val="22"/>
          <w:szCs w:val="22"/>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14:paraId="009CD1E0" w14:textId="77777777" w:rsidR="00576638" w:rsidRPr="0059485F" w:rsidRDefault="00576638" w:rsidP="00576638">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la solicitud, señalan lo siguiente:</w:t>
      </w:r>
    </w:p>
    <w:p w14:paraId="1B2C330D" w14:textId="77777777" w:rsidR="00576638" w:rsidRPr="0059485F" w:rsidRDefault="00576638" w:rsidP="00576638">
      <w:pPr>
        <w:spacing w:after="200" w:line="276"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xml:space="preserve">“Quincuagésimo. </w:t>
      </w:r>
      <w:r w:rsidRPr="0059485F">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09AF47CE" w14:textId="77777777" w:rsidR="00576638" w:rsidRPr="0059485F" w:rsidRDefault="00576638" w:rsidP="00576638">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xml:space="preserve">Quincuagésimo primero. </w:t>
      </w:r>
      <w:r w:rsidRPr="0059485F">
        <w:rPr>
          <w:rFonts w:ascii="Palatino Linotype" w:eastAsia="Palatino Linotype" w:hAnsi="Palatino Linotype" w:cs="Palatino Linotype"/>
          <w:i/>
          <w:iCs/>
          <w:sz w:val="22"/>
          <w:szCs w:val="22"/>
        </w:rPr>
        <w:t xml:space="preserve">Toda acta del Comité de Transparencia deberá contener: </w:t>
      </w:r>
    </w:p>
    <w:p w14:paraId="24624CCB"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El número de sesión y fecha; </w:t>
      </w:r>
    </w:p>
    <w:p w14:paraId="6A28C440"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xml:space="preserve">. El nombre del área que solicitó la clasificación de información; </w:t>
      </w:r>
    </w:p>
    <w:p w14:paraId="38FDABCC"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La fundamentación legal y motivación correspondiente; </w:t>
      </w:r>
    </w:p>
    <w:p w14:paraId="76B4797D"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IV</w:t>
      </w:r>
      <w:r w:rsidRPr="0059485F">
        <w:rPr>
          <w:rFonts w:ascii="Palatino Linotype" w:eastAsia="Palatino Linotype" w:hAnsi="Palatino Linotype" w:cs="Palatino Linotype"/>
          <w:i/>
          <w:iCs/>
          <w:sz w:val="22"/>
          <w:szCs w:val="22"/>
        </w:rPr>
        <w:t xml:space="preserve">. La resolución o resoluciones aprobadas; y </w:t>
      </w:r>
    </w:p>
    <w:p w14:paraId="04A59C16"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V</w:t>
      </w:r>
      <w:r w:rsidRPr="0059485F">
        <w:rPr>
          <w:rFonts w:ascii="Palatino Linotype" w:eastAsia="Palatino Linotype" w:hAnsi="Palatino Linotype" w:cs="Palatino Linotype"/>
          <w:i/>
          <w:iCs/>
          <w:sz w:val="22"/>
          <w:szCs w:val="22"/>
        </w:rPr>
        <w:t xml:space="preserve">. La rúbrica o firma digital de cada integrante del Comité de Transparencia. </w:t>
      </w:r>
    </w:p>
    <w:p w14:paraId="6061AC37" w14:textId="77777777" w:rsidR="00576638" w:rsidRPr="0059485F" w:rsidRDefault="00576638" w:rsidP="00576638">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 xml:space="preserve">Las resoluciones del Comité en las que se haya determinado confirmar o modificar la clasificación de información pública como reservada, deberán incluir, cuando menos: </w:t>
      </w:r>
    </w:p>
    <w:p w14:paraId="1E18AAFA"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Los motivos y razonamientos que sustenten la confirmación o modificación de la prueba de daño;</w:t>
      </w:r>
    </w:p>
    <w:p w14:paraId="3363E900"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b/>
          <w:bCs/>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Descripción de las partes o secciones reservadas, en caso de clasificación parcial</w:t>
      </w:r>
      <w:r w:rsidRPr="0059485F">
        <w:rPr>
          <w:rFonts w:ascii="Palatino Linotype" w:eastAsia="Palatino Linotype" w:hAnsi="Palatino Linotype" w:cs="Palatino Linotype"/>
          <w:b/>
          <w:bCs/>
          <w:i/>
          <w:iCs/>
          <w:sz w:val="22"/>
          <w:szCs w:val="22"/>
        </w:rPr>
        <w:t xml:space="preserve">; </w:t>
      </w:r>
    </w:p>
    <w:p w14:paraId="1AEE76F9"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El periodo por el que mantendrá su clasificación y fecha de expiración; y </w:t>
      </w:r>
    </w:p>
    <w:p w14:paraId="4956FD5B" w14:textId="77777777" w:rsidR="00576638" w:rsidRPr="0059485F" w:rsidRDefault="00576638" w:rsidP="00576638">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IV.</w:t>
      </w:r>
      <w:r w:rsidRPr="0059485F">
        <w:rPr>
          <w:rFonts w:ascii="Palatino Linotype" w:eastAsia="Palatino Linotype" w:hAnsi="Palatino Linotype" w:cs="Palatino Linotype"/>
          <w:i/>
          <w:iCs/>
          <w:sz w:val="22"/>
          <w:szCs w:val="22"/>
        </w:rPr>
        <w:t xml:space="preserve"> El nombre del titular y área encargada de realizar la versión pública del documento, en su caso. </w:t>
      </w:r>
    </w:p>
    <w:p w14:paraId="2942702A" w14:textId="77777777" w:rsidR="00576638" w:rsidRPr="0059485F" w:rsidRDefault="00576638" w:rsidP="00576638">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 xml:space="preserve">En los casos en que se clasifique la información como reservada siempre se entregará o anexará la prueba de daño con la respuesta al solicitante. </w:t>
      </w:r>
    </w:p>
    <w:p w14:paraId="74D5C882" w14:textId="77777777" w:rsidR="00576638" w:rsidRPr="0059485F" w:rsidRDefault="00576638" w:rsidP="00576638">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487A077B" w14:textId="77777777" w:rsidR="00576638" w:rsidRPr="0059485F" w:rsidRDefault="00576638" w:rsidP="00576638">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vigentes a la fecha de la solicitud, que establecen lo siguiente:</w:t>
      </w:r>
    </w:p>
    <w:p w14:paraId="0C7DD506"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r w:rsidRPr="0059485F">
        <w:rPr>
          <w:rFonts w:ascii="Palatino Linotype" w:eastAsia="Palatino Linotype" w:hAnsi="Palatino Linotype" w:cs="Palatino Linotype"/>
          <w:b/>
          <w:bCs/>
          <w:i/>
          <w:iCs/>
          <w:sz w:val="22"/>
          <w:szCs w:val="22"/>
        </w:rPr>
        <w:t>Quincuagésimo segundo</w:t>
      </w:r>
      <w:r w:rsidRPr="0059485F">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52620AC4"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1643D4E7" w14:textId="77777777" w:rsidR="00576638" w:rsidRPr="0059485F" w:rsidRDefault="00576638" w:rsidP="00576638">
      <w:pPr>
        <w:spacing w:after="200" w:line="276" w:lineRule="auto"/>
        <w:ind w:left="1134"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14:paraId="434B5146" w14:textId="77777777" w:rsidR="00576638" w:rsidRPr="0059485F" w:rsidRDefault="00576638" w:rsidP="00576638">
      <w:pPr>
        <w:spacing w:after="200" w:line="276" w:lineRule="auto"/>
        <w:ind w:left="1134"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14:paraId="3B79BC7A" w14:textId="77777777" w:rsidR="00576638" w:rsidRPr="0059485F" w:rsidRDefault="00576638" w:rsidP="00576638">
      <w:pPr>
        <w:spacing w:after="200" w:line="276" w:lineRule="auto"/>
        <w:ind w:left="1134"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Señalar las personas o instancias autorizadas a acceder a la información clasificada.</w:t>
      </w:r>
    </w:p>
    <w:p w14:paraId="48406A30"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6A36936B" w14:textId="77777777" w:rsidR="00576638" w:rsidRPr="0059485F" w:rsidRDefault="00576638" w:rsidP="00576638">
      <w:pPr>
        <w:pBdr>
          <w:top w:val="nil"/>
          <w:left w:val="nil"/>
          <w:bottom w:val="nil"/>
          <w:right w:val="nil"/>
          <w:between w:val="nil"/>
        </w:pBd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w:t>
      </w:r>
    </w:p>
    <w:p w14:paraId="4AC263DC" w14:textId="77777777" w:rsidR="00576638" w:rsidRPr="0059485F" w:rsidRDefault="00576638" w:rsidP="00576638">
      <w:pPr>
        <w:pBdr>
          <w:top w:val="nil"/>
          <w:left w:val="nil"/>
          <w:bottom w:val="nil"/>
          <w:right w:val="nil"/>
          <w:between w:val="nil"/>
        </w:pBdr>
        <w:spacing w:after="200" w:line="276" w:lineRule="auto"/>
        <w:ind w:left="851" w:right="616"/>
        <w:jc w:val="both"/>
        <w:rPr>
          <w:rFonts w:ascii="Palatino Linotype" w:eastAsia="Palatino Linotype" w:hAnsi="Palatino Linotype" w:cs="Palatino Linotype"/>
          <w:b/>
          <w:bCs/>
          <w:i/>
          <w:iCs/>
          <w:sz w:val="22"/>
          <w:szCs w:val="22"/>
        </w:rPr>
      </w:pPr>
      <w:r w:rsidRPr="0059485F">
        <w:rPr>
          <w:rFonts w:ascii="Palatino Linotype" w:eastAsia="Palatino Linotype" w:hAnsi="Palatino Linotype" w:cs="Palatino Linotype"/>
          <w:b/>
          <w:bCs/>
          <w:i/>
          <w:iCs/>
          <w:sz w:val="22"/>
          <w:szCs w:val="22"/>
        </w:rPr>
        <w:t xml:space="preserve">Quincuagésimo cuarto. </w:t>
      </w:r>
      <w:r w:rsidRPr="0059485F">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59485F">
        <w:rPr>
          <w:rFonts w:ascii="Palatino Linotype" w:eastAsia="Palatino Linotype" w:hAnsi="Palatino Linotype" w:cs="Palatino Linotype"/>
          <w:b/>
          <w:bCs/>
          <w:i/>
          <w:iCs/>
          <w:sz w:val="22"/>
          <w:szCs w:val="22"/>
        </w:rPr>
        <w:t xml:space="preserve"> </w:t>
      </w:r>
    </w:p>
    <w:p w14:paraId="1E7DCFA8"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 xml:space="preserve">Quincuagésimo quinto. </w:t>
      </w:r>
      <w:r w:rsidRPr="0059485F">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5B94269D"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b/>
          <w:bCs/>
          <w:i/>
          <w:iCs/>
          <w:sz w:val="22"/>
          <w:szCs w:val="22"/>
        </w:rPr>
      </w:pPr>
      <w:r w:rsidRPr="0059485F">
        <w:rPr>
          <w:rFonts w:ascii="Palatino Linotype" w:eastAsia="Palatino Linotype" w:hAnsi="Palatino Linotype" w:cs="Palatino Linotype"/>
          <w:b/>
          <w:bCs/>
          <w:i/>
          <w:iCs/>
          <w:sz w:val="22"/>
          <w:szCs w:val="22"/>
        </w:rPr>
        <w:t>...</w:t>
      </w:r>
    </w:p>
    <w:p w14:paraId="5D9A32EB"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Quincuagésimo séptimo</w:t>
      </w:r>
      <w:r w:rsidRPr="0059485F">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7FA0520F" w14:textId="77777777" w:rsidR="00576638" w:rsidRPr="0059485F" w:rsidRDefault="00576638" w:rsidP="00576638">
      <w:pPr>
        <w:spacing w:after="200" w:line="276" w:lineRule="auto"/>
        <w:ind w:left="1134"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w:t>
      </w:r>
      <w:r w:rsidRPr="0059485F">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447910D8" w14:textId="77777777" w:rsidR="00576638" w:rsidRPr="0059485F" w:rsidRDefault="00576638" w:rsidP="00576638">
      <w:pPr>
        <w:spacing w:after="200" w:line="276" w:lineRule="auto"/>
        <w:ind w:left="1134"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w:t>
      </w:r>
      <w:r w:rsidRPr="0059485F">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738810FF" w14:textId="77777777" w:rsidR="00576638" w:rsidRPr="0059485F" w:rsidRDefault="00576638" w:rsidP="00576638">
      <w:pPr>
        <w:spacing w:after="200" w:line="276" w:lineRule="auto"/>
        <w:ind w:left="1134"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III</w:t>
      </w:r>
      <w:r w:rsidRPr="0059485F">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4601015F"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14:paraId="2F9E615F" w14:textId="77777777" w:rsidR="00576638" w:rsidRPr="0059485F" w:rsidRDefault="00576638" w:rsidP="00576638">
      <w:pPr>
        <w:spacing w:after="200" w:line="276" w:lineRule="auto"/>
        <w:ind w:left="851" w:right="616"/>
        <w:jc w:val="both"/>
        <w:rPr>
          <w:rFonts w:ascii="Palatino Linotype" w:eastAsia="Palatino Linotype" w:hAnsi="Palatino Linotype" w:cs="Palatino Linotype"/>
          <w:i/>
          <w:iCs/>
          <w:sz w:val="22"/>
          <w:szCs w:val="22"/>
        </w:rPr>
      </w:pPr>
      <w:r w:rsidRPr="0059485F">
        <w:rPr>
          <w:rFonts w:ascii="Palatino Linotype" w:eastAsia="Palatino Linotype" w:hAnsi="Palatino Linotype" w:cs="Palatino Linotype"/>
          <w:b/>
          <w:bCs/>
          <w:i/>
          <w:iCs/>
          <w:sz w:val="22"/>
          <w:szCs w:val="22"/>
        </w:rPr>
        <w:t>Quincuagésimo octavo</w:t>
      </w:r>
      <w:r w:rsidRPr="0059485F">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14:paraId="6A0A3467" w14:textId="77777777" w:rsidR="00576638" w:rsidRPr="0059485F" w:rsidRDefault="00576638" w:rsidP="00576638">
      <w:pPr>
        <w:shd w:val="clear" w:color="auto" w:fill="FFFFFF"/>
        <w:spacing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Por lo tanto, la entrega de documentos en su versión pública debe acompañarse necesariamente del Acuerdo del Comité de Transparencia que la sustente, en el que se expongan los fundamentos y razonamientos que llevaron al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del </w:t>
      </w:r>
      <w:r w:rsidRPr="0059485F">
        <w:rPr>
          <w:rFonts w:ascii="Palatino Linotype" w:eastAsia="Palatino Linotype" w:hAnsi="Palatino Linotype" w:cs="Palatino Linotype"/>
          <w:b/>
          <w:bCs/>
          <w:sz w:val="22"/>
          <w:szCs w:val="22"/>
        </w:rPr>
        <w:t>Recurrente</w:t>
      </w:r>
      <w:r w:rsidRPr="0059485F">
        <w:rPr>
          <w:rFonts w:ascii="Palatino Linotype" w:eastAsia="Palatino Linotype" w:hAnsi="Palatino Linotype" w:cs="Palatino Linotype"/>
          <w:sz w:val="22"/>
          <w:szCs w:val="22"/>
        </w:rPr>
        <w:t>.</w:t>
      </w:r>
    </w:p>
    <w:p w14:paraId="2D424BB3" w14:textId="525346F7" w:rsidR="005A75CA" w:rsidRPr="0059485F" w:rsidRDefault="00E96B90" w:rsidP="00D7204E">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Así, con fundamento en lo prescrito en los artículos 5</w:t>
      </w:r>
      <w:r w:rsidR="00FD0FF9" w:rsidRPr="0059485F">
        <w:rPr>
          <w:rFonts w:ascii="Palatino Linotype" w:eastAsia="Palatino Linotype" w:hAnsi="Palatino Linotype" w:cs="Palatino Linotype"/>
          <w:sz w:val="22"/>
          <w:szCs w:val="22"/>
        </w:rPr>
        <w:t xml:space="preserve">, </w:t>
      </w:r>
      <w:r w:rsidR="00170F4F" w:rsidRPr="0059485F">
        <w:rPr>
          <w:rFonts w:ascii="Palatino Linotype" w:eastAsia="Palatino Linotype" w:hAnsi="Palatino Linotype" w:cs="Palatino Linotype"/>
          <w:sz w:val="22"/>
          <w:szCs w:val="22"/>
        </w:rPr>
        <w:t>párrafos cuadragésimo cuarto, cuadragésimo quinto y cuadragésimo sexto, fracciones IV y V de la Constitución Política del Estado Libre y Soberano de México; transitorio Cuarto del Decreto número 198 de la “LXII” Legislatura del Estado de México</w:t>
      </w:r>
      <w:r w:rsidRPr="0059485F">
        <w:rPr>
          <w:rFonts w:ascii="Palatino Linotype" w:eastAsia="Palatino Linotype" w:hAnsi="Palatino Linotype" w:cs="Palatino Linotype"/>
          <w:sz w:val="22"/>
          <w:szCs w:val="22"/>
        </w:rPr>
        <w:t>; 2, fracción II; 29, 36 fracciones I y II; 176, 178, 181, 185 y 186 fracción II</w:t>
      </w:r>
      <w:r w:rsidR="00576638" w:rsidRPr="0059485F">
        <w:rPr>
          <w:rFonts w:ascii="Palatino Linotype" w:eastAsia="Palatino Linotype" w:hAnsi="Palatino Linotype" w:cs="Palatino Linotype"/>
          <w:sz w:val="22"/>
          <w:szCs w:val="22"/>
        </w:rPr>
        <w:t>I</w:t>
      </w:r>
      <w:r w:rsidRPr="0059485F">
        <w:rPr>
          <w:rFonts w:ascii="Palatino Linotype" w:eastAsia="Palatino Linotype" w:hAnsi="Palatino Linotype" w:cs="Palatino Linotype"/>
          <w:sz w:val="22"/>
          <w:szCs w:val="22"/>
        </w:rPr>
        <w:t xml:space="preserve"> de la Ley de Transparencia y Acceso a la Información Pública del Estado de México y Municipios, este Pleno:</w:t>
      </w:r>
    </w:p>
    <w:p w14:paraId="635EEE69" w14:textId="77777777" w:rsidR="005A75CA" w:rsidRPr="0059485F" w:rsidRDefault="00E96B90" w:rsidP="00D7204E">
      <w:pPr>
        <w:pBdr>
          <w:top w:val="nil"/>
          <w:left w:val="nil"/>
          <w:bottom w:val="nil"/>
          <w:right w:val="nil"/>
          <w:between w:val="nil"/>
        </w:pBdr>
        <w:spacing w:before="240" w:after="240" w:line="360" w:lineRule="auto"/>
        <w:jc w:val="center"/>
        <w:rPr>
          <w:rFonts w:ascii="Palatino Linotype" w:eastAsia="Palatino Linotype" w:hAnsi="Palatino Linotype" w:cs="Palatino Linotype"/>
          <w:b/>
          <w:sz w:val="22"/>
          <w:szCs w:val="22"/>
        </w:rPr>
      </w:pPr>
      <w:r w:rsidRPr="0059485F">
        <w:rPr>
          <w:rFonts w:ascii="Palatino Linotype" w:eastAsia="Palatino Linotype" w:hAnsi="Palatino Linotype" w:cs="Palatino Linotype"/>
          <w:b/>
          <w:sz w:val="22"/>
          <w:szCs w:val="22"/>
        </w:rPr>
        <w:t>III. R E S U E L V E</w:t>
      </w:r>
    </w:p>
    <w:p w14:paraId="4BED30EC" w14:textId="3D975137" w:rsidR="005A75CA" w:rsidRPr="0059485F" w:rsidRDefault="00E96B90" w:rsidP="00D7204E">
      <w:pPr>
        <w:spacing w:before="240" w:after="240" w:line="360" w:lineRule="auto"/>
        <w:ind w:right="49"/>
        <w:jc w:val="both"/>
        <w:rPr>
          <w:rFonts w:ascii="Palatino Linotype" w:eastAsia="Palatino Linotype" w:hAnsi="Palatino Linotype" w:cs="Palatino Linotype"/>
          <w:b/>
          <w:bCs/>
          <w:sz w:val="22"/>
          <w:szCs w:val="22"/>
        </w:rPr>
      </w:pPr>
      <w:bookmarkStart w:id="12" w:name="_heading=h.1t3h5sf" w:colFirst="0" w:colLast="0"/>
      <w:bookmarkEnd w:id="12"/>
      <w:r w:rsidRPr="0059485F">
        <w:rPr>
          <w:rFonts w:ascii="Palatino Linotype" w:eastAsia="Palatino Linotype" w:hAnsi="Palatino Linotype" w:cs="Palatino Linotype"/>
          <w:b/>
          <w:sz w:val="22"/>
          <w:szCs w:val="22"/>
        </w:rPr>
        <w:t xml:space="preserve">Primero. </w:t>
      </w:r>
      <w:r w:rsidRPr="0059485F">
        <w:rPr>
          <w:rFonts w:ascii="Palatino Linotype" w:eastAsia="Palatino Linotype" w:hAnsi="Palatino Linotype" w:cs="Palatino Linotype"/>
          <w:sz w:val="22"/>
          <w:szCs w:val="22"/>
        </w:rPr>
        <w:t xml:space="preserve">Resultan </w:t>
      </w:r>
      <w:r w:rsidRPr="0059485F">
        <w:rPr>
          <w:rFonts w:ascii="Palatino Linotype" w:eastAsia="Palatino Linotype" w:hAnsi="Palatino Linotype" w:cs="Palatino Linotype"/>
          <w:b/>
          <w:sz w:val="22"/>
          <w:szCs w:val="22"/>
        </w:rPr>
        <w:t>fundados</w:t>
      </w:r>
      <w:r w:rsidRPr="0059485F">
        <w:rPr>
          <w:rFonts w:ascii="Palatino Linotype" w:eastAsia="Palatino Linotype" w:hAnsi="Palatino Linotype" w:cs="Palatino Linotype"/>
          <w:sz w:val="22"/>
          <w:szCs w:val="22"/>
        </w:rPr>
        <w:t xml:space="preserve"> los motivos de inconformidad de la parte </w:t>
      </w:r>
      <w:r w:rsidRPr="0059485F">
        <w:rPr>
          <w:rFonts w:ascii="Palatino Linotype" w:eastAsia="Palatino Linotype" w:hAnsi="Palatino Linotype" w:cs="Palatino Linotype"/>
          <w:b/>
          <w:sz w:val="22"/>
          <w:szCs w:val="22"/>
        </w:rPr>
        <w:t>Recurrente</w:t>
      </w:r>
      <w:r w:rsidR="00E94C00" w:rsidRPr="0059485F">
        <w:rPr>
          <w:rFonts w:ascii="Palatino Linotype" w:eastAsia="Palatino Linotype" w:hAnsi="Palatino Linotype" w:cs="Palatino Linotype"/>
          <w:b/>
          <w:sz w:val="22"/>
          <w:szCs w:val="22"/>
        </w:rPr>
        <w:t xml:space="preserve"> </w:t>
      </w:r>
      <w:r w:rsidR="00E94C00" w:rsidRPr="0059485F">
        <w:rPr>
          <w:rFonts w:ascii="Palatino Linotype" w:eastAsia="Palatino Linotype" w:hAnsi="Palatino Linotype" w:cs="Palatino Linotype"/>
          <w:sz w:val="22"/>
          <w:szCs w:val="22"/>
        </w:rPr>
        <w:t xml:space="preserve">en el recurso de revisión </w:t>
      </w:r>
      <w:r w:rsidR="00E94C00" w:rsidRPr="0059485F">
        <w:rPr>
          <w:rFonts w:ascii="Palatino Linotype" w:eastAsia="Palatino Linotype" w:hAnsi="Palatino Linotype" w:cs="Palatino Linotype"/>
          <w:b/>
          <w:bCs/>
          <w:sz w:val="22"/>
          <w:szCs w:val="22"/>
        </w:rPr>
        <w:t>0</w:t>
      </w:r>
      <w:r w:rsidR="00576638" w:rsidRPr="0059485F">
        <w:rPr>
          <w:rFonts w:ascii="Palatino Linotype" w:eastAsia="Palatino Linotype" w:hAnsi="Palatino Linotype" w:cs="Palatino Linotype"/>
          <w:b/>
          <w:bCs/>
          <w:sz w:val="22"/>
          <w:szCs w:val="22"/>
        </w:rPr>
        <w:t>8159</w:t>
      </w:r>
      <w:r w:rsidR="00E94C00" w:rsidRPr="0059485F">
        <w:rPr>
          <w:rFonts w:ascii="Palatino Linotype" w:eastAsia="Palatino Linotype" w:hAnsi="Palatino Linotype" w:cs="Palatino Linotype"/>
          <w:b/>
          <w:bCs/>
          <w:sz w:val="22"/>
          <w:szCs w:val="22"/>
        </w:rPr>
        <w:t>/INFOEM/IP/RR/2026</w:t>
      </w:r>
      <w:r w:rsidR="00E94C00" w:rsidRPr="0059485F">
        <w:rPr>
          <w:rFonts w:ascii="Palatino Linotype" w:eastAsia="Palatino Linotype" w:hAnsi="Palatino Linotype" w:cs="Palatino Linotype"/>
          <w:sz w:val="22"/>
          <w:szCs w:val="22"/>
        </w:rPr>
        <w:t xml:space="preserve">; por lo que, en términos del Considerando </w:t>
      </w:r>
      <w:r w:rsidR="00E94C00" w:rsidRPr="0059485F">
        <w:rPr>
          <w:rFonts w:ascii="Palatino Linotype" w:eastAsia="Palatino Linotype" w:hAnsi="Palatino Linotype" w:cs="Palatino Linotype"/>
          <w:b/>
          <w:bCs/>
          <w:sz w:val="22"/>
          <w:szCs w:val="22"/>
        </w:rPr>
        <w:t xml:space="preserve">Cuarto </w:t>
      </w:r>
      <w:r w:rsidR="00E94C00" w:rsidRPr="0059485F">
        <w:rPr>
          <w:rFonts w:ascii="Palatino Linotype" w:eastAsia="Palatino Linotype" w:hAnsi="Palatino Linotype" w:cs="Palatino Linotype"/>
          <w:sz w:val="22"/>
          <w:szCs w:val="22"/>
        </w:rPr>
        <w:t xml:space="preserve">de esta resolución, se </w:t>
      </w:r>
      <w:r w:rsidR="00E94C00" w:rsidRPr="0059485F">
        <w:rPr>
          <w:rFonts w:ascii="Palatino Linotype" w:eastAsia="Palatino Linotype" w:hAnsi="Palatino Linotype" w:cs="Palatino Linotype"/>
          <w:b/>
          <w:bCs/>
          <w:sz w:val="22"/>
          <w:szCs w:val="22"/>
        </w:rPr>
        <w:t xml:space="preserve">Revoca </w:t>
      </w:r>
      <w:r w:rsidR="00E94C00" w:rsidRPr="0059485F">
        <w:rPr>
          <w:rFonts w:ascii="Palatino Linotype" w:eastAsia="Palatino Linotype" w:hAnsi="Palatino Linotype" w:cs="Palatino Linotype"/>
          <w:sz w:val="22"/>
          <w:szCs w:val="22"/>
        </w:rPr>
        <w:t xml:space="preserve">la respuesta emitida por el </w:t>
      </w:r>
      <w:r w:rsidR="00E94C00" w:rsidRPr="0059485F">
        <w:rPr>
          <w:rFonts w:ascii="Palatino Linotype" w:eastAsia="Palatino Linotype" w:hAnsi="Palatino Linotype" w:cs="Palatino Linotype"/>
          <w:b/>
          <w:bCs/>
          <w:sz w:val="22"/>
          <w:szCs w:val="22"/>
        </w:rPr>
        <w:t xml:space="preserve">Sujeto Obligado. </w:t>
      </w:r>
    </w:p>
    <w:p w14:paraId="57D840DA" w14:textId="1E6B1047" w:rsidR="00E94C00" w:rsidRPr="0059485F" w:rsidRDefault="00E94C00" w:rsidP="00E94C00">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b/>
          <w:bCs/>
          <w:sz w:val="22"/>
          <w:szCs w:val="22"/>
        </w:rPr>
        <w:t xml:space="preserve">Segundo. </w:t>
      </w:r>
      <w:r w:rsidRPr="0059485F">
        <w:rPr>
          <w:rFonts w:ascii="Palatino Linotype" w:eastAsia="Palatino Linotype" w:hAnsi="Palatino Linotype" w:cs="Palatino Linotype"/>
          <w:sz w:val="22"/>
          <w:szCs w:val="22"/>
        </w:rPr>
        <w:t xml:space="preserve">Se </w:t>
      </w:r>
      <w:r w:rsidRPr="0059485F">
        <w:rPr>
          <w:rFonts w:ascii="Palatino Linotype" w:eastAsia="Palatino Linotype" w:hAnsi="Palatino Linotype" w:cs="Palatino Linotype"/>
          <w:b/>
          <w:bCs/>
          <w:sz w:val="22"/>
          <w:szCs w:val="22"/>
        </w:rPr>
        <w:t>Ordena</w:t>
      </w:r>
      <w:r w:rsidRPr="0059485F">
        <w:rPr>
          <w:rFonts w:ascii="Palatino Linotype" w:eastAsia="Palatino Linotype" w:hAnsi="Palatino Linotype" w:cs="Palatino Linotype"/>
          <w:sz w:val="22"/>
          <w:szCs w:val="22"/>
        </w:rPr>
        <w:t xml:space="preserve"> al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en términos de los Considerandos </w:t>
      </w:r>
      <w:r w:rsidRPr="0059485F">
        <w:rPr>
          <w:rFonts w:ascii="Palatino Linotype" w:eastAsia="Palatino Linotype" w:hAnsi="Palatino Linotype" w:cs="Palatino Linotype"/>
          <w:b/>
          <w:bCs/>
          <w:sz w:val="22"/>
          <w:szCs w:val="22"/>
        </w:rPr>
        <w:t xml:space="preserve">Cuarto </w:t>
      </w:r>
      <w:r w:rsidRPr="0059485F">
        <w:rPr>
          <w:rFonts w:ascii="Palatino Linotype" w:eastAsia="Palatino Linotype" w:hAnsi="Palatino Linotype" w:cs="Palatino Linotype"/>
          <w:sz w:val="22"/>
          <w:szCs w:val="22"/>
        </w:rPr>
        <w:t xml:space="preserve">y </w:t>
      </w:r>
      <w:r w:rsidRPr="0059485F">
        <w:rPr>
          <w:rFonts w:ascii="Palatino Linotype" w:eastAsia="Palatino Linotype" w:hAnsi="Palatino Linotype" w:cs="Palatino Linotype"/>
          <w:b/>
          <w:bCs/>
          <w:sz w:val="22"/>
          <w:szCs w:val="22"/>
        </w:rPr>
        <w:t xml:space="preserve">Quinto </w:t>
      </w:r>
      <w:r w:rsidRPr="0059485F">
        <w:rPr>
          <w:rFonts w:ascii="Palatino Linotype" w:eastAsia="Palatino Linotype" w:hAnsi="Palatino Linotype" w:cs="Palatino Linotype"/>
          <w:sz w:val="22"/>
          <w:szCs w:val="22"/>
        </w:rPr>
        <w:t xml:space="preserve">de esta resolución, haga entrega, vía </w:t>
      </w:r>
      <w:r w:rsidRPr="0059485F">
        <w:rPr>
          <w:rFonts w:ascii="Palatino Linotype" w:eastAsia="Palatino Linotype" w:hAnsi="Palatino Linotype" w:cs="Palatino Linotype"/>
          <w:b/>
          <w:bCs/>
          <w:sz w:val="22"/>
          <w:szCs w:val="22"/>
        </w:rPr>
        <w:t>SAIMEX</w:t>
      </w:r>
      <w:r w:rsidRPr="0059485F">
        <w:rPr>
          <w:rFonts w:ascii="Palatino Linotype" w:eastAsia="Palatino Linotype" w:hAnsi="Palatino Linotype" w:cs="Palatino Linotype"/>
          <w:sz w:val="22"/>
          <w:szCs w:val="22"/>
        </w:rPr>
        <w:t>, en versión pública</w:t>
      </w:r>
      <w:r w:rsidR="00576638" w:rsidRPr="0059485F">
        <w:rPr>
          <w:rFonts w:ascii="Palatino Linotype" w:eastAsia="Palatino Linotype" w:hAnsi="Palatino Linotype" w:cs="Palatino Linotype"/>
          <w:sz w:val="22"/>
          <w:szCs w:val="22"/>
        </w:rPr>
        <w:t xml:space="preserve">, </w:t>
      </w:r>
      <w:r w:rsidR="00115056" w:rsidRPr="0059485F">
        <w:rPr>
          <w:rFonts w:ascii="Palatino Linotype" w:eastAsia="Palatino Linotype" w:hAnsi="Palatino Linotype" w:cs="Palatino Linotype"/>
          <w:b/>
          <w:sz w:val="22"/>
          <w:szCs w:val="22"/>
        </w:rPr>
        <w:t>respecto de los servidores públicos adscritos al ente obligado,</w:t>
      </w:r>
      <w:r w:rsidR="00115056"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sz w:val="22"/>
          <w:szCs w:val="22"/>
        </w:rPr>
        <w:t>lo siguiente:</w:t>
      </w:r>
    </w:p>
    <w:p w14:paraId="201601D3" w14:textId="067D6F61" w:rsidR="00576638" w:rsidRPr="0059485F" w:rsidRDefault="00576638" w:rsidP="00576638">
      <w:pPr>
        <w:numPr>
          <w:ilvl w:val="0"/>
          <w:numId w:val="23"/>
        </w:numPr>
        <w:pBdr>
          <w:top w:val="nil"/>
          <w:left w:val="nil"/>
          <w:bottom w:val="nil"/>
          <w:right w:val="nil"/>
          <w:between w:val="nil"/>
        </w:pBdr>
        <w:spacing w:line="360" w:lineRule="auto"/>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b/>
          <w:bCs/>
          <w:sz w:val="22"/>
          <w:szCs w:val="22"/>
        </w:rPr>
        <w:t>Los recibos de nómina de las quincenas correspondientes al mes de diciembre de dos mil veinticuatro y diciembre de dos mil veinticinco.</w:t>
      </w:r>
    </w:p>
    <w:p w14:paraId="0750BAD2" w14:textId="77777777" w:rsidR="00576638" w:rsidRPr="0059485F" w:rsidRDefault="00576638" w:rsidP="00576638">
      <w:pPr>
        <w:spacing w:line="360" w:lineRule="auto"/>
        <w:jc w:val="both"/>
        <w:rPr>
          <w:rFonts w:ascii="Palatino Linotype" w:eastAsia="Palatino Linotype" w:hAnsi="Palatino Linotype" w:cs="Palatino Linotype"/>
          <w:b/>
          <w:bCs/>
          <w:sz w:val="22"/>
          <w:szCs w:val="22"/>
        </w:rPr>
      </w:pPr>
    </w:p>
    <w:p w14:paraId="52A54B3D" w14:textId="05E2001B" w:rsidR="00576638" w:rsidRPr="0059485F" w:rsidRDefault="00576638" w:rsidP="00576638">
      <w:pPr>
        <w:numPr>
          <w:ilvl w:val="0"/>
          <w:numId w:val="23"/>
        </w:numPr>
        <w:pBdr>
          <w:top w:val="nil"/>
          <w:left w:val="nil"/>
          <w:bottom w:val="nil"/>
          <w:right w:val="nil"/>
          <w:between w:val="nil"/>
        </w:pBdr>
        <w:spacing w:line="360" w:lineRule="auto"/>
        <w:jc w:val="both"/>
        <w:rPr>
          <w:rFonts w:ascii="Palatino Linotype" w:eastAsia="Palatino Linotype" w:hAnsi="Palatino Linotype" w:cs="Palatino Linotype"/>
          <w:b/>
          <w:bCs/>
          <w:sz w:val="22"/>
          <w:szCs w:val="22"/>
        </w:rPr>
      </w:pPr>
      <w:r w:rsidRPr="0059485F">
        <w:rPr>
          <w:rFonts w:ascii="Palatino Linotype" w:eastAsia="Palatino Linotype" w:hAnsi="Palatino Linotype" w:cs="Palatino Linotype"/>
          <w:b/>
          <w:bCs/>
          <w:sz w:val="22"/>
          <w:szCs w:val="22"/>
        </w:rPr>
        <w:t>Los recibos por el pago de aguinaldo y prima vacacional en el mes de diciembre de dos mil veinticuatro y diciembre de dos mil veinticinco.</w:t>
      </w:r>
    </w:p>
    <w:p w14:paraId="4869E363" w14:textId="383617E4" w:rsidR="00A44EED" w:rsidRPr="0059485F" w:rsidRDefault="00A44EED" w:rsidP="00A44EED">
      <w:pPr>
        <w:spacing w:before="120" w:after="120"/>
        <w:ind w:left="284"/>
        <w:jc w:val="both"/>
        <w:rPr>
          <w:rFonts w:ascii="Palatino Linotype" w:eastAsia="Palatino Linotype" w:hAnsi="Palatino Linotype" w:cs="Palatino Linotype"/>
          <w:i/>
          <w:iCs/>
          <w:sz w:val="20"/>
          <w:szCs w:val="22"/>
        </w:rPr>
      </w:pPr>
      <w:r w:rsidRPr="0059485F">
        <w:rPr>
          <w:rFonts w:ascii="Palatino Linotype" w:eastAsia="Palatino Linotype" w:hAnsi="Palatino Linotype" w:cs="Palatino Linotype"/>
          <w:i/>
          <w:iCs/>
          <w:sz w:val="20"/>
          <w:szCs w:val="22"/>
        </w:rPr>
        <w:t>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w:t>
      </w:r>
      <w:r w:rsidR="00304ABF" w:rsidRPr="0059485F">
        <w:rPr>
          <w:rFonts w:ascii="Palatino Linotype" w:eastAsia="Palatino Linotype" w:hAnsi="Palatino Linotype" w:cs="Palatino Linotype"/>
          <w:i/>
          <w:iCs/>
          <w:sz w:val="20"/>
          <w:szCs w:val="22"/>
        </w:rPr>
        <w:t xml:space="preserve"> </w:t>
      </w:r>
      <w:r w:rsidR="00304ABF" w:rsidRPr="0059485F">
        <w:rPr>
          <w:rFonts w:ascii="Palatino Linotype" w:eastAsia="Palatino Linotype" w:hAnsi="Palatino Linotype" w:cs="Palatino Linotype"/>
          <w:i/>
          <w:sz w:val="20"/>
          <w:szCs w:val="22"/>
        </w:rPr>
        <w:t>o eliminen en el soporte documental que se ordena,</w:t>
      </w:r>
      <w:r w:rsidRPr="0059485F">
        <w:rPr>
          <w:rFonts w:ascii="Palatino Linotype" w:eastAsia="Palatino Linotype" w:hAnsi="Palatino Linotype" w:cs="Palatino Linotype"/>
          <w:i/>
          <w:iCs/>
          <w:sz w:val="20"/>
          <w:szCs w:val="22"/>
        </w:rPr>
        <w:t xml:space="preserve"> mismo que también har</w:t>
      </w:r>
      <w:r w:rsidR="00525B05" w:rsidRPr="0059485F">
        <w:rPr>
          <w:rFonts w:ascii="Palatino Linotype" w:eastAsia="Palatino Linotype" w:hAnsi="Palatino Linotype" w:cs="Palatino Linotype"/>
          <w:i/>
          <w:iCs/>
          <w:sz w:val="20"/>
          <w:szCs w:val="22"/>
        </w:rPr>
        <w:t xml:space="preserve">á de conocimiento de la parte </w:t>
      </w:r>
      <w:r w:rsidR="00525B05" w:rsidRPr="0059485F">
        <w:rPr>
          <w:rFonts w:ascii="Palatino Linotype" w:eastAsia="Palatino Linotype" w:hAnsi="Palatino Linotype" w:cs="Palatino Linotype"/>
          <w:b/>
          <w:i/>
          <w:iCs/>
          <w:sz w:val="20"/>
          <w:szCs w:val="22"/>
        </w:rPr>
        <w:t>Recurrente</w:t>
      </w:r>
      <w:r w:rsidRPr="0059485F">
        <w:rPr>
          <w:rFonts w:ascii="Palatino Linotype" w:eastAsia="Palatino Linotype" w:hAnsi="Palatino Linotype" w:cs="Palatino Linotype"/>
          <w:i/>
          <w:iCs/>
          <w:sz w:val="20"/>
          <w:szCs w:val="22"/>
        </w:rPr>
        <w:t>.</w:t>
      </w:r>
    </w:p>
    <w:p w14:paraId="761CEF73" w14:textId="77777777" w:rsidR="00E94C00" w:rsidRPr="0059485F" w:rsidRDefault="00E94C00" w:rsidP="00E94C00">
      <w:pPr>
        <w:spacing w:before="240" w:after="240" w:line="360" w:lineRule="auto"/>
        <w:jc w:val="both"/>
        <w:rPr>
          <w:rFonts w:ascii="Palatino Linotype" w:eastAsia="Palatino Linotype" w:hAnsi="Palatino Linotype" w:cs="Palatino Linotype"/>
          <w:sz w:val="22"/>
          <w:szCs w:val="22"/>
        </w:rPr>
      </w:pPr>
      <w:bookmarkStart w:id="13" w:name="_heading=h.lnxbz9" w:colFirst="0" w:colLast="0"/>
      <w:bookmarkEnd w:id="13"/>
      <w:r w:rsidRPr="0059485F">
        <w:rPr>
          <w:rFonts w:ascii="Palatino Linotype" w:eastAsia="Palatino Linotype" w:hAnsi="Palatino Linotype" w:cs="Palatino Linotype"/>
          <w:b/>
          <w:bCs/>
          <w:sz w:val="22"/>
          <w:szCs w:val="22"/>
        </w:rPr>
        <w:t xml:space="preserve">Tercero. Notifíquese, </w:t>
      </w:r>
      <w:r w:rsidRPr="0059485F">
        <w:rPr>
          <w:rFonts w:ascii="Palatino Linotype" w:eastAsia="Palatino Linotype" w:hAnsi="Palatino Linotype" w:cs="Palatino Linotype"/>
          <w:sz w:val="22"/>
          <w:szCs w:val="22"/>
        </w:rPr>
        <w:t xml:space="preserve">vía </w:t>
      </w:r>
      <w:r w:rsidRPr="0059485F">
        <w:rPr>
          <w:rFonts w:ascii="Palatino Linotype" w:eastAsia="Palatino Linotype" w:hAnsi="Palatino Linotype" w:cs="Palatino Linotype"/>
          <w:b/>
          <w:bCs/>
          <w:sz w:val="22"/>
          <w:szCs w:val="22"/>
        </w:rPr>
        <w:t>SAIMEX</w:t>
      </w:r>
      <w:r w:rsidRPr="0059485F">
        <w:rPr>
          <w:rFonts w:ascii="Palatino Linotype" w:eastAsia="Palatino Linotype" w:hAnsi="Palatino Linotype" w:cs="Palatino Linotype"/>
          <w:sz w:val="22"/>
          <w:szCs w:val="22"/>
        </w:rPr>
        <w:t xml:space="preserve">, al Titular de la Unidad de Transparencia del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4F1B0251" w14:textId="77777777" w:rsidR="00E94C00" w:rsidRPr="0059485F" w:rsidRDefault="00E94C00" w:rsidP="00E94C00">
      <w:pPr>
        <w:spacing w:before="240" w:after="240" w:line="360" w:lineRule="auto"/>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59485F">
        <w:rPr>
          <w:rFonts w:ascii="Palatino Linotype" w:eastAsia="Palatino Linotype" w:hAnsi="Palatino Linotype" w:cs="Palatino Linotype"/>
          <w:b/>
          <w:bCs/>
          <w:sz w:val="22"/>
          <w:szCs w:val="22"/>
        </w:rPr>
        <w:t>Sujeto Obligado</w:t>
      </w:r>
      <w:r w:rsidRPr="0059485F">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14:paraId="5A34BADC" w14:textId="77777777" w:rsidR="00E94C00" w:rsidRPr="0059485F" w:rsidRDefault="00E94C00" w:rsidP="00E94C00">
      <w:pPr>
        <w:spacing w:before="240" w:after="240" w:line="360" w:lineRule="auto"/>
        <w:jc w:val="both"/>
        <w:rPr>
          <w:rFonts w:ascii="Palatino Linotype" w:eastAsia="Palatino Linotype" w:hAnsi="Palatino Linotype" w:cs="Palatino Linotype"/>
          <w:sz w:val="22"/>
          <w:szCs w:val="22"/>
        </w:rPr>
      </w:pPr>
      <w:bookmarkStart w:id="14" w:name="_heading=h.17dp8vu" w:colFirst="0" w:colLast="0"/>
      <w:bookmarkEnd w:id="14"/>
      <w:r w:rsidRPr="0059485F">
        <w:rPr>
          <w:rFonts w:ascii="Palatino Linotype" w:eastAsia="Palatino Linotype" w:hAnsi="Palatino Linotype" w:cs="Palatino Linotype"/>
          <w:b/>
          <w:bCs/>
          <w:sz w:val="22"/>
          <w:szCs w:val="22"/>
        </w:rPr>
        <w:t xml:space="preserve">Cuarto.  Notifíquese, </w:t>
      </w:r>
      <w:r w:rsidRPr="0059485F">
        <w:rPr>
          <w:rFonts w:ascii="Palatino Linotype" w:eastAsia="Palatino Linotype" w:hAnsi="Palatino Linotype" w:cs="Palatino Linotype"/>
          <w:sz w:val="22"/>
          <w:szCs w:val="22"/>
        </w:rPr>
        <w:t xml:space="preserve">vía </w:t>
      </w:r>
      <w:r w:rsidRPr="0059485F">
        <w:rPr>
          <w:rFonts w:ascii="Palatino Linotype" w:eastAsia="Palatino Linotype" w:hAnsi="Palatino Linotype" w:cs="Palatino Linotype"/>
          <w:b/>
          <w:bCs/>
          <w:sz w:val="22"/>
          <w:szCs w:val="22"/>
        </w:rPr>
        <w:t>SAIMEX</w:t>
      </w:r>
      <w:r w:rsidRPr="0059485F">
        <w:rPr>
          <w:rFonts w:ascii="Palatino Linotype" w:eastAsia="Palatino Linotype" w:hAnsi="Palatino Linotype" w:cs="Palatino Linotype"/>
          <w:sz w:val="22"/>
          <w:szCs w:val="22"/>
        </w:rPr>
        <w:t xml:space="preserve">, a la parte </w:t>
      </w:r>
      <w:r w:rsidRPr="0059485F">
        <w:rPr>
          <w:rFonts w:ascii="Palatino Linotype" w:eastAsia="Palatino Linotype" w:hAnsi="Palatino Linotype" w:cs="Palatino Linotype"/>
          <w:b/>
          <w:bCs/>
          <w:sz w:val="22"/>
          <w:szCs w:val="22"/>
        </w:rPr>
        <w:t>Recurrente</w:t>
      </w:r>
      <w:r w:rsidRPr="0059485F">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49BE783D" w14:textId="4BA5642C" w:rsidR="005A75CA" w:rsidRPr="00812142" w:rsidRDefault="00E96B90" w:rsidP="00D7204E">
      <w:pPr>
        <w:tabs>
          <w:tab w:val="left" w:pos="8647"/>
        </w:tabs>
        <w:spacing w:before="240" w:after="240" w:line="360" w:lineRule="auto"/>
        <w:ind w:right="51"/>
        <w:jc w:val="both"/>
        <w:rPr>
          <w:rFonts w:ascii="Palatino Linotype" w:eastAsia="Palatino Linotype" w:hAnsi="Palatino Linotype" w:cs="Palatino Linotype"/>
          <w:sz w:val="22"/>
          <w:szCs w:val="22"/>
        </w:rPr>
      </w:pPr>
      <w:r w:rsidRPr="0059485F">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w:t>
      </w:r>
      <w:r w:rsidR="00115056" w:rsidRPr="0059485F">
        <w:rPr>
          <w:rFonts w:ascii="Palatino Linotype" w:eastAsia="Palatino Linotype" w:hAnsi="Palatino Linotype" w:cs="Palatino Linotype"/>
          <w:sz w:val="22"/>
          <w:szCs w:val="22"/>
        </w:rPr>
        <w:t xml:space="preserve"> MARÍA DEL ROSARIO MEJÍA AYALA </w:t>
      </w:r>
      <w:r w:rsidRPr="0059485F">
        <w:rPr>
          <w:rFonts w:ascii="Palatino Linotype" w:eastAsia="Palatino Linotype" w:hAnsi="Palatino Linotype" w:cs="Palatino Linotype"/>
          <w:sz w:val="22"/>
          <w:szCs w:val="22"/>
        </w:rPr>
        <w:t xml:space="preserve">Y GUADALUPE RAMÍREZ PEÑA, EN LA </w:t>
      </w:r>
      <w:r w:rsidR="00115056" w:rsidRPr="0059485F">
        <w:rPr>
          <w:rFonts w:ascii="Palatino Linotype" w:eastAsia="Palatino Linotype" w:hAnsi="Palatino Linotype" w:cs="Palatino Linotype"/>
          <w:sz w:val="22"/>
          <w:szCs w:val="22"/>
        </w:rPr>
        <w:t>TRIGÉSIMA TERCERA</w:t>
      </w:r>
      <w:r w:rsidR="00AD7F25"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sz w:val="22"/>
          <w:szCs w:val="22"/>
        </w:rPr>
        <w:t>SESIÓN ORDINARIA CELEBRADA EL</w:t>
      </w:r>
      <w:r w:rsidR="00AD7F25" w:rsidRPr="0059485F">
        <w:rPr>
          <w:rFonts w:ascii="Palatino Linotype" w:eastAsia="Palatino Linotype" w:hAnsi="Palatino Linotype" w:cs="Palatino Linotype"/>
          <w:sz w:val="22"/>
          <w:szCs w:val="22"/>
        </w:rPr>
        <w:t xml:space="preserve"> </w:t>
      </w:r>
      <w:r w:rsidR="00115056" w:rsidRPr="0059485F">
        <w:rPr>
          <w:rFonts w:ascii="Palatino Linotype" w:eastAsia="Palatino Linotype" w:hAnsi="Palatino Linotype" w:cs="Palatino Linotype"/>
          <w:sz w:val="22"/>
          <w:szCs w:val="22"/>
        </w:rPr>
        <w:t>DIECISIETE DE SEPTIEMBRE</w:t>
      </w:r>
      <w:r w:rsidR="00A44EED" w:rsidRPr="0059485F">
        <w:rPr>
          <w:rFonts w:ascii="Palatino Linotype" w:eastAsia="Palatino Linotype" w:hAnsi="Palatino Linotype" w:cs="Palatino Linotype"/>
          <w:sz w:val="22"/>
          <w:szCs w:val="22"/>
        </w:rPr>
        <w:t xml:space="preserve"> </w:t>
      </w:r>
      <w:r w:rsidRPr="0059485F">
        <w:rPr>
          <w:rFonts w:ascii="Palatino Linotype" w:eastAsia="Palatino Linotype" w:hAnsi="Palatino Linotype" w:cs="Palatino Linotype"/>
          <w:sz w:val="22"/>
          <w:szCs w:val="22"/>
        </w:rPr>
        <w:t>DE DOS MIL VEINTI</w:t>
      </w:r>
      <w:r w:rsidR="0001490F" w:rsidRPr="0059485F">
        <w:rPr>
          <w:rFonts w:ascii="Palatino Linotype" w:eastAsia="Palatino Linotype" w:hAnsi="Palatino Linotype" w:cs="Palatino Linotype"/>
          <w:sz w:val="22"/>
          <w:szCs w:val="22"/>
        </w:rPr>
        <w:t>SÉIS</w:t>
      </w:r>
      <w:r w:rsidRPr="0059485F">
        <w:rPr>
          <w:rFonts w:ascii="Palatino Linotype" w:eastAsia="Palatino Linotype" w:hAnsi="Palatino Linotype" w:cs="Palatino Linotype"/>
          <w:sz w:val="22"/>
          <w:szCs w:val="22"/>
        </w:rPr>
        <w:t>, ANTE EL SECRETARIO TÉCNICO DEL PLENO ALEXIS TAPIA RAMÍREZ.</w:t>
      </w:r>
    </w:p>
    <w:p w14:paraId="2B17951A"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42BFD139"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53CA5C2F"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153F672B"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3C65AC45"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238EB021"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3407AC65"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256D6055"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701554D9"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7D64FCF8"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2649A4EA"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7248715B"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1CDC395F"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4791ACC8"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3A9E4222"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645BE525"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3472B1A1"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2F154AA0"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5EDCAD7F"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52F8C504"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2CAB092A" w14:textId="77777777" w:rsidR="00033F56" w:rsidRPr="00812142" w:rsidRDefault="00033F56" w:rsidP="00D7204E">
      <w:pPr>
        <w:spacing w:line="360" w:lineRule="auto"/>
        <w:jc w:val="both"/>
        <w:rPr>
          <w:rFonts w:ascii="Palatino Linotype" w:eastAsia="Palatino Linotype" w:hAnsi="Palatino Linotype" w:cs="Palatino Linotype"/>
          <w:sz w:val="22"/>
          <w:szCs w:val="22"/>
        </w:rPr>
      </w:pPr>
    </w:p>
    <w:p w14:paraId="6031B3C8"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6DCAE615"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1BE99916"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6BA2925E" w14:textId="77777777" w:rsidR="005A75CA" w:rsidRPr="00812142" w:rsidRDefault="005A75CA" w:rsidP="00D7204E">
      <w:pPr>
        <w:spacing w:line="360" w:lineRule="auto"/>
        <w:jc w:val="both"/>
        <w:rPr>
          <w:rFonts w:ascii="Palatino Linotype" w:eastAsia="Palatino Linotype" w:hAnsi="Palatino Linotype" w:cs="Palatino Linotype"/>
          <w:sz w:val="22"/>
          <w:szCs w:val="22"/>
        </w:rPr>
      </w:pPr>
    </w:p>
    <w:p w14:paraId="17C11245" w14:textId="3D7A6E0A" w:rsidR="005A75CA" w:rsidRPr="00812142" w:rsidRDefault="005A75CA" w:rsidP="00D7204E">
      <w:pPr>
        <w:spacing w:line="360" w:lineRule="auto"/>
        <w:jc w:val="both"/>
        <w:rPr>
          <w:rFonts w:ascii="Palatino Linotype" w:eastAsia="Palatino Linotype" w:hAnsi="Palatino Linotype" w:cs="Palatino Linotype"/>
          <w:sz w:val="22"/>
          <w:szCs w:val="22"/>
        </w:rPr>
      </w:pPr>
    </w:p>
    <w:p w14:paraId="56C32FE7" w14:textId="77777777" w:rsidR="002456A1" w:rsidRPr="00812142" w:rsidRDefault="002456A1" w:rsidP="00D7204E">
      <w:pPr>
        <w:spacing w:line="360" w:lineRule="auto"/>
        <w:jc w:val="both"/>
        <w:rPr>
          <w:rFonts w:ascii="Palatino Linotype" w:eastAsia="Palatino Linotype" w:hAnsi="Palatino Linotype" w:cs="Palatino Linotype"/>
          <w:sz w:val="22"/>
          <w:szCs w:val="22"/>
        </w:rPr>
      </w:pPr>
    </w:p>
    <w:p w14:paraId="116A91A3" w14:textId="77777777" w:rsidR="00A0077E" w:rsidRPr="00812142" w:rsidRDefault="00A0077E">
      <w:pPr>
        <w:spacing w:line="360" w:lineRule="auto"/>
        <w:jc w:val="both"/>
        <w:rPr>
          <w:rFonts w:ascii="Palatino Linotype" w:eastAsia="Palatino Linotype" w:hAnsi="Palatino Linotype" w:cs="Palatino Linotype"/>
          <w:sz w:val="22"/>
          <w:szCs w:val="22"/>
        </w:rPr>
      </w:pPr>
    </w:p>
    <w:sectPr w:rsidR="00A0077E" w:rsidRPr="00812142">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E7E96" w14:textId="77777777" w:rsidR="00E71B42" w:rsidRDefault="00E71B42">
      <w:r>
        <w:separator/>
      </w:r>
    </w:p>
  </w:endnote>
  <w:endnote w:type="continuationSeparator" w:id="0">
    <w:p w14:paraId="2441C460" w14:textId="77777777" w:rsidR="00E71B42" w:rsidRDefault="00E7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22F03" w14:textId="3AF96958" w:rsidR="007C48A1" w:rsidRDefault="007C48A1">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7D59D5">
      <w:rPr>
        <w:rFonts w:ascii="Palatino Linotype" w:eastAsia="Palatino Linotype" w:hAnsi="Palatino Linotype" w:cs="Palatino Linotype"/>
        <w:b/>
        <w:noProof/>
        <w:color w:val="000000"/>
        <w:sz w:val="20"/>
        <w:szCs w:val="20"/>
      </w:rPr>
      <w:t>2</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7D59D5">
      <w:rPr>
        <w:rFonts w:ascii="Palatino Linotype" w:eastAsia="Palatino Linotype" w:hAnsi="Palatino Linotype" w:cs="Palatino Linotype"/>
        <w:b/>
        <w:noProof/>
        <w:color w:val="000000"/>
        <w:sz w:val="20"/>
        <w:szCs w:val="20"/>
      </w:rPr>
      <w:t>49</w:t>
    </w:r>
    <w:r>
      <w:rPr>
        <w:rFonts w:ascii="Palatino Linotype" w:eastAsia="Palatino Linotype" w:hAnsi="Palatino Linotype" w:cs="Palatino Linotype"/>
        <w:b/>
        <w:color w:val="000000"/>
        <w:sz w:val="20"/>
        <w:szCs w:val="20"/>
      </w:rPr>
      <w:fldChar w:fldCharType="end"/>
    </w:r>
  </w:p>
  <w:p w14:paraId="0C3274EA" w14:textId="77777777" w:rsidR="007C48A1" w:rsidRDefault="007C48A1">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3AB2" w14:textId="1205845B" w:rsidR="007C48A1" w:rsidRDefault="007C48A1">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7D59D5">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7D59D5">
      <w:rPr>
        <w:rFonts w:ascii="Palatino Linotype" w:eastAsia="Palatino Linotype" w:hAnsi="Palatino Linotype" w:cs="Palatino Linotype"/>
        <w:b/>
        <w:noProof/>
        <w:color w:val="000000"/>
        <w:sz w:val="20"/>
        <w:szCs w:val="20"/>
      </w:rPr>
      <w:t>49</w:t>
    </w:r>
    <w:r>
      <w:rPr>
        <w:rFonts w:ascii="Palatino Linotype" w:eastAsia="Palatino Linotype" w:hAnsi="Palatino Linotype" w:cs="Palatino Linotype"/>
        <w:b/>
        <w:color w:val="000000"/>
        <w:sz w:val="20"/>
        <w:szCs w:val="20"/>
      </w:rPr>
      <w:fldChar w:fldCharType="end"/>
    </w:r>
  </w:p>
  <w:p w14:paraId="75507642" w14:textId="77777777" w:rsidR="007C48A1" w:rsidRDefault="007C48A1">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464DC" w14:textId="77777777" w:rsidR="00E71B42" w:rsidRDefault="00E71B42">
      <w:r>
        <w:separator/>
      </w:r>
    </w:p>
  </w:footnote>
  <w:footnote w:type="continuationSeparator" w:id="0">
    <w:p w14:paraId="53D19CAD" w14:textId="77777777" w:rsidR="00E71B42" w:rsidRDefault="00E71B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CA3C9" w14:textId="6169BA1A" w:rsidR="007C48A1" w:rsidRDefault="007C48A1">
    <w:pPr>
      <w:rPr>
        <w:rFonts w:ascii="Cambria" w:eastAsia="Cambria" w:hAnsi="Cambria" w:cs="Cambria"/>
        <w:color w:val="000000"/>
      </w:rPr>
    </w:pPr>
  </w:p>
  <w:tbl>
    <w:tblPr>
      <w:tblStyle w:val="affa"/>
      <w:tblW w:w="5953" w:type="dxa"/>
      <w:tblInd w:w="3261" w:type="dxa"/>
      <w:tblLayout w:type="fixed"/>
      <w:tblLook w:val="0400" w:firstRow="0" w:lastRow="0" w:firstColumn="0" w:lastColumn="0" w:noHBand="0" w:noVBand="1"/>
    </w:tblPr>
    <w:tblGrid>
      <w:gridCol w:w="2489"/>
      <w:gridCol w:w="3464"/>
    </w:tblGrid>
    <w:tr w:rsidR="007C48A1" w14:paraId="7D7A7303" w14:textId="77777777">
      <w:tc>
        <w:tcPr>
          <w:tcW w:w="2489" w:type="dxa"/>
        </w:tcPr>
        <w:p w14:paraId="0E742E37" w14:textId="77777777" w:rsidR="007C48A1" w:rsidRDefault="007C48A1">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1A1D9F71" w14:textId="4F426AEE" w:rsidR="007C48A1" w:rsidRDefault="007C48A1" w:rsidP="00D07252">
          <w:pPr>
            <w:ind w:right="175"/>
            <w:jc w:val="both"/>
            <w:rPr>
              <w:rFonts w:ascii="Palatino Linotype" w:eastAsia="Palatino Linotype" w:hAnsi="Palatino Linotype" w:cs="Palatino Linotype"/>
              <w:b/>
              <w:sz w:val="22"/>
              <w:szCs w:val="22"/>
            </w:rPr>
          </w:pPr>
          <w:r>
            <w:rPr>
              <w:noProof/>
            </w:rPr>
            <w:drawing>
              <wp:anchor distT="0" distB="0" distL="0" distR="0" simplePos="0" relativeHeight="251658240" behindDoc="1" locked="0" layoutInCell="1" hidden="0" allowOverlap="1" wp14:anchorId="72FFB153" wp14:editId="3405BE90">
                <wp:simplePos x="0" y="0"/>
                <wp:positionH relativeFrom="column">
                  <wp:posOffset>-4800600</wp:posOffset>
                </wp:positionH>
                <wp:positionV relativeFrom="paragraph">
                  <wp:posOffset>-641985</wp:posOffset>
                </wp:positionV>
                <wp:extent cx="7809865" cy="10165715"/>
                <wp:effectExtent l="0" t="0" r="0" b="0"/>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r>
            <w:rPr>
              <w:rFonts w:ascii="Palatino Linotype" w:eastAsia="Palatino Linotype" w:hAnsi="Palatino Linotype" w:cs="Palatino Linotype"/>
              <w:b/>
              <w:sz w:val="22"/>
              <w:szCs w:val="22"/>
            </w:rPr>
            <w:t>08159/INFOEM/IP/RR/2026</w:t>
          </w:r>
        </w:p>
      </w:tc>
    </w:tr>
    <w:tr w:rsidR="007C48A1" w14:paraId="3CD5D37A" w14:textId="77777777">
      <w:trPr>
        <w:trHeight w:val="228"/>
      </w:trPr>
      <w:tc>
        <w:tcPr>
          <w:tcW w:w="2489" w:type="dxa"/>
          <w:vAlign w:val="center"/>
        </w:tcPr>
        <w:p w14:paraId="5D9B266F" w14:textId="77777777" w:rsidR="007C48A1" w:rsidRDefault="007C48A1">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241E6357" w14:textId="1DF35758" w:rsidR="007C48A1" w:rsidRDefault="007C48A1">
          <w:pPr>
            <w:ind w:left="-45" w:right="176"/>
            <w:jc w:val="both"/>
            <w:rPr>
              <w:rFonts w:ascii="Palatino Linotype" w:eastAsia="Palatino Linotype" w:hAnsi="Palatino Linotype" w:cs="Palatino Linotype"/>
              <w:b/>
              <w:sz w:val="22"/>
              <w:szCs w:val="22"/>
            </w:rPr>
          </w:pPr>
          <w:r w:rsidRPr="00D07252">
            <w:rPr>
              <w:rFonts w:ascii="Palatino Linotype" w:eastAsia="Palatino Linotype" w:hAnsi="Palatino Linotype" w:cs="Palatino Linotype"/>
              <w:b/>
              <w:sz w:val="22"/>
              <w:szCs w:val="22"/>
            </w:rPr>
            <w:t>Instituto Mexiquense para la Discapacidad</w:t>
          </w:r>
        </w:p>
      </w:tc>
    </w:tr>
    <w:tr w:rsidR="007C48A1" w14:paraId="4A406CF8" w14:textId="77777777">
      <w:tc>
        <w:tcPr>
          <w:tcW w:w="2489" w:type="dxa"/>
          <w:vAlign w:val="center"/>
        </w:tcPr>
        <w:p w14:paraId="721EC51C" w14:textId="77777777" w:rsidR="007C48A1" w:rsidRDefault="007C48A1">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217CC28D" w14:textId="77777777" w:rsidR="007C48A1" w:rsidRDefault="007C48A1">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24A14674" w14:textId="77777777" w:rsidR="007C48A1" w:rsidRDefault="007C48A1">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45FF" w14:textId="77777777" w:rsidR="007C48A1" w:rsidRDefault="007C48A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5664C077" wp14:editId="72386D7E">
          <wp:simplePos x="0" y="0"/>
          <wp:positionH relativeFrom="column">
            <wp:posOffset>-1080134</wp:posOffset>
          </wp:positionH>
          <wp:positionV relativeFrom="paragraph">
            <wp:posOffset>-369892</wp:posOffset>
          </wp:positionV>
          <wp:extent cx="7809865" cy="10165715"/>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b"/>
      <w:tblW w:w="5953" w:type="dxa"/>
      <w:tblInd w:w="3261" w:type="dxa"/>
      <w:tblLayout w:type="fixed"/>
      <w:tblLook w:val="0400" w:firstRow="0" w:lastRow="0" w:firstColumn="0" w:lastColumn="0" w:noHBand="0" w:noVBand="1"/>
    </w:tblPr>
    <w:tblGrid>
      <w:gridCol w:w="2489"/>
      <w:gridCol w:w="3464"/>
    </w:tblGrid>
    <w:tr w:rsidR="007C48A1" w14:paraId="7EB27161" w14:textId="77777777">
      <w:tc>
        <w:tcPr>
          <w:tcW w:w="2489" w:type="dxa"/>
        </w:tcPr>
        <w:p w14:paraId="31032DEA" w14:textId="77777777" w:rsidR="007C48A1" w:rsidRDefault="007C48A1">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62054199" w14:textId="328AFCDE" w:rsidR="007C48A1" w:rsidRDefault="007C48A1" w:rsidP="00D07252">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08159/INFOEM/IP/RR/2026</w:t>
          </w:r>
        </w:p>
      </w:tc>
    </w:tr>
    <w:tr w:rsidR="007C48A1" w14:paraId="3DB6A4A9" w14:textId="77777777">
      <w:tc>
        <w:tcPr>
          <w:tcW w:w="2489" w:type="dxa"/>
        </w:tcPr>
        <w:p w14:paraId="1EB49E89" w14:textId="77777777" w:rsidR="007C48A1" w:rsidRDefault="007C48A1">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1232B0D5" w14:textId="3D001FD3" w:rsidR="007C48A1" w:rsidRDefault="007C48A1" w:rsidP="00876813">
          <w:pPr>
            <w:ind w:right="175"/>
            <w:jc w:val="both"/>
            <w:rPr>
              <w:rFonts w:ascii="Palatino Linotype" w:eastAsia="Palatino Linotype" w:hAnsi="Palatino Linotype" w:cs="Palatino Linotype"/>
              <w:b/>
              <w:sz w:val="22"/>
              <w:szCs w:val="22"/>
              <w:highlight w:val="yellow"/>
            </w:rPr>
          </w:pPr>
        </w:p>
      </w:tc>
    </w:tr>
    <w:tr w:rsidR="007C48A1" w14:paraId="6C9948E1" w14:textId="77777777">
      <w:trPr>
        <w:trHeight w:val="228"/>
      </w:trPr>
      <w:tc>
        <w:tcPr>
          <w:tcW w:w="2489" w:type="dxa"/>
          <w:vAlign w:val="center"/>
        </w:tcPr>
        <w:p w14:paraId="22D7B399" w14:textId="77777777" w:rsidR="007C48A1" w:rsidRDefault="007C48A1">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4811C401" w14:textId="133395A2" w:rsidR="007C48A1" w:rsidRDefault="007C48A1">
          <w:pPr>
            <w:ind w:left="-45" w:right="176"/>
            <w:jc w:val="both"/>
            <w:rPr>
              <w:rFonts w:ascii="Palatino Linotype" w:eastAsia="Palatino Linotype" w:hAnsi="Palatino Linotype" w:cs="Palatino Linotype"/>
              <w:b/>
              <w:sz w:val="22"/>
              <w:szCs w:val="22"/>
            </w:rPr>
          </w:pPr>
          <w:r w:rsidRPr="00D07252">
            <w:rPr>
              <w:rFonts w:ascii="Palatino Linotype" w:eastAsia="Palatino Linotype" w:hAnsi="Palatino Linotype" w:cs="Palatino Linotype"/>
              <w:b/>
              <w:sz w:val="22"/>
              <w:szCs w:val="22"/>
            </w:rPr>
            <w:t>Instituto Mexiquense para la Discapacidad</w:t>
          </w:r>
        </w:p>
      </w:tc>
    </w:tr>
    <w:tr w:rsidR="007C48A1" w14:paraId="2B1C1852" w14:textId="77777777">
      <w:tc>
        <w:tcPr>
          <w:tcW w:w="2489" w:type="dxa"/>
          <w:vAlign w:val="center"/>
        </w:tcPr>
        <w:p w14:paraId="4F8DDCDE" w14:textId="77777777" w:rsidR="007C48A1" w:rsidRDefault="007C48A1">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105F17AE" w14:textId="77777777" w:rsidR="007C48A1" w:rsidRDefault="007C48A1">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6FDDDEC6" w14:textId="77777777" w:rsidR="007C48A1" w:rsidRDefault="007C48A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971"/>
    <w:multiLevelType w:val="multilevel"/>
    <w:tmpl w:val="4DD0B73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05565543"/>
    <w:multiLevelType w:val="multilevel"/>
    <w:tmpl w:val="41889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9406AE"/>
    <w:multiLevelType w:val="multilevel"/>
    <w:tmpl w:val="FF948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C2740C"/>
    <w:multiLevelType w:val="multilevel"/>
    <w:tmpl w:val="A16C3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FF6193"/>
    <w:multiLevelType w:val="multilevel"/>
    <w:tmpl w:val="42AADD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CB65594"/>
    <w:multiLevelType w:val="multilevel"/>
    <w:tmpl w:val="C12080EC"/>
    <w:lvl w:ilvl="0">
      <w:start w:val="1"/>
      <w:numFmt w:val="lowerRoman"/>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5045E1"/>
    <w:multiLevelType w:val="multilevel"/>
    <w:tmpl w:val="0DFE2D7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5329F5"/>
    <w:multiLevelType w:val="multilevel"/>
    <w:tmpl w:val="A6488A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8C372C3"/>
    <w:multiLevelType w:val="hybridMultilevel"/>
    <w:tmpl w:val="DC5C4A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2AD561E3"/>
    <w:multiLevelType w:val="multilevel"/>
    <w:tmpl w:val="0F1047C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325938D9"/>
    <w:multiLevelType w:val="multilevel"/>
    <w:tmpl w:val="4E102662"/>
    <w:lvl w:ilvl="0">
      <w:start w:val="1"/>
      <w:numFmt w:val="lowerLetter"/>
      <w:pStyle w:val="Listaconvietas3"/>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3586A0A"/>
    <w:multiLevelType w:val="hybridMultilevel"/>
    <w:tmpl w:val="F0D4B32A"/>
    <w:lvl w:ilvl="0" w:tplc="69382662">
      <w:start w:val="8"/>
      <w:numFmt w:val="bullet"/>
      <w:lvlText w:val=""/>
      <w:lvlJc w:val="left"/>
      <w:pPr>
        <w:ind w:left="360" w:hanging="360"/>
      </w:pPr>
      <w:rPr>
        <w:rFonts w:ascii="Symbol" w:eastAsia="Palatino Linotype" w:hAnsi="Symbol" w:cs="Palatino Linotype"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4E2753F"/>
    <w:multiLevelType w:val="multilevel"/>
    <w:tmpl w:val="6F662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72F31AE"/>
    <w:multiLevelType w:val="hybridMultilevel"/>
    <w:tmpl w:val="27C0729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40912925"/>
    <w:multiLevelType w:val="multilevel"/>
    <w:tmpl w:val="6EAE7F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30B1C1E"/>
    <w:multiLevelType w:val="multilevel"/>
    <w:tmpl w:val="D6C28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7FB0EAA"/>
    <w:multiLevelType w:val="hybridMultilevel"/>
    <w:tmpl w:val="B03ED44C"/>
    <w:lvl w:ilvl="0" w:tplc="4F086008">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7" w15:restartNumberingAfterBreak="0">
    <w:nsid w:val="5F161100"/>
    <w:multiLevelType w:val="multilevel"/>
    <w:tmpl w:val="D506C70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F8D6E0B"/>
    <w:multiLevelType w:val="multilevel"/>
    <w:tmpl w:val="C31A3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20930DE"/>
    <w:multiLevelType w:val="multilevel"/>
    <w:tmpl w:val="07B63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914618D"/>
    <w:multiLevelType w:val="multilevel"/>
    <w:tmpl w:val="59D84C9E"/>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CB34B05"/>
    <w:multiLevelType w:val="multilevel"/>
    <w:tmpl w:val="9AC28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D4592D"/>
    <w:multiLevelType w:val="multilevel"/>
    <w:tmpl w:val="BB5AF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4"/>
  </w:num>
  <w:num w:numId="3">
    <w:abstractNumId w:val="14"/>
  </w:num>
  <w:num w:numId="4">
    <w:abstractNumId w:val="9"/>
  </w:num>
  <w:num w:numId="5">
    <w:abstractNumId w:val="1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
  </w:num>
  <w:num w:numId="9">
    <w:abstractNumId w:val="8"/>
  </w:num>
  <w:num w:numId="10">
    <w:abstractNumId w:val="19"/>
  </w:num>
  <w:num w:numId="11">
    <w:abstractNumId w:val="0"/>
  </w:num>
  <w:num w:numId="12">
    <w:abstractNumId w:val="21"/>
  </w:num>
  <w:num w:numId="13">
    <w:abstractNumId w:val="2"/>
  </w:num>
  <w:num w:numId="14">
    <w:abstractNumId w:val="18"/>
  </w:num>
  <w:num w:numId="15">
    <w:abstractNumId w:val="3"/>
  </w:num>
  <w:num w:numId="16">
    <w:abstractNumId w:val="13"/>
  </w:num>
  <w:num w:numId="17">
    <w:abstractNumId w:val="20"/>
    <w:lvlOverride w:ilvl="0">
      <w:startOverride w:val="1"/>
    </w:lvlOverride>
    <w:lvlOverride w:ilvl="1"/>
    <w:lvlOverride w:ilvl="2"/>
    <w:lvlOverride w:ilvl="3"/>
    <w:lvlOverride w:ilvl="4"/>
    <w:lvlOverride w:ilvl="5"/>
    <w:lvlOverride w:ilvl="6"/>
    <w:lvlOverride w:ilvl="7"/>
    <w:lvlOverride w:ilv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CA"/>
    <w:rsid w:val="000001DD"/>
    <w:rsid w:val="00010CDA"/>
    <w:rsid w:val="0001191B"/>
    <w:rsid w:val="0001490F"/>
    <w:rsid w:val="00021F96"/>
    <w:rsid w:val="0002597E"/>
    <w:rsid w:val="00030138"/>
    <w:rsid w:val="0003239B"/>
    <w:rsid w:val="00033F56"/>
    <w:rsid w:val="000434F4"/>
    <w:rsid w:val="000450A5"/>
    <w:rsid w:val="00045196"/>
    <w:rsid w:val="00055422"/>
    <w:rsid w:val="00056155"/>
    <w:rsid w:val="00060351"/>
    <w:rsid w:val="00062182"/>
    <w:rsid w:val="0006362F"/>
    <w:rsid w:val="00075ABA"/>
    <w:rsid w:val="00081B2B"/>
    <w:rsid w:val="000911CE"/>
    <w:rsid w:val="00091354"/>
    <w:rsid w:val="00092537"/>
    <w:rsid w:val="000935A0"/>
    <w:rsid w:val="000A5A93"/>
    <w:rsid w:val="000A6509"/>
    <w:rsid w:val="000B08E2"/>
    <w:rsid w:val="000B10EC"/>
    <w:rsid w:val="000B1F1E"/>
    <w:rsid w:val="000B6897"/>
    <w:rsid w:val="000B7422"/>
    <w:rsid w:val="000E1AC0"/>
    <w:rsid w:val="000E5B26"/>
    <w:rsid w:val="000F23D9"/>
    <w:rsid w:val="000F4C63"/>
    <w:rsid w:val="000F7432"/>
    <w:rsid w:val="00114A40"/>
    <w:rsid w:val="00115056"/>
    <w:rsid w:val="00115D0B"/>
    <w:rsid w:val="00115E84"/>
    <w:rsid w:val="00117765"/>
    <w:rsid w:val="001205A1"/>
    <w:rsid w:val="00122A9E"/>
    <w:rsid w:val="001233DE"/>
    <w:rsid w:val="001267DD"/>
    <w:rsid w:val="00127F65"/>
    <w:rsid w:val="001314F8"/>
    <w:rsid w:val="001331C9"/>
    <w:rsid w:val="00133F88"/>
    <w:rsid w:val="001422C0"/>
    <w:rsid w:val="001478A2"/>
    <w:rsid w:val="00150A37"/>
    <w:rsid w:val="00165B01"/>
    <w:rsid w:val="00170F4F"/>
    <w:rsid w:val="001749F1"/>
    <w:rsid w:val="0017599F"/>
    <w:rsid w:val="00177D9B"/>
    <w:rsid w:val="00184296"/>
    <w:rsid w:val="00190F9B"/>
    <w:rsid w:val="001952E1"/>
    <w:rsid w:val="00195FC9"/>
    <w:rsid w:val="001A1378"/>
    <w:rsid w:val="001B1226"/>
    <w:rsid w:val="001B38DE"/>
    <w:rsid w:val="001D078B"/>
    <w:rsid w:val="001D5ED1"/>
    <w:rsid w:val="001D66E3"/>
    <w:rsid w:val="001E3C46"/>
    <w:rsid w:val="001E5062"/>
    <w:rsid w:val="001E6B05"/>
    <w:rsid w:val="001F4E3C"/>
    <w:rsid w:val="001F5EE5"/>
    <w:rsid w:val="001F7FD6"/>
    <w:rsid w:val="0020229D"/>
    <w:rsid w:val="00203F01"/>
    <w:rsid w:val="002045B4"/>
    <w:rsid w:val="00205B67"/>
    <w:rsid w:val="00213DB1"/>
    <w:rsid w:val="00213E19"/>
    <w:rsid w:val="0022185E"/>
    <w:rsid w:val="00222A1F"/>
    <w:rsid w:val="002257A3"/>
    <w:rsid w:val="0023548E"/>
    <w:rsid w:val="0023698F"/>
    <w:rsid w:val="0024539A"/>
    <w:rsid w:val="002456A1"/>
    <w:rsid w:val="00252329"/>
    <w:rsid w:val="00257C3E"/>
    <w:rsid w:val="002616BA"/>
    <w:rsid w:val="002716E6"/>
    <w:rsid w:val="002747F8"/>
    <w:rsid w:val="00276590"/>
    <w:rsid w:val="002A5C21"/>
    <w:rsid w:val="002A698A"/>
    <w:rsid w:val="002A7CEA"/>
    <w:rsid w:val="002B655B"/>
    <w:rsid w:val="002D3FC3"/>
    <w:rsid w:val="002D4CDF"/>
    <w:rsid w:val="002D5D34"/>
    <w:rsid w:val="002D6110"/>
    <w:rsid w:val="002D7C95"/>
    <w:rsid w:val="002E39F9"/>
    <w:rsid w:val="002F34CD"/>
    <w:rsid w:val="002F4E98"/>
    <w:rsid w:val="00302612"/>
    <w:rsid w:val="00304ABF"/>
    <w:rsid w:val="003050B9"/>
    <w:rsid w:val="003125FC"/>
    <w:rsid w:val="00317373"/>
    <w:rsid w:val="0032187A"/>
    <w:rsid w:val="00330F84"/>
    <w:rsid w:val="00334509"/>
    <w:rsid w:val="00347B44"/>
    <w:rsid w:val="003506FB"/>
    <w:rsid w:val="00361DB3"/>
    <w:rsid w:val="00372145"/>
    <w:rsid w:val="00391314"/>
    <w:rsid w:val="00392126"/>
    <w:rsid w:val="00394119"/>
    <w:rsid w:val="003945CF"/>
    <w:rsid w:val="003A53D5"/>
    <w:rsid w:val="003B12AA"/>
    <w:rsid w:val="003B4D06"/>
    <w:rsid w:val="003C3C01"/>
    <w:rsid w:val="003C7CB0"/>
    <w:rsid w:val="003D009C"/>
    <w:rsid w:val="003D0956"/>
    <w:rsid w:val="003D1488"/>
    <w:rsid w:val="003D3C3A"/>
    <w:rsid w:val="003D4046"/>
    <w:rsid w:val="003E2AB0"/>
    <w:rsid w:val="003E5305"/>
    <w:rsid w:val="003F11AC"/>
    <w:rsid w:val="00403FFC"/>
    <w:rsid w:val="00404DBE"/>
    <w:rsid w:val="0040684A"/>
    <w:rsid w:val="0040759E"/>
    <w:rsid w:val="004205DC"/>
    <w:rsid w:val="00421F6D"/>
    <w:rsid w:val="004306A8"/>
    <w:rsid w:val="004333E3"/>
    <w:rsid w:val="00434EB5"/>
    <w:rsid w:val="00440948"/>
    <w:rsid w:val="00444CAE"/>
    <w:rsid w:val="004621D9"/>
    <w:rsid w:val="00462240"/>
    <w:rsid w:val="0046426F"/>
    <w:rsid w:val="004646CD"/>
    <w:rsid w:val="004860EA"/>
    <w:rsid w:val="0049521E"/>
    <w:rsid w:val="00495A3F"/>
    <w:rsid w:val="00497588"/>
    <w:rsid w:val="004A4FEF"/>
    <w:rsid w:val="004A50BF"/>
    <w:rsid w:val="004B5C66"/>
    <w:rsid w:val="004B6C62"/>
    <w:rsid w:val="004C3BB2"/>
    <w:rsid w:val="004D606F"/>
    <w:rsid w:val="004E20A7"/>
    <w:rsid w:val="004F3DC7"/>
    <w:rsid w:val="004F41CB"/>
    <w:rsid w:val="004F7E09"/>
    <w:rsid w:val="00506273"/>
    <w:rsid w:val="005226A1"/>
    <w:rsid w:val="00525B05"/>
    <w:rsid w:val="00530833"/>
    <w:rsid w:val="00560785"/>
    <w:rsid w:val="00565B39"/>
    <w:rsid w:val="0057455B"/>
    <w:rsid w:val="00576638"/>
    <w:rsid w:val="0058265C"/>
    <w:rsid w:val="0058690B"/>
    <w:rsid w:val="00587371"/>
    <w:rsid w:val="0059083F"/>
    <w:rsid w:val="00590FB1"/>
    <w:rsid w:val="0059485F"/>
    <w:rsid w:val="005A75CA"/>
    <w:rsid w:val="005B6BEF"/>
    <w:rsid w:val="005C23D5"/>
    <w:rsid w:val="005D5DE1"/>
    <w:rsid w:val="005E179A"/>
    <w:rsid w:val="005E3413"/>
    <w:rsid w:val="005F0263"/>
    <w:rsid w:val="005F3716"/>
    <w:rsid w:val="00605FD6"/>
    <w:rsid w:val="00611C81"/>
    <w:rsid w:val="0061364A"/>
    <w:rsid w:val="006141D0"/>
    <w:rsid w:val="00614AF9"/>
    <w:rsid w:val="00616184"/>
    <w:rsid w:val="00621E51"/>
    <w:rsid w:val="00626BB5"/>
    <w:rsid w:val="006270EE"/>
    <w:rsid w:val="00631944"/>
    <w:rsid w:val="00632C2A"/>
    <w:rsid w:val="0063443F"/>
    <w:rsid w:val="006344E4"/>
    <w:rsid w:val="00635B4A"/>
    <w:rsid w:val="00636524"/>
    <w:rsid w:val="006367B1"/>
    <w:rsid w:val="00637AFF"/>
    <w:rsid w:val="0064122E"/>
    <w:rsid w:val="00644029"/>
    <w:rsid w:val="006572E1"/>
    <w:rsid w:val="006604EC"/>
    <w:rsid w:val="00665D57"/>
    <w:rsid w:val="006822B4"/>
    <w:rsid w:val="00686B04"/>
    <w:rsid w:val="00690D64"/>
    <w:rsid w:val="00697A8E"/>
    <w:rsid w:val="006A4E1C"/>
    <w:rsid w:val="006B42FD"/>
    <w:rsid w:val="006B5BE3"/>
    <w:rsid w:val="006C3C73"/>
    <w:rsid w:val="006C5AD6"/>
    <w:rsid w:val="006C72C4"/>
    <w:rsid w:val="006D4370"/>
    <w:rsid w:val="006D6CC9"/>
    <w:rsid w:val="006D748F"/>
    <w:rsid w:val="006E0E72"/>
    <w:rsid w:val="006F059B"/>
    <w:rsid w:val="006F75DE"/>
    <w:rsid w:val="006F7F8D"/>
    <w:rsid w:val="00704575"/>
    <w:rsid w:val="00706E58"/>
    <w:rsid w:val="007136F9"/>
    <w:rsid w:val="00713CC0"/>
    <w:rsid w:val="007144C5"/>
    <w:rsid w:val="00725AD8"/>
    <w:rsid w:val="00725C3E"/>
    <w:rsid w:val="00726D03"/>
    <w:rsid w:val="00730FDC"/>
    <w:rsid w:val="00733A73"/>
    <w:rsid w:val="007360BF"/>
    <w:rsid w:val="007360C5"/>
    <w:rsid w:val="00745FCC"/>
    <w:rsid w:val="00750797"/>
    <w:rsid w:val="0075611B"/>
    <w:rsid w:val="00756ED3"/>
    <w:rsid w:val="007655BF"/>
    <w:rsid w:val="00772F68"/>
    <w:rsid w:val="00773982"/>
    <w:rsid w:val="00786F36"/>
    <w:rsid w:val="00794DE9"/>
    <w:rsid w:val="007A1633"/>
    <w:rsid w:val="007A26C2"/>
    <w:rsid w:val="007B4542"/>
    <w:rsid w:val="007B7073"/>
    <w:rsid w:val="007C30FF"/>
    <w:rsid w:val="007C48A1"/>
    <w:rsid w:val="007D142D"/>
    <w:rsid w:val="007D59D5"/>
    <w:rsid w:val="007E1455"/>
    <w:rsid w:val="007E3F38"/>
    <w:rsid w:val="007E6096"/>
    <w:rsid w:val="007E62E7"/>
    <w:rsid w:val="007F50A1"/>
    <w:rsid w:val="00811223"/>
    <w:rsid w:val="008115A6"/>
    <w:rsid w:val="00812142"/>
    <w:rsid w:val="008178BC"/>
    <w:rsid w:val="00817C00"/>
    <w:rsid w:val="00837327"/>
    <w:rsid w:val="008416B3"/>
    <w:rsid w:val="00853F61"/>
    <w:rsid w:val="00871C8E"/>
    <w:rsid w:val="008765F7"/>
    <w:rsid w:val="00876813"/>
    <w:rsid w:val="00877C5D"/>
    <w:rsid w:val="00893EF4"/>
    <w:rsid w:val="00894CC7"/>
    <w:rsid w:val="008A5299"/>
    <w:rsid w:val="008B119B"/>
    <w:rsid w:val="008C0431"/>
    <w:rsid w:val="008C1BA6"/>
    <w:rsid w:val="008C3A86"/>
    <w:rsid w:val="008C583A"/>
    <w:rsid w:val="008D3781"/>
    <w:rsid w:val="008E0084"/>
    <w:rsid w:val="008E10E3"/>
    <w:rsid w:val="008F513A"/>
    <w:rsid w:val="0090088A"/>
    <w:rsid w:val="00901A4F"/>
    <w:rsid w:val="0090428C"/>
    <w:rsid w:val="00906BE1"/>
    <w:rsid w:val="00906D09"/>
    <w:rsid w:val="009101FE"/>
    <w:rsid w:val="009105D0"/>
    <w:rsid w:val="00913064"/>
    <w:rsid w:val="0092171A"/>
    <w:rsid w:val="00936CF1"/>
    <w:rsid w:val="00944957"/>
    <w:rsid w:val="009474F2"/>
    <w:rsid w:val="00950232"/>
    <w:rsid w:val="00955A17"/>
    <w:rsid w:val="0095701F"/>
    <w:rsid w:val="00963CBD"/>
    <w:rsid w:val="00966C24"/>
    <w:rsid w:val="00967195"/>
    <w:rsid w:val="009675F6"/>
    <w:rsid w:val="0097089F"/>
    <w:rsid w:val="00970AC4"/>
    <w:rsid w:val="009761CD"/>
    <w:rsid w:val="009947B5"/>
    <w:rsid w:val="00997932"/>
    <w:rsid w:val="009A64CC"/>
    <w:rsid w:val="009A6A7A"/>
    <w:rsid w:val="009A715D"/>
    <w:rsid w:val="009B2FB9"/>
    <w:rsid w:val="009B5196"/>
    <w:rsid w:val="009B5EA0"/>
    <w:rsid w:val="009C2784"/>
    <w:rsid w:val="009C67A9"/>
    <w:rsid w:val="009D254A"/>
    <w:rsid w:val="009E1D30"/>
    <w:rsid w:val="009E7E7A"/>
    <w:rsid w:val="009F548D"/>
    <w:rsid w:val="009F570B"/>
    <w:rsid w:val="009F5A26"/>
    <w:rsid w:val="00A0077E"/>
    <w:rsid w:val="00A011FF"/>
    <w:rsid w:val="00A038BB"/>
    <w:rsid w:val="00A039DF"/>
    <w:rsid w:val="00A0758F"/>
    <w:rsid w:val="00A1535E"/>
    <w:rsid w:val="00A16DBC"/>
    <w:rsid w:val="00A17E93"/>
    <w:rsid w:val="00A2197E"/>
    <w:rsid w:val="00A261A0"/>
    <w:rsid w:val="00A3292F"/>
    <w:rsid w:val="00A424AD"/>
    <w:rsid w:val="00A44EED"/>
    <w:rsid w:val="00A54596"/>
    <w:rsid w:val="00A61680"/>
    <w:rsid w:val="00A63EAB"/>
    <w:rsid w:val="00A754BF"/>
    <w:rsid w:val="00A77106"/>
    <w:rsid w:val="00A82127"/>
    <w:rsid w:val="00AA167F"/>
    <w:rsid w:val="00AA28D8"/>
    <w:rsid w:val="00AA4F89"/>
    <w:rsid w:val="00AC0437"/>
    <w:rsid w:val="00AC79F3"/>
    <w:rsid w:val="00AD7321"/>
    <w:rsid w:val="00AD7F25"/>
    <w:rsid w:val="00AE1BCD"/>
    <w:rsid w:val="00AF65BB"/>
    <w:rsid w:val="00B01291"/>
    <w:rsid w:val="00B03297"/>
    <w:rsid w:val="00B036A9"/>
    <w:rsid w:val="00B116E9"/>
    <w:rsid w:val="00B11F9E"/>
    <w:rsid w:val="00B165AE"/>
    <w:rsid w:val="00B24416"/>
    <w:rsid w:val="00B27559"/>
    <w:rsid w:val="00B278DC"/>
    <w:rsid w:val="00B323CF"/>
    <w:rsid w:val="00B35306"/>
    <w:rsid w:val="00B40B8A"/>
    <w:rsid w:val="00B41106"/>
    <w:rsid w:val="00B41661"/>
    <w:rsid w:val="00B42DDB"/>
    <w:rsid w:val="00B47F6C"/>
    <w:rsid w:val="00B50A90"/>
    <w:rsid w:val="00B63576"/>
    <w:rsid w:val="00B678B8"/>
    <w:rsid w:val="00B76B3B"/>
    <w:rsid w:val="00B8367A"/>
    <w:rsid w:val="00B95B0A"/>
    <w:rsid w:val="00BA01F0"/>
    <w:rsid w:val="00BA3CC9"/>
    <w:rsid w:val="00BA5BA4"/>
    <w:rsid w:val="00BA762F"/>
    <w:rsid w:val="00BB1D53"/>
    <w:rsid w:val="00BB34F7"/>
    <w:rsid w:val="00BB5BAE"/>
    <w:rsid w:val="00BC2E4B"/>
    <w:rsid w:val="00BC7DDC"/>
    <w:rsid w:val="00BD4336"/>
    <w:rsid w:val="00BE13BF"/>
    <w:rsid w:val="00BE4CD0"/>
    <w:rsid w:val="00BE57AC"/>
    <w:rsid w:val="00BE6FDF"/>
    <w:rsid w:val="00BF1453"/>
    <w:rsid w:val="00BF27F2"/>
    <w:rsid w:val="00BF3A98"/>
    <w:rsid w:val="00BF3FF9"/>
    <w:rsid w:val="00BF4BA8"/>
    <w:rsid w:val="00C01325"/>
    <w:rsid w:val="00C04B9C"/>
    <w:rsid w:val="00C04D06"/>
    <w:rsid w:val="00C07670"/>
    <w:rsid w:val="00C14B18"/>
    <w:rsid w:val="00C15A66"/>
    <w:rsid w:val="00C15E24"/>
    <w:rsid w:val="00C2035D"/>
    <w:rsid w:val="00C410B3"/>
    <w:rsid w:val="00C41109"/>
    <w:rsid w:val="00C460B7"/>
    <w:rsid w:val="00C50CA6"/>
    <w:rsid w:val="00C50DF1"/>
    <w:rsid w:val="00C550EC"/>
    <w:rsid w:val="00C62D06"/>
    <w:rsid w:val="00C6372B"/>
    <w:rsid w:val="00C66282"/>
    <w:rsid w:val="00C710B0"/>
    <w:rsid w:val="00C81703"/>
    <w:rsid w:val="00C84A28"/>
    <w:rsid w:val="00C851CB"/>
    <w:rsid w:val="00C86E4D"/>
    <w:rsid w:val="00C87908"/>
    <w:rsid w:val="00C923CE"/>
    <w:rsid w:val="00C971B2"/>
    <w:rsid w:val="00CA2B4C"/>
    <w:rsid w:val="00CA3847"/>
    <w:rsid w:val="00CA515A"/>
    <w:rsid w:val="00CA7851"/>
    <w:rsid w:val="00CB315F"/>
    <w:rsid w:val="00CC2442"/>
    <w:rsid w:val="00CC7C4F"/>
    <w:rsid w:val="00CD1803"/>
    <w:rsid w:val="00CD4734"/>
    <w:rsid w:val="00CF3072"/>
    <w:rsid w:val="00CF6D00"/>
    <w:rsid w:val="00CF7113"/>
    <w:rsid w:val="00D02AA9"/>
    <w:rsid w:val="00D07252"/>
    <w:rsid w:val="00D132EC"/>
    <w:rsid w:val="00D15F61"/>
    <w:rsid w:val="00D1660F"/>
    <w:rsid w:val="00D26C1D"/>
    <w:rsid w:val="00D3676B"/>
    <w:rsid w:val="00D4788B"/>
    <w:rsid w:val="00D535F2"/>
    <w:rsid w:val="00D5688F"/>
    <w:rsid w:val="00D708EC"/>
    <w:rsid w:val="00D70B41"/>
    <w:rsid w:val="00D7204E"/>
    <w:rsid w:val="00D85B4C"/>
    <w:rsid w:val="00DA3E2B"/>
    <w:rsid w:val="00DB445B"/>
    <w:rsid w:val="00DB5B6C"/>
    <w:rsid w:val="00DC0C58"/>
    <w:rsid w:val="00DC4A5A"/>
    <w:rsid w:val="00DD2AD4"/>
    <w:rsid w:val="00DE0050"/>
    <w:rsid w:val="00DE24ED"/>
    <w:rsid w:val="00E0615F"/>
    <w:rsid w:val="00E120D6"/>
    <w:rsid w:val="00E135F5"/>
    <w:rsid w:val="00E2315B"/>
    <w:rsid w:val="00E3233B"/>
    <w:rsid w:val="00E34928"/>
    <w:rsid w:val="00E3627B"/>
    <w:rsid w:val="00E3658C"/>
    <w:rsid w:val="00E46B78"/>
    <w:rsid w:val="00E57A87"/>
    <w:rsid w:val="00E67226"/>
    <w:rsid w:val="00E71B42"/>
    <w:rsid w:val="00E7249D"/>
    <w:rsid w:val="00E83DE2"/>
    <w:rsid w:val="00E84081"/>
    <w:rsid w:val="00E8604C"/>
    <w:rsid w:val="00E928BD"/>
    <w:rsid w:val="00E94C00"/>
    <w:rsid w:val="00E96B90"/>
    <w:rsid w:val="00EA2325"/>
    <w:rsid w:val="00EB4C97"/>
    <w:rsid w:val="00EB5561"/>
    <w:rsid w:val="00EB58C5"/>
    <w:rsid w:val="00EC41AA"/>
    <w:rsid w:val="00EC4642"/>
    <w:rsid w:val="00EC48FD"/>
    <w:rsid w:val="00ED3BAD"/>
    <w:rsid w:val="00ED6BA6"/>
    <w:rsid w:val="00ED7360"/>
    <w:rsid w:val="00EE05EA"/>
    <w:rsid w:val="00EE1FD9"/>
    <w:rsid w:val="00EE2187"/>
    <w:rsid w:val="00EE30A5"/>
    <w:rsid w:val="00EE6C05"/>
    <w:rsid w:val="00EF3EED"/>
    <w:rsid w:val="00EF6173"/>
    <w:rsid w:val="00F017AA"/>
    <w:rsid w:val="00F115B4"/>
    <w:rsid w:val="00F11672"/>
    <w:rsid w:val="00F1296D"/>
    <w:rsid w:val="00F13887"/>
    <w:rsid w:val="00F17B75"/>
    <w:rsid w:val="00F219A5"/>
    <w:rsid w:val="00F362AE"/>
    <w:rsid w:val="00F40026"/>
    <w:rsid w:val="00F4152A"/>
    <w:rsid w:val="00F423BB"/>
    <w:rsid w:val="00F44777"/>
    <w:rsid w:val="00F52395"/>
    <w:rsid w:val="00F5550B"/>
    <w:rsid w:val="00F61164"/>
    <w:rsid w:val="00F64912"/>
    <w:rsid w:val="00F67B5E"/>
    <w:rsid w:val="00F73AA9"/>
    <w:rsid w:val="00F75F39"/>
    <w:rsid w:val="00F76AB4"/>
    <w:rsid w:val="00F82B96"/>
    <w:rsid w:val="00F913B0"/>
    <w:rsid w:val="00F93D65"/>
    <w:rsid w:val="00F95655"/>
    <w:rsid w:val="00F96B61"/>
    <w:rsid w:val="00FA1156"/>
    <w:rsid w:val="00FA377A"/>
    <w:rsid w:val="00FA62E2"/>
    <w:rsid w:val="00FB513B"/>
    <w:rsid w:val="00FB7638"/>
    <w:rsid w:val="00FB77D5"/>
    <w:rsid w:val="00FC4F4F"/>
    <w:rsid w:val="00FC649F"/>
    <w:rsid w:val="00FD0FF9"/>
    <w:rsid w:val="00FD591E"/>
    <w:rsid w:val="00FE6677"/>
    <w:rsid w:val="00FF09CB"/>
    <w:rsid w:val="00FF1B23"/>
    <w:rsid w:val="00FF4216"/>
    <w:rsid w:val="00FF43B7"/>
    <w:rsid w:val="00FF6D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CB5C60"/>
  <w15:docId w15:val="{1A4982B5-CB8A-451E-A332-C2694A25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a">
    <w:basedOn w:val="TableNormalf1"/>
    <w:tblPr>
      <w:tblStyleRowBandSize w:val="1"/>
      <w:tblStyleColBandSize w:val="1"/>
      <w:tblCellMar>
        <w:left w:w="115" w:type="dxa"/>
        <w:right w:w="115" w:type="dxa"/>
      </w:tblCellMar>
    </w:tblPr>
  </w:style>
  <w:style w:type="table" w:customStyle="1" w:styleId="a0">
    <w:basedOn w:val="TableNormalf1"/>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1"/>
    <w:tblPr>
      <w:tblStyleRowBandSize w:val="1"/>
      <w:tblStyleColBandSize w:val="1"/>
      <w:tblCellMar>
        <w:left w:w="115" w:type="dxa"/>
        <w:right w:w="115" w:type="dxa"/>
      </w:tblCellMar>
    </w:tblPr>
  </w:style>
  <w:style w:type="table" w:customStyle="1" w:styleId="a2">
    <w:basedOn w:val="TableNormalf1"/>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0"/>
    <w:tblPr>
      <w:tblStyleRowBandSize w:val="1"/>
      <w:tblStyleColBandSize w:val="1"/>
      <w:tblCellMar>
        <w:left w:w="115" w:type="dxa"/>
        <w:right w:w="115" w:type="dxa"/>
      </w:tblCellMar>
    </w:tblPr>
  </w:style>
  <w:style w:type="table" w:customStyle="1" w:styleId="a4">
    <w:basedOn w:val="TableNormalf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
    <w:tblPr>
      <w:tblStyleRowBandSize w:val="1"/>
      <w:tblStyleColBandSize w:val="1"/>
      <w:tblCellMar>
        <w:left w:w="108" w:type="dxa"/>
        <w:right w:w="108" w:type="dxa"/>
      </w:tblCellMar>
    </w:tblPr>
  </w:style>
  <w:style w:type="table" w:customStyle="1" w:styleId="a6">
    <w:basedOn w:val="TableNormalf"/>
    <w:tblPr>
      <w:tblStyleRowBandSize w:val="1"/>
      <w:tblStyleColBandSize w:val="1"/>
      <w:tblCellMar>
        <w:left w:w="108" w:type="dxa"/>
        <w:right w:w="108" w:type="dxa"/>
      </w:tblCellMar>
    </w:tblPr>
  </w:style>
  <w:style w:type="table" w:customStyle="1" w:styleId="a7">
    <w:basedOn w:val="TableNormalf"/>
    <w:tblPr>
      <w:tblStyleRowBandSize w:val="1"/>
      <w:tblStyleColBandSize w:val="1"/>
      <w:tblCellMar>
        <w:left w:w="108" w:type="dxa"/>
        <w:right w:w="108" w:type="dxa"/>
      </w:tblCellMar>
    </w:tblPr>
  </w:style>
  <w:style w:type="table" w:customStyle="1" w:styleId="a8">
    <w:basedOn w:val="TableNormalf"/>
    <w:tblPr>
      <w:tblStyleRowBandSize w:val="1"/>
      <w:tblStyleColBandSize w:val="1"/>
      <w:tblCellMar>
        <w:left w:w="108" w:type="dxa"/>
        <w:right w:w="108" w:type="dxa"/>
      </w:tblCellMar>
    </w:tblPr>
  </w:style>
  <w:style w:type="table" w:customStyle="1" w:styleId="a9">
    <w:basedOn w:val="TableNormalf"/>
    <w:tblPr>
      <w:tblStyleRowBandSize w:val="1"/>
      <w:tblStyleColBandSize w:val="1"/>
      <w:tblCellMar>
        <w:left w:w="108" w:type="dxa"/>
        <w:right w:w="108" w:type="dxa"/>
      </w:tblCellMar>
    </w:tblPr>
  </w:style>
  <w:style w:type="table" w:customStyle="1" w:styleId="aa">
    <w:basedOn w:val="TableNormalf"/>
    <w:tblPr>
      <w:tblStyleRowBandSize w:val="1"/>
      <w:tblStyleColBandSize w:val="1"/>
      <w:tblCellMar>
        <w:left w:w="115" w:type="dxa"/>
        <w:right w:w="115" w:type="dxa"/>
      </w:tblCellMar>
    </w:tblPr>
  </w:style>
  <w:style w:type="table" w:customStyle="1" w:styleId="ab">
    <w:basedOn w:val="TableNormalf"/>
    <w:tblPr>
      <w:tblStyleRowBandSize w:val="1"/>
      <w:tblStyleColBandSize w:val="1"/>
      <w:tblCellMar>
        <w:left w:w="115" w:type="dxa"/>
        <w:right w:w="115" w:type="dxa"/>
      </w:tblCellMar>
    </w:tblPr>
  </w:style>
  <w:style w:type="table" w:customStyle="1" w:styleId="ac">
    <w:basedOn w:val="TableNormale"/>
    <w:tblPr>
      <w:tblStyleRowBandSize w:val="1"/>
      <w:tblStyleColBandSize w:val="1"/>
      <w:tblCellMar>
        <w:left w:w="108" w:type="dxa"/>
        <w:right w:w="108" w:type="dxa"/>
      </w:tblCellMar>
    </w:tblPr>
  </w:style>
  <w:style w:type="table" w:customStyle="1" w:styleId="ad">
    <w:basedOn w:val="TableNormale"/>
    <w:tblPr>
      <w:tblStyleRowBandSize w:val="1"/>
      <w:tblStyleColBandSize w:val="1"/>
      <w:tblCellMar>
        <w:left w:w="115" w:type="dxa"/>
        <w:right w:w="115" w:type="dxa"/>
      </w:tblCellMar>
    </w:tblPr>
  </w:style>
  <w:style w:type="table" w:customStyle="1" w:styleId="ae">
    <w:basedOn w:val="TableNormale"/>
    <w:tblPr>
      <w:tblStyleRowBandSize w:val="1"/>
      <w:tblStyleColBandSize w:val="1"/>
      <w:tblCellMar>
        <w:left w:w="115" w:type="dxa"/>
        <w:right w:w="115" w:type="dxa"/>
      </w:tblCellMar>
    </w:tblPr>
  </w:style>
  <w:style w:type="table" w:customStyle="1" w:styleId="af">
    <w:basedOn w:val="TableNormald"/>
    <w:tblPr>
      <w:tblStyleRowBandSize w:val="1"/>
      <w:tblStyleColBandSize w:val="1"/>
      <w:tblCellMar>
        <w:left w:w="115" w:type="dxa"/>
        <w:right w:w="115" w:type="dxa"/>
      </w:tblCellMar>
    </w:tblPr>
  </w:style>
  <w:style w:type="table" w:customStyle="1" w:styleId="af0">
    <w:basedOn w:val="TableNormald"/>
    <w:tblPr>
      <w:tblStyleRowBandSize w:val="1"/>
      <w:tblStyleColBandSize w:val="1"/>
      <w:tblCellMar>
        <w:left w:w="115" w:type="dxa"/>
        <w:right w:w="115" w:type="dxa"/>
      </w:tblCellMar>
    </w:tblPr>
  </w:style>
  <w:style w:type="table" w:customStyle="1" w:styleId="af1">
    <w:basedOn w:val="TableNormald"/>
    <w:tblPr>
      <w:tblStyleRowBandSize w:val="1"/>
      <w:tblStyleColBandSize w:val="1"/>
      <w:tblCellMar>
        <w:left w:w="115" w:type="dxa"/>
        <w:right w:w="115" w:type="dxa"/>
      </w:tblCellMar>
    </w:tblPr>
  </w:style>
  <w:style w:type="table" w:customStyle="1" w:styleId="af2">
    <w:basedOn w:val="TableNormalc"/>
    <w:tblPr>
      <w:tblStyleRowBandSize w:val="1"/>
      <w:tblStyleColBandSize w:val="1"/>
      <w:tblCellMar>
        <w:left w:w="115" w:type="dxa"/>
        <w:right w:w="115" w:type="dxa"/>
      </w:tblCellMar>
    </w:tblPr>
  </w:style>
  <w:style w:type="table" w:customStyle="1" w:styleId="af3">
    <w:basedOn w:val="TableNormalc"/>
    <w:tblPr>
      <w:tblStyleRowBandSize w:val="1"/>
      <w:tblStyleColBandSize w:val="1"/>
      <w:tblCellMar>
        <w:left w:w="115" w:type="dxa"/>
        <w:right w:w="115" w:type="dxa"/>
      </w:tblCellMar>
    </w:tblPr>
  </w:style>
  <w:style w:type="table" w:customStyle="1" w:styleId="af4">
    <w:basedOn w:val="TableNormalb"/>
    <w:tblPr>
      <w:tblStyleRowBandSize w:val="1"/>
      <w:tblStyleColBandSize w:val="1"/>
      <w:tblCellMar>
        <w:left w:w="115" w:type="dxa"/>
        <w:right w:w="115" w:type="dxa"/>
      </w:tblCellMar>
    </w:tblPr>
  </w:style>
  <w:style w:type="table" w:customStyle="1" w:styleId="af5">
    <w:basedOn w:val="TableNormalb"/>
    <w:tblPr>
      <w:tblStyleRowBandSize w:val="1"/>
      <w:tblStyleColBandSize w:val="1"/>
      <w:tblCellMar>
        <w:left w:w="115" w:type="dxa"/>
        <w:right w:w="115"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9"/>
    <w:tblPr>
      <w:tblStyleRowBandSize w:val="1"/>
      <w:tblStyleColBandSize w:val="1"/>
      <w:tblCellMar>
        <w:left w:w="115" w:type="dxa"/>
        <w:right w:w="115" w:type="dxa"/>
      </w:tblCellMar>
    </w:tblPr>
  </w:style>
  <w:style w:type="table" w:customStyle="1" w:styleId="af9">
    <w:basedOn w:val="TableNormal9"/>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tblPr>
      <w:tblStyleRowBandSize w:val="1"/>
      <w:tblStyleColBandSize w:val="1"/>
      <w:tblCellMar>
        <w:left w:w="115"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table" w:customStyle="1" w:styleId="afd">
    <w:basedOn w:val="TableNormal7"/>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6"/>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character" w:customStyle="1" w:styleId="Mencinsinresolver3">
    <w:name w:val="Mención sin resolver3"/>
    <w:basedOn w:val="Fuentedeprrafopredeter"/>
    <w:uiPriority w:val="99"/>
    <w:semiHidden/>
    <w:unhideWhenUsed/>
    <w:rsid w:val="009E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1544562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GQr8oyXmASkkdxUHD/BHbVPS6g==">CgMxLjAyCWguM3JkY3JqbjIOaC5kYWozajJ4bzZxNjYyCGguZ2pkZ3hzMgloLjNkeTZ2a20yCWguMzBqMHpsbDIJaC4yczhleW8xMgloLjN6bnlzaDcyCWguMmV0OTJwMDIJaC4xdDNoNXNmMg5oLmhuenhzY2g1Z3lzejIOaC5vdDNxcTZ2eGEwOGYyCGgubG54Yno5OAByITEycGNwNjJrZDZCbW00M09JLWdXbTBFLTItNFhnWVJKag==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13546</Words>
  <Characters>74506</Characters>
  <Application>Microsoft Office Word</Application>
  <DocSecurity>0</DocSecurity>
  <Lines>620</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Maricela Villagómez Martínez</cp:lastModifiedBy>
  <cp:revision>2</cp:revision>
  <cp:lastPrinted>2026-09-21T17:02:00Z</cp:lastPrinted>
  <dcterms:created xsi:type="dcterms:W3CDTF">2026-09-22T22:48:00Z</dcterms:created>
  <dcterms:modified xsi:type="dcterms:W3CDTF">2026-09-22T22:48:00Z</dcterms:modified>
</cp:coreProperties>
</file>