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797066" w14:textId="77777777" w:rsidR="00556E8E" w:rsidRPr="006F0DCC" w:rsidRDefault="000C60F7">
      <w:pPr>
        <w:spacing w:line="360" w:lineRule="auto"/>
        <w:jc w:val="both"/>
        <w:rPr>
          <w:rFonts w:ascii="Palatino Linotype" w:eastAsia="Palatino Linotype" w:hAnsi="Palatino Linotype" w:cs="Palatino Linotype"/>
          <w:sz w:val="22"/>
          <w:szCs w:val="22"/>
        </w:rPr>
      </w:pPr>
      <w:bookmarkStart w:id="0" w:name="_heading=h.gjdgxs" w:colFirst="0" w:colLast="0"/>
      <w:bookmarkEnd w:id="0"/>
      <w:r w:rsidRPr="006F0DCC">
        <w:rPr>
          <w:rFonts w:ascii="Palatino Linotype" w:eastAsia="Palatino Linotype" w:hAnsi="Palatino Linotype" w:cs="Palatino Linotype"/>
          <w:sz w:val="22"/>
          <w:szCs w:val="22"/>
        </w:rPr>
        <w:t xml:space="preserve">Resolución del Pleno del Instituto de Transparencia, Acceso a la Información Pública y Protección de Datos Personales del Estado de México y Municipios, con domicilio en Metepec, Estado de México, de fecha cinco de marzo de dos mil veintiséis. </w:t>
      </w:r>
    </w:p>
    <w:p w14:paraId="08D9DF69" w14:textId="77777777" w:rsidR="00556E8E" w:rsidRPr="006F0DCC" w:rsidRDefault="00556E8E">
      <w:pPr>
        <w:spacing w:line="360" w:lineRule="auto"/>
        <w:jc w:val="both"/>
        <w:rPr>
          <w:rFonts w:ascii="Palatino Linotype" w:eastAsia="Palatino Linotype" w:hAnsi="Palatino Linotype" w:cs="Palatino Linotype"/>
          <w:b/>
          <w:bCs/>
          <w:sz w:val="22"/>
          <w:szCs w:val="22"/>
        </w:rPr>
      </w:pPr>
    </w:p>
    <w:p w14:paraId="295C7744" w14:textId="4B8E183F" w:rsidR="00556E8E" w:rsidRPr="006F0DCC" w:rsidRDefault="000C60F7">
      <w:pPr>
        <w:spacing w:line="360" w:lineRule="auto"/>
        <w:jc w:val="both"/>
        <w:rPr>
          <w:rFonts w:ascii="Palatino Linotype" w:eastAsia="Palatino Linotype" w:hAnsi="Palatino Linotype" w:cs="Palatino Linotype"/>
          <w:sz w:val="22"/>
          <w:szCs w:val="22"/>
        </w:rPr>
      </w:pPr>
      <w:r w:rsidRPr="006F0DCC">
        <w:rPr>
          <w:rFonts w:ascii="Palatino Linotype" w:eastAsia="Palatino Linotype" w:hAnsi="Palatino Linotype" w:cs="Palatino Linotype"/>
          <w:b/>
          <w:bCs/>
          <w:sz w:val="22"/>
          <w:szCs w:val="22"/>
        </w:rPr>
        <w:t xml:space="preserve">Visto </w:t>
      </w:r>
      <w:r w:rsidRPr="006F0DCC">
        <w:rPr>
          <w:rFonts w:ascii="Palatino Linotype" w:eastAsia="Palatino Linotype" w:hAnsi="Palatino Linotype" w:cs="Palatino Linotype"/>
          <w:sz w:val="22"/>
          <w:szCs w:val="22"/>
        </w:rPr>
        <w:t xml:space="preserve">el expediente relativo al recurso de </w:t>
      </w:r>
      <w:r w:rsidRPr="006F0DCC">
        <w:rPr>
          <w:rFonts w:ascii="Palatino Linotype" w:eastAsia="Palatino Linotype" w:hAnsi="Palatino Linotype" w:cs="Palatino Linotype"/>
        </w:rPr>
        <w:t>revisión</w:t>
      </w:r>
      <w:r w:rsidRPr="006F0DCC">
        <w:rPr>
          <w:rFonts w:ascii="Palatino Linotype" w:eastAsia="Palatino Linotype" w:hAnsi="Palatino Linotype" w:cs="Palatino Linotype"/>
          <w:b/>
          <w:bCs/>
        </w:rPr>
        <w:t xml:space="preserve"> 02249/INFOEM/IP/RR/2026</w:t>
      </w:r>
      <w:r w:rsidRPr="006F0DCC">
        <w:rPr>
          <w:rFonts w:ascii="Palatino Linotype" w:eastAsia="Palatino Linotype" w:hAnsi="Palatino Linotype" w:cs="Palatino Linotype"/>
          <w:sz w:val="22"/>
          <w:szCs w:val="22"/>
        </w:rPr>
        <w:t xml:space="preserve">, </w:t>
      </w:r>
      <w:r w:rsidRPr="006F0DCC">
        <w:rPr>
          <w:rFonts w:ascii="Palatino Linotype" w:eastAsia="Palatino Linotype" w:hAnsi="Palatino Linotype" w:cs="Palatino Linotype"/>
        </w:rPr>
        <w:t>interpuesto por</w:t>
      </w:r>
      <w:r w:rsidR="000A35F2" w:rsidRPr="000A35F2">
        <w:rPr>
          <w:rFonts w:ascii="Palatino Linotype" w:eastAsia="Palatino Linotype" w:hAnsi="Palatino Linotype" w:cs="Palatino Linotype"/>
          <w:b/>
          <w:sz w:val="21"/>
          <w:szCs w:val="21"/>
          <w:lang w:val="es-ES"/>
        </w:rPr>
        <w:t xml:space="preserve"> </w:t>
      </w:r>
      <w:r w:rsidR="000A35F2">
        <w:rPr>
          <w:rFonts w:ascii="Palatino Linotype" w:eastAsia="Palatino Linotype" w:hAnsi="Palatino Linotype" w:cs="Palatino Linotype"/>
          <w:b/>
          <w:sz w:val="21"/>
          <w:szCs w:val="21"/>
          <w:lang w:val="es-ES"/>
        </w:rPr>
        <w:t>XXXXX XXXXXXX XXXXX</w:t>
      </w:r>
      <w:r w:rsidRPr="006F0DCC">
        <w:rPr>
          <w:rFonts w:ascii="Palatino Linotype" w:eastAsia="Palatino Linotype" w:hAnsi="Palatino Linotype" w:cs="Palatino Linotype"/>
          <w:b/>
          <w:bCs/>
        </w:rPr>
        <w:t>,</w:t>
      </w:r>
      <w:r w:rsidRPr="006F0DCC">
        <w:rPr>
          <w:rFonts w:ascii="Palatino Linotype" w:eastAsia="Palatino Linotype" w:hAnsi="Palatino Linotype" w:cs="Palatino Linotype"/>
        </w:rPr>
        <w:t xml:space="preserve"> en lo sucesivo la parte </w:t>
      </w:r>
      <w:r w:rsidRPr="006F0DCC">
        <w:rPr>
          <w:rFonts w:ascii="Palatino Linotype" w:eastAsia="Palatino Linotype" w:hAnsi="Palatino Linotype" w:cs="Palatino Linotype"/>
          <w:b/>
          <w:bCs/>
        </w:rPr>
        <w:t>RECURRENTE</w:t>
      </w:r>
      <w:r w:rsidRPr="006F0DCC">
        <w:rPr>
          <w:rFonts w:ascii="Palatino Linotype" w:eastAsia="Palatino Linotype" w:hAnsi="Palatino Linotype" w:cs="Palatino Linotype"/>
          <w:b/>
          <w:bCs/>
          <w:sz w:val="22"/>
          <w:szCs w:val="22"/>
        </w:rPr>
        <w:t xml:space="preserve">, </w:t>
      </w:r>
      <w:r w:rsidRPr="006F0DCC">
        <w:rPr>
          <w:rFonts w:ascii="Palatino Linotype" w:eastAsia="Palatino Linotype" w:hAnsi="Palatino Linotype" w:cs="Palatino Linotype"/>
          <w:sz w:val="22"/>
          <w:szCs w:val="22"/>
        </w:rPr>
        <w:t>en contra de la falta de respuesta a la solicitud de acceso a la información con número de folio</w:t>
      </w:r>
      <w:r w:rsidRPr="006F0DCC">
        <w:rPr>
          <w:rFonts w:ascii="Verdana" w:eastAsia="Verdana" w:hAnsi="Verdana" w:cs="Verdana"/>
          <w:b/>
          <w:bCs/>
          <w:sz w:val="22"/>
          <w:szCs w:val="22"/>
        </w:rPr>
        <w:t> </w:t>
      </w:r>
      <w:r w:rsidRPr="006F0DCC">
        <w:rPr>
          <w:rFonts w:ascii="Palatino Linotype" w:eastAsia="Palatino Linotype" w:hAnsi="Palatino Linotype" w:cs="Palatino Linotype"/>
          <w:b/>
          <w:bCs/>
        </w:rPr>
        <w:t xml:space="preserve">00390/TEPOTZOT/IP/2026, </w:t>
      </w:r>
      <w:r w:rsidRPr="006F0DCC">
        <w:rPr>
          <w:rFonts w:ascii="Palatino Linotype" w:eastAsia="Palatino Linotype" w:hAnsi="Palatino Linotype" w:cs="Palatino Linotype"/>
          <w:sz w:val="22"/>
          <w:szCs w:val="22"/>
        </w:rPr>
        <w:t xml:space="preserve">por parte del </w:t>
      </w:r>
      <w:r w:rsidRPr="006F0DCC">
        <w:rPr>
          <w:rFonts w:ascii="Palatino Linotype" w:eastAsia="Palatino Linotype" w:hAnsi="Palatino Linotype" w:cs="Palatino Linotype"/>
          <w:b/>
          <w:bCs/>
          <w:sz w:val="22"/>
          <w:szCs w:val="22"/>
        </w:rPr>
        <w:t>Ayuntamiento de Tepotzotlán,</w:t>
      </w:r>
      <w:r w:rsidRPr="006F0DCC">
        <w:rPr>
          <w:rFonts w:ascii="Palatino Linotype" w:eastAsia="Palatino Linotype" w:hAnsi="Palatino Linotype" w:cs="Palatino Linotype"/>
          <w:sz w:val="22"/>
          <w:szCs w:val="22"/>
        </w:rPr>
        <w:t xml:space="preserve"> en lo sucesivo el </w:t>
      </w:r>
      <w:r w:rsidRPr="006F0DCC">
        <w:rPr>
          <w:rFonts w:ascii="Palatino Linotype" w:eastAsia="Palatino Linotype" w:hAnsi="Palatino Linotype" w:cs="Palatino Linotype"/>
          <w:b/>
          <w:bCs/>
          <w:sz w:val="22"/>
          <w:szCs w:val="22"/>
        </w:rPr>
        <w:t xml:space="preserve">SUJETO OBLIGADO; </w:t>
      </w:r>
      <w:r w:rsidRPr="006F0DCC">
        <w:rPr>
          <w:rFonts w:ascii="Palatino Linotype" w:eastAsia="Palatino Linotype" w:hAnsi="Palatino Linotype" w:cs="Palatino Linotype"/>
          <w:sz w:val="22"/>
          <w:szCs w:val="22"/>
        </w:rPr>
        <w:t xml:space="preserve">se procede a dictar la presente resolución, con base en lo siguiente. </w:t>
      </w:r>
    </w:p>
    <w:p w14:paraId="5B58476A" w14:textId="77777777" w:rsidR="00556E8E" w:rsidRPr="006F0DCC" w:rsidRDefault="00556E8E">
      <w:pPr>
        <w:spacing w:line="360" w:lineRule="auto"/>
        <w:jc w:val="both"/>
        <w:rPr>
          <w:rFonts w:ascii="Palatino Linotype" w:eastAsia="Palatino Linotype" w:hAnsi="Palatino Linotype" w:cs="Palatino Linotype"/>
          <w:sz w:val="22"/>
          <w:szCs w:val="22"/>
        </w:rPr>
      </w:pPr>
    </w:p>
    <w:p w14:paraId="64B893EF" w14:textId="77777777" w:rsidR="00556E8E" w:rsidRPr="006F0DCC" w:rsidRDefault="000C60F7">
      <w:pPr>
        <w:numPr>
          <w:ilvl w:val="0"/>
          <w:numId w:val="5"/>
        </w:numPr>
        <w:pBdr>
          <w:top w:val="nil"/>
          <w:left w:val="nil"/>
          <w:bottom w:val="nil"/>
          <w:right w:val="nil"/>
          <w:between w:val="nil"/>
        </w:pBdr>
        <w:spacing w:line="360" w:lineRule="auto"/>
        <w:ind w:left="1077"/>
        <w:jc w:val="center"/>
        <w:rPr>
          <w:rFonts w:ascii="Palatino Linotype" w:eastAsia="Palatino Linotype" w:hAnsi="Palatino Linotype" w:cs="Palatino Linotype"/>
          <w:b/>
          <w:bCs/>
          <w:sz w:val="22"/>
          <w:szCs w:val="22"/>
        </w:rPr>
      </w:pPr>
      <w:r w:rsidRPr="006F0DCC">
        <w:rPr>
          <w:rFonts w:ascii="Palatino Linotype" w:eastAsia="Palatino Linotype" w:hAnsi="Palatino Linotype" w:cs="Palatino Linotype"/>
          <w:b/>
          <w:bCs/>
          <w:sz w:val="22"/>
          <w:szCs w:val="22"/>
        </w:rPr>
        <w:t>A N T E C E D E N T E S:</w:t>
      </w:r>
    </w:p>
    <w:p w14:paraId="18101D48" w14:textId="77777777" w:rsidR="00556E8E" w:rsidRPr="006F0DCC" w:rsidRDefault="00556E8E">
      <w:pPr>
        <w:pBdr>
          <w:top w:val="nil"/>
          <w:left w:val="nil"/>
          <w:bottom w:val="nil"/>
          <w:right w:val="nil"/>
          <w:between w:val="nil"/>
        </w:pBdr>
        <w:spacing w:line="360" w:lineRule="auto"/>
        <w:ind w:left="1077"/>
        <w:rPr>
          <w:rFonts w:ascii="Palatino Linotype" w:eastAsia="Palatino Linotype" w:hAnsi="Palatino Linotype" w:cs="Palatino Linotype"/>
          <w:b/>
          <w:bCs/>
          <w:sz w:val="22"/>
          <w:szCs w:val="22"/>
        </w:rPr>
      </w:pPr>
    </w:p>
    <w:p w14:paraId="3D400462" w14:textId="77777777" w:rsidR="00556E8E" w:rsidRPr="006F0DCC" w:rsidRDefault="000C60F7">
      <w:pPr>
        <w:spacing w:line="360" w:lineRule="auto"/>
        <w:jc w:val="both"/>
        <w:rPr>
          <w:rFonts w:ascii="Palatino Linotype" w:eastAsia="Palatino Linotype" w:hAnsi="Palatino Linotype" w:cs="Palatino Linotype"/>
          <w:sz w:val="22"/>
          <w:szCs w:val="22"/>
        </w:rPr>
      </w:pPr>
      <w:r w:rsidRPr="006F0DCC">
        <w:rPr>
          <w:rFonts w:ascii="Palatino Linotype" w:eastAsia="Palatino Linotype" w:hAnsi="Palatino Linotype" w:cs="Palatino Linotype"/>
          <w:b/>
          <w:bCs/>
          <w:sz w:val="22"/>
          <w:szCs w:val="22"/>
        </w:rPr>
        <w:t xml:space="preserve">1. Solicitud de acceso a la información. </w:t>
      </w:r>
      <w:r w:rsidRPr="006F0DCC">
        <w:rPr>
          <w:rFonts w:ascii="Palatino Linotype" w:eastAsia="Palatino Linotype" w:hAnsi="Palatino Linotype" w:cs="Palatino Linotype"/>
          <w:sz w:val="22"/>
          <w:szCs w:val="22"/>
        </w:rPr>
        <w:t xml:space="preserve">Con fecha </w:t>
      </w:r>
      <w:r w:rsidRPr="006F0DCC">
        <w:rPr>
          <w:rFonts w:ascii="Palatino Linotype" w:eastAsia="Palatino Linotype" w:hAnsi="Palatino Linotype" w:cs="Palatino Linotype"/>
          <w:b/>
          <w:bCs/>
          <w:sz w:val="22"/>
          <w:szCs w:val="22"/>
        </w:rPr>
        <w:t>veintitrés de enero de dos mil veintiséis</w:t>
      </w:r>
      <w:r w:rsidRPr="006F0DCC">
        <w:rPr>
          <w:rFonts w:ascii="Palatino Linotype" w:eastAsia="Palatino Linotype" w:hAnsi="Palatino Linotype" w:cs="Palatino Linotype"/>
          <w:sz w:val="22"/>
          <w:szCs w:val="22"/>
        </w:rPr>
        <w:t xml:space="preserve">, la parte </w:t>
      </w:r>
      <w:r w:rsidRPr="006F0DCC">
        <w:rPr>
          <w:rFonts w:ascii="Palatino Linotype" w:eastAsia="Palatino Linotype" w:hAnsi="Palatino Linotype" w:cs="Palatino Linotype"/>
          <w:b/>
          <w:bCs/>
          <w:sz w:val="22"/>
          <w:szCs w:val="22"/>
        </w:rPr>
        <w:t xml:space="preserve">RECURRENTE </w:t>
      </w:r>
      <w:r w:rsidRPr="006F0DCC">
        <w:rPr>
          <w:rFonts w:ascii="Palatino Linotype" w:eastAsia="Palatino Linotype" w:hAnsi="Palatino Linotype" w:cs="Palatino Linotype"/>
          <w:sz w:val="22"/>
          <w:szCs w:val="22"/>
        </w:rPr>
        <w:t xml:space="preserve">formuló a través del Sistema de Acceso a la Información Mexiquense, en adelante </w:t>
      </w:r>
      <w:r w:rsidRPr="006F0DCC">
        <w:rPr>
          <w:rFonts w:ascii="Palatino Linotype" w:eastAsia="Palatino Linotype" w:hAnsi="Palatino Linotype" w:cs="Palatino Linotype"/>
          <w:b/>
          <w:bCs/>
          <w:sz w:val="22"/>
          <w:szCs w:val="22"/>
        </w:rPr>
        <w:t>SAIMEX,</w:t>
      </w:r>
      <w:r w:rsidRPr="006F0DCC">
        <w:rPr>
          <w:rFonts w:ascii="Palatino Linotype" w:eastAsia="Palatino Linotype" w:hAnsi="Palatino Linotype" w:cs="Palatino Linotype"/>
          <w:sz w:val="22"/>
          <w:szCs w:val="22"/>
        </w:rPr>
        <w:t xml:space="preserve"> solicitud de información al </w:t>
      </w:r>
      <w:r w:rsidRPr="006F0DCC">
        <w:rPr>
          <w:rFonts w:ascii="Palatino Linotype" w:eastAsia="Palatino Linotype" w:hAnsi="Palatino Linotype" w:cs="Palatino Linotype"/>
          <w:b/>
          <w:bCs/>
          <w:sz w:val="22"/>
          <w:szCs w:val="22"/>
        </w:rPr>
        <w:t>SUJETO OBLIGADO</w:t>
      </w:r>
      <w:r w:rsidRPr="006F0DCC">
        <w:rPr>
          <w:rFonts w:ascii="Palatino Linotype" w:eastAsia="Palatino Linotype" w:hAnsi="Palatino Linotype" w:cs="Palatino Linotype"/>
          <w:sz w:val="22"/>
          <w:szCs w:val="22"/>
        </w:rPr>
        <w:t xml:space="preserve"> requiriéndole lo siguiente:</w:t>
      </w:r>
    </w:p>
    <w:p w14:paraId="5BF50A67" w14:textId="77777777" w:rsidR="00556E8E" w:rsidRPr="006F0DCC" w:rsidRDefault="000C60F7">
      <w:pPr>
        <w:ind w:left="567" w:right="616"/>
        <w:jc w:val="both"/>
        <w:rPr>
          <w:rFonts w:ascii="Palatino Linotype" w:eastAsia="Palatino Linotype" w:hAnsi="Palatino Linotype" w:cs="Palatino Linotype"/>
          <w:i/>
          <w:iCs/>
          <w:sz w:val="22"/>
          <w:szCs w:val="22"/>
        </w:rPr>
      </w:pPr>
      <w:r w:rsidRPr="006F0DCC">
        <w:rPr>
          <w:rFonts w:ascii="Palatino Linotype" w:eastAsia="Palatino Linotype" w:hAnsi="Palatino Linotype" w:cs="Palatino Linotype"/>
          <w:i/>
          <w:iCs/>
          <w:sz w:val="22"/>
          <w:szCs w:val="22"/>
        </w:rPr>
        <w:t xml:space="preserve">“Informe, de manera exhaustiva y bajo protesta de decir verdad, la ruta completa que siguieron todos los recursos públicos ejercidos por la Dirección de Desarrollo Económico durante los ejercicios fiscales 2025 y 2026, desde su aprobación presupuestal hasta su destino final, incluyendo obligatoriamente: a) presupuesto aprobado, modificado y ejercido por programa o acción; b) subejercicios, reasignaciones y reintegros, indicando causas y autorizaciones; c) pagos efectuados por Tesorería (fecha, monto y cuenta bancaria de salida); d) contratos celebrados, indicando proveedor, RFC, monto, forma de adjudicación, partidas presupuestales y servidores públicos responsables; e) apoyos, incentivos o beneficios otorgados a personas físicas o morales, señalando nombre, RFC/CURP, monto, programa, fecha, expediente de elegibilidad y funcionario autorizante; f) transferencias realizadas a organismos descentralizados, asociaciones, cámaras empresariales, fideicomisos o terceros; g) bienes o servicios efectivamente </w:t>
      </w:r>
      <w:r w:rsidRPr="006F0DCC">
        <w:rPr>
          <w:rFonts w:ascii="Palatino Linotype" w:eastAsia="Palatino Linotype" w:hAnsi="Palatino Linotype" w:cs="Palatino Linotype"/>
          <w:i/>
          <w:iCs/>
          <w:sz w:val="22"/>
          <w:szCs w:val="22"/>
        </w:rPr>
        <w:lastRenderedPageBreak/>
        <w:t>recibidos por el municipio y resultados reportados; h) auditorías, revisiones u observaciones relacionadas con dichos recursos y su estatus. Para cada rubro adjunte la documentación comprobatoria correspondiente. En caso de que se declare inexistencia total o parcial de información, indique: – áreas que realizaron la búsqueda, – archivos físicos y electrónicos revisados, – periodo exacto analizado, – y nombre y cargo del servidor público que certifica dicha inexistencia.” (Sic)</w:t>
      </w:r>
    </w:p>
    <w:p w14:paraId="629CF359" w14:textId="77777777" w:rsidR="00556E8E" w:rsidRPr="006F0DCC" w:rsidRDefault="00556E8E">
      <w:pPr>
        <w:spacing w:line="360" w:lineRule="auto"/>
        <w:jc w:val="both"/>
        <w:rPr>
          <w:rFonts w:ascii="Palatino Linotype" w:eastAsia="Palatino Linotype" w:hAnsi="Palatino Linotype" w:cs="Palatino Linotype"/>
          <w:b/>
          <w:bCs/>
          <w:sz w:val="22"/>
          <w:szCs w:val="22"/>
        </w:rPr>
      </w:pPr>
    </w:p>
    <w:p w14:paraId="3A3086AF" w14:textId="77777777" w:rsidR="00556E8E" w:rsidRPr="006F0DCC" w:rsidRDefault="000C60F7">
      <w:pPr>
        <w:spacing w:line="360" w:lineRule="auto"/>
        <w:jc w:val="both"/>
        <w:rPr>
          <w:rFonts w:ascii="Palatino Linotype" w:eastAsia="Palatino Linotype" w:hAnsi="Palatino Linotype" w:cs="Palatino Linotype"/>
          <w:sz w:val="22"/>
          <w:szCs w:val="22"/>
        </w:rPr>
      </w:pPr>
      <w:r w:rsidRPr="006F0DCC">
        <w:rPr>
          <w:rFonts w:ascii="Palatino Linotype" w:eastAsia="Palatino Linotype" w:hAnsi="Palatino Linotype" w:cs="Palatino Linotype"/>
          <w:b/>
          <w:bCs/>
          <w:sz w:val="22"/>
          <w:szCs w:val="22"/>
        </w:rPr>
        <w:t xml:space="preserve">Modalidad elegida para la entrega de la información: </w:t>
      </w:r>
      <w:r w:rsidRPr="006F0DCC">
        <w:rPr>
          <w:rFonts w:ascii="Palatino Linotype" w:eastAsia="Palatino Linotype" w:hAnsi="Palatino Linotype" w:cs="Palatino Linotype"/>
          <w:sz w:val="22"/>
          <w:szCs w:val="22"/>
        </w:rPr>
        <w:t>a través del SAIMEX.</w:t>
      </w:r>
    </w:p>
    <w:p w14:paraId="72ABA9E2" w14:textId="77777777" w:rsidR="00556E8E" w:rsidRPr="006F0DCC" w:rsidRDefault="00556E8E">
      <w:pPr>
        <w:spacing w:line="360" w:lineRule="auto"/>
        <w:jc w:val="both"/>
        <w:rPr>
          <w:rFonts w:ascii="Palatino Linotype" w:eastAsia="Palatino Linotype" w:hAnsi="Palatino Linotype" w:cs="Palatino Linotype"/>
          <w:sz w:val="22"/>
          <w:szCs w:val="22"/>
        </w:rPr>
      </w:pPr>
    </w:p>
    <w:p w14:paraId="3EA139CA" w14:textId="77777777" w:rsidR="00556E8E" w:rsidRPr="006F0DCC" w:rsidRDefault="000C60F7">
      <w:pPr>
        <w:spacing w:line="360" w:lineRule="auto"/>
        <w:jc w:val="both"/>
        <w:rPr>
          <w:rFonts w:ascii="Palatino Linotype" w:eastAsia="Palatino Linotype" w:hAnsi="Palatino Linotype" w:cs="Palatino Linotype"/>
          <w:b/>
          <w:bCs/>
          <w:sz w:val="22"/>
          <w:szCs w:val="22"/>
        </w:rPr>
      </w:pPr>
      <w:r w:rsidRPr="006F0DCC">
        <w:rPr>
          <w:rFonts w:ascii="Palatino Linotype" w:eastAsia="Palatino Linotype" w:hAnsi="Palatino Linotype" w:cs="Palatino Linotype"/>
          <w:b/>
          <w:bCs/>
          <w:sz w:val="22"/>
          <w:szCs w:val="22"/>
        </w:rPr>
        <w:t xml:space="preserve">2. Respuesta. </w:t>
      </w:r>
      <w:r w:rsidRPr="006F0DCC">
        <w:rPr>
          <w:rFonts w:ascii="Palatino Linotype" w:eastAsia="Palatino Linotype" w:hAnsi="Palatino Linotype" w:cs="Palatino Linotype"/>
          <w:sz w:val="22"/>
          <w:szCs w:val="22"/>
        </w:rPr>
        <w:t xml:space="preserve">El </w:t>
      </w:r>
      <w:r w:rsidRPr="006F0DCC">
        <w:rPr>
          <w:rFonts w:ascii="Palatino Linotype" w:eastAsia="Palatino Linotype" w:hAnsi="Palatino Linotype" w:cs="Palatino Linotype"/>
          <w:b/>
          <w:bCs/>
          <w:sz w:val="22"/>
          <w:szCs w:val="22"/>
        </w:rPr>
        <w:t xml:space="preserve">SUJETO OBLIGADO </w:t>
      </w:r>
      <w:r w:rsidRPr="006F0DCC">
        <w:rPr>
          <w:rFonts w:ascii="Palatino Linotype" w:eastAsia="Palatino Linotype" w:hAnsi="Palatino Linotype" w:cs="Palatino Linotype"/>
          <w:sz w:val="22"/>
          <w:szCs w:val="22"/>
        </w:rPr>
        <w:t xml:space="preserve">fue omiso en proporcionar respuesta. </w:t>
      </w:r>
    </w:p>
    <w:p w14:paraId="4A32C96F" w14:textId="77777777" w:rsidR="00556E8E" w:rsidRPr="006F0DCC" w:rsidRDefault="00556E8E">
      <w:pPr>
        <w:spacing w:line="360" w:lineRule="auto"/>
        <w:jc w:val="both"/>
        <w:rPr>
          <w:rFonts w:ascii="Palatino Linotype" w:eastAsia="Palatino Linotype" w:hAnsi="Palatino Linotype" w:cs="Palatino Linotype"/>
          <w:sz w:val="22"/>
          <w:szCs w:val="22"/>
        </w:rPr>
      </w:pPr>
    </w:p>
    <w:p w14:paraId="19667301" w14:textId="77777777" w:rsidR="00556E8E" w:rsidRPr="006F0DCC" w:rsidRDefault="000C60F7">
      <w:pPr>
        <w:spacing w:line="360" w:lineRule="auto"/>
        <w:jc w:val="both"/>
        <w:rPr>
          <w:rFonts w:ascii="Palatino Linotype" w:eastAsia="Palatino Linotype" w:hAnsi="Palatino Linotype" w:cs="Palatino Linotype"/>
          <w:sz w:val="22"/>
          <w:szCs w:val="22"/>
        </w:rPr>
      </w:pPr>
      <w:r w:rsidRPr="006F0DCC">
        <w:rPr>
          <w:rFonts w:ascii="Palatino Linotype" w:eastAsia="Palatino Linotype" w:hAnsi="Palatino Linotype" w:cs="Palatino Linotype"/>
          <w:b/>
          <w:bCs/>
          <w:sz w:val="22"/>
          <w:szCs w:val="22"/>
        </w:rPr>
        <w:t xml:space="preserve">3. Interposición del recurso de revisión. </w:t>
      </w:r>
      <w:r w:rsidRPr="006F0DCC">
        <w:rPr>
          <w:rFonts w:ascii="Palatino Linotype" w:eastAsia="Palatino Linotype" w:hAnsi="Palatino Linotype" w:cs="Palatino Linotype"/>
          <w:sz w:val="22"/>
          <w:szCs w:val="22"/>
        </w:rPr>
        <w:t xml:space="preserve">Inconforme la parte solicitante con la falta de respuesta del </w:t>
      </w:r>
      <w:r w:rsidRPr="006F0DCC">
        <w:rPr>
          <w:rFonts w:ascii="Palatino Linotype" w:eastAsia="Palatino Linotype" w:hAnsi="Palatino Linotype" w:cs="Palatino Linotype"/>
          <w:b/>
          <w:bCs/>
          <w:sz w:val="22"/>
          <w:szCs w:val="22"/>
        </w:rPr>
        <w:t>SUJETO OBLIGADO</w:t>
      </w:r>
      <w:r w:rsidRPr="006F0DCC">
        <w:rPr>
          <w:rFonts w:ascii="Palatino Linotype" w:eastAsia="Palatino Linotype" w:hAnsi="Palatino Linotype" w:cs="Palatino Linotype"/>
          <w:sz w:val="22"/>
          <w:szCs w:val="22"/>
        </w:rPr>
        <w:t xml:space="preserve">, interpuso recurso de revisión a través del SAIMEX en fecha </w:t>
      </w:r>
      <w:r w:rsidRPr="006F0DCC">
        <w:rPr>
          <w:rFonts w:ascii="Palatino Linotype" w:eastAsia="Palatino Linotype" w:hAnsi="Palatino Linotype" w:cs="Palatino Linotype"/>
          <w:b/>
          <w:bCs/>
          <w:sz w:val="22"/>
          <w:szCs w:val="22"/>
        </w:rPr>
        <w:t>diecisiete de febrero de dos mil veintiséis</w:t>
      </w:r>
      <w:r w:rsidRPr="006F0DCC">
        <w:rPr>
          <w:rFonts w:ascii="Palatino Linotype" w:eastAsia="Palatino Linotype" w:hAnsi="Palatino Linotype" w:cs="Palatino Linotype"/>
          <w:sz w:val="22"/>
          <w:szCs w:val="22"/>
        </w:rPr>
        <w:t>, expresando lo siguiente:</w:t>
      </w:r>
    </w:p>
    <w:p w14:paraId="0A56B260" w14:textId="77777777" w:rsidR="00556E8E" w:rsidRPr="006F0DCC" w:rsidRDefault="00556E8E">
      <w:pPr>
        <w:spacing w:line="360" w:lineRule="auto"/>
        <w:jc w:val="both"/>
        <w:rPr>
          <w:rFonts w:ascii="Palatino Linotype" w:eastAsia="Palatino Linotype" w:hAnsi="Palatino Linotype" w:cs="Palatino Linotype"/>
          <w:sz w:val="22"/>
          <w:szCs w:val="22"/>
        </w:rPr>
      </w:pPr>
    </w:p>
    <w:p w14:paraId="3B05CB84" w14:textId="77777777" w:rsidR="00556E8E" w:rsidRPr="006F0DCC" w:rsidRDefault="000C60F7">
      <w:pPr>
        <w:ind w:left="567" w:right="616"/>
        <w:jc w:val="both"/>
        <w:rPr>
          <w:rFonts w:ascii="Palatino Linotype" w:eastAsia="Palatino Linotype" w:hAnsi="Palatino Linotype" w:cs="Palatino Linotype"/>
          <w:i/>
          <w:iCs/>
          <w:sz w:val="22"/>
          <w:szCs w:val="22"/>
        </w:rPr>
      </w:pPr>
      <w:r w:rsidRPr="006F0DCC">
        <w:rPr>
          <w:rFonts w:ascii="Palatino Linotype" w:eastAsia="Palatino Linotype" w:hAnsi="Palatino Linotype" w:cs="Palatino Linotype"/>
          <w:b/>
          <w:bCs/>
          <w:sz w:val="22"/>
          <w:szCs w:val="22"/>
        </w:rPr>
        <w:t xml:space="preserve">a) Acto impugnado. </w:t>
      </w:r>
      <w:r w:rsidRPr="006F0DCC">
        <w:rPr>
          <w:rFonts w:ascii="Palatino Linotype" w:eastAsia="Palatino Linotype" w:hAnsi="Palatino Linotype" w:cs="Palatino Linotype"/>
          <w:i/>
          <w:iCs/>
          <w:sz w:val="22"/>
          <w:szCs w:val="22"/>
        </w:rPr>
        <w:t>“Informe, de manera exhaustiva y bajo protesta de decir verdad, la ruta completa que siguieron todos los recursos públicos ejercidos por la Dirección de Desarrollo Económico durante los ejercicios fiscales 2025 y 2026, desde su aprobación presupuestal hasta su destino final, incluyendo obligatoriamente: a) presupuesto aprobado, modificado y ejercido por programa o acción; b) subejercicios, reasignaciones y reintegros, indicando causas y autorizaciones; c) pagos efectuados por Tesorería (fecha, monto y cuenta bancaria de salida); d) contratos celebrados, indicando proveedor, RFC, monto, forma de adjudicación, partidas presupuestales y servidores públicos responsables; e) apoyos, incentivos o beneficios otorgados a personas físicas o morales, señalando nombre, RFC/CURP, monto, programa, fecha, expediente de elegibilidad y funcionario autorizante; f) transferencias realizadas a organismos descentralizados, asociaciones, cámaras empresariales, fideicomisos o terceros; g) bienes o servicios efectivamente recibidos por el municipio y resultados reportados; h) auditorías, revisiones u observaciones relacionadas con dichos recursos y su estatus. Para cada rubro adjunte la documentación comprobatoria correspondiente. En caso de que se declare inexistencia total o parcial de información, indique: – áreas que realizaron la búsqueda, – archivos físicos y electrónicos revisados, – periodo exacto analizado, – y nombre y cargo del servidor público que certifica dicha inexistencia.” (Sic)</w:t>
      </w:r>
    </w:p>
    <w:p w14:paraId="685D5B18" w14:textId="77777777" w:rsidR="00556E8E" w:rsidRPr="006F0DCC" w:rsidRDefault="00556E8E">
      <w:pPr>
        <w:ind w:left="567" w:right="616"/>
        <w:jc w:val="both"/>
        <w:rPr>
          <w:rFonts w:ascii="Palatino Linotype" w:eastAsia="Palatino Linotype" w:hAnsi="Palatino Linotype" w:cs="Palatino Linotype"/>
          <w:i/>
          <w:iCs/>
          <w:sz w:val="22"/>
          <w:szCs w:val="22"/>
        </w:rPr>
      </w:pPr>
    </w:p>
    <w:p w14:paraId="607CA73F" w14:textId="77777777" w:rsidR="00556E8E" w:rsidRPr="006F0DCC" w:rsidRDefault="00556E8E">
      <w:pPr>
        <w:ind w:left="567" w:right="616"/>
        <w:jc w:val="both"/>
        <w:rPr>
          <w:rFonts w:ascii="Palatino Linotype" w:eastAsia="Palatino Linotype" w:hAnsi="Palatino Linotype" w:cs="Palatino Linotype"/>
          <w:i/>
          <w:iCs/>
          <w:sz w:val="22"/>
          <w:szCs w:val="22"/>
        </w:rPr>
      </w:pPr>
    </w:p>
    <w:p w14:paraId="2928FB92" w14:textId="77777777" w:rsidR="00556E8E" w:rsidRPr="006F0DCC" w:rsidRDefault="00556E8E">
      <w:pPr>
        <w:ind w:left="567" w:right="616"/>
        <w:jc w:val="both"/>
        <w:rPr>
          <w:rFonts w:ascii="Palatino Linotype" w:eastAsia="Palatino Linotype" w:hAnsi="Palatino Linotype" w:cs="Palatino Linotype"/>
          <w:i/>
          <w:iCs/>
          <w:sz w:val="22"/>
          <w:szCs w:val="22"/>
        </w:rPr>
      </w:pPr>
    </w:p>
    <w:p w14:paraId="2447E828" w14:textId="77777777" w:rsidR="00556E8E" w:rsidRPr="006F0DCC" w:rsidRDefault="00556E8E">
      <w:pPr>
        <w:ind w:left="567" w:right="616"/>
        <w:jc w:val="both"/>
        <w:rPr>
          <w:rFonts w:ascii="Palatino Linotype" w:eastAsia="Palatino Linotype" w:hAnsi="Palatino Linotype" w:cs="Palatino Linotype"/>
          <w:i/>
          <w:iCs/>
          <w:sz w:val="22"/>
          <w:szCs w:val="22"/>
        </w:rPr>
      </w:pPr>
    </w:p>
    <w:p w14:paraId="75A21162" w14:textId="77777777" w:rsidR="00556E8E" w:rsidRPr="006F0DCC" w:rsidRDefault="00556E8E">
      <w:pPr>
        <w:spacing w:line="360" w:lineRule="auto"/>
        <w:ind w:left="567" w:right="616"/>
        <w:rPr>
          <w:rFonts w:ascii="Palatino Linotype" w:eastAsia="Palatino Linotype" w:hAnsi="Palatino Linotype" w:cs="Palatino Linotype"/>
          <w:b/>
          <w:bCs/>
          <w:sz w:val="22"/>
          <w:szCs w:val="22"/>
        </w:rPr>
      </w:pPr>
    </w:p>
    <w:p w14:paraId="6581C80C" w14:textId="77777777" w:rsidR="00556E8E" w:rsidRPr="006F0DCC" w:rsidRDefault="000C60F7">
      <w:pPr>
        <w:spacing w:line="360" w:lineRule="auto"/>
        <w:ind w:left="567" w:right="616"/>
        <w:jc w:val="both"/>
        <w:rPr>
          <w:rFonts w:ascii="Palatino Linotype" w:eastAsia="Palatino Linotype" w:hAnsi="Palatino Linotype" w:cs="Palatino Linotype"/>
          <w:i/>
          <w:iCs/>
          <w:sz w:val="22"/>
          <w:szCs w:val="22"/>
        </w:rPr>
      </w:pPr>
      <w:r w:rsidRPr="006F0DCC">
        <w:rPr>
          <w:rFonts w:ascii="Palatino Linotype" w:eastAsia="Palatino Linotype" w:hAnsi="Palatino Linotype" w:cs="Palatino Linotype"/>
          <w:b/>
          <w:bCs/>
          <w:sz w:val="22"/>
          <w:szCs w:val="22"/>
        </w:rPr>
        <w:t xml:space="preserve">b) Motivos de inconformidad. </w:t>
      </w:r>
      <w:r w:rsidRPr="006F0DCC">
        <w:rPr>
          <w:rFonts w:ascii="Palatino Linotype" w:eastAsia="Palatino Linotype" w:hAnsi="Palatino Linotype" w:cs="Palatino Linotype"/>
          <w:i/>
          <w:iCs/>
          <w:sz w:val="22"/>
          <w:szCs w:val="22"/>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w:t>
      </w:r>
      <w:r w:rsidRPr="006F0DCC">
        <w:rPr>
          <w:rFonts w:ascii="Palatino Linotype" w:eastAsia="Palatino Linotype" w:hAnsi="Palatino Linotype" w:cs="Palatino Linotype"/>
          <w:i/>
          <w:iCs/>
          <w:sz w:val="22"/>
          <w:szCs w:val="22"/>
        </w:rPr>
        <w:lastRenderedPageBreak/>
        <w:t>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 (Sic)</w:t>
      </w:r>
    </w:p>
    <w:p w14:paraId="3EE46055" w14:textId="77777777" w:rsidR="00556E8E" w:rsidRPr="006F0DCC" w:rsidRDefault="00556E8E">
      <w:pPr>
        <w:spacing w:line="360" w:lineRule="auto"/>
        <w:jc w:val="both"/>
        <w:rPr>
          <w:rFonts w:ascii="Palatino Linotype" w:eastAsia="Palatino Linotype" w:hAnsi="Palatino Linotype" w:cs="Palatino Linotype"/>
          <w:i/>
          <w:iCs/>
          <w:sz w:val="22"/>
          <w:szCs w:val="22"/>
        </w:rPr>
      </w:pPr>
    </w:p>
    <w:p w14:paraId="5A506CE7" w14:textId="77777777" w:rsidR="00556E8E" w:rsidRPr="006F0DCC" w:rsidRDefault="000C60F7">
      <w:pPr>
        <w:spacing w:line="360" w:lineRule="auto"/>
        <w:jc w:val="both"/>
        <w:rPr>
          <w:rFonts w:ascii="Palatino Linotype" w:eastAsia="Palatino Linotype" w:hAnsi="Palatino Linotype" w:cs="Palatino Linotype"/>
          <w:sz w:val="22"/>
          <w:szCs w:val="22"/>
        </w:rPr>
      </w:pPr>
      <w:r w:rsidRPr="006F0DCC">
        <w:rPr>
          <w:rFonts w:ascii="Palatino Linotype" w:eastAsia="Palatino Linotype" w:hAnsi="Palatino Linotype" w:cs="Palatino Linotype"/>
          <w:b/>
          <w:bCs/>
          <w:sz w:val="22"/>
          <w:szCs w:val="22"/>
        </w:rPr>
        <w:t xml:space="preserve">4. Turno. </w:t>
      </w:r>
      <w:r w:rsidRPr="006F0DCC">
        <w:rPr>
          <w:rFonts w:ascii="Palatino Linotype" w:eastAsia="Palatino Linotype" w:hAnsi="Palatino Linotype" w:cs="Palatino Linotype"/>
          <w:sz w:val="22"/>
          <w:szCs w:val="22"/>
        </w:rPr>
        <w:t xml:space="preserve">De conformidad con el artículo 185 Fracción I de la Ley Transparencia y Acceso a la Información Pública, el recurso de revisión fue turnado a la Comisionada Ponente </w:t>
      </w:r>
      <w:r w:rsidRPr="006F0DCC">
        <w:rPr>
          <w:rFonts w:ascii="Palatino Linotype" w:eastAsia="Palatino Linotype" w:hAnsi="Palatino Linotype" w:cs="Palatino Linotype"/>
          <w:b/>
          <w:bCs/>
          <w:sz w:val="22"/>
          <w:szCs w:val="22"/>
        </w:rPr>
        <w:t>Guadalupe Ramírez Peña</w:t>
      </w:r>
      <w:r w:rsidRPr="006F0DCC">
        <w:rPr>
          <w:rFonts w:ascii="Palatino Linotype" w:eastAsia="Palatino Linotype" w:hAnsi="Palatino Linotype" w:cs="Palatino Linotype"/>
          <w:sz w:val="22"/>
          <w:szCs w:val="22"/>
        </w:rPr>
        <w:t>, a efecto de presentar al Pleno el proyecto de resolución correspondiente.</w:t>
      </w:r>
    </w:p>
    <w:p w14:paraId="5A6EB375" w14:textId="77777777" w:rsidR="00556E8E" w:rsidRPr="006F0DCC" w:rsidRDefault="00556E8E">
      <w:pPr>
        <w:spacing w:line="360" w:lineRule="auto"/>
        <w:jc w:val="both"/>
        <w:rPr>
          <w:rFonts w:ascii="Palatino Linotype" w:eastAsia="Palatino Linotype" w:hAnsi="Palatino Linotype" w:cs="Palatino Linotype"/>
          <w:sz w:val="22"/>
          <w:szCs w:val="22"/>
        </w:rPr>
      </w:pPr>
    </w:p>
    <w:p w14:paraId="63E76BAA" w14:textId="77777777" w:rsidR="00556E8E" w:rsidRPr="006F0DCC" w:rsidRDefault="000C60F7">
      <w:pPr>
        <w:spacing w:line="360" w:lineRule="auto"/>
        <w:jc w:val="both"/>
        <w:rPr>
          <w:rFonts w:ascii="Palatino Linotype" w:eastAsia="Palatino Linotype" w:hAnsi="Palatino Linotype" w:cs="Palatino Linotype"/>
          <w:sz w:val="22"/>
          <w:szCs w:val="22"/>
        </w:rPr>
      </w:pPr>
      <w:r w:rsidRPr="006F0DCC">
        <w:rPr>
          <w:rFonts w:ascii="Palatino Linotype" w:eastAsia="Palatino Linotype" w:hAnsi="Palatino Linotype" w:cs="Palatino Linotype"/>
          <w:b/>
          <w:bCs/>
          <w:sz w:val="22"/>
          <w:szCs w:val="22"/>
        </w:rPr>
        <w:lastRenderedPageBreak/>
        <w:t xml:space="preserve">5. Admisión. </w:t>
      </w:r>
      <w:r w:rsidRPr="006F0DCC">
        <w:rPr>
          <w:rFonts w:ascii="Palatino Linotype" w:eastAsia="Palatino Linotype" w:hAnsi="Palatino Linotype" w:cs="Palatino Linotype"/>
          <w:sz w:val="22"/>
          <w:szCs w:val="22"/>
        </w:rPr>
        <w:t xml:space="preserve">En fecha </w:t>
      </w:r>
      <w:r w:rsidRPr="006F0DCC">
        <w:rPr>
          <w:rFonts w:ascii="Palatino Linotype" w:eastAsia="Palatino Linotype" w:hAnsi="Palatino Linotype" w:cs="Palatino Linotype"/>
          <w:b/>
          <w:bCs/>
          <w:sz w:val="22"/>
          <w:szCs w:val="22"/>
        </w:rPr>
        <w:t>dieciocho de febrero de dos mil veintiséis</w:t>
      </w:r>
      <w:r w:rsidRPr="006F0DCC">
        <w:rPr>
          <w:rFonts w:ascii="Palatino Linotype" w:eastAsia="Palatino Linotype" w:hAnsi="Palatino Linotype" w:cs="Palatino Linotype"/>
          <w:sz w:val="22"/>
          <w:szCs w:val="22"/>
        </w:rPr>
        <w:t>, en términos de lo dispuesto en el artículo 185 fracciones I, II y IV de la Ley de Transparencia y Acceso a la Información Pública del Estado de México y Municipios, se admitió a trámite el recurso de revisión al rubro indicado.</w:t>
      </w:r>
    </w:p>
    <w:p w14:paraId="401A42A2" w14:textId="77777777" w:rsidR="00556E8E" w:rsidRPr="006F0DCC" w:rsidRDefault="00556E8E">
      <w:pPr>
        <w:spacing w:line="360" w:lineRule="auto"/>
        <w:jc w:val="both"/>
        <w:rPr>
          <w:rFonts w:ascii="Palatino Linotype" w:eastAsia="Palatino Linotype" w:hAnsi="Palatino Linotype" w:cs="Palatino Linotype"/>
          <w:sz w:val="22"/>
          <w:szCs w:val="22"/>
        </w:rPr>
      </w:pPr>
    </w:p>
    <w:p w14:paraId="4A7B0D94" w14:textId="77777777" w:rsidR="00556E8E" w:rsidRPr="006F0DCC" w:rsidRDefault="000C60F7">
      <w:pPr>
        <w:widowControl w:val="0"/>
        <w:spacing w:line="360" w:lineRule="auto"/>
        <w:ind w:right="49"/>
        <w:jc w:val="both"/>
        <w:rPr>
          <w:rFonts w:ascii="Palatino Linotype" w:eastAsia="Palatino Linotype" w:hAnsi="Palatino Linotype" w:cs="Palatino Linotype"/>
          <w:sz w:val="22"/>
          <w:szCs w:val="22"/>
        </w:rPr>
      </w:pPr>
      <w:r w:rsidRPr="006F0DCC">
        <w:rPr>
          <w:rFonts w:ascii="Palatino Linotype" w:eastAsia="Palatino Linotype" w:hAnsi="Palatino Linotype" w:cs="Palatino Linotype"/>
          <w:b/>
          <w:bCs/>
          <w:sz w:val="22"/>
          <w:szCs w:val="22"/>
        </w:rPr>
        <w:t>6. Manifestaciones</w:t>
      </w:r>
      <w:r w:rsidRPr="006F0DCC">
        <w:rPr>
          <w:rFonts w:ascii="Palatino Linotype" w:eastAsia="Palatino Linotype" w:hAnsi="Palatino Linotype" w:cs="Palatino Linotype"/>
          <w:sz w:val="22"/>
          <w:szCs w:val="22"/>
        </w:rPr>
        <w:t xml:space="preserve">. Las partes fueron omisas en rendir manifestaciones, como se observa a continuación en la siguiente imagen: INSERTAR LA IMAGEN QUE CORRESPONDE AL RECURSO </w:t>
      </w:r>
    </w:p>
    <w:p w14:paraId="6DC4C09A" w14:textId="77777777" w:rsidR="00556E8E" w:rsidRPr="006F0DCC" w:rsidRDefault="000C60F7">
      <w:pPr>
        <w:spacing w:line="360" w:lineRule="auto"/>
        <w:jc w:val="both"/>
        <w:rPr>
          <w:rFonts w:ascii="Palatino Linotype" w:eastAsia="Palatino Linotype" w:hAnsi="Palatino Linotype" w:cs="Palatino Linotype"/>
          <w:sz w:val="22"/>
          <w:szCs w:val="22"/>
        </w:rPr>
      </w:pPr>
      <w:r w:rsidRPr="006F0DCC">
        <w:rPr>
          <w:rFonts w:ascii="Palatino Linotype" w:eastAsia="Palatino Linotype" w:hAnsi="Palatino Linotype" w:cs="Palatino Linotype"/>
          <w:sz w:val="22"/>
          <w:szCs w:val="22"/>
        </w:rPr>
        <w:t xml:space="preserve"> </w:t>
      </w:r>
      <w:r w:rsidRPr="006F0DCC">
        <w:rPr>
          <w:noProof/>
          <w:lang w:val="es-MX"/>
        </w:rPr>
        <w:drawing>
          <wp:anchor distT="0" distB="0" distL="114300" distR="114300" simplePos="0" relativeHeight="251658240" behindDoc="0" locked="0" layoutInCell="1" hidden="0" allowOverlap="1" wp14:anchorId="29E00342" wp14:editId="11E9BB45">
            <wp:simplePos x="0" y="0"/>
            <wp:positionH relativeFrom="column">
              <wp:posOffset>-66674</wp:posOffset>
            </wp:positionH>
            <wp:positionV relativeFrom="paragraph">
              <wp:posOffset>-2539</wp:posOffset>
            </wp:positionV>
            <wp:extent cx="5697855" cy="1404156"/>
            <wp:effectExtent l="0" t="0" r="0" b="0"/>
            <wp:wrapNone/>
            <wp:docPr id="2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697855" cy="1404156"/>
                    </a:xfrm>
                    <a:prstGeom prst="rect">
                      <a:avLst/>
                    </a:prstGeom>
                    <a:ln/>
                  </pic:spPr>
                </pic:pic>
              </a:graphicData>
            </a:graphic>
          </wp:anchor>
        </w:drawing>
      </w:r>
    </w:p>
    <w:p w14:paraId="301DCBFB" w14:textId="77777777" w:rsidR="00556E8E" w:rsidRPr="006F0DCC" w:rsidRDefault="00556E8E">
      <w:pPr>
        <w:spacing w:line="360" w:lineRule="auto"/>
        <w:jc w:val="both"/>
        <w:rPr>
          <w:rFonts w:ascii="Palatino Linotype" w:eastAsia="Palatino Linotype" w:hAnsi="Palatino Linotype" w:cs="Palatino Linotype"/>
          <w:sz w:val="22"/>
          <w:szCs w:val="22"/>
        </w:rPr>
      </w:pPr>
    </w:p>
    <w:p w14:paraId="02273594" w14:textId="77777777" w:rsidR="00556E8E" w:rsidRPr="006F0DCC" w:rsidRDefault="00556E8E">
      <w:pPr>
        <w:spacing w:line="360" w:lineRule="auto"/>
        <w:jc w:val="both"/>
        <w:rPr>
          <w:rFonts w:ascii="Palatino Linotype" w:eastAsia="Palatino Linotype" w:hAnsi="Palatino Linotype" w:cs="Palatino Linotype"/>
          <w:sz w:val="22"/>
          <w:szCs w:val="22"/>
        </w:rPr>
      </w:pPr>
    </w:p>
    <w:p w14:paraId="353F16A1" w14:textId="77777777" w:rsidR="00556E8E" w:rsidRPr="006F0DCC" w:rsidRDefault="00556E8E">
      <w:pPr>
        <w:spacing w:line="360" w:lineRule="auto"/>
        <w:jc w:val="both"/>
        <w:rPr>
          <w:rFonts w:ascii="Palatino Linotype" w:eastAsia="Palatino Linotype" w:hAnsi="Palatino Linotype" w:cs="Palatino Linotype"/>
          <w:sz w:val="22"/>
          <w:szCs w:val="22"/>
        </w:rPr>
      </w:pPr>
    </w:p>
    <w:p w14:paraId="5053EA3E" w14:textId="77777777" w:rsidR="00556E8E" w:rsidRPr="006F0DCC" w:rsidRDefault="00556E8E">
      <w:pPr>
        <w:spacing w:line="360" w:lineRule="auto"/>
        <w:jc w:val="both"/>
        <w:rPr>
          <w:rFonts w:ascii="Palatino Linotype" w:eastAsia="Palatino Linotype" w:hAnsi="Palatino Linotype" w:cs="Palatino Linotype"/>
          <w:sz w:val="22"/>
          <w:szCs w:val="22"/>
        </w:rPr>
      </w:pPr>
    </w:p>
    <w:p w14:paraId="3E4E2F81" w14:textId="77777777" w:rsidR="00556E8E" w:rsidRPr="006F0DCC" w:rsidRDefault="00556E8E">
      <w:pPr>
        <w:spacing w:line="360" w:lineRule="auto"/>
        <w:jc w:val="both"/>
        <w:rPr>
          <w:rFonts w:ascii="Palatino Linotype" w:eastAsia="Palatino Linotype" w:hAnsi="Palatino Linotype" w:cs="Palatino Linotype"/>
          <w:sz w:val="22"/>
          <w:szCs w:val="22"/>
        </w:rPr>
      </w:pPr>
    </w:p>
    <w:p w14:paraId="58813FAE" w14:textId="77777777" w:rsidR="00556E8E" w:rsidRPr="006F0DCC" w:rsidRDefault="000C60F7">
      <w:pPr>
        <w:spacing w:line="360" w:lineRule="auto"/>
        <w:jc w:val="both"/>
        <w:rPr>
          <w:rFonts w:ascii="Palatino Linotype" w:eastAsia="Palatino Linotype" w:hAnsi="Palatino Linotype" w:cs="Palatino Linotype"/>
          <w:sz w:val="22"/>
          <w:szCs w:val="22"/>
        </w:rPr>
      </w:pPr>
      <w:r w:rsidRPr="006F0DCC">
        <w:rPr>
          <w:rFonts w:ascii="Palatino Linotype" w:eastAsia="Palatino Linotype" w:hAnsi="Palatino Linotype" w:cs="Palatino Linotype"/>
          <w:b/>
          <w:bCs/>
          <w:sz w:val="22"/>
          <w:szCs w:val="22"/>
        </w:rPr>
        <w:t xml:space="preserve">7. Cierre de instrucción. </w:t>
      </w:r>
      <w:r w:rsidRPr="006F0DCC">
        <w:rPr>
          <w:rFonts w:ascii="Palatino Linotype" w:eastAsia="Palatino Linotype" w:hAnsi="Palatino Linotype" w:cs="Palatino Linotype"/>
          <w:sz w:val="22"/>
          <w:szCs w:val="22"/>
        </w:rPr>
        <w:t xml:space="preserve">Una vez transcurrido el periodo otorgado a las partes para realizar sus manifestaciones y no habiendo documentos que integrar al expediente, con fecha </w:t>
      </w:r>
      <w:r w:rsidRPr="006F0DCC">
        <w:rPr>
          <w:rFonts w:ascii="Palatino Linotype" w:eastAsia="Palatino Linotype" w:hAnsi="Palatino Linotype" w:cs="Palatino Linotype"/>
          <w:b/>
          <w:bCs/>
          <w:sz w:val="22"/>
          <w:szCs w:val="22"/>
        </w:rPr>
        <w:t>tres de marzo de dos mil veintiséis</w:t>
      </w:r>
      <w:r w:rsidRPr="006F0DCC">
        <w:rPr>
          <w:rFonts w:ascii="Palatino Linotype" w:eastAsia="Palatino Linotype" w:hAnsi="Palatino Linotype" w:cs="Palatino Linotype"/>
          <w:sz w:val="22"/>
          <w:szCs w:val="22"/>
        </w:rPr>
        <w:t>, la Comisionada Ponente determinó el cierre de instrucción en términos de la fracción VI del artículo 185 de la Ley de Transparencia y Acceso a la Información Pública del Estado de México y Municipios.</w:t>
      </w:r>
    </w:p>
    <w:p w14:paraId="7174CB8D" w14:textId="77777777" w:rsidR="00556E8E" w:rsidRPr="006F0DCC" w:rsidRDefault="00556E8E">
      <w:pPr>
        <w:spacing w:line="360" w:lineRule="auto"/>
        <w:jc w:val="both"/>
        <w:rPr>
          <w:rFonts w:ascii="Palatino Linotype" w:eastAsia="Palatino Linotype" w:hAnsi="Palatino Linotype" w:cs="Palatino Linotype"/>
          <w:sz w:val="22"/>
          <w:szCs w:val="22"/>
        </w:rPr>
      </w:pPr>
    </w:p>
    <w:p w14:paraId="28B1DC28" w14:textId="77777777" w:rsidR="00556E8E" w:rsidRPr="006F0DCC" w:rsidRDefault="000C60F7">
      <w:pPr>
        <w:spacing w:line="360" w:lineRule="auto"/>
        <w:jc w:val="both"/>
        <w:rPr>
          <w:rFonts w:ascii="Palatino Linotype" w:eastAsia="Palatino Linotype" w:hAnsi="Palatino Linotype" w:cs="Palatino Linotype"/>
          <w:sz w:val="22"/>
          <w:szCs w:val="22"/>
        </w:rPr>
      </w:pPr>
      <w:proofErr w:type="gramStart"/>
      <w:r w:rsidRPr="006F0DCC">
        <w:rPr>
          <w:rFonts w:ascii="Palatino Linotype" w:eastAsia="Palatino Linotype" w:hAnsi="Palatino Linotype" w:cs="Palatino Linotype"/>
          <w:sz w:val="22"/>
          <w:szCs w:val="22"/>
        </w:rPr>
        <w:t>En razón de</w:t>
      </w:r>
      <w:proofErr w:type="gramEnd"/>
      <w:r w:rsidRPr="006F0DCC">
        <w:rPr>
          <w:rFonts w:ascii="Palatino Linotype" w:eastAsia="Palatino Linotype" w:hAnsi="Palatino Linotype" w:cs="Palatino Linotype"/>
          <w:sz w:val="22"/>
          <w:szCs w:val="22"/>
        </w:rPr>
        <w:t xml:space="preserve"> que fue debidamente sustanciado el expediente electrónico y no existe diligencia pendiente de desahogo, se emite la Resolución que conforme a Derecho proceda, de acuerdo con los siguientes: </w:t>
      </w:r>
    </w:p>
    <w:p w14:paraId="4A57AEA4" w14:textId="77777777" w:rsidR="00556E8E" w:rsidRPr="006F0DCC" w:rsidRDefault="00556E8E">
      <w:pPr>
        <w:spacing w:line="360" w:lineRule="auto"/>
        <w:jc w:val="both"/>
        <w:rPr>
          <w:rFonts w:ascii="Palatino Linotype" w:eastAsia="Palatino Linotype" w:hAnsi="Palatino Linotype" w:cs="Palatino Linotype"/>
          <w:sz w:val="22"/>
          <w:szCs w:val="22"/>
        </w:rPr>
      </w:pPr>
    </w:p>
    <w:p w14:paraId="20D3A7B1" w14:textId="77777777" w:rsidR="006F0DCC" w:rsidRPr="006F0DCC" w:rsidRDefault="006F0DCC">
      <w:pPr>
        <w:spacing w:line="360" w:lineRule="auto"/>
        <w:jc w:val="both"/>
        <w:rPr>
          <w:rFonts w:ascii="Palatino Linotype" w:eastAsia="Palatino Linotype" w:hAnsi="Palatino Linotype" w:cs="Palatino Linotype"/>
          <w:sz w:val="22"/>
          <w:szCs w:val="22"/>
        </w:rPr>
      </w:pPr>
    </w:p>
    <w:p w14:paraId="72D4EA2B" w14:textId="77777777" w:rsidR="006F0DCC" w:rsidRPr="006F0DCC" w:rsidRDefault="006F0DCC">
      <w:pPr>
        <w:spacing w:line="360" w:lineRule="auto"/>
        <w:jc w:val="both"/>
        <w:rPr>
          <w:rFonts w:ascii="Palatino Linotype" w:eastAsia="Palatino Linotype" w:hAnsi="Palatino Linotype" w:cs="Palatino Linotype"/>
          <w:sz w:val="22"/>
          <w:szCs w:val="22"/>
        </w:rPr>
      </w:pPr>
    </w:p>
    <w:p w14:paraId="6D286EA7" w14:textId="77777777" w:rsidR="00556E8E" w:rsidRPr="006F0DCC" w:rsidRDefault="000C60F7">
      <w:pPr>
        <w:widowControl w:val="0"/>
        <w:spacing w:line="360" w:lineRule="auto"/>
        <w:jc w:val="center"/>
        <w:rPr>
          <w:rFonts w:ascii="Palatino Linotype" w:eastAsia="Palatino Linotype" w:hAnsi="Palatino Linotype" w:cs="Palatino Linotype"/>
          <w:b/>
          <w:bCs/>
          <w:sz w:val="22"/>
          <w:szCs w:val="22"/>
        </w:rPr>
      </w:pPr>
      <w:r w:rsidRPr="006F0DCC">
        <w:rPr>
          <w:rFonts w:ascii="Palatino Linotype" w:eastAsia="Palatino Linotype" w:hAnsi="Palatino Linotype" w:cs="Palatino Linotype"/>
          <w:b/>
          <w:bCs/>
          <w:sz w:val="22"/>
          <w:szCs w:val="22"/>
        </w:rPr>
        <w:lastRenderedPageBreak/>
        <w:t>II. C O N S I D E R A N D O S</w:t>
      </w:r>
    </w:p>
    <w:p w14:paraId="4329E03F" w14:textId="77777777" w:rsidR="00556E8E" w:rsidRPr="006F0DCC" w:rsidRDefault="00556E8E">
      <w:pPr>
        <w:widowControl w:val="0"/>
        <w:pBdr>
          <w:top w:val="nil"/>
          <w:left w:val="nil"/>
          <w:bottom w:val="nil"/>
          <w:right w:val="nil"/>
          <w:between w:val="nil"/>
        </w:pBdr>
        <w:spacing w:line="360" w:lineRule="auto"/>
        <w:ind w:left="1080"/>
        <w:rPr>
          <w:rFonts w:ascii="Palatino Linotype" w:eastAsia="Palatino Linotype" w:hAnsi="Palatino Linotype" w:cs="Palatino Linotype"/>
          <w:b/>
          <w:bCs/>
          <w:sz w:val="22"/>
          <w:szCs w:val="22"/>
        </w:rPr>
      </w:pPr>
    </w:p>
    <w:p w14:paraId="388CBA29" w14:textId="77777777" w:rsidR="00556E8E" w:rsidRPr="006F0DCC" w:rsidRDefault="000C60F7">
      <w:pPr>
        <w:spacing w:line="360" w:lineRule="auto"/>
        <w:jc w:val="both"/>
        <w:rPr>
          <w:rFonts w:ascii="Palatino Linotype" w:eastAsia="Palatino Linotype" w:hAnsi="Palatino Linotype" w:cs="Palatino Linotype"/>
          <w:sz w:val="22"/>
          <w:szCs w:val="22"/>
        </w:rPr>
      </w:pPr>
      <w:r w:rsidRPr="006F0DCC">
        <w:rPr>
          <w:rFonts w:ascii="Palatino Linotype" w:eastAsia="Palatino Linotype" w:hAnsi="Palatino Linotype" w:cs="Palatino Linotype"/>
          <w:b/>
          <w:bCs/>
          <w:sz w:val="22"/>
          <w:szCs w:val="22"/>
        </w:rPr>
        <w:t>Primero. Competencia.</w:t>
      </w:r>
      <w:r w:rsidRPr="006F0DCC">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cuadragésimo cuarto, cuadragésimo quinto y cuadragésimo sexto, fracciones IV y V de la Constitución Política del Estado Libre y Soberano de México; transitorio Cuarto del Decreto número 198 de la “LXII” Legislatura del Estado de México; 1, 2, fracción II; 13, 29, 36, fracciones I y II; 176, 178, 179, 181 párrafo tercero y 185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09CE989B" w14:textId="77777777" w:rsidR="00556E8E" w:rsidRPr="006F0DCC" w:rsidRDefault="00556E8E">
      <w:pPr>
        <w:spacing w:line="360" w:lineRule="auto"/>
        <w:jc w:val="both"/>
        <w:rPr>
          <w:rFonts w:ascii="Palatino Linotype" w:eastAsia="Palatino Linotype" w:hAnsi="Palatino Linotype" w:cs="Palatino Linotype"/>
          <w:sz w:val="22"/>
          <w:szCs w:val="22"/>
        </w:rPr>
      </w:pPr>
    </w:p>
    <w:p w14:paraId="55C12063" w14:textId="77777777" w:rsidR="00556E8E" w:rsidRPr="006F0DCC" w:rsidRDefault="000C60F7">
      <w:pPr>
        <w:spacing w:line="360" w:lineRule="auto"/>
        <w:jc w:val="both"/>
        <w:rPr>
          <w:rFonts w:ascii="Palatino Linotype" w:eastAsia="Palatino Linotype" w:hAnsi="Palatino Linotype" w:cs="Palatino Linotype"/>
          <w:sz w:val="22"/>
          <w:szCs w:val="22"/>
        </w:rPr>
      </w:pPr>
      <w:r w:rsidRPr="006F0DCC">
        <w:rPr>
          <w:rFonts w:ascii="Palatino Linotype" w:eastAsia="Palatino Linotype" w:hAnsi="Palatino Linotype" w:cs="Palatino Linotype"/>
          <w:b/>
          <w:bCs/>
          <w:sz w:val="22"/>
          <w:szCs w:val="22"/>
        </w:rPr>
        <w:t xml:space="preserve">Segundo. Oportunidad y Procedibilidad del Recurso de Revisión. </w:t>
      </w:r>
      <w:r w:rsidRPr="006F0DCC">
        <w:rPr>
          <w:rFonts w:ascii="Palatino Linotype" w:eastAsia="Palatino Linotype" w:hAnsi="Palatino Linotype" w:cs="Palatino Linotype"/>
          <w:sz w:val="22"/>
          <w:szCs w:val="22"/>
        </w:rPr>
        <w:t>Por cuanto hace a la oportunidad del recurso de revisión</w:t>
      </w:r>
      <w:r w:rsidRPr="006F0DCC">
        <w:rPr>
          <w:rFonts w:ascii="Palatino Linotype" w:eastAsia="Palatino Linotype" w:hAnsi="Palatino Linotype" w:cs="Palatino Linotype"/>
          <w:b/>
          <w:bCs/>
          <w:sz w:val="22"/>
          <w:szCs w:val="22"/>
        </w:rPr>
        <w:t xml:space="preserve"> </w:t>
      </w:r>
      <w:r w:rsidRPr="006F0DCC">
        <w:rPr>
          <w:rFonts w:ascii="Palatino Linotype" w:eastAsia="Palatino Linotype" w:hAnsi="Palatino Linotype" w:cs="Palatino Linotype"/>
          <w:sz w:val="22"/>
          <w:szCs w:val="22"/>
        </w:rPr>
        <w:t>es necesario considerar lo previsto en los artículos 163, párrafo primero; 166, penúltimo párrafo y 178, párrafo segundo; de la Ley de Transparencia y Acceso a la Información Pública del Estado de México y Municipios, de cuya interpretación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entreguen la respuesta a la solicitud de información, esta se considera negada; por lo que al solicitante le asiste el derecho para presentar el recurso de revisión en cualquier momento.</w:t>
      </w:r>
    </w:p>
    <w:p w14:paraId="6D046B00" w14:textId="77777777" w:rsidR="00556E8E" w:rsidRPr="006F0DCC" w:rsidRDefault="00556E8E">
      <w:pPr>
        <w:spacing w:line="360" w:lineRule="auto"/>
        <w:jc w:val="both"/>
        <w:rPr>
          <w:rFonts w:ascii="Palatino Linotype" w:eastAsia="Palatino Linotype" w:hAnsi="Palatino Linotype" w:cs="Palatino Linotype"/>
          <w:sz w:val="22"/>
          <w:szCs w:val="22"/>
        </w:rPr>
      </w:pPr>
    </w:p>
    <w:p w14:paraId="5D89D490" w14:textId="77777777" w:rsidR="00556E8E" w:rsidRPr="006F0DCC" w:rsidRDefault="000C60F7">
      <w:pPr>
        <w:spacing w:line="360" w:lineRule="auto"/>
        <w:jc w:val="both"/>
        <w:rPr>
          <w:rFonts w:ascii="Palatino Linotype" w:eastAsia="Palatino Linotype" w:hAnsi="Palatino Linotype" w:cs="Palatino Linotype"/>
          <w:sz w:val="22"/>
          <w:szCs w:val="22"/>
        </w:rPr>
      </w:pPr>
      <w:r w:rsidRPr="006F0DCC">
        <w:rPr>
          <w:rFonts w:ascii="Palatino Linotype" w:eastAsia="Palatino Linotype" w:hAnsi="Palatino Linotype" w:cs="Palatino Linotype"/>
          <w:sz w:val="22"/>
          <w:szCs w:val="22"/>
        </w:rPr>
        <w:lastRenderedPageBreak/>
        <w:t xml:space="preserve">Derivado de lo anterior, se constituye la figura jurídica de la </w:t>
      </w:r>
      <w:r w:rsidRPr="006F0DCC">
        <w:rPr>
          <w:rFonts w:ascii="Palatino Linotype" w:eastAsia="Palatino Linotype" w:hAnsi="Palatino Linotype" w:cs="Palatino Linotype"/>
          <w:b/>
          <w:bCs/>
          <w:sz w:val="22"/>
          <w:szCs w:val="22"/>
        </w:rPr>
        <w:t>NEGATIVA FICTA</w:t>
      </w:r>
      <w:r w:rsidRPr="006F0DCC">
        <w:rPr>
          <w:rFonts w:ascii="Palatino Linotype" w:eastAsia="Palatino Linotype" w:hAnsi="Palatino Linotype" w:cs="Palatino Linotype"/>
          <w:sz w:val="22"/>
          <w:szCs w:val="22"/>
        </w:rPr>
        <w:t>, cuya esencia consiste en atribuir un efecto negativo al silencio de la autoridad administrativa frente a las instancias y solicitudes que hagan los particulares.</w:t>
      </w:r>
    </w:p>
    <w:p w14:paraId="0BAC7201" w14:textId="77777777" w:rsidR="00556E8E" w:rsidRPr="006F0DCC" w:rsidRDefault="00556E8E">
      <w:pPr>
        <w:spacing w:line="360" w:lineRule="auto"/>
        <w:jc w:val="both"/>
        <w:rPr>
          <w:rFonts w:ascii="Palatino Linotype" w:eastAsia="Palatino Linotype" w:hAnsi="Palatino Linotype" w:cs="Palatino Linotype"/>
          <w:sz w:val="22"/>
          <w:szCs w:val="22"/>
        </w:rPr>
      </w:pPr>
    </w:p>
    <w:p w14:paraId="719E5419" w14:textId="77777777" w:rsidR="00556E8E" w:rsidRPr="006F0DCC" w:rsidRDefault="000C60F7">
      <w:pPr>
        <w:spacing w:line="360" w:lineRule="auto"/>
        <w:jc w:val="both"/>
        <w:rPr>
          <w:rFonts w:ascii="Palatino Linotype" w:eastAsia="Palatino Linotype" w:hAnsi="Palatino Linotype" w:cs="Palatino Linotype"/>
          <w:sz w:val="22"/>
          <w:szCs w:val="22"/>
        </w:rPr>
      </w:pPr>
      <w:r w:rsidRPr="006F0DCC">
        <w:rPr>
          <w:rFonts w:ascii="Palatino Linotype" w:eastAsia="Palatino Linotype" w:hAnsi="Palatino Linotype" w:cs="Palatino Linotype"/>
          <w:sz w:val="22"/>
          <w:szCs w:val="22"/>
        </w:rPr>
        <w:t xml:space="preserve">De tal manera, en el presente recurso de revisión se actualizó la negativa ficta por parte del </w:t>
      </w:r>
      <w:r w:rsidRPr="006F0DCC">
        <w:rPr>
          <w:rFonts w:ascii="Palatino Linotype" w:eastAsia="Palatino Linotype" w:hAnsi="Palatino Linotype" w:cs="Palatino Linotype"/>
          <w:b/>
          <w:bCs/>
          <w:sz w:val="22"/>
          <w:szCs w:val="22"/>
        </w:rPr>
        <w:t>SUJETO OBLIGADO</w:t>
      </w:r>
      <w:r w:rsidRPr="006F0DCC">
        <w:rPr>
          <w:rFonts w:ascii="Palatino Linotype" w:eastAsia="Palatino Linotype" w:hAnsi="Palatino Linotype" w:cs="Palatino Linotype"/>
          <w:sz w:val="22"/>
          <w:szCs w:val="22"/>
        </w:rPr>
        <w:t xml:space="preserve"> al no haber respondido a la parte </w:t>
      </w:r>
      <w:r w:rsidRPr="006F0DCC">
        <w:rPr>
          <w:rFonts w:ascii="Palatino Linotype" w:eastAsia="Palatino Linotype" w:hAnsi="Palatino Linotype" w:cs="Palatino Linotype"/>
          <w:b/>
          <w:bCs/>
          <w:sz w:val="22"/>
          <w:szCs w:val="22"/>
        </w:rPr>
        <w:t>RECURRENTE</w:t>
      </w:r>
      <w:r w:rsidRPr="006F0DCC">
        <w:rPr>
          <w:rFonts w:ascii="Palatino Linotype" w:eastAsia="Palatino Linotype" w:hAnsi="Palatino Linotype" w:cs="Palatino Linotype"/>
          <w:sz w:val="22"/>
          <w:szCs w:val="22"/>
        </w:rPr>
        <w:t xml:space="preserve"> en tiempo y forma en el plazo legal previsto para ello, en este sentido la falta de respuesta implica necesariamente que de modo fáctico se ha negado la información por razones desconocidas, pero que el hecho simple de no responder apareja una forma por omisión de negar el acceso a la información.</w:t>
      </w:r>
    </w:p>
    <w:p w14:paraId="620D24B6" w14:textId="77777777" w:rsidR="00556E8E" w:rsidRPr="006F0DCC" w:rsidRDefault="00556E8E">
      <w:pPr>
        <w:spacing w:line="360" w:lineRule="auto"/>
        <w:jc w:val="both"/>
        <w:rPr>
          <w:rFonts w:ascii="Palatino Linotype" w:eastAsia="Palatino Linotype" w:hAnsi="Palatino Linotype" w:cs="Palatino Linotype"/>
          <w:sz w:val="22"/>
          <w:szCs w:val="22"/>
        </w:rPr>
      </w:pPr>
    </w:p>
    <w:p w14:paraId="2D464E08" w14:textId="77777777" w:rsidR="00556E8E" w:rsidRPr="006F0DCC" w:rsidRDefault="000C60F7">
      <w:pPr>
        <w:spacing w:line="360" w:lineRule="auto"/>
        <w:jc w:val="both"/>
        <w:rPr>
          <w:rFonts w:ascii="Palatino Linotype" w:eastAsia="Palatino Linotype" w:hAnsi="Palatino Linotype" w:cs="Palatino Linotype"/>
          <w:sz w:val="22"/>
          <w:szCs w:val="22"/>
        </w:rPr>
      </w:pPr>
      <w:r w:rsidRPr="006F0DCC">
        <w:rPr>
          <w:rFonts w:ascii="Palatino Linotype" w:eastAsia="Palatino Linotype" w:hAnsi="Palatino Linotype" w:cs="Palatino Linotype"/>
          <w:sz w:val="22"/>
          <w:szCs w:val="22"/>
        </w:rPr>
        <w:t>Si a ello se le suma lo previsto en el párrafo segundo del artículo 178, párrafo segundo</w:t>
      </w:r>
      <w:r w:rsidRPr="006F0DCC">
        <w:rPr>
          <w:rFonts w:ascii="Palatino Linotype" w:eastAsia="Palatino Linotype" w:hAnsi="Palatino Linotype" w:cs="Palatino Linotype"/>
          <w:sz w:val="22"/>
          <w:szCs w:val="22"/>
          <w:vertAlign w:val="superscript"/>
        </w:rPr>
        <w:footnoteReference w:id="1"/>
      </w:r>
      <w:r w:rsidRPr="006F0DCC">
        <w:rPr>
          <w:rFonts w:ascii="Palatino Linotype" w:eastAsia="Palatino Linotype" w:hAnsi="Palatino Linotype" w:cs="Palatino Linotype"/>
          <w:sz w:val="22"/>
          <w:szCs w:val="22"/>
        </w:rPr>
        <w:t xml:space="preserve"> de la Ley de Transparencia y Acceso a la Información Pública vigente en la entidad.</w:t>
      </w:r>
    </w:p>
    <w:p w14:paraId="7D2C62AB" w14:textId="77777777" w:rsidR="00556E8E" w:rsidRPr="006F0DCC" w:rsidRDefault="00556E8E">
      <w:pPr>
        <w:spacing w:line="360" w:lineRule="auto"/>
        <w:jc w:val="both"/>
        <w:rPr>
          <w:rFonts w:ascii="Palatino Linotype" w:eastAsia="Palatino Linotype" w:hAnsi="Palatino Linotype" w:cs="Palatino Linotype"/>
          <w:sz w:val="22"/>
          <w:szCs w:val="22"/>
        </w:rPr>
      </w:pPr>
    </w:p>
    <w:p w14:paraId="2AD22B31" w14:textId="77777777" w:rsidR="00556E8E" w:rsidRPr="006F0DCC" w:rsidRDefault="000C60F7">
      <w:pPr>
        <w:spacing w:line="360" w:lineRule="auto"/>
        <w:jc w:val="both"/>
        <w:rPr>
          <w:rFonts w:ascii="Palatino Linotype" w:eastAsia="Palatino Linotype" w:hAnsi="Palatino Linotype" w:cs="Palatino Linotype"/>
          <w:sz w:val="22"/>
          <w:szCs w:val="22"/>
        </w:rPr>
      </w:pPr>
      <w:r w:rsidRPr="006F0DCC">
        <w:rPr>
          <w:rFonts w:ascii="Palatino Linotype" w:eastAsia="Palatino Linotype" w:hAnsi="Palatino Linotype" w:cs="Palatino Linotype"/>
          <w:sz w:val="22"/>
          <w:szCs w:val="22"/>
        </w:rPr>
        <w:t>Lo anterior encuentra sustento en el CRITERIO número 0001-15, aprobado por unanimidad del Pleno del Instituto de Transparencia, Acceso a la Información Pública y Protección de Datos Personales del Estado de México y Municipios, publicado en el Periódico Oficial del Estado de México “Gaceta del Gobierno”, el veintitrés de abril de dos mil quince, que establece:</w:t>
      </w:r>
    </w:p>
    <w:p w14:paraId="5BCFAE06" w14:textId="77777777" w:rsidR="00556E8E" w:rsidRPr="006F0DCC" w:rsidRDefault="00556E8E">
      <w:pPr>
        <w:spacing w:line="360" w:lineRule="auto"/>
        <w:jc w:val="both"/>
        <w:rPr>
          <w:i/>
          <w:iCs/>
          <w:sz w:val="22"/>
          <w:szCs w:val="22"/>
        </w:rPr>
      </w:pPr>
    </w:p>
    <w:p w14:paraId="4953F100" w14:textId="77777777" w:rsidR="00556E8E" w:rsidRPr="006F0DCC" w:rsidRDefault="000C60F7">
      <w:pPr>
        <w:ind w:left="567" w:right="616"/>
        <w:jc w:val="both"/>
        <w:rPr>
          <w:rFonts w:ascii="Palatino Linotype" w:eastAsia="Palatino Linotype" w:hAnsi="Palatino Linotype" w:cs="Palatino Linotype"/>
          <w:b/>
          <w:bCs/>
          <w:i/>
          <w:iCs/>
          <w:sz w:val="22"/>
          <w:szCs w:val="22"/>
        </w:rPr>
      </w:pPr>
      <w:r w:rsidRPr="006F0DCC">
        <w:rPr>
          <w:rFonts w:ascii="Palatino Linotype" w:eastAsia="Palatino Linotype" w:hAnsi="Palatino Linotype" w:cs="Palatino Linotype"/>
          <w:i/>
          <w:iCs/>
          <w:sz w:val="22"/>
          <w:szCs w:val="22"/>
        </w:rPr>
        <w:t>“</w:t>
      </w:r>
      <w:r w:rsidRPr="006F0DCC">
        <w:rPr>
          <w:rFonts w:ascii="Palatino Linotype" w:eastAsia="Palatino Linotype" w:hAnsi="Palatino Linotype" w:cs="Palatino Linotype"/>
          <w:b/>
          <w:bCs/>
          <w:i/>
          <w:iCs/>
          <w:sz w:val="22"/>
          <w:szCs w:val="22"/>
        </w:rPr>
        <w:t>CRITERIO 0001-15 NEGATIVA FICTA. PLAZO PARA INTERPONER EL RECURSO DE REVISIÓN TRATÁNDOSE DE</w:t>
      </w:r>
      <w:r w:rsidRPr="006F0DCC">
        <w:rPr>
          <w:rFonts w:ascii="Palatino Linotype" w:eastAsia="Palatino Linotype" w:hAnsi="Palatino Linotype" w:cs="Palatino Linotype"/>
          <w:i/>
          <w:iCs/>
          <w:sz w:val="22"/>
          <w:szCs w:val="22"/>
        </w:rPr>
        <w:t xml:space="preserve">. El artículo 48, párrafo tercero de la Ley de Transparencia y Acceso a la Información Pública del Estado de México y </w:t>
      </w:r>
      <w:r w:rsidRPr="006F0DCC">
        <w:rPr>
          <w:rFonts w:ascii="Palatino Linotype" w:eastAsia="Palatino Linotype" w:hAnsi="Palatino Linotype" w:cs="Palatino Linotype"/>
          <w:i/>
          <w:iCs/>
          <w:sz w:val="22"/>
          <w:szCs w:val="22"/>
        </w:rPr>
        <w:lastRenderedPageBreak/>
        <w:t>Municipios establece que, cuando no se entregue la respuesta a la solicitud dentro del plazo de 15 días establecidos en el artículo 46 de la Ley de la materia, se entenderá por negada la solicitud y podrá interponerse el recurso correspondiente. Por su parte, el artículo 72 del mismo ordenamiento legal establece el plazo de 15 días para interponer el recurso de revisión a partir del día siguiente al que tuvo conocimiento de la respuesta recaída a su solicitud, sin que se establezca excepción alguna tratándose de una falta de respuesta del sujeto obligado. Así, entonces, resulta evidente que, al no emitirse respuesta dentro del plazo establecido, se genera la ficción legal de una respuesta en sentido negativo; en el entendido de que el plazo para impugnar esa negativa podrá ser en cualquier tiempo y hasta en tanto no se dicte resolución expresa; es decir, mientras no haya respuesta por parte del Sujeto Obligado, momento a partir del cual deberá computarse el plazo previsto en el artículo 72 de la citada Ley.”</w:t>
      </w:r>
    </w:p>
    <w:p w14:paraId="34515827" w14:textId="77777777" w:rsidR="00556E8E" w:rsidRPr="006F0DCC" w:rsidRDefault="00556E8E">
      <w:pPr>
        <w:ind w:left="567" w:right="851"/>
        <w:jc w:val="both"/>
        <w:rPr>
          <w:rFonts w:ascii="Palatino Linotype" w:eastAsia="Palatino Linotype" w:hAnsi="Palatino Linotype" w:cs="Palatino Linotype"/>
          <w:i/>
          <w:iCs/>
          <w:sz w:val="22"/>
          <w:szCs w:val="22"/>
        </w:rPr>
      </w:pPr>
    </w:p>
    <w:p w14:paraId="2FAFB120" w14:textId="77777777" w:rsidR="00556E8E" w:rsidRPr="006F0DCC" w:rsidRDefault="000C60F7">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r w:rsidRPr="006F0DCC">
        <w:rPr>
          <w:rFonts w:ascii="Palatino Linotype" w:eastAsia="Palatino Linotype" w:hAnsi="Palatino Linotype" w:cs="Palatino Linotype"/>
          <w:sz w:val="22"/>
          <w:szCs w:val="22"/>
        </w:rPr>
        <w:t xml:space="preserve">Además, una vez realizado el análisis del formato de interposición del recurso, se acreditan plenamente de todos y cada uno de los elementos formales exigidos por el artículo 180 de la Ley de Transparencia y Acceso a la Información Pública del Estado de México y Municipios, en atención a que fue presentado mediante el formato visible en </w:t>
      </w:r>
      <w:r w:rsidRPr="006F0DCC">
        <w:rPr>
          <w:rFonts w:ascii="Palatino Linotype" w:eastAsia="Palatino Linotype" w:hAnsi="Palatino Linotype" w:cs="Palatino Linotype"/>
          <w:b/>
          <w:bCs/>
          <w:sz w:val="22"/>
          <w:szCs w:val="22"/>
        </w:rPr>
        <w:t>EL</w:t>
      </w:r>
      <w:r w:rsidRPr="006F0DCC">
        <w:rPr>
          <w:rFonts w:ascii="Palatino Linotype" w:eastAsia="Palatino Linotype" w:hAnsi="Palatino Linotype" w:cs="Palatino Linotype"/>
          <w:sz w:val="22"/>
          <w:szCs w:val="22"/>
        </w:rPr>
        <w:t xml:space="preserve"> </w:t>
      </w:r>
      <w:r w:rsidRPr="006F0DCC">
        <w:rPr>
          <w:rFonts w:ascii="Palatino Linotype" w:eastAsia="Palatino Linotype" w:hAnsi="Palatino Linotype" w:cs="Palatino Linotype"/>
          <w:b/>
          <w:bCs/>
          <w:sz w:val="22"/>
          <w:szCs w:val="22"/>
        </w:rPr>
        <w:t>SAIMEX</w:t>
      </w:r>
      <w:r w:rsidRPr="006F0DCC">
        <w:rPr>
          <w:rFonts w:ascii="Palatino Linotype" w:eastAsia="Palatino Linotype" w:hAnsi="Palatino Linotype" w:cs="Palatino Linotype"/>
          <w:sz w:val="22"/>
          <w:szCs w:val="22"/>
        </w:rPr>
        <w:t>.</w:t>
      </w:r>
    </w:p>
    <w:p w14:paraId="022AF41E" w14:textId="77777777" w:rsidR="00556E8E" w:rsidRPr="006F0DCC" w:rsidRDefault="00556E8E">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44E3CE0F" w14:textId="77777777" w:rsidR="00556E8E" w:rsidRPr="006F0DCC" w:rsidRDefault="000C60F7">
      <w:pPr>
        <w:spacing w:line="360" w:lineRule="auto"/>
        <w:jc w:val="both"/>
        <w:rPr>
          <w:rFonts w:ascii="Palatino Linotype" w:eastAsia="Palatino Linotype" w:hAnsi="Palatino Linotype" w:cs="Palatino Linotype"/>
          <w:sz w:val="22"/>
          <w:szCs w:val="22"/>
        </w:rPr>
      </w:pPr>
      <w:r w:rsidRPr="006F0DCC">
        <w:rPr>
          <w:rFonts w:ascii="Palatino Linotype" w:eastAsia="Palatino Linotype" w:hAnsi="Palatino Linotype" w:cs="Palatino Linotype"/>
          <w:sz w:val="22"/>
          <w:szCs w:val="22"/>
        </w:rPr>
        <w:t xml:space="preserve">Ahora bien, resulta procedente la interposición del recurso de revisión, según lo aducido por la parte </w:t>
      </w:r>
      <w:r w:rsidRPr="006F0DCC">
        <w:rPr>
          <w:rFonts w:ascii="Palatino Linotype" w:eastAsia="Palatino Linotype" w:hAnsi="Palatino Linotype" w:cs="Palatino Linotype"/>
          <w:b/>
          <w:bCs/>
          <w:sz w:val="22"/>
          <w:szCs w:val="22"/>
        </w:rPr>
        <w:t>RECURRENTE</w:t>
      </w:r>
      <w:r w:rsidRPr="006F0DCC">
        <w:rPr>
          <w:rFonts w:ascii="Palatino Linotype" w:eastAsia="Palatino Linotype" w:hAnsi="Palatino Linotype" w:cs="Palatino Linotype"/>
          <w:sz w:val="22"/>
          <w:szCs w:val="22"/>
        </w:rPr>
        <w:t>, en términos del artículo 179, fracción VII del ordenamiento legal de la materia, que a la letra dice:</w:t>
      </w:r>
    </w:p>
    <w:p w14:paraId="7264E0E7" w14:textId="77777777" w:rsidR="00556E8E" w:rsidRPr="006F0DCC" w:rsidRDefault="00556E8E">
      <w:pPr>
        <w:spacing w:line="360" w:lineRule="auto"/>
        <w:jc w:val="both"/>
        <w:rPr>
          <w:rFonts w:ascii="Palatino Linotype" w:eastAsia="Palatino Linotype" w:hAnsi="Palatino Linotype" w:cs="Palatino Linotype"/>
          <w:sz w:val="22"/>
          <w:szCs w:val="22"/>
        </w:rPr>
      </w:pPr>
    </w:p>
    <w:p w14:paraId="2314EB64" w14:textId="77777777" w:rsidR="00556E8E" w:rsidRPr="006F0DCC" w:rsidRDefault="000C60F7">
      <w:pPr>
        <w:ind w:left="567" w:right="616"/>
        <w:jc w:val="both"/>
        <w:rPr>
          <w:rFonts w:ascii="Palatino Linotype" w:eastAsia="Palatino Linotype" w:hAnsi="Palatino Linotype" w:cs="Palatino Linotype"/>
          <w:sz w:val="22"/>
          <w:szCs w:val="22"/>
        </w:rPr>
      </w:pPr>
      <w:r w:rsidRPr="006F0DCC">
        <w:rPr>
          <w:rFonts w:ascii="Palatino Linotype" w:eastAsia="Palatino Linotype" w:hAnsi="Palatino Linotype" w:cs="Palatino Linotype"/>
          <w:i/>
          <w:iCs/>
          <w:sz w:val="22"/>
          <w:szCs w:val="22"/>
        </w:rPr>
        <w:t>“</w:t>
      </w:r>
      <w:r w:rsidRPr="006F0DCC">
        <w:rPr>
          <w:rFonts w:ascii="Palatino Linotype" w:eastAsia="Palatino Linotype" w:hAnsi="Palatino Linotype" w:cs="Palatino Linotype"/>
          <w:b/>
          <w:bCs/>
          <w:sz w:val="22"/>
          <w:szCs w:val="22"/>
        </w:rPr>
        <w:t>Artículo 179.</w:t>
      </w:r>
      <w:r w:rsidRPr="006F0DCC">
        <w:rPr>
          <w:rFonts w:ascii="Palatino Linotype" w:eastAsia="Palatino Linotype" w:hAnsi="Palatino Linotype" w:cs="Palatino Linotype"/>
          <w:i/>
          <w:iCs/>
          <w:sz w:val="22"/>
          <w:szCs w:val="22"/>
        </w:rPr>
        <w:t xml:space="preserve">El recurso de revisión es un medio de protección que la Ley otorga a los particulares, para hacer valer su derecho de acceso a la información pública, y procederá en contra de las siguientes causas: </w:t>
      </w:r>
      <w:r w:rsidRPr="006F0DCC">
        <w:rPr>
          <w:rFonts w:ascii="Palatino Linotype" w:eastAsia="Palatino Linotype" w:hAnsi="Palatino Linotype" w:cs="Palatino Linotype"/>
          <w:sz w:val="22"/>
          <w:szCs w:val="22"/>
        </w:rPr>
        <w:t> </w:t>
      </w:r>
    </w:p>
    <w:p w14:paraId="74971D56" w14:textId="77777777" w:rsidR="00556E8E" w:rsidRPr="006F0DCC" w:rsidRDefault="000C60F7">
      <w:pPr>
        <w:ind w:left="567" w:right="616"/>
        <w:jc w:val="both"/>
        <w:rPr>
          <w:rFonts w:ascii="Palatino Linotype" w:eastAsia="Palatino Linotype" w:hAnsi="Palatino Linotype" w:cs="Palatino Linotype"/>
          <w:sz w:val="22"/>
          <w:szCs w:val="22"/>
        </w:rPr>
      </w:pPr>
      <w:r w:rsidRPr="006F0DCC">
        <w:rPr>
          <w:rFonts w:ascii="Palatino Linotype" w:eastAsia="Palatino Linotype" w:hAnsi="Palatino Linotype" w:cs="Palatino Linotype"/>
          <w:sz w:val="22"/>
          <w:szCs w:val="22"/>
        </w:rPr>
        <w:t>…</w:t>
      </w:r>
    </w:p>
    <w:p w14:paraId="644D6D6B" w14:textId="77777777" w:rsidR="00556E8E" w:rsidRPr="006F0DCC" w:rsidRDefault="000C60F7">
      <w:pPr>
        <w:numPr>
          <w:ilvl w:val="0"/>
          <w:numId w:val="4"/>
        </w:numPr>
        <w:ind w:left="567" w:right="616" w:firstLine="0"/>
        <w:jc w:val="both"/>
        <w:rPr>
          <w:rFonts w:ascii="Palatino Linotype" w:eastAsia="Palatino Linotype" w:hAnsi="Palatino Linotype" w:cs="Palatino Linotype"/>
          <w:i/>
          <w:iCs/>
          <w:sz w:val="22"/>
          <w:szCs w:val="22"/>
        </w:rPr>
      </w:pPr>
      <w:r w:rsidRPr="006F0DCC">
        <w:rPr>
          <w:rFonts w:ascii="Palatino Linotype" w:eastAsia="Palatino Linotype" w:hAnsi="Palatino Linotype" w:cs="Palatino Linotype"/>
          <w:i/>
          <w:iCs/>
          <w:sz w:val="22"/>
          <w:szCs w:val="22"/>
        </w:rPr>
        <w:t>La falta de respuesta a una solicitud de acceso a la información…</w:t>
      </w:r>
    </w:p>
    <w:p w14:paraId="096B8169" w14:textId="77777777" w:rsidR="00556E8E" w:rsidRPr="006F0DCC" w:rsidRDefault="00556E8E">
      <w:pPr>
        <w:spacing w:line="360" w:lineRule="auto"/>
        <w:ind w:right="1041"/>
        <w:jc w:val="both"/>
        <w:rPr>
          <w:rFonts w:ascii="Palatino Linotype" w:eastAsia="Palatino Linotype" w:hAnsi="Palatino Linotype" w:cs="Palatino Linotype"/>
          <w:i/>
          <w:iCs/>
          <w:sz w:val="22"/>
          <w:szCs w:val="22"/>
        </w:rPr>
      </w:pPr>
    </w:p>
    <w:p w14:paraId="7C503CF5" w14:textId="77777777" w:rsidR="00556E8E" w:rsidRPr="006F0DCC" w:rsidRDefault="000C60F7">
      <w:pPr>
        <w:tabs>
          <w:tab w:val="left" w:pos="8647"/>
        </w:tabs>
        <w:spacing w:line="360" w:lineRule="auto"/>
        <w:jc w:val="both"/>
        <w:rPr>
          <w:rFonts w:ascii="Palatino Linotype" w:eastAsia="Palatino Linotype" w:hAnsi="Palatino Linotype" w:cs="Palatino Linotype"/>
          <w:sz w:val="22"/>
          <w:szCs w:val="22"/>
        </w:rPr>
      </w:pPr>
      <w:r w:rsidRPr="006F0DCC">
        <w:rPr>
          <w:rFonts w:ascii="Palatino Linotype" w:eastAsia="Palatino Linotype" w:hAnsi="Palatino Linotype" w:cs="Palatino Linotype"/>
          <w:b/>
          <w:bCs/>
          <w:sz w:val="22"/>
          <w:szCs w:val="22"/>
        </w:rPr>
        <w:t xml:space="preserve">Tercero. Materia de la revisión. </w:t>
      </w:r>
      <w:r w:rsidRPr="006F0DCC">
        <w:rPr>
          <w:rFonts w:ascii="Palatino Linotype" w:eastAsia="Palatino Linotype" w:hAnsi="Palatino Linotype" w:cs="Palatino Linotype"/>
          <w:sz w:val="22"/>
          <w:szCs w:val="22"/>
        </w:rPr>
        <w:t xml:space="preserve">Este Organismo Garante procede del análisis de los agravios hechos valer por la parte </w:t>
      </w:r>
      <w:r w:rsidRPr="006F0DCC">
        <w:rPr>
          <w:rFonts w:ascii="Palatino Linotype" w:eastAsia="Palatino Linotype" w:hAnsi="Palatino Linotype" w:cs="Palatino Linotype"/>
          <w:b/>
          <w:bCs/>
          <w:sz w:val="22"/>
          <w:szCs w:val="22"/>
        </w:rPr>
        <w:t>Recurrente</w:t>
      </w:r>
      <w:r w:rsidRPr="006F0DCC">
        <w:rPr>
          <w:rFonts w:ascii="Palatino Linotype" w:eastAsia="Palatino Linotype" w:hAnsi="Palatino Linotype" w:cs="Palatino Linotype"/>
          <w:sz w:val="22"/>
          <w:szCs w:val="22"/>
        </w:rPr>
        <w:t xml:space="preserve">, a fin de determinar si se violenta en perjuicio de este, el derecho de acceso a la información previsto en la Constitución Política de los </w:t>
      </w:r>
      <w:r w:rsidRPr="006F0DCC">
        <w:rPr>
          <w:rFonts w:ascii="Palatino Linotype" w:eastAsia="Palatino Linotype" w:hAnsi="Palatino Linotype" w:cs="Palatino Linotype"/>
          <w:sz w:val="22"/>
          <w:szCs w:val="22"/>
        </w:rPr>
        <w:lastRenderedPageBreak/>
        <w:t xml:space="preserve">Estados Unidos Mexicanos y en la Constitución Política del Estado Libre y Soberano de México. </w:t>
      </w:r>
    </w:p>
    <w:p w14:paraId="2D3F7C77" w14:textId="77777777" w:rsidR="00556E8E" w:rsidRPr="006F0DCC" w:rsidRDefault="00556E8E">
      <w:pPr>
        <w:tabs>
          <w:tab w:val="left" w:pos="8647"/>
        </w:tabs>
        <w:spacing w:line="360" w:lineRule="auto"/>
        <w:jc w:val="both"/>
        <w:rPr>
          <w:rFonts w:ascii="Palatino Linotype" w:eastAsia="Palatino Linotype" w:hAnsi="Palatino Linotype" w:cs="Palatino Linotype"/>
          <w:sz w:val="22"/>
          <w:szCs w:val="22"/>
        </w:rPr>
      </w:pPr>
    </w:p>
    <w:p w14:paraId="7796A5A3" w14:textId="77777777" w:rsidR="00556E8E" w:rsidRPr="006F0DCC" w:rsidRDefault="000C60F7">
      <w:pPr>
        <w:spacing w:line="360" w:lineRule="auto"/>
        <w:jc w:val="both"/>
        <w:rPr>
          <w:rFonts w:ascii="Palatino Linotype" w:eastAsia="Palatino Linotype" w:hAnsi="Palatino Linotype" w:cs="Palatino Linotype"/>
          <w:sz w:val="22"/>
          <w:szCs w:val="22"/>
        </w:rPr>
      </w:pPr>
      <w:r w:rsidRPr="006F0DCC">
        <w:rPr>
          <w:rFonts w:ascii="Palatino Linotype" w:eastAsia="Palatino Linotype" w:hAnsi="Palatino Linotype" w:cs="Palatino Linotype"/>
          <w:b/>
          <w:bCs/>
          <w:sz w:val="22"/>
          <w:szCs w:val="22"/>
        </w:rPr>
        <w:t xml:space="preserve">Cuarto. Estudio del asunto. </w:t>
      </w:r>
      <w:r w:rsidRPr="006F0DCC">
        <w:rPr>
          <w:rFonts w:ascii="Palatino Linotype" w:eastAsia="Palatino Linotype" w:hAnsi="Palatino Linotype" w:cs="Palatino Linotype"/>
          <w:sz w:val="22"/>
          <w:szCs w:val="22"/>
        </w:rPr>
        <w:t xml:space="preserve">Una vez determinada la vía sobre la que versará el presente recurso, y previa revisión del expediente del recurso de revisión materia de la presente resolución, se advierte que el </w:t>
      </w:r>
      <w:r w:rsidRPr="006F0DCC">
        <w:rPr>
          <w:rFonts w:ascii="Palatino Linotype" w:eastAsia="Palatino Linotype" w:hAnsi="Palatino Linotype" w:cs="Palatino Linotype"/>
          <w:b/>
          <w:bCs/>
          <w:sz w:val="22"/>
          <w:szCs w:val="22"/>
        </w:rPr>
        <w:t xml:space="preserve">Sujeto Obligado </w:t>
      </w:r>
      <w:r w:rsidRPr="006F0DCC">
        <w:rPr>
          <w:rFonts w:ascii="Palatino Linotype" w:eastAsia="Palatino Linotype" w:hAnsi="Palatino Linotype" w:cs="Palatino Linotype"/>
          <w:sz w:val="22"/>
          <w:szCs w:val="22"/>
        </w:rPr>
        <w:t xml:space="preserve">no dio respuesta a la solicitud de información planteada por la parte </w:t>
      </w:r>
      <w:r w:rsidRPr="006F0DCC">
        <w:rPr>
          <w:rFonts w:ascii="Palatino Linotype" w:eastAsia="Palatino Linotype" w:hAnsi="Palatino Linotype" w:cs="Palatino Linotype"/>
          <w:b/>
          <w:bCs/>
          <w:sz w:val="22"/>
          <w:szCs w:val="22"/>
        </w:rPr>
        <w:t>Recurrente</w:t>
      </w:r>
      <w:r w:rsidRPr="006F0DCC">
        <w:rPr>
          <w:rFonts w:ascii="Palatino Linotype" w:eastAsia="Palatino Linotype" w:hAnsi="Palatino Linotype" w:cs="Palatino Linotype"/>
          <w:sz w:val="22"/>
          <w:szCs w:val="22"/>
        </w:rPr>
        <w:t xml:space="preserve">, lo que se traduce como la configuración de la </w:t>
      </w:r>
      <w:r w:rsidRPr="006F0DCC">
        <w:rPr>
          <w:rFonts w:ascii="Palatino Linotype" w:eastAsia="Palatino Linotype" w:hAnsi="Palatino Linotype" w:cs="Palatino Linotype"/>
          <w:b/>
          <w:bCs/>
          <w:sz w:val="22"/>
          <w:szCs w:val="22"/>
        </w:rPr>
        <w:t>negativa ficta</w:t>
      </w:r>
      <w:r w:rsidRPr="006F0DCC">
        <w:rPr>
          <w:rFonts w:ascii="Palatino Linotype" w:eastAsia="Palatino Linotype" w:hAnsi="Palatino Linotype" w:cs="Palatino Linotype"/>
          <w:sz w:val="22"/>
          <w:szCs w:val="22"/>
        </w:rPr>
        <w:t xml:space="preserve">, situación que demuestra la existencia del acto impugnado y procedencia del motivo de inconformidad, que en términos generales consistente en que el </w:t>
      </w:r>
      <w:r w:rsidRPr="006F0DCC">
        <w:rPr>
          <w:rFonts w:ascii="Palatino Linotype" w:eastAsia="Palatino Linotype" w:hAnsi="Palatino Linotype" w:cs="Palatino Linotype"/>
          <w:b/>
          <w:bCs/>
          <w:sz w:val="22"/>
          <w:szCs w:val="22"/>
        </w:rPr>
        <w:t>Sujeto Obligado</w:t>
      </w:r>
      <w:r w:rsidRPr="006F0DCC">
        <w:rPr>
          <w:rFonts w:ascii="Palatino Linotype" w:eastAsia="Palatino Linotype" w:hAnsi="Palatino Linotype" w:cs="Palatino Linotype"/>
          <w:sz w:val="22"/>
          <w:szCs w:val="22"/>
        </w:rPr>
        <w:t xml:space="preserve"> no emitió respuesta a la solicitud de información, dentro del plazo legal previsto para ello.</w:t>
      </w:r>
    </w:p>
    <w:p w14:paraId="695D5832" w14:textId="77777777" w:rsidR="00556E8E" w:rsidRPr="006F0DCC" w:rsidRDefault="00556E8E">
      <w:pPr>
        <w:spacing w:line="360" w:lineRule="auto"/>
        <w:jc w:val="both"/>
        <w:rPr>
          <w:rFonts w:ascii="Palatino Linotype" w:eastAsia="Palatino Linotype" w:hAnsi="Palatino Linotype" w:cs="Palatino Linotype"/>
          <w:sz w:val="22"/>
          <w:szCs w:val="22"/>
        </w:rPr>
      </w:pPr>
    </w:p>
    <w:p w14:paraId="3D0D6B47" w14:textId="77777777" w:rsidR="00556E8E" w:rsidRPr="006F0DCC" w:rsidRDefault="000C60F7">
      <w:pPr>
        <w:spacing w:line="360" w:lineRule="auto"/>
        <w:jc w:val="both"/>
        <w:rPr>
          <w:rFonts w:ascii="Palatino Linotype" w:eastAsia="Palatino Linotype" w:hAnsi="Palatino Linotype" w:cs="Palatino Linotype"/>
          <w:sz w:val="22"/>
          <w:szCs w:val="22"/>
        </w:rPr>
      </w:pPr>
      <w:r w:rsidRPr="006F0DCC">
        <w:rPr>
          <w:rFonts w:ascii="Palatino Linotype" w:eastAsia="Palatino Linotype" w:hAnsi="Palatino Linotype" w:cs="Palatino Linotype"/>
          <w:sz w:val="22"/>
          <w:szCs w:val="22"/>
        </w:rPr>
        <w:t xml:space="preserve">Previo a exponer los argumentos que justifiquen la afirmación que antecede, es necesario precisar que, del análisis realizado a la solicitud formulada por la parte </w:t>
      </w:r>
      <w:r w:rsidRPr="006F0DCC">
        <w:rPr>
          <w:rFonts w:ascii="Palatino Linotype" w:eastAsia="Palatino Linotype" w:hAnsi="Palatino Linotype" w:cs="Palatino Linotype"/>
          <w:b/>
          <w:bCs/>
          <w:sz w:val="22"/>
          <w:szCs w:val="22"/>
        </w:rPr>
        <w:t>Recurrente</w:t>
      </w:r>
      <w:r w:rsidRPr="006F0DCC">
        <w:rPr>
          <w:rFonts w:ascii="Palatino Linotype" w:eastAsia="Palatino Linotype" w:hAnsi="Palatino Linotype" w:cs="Palatino Linotype"/>
          <w:sz w:val="22"/>
          <w:szCs w:val="22"/>
        </w:rPr>
        <w:t xml:space="preserve">, se advierte que requirió al </w:t>
      </w:r>
      <w:r w:rsidRPr="006F0DCC">
        <w:rPr>
          <w:rFonts w:ascii="Palatino Linotype" w:eastAsia="Palatino Linotype" w:hAnsi="Palatino Linotype" w:cs="Palatino Linotype"/>
          <w:b/>
          <w:bCs/>
          <w:sz w:val="22"/>
          <w:szCs w:val="22"/>
        </w:rPr>
        <w:t>Sujeto Obligado</w:t>
      </w:r>
      <w:r w:rsidRPr="006F0DCC">
        <w:rPr>
          <w:rFonts w:ascii="Palatino Linotype" w:eastAsia="Palatino Linotype" w:hAnsi="Palatino Linotype" w:cs="Palatino Linotype"/>
          <w:sz w:val="22"/>
          <w:szCs w:val="22"/>
        </w:rPr>
        <w:t xml:space="preserve"> le proporcionara, información consistente en lo siguiente:</w:t>
      </w:r>
    </w:p>
    <w:p w14:paraId="46D958F6" w14:textId="77777777" w:rsidR="00556E8E" w:rsidRPr="006F0DCC" w:rsidRDefault="00556E8E">
      <w:pPr>
        <w:spacing w:line="360" w:lineRule="auto"/>
        <w:jc w:val="both"/>
        <w:rPr>
          <w:rFonts w:ascii="Palatino Linotype" w:eastAsia="Palatino Linotype" w:hAnsi="Palatino Linotype" w:cs="Palatino Linotype"/>
          <w:sz w:val="22"/>
          <w:szCs w:val="22"/>
        </w:rPr>
      </w:pPr>
    </w:p>
    <w:p w14:paraId="1B36AADD" w14:textId="77777777" w:rsidR="00556E8E" w:rsidRPr="006F0DCC" w:rsidRDefault="000C60F7">
      <w:pPr>
        <w:pBdr>
          <w:top w:val="nil"/>
          <w:left w:val="nil"/>
          <w:bottom w:val="nil"/>
          <w:right w:val="nil"/>
          <w:between w:val="nil"/>
        </w:pBdr>
        <w:spacing w:line="360" w:lineRule="auto"/>
        <w:ind w:left="720"/>
        <w:jc w:val="both"/>
        <w:rPr>
          <w:rFonts w:ascii="Palatino Linotype" w:eastAsia="Palatino Linotype" w:hAnsi="Palatino Linotype" w:cs="Palatino Linotype"/>
          <w:i/>
          <w:iCs/>
          <w:sz w:val="22"/>
          <w:szCs w:val="22"/>
        </w:rPr>
      </w:pPr>
      <w:r w:rsidRPr="006F0DCC">
        <w:rPr>
          <w:rFonts w:ascii="Palatino Linotype" w:eastAsia="Palatino Linotype" w:hAnsi="Palatino Linotype" w:cs="Palatino Linotype"/>
          <w:i/>
          <w:iCs/>
          <w:sz w:val="22"/>
          <w:szCs w:val="22"/>
        </w:rPr>
        <w:t xml:space="preserve">“Informe, de manera exhaustiva y bajo protesta de decir verdad, la ruta completa que siguieron todos los recursos públicos ejercidos por la Dirección de Desarrollo Económico durante los ejercicios fiscales 2025 y 2026, desde su aprobación presupuestal hasta su destino final, incluyendo obligatoriamente: a) presupuesto aprobado, modificado y ejercido por programa o acción; b) subejercicios, reasignaciones y reintegros, indicando causas y autorizaciones; c) pagos efectuados por Tesorería (fecha, monto y cuenta bancaria de salida); d) contratos celebrados, indicando proveedor, RFC, monto, forma de adjudicación, partidas presupuestales y servidores públicos responsables; e) apoyos, incentivos o beneficios otorgados a personas físicas o morales, señalando nombre, RFC/CURP, monto, programa, fecha, expediente de elegibilidad y funcionario autorizante; f) transferencias realizadas a </w:t>
      </w:r>
      <w:r w:rsidRPr="006F0DCC">
        <w:rPr>
          <w:rFonts w:ascii="Palatino Linotype" w:eastAsia="Palatino Linotype" w:hAnsi="Palatino Linotype" w:cs="Palatino Linotype"/>
          <w:i/>
          <w:iCs/>
          <w:sz w:val="22"/>
          <w:szCs w:val="22"/>
        </w:rPr>
        <w:lastRenderedPageBreak/>
        <w:t>organismos descentralizados, asociaciones, cámaras empresariales, fideicomisos o terceros; g) bienes o servicios efectivamente recibidos por el municipio y resultados reportados; h) auditorías, revisiones u observaciones relacionadas con dichos recursos y su estatus. Para cada rubro adjunte la documentación comprobatoria correspondiente. En caso de que se declare inexistencia total o parcial de información, indique: – áreas que realizaron la búsqueda, – archivos físicos y electrónicos revisados, – periodo exacto analizado, – y nombre y cargo del servidor público que certifica dicha inexistencia.” (Sic)</w:t>
      </w:r>
    </w:p>
    <w:p w14:paraId="1B459D6E" w14:textId="77777777" w:rsidR="00556E8E" w:rsidRPr="006F0DCC" w:rsidRDefault="00556E8E">
      <w:pPr>
        <w:pBdr>
          <w:top w:val="nil"/>
          <w:left w:val="nil"/>
          <w:bottom w:val="nil"/>
          <w:right w:val="nil"/>
          <w:between w:val="nil"/>
        </w:pBdr>
        <w:spacing w:line="360" w:lineRule="auto"/>
        <w:ind w:left="720"/>
        <w:jc w:val="both"/>
        <w:rPr>
          <w:rFonts w:ascii="Palatino Linotype" w:eastAsia="Palatino Linotype" w:hAnsi="Palatino Linotype" w:cs="Palatino Linotype"/>
          <w:b/>
          <w:bCs/>
          <w:i/>
          <w:iCs/>
          <w:sz w:val="22"/>
          <w:szCs w:val="22"/>
        </w:rPr>
      </w:pPr>
    </w:p>
    <w:p w14:paraId="58B540D4" w14:textId="77777777" w:rsidR="00556E8E" w:rsidRPr="006F0DCC" w:rsidRDefault="000C60F7">
      <w:pPr>
        <w:spacing w:line="360" w:lineRule="auto"/>
        <w:jc w:val="both"/>
        <w:rPr>
          <w:rFonts w:ascii="Palatino Linotype" w:eastAsia="Palatino Linotype" w:hAnsi="Palatino Linotype" w:cs="Palatino Linotype"/>
          <w:sz w:val="22"/>
          <w:szCs w:val="22"/>
        </w:rPr>
      </w:pPr>
      <w:r w:rsidRPr="006F0DCC">
        <w:rPr>
          <w:rFonts w:ascii="Palatino Linotype" w:eastAsia="Palatino Linotype" w:hAnsi="Palatino Linotype" w:cs="Palatino Linotype"/>
          <w:sz w:val="22"/>
          <w:szCs w:val="22"/>
        </w:rPr>
        <w:t>Precisado lo anterior, se procede al análisis del presente recurso, así como al contenido íntegro de las actuaciones que obran en el expediente electrónico, para así estar en posibilidad este Organismo Garante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14:paraId="3C84E3E0" w14:textId="77777777" w:rsidR="00556E8E" w:rsidRPr="006F0DCC" w:rsidRDefault="00556E8E">
      <w:pPr>
        <w:spacing w:line="360" w:lineRule="auto"/>
        <w:jc w:val="both"/>
        <w:rPr>
          <w:rFonts w:ascii="Palatino Linotype" w:eastAsia="Palatino Linotype" w:hAnsi="Palatino Linotype" w:cs="Palatino Linotype"/>
          <w:sz w:val="22"/>
          <w:szCs w:val="22"/>
        </w:rPr>
      </w:pPr>
    </w:p>
    <w:p w14:paraId="5126E091" w14:textId="77777777" w:rsidR="00556E8E" w:rsidRPr="006F0DCC" w:rsidRDefault="000C60F7">
      <w:pPr>
        <w:tabs>
          <w:tab w:val="left" w:pos="709"/>
        </w:tabs>
        <w:spacing w:line="360" w:lineRule="auto"/>
        <w:jc w:val="both"/>
        <w:rPr>
          <w:rFonts w:ascii="Palatino Linotype" w:eastAsia="Palatino Linotype" w:hAnsi="Palatino Linotype" w:cs="Palatino Linotype"/>
          <w:sz w:val="22"/>
          <w:szCs w:val="22"/>
        </w:rPr>
      </w:pPr>
      <w:r w:rsidRPr="006F0DCC">
        <w:rPr>
          <w:rFonts w:ascii="Palatino Linotype" w:eastAsia="Palatino Linotype" w:hAnsi="Palatino Linotype" w:cs="Palatino Linotype"/>
          <w:sz w:val="22"/>
          <w:szCs w:val="22"/>
        </w:rPr>
        <w:t>En primer lugar, es menester mencionar que el derecho de acceso a la información está consagrado en instrumentos internacionales de los cuales el Estado Mexicano se ha adherido, sin oponer reserva alguna sobre lo que nos interesa, adoptando dichas disposiciones al Derecho Interno, específicamente a nivel Constitucional, tal y como lo prevén los arábigos 1 párrafos primero, segundo y tercero y 6 apartado A fracciones I, II, III, IV, V, VI y VII que a la letra señalan:</w:t>
      </w:r>
    </w:p>
    <w:p w14:paraId="5B81EC7F" w14:textId="77777777" w:rsidR="00556E8E" w:rsidRPr="006F0DCC" w:rsidRDefault="00556E8E">
      <w:pPr>
        <w:tabs>
          <w:tab w:val="left" w:pos="709"/>
        </w:tabs>
        <w:spacing w:line="360" w:lineRule="auto"/>
        <w:jc w:val="both"/>
        <w:rPr>
          <w:rFonts w:ascii="Palatino Linotype" w:eastAsia="Palatino Linotype" w:hAnsi="Palatino Linotype" w:cs="Palatino Linotype"/>
          <w:sz w:val="22"/>
          <w:szCs w:val="22"/>
        </w:rPr>
      </w:pPr>
    </w:p>
    <w:p w14:paraId="225AAB77" w14:textId="77777777" w:rsidR="00556E8E" w:rsidRPr="006F0DCC" w:rsidRDefault="000C60F7">
      <w:pPr>
        <w:tabs>
          <w:tab w:val="left" w:pos="709"/>
        </w:tabs>
        <w:spacing w:line="276" w:lineRule="auto"/>
        <w:ind w:left="567" w:right="851"/>
        <w:jc w:val="both"/>
        <w:rPr>
          <w:rFonts w:ascii="Palatino Linotype" w:eastAsia="Palatino Linotype" w:hAnsi="Palatino Linotype" w:cs="Palatino Linotype"/>
          <w:i/>
          <w:iCs/>
          <w:sz w:val="22"/>
          <w:szCs w:val="22"/>
        </w:rPr>
      </w:pPr>
      <w:r w:rsidRPr="006F0DCC">
        <w:rPr>
          <w:rFonts w:ascii="Palatino Linotype" w:eastAsia="Palatino Linotype" w:hAnsi="Palatino Linotype" w:cs="Palatino Linotype"/>
          <w:b/>
          <w:bCs/>
          <w:i/>
          <w:iCs/>
          <w:sz w:val="22"/>
          <w:szCs w:val="22"/>
          <w:u w:val="single"/>
        </w:rPr>
        <w:t>“Artículo 1o. En los Estados Unidos Mexicanos todas las personas gozarán de los derechos humanos reconocidos en esta Constitución y en los tratados internacionales de los que el Estado Mexicano sea parte</w:t>
      </w:r>
      <w:r w:rsidRPr="006F0DCC">
        <w:rPr>
          <w:rFonts w:ascii="Palatino Linotype" w:eastAsia="Palatino Linotype" w:hAnsi="Palatino Linotype" w:cs="Palatino Linotype"/>
          <w:i/>
          <w:iCs/>
          <w:sz w:val="22"/>
          <w:szCs w:val="22"/>
        </w:rPr>
        <w:t xml:space="preserve">, así como de las </w:t>
      </w:r>
      <w:r w:rsidRPr="006F0DCC">
        <w:rPr>
          <w:rFonts w:ascii="Palatino Linotype" w:eastAsia="Palatino Linotype" w:hAnsi="Palatino Linotype" w:cs="Palatino Linotype"/>
          <w:i/>
          <w:iCs/>
          <w:sz w:val="22"/>
          <w:szCs w:val="22"/>
        </w:rPr>
        <w:lastRenderedPageBreak/>
        <w:t>garantías para su protección, cuyo ejercicio no podrá restringirse ni suspenderse, salvo en los casos y bajo las condiciones que esta Constitución establece.</w:t>
      </w:r>
    </w:p>
    <w:p w14:paraId="0B70BA38" w14:textId="77777777" w:rsidR="00556E8E" w:rsidRPr="006F0DCC" w:rsidRDefault="000C60F7">
      <w:pPr>
        <w:tabs>
          <w:tab w:val="left" w:pos="709"/>
        </w:tabs>
        <w:spacing w:line="276" w:lineRule="auto"/>
        <w:ind w:left="567" w:right="851"/>
        <w:jc w:val="both"/>
        <w:rPr>
          <w:rFonts w:ascii="Palatino Linotype" w:eastAsia="Palatino Linotype" w:hAnsi="Palatino Linotype" w:cs="Palatino Linotype"/>
          <w:b/>
          <w:bCs/>
          <w:i/>
          <w:iCs/>
          <w:sz w:val="22"/>
          <w:szCs w:val="22"/>
        </w:rPr>
      </w:pPr>
      <w:r w:rsidRPr="006F0DCC">
        <w:rPr>
          <w:rFonts w:ascii="Palatino Linotype" w:eastAsia="Palatino Linotype" w:hAnsi="Palatino Linotype" w:cs="Palatino Linotype"/>
          <w:b/>
          <w:bCs/>
          <w:i/>
          <w:iCs/>
          <w:sz w:val="22"/>
          <w:szCs w:val="22"/>
        </w:rPr>
        <w:t>Las normas relativas a los derechos humanos se interpretarán de conformidad con esta Constitución y con los tratados internacionales de la materia favoreciendo en todo tiempo a las personas la protección más amplia.</w:t>
      </w:r>
    </w:p>
    <w:p w14:paraId="7EA49C7B" w14:textId="77777777" w:rsidR="00556E8E" w:rsidRPr="006F0DCC" w:rsidRDefault="000C60F7">
      <w:pPr>
        <w:tabs>
          <w:tab w:val="left" w:pos="709"/>
        </w:tabs>
        <w:spacing w:line="276" w:lineRule="auto"/>
        <w:ind w:left="567" w:right="851"/>
        <w:jc w:val="both"/>
        <w:rPr>
          <w:rFonts w:ascii="Palatino Linotype" w:eastAsia="Palatino Linotype" w:hAnsi="Palatino Linotype" w:cs="Palatino Linotype"/>
          <w:i/>
          <w:iCs/>
          <w:sz w:val="22"/>
          <w:szCs w:val="22"/>
        </w:rPr>
      </w:pPr>
      <w:r w:rsidRPr="006F0DCC">
        <w:rPr>
          <w:rFonts w:ascii="Palatino Linotype" w:eastAsia="Palatino Linotype" w:hAnsi="Palatino Linotype" w:cs="Palatino Linotype"/>
          <w:b/>
          <w:bCs/>
          <w:i/>
          <w:iCs/>
          <w:sz w:val="22"/>
          <w:szCs w:val="22"/>
          <w:u w:val="single"/>
        </w:rPr>
        <w:t>Todas las autoridades, en el ámbito de sus competencias, tienen la obligación de promover, respetar, proteger y garantizar los derechos humanos de conformidad con los principios de universalidad, interdependencia, indivisibilidad y progresividad.</w:t>
      </w:r>
      <w:r w:rsidRPr="006F0DCC">
        <w:rPr>
          <w:rFonts w:ascii="Palatino Linotype" w:eastAsia="Palatino Linotype" w:hAnsi="Palatino Linotype" w:cs="Palatino Linotype"/>
          <w:i/>
          <w:iCs/>
          <w:sz w:val="22"/>
          <w:szCs w:val="22"/>
        </w:rPr>
        <w:t xml:space="preserve"> En consecuencia, el Estado deberá prevenir, investigar, sancionar y reparar las violaciones a los derechos humanos, en los términos que establezca la ley</w:t>
      </w:r>
    </w:p>
    <w:p w14:paraId="0C1405FC" w14:textId="77777777" w:rsidR="00556E8E" w:rsidRPr="006F0DCC" w:rsidRDefault="000C60F7">
      <w:pPr>
        <w:tabs>
          <w:tab w:val="left" w:pos="709"/>
        </w:tabs>
        <w:spacing w:line="276" w:lineRule="auto"/>
        <w:ind w:left="567" w:right="851"/>
        <w:jc w:val="both"/>
        <w:rPr>
          <w:rFonts w:ascii="Palatino Linotype" w:eastAsia="Palatino Linotype" w:hAnsi="Palatino Linotype" w:cs="Palatino Linotype"/>
          <w:i/>
          <w:iCs/>
          <w:sz w:val="22"/>
          <w:szCs w:val="22"/>
        </w:rPr>
      </w:pPr>
      <w:r w:rsidRPr="006F0DCC">
        <w:rPr>
          <w:rFonts w:ascii="Palatino Linotype" w:eastAsia="Palatino Linotype" w:hAnsi="Palatino Linotype" w:cs="Palatino Linotype"/>
          <w:i/>
          <w:iCs/>
          <w:sz w:val="22"/>
          <w:szCs w:val="22"/>
        </w:rPr>
        <w:t>[…]</w:t>
      </w:r>
    </w:p>
    <w:p w14:paraId="77364C37" w14:textId="77777777" w:rsidR="00556E8E" w:rsidRPr="006F0DCC" w:rsidRDefault="000C60F7">
      <w:pPr>
        <w:spacing w:line="276" w:lineRule="auto"/>
        <w:ind w:left="567" w:right="851"/>
        <w:jc w:val="both"/>
        <w:rPr>
          <w:rFonts w:ascii="Palatino Linotype" w:eastAsia="Palatino Linotype" w:hAnsi="Palatino Linotype" w:cs="Palatino Linotype"/>
          <w:i/>
          <w:iCs/>
          <w:sz w:val="22"/>
          <w:szCs w:val="22"/>
        </w:rPr>
      </w:pPr>
      <w:r w:rsidRPr="006F0DCC">
        <w:rPr>
          <w:rFonts w:ascii="Palatino Linotype" w:eastAsia="Palatino Linotype" w:hAnsi="Palatino Linotype" w:cs="Palatino Linotype"/>
          <w:b/>
          <w:bCs/>
          <w:i/>
          <w:iCs/>
          <w:sz w:val="22"/>
          <w:szCs w:val="22"/>
        </w:rPr>
        <w:t>“Artículo 6o.</w:t>
      </w:r>
    </w:p>
    <w:p w14:paraId="7916D89B" w14:textId="77777777" w:rsidR="00556E8E" w:rsidRPr="006F0DCC" w:rsidRDefault="000C60F7">
      <w:pPr>
        <w:spacing w:line="276" w:lineRule="auto"/>
        <w:ind w:left="567" w:right="851"/>
        <w:jc w:val="both"/>
        <w:rPr>
          <w:rFonts w:ascii="Palatino Linotype" w:eastAsia="Palatino Linotype" w:hAnsi="Palatino Linotype" w:cs="Palatino Linotype"/>
          <w:i/>
          <w:iCs/>
          <w:sz w:val="22"/>
          <w:szCs w:val="22"/>
        </w:rPr>
      </w:pPr>
      <w:r w:rsidRPr="006F0DCC">
        <w:rPr>
          <w:rFonts w:ascii="Palatino Linotype" w:eastAsia="Palatino Linotype" w:hAnsi="Palatino Linotype" w:cs="Palatino Linotype"/>
          <w:i/>
          <w:iCs/>
          <w:sz w:val="22"/>
          <w:szCs w:val="22"/>
        </w:rPr>
        <w:t>[...]</w:t>
      </w:r>
    </w:p>
    <w:p w14:paraId="7C80B175" w14:textId="77777777" w:rsidR="00556E8E" w:rsidRPr="006F0DCC" w:rsidRDefault="000C60F7">
      <w:pPr>
        <w:spacing w:line="276" w:lineRule="auto"/>
        <w:ind w:left="567" w:right="851"/>
        <w:jc w:val="both"/>
        <w:rPr>
          <w:rFonts w:ascii="Palatino Linotype" w:eastAsia="Palatino Linotype" w:hAnsi="Palatino Linotype" w:cs="Palatino Linotype"/>
          <w:i/>
          <w:iCs/>
          <w:sz w:val="22"/>
          <w:szCs w:val="22"/>
        </w:rPr>
      </w:pPr>
      <w:r w:rsidRPr="006F0DCC">
        <w:rPr>
          <w:rFonts w:ascii="Palatino Linotype" w:eastAsia="Palatino Linotype" w:hAnsi="Palatino Linotype" w:cs="Palatino Linotype"/>
          <w:b/>
          <w:bCs/>
          <w:i/>
          <w:iCs/>
          <w:sz w:val="22"/>
          <w:szCs w:val="22"/>
        </w:rPr>
        <w:t xml:space="preserve">A. Para el ejercicio del derecho de acceso a la información, la Federación y </w:t>
      </w:r>
      <w:r w:rsidRPr="006F0DCC">
        <w:rPr>
          <w:rFonts w:ascii="Palatino Linotype" w:eastAsia="Palatino Linotype" w:hAnsi="Palatino Linotype" w:cs="Palatino Linotype"/>
          <w:b/>
          <w:bCs/>
          <w:i/>
          <w:iCs/>
          <w:sz w:val="22"/>
          <w:szCs w:val="22"/>
          <w:u w:val="single"/>
        </w:rPr>
        <w:t>las entidades federativas</w:t>
      </w:r>
      <w:r w:rsidRPr="006F0DCC">
        <w:rPr>
          <w:rFonts w:ascii="Palatino Linotype" w:eastAsia="Palatino Linotype" w:hAnsi="Palatino Linotype" w:cs="Palatino Linotype"/>
          <w:b/>
          <w:bCs/>
          <w:i/>
          <w:iCs/>
          <w:sz w:val="22"/>
          <w:szCs w:val="22"/>
        </w:rPr>
        <w:t>,</w:t>
      </w:r>
      <w:r w:rsidRPr="006F0DCC">
        <w:rPr>
          <w:rFonts w:ascii="Palatino Linotype" w:eastAsia="Palatino Linotype" w:hAnsi="Palatino Linotype" w:cs="Palatino Linotype"/>
          <w:i/>
          <w:iCs/>
          <w:sz w:val="22"/>
          <w:szCs w:val="22"/>
        </w:rPr>
        <w:t xml:space="preserve"> en el ámbito de sus respectivas competencias, se regirán por los siguientes principios y bases:</w:t>
      </w:r>
    </w:p>
    <w:p w14:paraId="7024DF25" w14:textId="77777777" w:rsidR="00556E8E" w:rsidRPr="006F0DCC" w:rsidRDefault="000C60F7">
      <w:pPr>
        <w:spacing w:line="276" w:lineRule="auto"/>
        <w:ind w:left="567" w:right="851"/>
        <w:jc w:val="both"/>
        <w:rPr>
          <w:rFonts w:ascii="Palatino Linotype" w:eastAsia="Palatino Linotype" w:hAnsi="Palatino Linotype" w:cs="Palatino Linotype"/>
          <w:i/>
          <w:iCs/>
          <w:sz w:val="22"/>
          <w:szCs w:val="22"/>
        </w:rPr>
      </w:pPr>
      <w:r w:rsidRPr="006F0DCC">
        <w:rPr>
          <w:rFonts w:ascii="Palatino Linotype" w:eastAsia="Palatino Linotype" w:hAnsi="Palatino Linotype" w:cs="Palatino Linotype"/>
          <w:b/>
          <w:bCs/>
          <w:i/>
          <w:iCs/>
          <w:sz w:val="22"/>
          <w:szCs w:val="22"/>
        </w:rPr>
        <w:t xml:space="preserve">I. </w:t>
      </w:r>
      <w:r w:rsidRPr="006F0DCC">
        <w:rPr>
          <w:rFonts w:ascii="Palatino Linotype" w:eastAsia="Palatino Linotype" w:hAnsi="Palatino Linotype" w:cs="Palatino Linotype"/>
          <w:b/>
          <w:bCs/>
          <w:i/>
          <w:iCs/>
          <w:sz w:val="22"/>
          <w:szCs w:val="22"/>
          <w:u w:val="single"/>
        </w:rPr>
        <w:t>Toda la información en posesión de cualquier autoridad, entidad, órgano y organismo de los Poderes</w:t>
      </w:r>
      <w:r w:rsidRPr="006F0DCC">
        <w:rPr>
          <w:rFonts w:ascii="Palatino Linotype" w:eastAsia="Palatino Linotype" w:hAnsi="Palatino Linotype" w:cs="Palatino Linotype"/>
          <w:i/>
          <w:iCs/>
          <w:sz w:val="22"/>
          <w:szCs w:val="22"/>
        </w:rPr>
        <w:t xml:space="preserve"> Ejecutivo, Legislativo </w:t>
      </w:r>
      <w:r w:rsidRPr="006F0DCC">
        <w:rPr>
          <w:rFonts w:ascii="Palatino Linotype" w:eastAsia="Palatino Linotype" w:hAnsi="Palatino Linotype" w:cs="Palatino Linotype"/>
          <w:b/>
          <w:bCs/>
          <w:i/>
          <w:iCs/>
          <w:sz w:val="22"/>
          <w:szCs w:val="22"/>
          <w:u w:val="single"/>
        </w:rPr>
        <w:t>y Judicial</w:t>
      </w:r>
      <w:r w:rsidRPr="006F0DCC">
        <w:rPr>
          <w:rFonts w:ascii="Palatino Linotype" w:eastAsia="Palatino Linotype" w:hAnsi="Palatino Linotype" w:cs="Palatino Linotype"/>
          <w:i/>
          <w:iCs/>
          <w:sz w:val="22"/>
          <w:szCs w:val="22"/>
        </w:rPr>
        <w:t xml:space="preserve">, órganos autónomos, partidos políticos, fideicomisos y fondos públicos, así como de cualquier persona física, moral o sindicato que reciba y ejerza recursos públicos o realice actos de autoridad en el ámbito federal, estatal y municipal, </w:t>
      </w:r>
      <w:r w:rsidRPr="006F0DCC">
        <w:rPr>
          <w:rFonts w:ascii="Palatino Linotype" w:eastAsia="Palatino Linotype" w:hAnsi="Palatino Linotype" w:cs="Palatino Linotype"/>
          <w:b/>
          <w:bCs/>
          <w:i/>
          <w:iCs/>
          <w:sz w:val="22"/>
          <w:szCs w:val="22"/>
        </w:rPr>
        <w:t>es pública y sólo podrá ser reservada temporalmente por razones de interés público y seguridad nacional,</w:t>
      </w:r>
      <w:r w:rsidRPr="006F0DCC">
        <w:rPr>
          <w:rFonts w:ascii="Palatino Linotype" w:eastAsia="Palatino Linotype" w:hAnsi="Palatino Linotype" w:cs="Palatino Linotype"/>
          <w:i/>
          <w:iCs/>
          <w:sz w:val="22"/>
          <w:szCs w:val="22"/>
        </w:rPr>
        <w:t xml:space="preserve">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51918234" w14:textId="77777777" w:rsidR="00556E8E" w:rsidRPr="006F0DCC" w:rsidRDefault="000C60F7">
      <w:pPr>
        <w:spacing w:line="276" w:lineRule="auto"/>
        <w:ind w:left="567" w:right="851"/>
        <w:jc w:val="both"/>
        <w:rPr>
          <w:rFonts w:ascii="Palatino Linotype" w:eastAsia="Palatino Linotype" w:hAnsi="Palatino Linotype" w:cs="Palatino Linotype"/>
          <w:b/>
          <w:bCs/>
          <w:i/>
          <w:iCs/>
          <w:sz w:val="22"/>
          <w:szCs w:val="22"/>
        </w:rPr>
      </w:pPr>
      <w:r w:rsidRPr="006F0DCC">
        <w:rPr>
          <w:rFonts w:ascii="Palatino Linotype" w:eastAsia="Palatino Linotype" w:hAnsi="Palatino Linotype" w:cs="Palatino Linotype"/>
          <w:b/>
          <w:bCs/>
          <w:i/>
          <w:iCs/>
          <w:sz w:val="22"/>
          <w:szCs w:val="22"/>
        </w:rPr>
        <w:t>II. La información que se refiere a la vida privada y los datos personales será protegida en los términos y con las excepciones que fijen las leyes.</w:t>
      </w:r>
    </w:p>
    <w:p w14:paraId="563CF728" w14:textId="77777777" w:rsidR="00556E8E" w:rsidRPr="006F0DCC" w:rsidRDefault="000C60F7">
      <w:pPr>
        <w:spacing w:line="276" w:lineRule="auto"/>
        <w:ind w:left="567" w:right="851"/>
        <w:jc w:val="both"/>
        <w:rPr>
          <w:rFonts w:ascii="Palatino Linotype" w:eastAsia="Palatino Linotype" w:hAnsi="Palatino Linotype" w:cs="Palatino Linotype"/>
          <w:i/>
          <w:iCs/>
          <w:sz w:val="22"/>
          <w:szCs w:val="22"/>
        </w:rPr>
      </w:pPr>
      <w:r w:rsidRPr="006F0DCC">
        <w:rPr>
          <w:rFonts w:ascii="Palatino Linotype" w:eastAsia="Palatino Linotype" w:hAnsi="Palatino Linotype" w:cs="Palatino Linotype"/>
          <w:b/>
          <w:bCs/>
          <w:i/>
          <w:iCs/>
          <w:sz w:val="22"/>
          <w:szCs w:val="22"/>
        </w:rPr>
        <w:t xml:space="preserve">III. </w:t>
      </w:r>
      <w:r w:rsidRPr="006F0DCC">
        <w:rPr>
          <w:rFonts w:ascii="Palatino Linotype" w:eastAsia="Palatino Linotype" w:hAnsi="Palatino Linotype" w:cs="Palatino Linotype"/>
          <w:b/>
          <w:bCs/>
          <w:i/>
          <w:iCs/>
          <w:sz w:val="22"/>
          <w:szCs w:val="22"/>
          <w:u w:val="single"/>
        </w:rPr>
        <w:t>Toda persona, sin necesidad de acreditar interés alguno o justificar su utilización, tendrá acceso gratuito a la información pública,</w:t>
      </w:r>
      <w:r w:rsidRPr="006F0DCC">
        <w:rPr>
          <w:rFonts w:ascii="Palatino Linotype" w:eastAsia="Palatino Linotype" w:hAnsi="Palatino Linotype" w:cs="Palatino Linotype"/>
          <w:i/>
          <w:iCs/>
          <w:sz w:val="22"/>
          <w:szCs w:val="22"/>
        </w:rPr>
        <w:t xml:space="preserve"> a sus datos personales o a la rectificación de éstos.</w:t>
      </w:r>
    </w:p>
    <w:p w14:paraId="7BE29371" w14:textId="77777777" w:rsidR="00556E8E" w:rsidRPr="006F0DCC" w:rsidRDefault="000C60F7">
      <w:pPr>
        <w:spacing w:line="276" w:lineRule="auto"/>
        <w:ind w:left="567" w:right="851"/>
        <w:jc w:val="both"/>
        <w:rPr>
          <w:rFonts w:ascii="Palatino Linotype" w:eastAsia="Palatino Linotype" w:hAnsi="Palatino Linotype" w:cs="Palatino Linotype"/>
          <w:i/>
          <w:iCs/>
          <w:sz w:val="22"/>
          <w:szCs w:val="22"/>
        </w:rPr>
      </w:pPr>
      <w:r w:rsidRPr="006F0DCC">
        <w:rPr>
          <w:rFonts w:ascii="Palatino Linotype" w:eastAsia="Palatino Linotype" w:hAnsi="Palatino Linotype" w:cs="Palatino Linotype"/>
          <w:b/>
          <w:bCs/>
          <w:i/>
          <w:iCs/>
          <w:sz w:val="22"/>
          <w:szCs w:val="22"/>
        </w:rPr>
        <w:lastRenderedPageBreak/>
        <w:t>IV.</w:t>
      </w:r>
      <w:r w:rsidRPr="006F0DCC">
        <w:rPr>
          <w:rFonts w:ascii="Palatino Linotype" w:eastAsia="Palatino Linotype" w:hAnsi="Palatino Linotype" w:cs="Palatino Linotype"/>
          <w:i/>
          <w:iCs/>
          <w:sz w:val="22"/>
          <w:szCs w:val="22"/>
        </w:rPr>
        <w:t xml:space="preserve"> Se establecerán mecanismos de acceso a la información pública y procedimientos de revisión expeditos que se sustanciarán ante las instancias competentes en los términos que fija esta Constitución y las leyes.</w:t>
      </w:r>
    </w:p>
    <w:p w14:paraId="3E3F550E" w14:textId="77777777" w:rsidR="00556E8E" w:rsidRPr="006F0DCC" w:rsidRDefault="000C60F7">
      <w:pPr>
        <w:spacing w:line="276" w:lineRule="auto"/>
        <w:ind w:left="567" w:right="851"/>
        <w:jc w:val="both"/>
        <w:rPr>
          <w:rFonts w:ascii="Palatino Linotype" w:eastAsia="Palatino Linotype" w:hAnsi="Palatino Linotype" w:cs="Palatino Linotype"/>
          <w:i/>
          <w:iCs/>
          <w:sz w:val="22"/>
          <w:szCs w:val="22"/>
        </w:rPr>
      </w:pPr>
      <w:r w:rsidRPr="006F0DCC">
        <w:rPr>
          <w:rFonts w:ascii="Palatino Linotype" w:eastAsia="Palatino Linotype" w:hAnsi="Palatino Linotype" w:cs="Palatino Linotype"/>
          <w:b/>
          <w:bCs/>
          <w:i/>
          <w:iCs/>
          <w:sz w:val="22"/>
          <w:szCs w:val="22"/>
        </w:rPr>
        <w:t xml:space="preserve">V. </w:t>
      </w:r>
      <w:r w:rsidRPr="006F0DCC">
        <w:rPr>
          <w:rFonts w:ascii="Palatino Linotype" w:eastAsia="Palatino Linotype" w:hAnsi="Palatino Linotype" w:cs="Palatino Linotype"/>
          <w:i/>
          <w:iCs/>
          <w:sz w:val="22"/>
          <w:szCs w:val="22"/>
        </w:rPr>
        <w:t>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de los resultados obtenidos.</w:t>
      </w:r>
    </w:p>
    <w:p w14:paraId="1EAECF6E" w14:textId="77777777" w:rsidR="00556E8E" w:rsidRPr="006F0DCC" w:rsidRDefault="00556E8E">
      <w:pPr>
        <w:spacing w:line="276" w:lineRule="auto"/>
        <w:ind w:left="567" w:right="851"/>
        <w:jc w:val="both"/>
        <w:rPr>
          <w:rFonts w:ascii="Palatino Linotype" w:eastAsia="Palatino Linotype" w:hAnsi="Palatino Linotype" w:cs="Palatino Linotype"/>
          <w:b/>
          <w:bCs/>
          <w:i/>
          <w:iCs/>
          <w:sz w:val="22"/>
          <w:szCs w:val="22"/>
        </w:rPr>
      </w:pPr>
    </w:p>
    <w:p w14:paraId="33588488" w14:textId="77777777" w:rsidR="00556E8E" w:rsidRPr="006F0DCC" w:rsidRDefault="00556E8E">
      <w:pPr>
        <w:spacing w:line="360" w:lineRule="auto"/>
        <w:ind w:left="567" w:right="851"/>
        <w:jc w:val="both"/>
        <w:rPr>
          <w:rFonts w:ascii="Palatino Linotype" w:eastAsia="Palatino Linotype" w:hAnsi="Palatino Linotype" w:cs="Palatino Linotype"/>
          <w:i/>
          <w:iCs/>
          <w:sz w:val="22"/>
          <w:szCs w:val="22"/>
        </w:rPr>
      </w:pPr>
    </w:p>
    <w:p w14:paraId="65E11984" w14:textId="77777777" w:rsidR="00556E8E" w:rsidRPr="006F0DCC" w:rsidRDefault="000C60F7">
      <w:pPr>
        <w:tabs>
          <w:tab w:val="left" w:pos="709"/>
        </w:tabs>
        <w:spacing w:line="360" w:lineRule="auto"/>
        <w:jc w:val="both"/>
        <w:rPr>
          <w:rFonts w:ascii="Palatino Linotype" w:eastAsia="Palatino Linotype" w:hAnsi="Palatino Linotype" w:cs="Palatino Linotype"/>
          <w:sz w:val="22"/>
          <w:szCs w:val="22"/>
        </w:rPr>
      </w:pPr>
      <w:r w:rsidRPr="006F0DCC">
        <w:rPr>
          <w:rFonts w:ascii="Palatino Linotype" w:eastAsia="Palatino Linotype" w:hAnsi="Palatino Linotype" w:cs="Palatino Linotype"/>
          <w:sz w:val="22"/>
          <w:szCs w:val="22"/>
        </w:rPr>
        <w:t>Así, de la interpretación sistémica de los numerales inmersos en el instrumento legal nacional, el derecho de acceso a la información es un derecho del cual goza toda persona sin discriminación alguna, el cual se ejerce ante los Poderes del Estado, entidades, dependencias o cualquiera persona física o moral que reciba y ejerza recursos públicos, siendo pública toda la información que posean con las excepciones enmarcadas, para lo cual queda demostrado que los Sujetos Obligados deben cumplir con dichos dispositivos legales.</w:t>
      </w:r>
    </w:p>
    <w:p w14:paraId="079CBB11" w14:textId="77777777" w:rsidR="00556E8E" w:rsidRPr="006F0DCC" w:rsidRDefault="00556E8E">
      <w:pPr>
        <w:tabs>
          <w:tab w:val="left" w:pos="709"/>
        </w:tabs>
        <w:spacing w:line="360" w:lineRule="auto"/>
        <w:jc w:val="both"/>
        <w:rPr>
          <w:rFonts w:ascii="Palatino Linotype" w:eastAsia="Palatino Linotype" w:hAnsi="Palatino Linotype" w:cs="Palatino Linotype"/>
          <w:sz w:val="22"/>
          <w:szCs w:val="22"/>
        </w:rPr>
      </w:pPr>
    </w:p>
    <w:p w14:paraId="22C1340C" w14:textId="77777777" w:rsidR="00556E8E" w:rsidRPr="006F0DCC" w:rsidRDefault="000C60F7">
      <w:pPr>
        <w:spacing w:line="360" w:lineRule="auto"/>
        <w:jc w:val="both"/>
        <w:rPr>
          <w:rFonts w:ascii="Palatino Linotype" w:eastAsia="Palatino Linotype" w:hAnsi="Palatino Linotype" w:cs="Palatino Linotype"/>
          <w:sz w:val="22"/>
          <w:szCs w:val="22"/>
        </w:rPr>
      </w:pPr>
      <w:r w:rsidRPr="006F0DCC">
        <w:rPr>
          <w:rFonts w:ascii="Palatino Linotype" w:eastAsia="Palatino Linotype" w:hAnsi="Palatino Linotype" w:cs="Palatino Linotype"/>
          <w:sz w:val="22"/>
          <w:szCs w:val="22"/>
        </w:rPr>
        <w:t>En ese orden de ideas, la Ley de Transparencia y Acceso a la Información Pública del Estado de México y Municipios, prevé en su artículo 23, lo siguiente:</w:t>
      </w:r>
    </w:p>
    <w:p w14:paraId="68F68507" w14:textId="77777777" w:rsidR="00556E8E" w:rsidRPr="006F0DCC" w:rsidRDefault="00556E8E">
      <w:pPr>
        <w:spacing w:line="360" w:lineRule="auto"/>
        <w:jc w:val="both"/>
        <w:rPr>
          <w:rFonts w:ascii="Palatino Linotype" w:eastAsia="Palatino Linotype" w:hAnsi="Palatino Linotype" w:cs="Palatino Linotype"/>
          <w:sz w:val="22"/>
          <w:szCs w:val="22"/>
        </w:rPr>
      </w:pPr>
    </w:p>
    <w:p w14:paraId="545A411F" w14:textId="77777777" w:rsidR="00556E8E" w:rsidRPr="006F0DCC" w:rsidRDefault="000C60F7">
      <w:pPr>
        <w:tabs>
          <w:tab w:val="left" w:pos="7655"/>
        </w:tabs>
        <w:spacing w:line="276" w:lineRule="auto"/>
        <w:ind w:left="567" w:right="616"/>
        <w:jc w:val="both"/>
        <w:rPr>
          <w:rFonts w:ascii="Palatino Linotype" w:eastAsia="Palatino Linotype" w:hAnsi="Palatino Linotype" w:cs="Palatino Linotype"/>
          <w:i/>
          <w:iCs/>
          <w:sz w:val="22"/>
          <w:szCs w:val="22"/>
        </w:rPr>
      </w:pPr>
      <w:r w:rsidRPr="006F0DCC">
        <w:rPr>
          <w:rFonts w:ascii="Palatino Linotype" w:eastAsia="Palatino Linotype" w:hAnsi="Palatino Linotype" w:cs="Palatino Linotype"/>
          <w:i/>
          <w:iCs/>
          <w:sz w:val="22"/>
          <w:szCs w:val="22"/>
        </w:rPr>
        <w:t>“</w:t>
      </w:r>
      <w:r w:rsidRPr="006F0DCC">
        <w:rPr>
          <w:rFonts w:ascii="Palatino Linotype" w:eastAsia="Palatino Linotype" w:hAnsi="Palatino Linotype" w:cs="Palatino Linotype"/>
          <w:b/>
          <w:bCs/>
          <w:i/>
          <w:iCs/>
          <w:sz w:val="22"/>
          <w:szCs w:val="22"/>
        </w:rPr>
        <w:t>Artículo 23. Son sujetos obligados a transparentar y permitir el acceso a su información y proteger los datos personales que obren en su poder</w:t>
      </w:r>
      <w:r w:rsidRPr="006F0DCC">
        <w:rPr>
          <w:rFonts w:ascii="Palatino Linotype" w:eastAsia="Palatino Linotype" w:hAnsi="Palatino Linotype" w:cs="Palatino Linotype"/>
          <w:i/>
          <w:iCs/>
          <w:sz w:val="22"/>
          <w:szCs w:val="22"/>
        </w:rPr>
        <w:t>:</w:t>
      </w:r>
    </w:p>
    <w:p w14:paraId="25812B77" w14:textId="77777777" w:rsidR="00556E8E" w:rsidRPr="006F0DCC" w:rsidRDefault="000C60F7">
      <w:pPr>
        <w:tabs>
          <w:tab w:val="left" w:pos="7655"/>
        </w:tabs>
        <w:spacing w:line="276" w:lineRule="auto"/>
        <w:ind w:left="567" w:right="616"/>
        <w:jc w:val="both"/>
        <w:rPr>
          <w:rFonts w:ascii="Palatino Linotype" w:eastAsia="Palatino Linotype" w:hAnsi="Palatino Linotype" w:cs="Palatino Linotype"/>
          <w:b/>
          <w:bCs/>
          <w:i/>
          <w:iCs/>
          <w:sz w:val="22"/>
          <w:szCs w:val="22"/>
        </w:rPr>
      </w:pPr>
      <w:r w:rsidRPr="006F0DCC">
        <w:rPr>
          <w:rFonts w:ascii="Palatino Linotype" w:eastAsia="Palatino Linotype" w:hAnsi="Palatino Linotype" w:cs="Palatino Linotype"/>
          <w:b/>
          <w:bCs/>
          <w:i/>
          <w:iCs/>
          <w:sz w:val="22"/>
          <w:szCs w:val="22"/>
        </w:rPr>
        <w:t>I.</w:t>
      </w:r>
      <w:r w:rsidRPr="006F0DCC">
        <w:rPr>
          <w:rFonts w:ascii="Palatino Linotype" w:eastAsia="Palatino Linotype" w:hAnsi="Palatino Linotype" w:cs="Palatino Linotype"/>
          <w:i/>
          <w:iCs/>
          <w:sz w:val="22"/>
          <w:szCs w:val="22"/>
        </w:rPr>
        <w:t xml:space="preserve"> El Poder Ejecutivo del Estado de México, las dependencias, organismos auxiliares,</w:t>
      </w:r>
      <w:r w:rsidRPr="006F0DCC">
        <w:rPr>
          <w:rFonts w:ascii="Palatino Linotype" w:eastAsia="Palatino Linotype" w:hAnsi="Palatino Linotype" w:cs="Palatino Linotype"/>
          <w:b/>
          <w:bCs/>
          <w:i/>
          <w:iCs/>
          <w:sz w:val="22"/>
          <w:szCs w:val="22"/>
        </w:rPr>
        <w:t xml:space="preserve"> </w:t>
      </w:r>
      <w:r w:rsidRPr="006F0DCC">
        <w:rPr>
          <w:rFonts w:ascii="Palatino Linotype" w:eastAsia="Palatino Linotype" w:hAnsi="Palatino Linotype" w:cs="Palatino Linotype"/>
          <w:i/>
          <w:iCs/>
          <w:sz w:val="22"/>
          <w:szCs w:val="22"/>
        </w:rPr>
        <w:t>órganos, entidades, fideicomisos y fondos públicos, así como la Procuraduría General de Justicia;</w:t>
      </w:r>
    </w:p>
    <w:p w14:paraId="676D289A" w14:textId="77777777" w:rsidR="00556E8E" w:rsidRPr="006F0DCC" w:rsidRDefault="000C60F7">
      <w:pPr>
        <w:tabs>
          <w:tab w:val="left" w:pos="7655"/>
        </w:tabs>
        <w:spacing w:line="276" w:lineRule="auto"/>
        <w:ind w:left="567" w:right="616"/>
        <w:jc w:val="both"/>
        <w:rPr>
          <w:rFonts w:ascii="Palatino Linotype" w:eastAsia="Palatino Linotype" w:hAnsi="Palatino Linotype" w:cs="Palatino Linotype"/>
          <w:i/>
          <w:iCs/>
          <w:sz w:val="22"/>
          <w:szCs w:val="22"/>
        </w:rPr>
      </w:pPr>
      <w:r w:rsidRPr="006F0DCC">
        <w:rPr>
          <w:rFonts w:ascii="Palatino Linotype" w:eastAsia="Palatino Linotype" w:hAnsi="Palatino Linotype" w:cs="Palatino Linotype"/>
          <w:b/>
          <w:bCs/>
          <w:i/>
          <w:iCs/>
          <w:sz w:val="22"/>
          <w:szCs w:val="22"/>
        </w:rPr>
        <w:t>II.</w:t>
      </w:r>
      <w:r w:rsidRPr="006F0DCC">
        <w:rPr>
          <w:rFonts w:ascii="Palatino Linotype" w:eastAsia="Palatino Linotype" w:hAnsi="Palatino Linotype" w:cs="Palatino Linotype"/>
          <w:i/>
          <w:iCs/>
          <w:sz w:val="22"/>
          <w:szCs w:val="22"/>
        </w:rPr>
        <w:t xml:space="preserve"> El Poder Legislativo del Estado, los organismos, órganos y entidades de la Legislatura y sus dependencias;</w:t>
      </w:r>
    </w:p>
    <w:p w14:paraId="61BB9ADF" w14:textId="77777777" w:rsidR="00556E8E" w:rsidRPr="006F0DCC" w:rsidRDefault="000C60F7">
      <w:pPr>
        <w:tabs>
          <w:tab w:val="left" w:pos="7655"/>
        </w:tabs>
        <w:spacing w:line="276" w:lineRule="auto"/>
        <w:ind w:left="567" w:right="616"/>
        <w:jc w:val="both"/>
        <w:rPr>
          <w:rFonts w:ascii="Palatino Linotype" w:eastAsia="Palatino Linotype" w:hAnsi="Palatino Linotype" w:cs="Palatino Linotype"/>
          <w:i/>
          <w:iCs/>
          <w:sz w:val="22"/>
          <w:szCs w:val="22"/>
        </w:rPr>
      </w:pPr>
      <w:r w:rsidRPr="006F0DCC">
        <w:rPr>
          <w:rFonts w:ascii="Palatino Linotype" w:eastAsia="Palatino Linotype" w:hAnsi="Palatino Linotype" w:cs="Palatino Linotype"/>
          <w:b/>
          <w:bCs/>
          <w:i/>
          <w:iCs/>
          <w:sz w:val="22"/>
          <w:szCs w:val="22"/>
        </w:rPr>
        <w:t>III.</w:t>
      </w:r>
      <w:r w:rsidRPr="006F0DCC">
        <w:rPr>
          <w:rFonts w:ascii="Palatino Linotype" w:eastAsia="Palatino Linotype" w:hAnsi="Palatino Linotype" w:cs="Palatino Linotype"/>
          <w:i/>
          <w:iCs/>
          <w:sz w:val="22"/>
          <w:szCs w:val="22"/>
        </w:rPr>
        <w:t xml:space="preserve"> El Poder Judicial, sus organismos, órganos y entidades, así como el Consejo de la Judicatura del Estado;</w:t>
      </w:r>
    </w:p>
    <w:p w14:paraId="753151AC" w14:textId="77777777" w:rsidR="00556E8E" w:rsidRPr="006F0DCC" w:rsidRDefault="000C60F7">
      <w:pPr>
        <w:tabs>
          <w:tab w:val="left" w:pos="7655"/>
        </w:tabs>
        <w:spacing w:line="276" w:lineRule="auto"/>
        <w:ind w:left="567" w:right="616"/>
        <w:jc w:val="both"/>
        <w:rPr>
          <w:rFonts w:ascii="Palatino Linotype" w:eastAsia="Palatino Linotype" w:hAnsi="Palatino Linotype" w:cs="Palatino Linotype"/>
          <w:b/>
          <w:bCs/>
          <w:i/>
          <w:iCs/>
          <w:sz w:val="22"/>
          <w:szCs w:val="22"/>
        </w:rPr>
      </w:pPr>
      <w:r w:rsidRPr="006F0DCC">
        <w:rPr>
          <w:rFonts w:ascii="Palatino Linotype" w:eastAsia="Palatino Linotype" w:hAnsi="Palatino Linotype" w:cs="Palatino Linotype"/>
          <w:b/>
          <w:bCs/>
          <w:i/>
          <w:iCs/>
          <w:sz w:val="22"/>
          <w:szCs w:val="22"/>
        </w:rPr>
        <w:lastRenderedPageBreak/>
        <w:t>IV. Los ayuntamientos y las dependencias, organismos, órganos y entidades de la administración municipal;</w:t>
      </w:r>
    </w:p>
    <w:p w14:paraId="00172C93" w14:textId="77777777" w:rsidR="00556E8E" w:rsidRPr="006F0DCC" w:rsidRDefault="000C60F7">
      <w:pPr>
        <w:tabs>
          <w:tab w:val="left" w:pos="7655"/>
        </w:tabs>
        <w:spacing w:line="276" w:lineRule="auto"/>
        <w:ind w:left="567" w:right="616"/>
        <w:jc w:val="both"/>
        <w:rPr>
          <w:rFonts w:ascii="Palatino Linotype" w:eastAsia="Palatino Linotype" w:hAnsi="Palatino Linotype" w:cs="Palatino Linotype"/>
          <w:i/>
          <w:iCs/>
          <w:sz w:val="22"/>
          <w:szCs w:val="22"/>
        </w:rPr>
      </w:pPr>
      <w:r w:rsidRPr="006F0DCC">
        <w:rPr>
          <w:rFonts w:ascii="Palatino Linotype" w:eastAsia="Palatino Linotype" w:hAnsi="Palatino Linotype" w:cs="Palatino Linotype"/>
          <w:b/>
          <w:bCs/>
          <w:i/>
          <w:iCs/>
          <w:sz w:val="22"/>
          <w:szCs w:val="22"/>
        </w:rPr>
        <w:t>V.</w:t>
      </w:r>
      <w:r w:rsidRPr="006F0DCC">
        <w:rPr>
          <w:rFonts w:ascii="Palatino Linotype" w:eastAsia="Palatino Linotype" w:hAnsi="Palatino Linotype" w:cs="Palatino Linotype"/>
          <w:i/>
          <w:iCs/>
          <w:sz w:val="22"/>
          <w:szCs w:val="22"/>
        </w:rPr>
        <w:t xml:space="preserve"> Los órganos autónomos;</w:t>
      </w:r>
    </w:p>
    <w:p w14:paraId="1415A4E6" w14:textId="77777777" w:rsidR="00556E8E" w:rsidRPr="006F0DCC" w:rsidRDefault="000C60F7">
      <w:pPr>
        <w:tabs>
          <w:tab w:val="left" w:pos="7655"/>
        </w:tabs>
        <w:spacing w:line="276" w:lineRule="auto"/>
        <w:ind w:left="567" w:right="616"/>
        <w:jc w:val="both"/>
        <w:rPr>
          <w:rFonts w:ascii="Palatino Linotype" w:eastAsia="Palatino Linotype" w:hAnsi="Palatino Linotype" w:cs="Palatino Linotype"/>
          <w:i/>
          <w:iCs/>
          <w:sz w:val="22"/>
          <w:szCs w:val="22"/>
        </w:rPr>
      </w:pPr>
      <w:r w:rsidRPr="006F0DCC">
        <w:rPr>
          <w:rFonts w:ascii="Palatino Linotype" w:eastAsia="Palatino Linotype" w:hAnsi="Palatino Linotype" w:cs="Palatino Linotype"/>
          <w:b/>
          <w:bCs/>
          <w:i/>
          <w:iCs/>
          <w:sz w:val="22"/>
          <w:szCs w:val="22"/>
        </w:rPr>
        <w:t>VI.</w:t>
      </w:r>
      <w:r w:rsidRPr="006F0DCC">
        <w:rPr>
          <w:rFonts w:ascii="Palatino Linotype" w:eastAsia="Palatino Linotype" w:hAnsi="Palatino Linotype" w:cs="Palatino Linotype"/>
          <w:i/>
          <w:iCs/>
          <w:sz w:val="22"/>
          <w:szCs w:val="22"/>
        </w:rPr>
        <w:t xml:space="preserve"> Los tribunales administrativos y autoridades jurisdiccionales en materia laboral;</w:t>
      </w:r>
    </w:p>
    <w:p w14:paraId="1D63C674" w14:textId="77777777" w:rsidR="00556E8E" w:rsidRPr="006F0DCC" w:rsidRDefault="000C60F7">
      <w:pPr>
        <w:tabs>
          <w:tab w:val="left" w:pos="7655"/>
        </w:tabs>
        <w:spacing w:line="276" w:lineRule="auto"/>
        <w:ind w:left="567" w:right="616"/>
        <w:jc w:val="both"/>
        <w:rPr>
          <w:rFonts w:ascii="Palatino Linotype" w:eastAsia="Palatino Linotype" w:hAnsi="Palatino Linotype" w:cs="Palatino Linotype"/>
          <w:i/>
          <w:iCs/>
          <w:sz w:val="22"/>
          <w:szCs w:val="22"/>
        </w:rPr>
      </w:pPr>
      <w:r w:rsidRPr="006F0DCC">
        <w:rPr>
          <w:rFonts w:ascii="Palatino Linotype" w:eastAsia="Palatino Linotype" w:hAnsi="Palatino Linotype" w:cs="Palatino Linotype"/>
          <w:b/>
          <w:bCs/>
          <w:i/>
          <w:iCs/>
          <w:sz w:val="22"/>
          <w:szCs w:val="22"/>
        </w:rPr>
        <w:t>VII.</w:t>
      </w:r>
      <w:r w:rsidRPr="006F0DCC">
        <w:rPr>
          <w:rFonts w:ascii="Palatino Linotype" w:eastAsia="Palatino Linotype" w:hAnsi="Palatino Linotype" w:cs="Palatino Linotype"/>
          <w:i/>
          <w:iCs/>
          <w:sz w:val="22"/>
          <w:szCs w:val="22"/>
        </w:rPr>
        <w:t xml:space="preserve"> Los </w:t>
      </w:r>
      <w:proofErr w:type="gramStart"/>
      <w:r w:rsidRPr="006F0DCC">
        <w:rPr>
          <w:rFonts w:ascii="Palatino Linotype" w:eastAsia="Palatino Linotype" w:hAnsi="Palatino Linotype" w:cs="Palatino Linotype"/>
          <w:i/>
          <w:iCs/>
          <w:sz w:val="22"/>
          <w:szCs w:val="22"/>
        </w:rPr>
        <w:t>partidos políticos y agrupaciones políticas</w:t>
      </w:r>
      <w:proofErr w:type="gramEnd"/>
      <w:r w:rsidRPr="006F0DCC">
        <w:rPr>
          <w:rFonts w:ascii="Palatino Linotype" w:eastAsia="Palatino Linotype" w:hAnsi="Palatino Linotype" w:cs="Palatino Linotype"/>
          <w:i/>
          <w:iCs/>
          <w:sz w:val="22"/>
          <w:szCs w:val="22"/>
        </w:rPr>
        <w:t>, en los términos de las disposiciones aplicables;</w:t>
      </w:r>
    </w:p>
    <w:p w14:paraId="17C1086F" w14:textId="77777777" w:rsidR="00556E8E" w:rsidRPr="006F0DCC" w:rsidRDefault="000C60F7">
      <w:pPr>
        <w:tabs>
          <w:tab w:val="left" w:pos="7655"/>
        </w:tabs>
        <w:spacing w:line="276" w:lineRule="auto"/>
        <w:ind w:left="567" w:right="616"/>
        <w:jc w:val="both"/>
        <w:rPr>
          <w:rFonts w:ascii="Palatino Linotype" w:eastAsia="Palatino Linotype" w:hAnsi="Palatino Linotype" w:cs="Palatino Linotype"/>
          <w:i/>
          <w:iCs/>
          <w:sz w:val="22"/>
          <w:szCs w:val="22"/>
        </w:rPr>
      </w:pPr>
      <w:r w:rsidRPr="006F0DCC">
        <w:rPr>
          <w:rFonts w:ascii="Palatino Linotype" w:eastAsia="Palatino Linotype" w:hAnsi="Palatino Linotype" w:cs="Palatino Linotype"/>
          <w:b/>
          <w:bCs/>
          <w:i/>
          <w:iCs/>
          <w:sz w:val="22"/>
          <w:szCs w:val="22"/>
        </w:rPr>
        <w:t>VIII.</w:t>
      </w:r>
      <w:r w:rsidRPr="006F0DCC">
        <w:rPr>
          <w:rFonts w:ascii="Palatino Linotype" w:eastAsia="Palatino Linotype" w:hAnsi="Palatino Linotype" w:cs="Palatino Linotype"/>
          <w:i/>
          <w:iCs/>
          <w:sz w:val="22"/>
          <w:szCs w:val="22"/>
        </w:rPr>
        <w:t xml:space="preserve"> Los fideicomisos y fondos públicos que cuenten con financiamiento público, parcial o total, o con participación de entidades de gobierno;</w:t>
      </w:r>
    </w:p>
    <w:p w14:paraId="636D45C7" w14:textId="77777777" w:rsidR="00556E8E" w:rsidRPr="006F0DCC" w:rsidRDefault="000C60F7">
      <w:pPr>
        <w:tabs>
          <w:tab w:val="left" w:pos="7655"/>
        </w:tabs>
        <w:spacing w:line="276" w:lineRule="auto"/>
        <w:ind w:left="567" w:right="616"/>
        <w:jc w:val="both"/>
        <w:rPr>
          <w:rFonts w:ascii="Palatino Linotype" w:eastAsia="Palatino Linotype" w:hAnsi="Palatino Linotype" w:cs="Palatino Linotype"/>
          <w:i/>
          <w:iCs/>
          <w:sz w:val="22"/>
          <w:szCs w:val="22"/>
        </w:rPr>
      </w:pPr>
      <w:r w:rsidRPr="006F0DCC">
        <w:rPr>
          <w:rFonts w:ascii="Palatino Linotype" w:eastAsia="Palatino Linotype" w:hAnsi="Palatino Linotype" w:cs="Palatino Linotype"/>
          <w:b/>
          <w:bCs/>
          <w:i/>
          <w:iCs/>
          <w:sz w:val="22"/>
          <w:szCs w:val="22"/>
        </w:rPr>
        <w:t>IX.</w:t>
      </w:r>
      <w:r w:rsidRPr="006F0DCC">
        <w:rPr>
          <w:rFonts w:ascii="Palatino Linotype" w:eastAsia="Palatino Linotype" w:hAnsi="Palatino Linotype" w:cs="Palatino Linotype"/>
          <w:i/>
          <w:iCs/>
          <w:sz w:val="22"/>
          <w:szCs w:val="22"/>
        </w:rPr>
        <w:t xml:space="preserve"> Los sindicatos que reciban y/o ejerzan recursos públicos en el ámbito estatal y municipal;</w:t>
      </w:r>
    </w:p>
    <w:p w14:paraId="721AD55E" w14:textId="77777777" w:rsidR="00556E8E" w:rsidRPr="006F0DCC" w:rsidRDefault="000C60F7">
      <w:pPr>
        <w:tabs>
          <w:tab w:val="left" w:pos="7655"/>
        </w:tabs>
        <w:spacing w:line="276" w:lineRule="auto"/>
        <w:ind w:left="567" w:right="616"/>
        <w:jc w:val="both"/>
        <w:rPr>
          <w:rFonts w:ascii="Palatino Linotype" w:eastAsia="Palatino Linotype" w:hAnsi="Palatino Linotype" w:cs="Palatino Linotype"/>
          <w:i/>
          <w:iCs/>
          <w:sz w:val="22"/>
          <w:szCs w:val="22"/>
        </w:rPr>
      </w:pPr>
      <w:r w:rsidRPr="006F0DCC">
        <w:rPr>
          <w:rFonts w:ascii="Palatino Linotype" w:eastAsia="Palatino Linotype" w:hAnsi="Palatino Linotype" w:cs="Palatino Linotype"/>
          <w:b/>
          <w:bCs/>
          <w:i/>
          <w:iCs/>
          <w:sz w:val="22"/>
          <w:szCs w:val="22"/>
        </w:rPr>
        <w:t>X.</w:t>
      </w:r>
      <w:r w:rsidRPr="006F0DCC">
        <w:rPr>
          <w:rFonts w:ascii="Palatino Linotype" w:eastAsia="Palatino Linotype" w:hAnsi="Palatino Linotype" w:cs="Palatino Linotype"/>
          <w:i/>
          <w:iCs/>
          <w:sz w:val="22"/>
          <w:szCs w:val="22"/>
        </w:rPr>
        <w:t xml:space="preserve"> Cualquier persona física o jurídico colectiva que reciba y ejerza recursos públicos en el ámbito estatal o municipal; y</w:t>
      </w:r>
    </w:p>
    <w:p w14:paraId="0A78793A" w14:textId="77777777" w:rsidR="00556E8E" w:rsidRPr="006F0DCC" w:rsidRDefault="000C60F7">
      <w:pPr>
        <w:tabs>
          <w:tab w:val="left" w:pos="7655"/>
        </w:tabs>
        <w:spacing w:line="276" w:lineRule="auto"/>
        <w:ind w:left="567" w:right="616"/>
        <w:jc w:val="both"/>
        <w:rPr>
          <w:rFonts w:ascii="Palatino Linotype" w:eastAsia="Palatino Linotype" w:hAnsi="Palatino Linotype" w:cs="Palatino Linotype"/>
          <w:i/>
          <w:iCs/>
          <w:sz w:val="22"/>
          <w:szCs w:val="22"/>
        </w:rPr>
      </w:pPr>
      <w:r w:rsidRPr="006F0DCC">
        <w:rPr>
          <w:rFonts w:ascii="Palatino Linotype" w:eastAsia="Palatino Linotype" w:hAnsi="Palatino Linotype" w:cs="Palatino Linotype"/>
          <w:b/>
          <w:bCs/>
          <w:i/>
          <w:iCs/>
          <w:sz w:val="22"/>
          <w:szCs w:val="22"/>
        </w:rPr>
        <w:t>XI.</w:t>
      </w:r>
      <w:r w:rsidRPr="006F0DCC">
        <w:rPr>
          <w:rFonts w:ascii="Palatino Linotype" w:eastAsia="Palatino Linotype" w:hAnsi="Palatino Linotype" w:cs="Palatino Linotype"/>
          <w:i/>
          <w:iCs/>
          <w:sz w:val="22"/>
          <w:szCs w:val="22"/>
        </w:rPr>
        <w:t xml:space="preserve"> Cualquier otra autoridad, entidad, órgano u organismo de los poderes estatal o municipal, que reciba recursos públicos.</w:t>
      </w:r>
    </w:p>
    <w:p w14:paraId="4ACF6622" w14:textId="77777777" w:rsidR="00556E8E" w:rsidRPr="006F0DCC" w:rsidRDefault="000C60F7">
      <w:pPr>
        <w:tabs>
          <w:tab w:val="left" w:pos="7655"/>
        </w:tabs>
        <w:spacing w:line="276" w:lineRule="auto"/>
        <w:ind w:left="567" w:right="616"/>
        <w:jc w:val="both"/>
        <w:rPr>
          <w:rFonts w:ascii="Palatino Linotype" w:eastAsia="Palatino Linotype" w:hAnsi="Palatino Linotype" w:cs="Palatino Linotype"/>
          <w:i/>
          <w:iCs/>
          <w:sz w:val="22"/>
          <w:szCs w:val="22"/>
        </w:rPr>
      </w:pPr>
      <w:r w:rsidRPr="006F0DCC">
        <w:rPr>
          <w:rFonts w:ascii="Palatino Linotype" w:eastAsia="Palatino Linotype" w:hAnsi="Palatino Linotype" w:cs="Palatino Linotype"/>
          <w:i/>
          <w:iCs/>
          <w:sz w:val="22"/>
          <w:szCs w:val="22"/>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118E0BCF" w14:textId="77777777" w:rsidR="00556E8E" w:rsidRPr="006F0DCC" w:rsidRDefault="000C60F7">
      <w:pPr>
        <w:tabs>
          <w:tab w:val="left" w:pos="7655"/>
        </w:tabs>
        <w:spacing w:line="276" w:lineRule="auto"/>
        <w:ind w:left="567" w:right="616"/>
        <w:jc w:val="both"/>
        <w:rPr>
          <w:rFonts w:ascii="Palatino Linotype" w:eastAsia="Palatino Linotype" w:hAnsi="Palatino Linotype" w:cs="Palatino Linotype"/>
          <w:i/>
          <w:iCs/>
          <w:sz w:val="22"/>
          <w:szCs w:val="22"/>
        </w:rPr>
      </w:pPr>
      <w:r w:rsidRPr="006F0DCC">
        <w:rPr>
          <w:rFonts w:ascii="Palatino Linotype" w:eastAsia="Palatino Linotype" w:hAnsi="Palatino Linotype" w:cs="Palatino Linotype"/>
          <w:b/>
          <w:bCs/>
          <w:i/>
          <w:iCs/>
          <w:sz w:val="22"/>
          <w:szCs w:val="22"/>
        </w:rPr>
        <w:t>Los servidores públicos deberán transparentar sus acciones, así como garantizar y respetar el derecho de acceso a la información pública</w:t>
      </w:r>
      <w:r w:rsidRPr="006F0DCC">
        <w:rPr>
          <w:rFonts w:ascii="Palatino Linotype" w:eastAsia="Palatino Linotype" w:hAnsi="Palatino Linotype" w:cs="Palatino Linotype"/>
          <w:i/>
          <w:iCs/>
          <w:sz w:val="22"/>
          <w:szCs w:val="22"/>
        </w:rPr>
        <w:t>.”</w:t>
      </w:r>
    </w:p>
    <w:p w14:paraId="1167B56E" w14:textId="77777777" w:rsidR="00556E8E" w:rsidRPr="006F0DCC" w:rsidRDefault="00556E8E">
      <w:pPr>
        <w:spacing w:line="360" w:lineRule="auto"/>
        <w:jc w:val="both"/>
        <w:rPr>
          <w:rFonts w:ascii="Palatino Linotype" w:eastAsia="Palatino Linotype" w:hAnsi="Palatino Linotype" w:cs="Palatino Linotype"/>
          <w:sz w:val="22"/>
          <w:szCs w:val="22"/>
        </w:rPr>
      </w:pPr>
    </w:p>
    <w:p w14:paraId="52A7FD66" w14:textId="77777777" w:rsidR="00556E8E" w:rsidRPr="006F0DCC" w:rsidRDefault="000C60F7">
      <w:pPr>
        <w:spacing w:line="360" w:lineRule="auto"/>
        <w:jc w:val="both"/>
        <w:rPr>
          <w:rFonts w:ascii="Palatino Linotype" w:eastAsia="Palatino Linotype" w:hAnsi="Palatino Linotype" w:cs="Palatino Linotype"/>
          <w:sz w:val="22"/>
          <w:szCs w:val="22"/>
        </w:rPr>
      </w:pPr>
      <w:r w:rsidRPr="006F0DCC">
        <w:rPr>
          <w:rFonts w:ascii="Palatino Linotype" w:eastAsia="Palatino Linotype" w:hAnsi="Palatino Linotype" w:cs="Palatino Linotype"/>
          <w:sz w:val="22"/>
          <w:szCs w:val="22"/>
        </w:rPr>
        <w:t xml:space="preserve">Es así </w:t>
      </w:r>
      <w:proofErr w:type="gramStart"/>
      <w:r w:rsidRPr="006F0DCC">
        <w:rPr>
          <w:rFonts w:ascii="Palatino Linotype" w:eastAsia="Palatino Linotype" w:hAnsi="Palatino Linotype" w:cs="Palatino Linotype"/>
          <w:sz w:val="22"/>
          <w:szCs w:val="22"/>
        </w:rPr>
        <w:t>que</w:t>
      </w:r>
      <w:proofErr w:type="gramEnd"/>
      <w:r w:rsidRPr="006F0DCC">
        <w:rPr>
          <w:rFonts w:ascii="Palatino Linotype" w:eastAsia="Palatino Linotype" w:hAnsi="Palatino Linotype" w:cs="Palatino Linotype"/>
          <w:sz w:val="22"/>
          <w:szCs w:val="22"/>
        </w:rPr>
        <w:t xml:space="preserve">,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 </w:t>
      </w:r>
    </w:p>
    <w:p w14:paraId="11B113FD" w14:textId="77777777" w:rsidR="00556E8E" w:rsidRPr="006F0DCC" w:rsidRDefault="00556E8E">
      <w:pPr>
        <w:spacing w:line="360" w:lineRule="auto"/>
        <w:jc w:val="both"/>
        <w:rPr>
          <w:rFonts w:ascii="Palatino Linotype" w:eastAsia="Palatino Linotype" w:hAnsi="Palatino Linotype" w:cs="Palatino Linotype"/>
          <w:sz w:val="22"/>
          <w:szCs w:val="22"/>
        </w:rPr>
      </w:pPr>
    </w:p>
    <w:p w14:paraId="515893E5" w14:textId="77777777" w:rsidR="00556E8E" w:rsidRPr="006F0DCC" w:rsidRDefault="000C60F7">
      <w:pPr>
        <w:spacing w:line="360" w:lineRule="auto"/>
        <w:jc w:val="both"/>
        <w:rPr>
          <w:rFonts w:ascii="Palatino Linotype" w:eastAsia="Palatino Linotype" w:hAnsi="Palatino Linotype" w:cs="Palatino Linotype"/>
          <w:sz w:val="22"/>
          <w:szCs w:val="22"/>
        </w:rPr>
      </w:pPr>
      <w:r w:rsidRPr="006F0DCC">
        <w:rPr>
          <w:rFonts w:ascii="Palatino Linotype" w:eastAsia="Palatino Linotype" w:hAnsi="Palatino Linotype" w:cs="Palatino Linotype"/>
          <w:sz w:val="22"/>
          <w:szCs w:val="22"/>
        </w:rPr>
        <w:t xml:space="preserve">En esa tesitura, este Instituto no omite señalar que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w:t>
      </w:r>
    </w:p>
    <w:p w14:paraId="4E2EA0DE" w14:textId="77777777" w:rsidR="00556E8E" w:rsidRPr="006F0DCC" w:rsidRDefault="00556E8E">
      <w:pPr>
        <w:spacing w:line="360" w:lineRule="auto"/>
        <w:jc w:val="both"/>
        <w:rPr>
          <w:rFonts w:ascii="Palatino Linotype" w:eastAsia="Palatino Linotype" w:hAnsi="Palatino Linotype" w:cs="Palatino Linotype"/>
          <w:sz w:val="22"/>
          <w:szCs w:val="22"/>
        </w:rPr>
      </w:pPr>
    </w:p>
    <w:p w14:paraId="6DDE34F8" w14:textId="77777777" w:rsidR="00556E8E" w:rsidRPr="006F0DCC" w:rsidRDefault="000C60F7">
      <w:pPr>
        <w:widowControl w:val="0"/>
        <w:tabs>
          <w:tab w:val="left" w:pos="1276"/>
        </w:tabs>
        <w:spacing w:line="360" w:lineRule="auto"/>
        <w:jc w:val="both"/>
        <w:rPr>
          <w:rFonts w:ascii="Palatino Linotype" w:eastAsia="Palatino Linotype" w:hAnsi="Palatino Linotype" w:cs="Palatino Linotype"/>
          <w:sz w:val="22"/>
          <w:szCs w:val="22"/>
        </w:rPr>
      </w:pPr>
      <w:r w:rsidRPr="006F0DCC">
        <w:rPr>
          <w:rFonts w:ascii="Palatino Linotype" w:eastAsia="Palatino Linotype" w:hAnsi="Palatino Linotype" w:cs="Palatino Linotype"/>
          <w:sz w:val="22"/>
          <w:szCs w:val="22"/>
        </w:rPr>
        <w:t>Dicho lo anterior, se precisa que la ya mencionada Unidad de Transparencia es la encargada de tramitar internamente las solicitudes de información y tiene la responsabilidad de verificar, en cada caso, que la información no tenga el carácter de confidencial o reservada, en términos de los artículos 50 y 51 de la Ley de Transparencia y Acceso a la Información Pública del Estado de México y Municipios.</w:t>
      </w:r>
    </w:p>
    <w:p w14:paraId="00A30383" w14:textId="77777777" w:rsidR="00556E8E" w:rsidRPr="006F0DCC" w:rsidRDefault="00556E8E">
      <w:pPr>
        <w:widowControl w:val="0"/>
        <w:tabs>
          <w:tab w:val="left" w:pos="1276"/>
        </w:tabs>
        <w:spacing w:line="360" w:lineRule="auto"/>
        <w:jc w:val="both"/>
        <w:rPr>
          <w:rFonts w:ascii="Palatino Linotype" w:eastAsia="Palatino Linotype" w:hAnsi="Palatino Linotype" w:cs="Palatino Linotype"/>
          <w:sz w:val="22"/>
          <w:szCs w:val="22"/>
        </w:rPr>
      </w:pPr>
    </w:p>
    <w:p w14:paraId="08CA5DFC" w14:textId="77777777" w:rsidR="00556E8E" w:rsidRPr="006F0DCC" w:rsidRDefault="000C60F7">
      <w:pPr>
        <w:widowControl w:val="0"/>
        <w:tabs>
          <w:tab w:val="left" w:pos="1276"/>
        </w:tabs>
        <w:spacing w:line="360" w:lineRule="auto"/>
        <w:jc w:val="both"/>
        <w:rPr>
          <w:rFonts w:ascii="Palatino Linotype" w:eastAsia="Palatino Linotype" w:hAnsi="Palatino Linotype" w:cs="Palatino Linotype"/>
          <w:sz w:val="22"/>
          <w:szCs w:val="22"/>
        </w:rPr>
      </w:pPr>
      <w:r w:rsidRPr="006F0DCC">
        <w:rPr>
          <w:rFonts w:ascii="Palatino Linotype" w:eastAsia="Palatino Linotype" w:hAnsi="Palatino Linotype" w:cs="Palatino Linotype"/>
          <w:sz w:val="22"/>
          <w:szCs w:val="22"/>
        </w:rPr>
        <w:t>Por su parte, el artículo 53, fracciones II, IV y V de la Ley antes citada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56843229" w14:textId="77777777" w:rsidR="00556E8E" w:rsidRPr="006F0DCC" w:rsidRDefault="00556E8E">
      <w:pPr>
        <w:spacing w:line="360" w:lineRule="auto"/>
        <w:jc w:val="both"/>
        <w:rPr>
          <w:rFonts w:ascii="Palatino Linotype" w:eastAsia="Palatino Linotype" w:hAnsi="Palatino Linotype" w:cs="Palatino Linotype"/>
          <w:sz w:val="22"/>
          <w:szCs w:val="22"/>
        </w:rPr>
      </w:pPr>
    </w:p>
    <w:p w14:paraId="28853B48" w14:textId="77777777" w:rsidR="00556E8E" w:rsidRPr="006F0DCC" w:rsidRDefault="000C60F7">
      <w:pPr>
        <w:spacing w:line="360" w:lineRule="auto"/>
        <w:jc w:val="both"/>
        <w:rPr>
          <w:rFonts w:ascii="Palatino Linotype" w:eastAsia="Palatino Linotype" w:hAnsi="Palatino Linotype" w:cs="Palatino Linotype"/>
          <w:sz w:val="22"/>
          <w:szCs w:val="22"/>
        </w:rPr>
      </w:pPr>
      <w:r w:rsidRPr="006F0DCC">
        <w:rPr>
          <w:rFonts w:ascii="Palatino Linotype" w:eastAsia="Palatino Linotype" w:hAnsi="Palatino Linotype" w:cs="Palatino Linotype"/>
          <w:sz w:val="22"/>
          <w:szCs w:val="22"/>
        </w:rPr>
        <w:t>Asimismo, el diverso artículo 54 de la Ley de Transparencia y Acceso a la Información Pública del Estado de México y Municipios establece que cuando alguna área de los Sujetos Obligados se negara a colaborar con la Unidad de Transparencia, ésta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1A3FF600" w14:textId="77777777" w:rsidR="00556E8E" w:rsidRPr="006F0DCC" w:rsidRDefault="00556E8E">
      <w:pPr>
        <w:spacing w:line="360" w:lineRule="auto"/>
        <w:jc w:val="both"/>
        <w:rPr>
          <w:rFonts w:ascii="Palatino Linotype" w:eastAsia="Palatino Linotype" w:hAnsi="Palatino Linotype" w:cs="Palatino Linotype"/>
          <w:sz w:val="22"/>
          <w:szCs w:val="22"/>
        </w:rPr>
      </w:pPr>
    </w:p>
    <w:p w14:paraId="22CD245C" w14:textId="77777777" w:rsidR="00556E8E" w:rsidRPr="006F0DCC" w:rsidRDefault="000C60F7">
      <w:pPr>
        <w:widowControl w:val="0"/>
        <w:tabs>
          <w:tab w:val="left" w:pos="1276"/>
        </w:tabs>
        <w:spacing w:line="360" w:lineRule="auto"/>
        <w:jc w:val="both"/>
        <w:rPr>
          <w:rFonts w:ascii="Palatino Linotype" w:eastAsia="Palatino Linotype" w:hAnsi="Palatino Linotype" w:cs="Palatino Linotype"/>
          <w:sz w:val="22"/>
          <w:szCs w:val="22"/>
        </w:rPr>
      </w:pPr>
      <w:r w:rsidRPr="006F0DCC">
        <w:rPr>
          <w:rFonts w:ascii="Palatino Linotype" w:eastAsia="Palatino Linotype" w:hAnsi="Palatino Linotype" w:cs="Palatino Linotype"/>
          <w:sz w:val="22"/>
          <w:szCs w:val="22"/>
        </w:rPr>
        <w:t>De igual forma, el diverso artículo 59, fracciones I, II y III de la multicitada legislación Sustantiva, establece que los Servidores Públicos Habilitados deben localizar la información que le solicite la Unidad de Transparencia; proporcionar la misma y apoyarla en lo que ésta le solicite para el cumplimiento de sus funciones.</w:t>
      </w:r>
    </w:p>
    <w:p w14:paraId="32F8A667" w14:textId="77777777" w:rsidR="00556E8E" w:rsidRPr="006F0DCC" w:rsidRDefault="00556E8E">
      <w:pPr>
        <w:widowControl w:val="0"/>
        <w:tabs>
          <w:tab w:val="left" w:pos="1276"/>
        </w:tabs>
        <w:spacing w:line="360" w:lineRule="auto"/>
        <w:jc w:val="both"/>
        <w:rPr>
          <w:rFonts w:ascii="Palatino Linotype" w:eastAsia="Palatino Linotype" w:hAnsi="Palatino Linotype" w:cs="Palatino Linotype"/>
          <w:sz w:val="22"/>
          <w:szCs w:val="22"/>
        </w:rPr>
      </w:pPr>
    </w:p>
    <w:p w14:paraId="0814941D" w14:textId="77777777" w:rsidR="00556E8E" w:rsidRPr="006F0DCC" w:rsidRDefault="000C60F7">
      <w:pPr>
        <w:spacing w:line="360" w:lineRule="auto"/>
        <w:jc w:val="both"/>
        <w:rPr>
          <w:rFonts w:ascii="Palatino Linotype" w:eastAsia="Palatino Linotype" w:hAnsi="Palatino Linotype" w:cs="Palatino Linotype"/>
          <w:sz w:val="22"/>
          <w:szCs w:val="22"/>
        </w:rPr>
      </w:pPr>
      <w:r w:rsidRPr="006F0DCC">
        <w:rPr>
          <w:rFonts w:ascii="Palatino Linotype" w:eastAsia="Palatino Linotype" w:hAnsi="Palatino Linotype" w:cs="Palatino Linotype"/>
          <w:sz w:val="22"/>
          <w:szCs w:val="22"/>
        </w:rPr>
        <w:lastRenderedPageBreak/>
        <w:t xml:space="preserve">Finalmente, se destaca que de conformidad con el artículo 163 de la legislación en cita, se desprende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Situación que en la especie no aconteció. </w:t>
      </w:r>
    </w:p>
    <w:p w14:paraId="1882D615" w14:textId="77777777" w:rsidR="00556E8E" w:rsidRPr="006F0DCC" w:rsidRDefault="00556E8E">
      <w:pPr>
        <w:spacing w:line="360" w:lineRule="auto"/>
        <w:jc w:val="both"/>
        <w:rPr>
          <w:rFonts w:ascii="Palatino Linotype" w:eastAsia="Palatino Linotype" w:hAnsi="Palatino Linotype" w:cs="Palatino Linotype"/>
          <w:sz w:val="22"/>
          <w:szCs w:val="22"/>
        </w:rPr>
      </w:pPr>
    </w:p>
    <w:p w14:paraId="6E5BAA49" w14:textId="77777777" w:rsidR="00556E8E" w:rsidRPr="006F0DCC" w:rsidRDefault="000C60F7">
      <w:pPr>
        <w:spacing w:line="360" w:lineRule="auto"/>
        <w:jc w:val="both"/>
        <w:rPr>
          <w:rFonts w:ascii="Palatino Linotype" w:eastAsia="Palatino Linotype" w:hAnsi="Palatino Linotype" w:cs="Palatino Linotype"/>
          <w:sz w:val="22"/>
          <w:szCs w:val="22"/>
        </w:rPr>
      </w:pPr>
      <w:r w:rsidRPr="006F0DCC">
        <w:rPr>
          <w:rFonts w:ascii="Palatino Linotype" w:eastAsia="Palatino Linotype" w:hAnsi="Palatino Linotype" w:cs="Palatino Linotype"/>
          <w:sz w:val="22"/>
          <w:szCs w:val="22"/>
        </w:rPr>
        <w:t>Sirve de sustento a lo anterior, el precepto legal en cita:</w:t>
      </w:r>
    </w:p>
    <w:p w14:paraId="4DA0975F" w14:textId="77777777" w:rsidR="00556E8E" w:rsidRPr="006F0DCC" w:rsidRDefault="00556E8E">
      <w:pPr>
        <w:spacing w:line="360" w:lineRule="auto"/>
        <w:jc w:val="both"/>
        <w:rPr>
          <w:rFonts w:ascii="Palatino Linotype" w:eastAsia="Palatino Linotype" w:hAnsi="Palatino Linotype" w:cs="Palatino Linotype"/>
          <w:sz w:val="22"/>
          <w:szCs w:val="22"/>
        </w:rPr>
      </w:pPr>
    </w:p>
    <w:p w14:paraId="24DC0416" w14:textId="77777777" w:rsidR="00556E8E" w:rsidRPr="006F0DCC" w:rsidRDefault="000C60F7">
      <w:pPr>
        <w:spacing w:line="276" w:lineRule="auto"/>
        <w:ind w:left="567" w:right="902"/>
        <w:jc w:val="both"/>
        <w:rPr>
          <w:rFonts w:ascii="Palatino Linotype" w:eastAsia="Palatino Linotype" w:hAnsi="Palatino Linotype" w:cs="Palatino Linotype"/>
          <w:i/>
          <w:iCs/>
          <w:sz w:val="22"/>
          <w:szCs w:val="22"/>
        </w:rPr>
      </w:pPr>
      <w:r w:rsidRPr="006F0DCC">
        <w:rPr>
          <w:rFonts w:ascii="Palatino Linotype" w:eastAsia="Palatino Linotype" w:hAnsi="Palatino Linotype" w:cs="Palatino Linotype"/>
          <w:i/>
          <w:iCs/>
          <w:sz w:val="22"/>
          <w:szCs w:val="22"/>
        </w:rPr>
        <w:t>“</w:t>
      </w:r>
      <w:r w:rsidRPr="006F0DCC">
        <w:rPr>
          <w:rFonts w:ascii="Palatino Linotype" w:eastAsia="Palatino Linotype" w:hAnsi="Palatino Linotype" w:cs="Palatino Linotype"/>
          <w:b/>
          <w:bCs/>
          <w:i/>
          <w:iCs/>
          <w:sz w:val="22"/>
          <w:szCs w:val="22"/>
        </w:rPr>
        <w:t>Artículo 163. La Unidad de Transparencia deberá notificar la respuesta a la solicitud al interesado en el menor tiempo posible, que no podrá exceder de quince días hábiles</w:t>
      </w:r>
      <w:r w:rsidRPr="006F0DCC">
        <w:rPr>
          <w:rFonts w:ascii="Palatino Linotype" w:eastAsia="Palatino Linotype" w:hAnsi="Palatino Linotype" w:cs="Palatino Linotype"/>
          <w:i/>
          <w:iCs/>
          <w:sz w:val="22"/>
          <w:szCs w:val="22"/>
        </w:rPr>
        <w:t xml:space="preserve">, contados a partir del día siguiente a la presentación de aquélla. </w:t>
      </w:r>
    </w:p>
    <w:p w14:paraId="27957B0A" w14:textId="77777777" w:rsidR="00556E8E" w:rsidRPr="006F0DCC" w:rsidRDefault="000C60F7">
      <w:pPr>
        <w:spacing w:line="276" w:lineRule="auto"/>
        <w:ind w:left="567" w:right="902"/>
        <w:jc w:val="both"/>
        <w:rPr>
          <w:rFonts w:ascii="Palatino Linotype" w:eastAsia="Palatino Linotype" w:hAnsi="Palatino Linotype" w:cs="Palatino Linotype"/>
          <w:i/>
          <w:iCs/>
          <w:sz w:val="22"/>
          <w:szCs w:val="22"/>
        </w:rPr>
      </w:pPr>
      <w:r w:rsidRPr="006F0DCC">
        <w:rPr>
          <w:rFonts w:ascii="Palatino Linotype" w:eastAsia="Palatino Linotype" w:hAnsi="Palatino Linotype" w:cs="Palatino Linotype"/>
          <w:i/>
          <w:iCs/>
          <w:sz w:val="22"/>
          <w:szCs w:val="22"/>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2C9DE735" w14:textId="77777777" w:rsidR="00556E8E" w:rsidRPr="006F0DCC" w:rsidRDefault="00556E8E">
      <w:pPr>
        <w:spacing w:line="360" w:lineRule="auto"/>
        <w:ind w:left="851" w:right="902"/>
        <w:jc w:val="both"/>
        <w:rPr>
          <w:rFonts w:ascii="Palatino Linotype" w:eastAsia="Palatino Linotype" w:hAnsi="Palatino Linotype" w:cs="Palatino Linotype"/>
          <w:i/>
          <w:iCs/>
          <w:sz w:val="22"/>
          <w:szCs w:val="22"/>
        </w:rPr>
      </w:pPr>
    </w:p>
    <w:p w14:paraId="40BB950D" w14:textId="77777777" w:rsidR="00556E8E" w:rsidRPr="006F0DCC" w:rsidRDefault="000C60F7">
      <w:pPr>
        <w:spacing w:line="360" w:lineRule="auto"/>
        <w:jc w:val="both"/>
        <w:rPr>
          <w:rFonts w:ascii="Palatino Linotype" w:eastAsia="Palatino Linotype" w:hAnsi="Palatino Linotype" w:cs="Palatino Linotype"/>
          <w:sz w:val="22"/>
          <w:szCs w:val="22"/>
        </w:rPr>
      </w:pPr>
      <w:r w:rsidRPr="006F0DCC">
        <w:rPr>
          <w:rFonts w:ascii="Palatino Linotype" w:eastAsia="Palatino Linotype" w:hAnsi="Palatino Linotype" w:cs="Palatino Linotype"/>
          <w:sz w:val="22"/>
          <w:szCs w:val="22"/>
        </w:rPr>
        <w:t xml:space="preserve">En mérito de lo expuesto, es claro que en este caso el </w:t>
      </w:r>
      <w:r w:rsidRPr="006F0DCC">
        <w:rPr>
          <w:rFonts w:ascii="Palatino Linotype" w:eastAsia="Palatino Linotype" w:hAnsi="Palatino Linotype" w:cs="Palatino Linotype"/>
          <w:b/>
          <w:bCs/>
          <w:sz w:val="22"/>
          <w:szCs w:val="22"/>
        </w:rPr>
        <w:t>Sujeto Obligado</w:t>
      </w:r>
      <w:r w:rsidRPr="006F0DCC">
        <w:rPr>
          <w:rFonts w:ascii="Palatino Linotype" w:eastAsia="Palatino Linotype" w:hAnsi="Palatino Linotype" w:cs="Palatino Linotype"/>
          <w:sz w:val="22"/>
          <w:szCs w:val="22"/>
        </w:rPr>
        <w:t xml:space="preserve"> incumplió la normativa en la materia, puesto que no dio trámite ni respuesta a la solicitud de acceso a la información, limitando el derecho de acceso a la información, accionado por la persona solicitante.</w:t>
      </w:r>
    </w:p>
    <w:p w14:paraId="7751E16C" w14:textId="77777777" w:rsidR="00556E8E" w:rsidRPr="006F0DCC" w:rsidRDefault="00556E8E">
      <w:pPr>
        <w:spacing w:line="360" w:lineRule="auto"/>
        <w:jc w:val="both"/>
        <w:rPr>
          <w:rFonts w:ascii="Palatino Linotype" w:eastAsia="Palatino Linotype" w:hAnsi="Palatino Linotype" w:cs="Palatino Linotype"/>
          <w:sz w:val="22"/>
          <w:szCs w:val="22"/>
        </w:rPr>
      </w:pPr>
    </w:p>
    <w:p w14:paraId="1B41D3F0" w14:textId="77777777" w:rsidR="00556E8E" w:rsidRPr="006F0DCC" w:rsidRDefault="000C60F7">
      <w:pPr>
        <w:spacing w:line="360" w:lineRule="auto"/>
        <w:jc w:val="both"/>
        <w:rPr>
          <w:rFonts w:ascii="Palatino Linotype" w:eastAsia="Palatino Linotype" w:hAnsi="Palatino Linotype" w:cs="Palatino Linotype"/>
          <w:sz w:val="22"/>
          <w:szCs w:val="22"/>
        </w:rPr>
      </w:pPr>
      <w:r w:rsidRPr="006F0DCC">
        <w:rPr>
          <w:rFonts w:ascii="Palatino Linotype" w:eastAsia="Palatino Linotype" w:hAnsi="Palatino Linotype" w:cs="Palatino Linotype"/>
          <w:sz w:val="22"/>
          <w:szCs w:val="22"/>
        </w:rPr>
        <w:t xml:space="preserve">Consecuentemente, este Instituto estima necesario reiterar que, de conformidad con el artículo 150 de la Ley de Transparencia y Acceso a la Información Pública del Estado de México y Municipios, el procedimiento de acceso a la información es la garantía primaria </w:t>
      </w:r>
      <w:r w:rsidRPr="006F0DCC">
        <w:rPr>
          <w:rFonts w:ascii="Palatino Linotype" w:eastAsia="Palatino Linotype" w:hAnsi="Palatino Linotype" w:cs="Palatino Linotype"/>
          <w:sz w:val="22"/>
          <w:szCs w:val="22"/>
        </w:rPr>
        <w:lastRenderedPageBreak/>
        <w:t xml:space="preserve">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476C60A6" w14:textId="77777777" w:rsidR="00556E8E" w:rsidRPr="006F0DCC" w:rsidRDefault="00556E8E">
      <w:pPr>
        <w:spacing w:line="360" w:lineRule="auto"/>
        <w:jc w:val="both"/>
        <w:rPr>
          <w:rFonts w:ascii="Palatino Linotype" w:eastAsia="Palatino Linotype" w:hAnsi="Palatino Linotype" w:cs="Palatino Linotype"/>
          <w:sz w:val="22"/>
          <w:szCs w:val="22"/>
        </w:rPr>
      </w:pPr>
    </w:p>
    <w:p w14:paraId="23C49E91" w14:textId="77777777" w:rsidR="00556E8E" w:rsidRPr="006F0DCC" w:rsidRDefault="000C60F7">
      <w:pPr>
        <w:spacing w:line="360" w:lineRule="auto"/>
        <w:jc w:val="both"/>
        <w:rPr>
          <w:rFonts w:ascii="Palatino Linotype" w:eastAsia="Palatino Linotype" w:hAnsi="Palatino Linotype" w:cs="Palatino Linotype"/>
          <w:sz w:val="22"/>
          <w:szCs w:val="22"/>
        </w:rPr>
      </w:pPr>
      <w:r w:rsidRPr="006F0DCC">
        <w:rPr>
          <w:rFonts w:ascii="Palatino Linotype" w:eastAsia="Palatino Linotype" w:hAnsi="Palatino Linotype" w:cs="Palatino Linotype"/>
          <w:sz w:val="22"/>
          <w:szCs w:val="22"/>
        </w:rPr>
        <w:t xml:space="preserve">Aunado a lo anterior, este Instituto estima dable referir lo que dispone el artículo 172, último párrafo de la Ley de Transparencia y Acceso a la Información Pública del Estado de México y Municipios, el cual refiere que los argumentos para justificar cualquier negativa de acceso a la información deben recaer en </w:t>
      </w:r>
      <w:r w:rsidRPr="006F0DCC">
        <w:rPr>
          <w:rFonts w:ascii="Palatino Linotype" w:eastAsia="Palatino Linotype" w:hAnsi="Palatino Linotype" w:cs="Palatino Linotype"/>
          <w:b/>
          <w:bCs/>
          <w:sz w:val="22"/>
          <w:szCs w:val="22"/>
        </w:rPr>
        <w:t>el Sujeto Obligado</w:t>
      </w:r>
      <w:r w:rsidRPr="006F0DCC">
        <w:rPr>
          <w:rFonts w:ascii="Palatino Linotype" w:eastAsia="Palatino Linotype" w:hAnsi="Palatino Linotype" w:cs="Palatino Linotype"/>
          <w:sz w:val="22"/>
          <w:szCs w:val="22"/>
        </w:rPr>
        <w:t>; por lo que, en caso de no atender de manera positiva</w:t>
      </w:r>
      <w:r w:rsidRPr="006F0DCC">
        <w:rPr>
          <w:rFonts w:ascii="Palatino Linotype" w:eastAsia="Palatino Linotype" w:hAnsi="Palatino Linotype" w:cs="Palatino Linotype"/>
          <w:sz w:val="22"/>
          <w:szCs w:val="22"/>
          <w:vertAlign w:val="superscript"/>
        </w:rPr>
        <w:footnoteReference w:id="2"/>
      </w:r>
      <w:r w:rsidRPr="006F0DCC">
        <w:rPr>
          <w:rFonts w:ascii="Palatino Linotype" w:eastAsia="Palatino Linotype" w:hAnsi="Palatino Linotype" w:cs="Palatino Linotype"/>
          <w:sz w:val="22"/>
          <w:szCs w:val="22"/>
        </w:rPr>
        <w:t>, el requerimiento de información deberá manifestarse al respecto.</w:t>
      </w:r>
    </w:p>
    <w:p w14:paraId="4903E77C" w14:textId="77777777" w:rsidR="00556E8E" w:rsidRPr="006F0DCC" w:rsidRDefault="00556E8E">
      <w:pPr>
        <w:spacing w:line="360" w:lineRule="auto"/>
        <w:jc w:val="both"/>
        <w:rPr>
          <w:rFonts w:ascii="Palatino Linotype" w:eastAsia="Palatino Linotype" w:hAnsi="Palatino Linotype" w:cs="Palatino Linotype"/>
          <w:sz w:val="22"/>
          <w:szCs w:val="22"/>
        </w:rPr>
      </w:pPr>
    </w:p>
    <w:p w14:paraId="35D44C7A" w14:textId="77777777" w:rsidR="00556E8E" w:rsidRPr="006F0DCC" w:rsidRDefault="000C60F7">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6F0DCC">
        <w:rPr>
          <w:rFonts w:ascii="Palatino Linotype" w:eastAsia="Palatino Linotype" w:hAnsi="Palatino Linotype" w:cs="Palatino Linotype"/>
          <w:b/>
          <w:bCs/>
          <w:sz w:val="22"/>
          <w:szCs w:val="22"/>
        </w:rPr>
        <w:t>De la clasificación de la información.</w:t>
      </w:r>
    </w:p>
    <w:p w14:paraId="2C86A24A" w14:textId="77777777" w:rsidR="00556E8E" w:rsidRPr="006F0DCC" w:rsidRDefault="00556E8E">
      <w:pPr>
        <w:pBdr>
          <w:top w:val="nil"/>
          <w:left w:val="nil"/>
          <w:bottom w:val="nil"/>
          <w:right w:val="nil"/>
          <w:between w:val="nil"/>
        </w:pBdr>
        <w:spacing w:line="360" w:lineRule="auto"/>
        <w:ind w:left="720"/>
        <w:jc w:val="both"/>
        <w:rPr>
          <w:rFonts w:ascii="Palatino Linotype" w:eastAsia="Palatino Linotype" w:hAnsi="Palatino Linotype" w:cs="Palatino Linotype"/>
          <w:b/>
          <w:bCs/>
          <w:sz w:val="22"/>
          <w:szCs w:val="22"/>
        </w:rPr>
      </w:pPr>
    </w:p>
    <w:p w14:paraId="440CACAD" w14:textId="77777777" w:rsidR="00556E8E" w:rsidRPr="006F0DCC" w:rsidRDefault="000C60F7">
      <w:pPr>
        <w:spacing w:line="360" w:lineRule="auto"/>
        <w:ind w:right="51"/>
        <w:jc w:val="both"/>
        <w:rPr>
          <w:rFonts w:ascii="Palatino Linotype" w:eastAsia="Palatino Linotype" w:hAnsi="Palatino Linotype" w:cs="Palatino Linotype"/>
          <w:sz w:val="22"/>
          <w:szCs w:val="22"/>
        </w:rPr>
      </w:pPr>
      <w:r w:rsidRPr="006F0DCC">
        <w:rPr>
          <w:rFonts w:ascii="Palatino Linotype" w:eastAsia="Palatino Linotype" w:hAnsi="Palatino Linotype" w:cs="Palatino Linotype"/>
          <w:sz w:val="22"/>
          <w:szCs w:val="22"/>
        </w:rPr>
        <w:t>Ahora bien, en atención al sentido en que se resuelve el presente medio de impugnación, este Organismo Garante no omite señalar que, el derecho de acceso a la información puede ser restringido de manera excepcional por razones de interés público, en los términos de las causas legítimas y estrictamente necesarias previstas por la Ley, a través de la clasificación de la información como confidencial o reservada para permitir el acceso, como se desprende del artículo 91 de la Ley de la Materia que es del tenor literal siguiente:</w:t>
      </w:r>
    </w:p>
    <w:p w14:paraId="354940BD" w14:textId="77777777" w:rsidR="00556E8E" w:rsidRPr="006F0DCC" w:rsidRDefault="00556E8E">
      <w:pPr>
        <w:spacing w:line="360" w:lineRule="auto"/>
        <w:ind w:right="51"/>
        <w:jc w:val="both"/>
        <w:rPr>
          <w:rFonts w:ascii="Palatino Linotype" w:eastAsia="Palatino Linotype" w:hAnsi="Palatino Linotype" w:cs="Palatino Linotype"/>
          <w:sz w:val="22"/>
          <w:szCs w:val="22"/>
        </w:rPr>
      </w:pPr>
    </w:p>
    <w:p w14:paraId="56456EF9" w14:textId="77777777" w:rsidR="00556E8E" w:rsidRPr="006F0DCC" w:rsidRDefault="000C60F7">
      <w:pPr>
        <w:spacing w:line="276" w:lineRule="auto"/>
        <w:ind w:left="851" w:right="900"/>
        <w:jc w:val="both"/>
        <w:rPr>
          <w:rFonts w:ascii="Palatino Linotype" w:eastAsia="Palatino Linotype" w:hAnsi="Palatino Linotype" w:cs="Palatino Linotype"/>
          <w:i/>
          <w:iCs/>
          <w:sz w:val="22"/>
          <w:szCs w:val="22"/>
        </w:rPr>
      </w:pPr>
      <w:r w:rsidRPr="006F0DCC">
        <w:rPr>
          <w:rFonts w:ascii="Palatino Linotype" w:eastAsia="Palatino Linotype" w:hAnsi="Palatino Linotype" w:cs="Palatino Linotype"/>
          <w:b/>
          <w:bCs/>
          <w:i/>
          <w:iCs/>
          <w:sz w:val="22"/>
          <w:szCs w:val="22"/>
        </w:rPr>
        <w:t xml:space="preserve">“Artículo 91. </w:t>
      </w:r>
      <w:r w:rsidRPr="006F0DCC">
        <w:rPr>
          <w:rFonts w:ascii="Palatino Linotype" w:eastAsia="Palatino Linotype" w:hAnsi="Palatino Linotype" w:cs="Palatino Linotype"/>
          <w:i/>
          <w:iCs/>
          <w:sz w:val="22"/>
          <w:szCs w:val="22"/>
        </w:rPr>
        <w:t>El acceso a la información pública será restringido excepcionalmente, cuando ésta sea clasificada como reservada o confidencial.”</w:t>
      </w:r>
    </w:p>
    <w:p w14:paraId="40BF17E8" w14:textId="77777777" w:rsidR="00556E8E" w:rsidRPr="006F0DCC" w:rsidRDefault="00556E8E">
      <w:pPr>
        <w:spacing w:line="360" w:lineRule="auto"/>
        <w:ind w:left="851" w:right="900"/>
        <w:jc w:val="both"/>
        <w:rPr>
          <w:rFonts w:ascii="Palatino Linotype" w:eastAsia="Palatino Linotype" w:hAnsi="Palatino Linotype" w:cs="Palatino Linotype"/>
          <w:i/>
          <w:iCs/>
          <w:sz w:val="22"/>
          <w:szCs w:val="22"/>
        </w:rPr>
      </w:pPr>
    </w:p>
    <w:p w14:paraId="7E04E3C3" w14:textId="77777777" w:rsidR="00556E8E" w:rsidRPr="006F0DCC" w:rsidRDefault="000C60F7">
      <w:pPr>
        <w:spacing w:line="360" w:lineRule="auto"/>
        <w:jc w:val="both"/>
        <w:rPr>
          <w:rFonts w:ascii="Palatino Linotype" w:eastAsia="Palatino Linotype" w:hAnsi="Palatino Linotype" w:cs="Palatino Linotype"/>
          <w:sz w:val="22"/>
          <w:szCs w:val="22"/>
        </w:rPr>
      </w:pPr>
      <w:r w:rsidRPr="006F0DCC">
        <w:rPr>
          <w:rFonts w:ascii="Palatino Linotype" w:eastAsia="Palatino Linotype" w:hAnsi="Palatino Linotype" w:cs="Palatino Linotype"/>
          <w:sz w:val="22"/>
          <w:szCs w:val="22"/>
        </w:rPr>
        <w:t xml:space="preserve">Entendiéndose como información reservada aquella que se clasifica de manera temporal cuya divulgación pueda causar algún daño; y como información confidencial, la relacionada </w:t>
      </w:r>
      <w:r w:rsidRPr="006F0DCC">
        <w:rPr>
          <w:rFonts w:ascii="Palatino Linotype" w:eastAsia="Palatino Linotype" w:hAnsi="Palatino Linotype" w:cs="Palatino Linotype"/>
          <w:sz w:val="22"/>
          <w:szCs w:val="22"/>
        </w:rPr>
        <w:lastRenderedPageBreak/>
        <w:t xml:space="preserve">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1CA2B0CB" w14:textId="77777777" w:rsidR="00556E8E" w:rsidRPr="006F0DCC" w:rsidRDefault="000C60F7">
      <w:pPr>
        <w:spacing w:line="360" w:lineRule="auto"/>
        <w:jc w:val="both"/>
        <w:rPr>
          <w:rFonts w:ascii="Palatino Linotype" w:eastAsia="Palatino Linotype" w:hAnsi="Palatino Linotype" w:cs="Palatino Linotype"/>
          <w:sz w:val="22"/>
          <w:szCs w:val="22"/>
        </w:rPr>
      </w:pPr>
      <w:r w:rsidRPr="006F0DCC">
        <w:rPr>
          <w:rFonts w:ascii="Palatino Linotype" w:eastAsia="Palatino Linotype" w:hAnsi="Palatino Linotype" w:cs="Palatino Linotype"/>
          <w:sz w:val="22"/>
          <w:szCs w:val="22"/>
        </w:rPr>
        <w:t>De manera que, la Ley de Transparencia y Acceso a la Información Pública del Estado de México y Municipios, en sus artículos 140 y 143 prevé los siguientes supuestos para clasificar la información como reservada o confidencial:</w:t>
      </w:r>
    </w:p>
    <w:p w14:paraId="28652674" w14:textId="77777777" w:rsidR="00556E8E" w:rsidRPr="006F0DCC" w:rsidRDefault="00556E8E">
      <w:pPr>
        <w:tabs>
          <w:tab w:val="left" w:pos="567"/>
        </w:tabs>
        <w:spacing w:line="276" w:lineRule="auto"/>
        <w:ind w:left="567" w:right="616"/>
        <w:jc w:val="both"/>
        <w:rPr>
          <w:rFonts w:ascii="Palatino Linotype" w:eastAsia="Palatino Linotype" w:hAnsi="Palatino Linotype" w:cs="Palatino Linotype"/>
          <w:sz w:val="22"/>
          <w:szCs w:val="22"/>
        </w:rPr>
      </w:pPr>
    </w:p>
    <w:p w14:paraId="4B80E74A" w14:textId="77777777" w:rsidR="00556E8E" w:rsidRPr="006F0DCC" w:rsidRDefault="000C60F7">
      <w:pPr>
        <w:tabs>
          <w:tab w:val="left" w:pos="567"/>
        </w:tabs>
        <w:spacing w:line="276" w:lineRule="auto"/>
        <w:ind w:left="567" w:right="616"/>
        <w:jc w:val="both"/>
        <w:rPr>
          <w:rFonts w:ascii="Palatino Linotype" w:eastAsia="Palatino Linotype" w:hAnsi="Palatino Linotype" w:cs="Palatino Linotype"/>
          <w:i/>
          <w:iCs/>
          <w:sz w:val="22"/>
          <w:szCs w:val="22"/>
        </w:rPr>
      </w:pPr>
      <w:r w:rsidRPr="006F0DCC">
        <w:rPr>
          <w:rFonts w:ascii="Palatino Linotype" w:eastAsia="Palatino Linotype" w:hAnsi="Palatino Linotype" w:cs="Palatino Linotype"/>
          <w:b/>
          <w:bCs/>
          <w:i/>
          <w:iCs/>
          <w:sz w:val="22"/>
          <w:szCs w:val="22"/>
        </w:rPr>
        <w:t xml:space="preserve">“Artículo 140. </w:t>
      </w:r>
      <w:r w:rsidRPr="006F0DCC">
        <w:rPr>
          <w:rFonts w:ascii="Palatino Linotype" w:eastAsia="Palatino Linotype" w:hAnsi="Palatino Linotype" w:cs="Palatino Linotype"/>
          <w:i/>
          <w:iCs/>
          <w:sz w:val="22"/>
          <w:szCs w:val="22"/>
        </w:rPr>
        <w:t>El acceso a la información pública será restringido excepcionalmente, cuando por razones de interés público, ésta sea clasificada como reservada, conforme a los criterios siguientes:</w:t>
      </w:r>
    </w:p>
    <w:p w14:paraId="2B35CFBC" w14:textId="77777777" w:rsidR="00556E8E" w:rsidRPr="006F0DCC" w:rsidRDefault="000C60F7">
      <w:pPr>
        <w:tabs>
          <w:tab w:val="left" w:pos="567"/>
        </w:tabs>
        <w:spacing w:line="276" w:lineRule="auto"/>
        <w:ind w:left="567" w:right="616"/>
        <w:jc w:val="both"/>
        <w:rPr>
          <w:rFonts w:ascii="Palatino Linotype" w:eastAsia="Palatino Linotype" w:hAnsi="Palatino Linotype" w:cs="Palatino Linotype"/>
          <w:i/>
          <w:iCs/>
          <w:sz w:val="22"/>
          <w:szCs w:val="22"/>
        </w:rPr>
      </w:pPr>
      <w:r w:rsidRPr="006F0DCC">
        <w:rPr>
          <w:rFonts w:ascii="Palatino Linotype" w:eastAsia="Palatino Linotype" w:hAnsi="Palatino Linotype" w:cs="Palatino Linotype"/>
          <w:b/>
          <w:bCs/>
          <w:i/>
          <w:iCs/>
          <w:sz w:val="22"/>
          <w:szCs w:val="22"/>
        </w:rPr>
        <w:t xml:space="preserve">I. </w:t>
      </w:r>
      <w:r w:rsidRPr="006F0DCC">
        <w:rPr>
          <w:rFonts w:ascii="Palatino Linotype" w:eastAsia="Palatino Linotype" w:hAnsi="Palatino Linotype" w:cs="Palatino Linotype"/>
          <w:i/>
          <w:iCs/>
          <w:sz w:val="22"/>
          <w:szCs w:val="22"/>
        </w:rPr>
        <w:t>Comprometa la seguridad pública y cuente con un propósito genuino y un efecto demostrable;</w:t>
      </w:r>
    </w:p>
    <w:p w14:paraId="4A6F2E92" w14:textId="77777777" w:rsidR="00556E8E" w:rsidRPr="006F0DCC" w:rsidRDefault="000C60F7">
      <w:pPr>
        <w:tabs>
          <w:tab w:val="left" w:pos="567"/>
        </w:tabs>
        <w:spacing w:line="276" w:lineRule="auto"/>
        <w:ind w:left="567" w:right="616"/>
        <w:jc w:val="both"/>
        <w:rPr>
          <w:rFonts w:ascii="Palatino Linotype" w:eastAsia="Palatino Linotype" w:hAnsi="Palatino Linotype" w:cs="Palatino Linotype"/>
          <w:i/>
          <w:iCs/>
          <w:sz w:val="22"/>
          <w:szCs w:val="22"/>
        </w:rPr>
      </w:pPr>
      <w:r w:rsidRPr="006F0DCC">
        <w:rPr>
          <w:rFonts w:ascii="Palatino Linotype" w:eastAsia="Palatino Linotype" w:hAnsi="Palatino Linotype" w:cs="Palatino Linotype"/>
          <w:b/>
          <w:bCs/>
          <w:i/>
          <w:iCs/>
          <w:sz w:val="22"/>
          <w:szCs w:val="22"/>
        </w:rPr>
        <w:t xml:space="preserve">II. </w:t>
      </w:r>
      <w:r w:rsidRPr="006F0DCC">
        <w:rPr>
          <w:rFonts w:ascii="Palatino Linotype" w:eastAsia="Palatino Linotype" w:hAnsi="Palatino Linotype" w:cs="Palatino Linotype"/>
          <w:i/>
          <w:iCs/>
          <w:sz w:val="22"/>
          <w:szCs w:val="22"/>
        </w:rPr>
        <w:t>Pueda menoscabar la conducción de las negociaciones y relaciones internacionales;</w:t>
      </w:r>
    </w:p>
    <w:p w14:paraId="265A77A0" w14:textId="77777777" w:rsidR="00556E8E" w:rsidRPr="006F0DCC" w:rsidRDefault="000C60F7">
      <w:pPr>
        <w:tabs>
          <w:tab w:val="left" w:pos="567"/>
        </w:tabs>
        <w:spacing w:line="276" w:lineRule="auto"/>
        <w:ind w:left="567" w:right="616"/>
        <w:jc w:val="both"/>
        <w:rPr>
          <w:rFonts w:ascii="Palatino Linotype" w:eastAsia="Palatino Linotype" w:hAnsi="Palatino Linotype" w:cs="Palatino Linotype"/>
          <w:i/>
          <w:iCs/>
          <w:sz w:val="22"/>
          <w:szCs w:val="22"/>
        </w:rPr>
      </w:pPr>
      <w:r w:rsidRPr="006F0DCC">
        <w:rPr>
          <w:rFonts w:ascii="Palatino Linotype" w:eastAsia="Palatino Linotype" w:hAnsi="Palatino Linotype" w:cs="Palatino Linotype"/>
          <w:b/>
          <w:bCs/>
          <w:i/>
          <w:iCs/>
          <w:sz w:val="22"/>
          <w:szCs w:val="22"/>
        </w:rPr>
        <w:t xml:space="preserve">III. </w:t>
      </w:r>
      <w:r w:rsidRPr="006F0DCC">
        <w:rPr>
          <w:rFonts w:ascii="Palatino Linotype" w:eastAsia="Palatino Linotype" w:hAnsi="Palatino Linotype" w:cs="Palatino Linotype"/>
          <w:i/>
          <w:iCs/>
          <w:sz w:val="22"/>
          <w:szCs w:val="22"/>
        </w:rPr>
        <w:t>Se entregue a la Entidad expresamente con ese carácter o el de confidencialidad por otro u otros sujetos de derecho internacional, excepto cuando se trate de violaciones graves de derechos humanos o delitos de lesa humanidad de conformidad con el derecho internacional;</w:t>
      </w:r>
    </w:p>
    <w:p w14:paraId="77ABEDC5" w14:textId="77777777" w:rsidR="00556E8E" w:rsidRPr="006F0DCC" w:rsidRDefault="000C60F7">
      <w:pPr>
        <w:tabs>
          <w:tab w:val="left" w:pos="567"/>
        </w:tabs>
        <w:spacing w:line="276" w:lineRule="auto"/>
        <w:ind w:left="567" w:right="616"/>
        <w:jc w:val="both"/>
        <w:rPr>
          <w:rFonts w:ascii="Palatino Linotype" w:eastAsia="Palatino Linotype" w:hAnsi="Palatino Linotype" w:cs="Palatino Linotype"/>
          <w:i/>
          <w:iCs/>
          <w:sz w:val="22"/>
          <w:szCs w:val="22"/>
        </w:rPr>
      </w:pPr>
      <w:r w:rsidRPr="006F0DCC">
        <w:rPr>
          <w:rFonts w:ascii="Palatino Linotype" w:eastAsia="Palatino Linotype" w:hAnsi="Palatino Linotype" w:cs="Palatino Linotype"/>
          <w:b/>
          <w:bCs/>
          <w:i/>
          <w:iCs/>
          <w:sz w:val="22"/>
          <w:szCs w:val="22"/>
        </w:rPr>
        <w:t xml:space="preserve">IV. </w:t>
      </w:r>
      <w:r w:rsidRPr="006F0DCC">
        <w:rPr>
          <w:rFonts w:ascii="Palatino Linotype" w:eastAsia="Palatino Linotype" w:hAnsi="Palatino Linotype" w:cs="Palatino Linotype"/>
          <w:i/>
          <w:iCs/>
          <w:sz w:val="22"/>
          <w:szCs w:val="22"/>
        </w:rPr>
        <w:t>Ponga en riesgo la vida, la seguridad o la salud de una persona física;</w:t>
      </w:r>
    </w:p>
    <w:p w14:paraId="19CD84B2" w14:textId="77777777" w:rsidR="00556E8E" w:rsidRPr="006F0DCC" w:rsidRDefault="000C60F7">
      <w:pPr>
        <w:tabs>
          <w:tab w:val="left" w:pos="567"/>
        </w:tabs>
        <w:spacing w:line="276" w:lineRule="auto"/>
        <w:ind w:left="567" w:right="616"/>
        <w:jc w:val="both"/>
        <w:rPr>
          <w:rFonts w:ascii="Palatino Linotype" w:eastAsia="Palatino Linotype" w:hAnsi="Palatino Linotype" w:cs="Palatino Linotype"/>
          <w:i/>
          <w:iCs/>
          <w:sz w:val="22"/>
          <w:szCs w:val="22"/>
        </w:rPr>
      </w:pPr>
      <w:r w:rsidRPr="006F0DCC">
        <w:rPr>
          <w:rFonts w:ascii="Palatino Linotype" w:eastAsia="Palatino Linotype" w:hAnsi="Palatino Linotype" w:cs="Palatino Linotype"/>
          <w:b/>
          <w:bCs/>
          <w:i/>
          <w:iCs/>
          <w:sz w:val="22"/>
          <w:szCs w:val="22"/>
        </w:rPr>
        <w:t xml:space="preserve">V. </w:t>
      </w:r>
      <w:r w:rsidRPr="006F0DCC">
        <w:rPr>
          <w:rFonts w:ascii="Palatino Linotype" w:eastAsia="Palatino Linotype" w:hAnsi="Palatino Linotype" w:cs="Palatino Linotype"/>
          <w:i/>
          <w:iCs/>
          <w:sz w:val="22"/>
          <w:szCs w:val="22"/>
        </w:rPr>
        <w:t>Aquella cuya divulgación obstruya o pueda causar un serio perjuicio a:</w:t>
      </w:r>
    </w:p>
    <w:p w14:paraId="7C686A51" w14:textId="77777777" w:rsidR="00556E8E" w:rsidRPr="006F0DCC" w:rsidRDefault="000C60F7">
      <w:pPr>
        <w:tabs>
          <w:tab w:val="left" w:pos="567"/>
        </w:tabs>
        <w:spacing w:line="276" w:lineRule="auto"/>
        <w:ind w:left="567" w:right="616"/>
        <w:jc w:val="both"/>
        <w:rPr>
          <w:rFonts w:ascii="Palatino Linotype" w:eastAsia="Palatino Linotype" w:hAnsi="Palatino Linotype" w:cs="Palatino Linotype"/>
          <w:i/>
          <w:iCs/>
          <w:sz w:val="22"/>
          <w:szCs w:val="22"/>
        </w:rPr>
      </w:pPr>
      <w:r w:rsidRPr="006F0DCC">
        <w:rPr>
          <w:rFonts w:ascii="Palatino Linotype" w:eastAsia="Palatino Linotype" w:hAnsi="Palatino Linotype" w:cs="Palatino Linotype"/>
          <w:b/>
          <w:bCs/>
          <w:i/>
          <w:iCs/>
          <w:sz w:val="22"/>
          <w:szCs w:val="22"/>
        </w:rPr>
        <w:t xml:space="preserve">1. </w:t>
      </w:r>
      <w:r w:rsidRPr="006F0DCC">
        <w:rPr>
          <w:rFonts w:ascii="Palatino Linotype" w:eastAsia="Palatino Linotype" w:hAnsi="Palatino Linotype" w:cs="Palatino Linotype"/>
          <w:i/>
          <w:iCs/>
          <w:sz w:val="22"/>
          <w:szCs w:val="22"/>
        </w:rPr>
        <w:t xml:space="preserve">Las actividades de fiscalización, verificación, inspección, comprobación y auditoría sobre el cumplimiento de las Leyes; o </w:t>
      </w:r>
    </w:p>
    <w:p w14:paraId="4CC39478" w14:textId="77777777" w:rsidR="00556E8E" w:rsidRPr="006F0DCC" w:rsidRDefault="000C60F7">
      <w:pPr>
        <w:tabs>
          <w:tab w:val="left" w:pos="567"/>
        </w:tabs>
        <w:spacing w:line="276" w:lineRule="auto"/>
        <w:ind w:left="567" w:right="616"/>
        <w:jc w:val="both"/>
        <w:rPr>
          <w:rFonts w:ascii="Palatino Linotype" w:eastAsia="Palatino Linotype" w:hAnsi="Palatino Linotype" w:cs="Palatino Linotype"/>
          <w:i/>
          <w:iCs/>
          <w:sz w:val="22"/>
          <w:szCs w:val="22"/>
        </w:rPr>
      </w:pPr>
      <w:r w:rsidRPr="006F0DCC">
        <w:rPr>
          <w:rFonts w:ascii="Palatino Linotype" w:eastAsia="Palatino Linotype" w:hAnsi="Palatino Linotype" w:cs="Palatino Linotype"/>
          <w:b/>
          <w:bCs/>
          <w:i/>
          <w:iCs/>
          <w:sz w:val="22"/>
          <w:szCs w:val="22"/>
        </w:rPr>
        <w:t xml:space="preserve">2. </w:t>
      </w:r>
      <w:r w:rsidRPr="006F0DCC">
        <w:rPr>
          <w:rFonts w:ascii="Palatino Linotype" w:eastAsia="Palatino Linotype" w:hAnsi="Palatino Linotype" w:cs="Palatino Linotype"/>
          <w:i/>
          <w:iCs/>
          <w:sz w:val="22"/>
          <w:szCs w:val="22"/>
        </w:rPr>
        <w:t>La recaudación de las contribuciones.</w:t>
      </w:r>
    </w:p>
    <w:p w14:paraId="0623A0C8" w14:textId="77777777" w:rsidR="00556E8E" w:rsidRPr="006F0DCC" w:rsidRDefault="000C60F7">
      <w:pPr>
        <w:tabs>
          <w:tab w:val="left" w:pos="567"/>
        </w:tabs>
        <w:spacing w:line="276" w:lineRule="auto"/>
        <w:ind w:left="567" w:right="616"/>
        <w:jc w:val="both"/>
        <w:rPr>
          <w:rFonts w:ascii="Palatino Linotype" w:eastAsia="Palatino Linotype" w:hAnsi="Palatino Linotype" w:cs="Palatino Linotype"/>
          <w:i/>
          <w:iCs/>
          <w:sz w:val="22"/>
          <w:szCs w:val="22"/>
        </w:rPr>
      </w:pPr>
      <w:r w:rsidRPr="006F0DCC">
        <w:rPr>
          <w:rFonts w:ascii="Palatino Linotype" w:eastAsia="Palatino Linotype" w:hAnsi="Palatino Linotype" w:cs="Palatino Linotype"/>
          <w:b/>
          <w:bCs/>
          <w:i/>
          <w:iCs/>
          <w:sz w:val="22"/>
          <w:szCs w:val="22"/>
        </w:rPr>
        <w:t xml:space="preserve">VI. </w:t>
      </w:r>
      <w:r w:rsidRPr="006F0DCC">
        <w:rPr>
          <w:rFonts w:ascii="Palatino Linotype" w:eastAsia="Palatino Linotype" w:hAnsi="Palatino Linotype" w:cs="Palatino Linotype"/>
          <w:i/>
          <w:iCs/>
          <w:sz w:val="22"/>
          <w:szCs w:val="22"/>
        </w:rPr>
        <w:t>Pueda causar daño u obstruya la prevención o persecución de los delitos, altere el proceso de investigación de las carpetas de investigación, afecte o vulnere la conducción o los derechos del debido proceso en los procedimientos judiciales o administrativos, incluidos los de quejas, denuncias, inconformidades, responsabilidades administrativas y resarcitorias en tanto no hayan quedado firmes o afecte la administración de justicia o la seguridad de un denunciante, querellante o testigo, así como sus familias, en los términos de las disposiciones jurídicas aplicables;</w:t>
      </w:r>
    </w:p>
    <w:p w14:paraId="1FDBBC53" w14:textId="77777777" w:rsidR="00556E8E" w:rsidRPr="006F0DCC" w:rsidRDefault="000C60F7">
      <w:pPr>
        <w:tabs>
          <w:tab w:val="left" w:pos="567"/>
        </w:tabs>
        <w:spacing w:line="276" w:lineRule="auto"/>
        <w:ind w:left="567" w:right="616"/>
        <w:jc w:val="both"/>
        <w:rPr>
          <w:rFonts w:ascii="Palatino Linotype" w:eastAsia="Palatino Linotype" w:hAnsi="Palatino Linotype" w:cs="Palatino Linotype"/>
          <w:i/>
          <w:iCs/>
          <w:sz w:val="22"/>
          <w:szCs w:val="22"/>
        </w:rPr>
      </w:pPr>
      <w:r w:rsidRPr="006F0DCC">
        <w:rPr>
          <w:rFonts w:ascii="Palatino Linotype" w:eastAsia="Palatino Linotype" w:hAnsi="Palatino Linotype" w:cs="Palatino Linotype"/>
          <w:b/>
          <w:bCs/>
          <w:i/>
          <w:iCs/>
          <w:sz w:val="22"/>
          <w:szCs w:val="22"/>
        </w:rPr>
        <w:lastRenderedPageBreak/>
        <w:t xml:space="preserve">VII. </w:t>
      </w:r>
      <w:r w:rsidRPr="006F0DCC">
        <w:rPr>
          <w:rFonts w:ascii="Palatino Linotype" w:eastAsia="Palatino Linotype" w:hAnsi="Palatino Linotype" w:cs="Palatino Linotype"/>
          <w:i/>
          <w:iCs/>
          <w:sz w:val="22"/>
          <w:szCs w:val="22"/>
        </w:rPr>
        <w:t>La que contengan las opiniones, recomendaciones o puntos de vista que formen parte del proceso deliberativo de los servidores públicos, hasta en tanto sea adoptada la decisión definitiva, la cual deberá estar documentada;</w:t>
      </w:r>
    </w:p>
    <w:p w14:paraId="4BD48150" w14:textId="77777777" w:rsidR="00556E8E" w:rsidRPr="006F0DCC" w:rsidRDefault="000C60F7">
      <w:pPr>
        <w:tabs>
          <w:tab w:val="left" w:pos="567"/>
        </w:tabs>
        <w:spacing w:line="276" w:lineRule="auto"/>
        <w:ind w:left="567" w:right="616"/>
        <w:jc w:val="both"/>
        <w:rPr>
          <w:rFonts w:ascii="Palatino Linotype" w:eastAsia="Palatino Linotype" w:hAnsi="Palatino Linotype" w:cs="Palatino Linotype"/>
          <w:i/>
          <w:iCs/>
          <w:sz w:val="22"/>
          <w:szCs w:val="22"/>
        </w:rPr>
      </w:pPr>
      <w:r w:rsidRPr="006F0DCC">
        <w:rPr>
          <w:rFonts w:ascii="Palatino Linotype" w:eastAsia="Palatino Linotype" w:hAnsi="Palatino Linotype" w:cs="Palatino Linotype"/>
          <w:b/>
          <w:bCs/>
          <w:i/>
          <w:iCs/>
          <w:sz w:val="22"/>
          <w:szCs w:val="22"/>
        </w:rPr>
        <w:t>VIII</w:t>
      </w:r>
      <w:r w:rsidRPr="006F0DCC">
        <w:rPr>
          <w:rFonts w:ascii="Palatino Linotype" w:eastAsia="Palatino Linotype" w:hAnsi="Palatino Linotype" w:cs="Palatino Linotype"/>
          <w:i/>
          <w:iCs/>
          <w:sz w:val="22"/>
          <w:szCs w:val="22"/>
        </w:rPr>
        <w:t>. Vulnere la conducción de los expedientes judiciales o de los procedimientos administrativos seguidos en forma de juicio, en tanto no hayan quedado firmes</w:t>
      </w:r>
      <w:r w:rsidRPr="006F0DCC">
        <w:rPr>
          <w:rFonts w:ascii="Palatino Linotype" w:eastAsia="Palatino Linotype" w:hAnsi="Palatino Linotype" w:cs="Palatino Linotype"/>
          <w:b/>
          <w:bCs/>
          <w:i/>
          <w:iCs/>
          <w:sz w:val="22"/>
          <w:szCs w:val="22"/>
        </w:rPr>
        <w:t>;</w:t>
      </w:r>
    </w:p>
    <w:p w14:paraId="3271A6A4" w14:textId="77777777" w:rsidR="00556E8E" w:rsidRPr="006F0DCC" w:rsidRDefault="000C60F7">
      <w:pPr>
        <w:tabs>
          <w:tab w:val="left" w:pos="567"/>
        </w:tabs>
        <w:spacing w:line="276" w:lineRule="auto"/>
        <w:ind w:left="567" w:right="616"/>
        <w:jc w:val="both"/>
        <w:rPr>
          <w:rFonts w:ascii="Palatino Linotype" w:eastAsia="Palatino Linotype" w:hAnsi="Palatino Linotype" w:cs="Palatino Linotype"/>
          <w:i/>
          <w:iCs/>
          <w:sz w:val="22"/>
          <w:szCs w:val="22"/>
        </w:rPr>
      </w:pPr>
      <w:r w:rsidRPr="006F0DCC">
        <w:rPr>
          <w:rFonts w:ascii="Palatino Linotype" w:eastAsia="Palatino Linotype" w:hAnsi="Palatino Linotype" w:cs="Palatino Linotype"/>
          <w:b/>
          <w:bCs/>
          <w:i/>
          <w:iCs/>
          <w:sz w:val="22"/>
          <w:szCs w:val="22"/>
        </w:rPr>
        <w:t xml:space="preserve">IX. </w:t>
      </w:r>
      <w:r w:rsidRPr="006F0DCC">
        <w:rPr>
          <w:rFonts w:ascii="Palatino Linotype" w:eastAsia="Palatino Linotype" w:hAnsi="Palatino Linotype" w:cs="Palatino Linotype"/>
          <w:i/>
          <w:iCs/>
          <w:sz w:val="22"/>
          <w:szCs w:val="22"/>
        </w:rPr>
        <w:t>Se encuentre contenida dentro de las investigaciones de hechos que la Ley señale como delitos y se tramiten ante el Ministerio Público;</w:t>
      </w:r>
    </w:p>
    <w:p w14:paraId="4D12AD7B" w14:textId="77777777" w:rsidR="00556E8E" w:rsidRPr="006F0DCC" w:rsidRDefault="000C60F7">
      <w:pPr>
        <w:tabs>
          <w:tab w:val="left" w:pos="567"/>
        </w:tabs>
        <w:spacing w:line="276" w:lineRule="auto"/>
        <w:ind w:left="567" w:right="616"/>
        <w:jc w:val="both"/>
        <w:rPr>
          <w:rFonts w:ascii="Palatino Linotype" w:eastAsia="Palatino Linotype" w:hAnsi="Palatino Linotype" w:cs="Palatino Linotype"/>
          <w:i/>
          <w:iCs/>
          <w:sz w:val="22"/>
          <w:szCs w:val="22"/>
        </w:rPr>
      </w:pPr>
      <w:r w:rsidRPr="006F0DCC">
        <w:rPr>
          <w:rFonts w:ascii="Palatino Linotype" w:eastAsia="Palatino Linotype" w:hAnsi="Palatino Linotype" w:cs="Palatino Linotype"/>
          <w:b/>
          <w:bCs/>
          <w:i/>
          <w:iCs/>
          <w:sz w:val="22"/>
          <w:szCs w:val="22"/>
        </w:rPr>
        <w:t xml:space="preserve">X. </w:t>
      </w:r>
      <w:r w:rsidRPr="006F0DCC">
        <w:rPr>
          <w:rFonts w:ascii="Palatino Linotype" w:eastAsia="Palatino Linotype" w:hAnsi="Palatino Linotype" w:cs="Palatino Linotype"/>
          <w:i/>
          <w:iCs/>
          <w:sz w:val="22"/>
          <w:szCs w:val="22"/>
        </w:rPr>
        <w:t>El daño que pueda producirse con la publicación de la información sea mayor que el interés público de conocer la información de referencia, siempre que esté directamente relacionado con procesos o procedimientos administrativos o judiciales que no hayan quedado firmes;</w:t>
      </w:r>
    </w:p>
    <w:p w14:paraId="60962199" w14:textId="77777777" w:rsidR="00556E8E" w:rsidRPr="006F0DCC" w:rsidRDefault="000C60F7">
      <w:pPr>
        <w:tabs>
          <w:tab w:val="left" w:pos="567"/>
        </w:tabs>
        <w:spacing w:line="276" w:lineRule="auto"/>
        <w:ind w:left="567" w:right="616"/>
        <w:jc w:val="both"/>
        <w:rPr>
          <w:rFonts w:ascii="Palatino Linotype" w:eastAsia="Palatino Linotype" w:hAnsi="Palatino Linotype" w:cs="Palatino Linotype"/>
          <w:i/>
          <w:iCs/>
          <w:sz w:val="22"/>
          <w:szCs w:val="22"/>
        </w:rPr>
      </w:pPr>
      <w:r w:rsidRPr="006F0DCC">
        <w:rPr>
          <w:rFonts w:ascii="Palatino Linotype" w:eastAsia="Palatino Linotype" w:hAnsi="Palatino Linotype" w:cs="Palatino Linotype"/>
          <w:i/>
          <w:iCs/>
          <w:sz w:val="22"/>
          <w:szCs w:val="22"/>
        </w:rPr>
        <w:t>Cuando se trate de información sobre estudios y proyectos cuya divulgación pueda causar daños al interés del Estado o suponga un riesgo para su realización, siempre que esté directamente relacionado con procesos o procedimientos administrativos o judiciales que no hayan quedado firmes; y</w:t>
      </w:r>
    </w:p>
    <w:p w14:paraId="7A93C338" w14:textId="77777777" w:rsidR="00556E8E" w:rsidRPr="006F0DCC" w:rsidRDefault="000C60F7">
      <w:pPr>
        <w:tabs>
          <w:tab w:val="left" w:pos="567"/>
        </w:tabs>
        <w:spacing w:line="276" w:lineRule="auto"/>
        <w:ind w:left="567" w:right="616"/>
        <w:jc w:val="both"/>
        <w:rPr>
          <w:rFonts w:ascii="Palatino Linotype" w:eastAsia="Palatino Linotype" w:hAnsi="Palatino Linotype" w:cs="Palatino Linotype"/>
          <w:i/>
          <w:iCs/>
          <w:sz w:val="22"/>
          <w:szCs w:val="22"/>
        </w:rPr>
      </w:pPr>
      <w:r w:rsidRPr="006F0DCC">
        <w:rPr>
          <w:rFonts w:ascii="Palatino Linotype" w:eastAsia="Palatino Linotype" w:hAnsi="Palatino Linotype" w:cs="Palatino Linotype"/>
          <w:b/>
          <w:bCs/>
          <w:i/>
          <w:iCs/>
          <w:sz w:val="22"/>
          <w:szCs w:val="22"/>
        </w:rPr>
        <w:t xml:space="preserve">XI. </w:t>
      </w:r>
      <w:r w:rsidRPr="006F0DCC">
        <w:rPr>
          <w:rFonts w:ascii="Palatino Linotype" w:eastAsia="Palatino Linotype" w:hAnsi="Palatino Linotype" w:cs="Palatino Linotype"/>
          <w:i/>
          <w:iCs/>
          <w:sz w:val="22"/>
          <w:szCs w:val="22"/>
        </w:rPr>
        <w:t>Las que por disposición expresa de una ley tengan tal carácter, siempre que sean acordes con las bases, principios y disposiciones establecidos en esta Ley y no la contravengan; así como las previstas en tratados internacionales.</w:t>
      </w:r>
    </w:p>
    <w:p w14:paraId="11B536FB" w14:textId="77777777" w:rsidR="00556E8E" w:rsidRPr="006F0DCC" w:rsidRDefault="000C60F7">
      <w:pPr>
        <w:tabs>
          <w:tab w:val="left" w:pos="567"/>
        </w:tabs>
        <w:spacing w:line="276" w:lineRule="auto"/>
        <w:ind w:left="567" w:right="616"/>
        <w:jc w:val="both"/>
        <w:rPr>
          <w:rFonts w:ascii="Palatino Linotype" w:eastAsia="Palatino Linotype" w:hAnsi="Palatino Linotype" w:cs="Palatino Linotype"/>
          <w:i/>
          <w:iCs/>
          <w:sz w:val="22"/>
          <w:szCs w:val="22"/>
        </w:rPr>
      </w:pPr>
      <w:r w:rsidRPr="006F0DCC">
        <w:rPr>
          <w:rFonts w:ascii="Palatino Linotype" w:eastAsia="Palatino Linotype" w:hAnsi="Palatino Linotype" w:cs="Palatino Linotype"/>
          <w:i/>
          <w:iCs/>
          <w:sz w:val="22"/>
          <w:szCs w:val="22"/>
        </w:rPr>
        <w:t>(…)</w:t>
      </w:r>
    </w:p>
    <w:p w14:paraId="700AE36B" w14:textId="77777777" w:rsidR="00556E8E" w:rsidRPr="006F0DCC" w:rsidRDefault="000C60F7">
      <w:pPr>
        <w:tabs>
          <w:tab w:val="left" w:pos="567"/>
        </w:tabs>
        <w:spacing w:line="276" w:lineRule="auto"/>
        <w:ind w:left="567" w:right="616"/>
        <w:jc w:val="both"/>
        <w:rPr>
          <w:rFonts w:ascii="Palatino Linotype" w:eastAsia="Palatino Linotype" w:hAnsi="Palatino Linotype" w:cs="Palatino Linotype"/>
          <w:i/>
          <w:iCs/>
          <w:sz w:val="22"/>
          <w:szCs w:val="22"/>
        </w:rPr>
      </w:pPr>
      <w:r w:rsidRPr="006F0DCC">
        <w:rPr>
          <w:rFonts w:ascii="Palatino Linotype" w:eastAsia="Palatino Linotype" w:hAnsi="Palatino Linotype" w:cs="Palatino Linotype"/>
          <w:b/>
          <w:bCs/>
          <w:i/>
          <w:iCs/>
          <w:sz w:val="22"/>
          <w:szCs w:val="22"/>
        </w:rPr>
        <w:t xml:space="preserve">Artículo 143. </w:t>
      </w:r>
      <w:r w:rsidRPr="006F0DCC">
        <w:rPr>
          <w:rFonts w:ascii="Palatino Linotype" w:eastAsia="Palatino Linotype" w:hAnsi="Palatino Linotype" w:cs="Palatino Linotype"/>
          <w:i/>
          <w:iCs/>
          <w:sz w:val="22"/>
          <w:szCs w:val="22"/>
        </w:rPr>
        <w:t>Para los efectos de esta Ley se considera información confidencial, la clasificada como tal, de manera permanente, por su naturaleza, cuando:</w:t>
      </w:r>
    </w:p>
    <w:p w14:paraId="6CC36E76" w14:textId="77777777" w:rsidR="00556E8E" w:rsidRPr="006F0DCC" w:rsidRDefault="000C60F7">
      <w:pPr>
        <w:tabs>
          <w:tab w:val="left" w:pos="567"/>
        </w:tabs>
        <w:spacing w:line="276" w:lineRule="auto"/>
        <w:ind w:left="567" w:right="616"/>
        <w:jc w:val="both"/>
        <w:rPr>
          <w:rFonts w:ascii="Palatino Linotype" w:eastAsia="Palatino Linotype" w:hAnsi="Palatino Linotype" w:cs="Palatino Linotype"/>
          <w:i/>
          <w:iCs/>
          <w:sz w:val="22"/>
          <w:szCs w:val="22"/>
        </w:rPr>
      </w:pPr>
      <w:r w:rsidRPr="006F0DCC">
        <w:rPr>
          <w:rFonts w:ascii="Palatino Linotype" w:eastAsia="Palatino Linotype" w:hAnsi="Palatino Linotype" w:cs="Palatino Linotype"/>
          <w:b/>
          <w:bCs/>
          <w:i/>
          <w:iCs/>
          <w:sz w:val="22"/>
          <w:szCs w:val="22"/>
        </w:rPr>
        <w:t xml:space="preserve">I. </w:t>
      </w:r>
      <w:r w:rsidRPr="006F0DCC">
        <w:rPr>
          <w:rFonts w:ascii="Palatino Linotype" w:eastAsia="Palatino Linotype" w:hAnsi="Palatino Linotype" w:cs="Palatino Linotype"/>
          <w:i/>
          <w:iCs/>
          <w:sz w:val="22"/>
          <w:szCs w:val="22"/>
        </w:rPr>
        <w:t>Se refiera a la información privada y los datos personales concernientes a una persona física o jurídico colectiva identificada o identificable;</w:t>
      </w:r>
    </w:p>
    <w:p w14:paraId="2071A8F8" w14:textId="77777777" w:rsidR="00556E8E" w:rsidRPr="006F0DCC" w:rsidRDefault="000C60F7">
      <w:pPr>
        <w:tabs>
          <w:tab w:val="left" w:pos="567"/>
        </w:tabs>
        <w:spacing w:line="276" w:lineRule="auto"/>
        <w:ind w:left="567" w:right="616"/>
        <w:jc w:val="both"/>
        <w:rPr>
          <w:rFonts w:ascii="Palatino Linotype" w:eastAsia="Palatino Linotype" w:hAnsi="Palatino Linotype" w:cs="Palatino Linotype"/>
          <w:i/>
          <w:iCs/>
          <w:sz w:val="22"/>
          <w:szCs w:val="22"/>
        </w:rPr>
      </w:pPr>
      <w:r w:rsidRPr="006F0DCC">
        <w:rPr>
          <w:rFonts w:ascii="Palatino Linotype" w:eastAsia="Palatino Linotype" w:hAnsi="Palatino Linotype" w:cs="Palatino Linotype"/>
          <w:b/>
          <w:bCs/>
          <w:i/>
          <w:iCs/>
          <w:sz w:val="22"/>
          <w:szCs w:val="22"/>
        </w:rPr>
        <w:t xml:space="preserve">II. </w:t>
      </w:r>
      <w:r w:rsidRPr="006F0DCC">
        <w:rPr>
          <w:rFonts w:ascii="Palatino Linotype" w:eastAsia="Palatino Linotype" w:hAnsi="Palatino Linotype" w:cs="Palatino Linotype"/>
          <w:i/>
          <w:iCs/>
          <w:sz w:val="22"/>
          <w:szCs w:val="22"/>
        </w:rPr>
        <w:t>Los secretos bancario, fiduciario, industrial, comercial, fiscal, bursátil y postal, cuya titularidad corresponda a particulares, sujetos de derecho internacional o a sujetos obligados cuando no involucren el ejercicio de recursos públicos; y</w:t>
      </w:r>
    </w:p>
    <w:p w14:paraId="436BEE90" w14:textId="77777777" w:rsidR="00556E8E" w:rsidRPr="006F0DCC" w:rsidRDefault="000C60F7">
      <w:pPr>
        <w:tabs>
          <w:tab w:val="left" w:pos="567"/>
        </w:tabs>
        <w:spacing w:line="276" w:lineRule="auto"/>
        <w:ind w:left="567" w:right="616"/>
        <w:jc w:val="both"/>
        <w:rPr>
          <w:rFonts w:ascii="Palatino Linotype" w:eastAsia="Palatino Linotype" w:hAnsi="Palatino Linotype" w:cs="Palatino Linotype"/>
          <w:i/>
          <w:iCs/>
          <w:sz w:val="22"/>
          <w:szCs w:val="22"/>
        </w:rPr>
      </w:pPr>
      <w:r w:rsidRPr="006F0DCC">
        <w:rPr>
          <w:rFonts w:ascii="Palatino Linotype" w:eastAsia="Palatino Linotype" w:hAnsi="Palatino Linotype" w:cs="Palatino Linotype"/>
          <w:b/>
          <w:bCs/>
          <w:i/>
          <w:iCs/>
          <w:sz w:val="22"/>
          <w:szCs w:val="22"/>
        </w:rPr>
        <w:t xml:space="preserve">III. </w:t>
      </w:r>
      <w:r w:rsidRPr="006F0DCC">
        <w:rPr>
          <w:rFonts w:ascii="Palatino Linotype" w:eastAsia="Palatino Linotype" w:hAnsi="Palatino Linotype" w:cs="Palatino Linotype"/>
          <w:i/>
          <w:iCs/>
          <w:sz w:val="22"/>
          <w:szCs w:val="22"/>
        </w:rPr>
        <w:t>La que presenten los particulares a los sujetos obligados, de conformidad con lo dispuesto por las leyes o los tratados internacionales.</w:t>
      </w:r>
    </w:p>
    <w:p w14:paraId="1EABD432" w14:textId="77777777" w:rsidR="00556E8E" w:rsidRPr="006F0DCC" w:rsidRDefault="000C60F7">
      <w:pPr>
        <w:tabs>
          <w:tab w:val="left" w:pos="567"/>
        </w:tabs>
        <w:spacing w:line="276" w:lineRule="auto"/>
        <w:ind w:left="567" w:right="616"/>
        <w:jc w:val="both"/>
        <w:rPr>
          <w:rFonts w:ascii="Palatino Linotype" w:eastAsia="Palatino Linotype" w:hAnsi="Palatino Linotype" w:cs="Palatino Linotype"/>
          <w:i/>
          <w:iCs/>
          <w:sz w:val="22"/>
          <w:szCs w:val="22"/>
        </w:rPr>
      </w:pPr>
      <w:r w:rsidRPr="006F0DCC">
        <w:rPr>
          <w:rFonts w:ascii="Palatino Linotype" w:eastAsia="Palatino Linotype" w:hAnsi="Palatino Linotype" w:cs="Palatino Linotype"/>
          <w:i/>
          <w:iCs/>
          <w:sz w:val="22"/>
          <w:szCs w:val="22"/>
        </w:rPr>
        <w:t xml:space="preserve">La información confidencial no estará sujeta a temporalidad alguna y sólo podrán tener acceso a ella los titulares de </w:t>
      </w:r>
      <w:proofErr w:type="gramStart"/>
      <w:r w:rsidRPr="006F0DCC">
        <w:rPr>
          <w:rFonts w:ascii="Palatino Linotype" w:eastAsia="Palatino Linotype" w:hAnsi="Palatino Linotype" w:cs="Palatino Linotype"/>
          <w:i/>
          <w:iCs/>
          <w:sz w:val="22"/>
          <w:szCs w:val="22"/>
        </w:rPr>
        <w:t>la misma</w:t>
      </w:r>
      <w:proofErr w:type="gramEnd"/>
      <w:r w:rsidRPr="006F0DCC">
        <w:rPr>
          <w:rFonts w:ascii="Palatino Linotype" w:eastAsia="Palatino Linotype" w:hAnsi="Palatino Linotype" w:cs="Palatino Linotype"/>
          <w:i/>
          <w:iCs/>
          <w:sz w:val="22"/>
          <w:szCs w:val="22"/>
        </w:rPr>
        <w:t>, sus representantes y los servidores públicos facultados para ello.</w:t>
      </w:r>
    </w:p>
    <w:p w14:paraId="40F83963" w14:textId="77777777" w:rsidR="00556E8E" w:rsidRPr="006F0DCC" w:rsidRDefault="000C60F7">
      <w:pPr>
        <w:tabs>
          <w:tab w:val="left" w:pos="567"/>
        </w:tabs>
        <w:spacing w:line="276" w:lineRule="auto"/>
        <w:ind w:left="567" w:right="616"/>
        <w:jc w:val="both"/>
        <w:rPr>
          <w:rFonts w:ascii="Palatino Linotype" w:eastAsia="Palatino Linotype" w:hAnsi="Palatino Linotype" w:cs="Palatino Linotype"/>
          <w:i/>
          <w:iCs/>
          <w:sz w:val="22"/>
          <w:szCs w:val="22"/>
        </w:rPr>
      </w:pPr>
      <w:r w:rsidRPr="006F0DCC">
        <w:rPr>
          <w:rFonts w:ascii="Palatino Linotype" w:eastAsia="Palatino Linotype" w:hAnsi="Palatino Linotype" w:cs="Palatino Linotype"/>
          <w:i/>
          <w:iCs/>
          <w:sz w:val="22"/>
          <w:szCs w:val="22"/>
        </w:rPr>
        <w:t>No se considerará confidencial la información que se encuentre en los registros públicos o en fuentes de acceso público, ni tampoco la que sea considerada por la presente ley como información pública.”</w:t>
      </w:r>
    </w:p>
    <w:p w14:paraId="0DBE5FC9" w14:textId="77777777" w:rsidR="00556E8E" w:rsidRPr="006F0DCC" w:rsidRDefault="00556E8E">
      <w:pPr>
        <w:tabs>
          <w:tab w:val="left" w:pos="567"/>
        </w:tabs>
        <w:spacing w:line="276" w:lineRule="auto"/>
        <w:ind w:left="567" w:right="616"/>
        <w:jc w:val="both"/>
        <w:rPr>
          <w:rFonts w:ascii="Palatino Linotype" w:eastAsia="Palatino Linotype" w:hAnsi="Palatino Linotype" w:cs="Palatino Linotype"/>
          <w:i/>
          <w:iCs/>
          <w:sz w:val="22"/>
          <w:szCs w:val="22"/>
        </w:rPr>
      </w:pPr>
    </w:p>
    <w:p w14:paraId="5B6D6D2C" w14:textId="77777777" w:rsidR="00556E8E" w:rsidRPr="006F0DCC" w:rsidRDefault="000C60F7">
      <w:pPr>
        <w:spacing w:line="360" w:lineRule="auto"/>
        <w:jc w:val="both"/>
        <w:rPr>
          <w:rFonts w:ascii="Palatino Linotype" w:eastAsia="Palatino Linotype" w:hAnsi="Palatino Linotype" w:cs="Palatino Linotype"/>
          <w:sz w:val="22"/>
          <w:szCs w:val="22"/>
        </w:rPr>
      </w:pPr>
      <w:r w:rsidRPr="006F0DCC">
        <w:rPr>
          <w:rFonts w:ascii="Palatino Linotype" w:eastAsia="Palatino Linotype" w:hAnsi="Palatino Linotype" w:cs="Palatino Linotype"/>
          <w:sz w:val="22"/>
          <w:szCs w:val="22"/>
        </w:rPr>
        <w:t>De este modo, conforme al artículo 132 de la Ley en la Materia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100211F2" w14:textId="77777777" w:rsidR="00556E8E" w:rsidRPr="006F0DCC" w:rsidRDefault="00556E8E">
      <w:pPr>
        <w:spacing w:line="360" w:lineRule="auto"/>
        <w:jc w:val="both"/>
        <w:rPr>
          <w:rFonts w:ascii="Palatino Linotype" w:eastAsia="Palatino Linotype" w:hAnsi="Palatino Linotype" w:cs="Palatino Linotype"/>
          <w:sz w:val="22"/>
          <w:szCs w:val="22"/>
        </w:rPr>
      </w:pPr>
    </w:p>
    <w:p w14:paraId="3A77260A" w14:textId="77777777" w:rsidR="00556E8E" w:rsidRPr="006F0DCC" w:rsidRDefault="000C60F7">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6F0DCC">
        <w:rPr>
          <w:rFonts w:ascii="Palatino Linotype" w:eastAsia="Palatino Linotype" w:hAnsi="Palatino Linotype" w:cs="Palatino Linotype"/>
          <w:sz w:val="22"/>
          <w:szCs w:val="22"/>
        </w:rPr>
        <w:t>Se reciba una solicitud de acceso a la información;</w:t>
      </w:r>
    </w:p>
    <w:p w14:paraId="07FB1F29" w14:textId="77777777" w:rsidR="00556E8E" w:rsidRPr="006F0DCC" w:rsidRDefault="000C60F7">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6F0DCC">
        <w:rPr>
          <w:rFonts w:ascii="Palatino Linotype" w:eastAsia="Palatino Linotype" w:hAnsi="Palatino Linotype" w:cs="Palatino Linotype"/>
          <w:sz w:val="22"/>
          <w:szCs w:val="22"/>
        </w:rPr>
        <w:t>Se determine mediante resolución de autoridad competente; y/o</w:t>
      </w:r>
    </w:p>
    <w:p w14:paraId="47E70CFC" w14:textId="77777777" w:rsidR="00556E8E" w:rsidRPr="006F0DCC" w:rsidRDefault="000C60F7">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6F0DCC">
        <w:rPr>
          <w:rFonts w:ascii="Palatino Linotype" w:eastAsia="Palatino Linotype" w:hAnsi="Palatino Linotype" w:cs="Palatino Linotype"/>
          <w:sz w:val="22"/>
          <w:szCs w:val="22"/>
        </w:rPr>
        <w:t>Se generen versiones públicas para dar cumplimiento a las obligaciones de transparencia previstas en la Ley.</w:t>
      </w:r>
    </w:p>
    <w:p w14:paraId="05E9F605" w14:textId="77777777" w:rsidR="00556E8E" w:rsidRPr="006F0DCC" w:rsidRDefault="00556E8E">
      <w:pPr>
        <w:tabs>
          <w:tab w:val="left" w:pos="851"/>
        </w:tabs>
        <w:spacing w:line="360" w:lineRule="auto"/>
        <w:ind w:left="567"/>
        <w:jc w:val="both"/>
        <w:rPr>
          <w:rFonts w:ascii="Palatino Linotype" w:eastAsia="Palatino Linotype" w:hAnsi="Palatino Linotype" w:cs="Palatino Linotype"/>
          <w:sz w:val="22"/>
          <w:szCs w:val="22"/>
        </w:rPr>
      </w:pPr>
    </w:p>
    <w:p w14:paraId="7B8FC274" w14:textId="77777777" w:rsidR="00556E8E" w:rsidRPr="006F0DCC" w:rsidRDefault="000C60F7">
      <w:pPr>
        <w:spacing w:line="360" w:lineRule="auto"/>
        <w:ind w:right="51"/>
        <w:jc w:val="both"/>
        <w:rPr>
          <w:rFonts w:ascii="Palatino Linotype" w:eastAsia="Palatino Linotype" w:hAnsi="Palatino Linotype" w:cs="Palatino Linotype"/>
          <w:sz w:val="22"/>
          <w:szCs w:val="22"/>
        </w:rPr>
      </w:pPr>
      <w:r w:rsidRPr="006F0DCC">
        <w:rPr>
          <w:rFonts w:ascii="Palatino Linotype" w:eastAsia="Palatino Linotype" w:hAnsi="Palatino Linotype" w:cs="Palatino Linotype"/>
          <w:sz w:val="22"/>
          <w:szCs w:val="22"/>
        </w:rPr>
        <w:t xml:space="preserve">En ese sentido, es de precisar que la clasificación de la información no se da por el simple mandato de la Ley, sino que es necesario que el </w:t>
      </w:r>
      <w:r w:rsidRPr="006F0DCC">
        <w:rPr>
          <w:rFonts w:ascii="Palatino Linotype" w:eastAsia="Palatino Linotype" w:hAnsi="Palatino Linotype" w:cs="Palatino Linotype"/>
          <w:b/>
          <w:bCs/>
          <w:sz w:val="22"/>
          <w:szCs w:val="22"/>
        </w:rPr>
        <w:t>Sujeto Obligado,</w:t>
      </w:r>
      <w:r w:rsidRPr="006F0DCC">
        <w:rPr>
          <w:rFonts w:ascii="Palatino Linotype" w:eastAsia="Palatino Linotype" w:hAnsi="Palatino Linotype" w:cs="Palatino Linotype"/>
          <w:sz w:val="22"/>
          <w:szCs w:val="22"/>
        </w:rPr>
        <w:t xml:space="preserve"> cuando clasifique algún documento o información, ya sea todo o en parte, atienda lo dispuesto por la Ley de la materia, siendo que dicha clasificación es un trabajo en conjunto tanto de los Servidores Públicos Habilitados, de las Unidades de Transparencia y del Comité de Transparencia del </w:t>
      </w:r>
      <w:r w:rsidRPr="006F0DCC">
        <w:rPr>
          <w:rFonts w:ascii="Palatino Linotype" w:eastAsia="Palatino Linotype" w:hAnsi="Palatino Linotype" w:cs="Palatino Linotype"/>
          <w:b/>
          <w:bCs/>
          <w:sz w:val="22"/>
          <w:szCs w:val="22"/>
        </w:rPr>
        <w:t>Sujeto Obligado</w:t>
      </w:r>
      <w:r w:rsidRPr="006F0DCC">
        <w:rPr>
          <w:rFonts w:ascii="Palatino Linotype" w:eastAsia="Palatino Linotype" w:hAnsi="Palatino Linotype" w:cs="Palatino Linotype"/>
          <w:sz w:val="22"/>
          <w:szCs w:val="22"/>
        </w:rPr>
        <w:t>, teniendo el deber los primeros de ellos de presentar ante la Unidad de Transparencia la propuesta de la clasificación de la información, para que luego esta se presente ante al Comité de Transparencia de así resultar procedente el proyecto de clasificación de la información y que finalmente sea este último quien apruebe, modifique o revoque la misma, como se desprende de los artículos 59 fracción V</w:t>
      </w:r>
      <w:r w:rsidRPr="006F0DCC">
        <w:rPr>
          <w:rFonts w:ascii="Palatino Linotype" w:eastAsia="Palatino Linotype" w:hAnsi="Palatino Linotype" w:cs="Palatino Linotype"/>
          <w:sz w:val="22"/>
          <w:szCs w:val="22"/>
          <w:vertAlign w:val="superscript"/>
        </w:rPr>
        <w:footnoteReference w:id="3"/>
      </w:r>
      <w:r w:rsidRPr="006F0DCC">
        <w:rPr>
          <w:rFonts w:ascii="Palatino Linotype" w:eastAsia="Palatino Linotype" w:hAnsi="Palatino Linotype" w:cs="Palatino Linotype"/>
          <w:sz w:val="22"/>
          <w:szCs w:val="22"/>
        </w:rPr>
        <w:t>, 53 fracción X</w:t>
      </w:r>
      <w:r w:rsidRPr="006F0DCC">
        <w:rPr>
          <w:rFonts w:ascii="Palatino Linotype" w:eastAsia="Palatino Linotype" w:hAnsi="Palatino Linotype" w:cs="Palatino Linotype"/>
          <w:sz w:val="22"/>
          <w:szCs w:val="22"/>
          <w:vertAlign w:val="superscript"/>
        </w:rPr>
        <w:footnoteReference w:id="4"/>
      </w:r>
      <w:r w:rsidRPr="006F0DCC">
        <w:rPr>
          <w:rFonts w:ascii="Palatino Linotype" w:eastAsia="Palatino Linotype" w:hAnsi="Palatino Linotype" w:cs="Palatino Linotype"/>
          <w:sz w:val="22"/>
          <w:szCs w:val="22"/>
        </w:rPr>
        <w:t xml:space="preserve">, y 49 </w:t>
      </w:r>
      <w:r w:rsidRPr="006F0DCC">
        <w:rPr>
          <w:rFonts w:ascii="Palatino Linotype" w:eastAsia="Palatino Linotype" w:hAnsi="Palatino Linotype" w:cs="Palatino Linotype"/>
          <w:sz w:val="22"/>
          <w:szCs w:val="22"/>
        </w:rPr>
        <w:lastRenderedPageBreak/>
        <w:t>fracciones II y VIII</w:t>
      </w:r>
      <w:r w:rsidRPr="006F0DCC">
        <w:rPr>
          <w:rFonts w:ascii="Palatino Linotype" w:eastAsia="Palatino Linotype" w:hAnsi="Palatino Linotype" w:cs="Palatino Linotype"/>
          <w:sz w:val="22"/>
          <w:szCs w:val="22"/>
          <w:vertAlign w:val="superscript"/>
        </w:rPr>
        <w:footnoteReference w:id="5"/>
      </w:r>
      <w:r w:rsidRPr="006F0DCC">
        <w:rPr>
          <w:rFonts w:ascii="Palatino Linotype" w:eastAsia="Palatino Linotype" w:hAnsi="Palatino Linotype" w:cs="Palatino Linotype"/>
          <w:sz w:val="22"/>
          <w:szCs w:val="22"/>
        </w:rPr>
        <w:t xml:space="preserve"> de la Ley de Transparencia y Acceso a la Información Pública del Estado de México y Municipios.</w:t>
      </w:r>
    </w:p>
    <w:p w14:paraId="5523D586" w14:textId="77777777" w:rsidR="00556E8E" w:rsidRPr="006F0DCC" w:rsidRDefault="00556E8E">
      <w:pPr>
        <w:spacing w:line="360" w:lineRule="auto"/>
        <w:ind w:right="51"/>
        <w:jc w:val="both"/>
        <w:rPr>
          <w:rFonts w:ascii="Palatino Linotype" w:eastAsia="Palatino Linotype" w:hAnsi="Palatino Linotype" w:cs="Palatino Linotype"/>
          <w:sz w:val="22"/>
          <w:szCs w:val="22"/>
        </w:rPr>
      </w:pPr>
    </w:p>
    <w:p w14:paraId="5AC35968" w14:textId="77777777" w:rsidR="00556E8E" w:rsidRPr="006F0DCC" w:rsidRDefault="000C60F7">
      <w:pPr>
        <w:spacing w:line="360" w:lineRule="auto"/>
        <w:jc w:val="both"/>
        <w:rPr>
          <w:rFonts w:ascii="Palatino Linotype" w:eastAsia="Palatino Linotype" w:hAnsi="Palatino Linotype" w:cs="Palatino Linotype"/>
          <w:sz w:val="22"/>
          <w:szCs w:val="22"/>
        </w:rPr>
      </w:pPr>
      <w:r w:rsidRPr="006F0DCC">
        <w:rPr>
          <w:rFonts w:ascii="Palatino Linotype" w:eastAsia="Palatino Linotype" w:hAnsi="Palatino Linotype" w:cs="Palatino Linotype"/>
          <w:sz w:val="22"/>
          <w:szCs w:val="22"/>
        </w:rPr>
        <w:t xml:space="preserve">Bajo tales consideraciones, este Organismo Garante no omite señalar que, si el </w:t>
      </w:r>
      <w:r w:rsidRPr="006F0DCC">
        <w:rPr>
          <w:rFonts w:ascii="Palatino Linotype" w:eastAsia="Palatino Linotype" w:hAnsi="Palatino Linotype" w:cs="Palatino Linotype"/>
          <w:b/>
          <w:bCs/>
          <w:sz w:val="22"/>
          <w:szCs w:val="22"/>
        </w:rPr>
        <w:t>Sujeto Obligado</w:t>
      </w:r>
      <w:r w:rsidRPr="006F0DCC">
        <w:rPr>
          <w:rFonts w:ascii="Palatino Linotype" w:eastAsia="Palatino Linotype" w:hAnsi="Palatino Linotype" w:cs="Palatino Linotype"/>
          <w:sz w:val="22"/>
          <w:szCs w:val="22"/>
        </w:rPr>
        <w:t xml:space="preserve"> advierte que la información solicitada contiene </w:t>
      </w:r>
      <w:r w:rsidRPr="006F0DCC">
        <w:rPr>
          <w:rFonts w:ascii="Palatino Linotype" w:eastAsia="Palatino Linotype" w:hAnsi="Palatino Linotype" w:cs="Palatino Linotype"/>
          <w:b/>
          <w:bCs/>
          <w:sz w:val="22"/>
          <w:szCs w:val="22"/>
        </w:rPr>
        <w:t>datos personales</w:t>
      </w:r>
      <w:r w:rsidRPr="006F0DCC">
        <w:rPr>
          <w:rFonts w:ascii="Palatino Linotype" w:eastAsia="Palatino Linotype" w:hAnsi="Palatino Linotype" w:cs="Palatino Linotype"/>
          <w:sz w:val="22"/>
          <w:szCs w:val="22"/>
        </w:rPr>
        <w:t xml:space="preserve"> que sean susceptibles de ser </w:t>
      </w:r>
      <w:r w:rsidRPr="006F0DCC">
        <w:rPr>
          <w:rFonts w:ascii="Palatino Linotype" w:eastAsia="Palatino Linotype" w:hAnsi="Palatino Linotype" w:cs="Palatino Linotype"/>
          <w:b/>
          <w:bCs/>
          <w:sz w:val="22"/>
          <w:szCs w:val="22"/>
        </w:rPr>
        <w:t xml:space="preserve">clasificados como confidenciales, </w:t>
      </w:r>
      <w:r w:rsidRPr="006F0DCC">
        <w:rPr>
          <w:rFonts w:ascii="Palatino Linotype" w:eastAsia="Palatino Linotype" w:hAnsi="Palatino Linotype" w:cs="Palatino Linotype"/>
          <w:sz w:val="22"/>
          <w:szCs w:val="22"/>
        </w:rPr>
        <w:t>o, si por otro lado</w:t>
      </w:r>
      <w:r w:rsidRPr="006F0DCC">
        <w:rPr>
          <w:rFonts w:ascii="Palatino Linotype" w:eastAsia="Palatino Linotype" w:hAnsi="Palatino Linotype" w:cs="Palatino Linotype"/>
          <w:b/>
          <w:bCs/>
          <w:sz w:val="22"/>
          <w:szCs w:val="22"/>
        </w:rPr>
        <w:t>, por su propia y especial naturaleza,</w:t>
      </w:r>
      <w:r w:rsidRPr="006F0DCC">
        <w:rPr>
          <w:rFonts w:ascii="Palatino Linotype" w:eastAsia="Palatino Linotype" w:hAnsi="Palatino Linotype" w:cs="Palatino Linotype"/>
          <w:sz w:val="22"/>
          <w:szCs w:val="22"/>
        </w:rPr>
        <w:t xml:space="preserve"> encuadra en alguno de los </w:t>
      </w:r>
      <w:r w:rsidRPr="006F0DCC">
        <w:rPr>
          <w:rFonts w:ascii="Palatino Linotype" w:eastAsia="Palatino Linotype" w:hAnsi="Palatino Linotype" w:cs="Palatino Linotype"/>
          <w:b/>
          <w:bCs/>
          <w:sz w:val="22"/>
          <w:szCs w:val="22"/>
        </w:rPr>
        <w:t>supuestos de reserva o de confidencialidad en su totalidad</w:t>
      </w:r>
      <w:r w:rsidRPr="006F0DCC">
        <w:rPr>
          <w:rFonts w:ascii="Palatino Linotype" w:eastAsia="Palatino Linotype" w:hAnsi="Palatino Linotype" w:cs="Palatino Linotype"/>
          <w:sz w:val="22"/>
          <w:szCs w:val="22"/>
        </w:rPr>
        <w:t>, deberá emitir, un</w:t>
      </w:r>
      <w:r w:rsidRPr="006F0DCC">
        <w:rPr>
          <w:rFonts w:ascii="Palatino Linotype" w:eastAsia="Palatino Linotype" w:hAnsi="Palatino Linotype" w:cs="Palatino Linotype"/>
          <w:b/>
          <w:bCs/>
          <w:sz w:val="22"/>
          <w:szCs w:val="22"/>
        </w:rPr>
        <w:t xml:space="preserve"> Acuerdo de Clasificación </w:t>
      </w:r>
      <w:r w:rsidRPr="006F0DCC">
        <w:rPr>
          <w:rFonts w:ascii="Palatino Linotype" w:eastAsia="Palatino Linotype" w:hAnsi="Palatino Linotype" w:cs="Palatino Linotype"/>
          <w:sz w:val="22"/>
          <w:szCs w:val="22"/>
        </w:rPr>
        <w:t>debidamente fundado y motivado que</w:t>
      </w:r>
      <w:r w:rsidRPr="006F0DCC">
        <w:rPr>
          <w:rFonts w:ascii="Palatino Linotype" w:eastAsia="Palatino Linotype" w:hAnsi="Palatino Linotype" w:cs="Palatino Linotype"/>
          <w:b/>
          <w:bCs/>
          <w:sz w:val="22"/>
          <w:szCs w:val="22"/>
        </w:rPr>
        <w:t xml:space="preserve"> sustente la clasificación parcial, a través de la versión pública que emita,</w:t>
      </w:r>
      <w:r w:rsidRPr="006F0DCC">
        <w:rPr>
          <w:rFonts w:ascii="Palatino Linotype" w:eastAsia="Palatino Linotype" w:hAnsi="Palatino Linotype" w:cs="Palatino Linotype"/>
          <w:sz w:val="22"/>
          <w:szCs w:val="22"/>
        </w:rPr>
        <w:t xml:space="preserve"> o bien, la restricción total del derecho de acceso a la información.  </w:t>
      </w:r>
    </w:p>
    <w:p w14:paraId="1349E1EC" w14:textId="77777777" w:rsidR="00556E8E" w:rsidRPr="006F0DCC" w:rsidRDefault="00556E8E">
      <w:pPr>
        <w:spacing w:line="360" w:lineRule="auto"/>
        <w:jc w:val="both"/>
        <w:rPr>
          <w:rFonts w:ascii="Palatino Linotype" w:eastAsia="Palatino Linotype" w:hAnsi="Palatino Linotype" w:cs="Palatino Linotype"/>
          <w:sz w:val="22"/>
          <w:szCs w:val="22"/>
        </w:rPr>
      </w:pPr>
    </w:p>
    <w:p w14:paraId="146CC6DF" w14:textId="77777777" w:rsidR="00556E8E" w:rsidRPr="006F0DCC" w:rsidRDefault="000C60F7">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6F0DCC">
        <w:rPr>
          <w:rFonts w:ascii="Palatino Linotype" w:eastAsia="Palatino Linotype" w:hAnsi="Palatino Linotype" w:cs="Palatino Linotype"/>
          <w:b/>
          <w:bCs/>
          <w:sz w:val="22"/>
          <w:szCs w:val="22"/>
        </w:rPr>
        <w:t>De la clasificación parcial de la información.</w:t>
      </w:r>
    </w:p>
    <w:p w14:paraId="2C160BF7" w14:textId="77777777" w:rsidR="00556E8E" w:rsidRPr="006F0DCC" w:rsidRDefault="00556E8E">
      <w:pPr>
        <w:pBdr>
          <w:top w:val="nil"/>
          <w:left w:val="nil"/>
          <w:bottom w:val="nil"/>
          <w:right w:val="nil"/>
          <w:between w:val="nil"/>
        </w:pBdr>
        <w:spacing w:line="360" w:lineRule="auto"/>
        <w:ind w:left="720"/>
        <w:jc w:val="both"/>
        <w:rPr>
          <w:rFonts w:ascii="Palatino Linotype" w:eastAsia="Palatino Linotype" w:hAnsi="Palatino Linotype" w:cs="Palatino Linotype"/>
          <w:sz w:val="22"/>
          <w:szCs w:val="22"/>
        </w:rPr>
      </w:pPr>
    </w:p>
    <w:p w14:paraId="64D5C9FC" w14:textId="77777777" w:rsidR="00556E8E" w:rsidRPr="006F0DCC" w:rsidRDefault="000C60F7">
      <w:pPr>
        <w:spacing w:line="360" w:lineRule="auto"/>
        <w:jc w:val="both"/>
        <w:rPr>
          <w:rFonts w:ascii="Palatino Linotype" w:eastAsia="Palatino Linotype" w:hAnsi="Palatino Linotype" w:cs="Palatino Linotype"/>
          <w:sz w:val="22"/>
          <w:szCs w:val="22"/>
        </w:rPr>
      </w:pPr>
      <w:r w:rsidRPr="006F0DCC">
        <w:rPr>
          <w:rFonts w:ascii="Palatino Linotype" w:eastAsia="Palatino Linotype" w:hAnsi="Palatino Linotype" w:cs="Palatino Linotype"/>
          <w:sz w:val="22"/>
          <w:szCs w:val="22"/>
        </w:rPr>
        <w:t>Respecto de la elaboración de versiones públicas, debe mencionarse que dentro de los datos personales que pudieran contenerse se destacan los datos personales sensibles, los cuales son aquellos referentes de la esfera de su titular cuya utilización indebida pueda dar origen a discriminación o conlleve un riesgo grave para éste. 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78B2BEC8" w14:textId="77777777" w:rsidR="00556E8E" w:rsidRPr="006F0DCC" w:rsidRDefault="00556E8E">
      <w:pPr>
        <w:spacing w:line="360" w:lineRule="auto"/>
        <w:jc w:val="both"/>
        <w:rPr>
          <w:rFonts w:ascii="Palatino Linotype" w:eastAsia="Palatino Linotype" w:hAnsi="Palatino Linotype" w:cs="Palatino Linotype"/>
          <w:sz w:val="22"/>
          <w:szCs w:val="22"/>
        </w:rPr>
      </w:pPr>
    </w:p>
    <w:p w14:paraId="7C4DF09E" w14:textId="77777777" w:rsidR="00556E8E" w:rsidRPr="006F0DCC" w:rsidRDefault="000C60F7">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b/>
          <w:bCs/>
          <w:sz w:val="22"/>
          <w:szCs w:val="22"/>
        </w:rPr>
      </w:pPr>
      <w:r w:rsidRPr="006F0DCC">
        <w:rPr>
          <w:rFonts w:ascii="Palatino Linotype" w:eastAsia="Palatino Linotype" w:hAnsi="Palatino Linotype" w:cs="Palatino Linotype"/>
          <w:b/>
          <w:bCs/>
          <w:sz w:val="22"/>
          <w:szCs w:val="22"/>
        </w:rPr>
        <w:lastRenderedPageBreak/>
        <w:t>De la clasificación de información como reservada.</w:t>
      </w:r>
    </w:p>
    <w:p w14:paraId="5514E83D" w14:textId="77777777" w:rsidR="00556E8E" w:rsidRPr="006F0DCC" w:rsidRDefault="00556E8E">
      <w:pPr>
        <w:pBdr>
          <w:top w:val="nil"/>
          <w:left w:val="nil"/>
          <w:bottom w:val="nil"/>
          <w:right w:val="nil"/>
          <w:between w:val="nil"/>
        </w:pBdr>
        <w:spacing w:line="360" w:lineRule="auto"/>
        <w:ind w:left="720" w:right="51"/>
        <w:jc w:val="both"/>
        <w:rPr>
          <w:rFonts w:ascii="Palatino Linotype" w:eastAsia="Palatino Linotype" w:hAnsi="Palatino Linotype" w:cs="Palatino Linotype"/>
          <w:b/>
          <w:bCs/>
          <w:sz w:val="22"/>
          <w:szCs w:val="22"/>
        </w:rPr>
      </w:pPr>
    </w:p>
    <w:p w14:paraId="1E1E5C55" w14:textId="77777777" w:rsidR="00556E8E" w:rsidRPr="006F0DCC" w:rsidRDefault="000C60F7">
      <w:pPr>
        <w:spacing w:line="360" w:lineRule="auto"/>
        <w:ind w:right="51"/>
        <w:jc w:val="both"/>
        <w:rPr>
          <w:rFonts w:ascii="Palatino Linotype" w:eastAsia="Palatino Linotype" w:hAnsi="Palatino Linotype" w:cs="Palatino Linotype"/>
          <w:sz w:val="22"/>
          <w:szCs w:val="22"/>
        </w:rPr>
      </w:pPr>
      <w:r w:rsidRPr="006F0DCC">
        <w:rPr>
          <w:rFonts w:ascii="Palatino Linotype" w:eastAsia="Palatino Linotype" w:hAnsi="Palatino Linotype" w:cs="Palatino Linotype"/>
          <w:sz w:val="22"/>
          <w:szCs w:val="22"/>
        </w:rPr>
        <w:t xml:space="preserve">Por cuanto hace a la reserva y ampliación del plazo de reserva de la información, para motivar la clasificación se deberán de señalar las razones, motivos o circunstancias especiales que llevaron al </w:t>
      </w:r>
      <w:r w:rsidRPr="006F0DCC">
        <w:rPr>
          <w:rFonts w:ascii="Palatino Linotype" w:eastAsia="Palatino Linotype" w:hAnsi="Palatino Linotype" w:cs="Palatino Linotype"/>
          <w:b/>
          <w:bCs/>
          <w:sz w:val="22"/>
          <w:szCs w:val="22"/>
        </w:rPr>
        <w:t>Sujeto Obligado</w:t>
      </w:r>
      <w:r w:rsidRPr="006F0DCC">
        <w:rPr>
          <w:rFonts w:ascii="Palatino Linotype" w:eastAsia="Palatino Linotype" w:hAnsi="Palatino Linotype" w:cs="Palatino Linotype"/>
          <w:sz w:val="22"/>
          <w:szCs w:val="22"/>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0DC8D923" w14:textId="77777777" w:rsidR="00556E8E" w:rsidRPr="006F0DCC" w:rsidRDefault="00556E8E">
      <w:pPr>
        <w:spacing w:line="360" w:lineRule="auto"/>
        <w:ind w:right="51"/>
        <w:jc w:val="both"/>
        <w:rPr>
          <w:rFonts w:ascii="Palatino Linotype" w:eastAsia="Palatino Linotype" w:hAnsi="Palatino Linotype" w:cs="Palatino Linotype"/>
          <w:sz w:val="22"/>
          <w:szCs w:val="22"/>
        </w:rPr>
      </w:pPr>
    </w:p>
    <w:p w14:paraId="6D3EC64A" w14:textId="77777777" w:rsidR="00556E8E" w:rsidRPr="006F0DCC" w:rsidRDefault="000C60F7">
      <w:pPr>
        <w:spacing w:line="360" w:lineRule="auto"/>
        <w:jc w:val="both"/>
        <w:rPr>
          <w:rFonts w:ascii="Palatino Linotype" w:eastAsia="Palatino Linotype" w:hAnsi="Palatino Linotype" w:cs="Palatino Linotype"/>
          <w:sz w:val="22"/>
          <w:szCs w:val="22"/>
        </w:rPr>
      </w:pPr>
      <w:r w:rsidRPr="006F0DCC">
        <w:rPr>
          <w:rFonts w:ascii="Palatino Linotype" w:eastAsia="Palatino Linotype" w:hAnsi="Palatino Linotype" w:cs="Palatino Linotype"/>
          <w:sz w:val="22"/>
          <w:szCs w:val="22"/>
        </w:rPr>
        <w:t xml:space="preserve">En otras palabras, 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 para lo cual, los Sujetos Obligados deberán considerar que: </w:t>
      </w:r>
    </w:p>
    <w:p w14:paraId="1C49F607" w14:textId="77777777" w:rsidR="00556E8E" w:rsidRPr="006F0DCC" w:rsidRDefault="00556E8E">
      <w:pPr>
        <w:spacing w:line="360" w:lineRule="auto"/>
        <w:jc w:val="both"/>
        <w:rPr>
          <w:rFonts w:ascii="Palatino Linotype" w:eastAsia="Palatino Linotype" w:hAnsi="Palatino Linotype" w:cs="Palatino Linotype"/>
          <w:sz w:val="22"/>
          <w:szCs w:val="22"/>
        </w:rPr>
      </w:pPr>
    </w:p>
    <w:p w14:paraId="5C7028A8" w14:textId="77777777" w:rsidR="00556E8E" w:rsidRPr="006F0DCC" w:rsidRDefault="000C60F7">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6F0DCC">
        <w:rPr>
          <w:rFonts w:ascii="Palatino Linotype" w:eastAsia="Palatino Linotype" w:hAnsi="Palatino Linotype" w:cs="Palatino Linotype"/>
          <w:sz w:val="22"/>
          <w:szCs w:val="22"/>
        </w:rPr>
        <w:t xml:space="preserve">La divulgación de la información representa un </w:t>
      </w:r>
      <w:r w:rsidRPr="006F0DCC">
        <w:rPr>
          <w:rFonts w:ascii="Palatino Linotype" w:eastAsia="Palatino Linotype" w:hAnsi="Palatino Linotype" w:cs="Palatino Linotype"/>
          <w:b/>
          <w:bCs/>
          <w:sz w:val="22"/>
          <w:szCs w:val="22"/>
        </w:rPr>
        <w:t>riesgo real, demostrable e identificable del perjuicio significativo al interés público o a la seguridad pública</w:t>
      </w:r>
      <w:r w:rsidRPr="006F0DCC">
        <w:rPr>
          <w:rFonts w:ascii="Palatino Linotype" w:eastAsia="Palatino Linotype" w:hAnsi="Palatino Linotype" w:cs="Palatino Linotype"/>
          <w:sz w:val="22"/>
          <w:szCs w:val="22"/>
        </w:rPr>
        <w:t>;</w:t>
      </w:r>
    </w:p>
    <w:p w14:paraId="55D4A51F" w14:textId="77777777" w:rsidR="00556E8E" w:rsidRPr="006F0DCC" w:rsidRDefault="000C60F7">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6F0DCC">
        <w:rPr>
          <w:rFonts w:ascii="Palatino Linotype" w:eastAsia="Palatino Linotype" w:hAnsi="Palatino Linotype" w:cs="Palatino Linotype"/>
          <w:sz w:val="22"/>
          <w:szCs w:val="22"/>
        </w:rPr>
        <w:t>El riesgo de perjuicio que supondría la divulgación supera el interés público general de que se difunda; y,</w:t>
      </w:r>
    </w:p>
    <w:p w14:paraId="59CF8C46" w14:textId="77777777" w:rsidR="00556E8E" w:rsidRPr="006F0DCC" w:rsidRDefault="000C60F7">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6F0DCC">
        <w:rPr>
          <w:rFonts w:ascii="Palatino Linotype" w:eastAsia="Palatino Linotype" w:hAnsi="Palatino Linotype" w:cs="Palatino Linotype"/>
          <w:sz w:val="22"/>
          <w:szCs w:val="22"/>
        </w:rPr>
        <w:t xml:space="preserve">La limitación se adecua al principio de proporcionalidad y representa el medio menos restrictivo disponible para evitar el perjuicio. </w:t>
      </w:r>
    </w:p>
    <w:p w14:paraId="0A45367F" w14:textId="77777777" w:rsidR="00556E8E" w:rsidRPr="006F0DCC" w:rsidRDefault="00556E8E">
      <w:pPr>
        <w:tabs>
          <w:tab w:val="left" w:pos="851"/>
        </w:tabs>
        <w:spacing w:line="360" w:lineRule="auto"/>
        <w:ind w:left="568"/>
        <w:jc w:val="both"/>
        <w:rPr>
          <w:rFonts w:ascii="Palatino Linotype" w:eastAsia="Palatino Linotype" w:hAnsi="Palatino Linotype" w:cs="Palatino Linotype"/>
          <w:sz w:val="22"/>
          <w:szCs w:val="22"/>
        </w:rPr>
      </w:pPr>
    </w:p>
    <w:p w14:paraId="1C484A2E" w14:textId="77777777" w:rsidR="00556E8E" w:rsidRPr="006F0DCC" w:rsidRDefault="000C60F7">
      <w:pPr>
        <w:spacing w:line="360" w:lineRule="auto"/>
        <w:jc w:val="both"/>
        <w:rPr>
          <w:rFonts w:ascii="Palatino Linotype" w:eastAsia="Palatino Linotype" w:hAnsi="Palatino Linotype" w:cs="Palatino Linotype"/>
          <w:sz w:val="22"/>
          <w:szCs w:val="22"/>
        </w:rPr>
      </w:pPr>
      <w:r w:rsidRPr="006F0DCC">
        <w:rPr>
          <w:rFonts w:ascii="Palatino Linotype" w:eastAsia="Palatino Linotype" w:hAnsi="Palatino Linotype" w:cs="Palatino Linotype"/>
          <w:sz w:val="22"/>
          <w:szCs w:val="22"/>
        </w:rPr>
        <w:lastRenderedPageBreak/>
        <w:t xml:space="preserve">Siendo pertinente </w:t>
      </w:r>
      <w:proofErr w:type="gramStart"/>
      <w:r w:rsidRPr="006F0DCC">
        <w:rPr>
          <w:rFonts w:ascii="Palatino Linotype" w:eastAsia="Palatino Linotype" w:hAnsi="Palatino Linotype" w:cs="Palatino Linotype"/>
          <w:sz w:val="22"/>
          <w:szCs w:val="22"/>
        </w:rPr>
        <w:t>aclarar</w:t>
      </w:r>
      <w:proofErr w:type="gramEnd"/>
      <w:r w:rsidRPr="006F0DCC">
        <w:rPr>
          <w:rFonts w:ascii="Palatino Linotype" w:eastAsia="Palatino Linotype" w:hAnsi="Palatino Linotype" w:cs="Palatino Linotype"/>
          <w:sz w:val="22"/>
          <w:szCs w:val="22"/>
        </w:rPr>
        <w:t xml:space="preserve"> que, la información que se clasifica bajo la premisa de </w:t>
      </w:r>
      <w:proofErr w:type="gramStart"/>
      <w:r w:rsidRPr="006F0DCC">
        <w:rPr>
          <w:rFonts w:ascii="Palatino Linotype" w:eastAsia="Palatino Linotype" w:hAnsi="Palatino Linotype" w:cs="Palatino Linotype"/>
          <w:sz w:val="22"/>
          <w:szCs w:val="22"/>
        </w:rPr>
        <w:t>reservada,</w:t>
      </w:r>
      <w:proofErr w:type="gramEnd"/>
      <w:r w:rsidRPr="006F0DCC">
        <w:rPr>
          <w:rFonts w:ascii="Palatino Linotype" w:eastAsia="Palatino Linotype" w:hAnsi="Palatino Linotype" w:cs="Palatino Linotype"/>
          <w:sz w:val="22"/>
          <w:szCs w:val="22"/>
        </w:rPr>
        <w:t xml:space="preserve"> </w:t>
      </w:r>
      <w:r w:rsidRPr="006F0DCC">
        <w:rPr>
          <w:rFonts w:ascii="Palatino Linotype" w:eastAsia="Palatino Linotype" w:hAnsi="Palatino Linotype" w:cs="Palatino Linotype"/>
          <w:b/>
          <w:bCs/>
          <w:sz w:val="22"/>
          <w:szCs w:val="22"/>
        </w:rPr>
        <w:t>no pierde el carácter de pública</w:t>
      </w:r>
      <w:r w:rsidRPr="006F0DCC">
        <w:rPr>
          <w:rFonts w:ascii="Palatino Linotype" w:eastAsia="Palatino Linotype" w:hAnsi="Palatino Linotype" w:cs="Palatino Linotype"/>
          <w:sz w:val="22"/>
          <w:szCs w:val="22"/>
        </w:rPr>
        <w:t xml:space="preserve">, sino que </w:t>
      </w:r>
      <w:r w:rsidRPr="006F0DCC">
        <w:rPr>
          <w:rFonts w:ascii="Palatino Linotype" w:eastAsia="Palatino Linotype" w:hAnsi="Palatino Linotype" w:cs="Palatino Linotype"/>
          <w:b/>
          <w:bCs/>
          <w:sz w:val="22"/>
          <w:szCs w:val="22"/>
        </w:rPr>
        <w:t>se reserva temporalmente</w:t>
      </w:r>
      <w:r w:rsidRPr="006F0DCC">
        <w:rPr>
          <w:rFonts w:ascii="Palatino Linotype" w:eastAsia="Palatino Linotype" w:hAnsi="Palatino Linotype" w:cs="Palatino Linotype"/>
          <w:sz w:val="22"/>
          <w:szCs w:val="22"/>
        </w:rPr>
        <w:t xml:space="preserve"> </w:t>
      </w:r>
      <w:r w:rsidRPr="006F0DCC">
        <w:rPr>
          <w:rFonts w:ascii="Palatino Linotype" w:eastAsia="Palatino Linotype" w:hAnsi="Palatino Linotype" w:cs="Palatino Linotype"/>
          <w:b/>
          <w:bCs/>
          <w:sz w:val="22"/>
          <w:szCs w:val="22"/>
        </w:rPr>
        <w:t>del conocimiento público</w:t>
      </w:r>
      <w:r w:rsidRPr="006F0DCC">
        <w:rPr>
          <w:rFonts w:ascii="Palatino Linotype" w:eastAsia="Palatino Linotype" w:hAnsi="Palatino Linotype" w:cs="Palatino Linotype"/>
          <w:sz w:val="22"/>
          <w:szCs w:val="22"/>
        </w:rPr>
        <w:t xml:space="preserve">, es decir, que, </w:t>
      </w:r>
      <w:r w:rsidRPr="006F0DCC">
        <w:rPr>
          <w:rFonts w:ascii="Palatino Linotype" w:eastAsia="Palatino Linotype" w:hAnsi="Palatino Linotype" w:cs="Palatino Linotype"/>
          <w:b/>
          <w:bCs/>
          <w:sz w:val="22"/>
          <w:szCs w:val="22"/>
        </w:rPr>
        <w:t>por un tiempo determinado</w:t>
      </w:r>
      <w:r w:rsidRPr="006F0DCC">
        <w:rPr>
          <w:rFonts w:ascii="Palatino Linotype" w:eastAsia="Palatino Linotype" w:hAnsi="Palatino Linotype" w:cs="Palatino Linotype"/>
          <w:sz w:val="22"/>
          <w:szCs w:val="22"/>
        </w:rPr>
        <w:t>, se conservará y custodiará la información de manera especial, y una vez transcurrido el plazo de reserva, el documento podrá divulgarse.</w:t>
      </w:r>
    </w:p>
    <w:p w14:paraId="1C52885A" w14:textId="77777777" w:rsidR="00556E8E" w:rsidRPr="006F0DCC" w:rsidRDefault="00556E8E">
      <w:pPr>
        <w:spacing w:line="360" w:lineRule="auto"/>
        <w:jc w:val="both"/>
        <w:rPr>
          <w:rFonts w:ascii="Palatino Linotype" w:eastAsia="Palatino Linotype" w:hAnsi="Palatino Linotype" w:cs="Palatino Linotype"/>
          <w:sz w:val="22"/>
          <w:szCs w:val="22"/>
        </w:rPr>
      </w:pPr>
    </w:p>
    <w:p w14:paraId="25459CAB" w14:textId="77777777" w:rsidR="00556E8E" w:rsidRPr="006F0DCC" w:rsidRDefault="000C60F7">
      <w:pPr>
        <w:spacing w:line="360" w:lineRule="auto"/>
        <w:jc w:val="both"/>
        <w:rPr>
          <w:rFonts w:ascii="Palatino Linotype" w:eastAsia="Palatino Linotype" w:hAnsi="Palatino Linotype" w:cs="Palatino Linotype"/>
          <w:sz w:val="22"/>
          <w:szCs w:val="22"/>
        </w:rPr>
      </w:pPr>
      <w:r w:rsidRPr="006F0DCC">
        <w:rPr>
          <w:rFonts w:ascii="Palatino Linotype" w:eastAsia="Palatino Linotype" w:hAnsi="Palatino Linotype" w:cs="Palatino Linotype"/>
          <w:sz w:val="22"/>
          <w:szCs w:val="22"/>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7A9819E5" w14:textId="77777777" w:rsidR="00556E8E" w:rsidRPr="006F0DCC" w:rsidRDefault="00556E8E">
      <w:pPr>
        <w:spacing w:line="360" w:lineRule="auto"/>
        <w:jc w:val="both"/>
        <w:rPr>
          <w:rFonts w:ascii="Palatino Linotype" w:eastAsia="Palatino Linotype" w:hAnsi="Palatino Linotype" w:cs="Palatino Linotype"/>
          <w:sz w:val="22"/>
          <w:szCs w:val="22"/>
        </w:rPr>
      </w:pPr>
    </w:p>
    <w:p w14:paraId="382654DC" w14:textId="77777777" w:rsidR="00556E8E" w:rsidRPr="006F0DCC" w:rsidRDefault="000C60F7">
      <w:pPr>
        <w:numPr>
          <w:ilvl w:val="0"/>
          <w:numId w:val="3"/>
        </w:numPr>
        <w:pBdr>
          <w:top w:val="nil"/>
          <w:left w:val="nil"/>
          <w:bottom w:val="nil"/>
          <w:right w:val="nil"/>
          <w:between w:val="nil"/>
        </w:pBdr>
        <w:tabs>
          <w:tab w:val="left" w:pos="709"/>
        </w:tabs>
        <w:spacing w:line="360" w:lineRule="auto"/>
        <w:jc w:val="both"/>
        <w:rPr>
          <w:rFonts w:ascii="Palatino Linotype" w:eastAsia="Palatino Linotype" w:hAnsi="Palatino Linotype" w:cs="Palatino Linotype"/>
          <w:b/>
          <w:bCs/>
          <w:sz w:val="22"/>
          <w:szCs w:val="22"/>
        </w:rPr>
      </w:pPr>
      <w:r w:rsidRPr="006F0DCC">
        <w:rPr>
          <w:rFonts w:ascii="Palatino Linotype" w:eastAsia="Palatino Linotype" w:hAnsi="Palatino Linotype" w:cs="Palatino Linotype"/>
          <w:b/>
          <w:bCs/>
          <w:sz w:val="22"/>
          <w:szCs w:val="22"/>
        </w:rPr>
        <w:t>De la clasificación de la información como totalmente confidencial.</w:t>
      </w:r>
    </w:p>
    <w:p w14:paraId="319260B4" w14:textId="77777777" w:rsidR="00556E8E" w:rsidRPr="006F0DCC" w:rsidRDefault="00556E8E">
      <w:pPr>
        <w:pBdr>
          <w:top w:val="nil"/>
          <w:left w:val="nil"/>
          <w:bottom w:val="nil"/>
          <w:right w:val="nil"/>
          <w:between w:val="nil"/>
        </w:pBdr>
        <w:tabs>
          <w:tab w:val="left" w:pos="709"/>
        </w:tabs>
        <w:spacing w:line="360" w:lineRule="auto"/>
        <w:ind w:left="720"/>
        <w:jc w:val="both"/>
        <w:rPr>
          <w:rFonts w:ascii="Palatino Linotype" w:eastAsia="Palatino Linotype" w:hAnsi="Palatino Linotype" w:cs="Palatino Linotype"/>
          <w:b/>
          <w:bCs/>
          <w:sz w:val="22"/>
          <w:szCs w:val="22"/>
        </w:rPr>
      </w:pPr>
    </w:p>
    <w:p w14:paraId="579498A1" w14:textId="77777777" w:rsidR="00556E8E" w:rsidRPr="006F0DCC" w:rsidRDefault="000C60F7">
      <w:pPr>
        <w:tabs>
          <w:tab w:val="left" w:pos="709"/>
        </w:tabs>
        <w:spacing w:line="360" w:lineRule="auto"/>
        <w:jc w:val="both"/>
        <w:rPr>
          <w:rFonts w:ascii="Palatino Linotype" w:eastAsia="Palatino Linotype" w:hAnsi="Palatino Linotype" w:cs="Palatino Linotype"/>
          <w:sz w:val="22"/>
          <w:szCs w:val="22"/>
        </w:rPr>
      </w:pPr>
      <w:r w:rsidRPr="006F0DCC">
        <w:rPr>
          <w:rFonts w:ascii="Palatino Linotype" w:eastAsia="Palatino Linotype" w:hAnsi="Palatino Linotype" w:cs="Palatino Linotype"/>
          <w:sz w:val="22"/>
          <w:szCs w:val="22"/>
        </w:rPr>
        <w:t>Por cuanto hace a los documentos que por su propia y especial naturaleza sean de carácter privado, encuadran en el supuesto de información confidencial en su totalidad, bajo la premisa de que el derecho de acceso a la información pública tiene como limitante el respeto a la intimidad y a la vida privada de las personas, es por ello que este Instituto debe cuidar que los datos personales que obren en poder de los Sujetos Obligados estén protegidos, quienes deberán adoptar las medidas de seguridad administrativa, física y técnica necesarias para garantizar la integridad, confidencialidad y disponibilidad de los datos personales, considerando además, que conforme al principio de finalidad todo tratamiento de datos personales que efectúen los Sujetos Obligados deberá estar justificado en la Ley, lo anterior en términos de lo dispuesto por los artículos 6, 22, 38 y 43, de la Ley de Protección de Datos Personales en Posesión de los Sujetos Obligados del Estado de México y Municipios.</w:t>
      </w:r>
    </w:p>
    <w:p w14:paraId="7AB03E03" w14:textId="77777777" w:rsidR="00556E8E" w:rsidRPr="006F0DCC" w:rsidRDefault="00556E8E">
      <w:pPr>
        <w:tabs>
          <w:tab w:val="left" w:pos="709"/>
        </w:tabs>
        <w:spacing w:line="360" w:lineRule="auto"/>
        <w:jc w:val="both"/>
        <w:rPr>
          <w:rFonts w:ascii="Palatino Linotype" w:eastAsia="Palatino Linotype" w:hAnsi="Palatino Linotype" w:cs="Palatino Linotype"/>
          <w:sz w:val="22"/>
          <w:szCs w:val="22"/>
        </w:rPr>
      </w:pPr>
    </w:p>
    <w:p w14:paraId="5647FE03" w14:textId="77777777" w:rsidR="00556E8E" w:rsidRPr="006F0DCC" w:rsidRDefault="000C60F7">
      <w:pPr>
        <w:spacing w:line="360" w:lineRule="auto"/>
        <w:ind w:right="51"/>
        <w:jc w:val="both"/>
        <w:rPr>
          <w:rFonts w:ascii="Palatino Linotype" w:eastAsia="Palatino Linotype" w:hAnsi="Palatino Linotype" w:cs="Palatino Linotype"/>
          <w:sz w:val="22"/>
          <w:szCs w:val="22"/>
        </w:rPr>
      </w:pPr>
      <w:r w:rsidRPr="006F0DCC">
        <w:rPr>
          <w:rFonts w:ascii="Palatino Linotype" w:eastAsia="Palatino Linotype" w:hAnsi="Palatino Linotype" w:cs="Palatino Linotype"/>
          <w:sz w:val="22"/>
          <w:szCs w:val="22"/>
        </w:rPr>
        <w:lastRenderedPageBreak/>
        <w:t>Asimismo, no obsta mencionar que el Acuerdo del Comité de Transparencia mediante el cual se clasifique la información como reservada o confidencial, de manera total o parcial debe emitirse siguiendo las formalidades previstas en la Ley de Transparencia y Acceso a la Información Pública del Estado de México y en los Lineamientos Generales en Materia de Clasificación y Desclasificación de la Información, así como para la Elaboración de Versiones Públicas</w:t>
      </w:r>
      <w:r w:rsidRPr="006F0DCC">
        <w:rPr>
          <w:rFonts w:ascii="Palatino Linotype" w:eastAsia="Palatino Linotype" w:hAnsi="Palatino Linotype" w:cs="Palatino Linotype"/>
          <w:sz w:val="22"/>
          <w:szCs w:val="22"/>
          <w:vertAlign w:val="superscript"/>
        </w:rPr>
        <w:footnoteReference w:id="6"/>
      </w:r>
      <w:r w:rsidRPr="006F0DCC">
        <w:rPr>
          <w:rFonts w:ascii="Palatino Linotype" w:eastAsia="Palatino Linotype" w:hAnsi="Palatino Linotype" w:cs="Palatino Linotype"/>
          <w:sz w:val="22"/>
          <w:szCs w:val="22"/>
        </w:rPr>
        <w:t>, de igual forma en dicho acuerdo se deben exponer de manera clara los fundamentos y razones que llevaron a la autoridad a clasificar la información, de lo contrario, implica dejar al solicitante en estado de incertidumbre, al no conocer o comprender las razones por las que se clasifica la documentación respectiva, es decir, si no se exponen de manera puntual las razones, de ello se estaría violentando el Derecho de Acceso a la Información del solicitante.</w:t>
      </w:r>
    </w:p>
    <w:p w14:paraId="22E89BC6" w14:textId="77777777" w:rsidR="00556E8E" w:rsidRPr="006F0DCC" w:rsidRDefault="00556E8E">
      <w:pPr>
        <w:spacing w:line="360" w:lineRule="auto"/>
        <w:ind w:right="51"/>
        <w:jc w:val="both"/>
        <w:rPr>
          <w:rFonts w:ascii="Palatino Linotype" w:eastAsia="Palatino Linotype" w:hAnsi="Palatino Linotype" w:cs="Palatino Linotype"/>
          <w:sz w:val="22"/>
          <w:szCs w:val="22"/>
        </w:rPr>
      </w:pPr>
    </w:p>
    <w:p w14:paraId="50ACB6DF" w14:textId="77777777" w:rsidR="00556E8E" w:rsidRPr="006F0DCC" w:rsidRDefault="000C60F7">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sz w:val="22"/>
          <w:szCs w:val="22"/>
        </w:rPr>
      </w:pPr>
      <w:r w:rsidRPr="006F0DCC">
        <w:rPr>
          <w:rFonts w:ascii="Palatino Linotype" w:eastAsia="Palatino Linotype" w:hAnsi="Palatino Linotype" w:cs="Palatino Linotype"/>
          <w:b/>
          <w:bCs/>
          <w:sz w:val="22"/>
          <w:szCs w:val="22"/>
        </w:rPr>
        <w:t>De la declaratoria de inexistencia de la información</w:t>
      </w:r>
      <w:r w:rsidRPr="006F0DCC">
        <w:rPr>
          <w:rFonts w:ascii="Palatino Linotype" w:eastAsia="Palatino Linotype" w:hAnsi="Palatino Linotype" w:cs="Palatino Linotype"/>
          <w:sz w:val="22"/>
          <w:szCs w:val="22"/>
        </w:rPr>
        <w:t>.</w:t>
      </w:r>
    </w:p>
    <w:p w14:paraId="0CF06ED8" w14:textId="77777777" w:rsidR="00556E8E" w:rsidRPr="006F0DCC" w:rsidRDefault="00556E8E">
      <w:pPr>
        <w:spacing w:line="360" w:lineRule="auto"/>
        <w:ind w:right="51"/>
        <w:jc w:val="both"/>
        <w:rPr>
          <w:rFonts w:ascii="Palatino Linotype" w:eastAsia="Palatino Linotype" w:hAnsi="Palatino Linotype" w:cs="Palatino Linotype"/>
          <w:sz w:val="22"/>
          <w:szCs w:val="22"/>
        </w:rPr>
      </w:pPr>
    </w:p>
    <w:p w14:paraId="7ED9022C" w14:textId="77777777" w:rsidR="00556E8E" w:rsidRPr="006F0DCC" w:rsidRDefault="000C60F7">
      <w:pPr>
        <w:spacing w:line="360" w:lineRule="auto"/>
        <w:jc w:val="both"/>
        <w:rPr>
          <w:rFonts w:ascii="Palatino Linotype" w:eastAsia="Palatino Linotype" w:hAnsi="Palatino Linotype" w:cs="Palatino Linotype"/>
          <w:sz w:val="22"/>
          <w:szCs w:val="22"/>
        </w:rPr>
      </w:pPr>
      <w:r w:rsidRPr="006F0DCC">
        <w:rPr>
          <w:rFonts w:ascii="Palatino Linotype" w:eastAsia="Palatino Linotype" w:hAnsi="Palatino Linotype" w:cs="Palatino Linotype"/>
          <w:sz w:val="22"/>
          <w:szCs w:val="22"/>
        </w:rPr>
        <w:t xml:space="preserve">Por otro lado, estima prudente señalar al </w:t>
      </w:r>
      <w:r w:rsidRPr="006F0DCC">
        <w:rPr>
          <w:rFonts w:ascii="Palatino Linotype" w:eastAsia="Palatino Linotype" w:hAnsi="Palatino Linotype" w:cs="Palatino Linotype"/>
          <w:b/>
          <w:bCs/>
          <w:sz w:val="22"/>
          <w:szCs w:val="22"/>
        </w:rPr>
        <w:t>Sujeto Obligado</w:t>
      </w:r>
      <w:r w:rsidRPr="006F0DCC">
        <w:rPr>
          <w:rFonts w:ascii="Palatino Linotype" w:eastAsia="Palatino Linotype" w:hAnsi="Palatino Linotype" w:cs="Palatino Linotype"/>
          <w:sz w:val="22"/>
          <w:szCs w:val="22"/>
        </w:rPr>
        <w:t xml:space="preserve"> que, en caso de que la información solicitada, debiera obrar en sus archivos y no cuente con ella, deberá entregar el Acuerdo del Comité de Transparencia, en donde conste la declaratoria de inexistencia de </w:t>
      </w:r>
      <w:proofErr w:type="gramStart"/>
      <w:r w:rsidRPr="006F0DCC">
        <w:rPr>
          <w:rFonts w:ascii="Palatino Linotype" w:eastAsia="Palatino Linotype" w:hAnsi="Palatino Linotype" w:cs="Palatino Linotype"/>
          <w:sz w:val="22"/>
          <w:szCs w:val="22"/>
        </w:rPr>
        <w:t>la misma</w:t>
      </w:r>
      <w:proofErr w:type="gramEnd"/>
      <w:r w:rsidRPr="006F0DCC">
        <w:rPr>
          <w:rFonts w:ascii="Palatino Linotype" w:eastAsia="Palatino Linotype" w:hAnsi="Palatino Linotype" w:cs="Palatino Linotype"/>
          <w:sz w:val="22"/>
          <w:szCs w:val="22"/>
        </w:rPr>
        <w:t>.</w:t>
      </w:r>
    </w:p>
    <w:p w14:paraId="66354A8B" w14:textId="77777777" w:rsidR="00556E8E" w:rsidRPr="006F0DCC" w:rsidRDefault="00556E8E">
      <w:pPr>
        <w:spacing w:line="360" w:lineRule="auto"/>
        <w:jc w:val="both"/>
        <w:rPr>
          <w:rFonts w:ascii="Palatino Linotype" w:eastAsia="Palatino Linotype" w:hAnsi="Palatino Linotype" w:cs="Palatino Linotype"/>
          <w:sz w:val="22"/>
          <w:szCs w:val="22"/>
        </w:rPr>
      </w:pPr>
    </w:p>
    <w:p w14:paraId="25799A61" w14:textId="77777777" w:rsidR="00556E8E" w:rsidRPr="006F0DCC" w:rsidRDefault="000C60F7">
      <w:pPr>
        <w:spacing w:line="360" w:lineRule="auto"/>
        <w:jc w:val="both"/>
        <w:rPr>
          <w:rFonts w:ascii="Palatino Linotype" w:eastAsia="Palatino Linotype" w:hAnsi="Palatino Linotype" w:cs="Palatino Linotype"/>
          <w:sz w:val="22"/>
          <w:szCs w:val="22"/>
        </w:rPr>
      </w:pPr>
      <w:r w:rsidRPr="006F0DCC">
        <w:rPr>
          <w:rFonts w:ascii="Palatino Linotype" w:eastAsia="Palatino Linotype" w:hAnsi="Palatino Linotype" w:cs="Palatino Linotype"/>
          <w:sz w:val="22"/>
          <w:szCs w:val="22"/>
        </w:rPr>
        <w:t>Siendo importante resaltar que los artículos 18 y 19 de la Ley de Transparencia y Acceso a la Información Pública del Estado de México y Municipios establecen que los Sujetos Obligados deben documentar todo acto que derive del ejercicio de sus facultades, competencias o funciones y que se presume que la información debe existir si se refiere a dichas facultades, competencias y/o funciones.</w:t>
      </w:r>
    </w:p>
    <w:p w14:paraId="45243396" w14:textId="77777777" w:rsidR="00556E8E" w:rsidRPr="006F0DCC" w:rsidRDefault="00556E8E">
      <w:pPr>
        <w:spacing w:line="360" w:lineRule="auto"/>
        <w:jc w:val="both"/>
        <w:rPr>
          <w:rFonts w:ascii="Palatino Linotype" w:eastAsia="Palatino Linotype" w:hAnsi="Palatino Linotype" w:cs="Palatino Linotype"/>
          <w:sz w:val="22"/>
          <w:szCs w:val="22"/>
        </w:rPr>
      </w:pPr>
    </w:p>
    <w:p w14:paraId="18DBCBC0" w14:textId="77777777" w:rsidR="00556E8E" w:rsidRPr="006F0DCC" w:rsidRDefault="000C60F7">
      <w:pPr>
        <w:spacing w:line="360" w:lineRule="auto"/>
        <w:jc w:val="both"/>
        <w:rPr>
          <w:rFonts w:ascii="Palatino Linotype" w:eastAsia="Palatino Linotype" w:hAnsi="Palatino Linotype" w:cs="Palatino Linotype"/>
          <w:sz w:val="22"/>
          <w:szCs w:val="22"/>
        </w:rPr>
      </w:pPr>
      <w:r w:rsidRPr="006F0DCC">
        <w:rPr>
          <w:rFonts w:ascii="Palatino Linotype" w:eastAsia="Palatino Linotype" w:hAnsi="Palatino Linotype" w:cs="Palatino Linotype"/>
          <w:sz w:val="22"/>
          <w:szCs w:val="22"/>
        </w:rPr>
        <w:t>En tal caso, la declaratoria a que se ha hecho referencia deberá realizarse, conforme a lo dispuesto en los artículos 49, fracciones II y XIII, 169 y 170 de la Ley de Transparencia y Acceso a la Información Pública del Estado de México y Municipios, que establecen la forma en que los Sujetos Obligados deben dar curso a las Declaratorias de Inexistencia.</w:t>
      </w:r>
    </w:p>
    <w:p w14:paraId="43243873" w14:textId="77777777" w:rsidR="00556E8E" w:rsidRPr="006F0DCC" w:rsidRDefault="00556E8E">
      <w:pPr>
        <w:spacing w:line="360" w:lineRule="auto"/>
        <w:jc w:val="both"/>
        <w:rPr>
          <w:rFonts w:ascii="Palatino Linotype" w:eastAsia="Palatino Linotype" w:hAnsi="Palatino Linotype" w:cs="Palatino Linotype"/>
          <w:sz w:val="22"/>
          <w:szCs w:val="22"/>
        </w:rPr>
      </w:pPr>
    </w:p>
    <w:p w14:paraId="5F967A5A" w14:textId="77777777" w:rsidR="00556E8E" w:rsidRPr="006F0DCC" w:rsidRDefault="000C60F7">
      <w:pPr>
        <w:spacing w:line="360" w:lineRule="auto"/>
        <w:jc w:val="both"/>
        <w:rPr>
          <w:rFonts w:ascii="Palatino Linotype" w:eastAsia="Palatino Linotype" w:hAnsi="Palatino Linotype" w:cs="Palatino Linotype"/>
          <w:sz w:val="22"/>
          <w:szCs w:val="22"/>
        </w:rPr>
      </w:pPr>
      <w:r w:rsidRPr="006F0DCC">
        <w:rPr>
          <w:rFonts w:ascii="Palatino Linotype" w:eastAsia="Palatino Linotype" w:hAnsi="Palatino Linotype" w:cs="Palatino Linotype"/>
          <w:sz w:val="22"/>
          <w:szCs w:val="22"/>
        </w:rPr>
        <w:t>Resulta aplicable el criterio de interpretación en el orden administrativo número 0008-19 emitido por Acuerdo del Pleno del Instituto de Transparencia y Acceso a la Información Pública del Estado de México y Municipios, que a la letra dice:</w:t>
      </w:r>
    </w:p>
    <w:p w14:paraId="2AE0C216" w14:textId="77777777" w:rsidR="00556E8E" w:rsidRPr="006F0DCC" w:rsidRDefault="00556E8E">
      <w:pPr>
        <w:spacing w:line="360" w:lineRule="auto"/>
        <w:jc w:val="both"/>
        <w:rPr>
          <w:rFonts w:ascii="Palatino Linotype" w:eastAsia="Palatino Linotype" w:hAnsi="Palatino Linotype" w:cs="Palatino Linotype"/>
          <w:sz w:val="22"/>
          <w:szCs w:val="22"/>
        </w:rPr>
      </w:pPr>
    </w:p>
    <w:p w14:paraId="0B829558" w14:textId="77777777" w:rsidR="00556E8E" w:rsidRPr="006F0DCC" w:rsidRDefault="000C60F7">
      <w:pPr>
        <w:spacing w:line="276" w:lineRule="auto"/>
        <w:ind w:left="567" w:right="902"/>
        <w:jc w:val="both"/>
        <w:rPr>
          <w:rFonts w:ascii="Palatino Linotype" w:eastAsia="Palatino Linotype" w:hAnsi="Palatino Linotype" w:cs="Palatino Linotype"/>
          <w:i/>
          <w:iCs/>
          <w:sz w:val="22"/>
          <w:szCs w:val="22"/>
        </w:rPr>
      </w:pPr>
      <w:r w:rsidRPr="006F0DCC">
        <w:rPr>
          <w:rFonts w:ascii="Palatino Linotype" w:eastAsia="Palatino Linotype" w:hAnsi="Palatino Linotype" w:cs="Palatino Linotype"/>
          <w:b/>
          <w:bCs/>
          <w:i/>
          <w:iCs/>
          <w:sz w:val="22"/>
          <w:szCs w:val="22"/>
        </w:rPr>
        <w:t xml:space="preserve">“INEXISTENCIA DE LA INFORMACIÓN. SUPUESTOS PARA EMITIR LA RESOLUCIÓN DE LA. </w:t>
      </w:r>
      <w:r w:rsidRPr="006F0DCC">
        <w:rPr>
          <w:rFonts w:ascii="Palatino Linotype" w:eastAsia="Palatino Linotype" w:hAnsi="Palatino Linotype" w:cs="Palatino Linotype"/>
          <w:i/>
          <w:iCs/>
          <w:sz w:val="22"/>
          <w:szCs w:val="22"/>
        </w:rPr>
        <w:t>De conformidad con los artículos 19, párrafo tercero y 170 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Transparencia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p>
    <w:p w14:paraId="2BA81228" w14:textId="77777777" w:rsidR="00556E8E" w:rsidRPr="006F0DCC" w:rsidRDefault="00556E8E">
      <w:pPr>
        <w:spacing w:line="360" w:lineRule="auto"/>
        <w:ind w:left="851" w:right="902"/>
        <w:jc w:val="both"/>
        <w:rPr>
          <w:rFonts w:ascii="Palatino Linotype" w:eastAsia="Palatino Linotype" w:hAnsi="Palatino Linotype" w:cs="Palatino Linotype"/>
          <w:i/>
          <w:iCs/>
          <w:sz w:val="22"/>
          <w:szCs w:val="22"/>
        </w:rPr>
      </w:pPr>
    </w:p>
    <w:p w14:paraId="69CD636B" w14:textId="77777777" w:rsidR="00556E8E" w:rsidRPr="006F0DCC" w:rsidRDefault="000C60F7">
      <w:pPr>
        <w:spacing w:line="360" w:lineRule="auto"/>
        <w:jc w:val="both"/>
        <w:rPr>
          <w:rFonts w:ascii="Palatino Linotype" w:eastAsia="Palatino Linotype" w:hAnsi="Palatino Linotype" w:cs="Palatino Linotype"/>
          <w:sz w:val="22"/>
          <w:szCs w:val="22"/>
        </w:rPr>
      </w:pPr>
      <w:r w:rsidRPr="006F0DCC">
        <w:rPr>
          <w:rFonts w:ascii="Palatino Linotype" w:eastAsia="Palatino Linotype" w:hAnsi="Palatino Linotype" w:cs="Palatino Linotype"/>
          <w:sz w:val="22"/>
          <w:szCs w:val="22"/>
        </w:rPr>
        <w:t xml:space="preserve">En mérito de todo lo expuesto, ante lo </w:t>
      </w:r>
      <w:r w:rsidRPr="006F0DCC">
        <w:rPr>
          <w:rFonts w:ascii="Palatino Linotype" w:eastAsia="Palatino Linotype" w:hAnsi="Palatino Linotype" w:cs="Palatino Linotype"/>
          <w:b/>
          <w:bCs/>
          <w:sz w:val="22"/>
          <w:szCs w:val="22"/>
        </w:rPr>
        <w:t>FUNDADO</w:t>
      </w:r>
      <w:r w:rsidRPr="006F0DCC">
        <w:rPr>
          <w:rFonts w:ascii="Palatino Linotype" w:eastAsia="Palatino Linotype" w:hAnsi="Palatino Linotype" w:cs="Palatino Linotype"/>
          <w:sz w:val="22"/>
          <w:szCs w:val="22"/>
        </w:rPr>
        <w:t xml:space="preserve"> de las razones o motivos de inconformidad hechos valer por la parte Recurrente, este Instituto estima que lo dable es </w:t>
      </w:r>
      <w:r w:rsidRPr="006F0DCC">
        <w:rPr>
          <w:rFonts w:ascii="Palatino Linotype" w:eastAsia="Palatino Linotype" w:hAnsi="Palatino Linotype" w:cs="Palatino Linotype"/>
          <w:b/>
          <w:bCs/>
          <w:sz w:val="22"/>
          <w:szCs w:val="22"/>
        </w:rPr>
        <w:t>ORDENAR</w:t>
      </w:r>
      <w:r w:rsidRPr="006F0DCC">
        <w:rPr>
          <w:rFonts w:ascii="Palatino Linotype" w:eastAsia="Palatino Linotype" w:hAnsi="Palatino Linotype" w:cs="Palatino Linotype"/>
          <w:sz w:val="22"/>
          <w:szCs w:val="22"/>
        </w:rPr>
        <w:t xml:space="preserve"> al </w:t>
      </w:r>
      <w:r w:rsidRPr="006F0DCC">
        <w:rPr>
          <w:rFonts w:ascii="Palatino Linotype" w:eastAsia="Palatino Linotype" w:hAnsi="Palatino Linotype" w:cs="Palatino Linotype"/>
          <w:b/>
          <w:bCs/>
          <w:sz w:val="22"/>
          <w:szCs w:val="22"/>
        </w:rPr>
        <w:t>Sujeto Obligado</w:t>
      </w:r>
      <w:r w:rsidRPr="006F0DCC">
        <w:rPr>
          <w:rFonts w:ascii="Palatino Linotype" w:eastAsia="Palatino Linotype" w:hAnsi="Palatino Linotype" w:cs="Palatino Linotype"/>
          <w:sz w:val="22"/>
          <w:szCs w:val="22"/>
        </w:rPr>
        <w:t xml:space="preserve"> dé respuesta a la solicitud de acceso a la información, atendiendo lo señalado en el presente Considerando.</w:t>
      </w:r>
    </w:p>
    <w:p w14:paraId="076BE660" w14:textId="77777777" w:rsidR="00556E8E" w:rsidRPr="006F0DCC" w:rsidRDefault="00556E8E">
      <w:pPr>
        <w:spacing w:line="360" w:lineRule="auto"/>
        <w:jc w:val="both"/>
        <w:rPr>
          <w:rFonts w:ascii="Palatino Linotype" w:eastAsia="Palatino Linotype" w:hAnsi="Palatino Linotype" w:cs="Palatino Linotype"/>
          <w:sz w:val="22"/>
          <w:szCs w:val="22"/>
        </w:rPr>
      </w:pPr>
    </w:p>
    <w:p w14:paraId="5171B6EF" w14:textId="77777777" w:rsidR="00556E8E" w:rsidRPr="006F0DCC" w:rsidRDefault="000C60F7">
      <w:pPr>
        <w:spacing w:line="360" w:lineRule="auto"/>
        <w:ind w:right="49"/>
        <w:jc w:val="both"/>
        <w:rPr>
          <w:rFonts w:ascii="Palatino Linotype" w:eastAsia="Palatino Linotype" w:hAnsi="Palatino Linotype" w:cs="Palatino Linotype"/>
          <w:sz w:val="22"/>
          <w:szCs w:val="22"/>
        </w:rPr>
      </w:pPr>
      <w:r w:rsidRPr="006F0DCC">
        <w:rPr>
          <w:rFonts w:ascii="Palatino Linotype" w:eastAsia="Palatino Linotype" w:hAnsi="Palatino Linotype" w:cs="Palatino Linotype"/>
          <w:sz w:val="22"/>
          <w:szCs w:val="22"/>
        </w:rPr>
        <w:t>Finalmente, es de señalar que, como ya se mencionó el</w:t>
      </w:r>
      <w:r w:rsidRPr="006F0DCC">
        <w:rPr>
          <w:rFonts w:ascii="Palatino Linotype" w:eastAsia="Palatino Linotype" w:hAnsi="Palatino Linotype" w:cs="Palatino Linotype"/>
          <w:b/>
          <w:bCs/>
          <w:sz w:val="22"/>
          <w:szCs w:val="22"/>
        </w:rPr>
        <w:t xml:space="preserve"> Sujeto Obligado</w:t>
      </w:r>
      <w:r w:rsidRPr="006F0DCC">
        <w:rPr>
          <w:rFonts w:ascii="Palatino Linotype" w:eastAsia="Palatino Linotype" w:hAnsi="Palatino Linotype" w:cs="Palatino Linotype"/>
          <w:sz w:val="22"/>
          <w:szCs w:val="22"/>
        </w:rPr>
        <w:t>, omitió proporcionar la respuesta a la solicitud de acceso a la información pública, en el término contemplado en el ya citado artículo 163 de la Ley de la materia, razón por la que se ordena dar vista</w:t>
      </w:r>
      <w:r w:rsidRPr="006F0DCC">
        <w:rPr>
          <w:rFonts w:ascii="Palatino Linotype" w:eastAsia="Palatino Linotype" w:hAnsi="Palatino Linotype" w:cs="Palatino Linotype"/>
          <w:b/>
          <w:bCs/>
          <w:sz w:val="22"/>
          <w:szCs w:val="22"/>
        </w:rPr>
        <w:t xml:space="preserve"> </w:t>
      </w:r>
      <w:r w:rsidRPr="006F0DCC">
        <w:rPr>
          <w:rFonts w:ascii="Palatino Linotype" w:eastAsia="Palatino Linotype" w:hAnsi="Palatino Linotype" w:cs="Palatino Linotype"/>
          <w:sz w:val="22"/>
          <w:szCs w:val="22"/>
        </w:rPr>
        <w:t>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w:t>
      </w:r>
    </w:p>
    <w:p w14:paraId="1283C24C" w14:textId="77777777" w:rsidR="00556E8E" w:rsidRPr="006F0DCC" w:rsidRDefault="00556E8E">
      <w:pPr>
        <w:spacing w:line="360" w:lineRule="auto"/>
        <w:ind w:right="49"/>
        <w:jc w:val="both"/>
        <w:rPr>
          <w:rFonts w:ascii="Palatino Linotype" w:eastAsia="Palatino Linotype" w:hAnsi="Palatino Linotype" w:cs="Palatino Linotype"/>
          <w:sz w:val="22"/>
          <w:szCs w:val="22"/>
        </w:rPr>
      </w:pPr>
    </w:p>
    <w:p w14:paraId="63C19E6C" w14:textId="77777777" w:rsidR="00556E8E" w:rsidRPr="006F0DCC" w:rsidRDefault="000C60F7">
      <w:pPr>
        <w:spacing w:line="360" w:lineRule="auto"/>
        <w:jc w:val="both"/>
        <w:rPr>
          <w:rFonts w:ascii="Palatino Linotype" w:eastAsia="Palatino Linotype" w:hAnsi="Palatino Linotype" w:cs="Palatino Linotype"/>
          <w:sz w:val="22"/>
          <w:szCs w:val="22"/>
        </w:rPr>
      </w:pPr>
      <w:bookmarkStart w:id="1" w:name="_heading=h.ufldlg1z5cqe" w:colFirst="0" w:colLast="0"/>
      <w:bookmarkEnd w:id="1"/>
      <w:r w:rsidRPr="006F0DCC">
        <w:rPr>
          <w:rFonts w:ascii="Palatino Linotype" w:eastAsia="Palatino Linotype" w:hAnsi="Palatino Linotype" w:cs="Palatino Linotype"/>
          <w:sz w:val="22"/>
          <w:szCs w:val="22"/>
        </w:rPr>
        <w:t>Así, con fundamento en lo prescrito en los artículos 5 párrafos cuadragésimo cuarto, cuadragésimo quinto y cuadragésimo sexto, fracciones IV y V de la Constitución Política del Estado Libre y Soberano de México; transitorio Cuarto del Decreto número 198 de la “LXII” Legislatura del Estado de México; 2, fracción II; 29, 36 fracciones I y II; 176, 178, 181, 185, fracción I, 186 y 188 de la Ley de Transparencia y Acceso a la Información Pública del Estado de México y Municipios, este Pleno:</w:t>
      </w:r>
    </w:p>
    <w:p w14:paraId="15E773A6" w14:textId="77777777" w:rsidR="00556E8E" w:rsidRPr="006F0DCC" w:rsidRDefault="00556E8E">
      <w:pPr>
        <w:pBdr>
          <w:top w:val="nil"/>
          <w:left w:val="nil"/>
          <w:bottom w:val="nil"/>
          <w:right w:val="nil"/>
          <w:between w:val="nil"/>
        </w:pBdr>
        <w:spacing w:line="360" w:lineRule="auto"/>
        <w:rPr>
          <w:rFonts w:ascii="Palatino Linotype" w:eastAsia="Palatino Linotype" w:hAnsi="Palatino Linotype" w:cs="Palatino Linotype"/>
          <w:b/>
          <w:bCs/>
          <w:sz w:val="22"/>
          <w:szCs w:val="22"/>
        </w:rPr>
      </w:pPr>
    </w:p>
    <w:p w14:paraId="6B4C55AF" w14:textId="77777777" w:rsidR="00556E8E" w:rsidRPr="006F0DCC" w:rsidRDefault="000C60F7">
      <w:pPr>
        <w:pBdr>
          <w:top w:val="nil"/>
          <w:left w:val="nil"/>
          <w:bottom w:val="nil"/>
          <w:right w:val="nil"/>
          <w:between w:val="nil"/>
        </w:pBdr>
        <w:spacing w:line="360" w:lineRule="auto"/>
        <w:jc w:val="center"/>
        <w:rPr>
          <w:rFonts w:ascii="Palatino Linotype" w:eastAsia="Palatino Linotype" w:hAnsi="Palatino Linotype" w:cs="Palatino Linotype"/>
          <w:b/>
          <w:bCs/>
          <w:sz w:val="22"/>
          <w:szCs w:val="22"/>
        </w:rPr>
      </w:pPr>
      <w:r w:rsidRPr="006F0DCC">
        <w:rPr>
          <w:rFonts w:ascii="Palatino Linotype" w:eastAsia="Palatino Linotype" w:hAnsi="Palatino Linotype" w:cs="Palatino Linotype"/>
          <w:b/>
          <w:bCs/>
          <w:sz w:val="22"/>
          <w:szCs w:val="22"/>
        </w:rPr>
        <w:t>III. R E S U E L V E</w:t>
      </w:r>
    </w:p>
    <w:p w14:paraId="6A80051F" w14:textId="77777777" w:rsidR="00556E8E" w:rsidRPr="006F0DCC" w:rsidRDefault="00556E8E">
      <w:pPr>
        <w:pBdr>
          <w:top w:val="nil"/>
          <w:left w:val="nil"/>
          <w:bottom w:val="nil"/>
          <w:right w:val="nil"/>
          <w:between w:val="nil"/>
        </w:pBdr>
        <w:spacing w:line="360" w:lineRule="auto"/>
        <w:jc w:val="center"/>
        <w:rPr>
          <w:rFonts w:ascii="Palatino Linotype" w:eastAsia="Palatino Linotype" w:hAnsi="Palatino Linotype" w:cs="Palatino Linotype"/>
          <w:b/>
          <w:bCs/>
          <w:sz w:val="22"/>
          <w:szCs w:val="22"/>
        </w:rPr>
      </w:pPr>
    </w:p>
    <w:p w14:paraId="4C515B57" w14:textId="77777777" w:rsidR="00556E8E" w:rsidRPr="006F0DCC" w:rsidRDefault="000C60F7">
      <w:pPr>
        <w:spacing w:line="360" w:lineRule="auto"/>
        <w:ind w:right="49"/>
        <w:jc w:val="both"/>
        <w:rPr>
          <w:rFonts w:ascii="Palatino Linotype" w:eastAsia="Palatino Linotype" w:hAnsi="Palatino Linotype" w:cs="Palatino Linotype"/>
          <w:sz w:val="22"/>
          <w:szCs w:val="22"/>
        </w:rPr>
      </w:pPr>
      <w:r w:rsidRPr="006F0DCC">
        <w:rPr>
          <w:rFonts w:ascii="Palatino Linotype" w:eastAsia="Palatino Linotype" w:hAnsi="Palatino Linotype" w:cs="Palatino Linotype"/>
          <w:b/>
          <w:bCs/>
          <w:sz w:val="22"/>
          <w:szCs w:val="22"/>
        </w:rPr>
        <w:t xml:space="preserve">Primero. </w:t>
      </w:r>
      <w:r w:rsidRPr="006F0DCC">
        <w:rPr>
          <w:rFonts w:ascii="Palatino Linotype" w:eastAsia="Palatino Linotype" w:hAnsi="Palatino Linotype" w:cs="Palatino Linotype"/>
          <w:sz w:val="22"/>
          <w:szCs w:val="22"/>
        </w:rPr>
        <w:t xml:space="preserve">Resultan </w:t>
      </w:r>
      <w:r w:rsidRPr="006F0DCC">
        <w:rPr>
          <w:rFonts w:ascii="Palatino Linotype" w:eastAsia="Palatino Linotype" w:hAnsi="Palatino Linotype" w:cs="Palatino Linotype"/>
          <w:b/>
          <w:bCs/>
          <w:sz w:val="22"/>
          <w:szCs w:val="22"/>
        </w:rPr>
        <w:t>FUNDADOS</w:t>
      </w:r>
      <w:r w:rsidRPr="006F0DCC">
        <w:rPr>
          <w:rFonts w:ascii="Palatino Linotype" w:eastAsia="Palatino Linotype" w:hAnsi="Palatino Linotype" w:cs="Palatino Linotype"/>
          <w:sz w:val="22"/>
          <w:szCs w:val="22"/>
        </w:rPr>
        <w:t xml:space="preserve"> los motivos de inconformidad de la parte </w:t>
      </w:r>
      <w:r w:rsidRPr="006F0DCC">
        <w:rPr>
          <w:rFonts w:ascii="Palatino Linotype" w:eastAsia="Palatino Linotype" w:hAnsi="Palatino Linotype" w:cs="Palatino Linotype"/>
          <w:b/>
          <w:bCs/>
          <w:sz w:val="22"/>
          <w:szCs w:val="22"/>
        </w:rPr>
        <w:t>Recurrente</w:t>
      </w:r>
      <w:r w:rsidRPr="006F0DCC">
        <w:rPr>
          <w:rFonts w:ascii="Palatino Linotype" w:eastAsia="Palatino Linotype" w:hAnsi="Palatino Linotype" w:cs="Palatino Linotype"/>
          <w:sz w:val="22"/>
          <w:szCs w:val="22"/>
        </w:rPr>
        <w:t xml:space="preserve">, en términos del </w:t>
      </w:r>
      <w:r w:rsidRPr="006F0DCC">
        <w:rPr>
          <w:rFonts w:ascii="Palatino Linotype" w:eastAsia="Palatino Linotype" w:hAnsi="Palatino Linotype" w:cs="Palatino Linotype"/>
          <w:b/>
          <w:bCs/>
          <w:sz w:val="22"/>
          <w:szCs w:val="22"/>
        </w:rPr>
        <w:t>Considerando Cuarto</w:t>
      </w:r>
      <w:r w:rsidRPr="006F0DCC">
        <w:rPr>
          <w:rFonts w:ascii="Palatino Linotype" w:eastAsia="Palatino Linotype" w:hAnsi="Palatino Linotype" w:cs="Palatino Linotype"/>
          <w:sz w:val="22"/>
          <w:szCs w:val="22"/>
        </w:rPr>
        <w:t xml:space="preserve"> de la presente resolución.</w:t>
      </w:r>
    </w:p>
    <w:p w14:paraId="6829F3B7" w14:textId="77777777" w:rsidR="00556E8E" w:rsidRPr="006F0DCC" w:rsidRDefault="00556E8E">
      <w:pPr>
        <w:spacing w:line="360" w:lineRule="auto"/>
        <w:ind w:right="49"/>
        <w:jc w:val="both"/>
        <w:rPr>
          <w:rFonts w:ascii="Palatino Linotype" w:eastAsia="Palatino Linotype" w:hAnsi="Palatino Linotype" w:cs="Palatino Linotype"/>
          <w:sz w:val="22"/>
          <w:szCs w:val="22"/>
        </w:rPr>
      </w:pPr>
    </w:p>
    <w:p w14:paraId="2C77AEE4" w14:textId="77777777" w:rsidR="00556E8E" w:rsidRPr="006F0DCC" w:rsidRDefault="000C60F7">
      <w:pPr>
        <w:spacing w:line="360" w:lineRule="auto"/>
        <w:jc w:val="both"/>
        <w:rPr>
          <w:rFonts w:ascii="Palatino Linotype" w:eastAsia="Palatino Linotype" w:hAnsi="Palatino Linotype" w:cs="Palatino Linotype"/>
          <w:sz w:val="22"/>
          <w:szCs w:val="22"/>
        </w:rPr>
      </w:pPr>
      <w:bookmarkStart w:id="2" w:name="_heading=h.3dy6vkm" w:colFirst="0" w:colLast="0"/>
      <w:bookmarkEnd w:id="2"/>
      <w:r w:rsidRPr="006F0DCC">
        <w:rPr>
          <w:rFonts w:ascii="Palatino Linotype" w:eastAsia="Palatino Linotype" w:hAnsi="Palatino Linotype" w:cs="Palatino Linotype"/>
          <w:b/>
          <w:bCs/>
          <w:sz w:val="22"/>
          <w:szCs w:val="22"/>
        </w:rPr>
        <w:lastRenderedPageBreak/>
        <w:t>Segundo.</w:t>
      </w:r>
      <w:r w:rsidRPr="006F0DCC">
        <w:rPr>
          <w:rFonts w:ascii="Palatino Linotype" w:eastAsia="Palatino Linotype" w:hAnsi="Palatino Linotype" w:cs="Palatino Linotype"/>
          <w:sz w:val="22"/>
          <w:szCs w:val="22"/>
        </w:rPr>
        <w:t xml:space="preserve"> Se</w:t>
      </w:r>
      <w:r w:rsidRPr="006F0DCC">
        <w:rPr>
          <w:rFonts w:ascii="Palatino Linotype" w:eastAsia="Palatino Linotype" w:hAnsi="Palatino Linotype" w:cs="Palatino Linotype"/>
          <w:b/>
          <w:bCs/>
          <w:sz w:val="22"/>
          <w:szCs w:val="22"/>
        </w:rPr>
        <w:t xml:space="preserve"> Ordena </w:t>
      </w:r>
      <w:r w:rsidRPr="006F0DCC">
        <w:rPr>
          <w:rFonts w:ascii="Palatino Linotype" w:eastAsia="Palatino Linotype" w:hAnsi="Palatino Linotype" w:cs="Palatino Linotype"/>
          <w:sz w:val="22"/>
          <w:szCs w:val="22"/>
        </w:rPr>
        <w:t xml:space="preserve">al </w:t>
      </w:r>
      <w:r w:rsidRPr="006F0DCC">
        <w:rPr>
          <w:rFonts w:ascii="Palatino Linotype" w:eastAsia="Palatino Linotype" w:hAnsi="Palatino Linotype" w:cs="Palatino Linotype"/>
          <w:b/>
          <w:bCs/>
          <w:sz w:val="22"/>
          <w:szCs w:val="22"/>
        </w:rPr>
        <w:t xml:space="preserve">Sujeto Obligado </w:t>
      </w:r>
      <w:r w:rsidRPr="006F0DCC">
        <w:rPr>
          <w:rFonts w:ascii="Palatino Linotype" w:eastAsia="Palatino Linotype" w:hAnsi="Palatino Linotype" w:cs="Palatino Linotype"/>
          <w:sz w:val="22"/>
          <w:szCs w:val="22"/>
        </w:rPr>
        <w:t xml:space="preserve">dé trámite, vía </w:t>
      </w:r>
      <w:r w:rsidRPr="006F0DCC">
        <w:rPr>
          <w:rFonts w:ascii="Palatino Linotype" w:eastAsia="Palatino Linotype" w:hAnsi="Palatino Linotype" w:cs="Palatino Linotype"/>
          <w:b/>
          <w:bCs/>
          <w:sz w:val="22"/>
          <w:szCs w:val="22"/>
        </w:rPr>
        <w:t xml:space="preserve">Sistema de Acceso a la Información Mexiquense </w:t>
      </w:r>
      <w:r w:rsidRPr="006F0DCC">
        <w:rPr>
          <w:rFonts w:ascii="Palatino Linotype" w:eastAsia="Palatino Linotype" w:hAnsi="Palatino Linotype" w:cs="Palatino Linotype"/>
          <w:sz w:val="22"/>
          <w:szCs w:val="22"/>
        </w:rPr>
        <w:t xml:space="preserve">a la solicitud de acceso a la información pública </w:t>
      </w:r>
      <w:r w:rsidRPr="006F0DCC">
        <w:rPr>
          <w:rFonts w:ascii="Palatino Linotype" w:eastAsia="Palatino Linotype" w:hAnsi="Palatino Linotype" w:cs="Palatino Linotype"/>
          <w:b/>
          <w:bCs/>
          <w:sz w:val="22"/>
          <w:szCs w:val="22"/>
        </w:rPr>
        <w:t xml:space="preserve">00390/TEPOTZOT/IP/2026 </w:t>
      </w:r>
      <w:r w:rsidRPr="006F0DCC">
        <w:rPr>
          <w:rFonts w:ascii="Palatino Linotype" w:eastAsia="Palatino Linotype" w:hAnsi="Palatino Linotype" w:cs="Palatino Linotype"/>
          <w:sz w:val="22"/>
          <w:szCs w:val="22"/>
        </w:rPr>
        <w:t xml:space="preserve">que dio origen al recurso de revisión </w:t>
      </w:r>
      <w:r w:rsidRPr="006F0DCC">
        <w:rPr>
          <w:rFonts w:ascii="Palatino Linotype" w:eastAsia="Palatino Linotype" w:hAnsi="Palatino Linotype" w:cs="Palatino Linotype"/>
          <w:b/>
          <w:bCs/>
          <w:sz w:val="22"/>
          <w:szCs w:val="22"/>
        </w:rPr>
        <w:t xml:space="preserve">02249/INFOEM/IP/RR/2026 </w:t>
      </w:r>
      <w:r w:rsidRPr="006F0DCC">
        <w:rPr>
          <w:rFonts w:ascii="Palatino Linotype" w:eastAsia="Palatino Linotype" w:hAnsi="Palatino Linotype" w:cs="Palatino Linotype"/>
          <w:sz w:val="22"/>
          <w:szCs w:val="22"/>
        </w:rPr>
        <w:t xml:space="preserve">en términos del </w:t>
      </w:r>
      <w:r w:rsidRPr="006F0DCC">
        <w:rPr>
          <w:rFonts w:ascii="Palatino Linotype" w:eastAsia="Palatino Linotype" w:hAnsi="Palatino Linotype" w:cs="Palatino Linotype"/>
          <w:b/>
          <w:bCs/>
          <w:sz w:val="22"/>
          <w:szCs w:val="22"/>
        </w:rPr>
        <w:t>Considerando Cuarto</w:t>
      </w:r>
      <w:r w:rsidRPr="006F0DCC">
        <w:rPr>
          <w:rFonts w:ascii="Palatino Linotype" w:eastAsia="Palatino Linotype" w:hAnsi="Palatino Linotype" w:cs="Palatino Linotype"/>
          <w:sz w:val="22"/>
          <w:szCs w:val="22"/>
        </w:rPr>
        <w:t xml:space="preserve"> de esta resolución y emita respuesta, debiendo observar las excepciones contenidas en la Ley de Transparencia y Acceso a la Información Pública del Estado de México y Municipios.</w:t>
      </w:r>
    </w:p>
    <w:p w14:paraId="067D1A87" w14:textId="77777777" w:rsidR="00556E8E" w:rsidRPr="006F0DCC" w:rsidRDefault="00556E8E">
      <w:pPr>
        <w:spacing w:line="360" w:lineRule="auto"/>
        <w:jc w:val="both"/>
        <w:rPr>
          <w:rFonts w:ascii="Palatino Linotype" w:eastAsia="Palatino Linotype" w:hAnsi="Palatino Linotype" w:cs="Palatino Linotype"/>
          <w:sz w:val="22"/>
          <w:szCs w:val="22"/>
        </w:rPr>
      </w:pPr>
      <w:bookmarkStart w:id="3" w:name="_heading=h.x89pg6hznygt" w:colFirst="0" w:colLast="0"/>
      <w:bookmarkEnd w:id="3"/>
    </w:p>
    <w:p w14:paraId="086F5B47" w14:textId="77777777" w:rsidR="00556E8E" w:rsidRPr="006F0DCC" w:rsidRDefault="000C60F7">
      <w:pPr>
        <w:spacing w:line="360" w:lineRule="auto"/>
        <w:ind w:right="49"/>
        <w:jc w:val="both"/>
        <w:rPr>
          <w:rFonts w:ascii="Palatino Linotype" w:eastAsia="Palatino Linotype" w:hAnsi="Palatino Linotype" w:cs="Palatino Linotype"/>
          <w:sz w:val="22"/>
          <w:szCs w:val="22"/>
        </w:rPr>
      </w:pPr>
      <w:bookmarkStart w:id="4" w:name="_heading=h.3znysh7" w:colFirst="0" w:colLast="0"/>
      <w:bookmarkEnd w:id="4"/>
      <w:r w:rsidRPr="006F0DCC">
        <w:rPr>
          <w:rFonts w:ascii="Palatino Linotype" w:eastAsia="Palatino Linotype" w:hAnsi="Palatino Linotype" w:cs="Palatino Linotype"/>
          <w:b/>
          <w:bCs/>
          <w:sz w:val="22"/>
          <w:szCs w:val="22"/>
        </w:rPr>
        <w:t>Tercero.</w:t>
      </w:r>
      <w:r w:rsidRPr="006F0DCC">
        <w:rPr>
          <w:rFonts w:ascii="Palatino Linotype" w:eastAsia="Palatino Linotype" w:hAnsi="Palatino Linotype" w:cs="Palatino Linotype"/>
          <w:sz w:val="22"/>
          <w:szCs w:val="22"/>
        </w:rPr>
        <w:t xml:space="preserve"> </w:t>
      </w:r>
      <w:r w:rsidRPr="006F0DCC">
        <w:rPr>
          <w:rFonts w:ascii="Palatino Linotype" w:eastAsia="Palatino Linotype" w:hAnsi="Palatino Linotype" w:cs="Palatino Linotype"/>
          <w:b/>
          <w:bCs/>
          <w:sz w:val="22"/>
          <w:szCs w:val="22"/>
        </w:rPr>
        <w:t xml:space="preserve">Notifíquese vía Sistema de Acceso a la Información Mexiquense </w:t>
      </w:r>
      <w:r w:rsidRPr="006F0DCC">
        <w:rPr>
          <w:rFonts w:ascii="Palatino Linotype" w:eastAsia="Palatino Linotype" w:hAnsi="Palatino Linotype" w:cs="Palatino Linotype"/>
          <w:sz w:val="22"/>
          <w:szCs w:val="22"/>
        </w:rPr>
        <w:t>la presente resolución al T</w:t>
      </w:r>
      <w:r w:rsidRPr="006F0DCC">
        <w:rPr>
          <w:rFonts w:ascii="Palatino Linotype" w:eastAsia="Palatino Linotype" w:hAnsi="Palatino Linotype" w:cs="Palatino Linotype"/>
          <w:b/>
          <w:bCs/>
          <w:sz w:val="22"/>
          <w:szCs w:val="22"/>
        </w:rPr>
        <w:t xml:space="preserve">itular de la Unidad de Transparencia </w:t>
      </w:r>
      <w:r w:rsidRPr="006F0DCC">
        <w:rPr>
          <w:rFonts w:ascii="Palatino Linotype" w:eastAsia="Palatino Linotype" w:hAnsi="Palatino Linotype" w:cs="Palatino Linotype"/>
          <w:sz w:val="22"/>
          <w:szCs w:val="22"/>
        </w:rPr>
        <w:t xml:space="preserve">del </w:t>
      </w:r>
      <w:r w:rsidRPr="006F0DCC">
        <w:rPr>
          <w:rFonts w:ascii="Palatino Linotype" w:eastAsia="Palatino Linotype" w:hAnsi="Palatino Linotype" w:cs="Palatino Linotype"/>
          <w:b/>
          <w:bCs/>
          <w:sz w:val="22"/>
          <w:szCs w:val="22"/>
        </w:rPr>
        <w:t>SUJETO OBLIGADO</w:t>
      </w:r>
      <w:r w:rsidRPr="006F0DCC">
        <w:rPr>
          <w:rFonts w:ascii="Palatino Linotype" w:eastAsia="Palatino Linotype" w:hAnsi="Palatino Linotype" w:cs="Palatino Linotype"/>
          <w:sz w:val="22"/>
          <w:szCs w:val="22"/>
        </w:rPr>
        <w:t>,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330D690B" w14:textId="77777777" w:rsidR="00556E8E" w:rsidRPr="006F0DCC" w:rsidRDefault="00556E8E">
      <w:pPr>
        <w:spacing w:line="360" w:lineRule="auto"/>
        <w:ind w:right="49"/>
        <w:jc w:val="both"/>
        <w:rPr>
          <w:rFonts w:ascii="Palatino Linotype" w:eastAsia="Palatino Linotype" w:hAnsi="Palatino Linotype" w:cs="Palatino Linotype"/>
          <w:sz w:val="22"/>
          <w:szCs w:val="22"/>
        </w:rPr>
      </w:pPr>
    </w:p>
    <w:p w14:paraId="248391F5" w14:textId="77777777" w:rsidR="00556E8E" w:rsidRPr="006F0DCC" w:rsidRDefault="000C60F7">
      <w:pPr>
        <w:spacing w:line="360" w:lineRule="auto"/>
        <w:jc w:val="both"/>
        <w:rPr>
          <w:rFonts w:ascii="Palatino Linotype" w:eastAsia="Palatino Linotype" w:hAnsi="Palatino Linotype" w:cs="Palatino Linotype"/>
          <w:sz w:val="22"/>
          <w:szCs w:val="22"/>
        </w:rPr>
      </w:pPr>
      <w:r w:rsidRPr="006F0DCC">
        <w:rPr>
          <w:rFonts w:ascii="Palatino Linotype" w:eastAsia="Palatino Linotype" w:hAnsi="Palatino Linotype" w:cs="Palatino Linotype"/>
          <w:b/>
          <w:bCs/>
          <w:sz w:val="22"/>
          <w:szCs w:val="22"/>
        </w:rPr>
        <w:t>Cuarto. Notifíquese</w:t>
      </w:r>
      <w:r w:rsidRPr="006F0DCC">
        <w:rPr>
          <w:rFonts w:ascii="Palatino Linotype" w:eastAsia="Palatino Linotype" w:hAnsi="Palatino Linotype" w:cs="Palatino Linotype"/>
          <w:sz w:val="22"/>
          <w:szCs w:val="22"/>
        </w:rPr>
        <w:t>,</w:t>
      </w:r>
      <w:r w:rsidRPr="006F0DCC">
        <w:rPr>
          <w:rFonts w:ascii="Palatino Linotype" w:eastAsia="Palatino Linotype" w:hAnsi="Palatino Linotype" w:cs="Palatino Linotype"/>
          <w:b/>
          <w:bCs/>
          <w:sz w:val="22"/>
          <w:szCs w:val="22"/>
        </w:rPr>
        <w:t xml:space="preserve"> </w:t>
      </w:r>
      <w:r w:rsidRPr="006F0DCC">
        <w:rPr>
          <w:rFonts w:ascii="Palatino Linotype" w:eastAsia="Palatino Linotype" w:hAnsi="Palatino Linotype" w:cs="Palatino Linotype"/>
          <w:sz w:val="22"/>
          <w:szCs w:val="22"/>
        </w:rPr>
        <w:t xml:space="preserve">vía </w:t>
      </w:r>
      <w:r w:rsidRPr="006F0DCC">
        <w:rPr>
          <w:rFonts w:ascii="Palatino Linotype" w:eastAsia="Palatino Linotype" w:hAnsi="Palatino Linotype" w:cs="Palatino Linotype"/>
          <w:b/>
          <w:bCs/>
          <w:sz w:val="22"/>
          <w:szCs w:val="22"/>
        </w:rPr>
        <w:t>Sistema de Acceso a la Información Mexiquense</w:t>
      </w:r>
      <w:r w:rsidRPr="006F0DCC">
        <w:rPr>
          <w:rFonts w:ascii="Palatino Linotype" w:eastAsia="Palatino Linotype" w:hAnsi="Palatino Linotype" w:cs="Palatino Linotype"/>
          <w:sz w:val="22"/>
          <w:szCs w:val="22"/>
        </w:rPr>
        <w:t xml:space="preserve">, a la parte </w:t>
      </w:r>
      <w:r w:rsidRPr="006F0DCC">
        <w:rPr>
          <w:rFonts w:ascii="Palatino Linotype" w:eastAsia="Palatino Linotype" w:hAnsi="Palatino Linotype" w:cs="Palatino Linotype"/>
          <w:b/>
          <w:bCs/>
          <w:sz w:val="22"/>
          <w:szCs w:val="22"/>
        </w:rPr>
        <w:t xml:space="preserve">Recurrente </w:t>
      </w:r>
      <w:r w:rsidRPr="006F0DCC">
        <w:rPr>
          <w:rFonts w:ascii="Palatino Linotype" w:eastAsia="Palatino Linotype" w:hAnsi="Palatino Linotype" w:cs="Palatino Linotype"/>
          <w:sz w:val="22"/>
          <w:szCs w:val="22"/>
        </w:rPr>
        <w:t>la presente resolución, así como, que de conformidad con lo establecido en el artículo 196 de la Ley de Transparencia y Acceso a la Información Pública del Estado de México y Municipios, en caso de que considere que le causa algún perjuicio podrá impugnarla vía Juicio de Amparo en los términos de las leyes aplicables.</w:t>
      </w:r>
    </w:p>
    <w:p w14:paraId="66831801" w14:textId="77777777" w:rsidR="00556E8E" w:rsidRPr="006F0DCC" w:rsidRDefault="00556E8E">
      <w:pPr>
        <w:spacing w:line="360" w:lineRule="auto"/>
        <w:jc w:val="both"/>
        <w:rPr>
          <w:rFonts w:ascii="Palatino Linotype" w:eastAsia="Palatino Linotype" w:hAnsi="Palatino Linotype" w:cs="Palatino Linotype"/>
          <w:sz w:val="22"/>
          <w:szCs w:val="22"/>
        </w:rPr>
      </w:pPr>
    </w:p>
    <w:p w14:paraId="4E3CBA73" w14:textId="77777777" w:rsidR="00556E8E" w:rsidRPr="006F0DCC" w:rsidRDefault="000C60F7">
      <w:pPr>
        <w:spacing w:line="360" w:lineRule="auto"/>
        <w:jc w:val="both"/>
        <w:rPr>
          <w:rFonts w:ascii="Palatino Linotype" w:eastAsia="Palatino Linotype" w:hAnsi="Palatino Linotype" w:cs="Palatino Linotype"/>
          <w:sz w:val="22"/>
          <w:szCs w:val="22"/>
        </w:rPr>
      </w:pPr>
      <w:r w:rsidRPr="006F0DCC">
        <w:rPr>
          <w:rFonts w:ascii="Palatino Linotype" w:eastAsia="Palatino Linotype" w:hAnsi="Palatino Linotype" w:cs="Palatino Linotype"/>
          <w:b/>
          <w:bCs/>
          <w:sz w:val="22"/>
          <w:szCs w:val="22"/>
        </w:rPr>
        <w:t xml:space="preserve">Quinto. Notifíquese </w:t>
      </w:r>
      <w:r w:rsidRPr="006F0DCC">
        <w:rPr>
          <w:rFonts w:ascii="Palatino Linotype" w:eastAsia="Palatino Linotype" w:hAnsi="Palatino Linotype" w:cs="Palatino Linotype"/>
          <w:sz w:val="22"/>
          <w:szCs w:val="22"/>
        </w:rPr>
        <w:t xml:space="preserve">a la parte </w:t>
      </w:r>
      <w:r w:rsidRPr="006F0DCC">
        <w:rPr>
          <w:rFonts w:ascii="Palatino Linotype" w:eastAsia="Palatino Linotype" w:hAnsi="Palatino Linotype" w:cs="Palatino Linotype"/>
          <w:b/>
          <w:bCs/>
          <w:sz w:val="22"/>
          <w:szCs w:val="22"/>
        </w:rPr>
        <w:t xml:space="preserve">Recurrente </w:t>
      </w:r>
      <w:r w:rsidRPr="006F0DCC">
        <w:rPr>
          <w:rFonts w:ascii="Palatino Linotype" w:eastAsia="Palatino Linotype" w:hAnsi="Palatino Linotype" w:cs="Palatino Linotype"/>
          <w:sz w:val="22"/>
          <w:szCs w:val="22"/>
        </w:rPr>
        <w:t xml:space="preserve">que la respuesta que dé el </w:t>
      </w:r>
      <w:r w:rsidRPr="006F0DCC">
        <w:rPr>
          <w:rFonts w:ascii="Palatino Linotype" w:eastAsia="Palatino Linotype" w:hAnsi="Palatino Linotype" w:cs="Palatino Linotype"/>
          <w:b/>
          <w:bCs/>
          <w:sz w:val="22"/>
          <w:szCs w:val="22"/>
        </w:rPr>
        <w:t>Sujeto Obligado</w:t>
      </w:r>
      <w:r w:rsidRPr="006F0DCC">
        <w:rPr>
          <w:rFonts w:ascii="Palatino Linotype" w:eastAsia="Palatino Linotype" w:hAnsi="Palatino Linotype" w:cs="Palatino Linotype"/>
          <w:sz w:val="22"/>
          <w:szCs w:val="22"/>
        </w:rPr>
        <w:t xml:space="preserve"> derivada de la presente resolución es susceptible de ser impugnadas nuevamente, mediante </w:t>
      </w:r>
      <w:r w:rsidRPr="006F0DCC">
        <w:rPr>
          <w:rFonts w:ascii="Palatino Linotype" w:eastAsia="Palatino Linotype" w:hAnsi="Palatino Linotype" w:cs="Palatino Linotype"/>
          <w:sz w:val="22"/>
          <w:szCs w:val="22"/>
        </w:rPr>
        <w:lastRenderedPageBreak/>
        <w:t>recurso de revisión, ante el Instituto, en términos del artículo 179, último párrafo de la Ley de Transparencia y Acceso a la Información Pública del Estado de México y Municipios.</w:t>
      </w:r>
    </w:p>
    <w:p w14:paraId="0AC9B0B0" w14:textId="77777777" w:rsidR="00556E8E" w:rsidRPr="006F0DCC" w:rsidRDefault="00556E8E">
      <w:pPr>
        <w:spacing w:line="360" w:lineRule="auto"/>
        <w:jc w:val="both"/>
        <w:rPr>
          <w:rFonts w:ascii="Palatino Linotype" w:eastAsia="Palatino Linotype" w:hAnsi="Palatino Linotype" w:cs="Palatino Linotype"/>
          <w:b/>
          <w:bCs/>
          <w:sz w:val="22"/>
          <w:szCs w:val="22"/>
        </w:rPr>
      </w:pPr>
    </w:p>
    <w:p w14:paraId="768BFA6B" w14:textId="77777777" w:rsidR="00556E8E" w:rsidRPr="006F0DCC" w:rsidRDefault="000C60F7">
      <w:pPr>
        <w:spacing w:line="360" w:lineRule="auto"/>
        <w:jc w:val="both"/>
        <w:rPr>
          <w:rFonts w:ascii="Palatino Linotype" w:eastAsia="Palatino Linotype" w:hAnsi="Palatino Linotype" w:cs="Palatino Linotype"/>
          <w:b/>
          <w:bCs/>
          <w:sz w:val="22"/>
          <w:szCs w:val="22"/>
        </w:rPr>
      </w:pPr>
      <w:r w:rsidRPr="006F0DCC">
        <w:rPr>
          <w:rFonts w:ascii="Palatino Linotype" w:eastAsia="Palatino Linotype" w:hAnsi="Palatino Linotype" w:cs="Palatino Linotype"/>
          <w:b/>
          <w:bCs/>
          <w:sz w:val="22"/>
          <w:szCs w:val="22"/>
        </w:rPr>
        <w:t xml:space="preserve">Sexto. Gírese </w:t>
      </w:r>
      <w:r w:rsidRPr="006F0DCC">
        <w:rPr>
          <w:rFonts w:ascii="Palatino Linotype" w:eastAsia="Palatino Linotype" w:hAnsi="Palatino Linotype" w:cs="Palatino Linotype"/>
          <w:sz w:val="22"/>
          <w:szCs w:val="22"/>
        </w:rPr>
        <w:t xml:space="preserve">oficio a la </w:t>
      </w:r>
      <w:r w:rsidRPr="006F0DCC">
        <w:rPr>
          <w:rFonts w:ascii="Palatino Linotype" w:eastAsia="Palatino Linotype" w:hAnsi="Palatino Linotype" w:cs="Palatino Linotype"/>
          <w:b/>
          <w:bCs/>
          <w:sz w:val="22"/>
          <w:szCs w:val="22"/>
        </w:rPr>
        <w:t>Secretaría Técnica del Pleno</w:t>
      </w:r>
      <w:r w:rsidRPr="006F0DCC">
        <w:rPr>
          <w:rFonts w:ascii="Palatino Linotype" w:eastAsia="Palatino Linotype" w:hAnsi="Palatino Linotype" w:cs="Palatino Linotype"/>
          <w:sz w:val="22"/>
          <w:szCs w:val="22"/>
        </w:rPr>
        <w:t xml:space="preserve">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Cuarto</w:t>
      </w:r>
      <w:r w:rsidRPr="006F0DCC">
        <w:rPr>
          <w:rFonts w:ascii="Palatino Linotype" w:eastAsia="Palatino Linotype" w:hAnsi="Palatino Linotype" w:cs="Palatino Linotype"/>
          <w:b/>
          <w:bCs/>
          <w:sz w:val="22"/>
          <w:szCs w:val="22"/>
        </w:rPr>
        <w:t xml:space="preserve"> </w:t>
      </w:r>
      <w:r w:rsidRPr="006F0DCC">
        <w:rPr>
          <w:rFonts w:ascii="Palatino Linotype" w:eastAsia="Palatino Linotype" w:hAnsi="Palatino Linotype" w:cs="Palatino Linotype"/>
          <w:sz w:val="22"/>
          <w:szCs w:val="22"/>
        </w:rPr>
        <w:t>de la presente resolución.</w:t>
      </w:r>
      <w:r w:rsidRPr="006F0DCC">
        <w:rPr>
          <w:rFonts w:ascii="Palatino Linotype" w:eastAsia="Palatino Linotype" w:hAnsi="Palatino Linotype" w:cs="Palatino Linotype"/>
          <w:b/>
          <w:bCs/>
          <w:sz w:val="22"/>
          <w:szCs w:val="22"/>
        </w:rPr>
        <w:t xml:space="preserve"> </w:t>
      </w:r>
    </w:p>
    <w:p w14:paraId="7312DAB2" w14:textId="77777777" w:rsidR="00556E8E" w:rsidRPr="006F0DCC" w:rsidRDefault="00556E8E">
      <w:pPr>
        <w:spacing w:line="360" w:lineRule="auto"/>
        <w:jc w:val="both"/>
        <w:rPr>
          <w:rFonts w:ascii="Palatino Linotype" w:eastAsia="Palatino Linotype" w:hAnsi="Palatino Linotype" w:cs="Palatino Linotype"/>
          <w:sz w:val="22"/>
          <w:szCs w:val="22"/>
        </w:rPr>
      </w:pPr>
      <w:bookmarkStart w:id="5" w:name="_heading=h.ibiie51sawl6" w:colFirst="0" w:colLast="0"/>
      <w:bookmarkEnd w:id="5"/>
    </w:p>
    <w:p w14:paraId="355CDA39" w14:textId="77777777" w:rsidR="00556E8E" w:rsidRPr="006F0DCC" w:rsidRDefault="000C60F7">
      <w:pPr>
        <w:spacing w:line="360" w:lineRule="auto"/>
        <w:ind w:right="49"/>
        <w:jc w:val="both"/>
        <w:rPr>
          <w:rFonts w:ascii="Palatino Linotype" w:eastAsia="Palatino Linotype" w:hAnsi="Palatino Linotype" w:cs="Palatino Linotype"/>
          <w:sz w:val="22"/>
          <w:szCs w:val="22"/>
        </w:rPr>
        <w:sectPr w:rsidR="00556E8E" w:rsidRPr="006F0DCC">
          <w:headerReference w:type="default" r:id="rId9"/>
          <w:footerReference w:type="default" r:id="rId10"/>
          <w:headerReference w:type="first" r:id="rId11"/>
          <w:footerReference w:type="first" r:id="rId12"/>
          <w:pgSz w:w="12240" w:h="15840"/>
          <w:pgMar w:top="1985" w:right="1701" w:bottom="1701" w:left="1701" w:header="709" w:footer="709" w:gutter="0"/>
          <w:pgNumType w:start="1"/>
          <w:cols w:space="720"/>
          <w:titlePg/>
        </w:sectPr>
      </w:pPr>
      <w:bookmarkStart w:id="6" w:name="_heading=h.1fob9te" w:colFirst="0" w:colLast="0"/>
      <w:bookmarkEnd w:id="6"/>
      <w:r w:rsidRPr="006F0DCC">
        <w:rPr>
          <w:rFonts w:ascii="Palatino Linotype" w:eastAsia="Palatino Linotype" w:hAnsi="Palatino Linotype" w:cs="Palatino Linotype"/>
          <w:sz w:val="22"/>
          <w:szCs w:val="22"/>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OCTAVA SESIÓN ORDINARIA CELEBRADA EL CINCO DE MARZO DE DOS MIL VEINTISÉIS, ANTE EL SECRETARIO TÉCNICO DEL PLENO ALEXIS TAPIA RAMÍREZ. </w:t>
      </w:r>
    </w:p>
    <w:p w14:paraId="462C846A" w14:textId="77777777" w:rsidR="00556E8E" w:rsidRPr="006F0DCC" w:rsidRDefault="00556E8E">
      <w:pPr>
        <w:tabs>
          <w:tab w:val="left" w:pos="709"/>
        </w:tabs>
        <w:spacing w:line="360" w:lineRule="auto"/>
        <w:jc w:val="both"/>
        <w:rPr>
          <w:rFonts w:ascii="Palatino Linotype" w:eastAsia="Palatino Linotype" w:hAnsi="Palatino Linotype" w:cs="Palatino Linotype"/>
          <w:sz w:val="22"/>
          <w:szCs w:val="22"/>
        </w:rPr>
      </w:pPr>
    </w:p>
    <w:p w14:paraId="34E0A9D4" w14:textId="77777777" w:rsidR="00556E8E" w:rsidRPr="006F0DCC" w:rsidRDefault="00556E8E">
      <w:pPr>
        <w:rPr>
          <w:sz w:val="22"/>
          <w:szCs w:val="22"/>
        </w:rPr>
      </w:pPr>
    </w:p>
    <w:sectPr w:rsidR="00556E8E" w:rsidRPr="006F0DCC">
      <w:headerReference w:type="first" r:id="rId13"/>
      <w:pgSz w:w="12240" w:h="15840"/>
      <w:pgMar w:top="1985" w:right="1701" w:bottom="1701"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68BDA" w14:textId="77777777" w:rsidR="0069544A" w:rsidRDefault="0069544A">
      <w:r>
        <w:separator/>
      </w:r>
    </w:p>
  </w:endnote>
  <w:endnote w:type="continuationSeparator" w:id="0">
    <w:p w14:paraId="69C19EE2" w14:textId="77777777" w:rsidR="0069544A" w:rsidRDefault="006954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embedRegular r:id="rId2" w:fontKey="{BE0EB2CC-923E-9F44-A809-2D4706537625}"/>
  </w:font>
  <w:font w:name="Times New Roman">
    <w:panose1 w:val="02020603050405020304"/>
    <w:charset w:val="00"/>
    <w:family w:val="roman"/>
    <w:pitch w:val="variable"/>
    <w:sig w:usb0="E0002EFF" w:usb1="C000785B" w:usb2="00000009" w:usb3="00000000" w:csb0="000001FF" w:csb1="00000000"/>
    <w:embedRegular r:id="rId3" w:fontKey="{07BDFC1F-BC5A-8348-B0FF-4990323AE2C6}"/>
    <w:embedBold r:id="rId4" w:fontKey="{2E4059D3-5850-F94B-BB69-C78A90D3C827}"/>
    <w:embedItalic r:id="rId5" w:fontKey="{81C40517-0AC3-534E-92CD-2B1C3C24BF18}"/>
  </w:font>
  <w:font w:name="Calibri">
    <w:panose1 w:val="020F0502020204030204"/>
    <w:charset w:val="00"/>
    <w:family w:val="swiss"/>
    <w:pitch w:val="variable"/>
    <w:sig w:usb0="E4002EFF" w:usb1="C200247B" w:usb2="00000009" w:usb3="00000000" w:csb0="000001FF" w:csb1="00000000"/>
    <w:embedRegular r:id="rId6" w:fontKey="{08F5D1BD-8EB0-1B43-A09F-9EB2F2FB5C0A}"/>
  </w:font>
  <w:font w:name="Segoe UI">
    <w:panose1 w:val="020B0502040204020203"/>
    <w:charset w:val="00"/>
    <w:family w:val="swiss"/>
    <w:notTrueType/>
    <w:pitch w:val="variable"/>
    <w:sig w:usb0="E4002EFF" w:usb1="C000E47F" w:usb2="00000009" w:usb3="00000000" w:csb0="000001FF" w:csb1="00000000"/>
    <w:embedRegular r:id="rId7" w:fontKey="{623E2438-C324-6343-95A6-12BF89931D2C}"/>
  </w:font>
  <w:font w:name="Georgia">
    <w:panose1 w:val="02040502050405020303"/>
    <w:charset w:val="00"/>
    <w:family w:val="roman"/>
    <w:pitch w:val="variable"/>
    <w:sig w:usb0="00000287" w:usb1="00000000" w:usb2="00000000" w:usb3="00000000" w:csb0="0000009F" w:csb1="00000000"/>
    <w:embedItalic r:id="rId8" w:fontKey="{582A315E-E01B-8D4C-8D61-BCBB92B9026C}"/>
  </w:font>
  <w:font w:name="Palatino Linotype">
    <w:panose1 w:val="02040502050505030304"/>
    <w:charset w:val="00"/>
    <w:family w:val="roman"/>
    <w:pitch w:val="variable"/>
    <w:sig w:usb0="E0000287" w:usb1="40000013" w:usb2="00000000" w:usb3="00000000" w:csb0="0000019F" w:csb1="00000000"/>
    <w:embedRegular r:id="rId9" w:fontKey="{C4C75A21-3DF2-CB4F-B8AC-B003A57DC21C}"/>
    <w:embedBold r:id="rId10" w:fontKey="{DDF42ED1-7868-B747-B3E0-8A84FA51A2F5}"/>
    <w:embedItalic r:id="rId11" w:fontKey="{C03386EE-E97C-5F42-9D06-7BAE85B28D75}"/>
    <w:embedBoldItalic r:id="rId12" w:fontKey="{BE3AC568-D8D5-DD47-B42E-3FF4E4CBF56F}"/>
  </w:font>
  <w:font w:name="Verdana">
    <w:panose1 w:val="020B0604030504040204"/>
    <w:charset w:val="00"/>
    <w:family w:val="swiss"/>
    <w:pitch w:val="variable"/>
    <w:sig w:usb0="A10006FF" w:usb1="4000205B" w:usb2="00000010" w:usb3="00000000" w:csb0="0000019F" w:csb1="00000000"/>
    <w:embedBold r:id="rId13" w:fontKey="{A57FD98C-AE74-294D-BC64-42C4263C936A}"/>
  </w:font>
  <w:font w:name="Arial">
    <w:panose1 w:val="020B0604020202020204"/>
    <w:charset w:val="00"/>
    <w:family w:val="swiss"/>
    <w:pitch w:val="variable"/>
    <w:sig w:usb0="E0002EFF" w:usb1="C000785B" w:usb2="00000009" w:usb3="00000000" w:csb0="000001FF" w:csb1="00000000"/>
    <w:embedRegular r:id="rId14" w:fontKey="{66834918-9AB1-F148-BDFE-43CE5FA9E433}"/>
    <w:embedBold r:id="rId15" w:fontKey="{5A035230-D84E-5F4F-87F5-04240F367523}"/>
  </w:font>
  <w:font w:name="Calibri Light">
    <w:panose1 w:val="020F0302020204030204"/>
    <w:charset w:val="00"/>
    <w:family w:val="swiss"/>
    <w:pitch w:val="variable"/>
    <w:sig w:usb0="E4002EFF" w:usb1="C200247B" w:usb2="00000009" w:usb3="00000000" w:csb0="000001FF" w:csb1="00000000"/>
    <w:embedRegular r:id="rId16" w:fontKey="{72EA5B47-06AE-C04A-BB2D-EFF49954AB5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CC2F7" w14:textId="77777777" w:rsidR="00556E8E" w:rsidRDefault="000C60F7">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bCs/>
        <w:color w:val="000000"/>
        <w:sz w:val="20"/>
        <w:szCs w:val="20"/>
      </w:rPr>
      <w:t xml:space="preserve">Página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PAGE</w:instrText>
    </w:r>
    <w:r>
      <w:rPr>
        <w:rFonts w:ascii="Arial" w:eastAsia="Arial" w:hAnsi="Arial" w:cs="Arial"/>
        <w:b/>
        <w:bCs/>
        <w:color w:val="000000"/>
        <w:sz w:val="20"/>
        <w:szCs w:val="20"/>
      </w:rPr>
      <w:fldChar w:fldCharType="separate"/>
    </w:r>
    <w:r w:rsidR="006F0DCC">
      <w:rPr>
        <w:rFonts w:ascii="Arial" w:eastAsia="Arial" w:hAnsi="Arial" w:cs="Arial"/>
        <w:b/>
        <w:bCs/>
        <w:noProof/>
        <w:color w:val="000000"/>
        <w:sz w:val="20"/>
        <w:szCs w:val="20"/>
      </w:rPr>
      <w:t>23</w:t>
    </w:r>
    <w:r>
      <w:rPr>
        <w:rFonts w:ascii="Arial" w:eastAsia="Arial" w:hAnsi="Arial" w:cs="Arial"/>
        <w:b/>
        <w:bCs/>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NUMPAGES</w:instrText>
    </w:r>
    <w:r>
      <w:rPr>
        <w:rFonts w:ascii="Arial" w:eastAsia="Arial" w:hAnsi="Arial" w:cs="Arial"/>
        <w:b/>
        <w:bCs/>
        <w:color w:val="000000"/>
        <w:sz w:val="20"/>
        <w:szCs w:val="20"/>
      </w:rPr>
      <w:fldChar w:fldCharType="separate"/>
    </w:r>
    <w:r w:rsidR="006F0DCC">
      <w:rPr>
        <w:rFonts w:ascii="Arial" w:eastAsia="Arial" w:hAnsi="Arial" w:cs="Arial"/>
        <w:b/>
        <w:bCs/>
        <w:noProof/>
        <w:color w:val="000000"/>
        <w:sz w:val="20"/>
        <w:szCs w:val="20"/>
      </w:rPr>
      <w:t>28</w:t>
    </w:r>
    <w:r>
      <w:rPr>
        <w:rFonts w:ascii="Arial" w:eastAsia="Arial" w:hAnsi="Arial" w:cs="Arial"/>
        <w:b/>
        <w:bCs/>
        <w:color w:val="000000"/>
        <w:sz w:val="20"/>
        <w:szCs w:val="20"/>
      </w:rPr>
      <w:fldChar w:fldCharType="end"/>
    </w:r>
  </w:p>
  <w:p w14:paraId="40A066DB" w14:textId="77777777" w:rsidR="00556E8E" w:rsidRDefault="00556E8E">
    <w:pPr>
      <w:pBdr>
        <w:top w:val="nil"/>
        <w:left w:val="nil"/>
        <w:bottom w:val="nil"/>
        <w:right w:val="nil"/>
        <w:between w:val="nil"/>
      </w:pBdr>
      <w:tabs>
        <w:tab w:val="center" w:pos="4252"/>
        <w:tab w:val="right" w:pos="8504"/>
      </w:tabs>
      <w:rPr>
        <w:color w:val="000000"/>
      </w:rPr>
    </w:pPr>
  </w:p>
  <w:p w14:paraId="6496B367" w14:textId="77777777" w:rsidR="00556E8E" w:rsidRDefault="00556E8E">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504E9" w14:textId="77777777" w:rsidR="00556E8E" w:rsidRDefault="000C60F7">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bCs/>
        <w:color w:val="000000"/>
        <w:sz w:val="20"/>
        <w:szCs w:val="20"/>
      </w:rPr>
      <w:t xml:space="preserve">Página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PAGE</w:instrText>
    </w:r>
    <w:r>
      <w:rPr>
        <w:rFonts w:ascii="Arial" w:eastAsia="Arial" w:hAnsi="Arial" w:cs="Arial"/>
        <w:b/>
        <w:bCs/>
        <w:color w:val="000000"/>
        <w:sz w:val="20"/>
        <w:szCs w:val="20"/>
      </w:rPr>
      <w:fldChar w:fldCharType="separate"/>
    </w:r>
    <w:r>
      <w:rPr>
        <w:rFonts w:ascii="Arial" w:eastAsia="Arial" w:hAnsi="Arial" w:cs="Arial"/>
        <w:b/>
        <w:bCs/>
        <w:noProof/>
        <w:color w:val="000000"/>
        <w:sz w:val="20"/>
        <w:szCs w:val="20"/>
      </w:rPr>
      <w:t>1</w:t>
    </w:r>
    <w:r>
      <w:rPr>
        <w:rFonts w:ascii="Arial" w:eastAsia="Arial" w:hAnsi="Arial" w:cs="Arial"/>
        <w:b/>
        <w:bCs/>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NUMPAGES</w:instrText>
    </w:r>
    <w:r>
      <w:rPr>
        <w:rFonts w:ascii="Arial" w:eastAsia="Arial" w:hAnsi="Arial" w:cs="Arial"/>
        <w:b/>
        <w:bCs/>
        <w:color w:val="000000"/>
        <w:sz w:val="20"/>
        <w:szCs w:val="20"/>
      </w:rPr>
      <w:fldChar w:fldCharType="separate"/>
    </w:r>
    <w:r>
      <w:rPr>
        <w:rFonts w:ascii="Arial" w:eastAsia="Arial" w:hAnsi="Arial" w:cs="Arial"/>
        <w:b/>
        <w:bCs/>
        <w:noProof/>
        <w:color w:val="000000"/>
        <w:sz w:val="20"/>
        <w:szCs w:val="20"/>
      </w:rPr>
      <w:t>1</w:t>
    </w:r>
    <w:r>
      <w:rPr>
        <w:rFonts w:ascii="Arial" w:eastAsia="Arial" w:hAnsi="Arial" w:cs="Arial"/>
        <w:b/>
        <w:bCs/>
        <w:color w:val="000000"/>
        <w:sz w:val="20"/>
        <w:szCs w:val="20"/>
      </w:rPr>
      <w:fldChar w:fldCharType="end"/>
    </w:r>
  </w:p>
  <w:p w14:paraId="2E6A3BB5" w14:textId="77777777" w:rsidR="00556E8E" w:rsidRDefault="00556E8E">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CA4A1" w14:textId="77777777" w:rsidR="0069544A" w:rsidRDefault="0069544A">
      <w:r>
        <w:separator/>
      </w:r>
    </w:p>
  </w:footnote>
  <w:footnote w:type="continuationSeparator" w:id="0">
    <w:p w14:paraId="56BD25AC" w14:textId="77777777" w:rsidR="0069544A" w:rsidRDefault="0069544A">
      <w:r>
        <w:continuationSeparator/>
      </w:r>
    </w:p>
  </w:footnote>
  <w:footnote w:id="1">
    <w:p w14:paraId="7D121D08" w14:textId="77777777" w:rsidR="00556E8E" w:rsidRDefault="000C60F7">
      <w:pPr>
        <w:spacing w:before="240"/>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“Artículo 178.</w:t>
      </w:r>
    </w:p>
    <w:p w14:paraId="3AF0B9C9" w14:textId="77777777" w:rsidR="00556E8E" w:rsidRDefault="000C60F7">
      <w:pPr>
        <w:jc w:val="both"/>
        <w:rPr>
          <w:rFonts w:ascii="Palatino Linotype" w:eastAsia="Palatino Linotype" w:hAnsi="Palatino Linotype" w:cs="Palatino Linotype"/>
          <w:sz w:val="16"/>
          <w:szCs w:val="16"/>
        </w:rPr>
      </w:pPr>
      <w:r>
        <w:rPr>
          <w:rFonts w:ascii="Palatino Linotype" w:eastAsia="Palatino Linotype" w:hAnsi="Palatino Linotype" w:cs="Palatino Linotype"/>
          <w:sz w:val="16"/>
          <w:szCs w:val="16"/>
        </w:rPr>
        <w:t>…</w:t>
      </w:r>
    </w:p>
    <w:p w14:paraId="401433DA" w14:textId="77777777" w:rsidR="00556E8E" w:rsidRDefault="000C60F7">
      <w:pPr>
        <w:spacing w:after="240"/>
        <w:jc w:val="both"/>
      </w:pPr>
      <w:r>
        <w:rPr>
          <w:rFonts w:ascii="Palatino Linotype" w:eastAsia="Palatino Linotype" w:hAnsi="Palatino Linotype" w:cs="Palatino Linotype"/>
          <w:sz w:val="16"/>
          <w:szCs w:val="16"/>
        </w:rPr>
        <w:t>A falta de respuesta del sujeto obligado, dentro de los plazos establecidos en esta Ley, a una solicitud de acceso a la información pública, el recurso podrá ser interpuesto en cualquier momento, acompañado con el documento que pruebe la fecha en que presentó la solicitud…”(Sic)</w:t>
      </w:r>
    </w:p>
  </w:footnote>
  <w:footnote w:id="2">
    <w:p w14:paraId="6216183F" w14:textId="77777777" w:rsidR="00556E8E" w:rsidRDefault="000C60F7">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Al encontrarse en algún supuesto restrictivo, previsto en la normatividad aplicable.</w:t>
      </w:r>
    </w:p>
  </w:footnote>
  <w:footnote w:id="3">
    <w:p w14:paraId="04AD11DD" w14:textId="77777777" w:rsidR="00556E8E" w:rsidRDefault="000C60F7">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59. Los servidores públicos habilitados tendrán las funciones siguientes:</w:t>
      </w:r>
    </w:p>
    <w:p w14:paraId="7E93111D" w14:textId="77777777" w:rsidR="00556E8E" w:rsidRDefault="000C60F7">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 Integrar y presentar al responsable de la Unidad de Transparencia la propuesta de clasificación de información, la cual tendrá los fundamentos y argumentos en que se basa dicha propuesta;</w:t>
      </w:r>
    </w:p>
  </w:footnote>
  <w:footnote w:id="4">
    <w:p w14:paraId="6B0490D3" w14:textId="77777777" w:rsidR="00556E8E" w:rsidRDefault="000C60F7">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53. Las Unidades de Transparencia tendrán las siguientes funciones:</w:t>
      </w:r>
    </w:p>
    <w:p w14:paraId="2934E245" w14:textId="77777777" w:rsidR="00556E8E" w:rsidRDefault="000C60F7">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X. Presentar ante el Comité, el proyecto de clasificación de información;</w:t>
      </w:r>
    </w:p>
  </w:footnote>
  <w:footnote w:id="5">
    <w:p w14:paraId="6CD92F08" w14:textId="77777777" w:rsidR="00556E8E" w:rsidRDefault="000C60F7">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49. Los Comités de Transparencia tendrán las siguientes atribuciones:</w:t>
      </w:r>
    </w:p>
    <w:p w14:paraId="62EE280F" w14:textId="77777777" w:rsidR="00556E8E" w:rsidRDefault="000C60F7">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Confirmar, modificar o revocar las determinaciones que en materia de ampliación del plazo de respuesta, clasificación de la información y declaración de inexistencia o de incompetencia realicen los titulares de las áreas de los sujetos obligados;</w:t>
      </w:r>
    </w:p>
    <w:p w14:paraId="6583C5B4" w14:textId="77777777" w:rsidR="00556E8E" w:rsidRDefault="000C60F7">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VIII. Aprobar, modificar o revocar la clasificación de la información;</w:t>
      </w:r>
    </w:p>
  </w:footnote>
  <w:footnote w:id="6">
    <w:p w14:paraId="0B4466B5" w14:textId="77777777" w:rsidR="00556E8E" w:rsidRDefault="000C60F7">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Publicados en el Diario Oficial de la Federación en fecha quince de abril del año dos mil dieciséis, mediante Acuerdo del Consejo Nacional del Sistema Nacional de Transparencia, Acceso a la Información Pública y Protección de Datos Personales.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EF4F3" w14:textId="77777777" w:rsidR="00556E8E" w:rsidRDefault="00556E8E">
    <w:pPr>
      <w:widowControl w:val="0"/>
      <w:pBdr>
        <w:top w:val="nil"/>
        <w:left w:val="nil"/>
        <w:bottom w:val="nil"/>
        <w:right w:val="nil"/>
        <w:between w:val="nil"/>
      </w:pBdr>
      <w:spacing w:line="276" w:lineRule="auto"/>
      <w:rPr>
        <w:rFonts w:ascii="Calibri" w:eastAsia="Calibri" w:hAnsi="Calibri" w:cs="Calibri"/>
        <w:color w:val="000000"/>
      </w:rPr>
    </w:pPr>
  </w:p>
  <w:tbl>
    <w:tblPr>
      <w:tblStyle w:val="a8"/>
      <w:tblW w:w="5528" w:type="dxa"/>
      <w:tblInd w:w="3261" w:type="dxa"/>
      <w:tblLayout w:type="fixed"/>
      <w:tblLook w:val="0400" w:firstRow="0" w:lastRow="0" w:firstColumn="0" w:lastColumn="0" w:noHBand="0" w:noVBand="1"/>
    </w:tblPr>
    <w:tblGrid>
      <w:gridCol w:w="2552"/>
      <w:gridCol w:w="2976"/>
    </w:tblGrid>
    <w:tr w:rsidR="00556E8E" w14:paraId="44B24FA9" w14:textId="77777777">
      <w:tc>
        <w:tcPr>
          <w:tcW w:w="2552" w:type="dxa"/>
          <w:vAlign w:val="center"/>
        </w:tcPr>
        <w:p w14:paraId="0077BE29" w14:textId="77777777" w:rsidR="00556E8E" w:rsidRDefault="000C60F7">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Recurso de Revisión:</w:t>
          </w:r>
        </w:p>
      </w:tc>
      <w:tc>
        <w:tcPr>
          <w:tcW w:w="2976" w:type="dxa"/>
          <w:vAlign w:val="center"/>
        </w:tcPr>
        <w:p w14:paraId="0CC6E0FF" w14:textId="77777777" w:rsidR="00556E8E" w:rsidRDefault="000C60F7">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 xml:space="preserve">02249/INFOEM/IP/RR/2026 </w:t>
          </w:r>
        </w:p>
      </w:tc>
    </w:tr>
    <w:tr w:rsidR="00556E8E" w14:paraId="57B808C0" w14:textId="77777777">
      <w:trPr>
        <w:trHeight w:val="228"/>
      </w:trPr>
      <w:tc>
        <w:tcPr>
          <w:tcW w:w="2552" w:type="dxa"/>
          <w:shd w:val="clear" w:color="auto" w:fill="auto"/>
          <w:vAlign w:val="center"/>
        </w:tcPr>
        <w:p w14:paraId="07A6CE24" w14:textId="77777777" w:rsidR="00556E8E" w:rsidRDefault="000C60F7">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Sujeto obligado:</w:t>
          </w:r>
        </w:p>
        <w:p w14:paraId="253EFEBE" w14:textId="77777777" w:rsidR="00556E8E" w:rsidRDefault="00556E8E">
          <w:pPr>
            <w:rPr>
              <w:rFonts w:ascii="Palatino Linotype" w:eastAsia="Palatino Linotype" w:hAnsi="Palatino Linotype" w:cs="Palatino Linotype"/>
              <w:b/>
              <w:bCs/>
              <w:sz w:val="21"/>
              <w:szCs w:val="21"/>
            </w:rPr>
          </w:pPr>
        </w:p>
      </w:tc>
      <w:tc>
        <w:tcPr>
          <w:tcW w:w="2976" w:type="dxa"/>
          <w:shd w:val="clear" w:color="auto" w:fill="auto"/>
          <w:vAlign w:val="center"/>
        </w:tcPr>
        <w:p w14:paraId="7CBF7352" w14:textId="77777777" w:rsidR="00556E8E" w:rsidRDefault="000C60F7">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Ayuntamiento de Tepotzotlán</w:t>
          </w:r>
        </w:p>
      </w:tc>
    </w:tr>
    <w:tr w:rsidR="00556E8E" w14:paraId="46E1F426" w14:textId="77777777">
      <w:tc>
        <w:tcPr>
          <w:tcW w:w="2552" w:type="dxa"/>
          <w:vAlign w:val="center"/>
        </w:tcPr>
        <w:p w14:paraId="4A34803F" w14:textId="77777777" w:rsidR="00556E8E" w:rsidRDefault="000C60F7">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Comisionada ponente:</w:t>
          </w:r>
        </w:p>
      </w:tc>
      <w:tc>
        <w:tcPr>
          <w:tcW w:w="2976" w:type="dxa"/>
          <w:vAlign w:val="center"/>
        </w:tcPr>
        <w:p w14:paraId="5B28CA33" w14:textId="77777777" w:rsidR="00556E8E" w:rsidRDefault="000C60F7">
          <w:pPr>
            <w:ind w:right="-533"/>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Guadalupe Ramírez Peña.</w:t>
          </w:r>
        </w:p>
      </w:tc>
    </w:tr>
  </w:tbl>
  <w:p w14:paraId="656025AD" w14:textId="77777777" w:rsidR="00556E8E" w:rsidRDefault="000C60F7">
    <w:pPr>
      <w:pBdr>
        <w:top w:val="nil"/>
        <w:left w:val="nil"/>
        <w:bottom w:val="nil"/>
        <w:right w:val="nil"/>
        <w:between w:val="nil"/>
      </w:pBdr>
      <w:tabs>
        <w:tab w:val="center" w:pos="4252"/>
        <w:tab w:val="right" w:pos="8504"/>
        <w:tab w:val="left" w:pos="2326"/>
      </w:tabs>
      <w:rPr>
        <w:rFonts w:ascii="Calibri" w:eastAsia="Calibri" w:hAnsi="Calibri" w:cs="Calibri"/>
        <w:color w:val="000000"/>
      </w:rPr>
    </w:pPr>
    <w:r>
      <w:rPr>
        <w:rFonts w:ascii="Calibri" w:eastAsia="Calibri" w:hAnsi="Calibri" w:cs="Calibri"/>
        <w:color w:val="000000"/>
      </w:rPr>
      <w:tab/>
    </w:r>
    <w:r>
      <w:rPr>
        <w:noProof/>
        <w:lang w:val="es-MX"/>
      </w:rPr>
      <w:drawing>
        <wp:anchor distT="0" distB="0" distL="0" distR="0" simplePos="0" relativeHeight="251658240" behindDoc="1" locked="0" layoutInCell="1" hidden="0" allowOverlap="1" wp14:anchorId="56FF92FF" wp14:editId="25B71F46">
          <wp:simplePos x="0" y="0"/>
          <wp:positionH relativeFrom="column">
            <wp:posOffset>-689272</wp:posOffset>
          </wp:positionH>
          <wp:positionV relativeFrom="paragraph">
            <wp:posOffset>-1171011</wp:posOffset>
          </wp:positionV>
          <wp:extent cx="7635875" cy="9943465"/>
          <wp:effectExtent l="0" t="0" r="0" b="0"/>
          <wp:wrapNone/>
          <wp:docPr id="2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554B4" w14:textId="77777777" w:rsidR="00556E8E" w:rsidRDefault="000C60F7">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r>
      <w:rPr>
        <w:noProof/>
        <w:lang w:val="es-MX"/>
      </w:rPr>
      <w:drawing>
        <wp:anchor distT="0" distB="0" distL="0" distR="0" simplePos="0" relativeHeight="251659264" behindDoc="1" locked="0" layoutInCell="1" hidden="0" allowOverlap="1" wp14:anchorId="7D3783B6" wp14:editId="55C4E1AA">
          <wp:simplePos x="0" y="0"/>
          <wp:positionH relativeFrom="column">
            <wp:posOffset>-675560</wp:posOffset>
          </wp:positionH>
          <wp:positionV relativeFrom="paragraph">
            <wp:posOffset>-341824</wp:posOffset>
          </wp:positionV>
          <wp:extent cx="7635875" cy="9943465"/>
          <wp:effectExtent l="0" t="0" r="0" b="0"/>
          <wp:wrapNone/>
          <wp:docPr id="2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tbl>
    <w:tblPr>
      <w:tblStyle w:val="a9"/>
      <w:tblW w:w="6240" w:type="dxa"/>
      <w:tblInd w:w="3119" w:type="dxa"/>
      <w:tblLayout w:type="fixed"/>
      <w:tblLook w:val="0400" w:firstRow="0" w:lastRow="0" w:firstColumn="0" w:lastColumn="0" w:noHBand="0" w:noVBand="1"/>
    </w:tblPr>
    <w:tblGrid>
      <w:gridCol w:w="2565"/>
      <w:gridCol w:w="3675"/>
    </w:tblGrid>
    <w:tr w:rsidR="00556E8E" w14:paraId="766B97EB" w14:textId="77777777">
      <w:tc>
        <w:tcPr>
          <w:tcW w:w="2565" w:type="dxa"/>
          <w:vAlign w:val="center"/>
        </w:tcPr>
        <w:p w14:paraId="1D2F7A60" w14:textId="77777777" w:rsidR="00556E8E" w:rsidRDefault="000C60F7">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Recurso de Revisión:</w:t>
          </w:r>
        </w:p>
      </w:tc>
      <w:tc>
        <w:tcPr>
          <w:tcW w:w="3675" w:type="dxa"/>
          <w:vAlign w:val="center"/>
        </w:tcPr>
        <w:p w14:paraId="41766774" w14:textId="77777777" w:rsidR="00556E8E" w:rsidRDefault="000C60F7">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02249/INFOEM/IP/RR/2026</w:t>
          </w:r>
        </w:p>
      </w:tc>
    </w:tr>
    <w:tr w:rsidR="00556E8E" w14:paraId="0EB47D9F" w14:textId="77777777">
      <w:tc>
        <w:tcPr>
          <w:tcW w:w="2565" w:type="dxa"/>
          <w:vAlign w:val="center"/>
        </w:tcPr>
        <w:p w14:paraId="18AFF6DA" w14:textId="77777777" w:rsidR="00556E8E" w:rsidRDefault="000C60F7">
          <w:pPr>
            <w:ind w:left="35" w:hanging="35"/>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Recurrente:</w:t>
          </w:r>
        </w:p>
      </w:tc>
      <w:tc>
        <w:tcPr>
          <w:tcW w:w="3675" w:type="dxa"/>
          <w:vAlign w:val="center"/>
        </w:tcPr>
        <w:p w14:paraId="319DD300" w14:textId="42C0D1E8" w:rsidR="00556E8E" w:rsidRDefault="000A35F2">
          <w:pPr>
            <w:ind w:right="452"/>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sz w:val="21"/>
              <w:szCs w:val="21"/>
              <w:lang w:val="es-ES"/>
            </w:rPr>
            <w:t>XXXXX XXXXXXX XXXXX</w:t>
          </w:r>
        </w:p>
      </w:tc>
    </w:tr>
    <w:tr w:rsidR="00556E8E" w14:paraId="52E3D26F" w14:textId="77777777">
      <w:trPr>
        <w:trHeight w:val="228"/>
      </w:trPr>
      <w:tc>
        <w:tcPr>
          <w:tcW w:w="2565" w:type="dxa"/>
          <w:vAlign w:val="center"/>
        </w:tcPr>
        <w:p w14:paraId="3D43EF57" w14:textId="77777777" w:rsidR="00556E8E" w:rsidRDefault="000C60F7">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Sujeto obligado:</w:t>
          </w:r>
        </w:p>
        <w:p w14:paraId="7241A762" w14:textId="77777777" w:rsidR="00556E8E" w:rsidRDefault="00556E8E">
          <w:pPr>
            <w:rPr>
              <w:rFonts w:ascii="Palatino Linotype" w:eastAsia="Palatino Linotype" w:hAnsi="Palatino Linotype" w:cs="Palatino Linotype"/>
              <w:b/>
              <w:bCs/>
              <w:sz w:val="21"/>
              <w:szCs w:val="21"/>
            </w:rPr>
          </w:pPr>
        </w:p>
      </w:tc>
      <w:tc>
        <w:tcPr>
          <w:tcW w:w="3675" w:type="dxa"/>
          <w:vAlign w:val="center"/>
        </w:tcPr>
        <w:p w14:paraId="5BBF3F14" w14:textId="77777777" w:rsidR="00556E8E" w:rsidRDefault="000C60F7">
          <w:pPr>
            <w:ind w:right="452"/>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Ayuntamiento de Tepotzotlán</w:t>
          </w:r>
        </w:p>
      </w:tc>
    </w:tr>
    <w:tr w:rsidR="00556E8E" w14:paraId="04AB5C8E" w14:textId="77777777">
      <w:tc>
        <w:tcPr>
          <w:tcW w:w="2565" w:type="dxa"/>
          <w:vAlign w:val="center"/>
        </w:tcPr>
        <w:p w14:paraId="090CC2F2" w14:textId="77777777" w:rsidR="00556E8E" w:rsidRDefault="000C60F7">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Comisionada ponente:</w:t>
          </w:r>
        </w:p>
      </w:tc>
      <w:tc>
        <w:tcPr>
          <w:tcW w:w="3675" w:type="dxa"/>
          <w:vAlign w:val="center"/>
        </w:tcPr>
        <w:p w14:paraId="499F707E" w14:textId="77777777" w:rsidR="00556E8E" w:rsidRDefault="000C60F7">
          <w:pPr>
            <w:ind w:right="-533"/>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Guadalupe Ramírez Peña</w:t>
          </w:r>
        </w:p>
      </w:tc>
    </w:tr>
  </w:tbl>
  <w:p w14:paraId="3D0A71B4" w14:textId="77777777" w:rsidR="00556E8E" w:rsidRDefault="00556E8E">
    <w:pPr>
      <w:pBdr>
        <w:top w:val="nil"/>
        <w:left w:val="nil"/>
        <w:bottom w:val="nil"/>
        <w:right w:val="nil"/>
        <w:between w:val="nil"/>
      </w:pBdr>
      <w:tabs>
        <w:tab w:val="center" w:pos="4252"/>
        <w:tab w:val="right" w:pos="8504"/>
      </w:tabs>
      <w:rPr>
        <w:rFonts w:ascii="Calibri" w:eastAsia="Calibri" w:hAnsi="Calibri" w:cs="Calibri"/>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63B88" w14:textId="77777777" w:rsidR="00556E8E" w:rsidRDefault="000C60F7">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p>
  <w:p w14:paraId="2666AEBE" w14:textId="77777777" w:rsidR="00556E8E" w:rsidRDefault="00556E8E">
    <w:pPr>
      <w:pBdr>
        <w:top w:val="nil"/>
        <w:left w:val="nil"/>
        <w:bottom w:val="nil"/>
        <w:right w:val="nil"/>
        <w:between w:val="nil"/>
      </w:pBdr>
      <w:tabs>
        <w:tab w:val="center" w:pos="4252"/>
        <w:tab w:val="right" w:pos="8504"/>
      </w:tabs>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92255"/>
    <w:multiLevelType w:val="multilevel"/>
    <w:tmpl w:val="8990E36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7C46AAB"/>
    <w:multiLevelType w:val="multilevel"/>
    <w:tmpl w:val="DE9EE59C"/>
    <w:lvl w:ilvl="0">
      <w:start w:val="7"/>
      <w:numFmt w:val="upperRoman"/>
      <w:lvlText w:val="%1."/>
      <w:lvlJc w:val="left"/>
      <w:pPr>
        <w:ind w:left="1080" w:hanging="72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BBE1073"/>
    <w:multiLevelType w:val="multilevel"/>
    <w:tmpl w:val="8EEED5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79F3018"/>
    <w:multiLevelType w:val="multilevel"/>
    <w:tmpl w:val="88E4F44C"/>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A604F52"/>
    <w:multiLevelType w:val="multilevel"/>
    <w:tmpl w:val="9B708A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00296805">
    <w:abstractNumId w:val="0"/>
  </w:num>
  <w:num w:numId="2" w16cid:durableId="1048071653">
    <w:abstractNumId w:val="4"/>
  </w:num>
  <w:num w:numId="3" w16cid:durableId="52002294">
    <w:abstractNumId w:val="2"/>
  </w:num>
  <w:num w:numId="4" w16cid:durableId="521551809">
    <w:abstractNumId w:val="1"/>
  </w:num>
  <w:num w:numId="5" w16cid:durableId="19312330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E8E"/>
    <w:rsid w:val="000A35F2"/>
    <w:rsid w:val="000C60F7"/>
    <w:rsid w:val="001B7459"/>
    <w:rsid w:val="00556E8E"/>
    <w:rsid w:val="0069544A"/>
    <w:rsid w:val="006F0DC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89F72"/>
  <w15:docId w15:val="{855FF02A-DC5B-4985-8A29-98E8A6956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591A48"/>
    <w:rPr>
      <w:rFonts w:eastAsiaTheme="minorEastAsia"/>
      <w:sz w:val="24"/>
      <w:szCs w:val="24"/>
      <w:lang w:val="es-ES_tradnl" w:eastAsia="es-ES"/>
    </w:rPr>
  </w:style>
  <w:style w:type="paragraph" w:styleId="Piedepgina">
    <w:name w:val="footer"/>
    <w:basedOn w:val="Normal"/>
    <w:link w:val="Piedepgina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591A48"/>
    <w:rPr>
      <w:rFonts w:eastAsiaTheme="minorEastAsia"/>
      <w:sz w:val="24"/>
      <w:szCs w:val="24"/>
      <w:lang w:val="es-ES_tradnl"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591A48"/>
    <w:rPr>
      <w:rFonts w:ascii="Times New Roman" w:eastAsia="Times New Roman" w:hAnsi="Times New Roman" w:cs="Times New Roman"/>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591A48"/>
    <w:pPr>
      <w:ind w:left="708"/>
    </w:pPr>
    <w:rPr>
      <w:sz w:val="22"/>
      <w:szCs w:val="22"/>
      <w:lang w:val="es-MX" w:eastAsia="en-US"/>
    </w:rPr>
  </w:style>
  <w:style w:type="table" w:styleId="Tablaconcuadrcula">
    <w:name w:val="Table Grid"/>
    <w:basedOn w:val="Tablanormal"/>
    <w:uiPriority w:val="59"/>
    <w:rsid w:val="00591A48"/>
    <w:rPr>
      <w:rFonts w:eastAsiaTheme="minorEastAsia"/>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591A48"/>
  </w:style>
  <w:style w:type="character" w:customStyle="1" w:styleId="apple-converted-space">
    <w:name w:val="apple-converted-space"/>
    <w:basedOn w:val="Fuentedeprrafopredeter"/>
    <w:rsid w:val="00591A48"/>
  </w:style>
  <w:style w:type="character" w:styleId="Hipervnculo">
    <w:name w:val="Hyperlink"/>
    <w:basedOn w:val="Fuentedeprrafopredeter"/>
    <w:uiPriority w:val="99"/>
    <w:unhideWhenUsed/>
    <w:rsid w:val="00591A48"/>
    <w:rPr>
      <w:color w:val="0000FF"/>
      <w:u w:val="single"/>
    </w:rPr>
  </w:style>
  <w:style w:type="paragraph" w:styleId="NormalWeb">
    <w:name w:val="Normal (Web)"/>
    <w:basedOn w:val="Normal"/>
    <w:uiPriority w:val="99"/>
    <w:unhideWhenUsed/>
    <w:rsid w:val="00591A48"/>
    <w:pPr>
      <w:spacing w:before="100" w:beforeAutospacing="1" w:after="100" w:afterAutospacing="1"/>
    </w:pPr>
    <w:rPr>
      <w:lang w:val="es-MX"/>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nhideWhenUsed/>
    <w:qFormat/>
    <w:rsid w:val="00591A48"/>
    <w:rPr>
      <w:rFonts w:asciiTheme="minorHAnsi" w:eastAsiaTheme="minorHAnsi" w:hAnsiTheme="minorHAnsi" w:cstheme="minorBidi"/>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qFormat/>
    <w:rsid w:val="00591A48"/>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591A48"/>
    <w:rPr>
      <w:vertAlign w:val="superscript"/>
    </w:rPr>
  </w:style>
  <w:style w:type="character" w:styleId="Refdecomentario">
    <w:name w:val="annotation reference"/>
    <w:basedOn w:val="Fuentedeprrafopredeter"/>
    <w:uiPriority w:val="99"/>
    <w:semiHidden/>
    <w:unhideWhenUsed/>
    <w:rsid w:val="00D33422"/>
    <w:rPr>
      <w:sz w:val="16"/>
      <w:szCs w:val="16"/>
    </w:rPr>
  </w:style>
  <w:style w:type="paragraph" w:styleId="Textocomentario">
    <w:name w:val="annotation text"/>
    <w:basedOn w:val="Normal"/>
    <w:link w:val="TextocomentarioCar"/>
    <w:uiPriority w:val="99"/>
    <w:semiHidden/>
    <w:unhideWhenUsed/>
    <w:rsid w:val="00D33422"/>
    <w:rPr>
      <w:sz w:val="20"/>
      <w:szCs w:val="20"/>
    </w:rPr>
  </w:style>
  <w:style w:type="character" w:customStyle="1" w:styleId="TextocomentarioCar">
    <w:name w:val="Texto comentario Car"/>
    <w:basedOn w:val="Fuentedeprrafopredeter"/>
    <w:link w:val="Textocomentario"/>
    <w:uiPriority w:val="99"/>
    <w:semiHidden/>
    <w:rsid w:val="00D3342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D33422"/>
    <w:rPr>
      <w:b/>
      <w:bCs/>
    </w:rPr>
  </w:style>
  <w:style w:type="character" w:customStyle="1" w:styleId="AsuntodelcomentarioCar">
    <w:name w:val="Asunto del comentario Car"/>
    <w:basedOn w:val="TextocomentarioCar"/>
    <w:link w:val="Asuntodelcomentario"/>
    <w:uiPriority w:val="99"/>
    <w:semiHidden/>
    <w:rsid w:val="00D33422"/>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unhideWhenUsed/>
    <w:rsid w:val="00D3342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33422"/>
    <w:rPr>
      <w:rFonts w:ascii="Segoe UI" w:eastAsia="Times New Roman" w:hAnsi="Segoe UI" w:cs="Segoe UI"/>
      <w:sz w:val="18"/>
      <w:szCs w:val="18"/>
      <w:lang w:val="es-ES" w:eastAsia="es-ES"/>
    </w:rPr>
  </w:style>
  <w:style w:type="paragraph" w:customStyle="1" w:styleId="paragraph">
    <w:name w:val="paragraph"/>
    <w:basedOn w:val="Normal"/>
    <w:rsid w:val="00225930"/>
    <w:pPr>
      <w:spacing w:before="100" w:beforeAutospacing="1" w:after="100" w:afterAutospacing="1"/>
    </w:pPr>
    <w:rPr>
      <w:lang w:val="es-MX"/>
    </w:r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15" w:type="dxa"/>
        <w:right w:w="115" w:type="dxa"/>
      </w:tblCellMar>
    </w:tblPr>
  </w:style>
  <w:style w:type="table" w:customStyle="1" w:styleId="a1">
    <w:basedOn w:val="TableNormal3"/>
    <w:tblPr>
      <w:tblStyleRowBandSize w:val="1"/>
      <w:tblStyleColBandSize w:val="1"/>
      <w:tblCellMar>
        <w:left w:w="115" w:type="dxa"/>
        <w:right w:w="115" w:type="dxa"/>
      </w:tblCellMar>
    </w:tblPr>
  </w:style>
  <w:style w:type="table" w:customStyle="1" w:styleId="a2">
    <w:basedOn w:val="TableNormal3"/>
    <w:tblPr>
      <w:tblStyleRowBandSize w:val="1"/>
      <w:tblStyleColBandSize w:val="1"/>
      <w:tblCellMar>
        <w:left w:w="115" w:type="dxa"/>
        <w:right w:w="115" w:type="dxa"/>
      </w:tblCellMar>
    </w:tblPr>
  </w:style>
  <w:style w:type="paragraph" w:styleId="Textoindependiente">
    <w:name w:val="Body Text"/>
    <w:basedOn w:val="Normal"/>
    <w:link w:val="TextoindependienteCar"/>
    <w:uiPriority w:val="99"/>
    <w:unhideWhenUsed/>
    <w:rsid w:val="00AA0915"/>
    <w:pPr>
      <w:spacing w:after="120"/>
    </w:pPr>
  </w:style>
  <w:style w:type="character" w:customStyle="1" w:styleId="TextoindependienteCar">
    <w:name w:val="Texto independiente Car"/>
    <w:basedOn w:val="Fuentedeprrafopredeter"/>
    <w:link w:val="Textoindependiente"/>
    <w:uiPriority w:val="99"/>
    <w:rsid w:val="00AA0915"/>
  </w:style>
  <w:style w:type="table" w:customStyle="1" w:styleId="a3">
    <w:basedOn w:val="TableNormal2"/>
    <w:tblPr>
      <w:tblStyleRowBandSize w:val="1"/>
      <w:tblStyleColBandSize w:val="1"/>
      <w:tblCellMar>
        <w:left w:w="115" w:type="dxa"/>
        <w:right w:w="115" w:type="dxa"/>
      </w:tblCellMar>
    </w:tblPr>
  </w:style>
  <w:style w:type="table" w:customStyle="1" w:styleId="a4">
    <w:basedOn w:val="TableNormal2"/>
    <w:tblPr>
      <w:tblStyleRowBandSize w:val="1"/>
      <w:tblStyleColBandSize w:val="1"/>
      <w:tblCellMar>
        <w:left w:w="115" w:type="dxa"/>
        <w:right w:w="115" w:type="dxa"/>
      </w:tblCellMar>
    </w:tblPr>
  </w:style>
  <w:style w:type="table" w:customStyle="1" w:styleId="a5">
    <w:basedOn w:val="TableNormal2"/>
    <w:tblPr>
      <w:tblStyleRowBandSize w:val="1"/>
      <w:tblStyleColBandSize w:val="1"/>
      <w:tblCellMar>
        <w:left w:w="115" w:type="dxa"/>
        <w:right w:w="115" w:type="dxa"/>
      </w:tblCellMar>
    </w:tblPr>
  </w:style>
  <w:style w:type="paragraph" w:styleId="Sinespaciado">
    <w:name w:val="No Spacing"/>
    <w:aliases w:val="Francesa,INAI"/>
    <w:link w:val="SinespaciadoCar"/>
    <w:uiPriority w:val="1"/>
    <w:qFormat/>
    <w:rsid w:val="0085765F"/>
    <w:rPr>
      <w:lang w:val="es-MX" w:eastAsia="es-ES"/>
    </w:rPr>
  </w:style>
  <w:style w:type="character" w:customStyle="1" w:styleId="SinespaciadoCar">
    <w:name w:val="Sin espaciado Car"/>
    <w:aliases w:val="Francesa Car,INAI Car"/>
    <w:link w:val="Sinespaciado"/>
    <w:uiPriority w:val="1"/>
    <w:locked/>
    <w:rsid w:val="0085765F"/>
    <w:rPr>
      <w:lang w:val="es-MX" w:eastAsia="es-ES"/>
    </w:rPr>
  </w:style>
  <w:style w:type="table" w:customStyle="1" w:styleId="a6">
    <w:basedOn w:val="TableNormal1"/>
    <w:tblPr>
      <w:tblStyleRowBandSize w:val="1"/>
      <w:tblStyleColBandSize w:val="1"/>
      <w:tblCellMar>
        <w:left w:w="115" w:type="dxa"/>
        <w:right w:w="115" w:type="dxa"/>
      </w:tblCellMar>
    </w:tblPr>
  </w:style>
  <w:style w:type="table" w:customStyle="1" w:styleId="a7">
    <w:basedOn w:val="TableNormal1"/>
    <w:tblPr>
      <w:tblStyleRowBandSize w:val="1"/>
      <w:tblStyleColBandSize w:val="1"/>
      <w:tblCellMar>
        <w:left w:w="115" w:type="dxa"/>
        <w:right w:w="115" w:type="dxa"/>
      </w:tblCellMar>
    </w:tbl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8">
    <w:basedOn w:val="TableNormal0"/>
    <w:tblPr>
      <w:tblStyleRowBandSize w:val="1"/>
      <w:tblStyleColBandSize w:val="1"/>
      <w:tblCellMar>
        <w:top w:w="0" w:type="dxa"/>
        <w:left w:w="115" w:type="dxa"/>
        <w:bottom w:w="0" w:type="dxa"/>
        <w:right w:w="115"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WfiK92goWD9swcmrbmIntVYaZw==">CgMxLjAyCGguZ2pkZ3hzMg5oLnVmbGRsZzF6NWNxZTIJaC4zZHk2dmttMg5oLng4OXBnNmh6bnlndDIJaC4zem55c2g3Mg5oLmliaWllNTFzYXdsNjIJaC4xZm9iOXRlOAByITFsOExTMkNuWjcyRnR6VE9ENWw3d3hkQ0J5TFExQXdYWQ==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7563</Words>
  <Characters>41598</Characters>
  <Application>Microsoft Office Word</Application>
  <DocSecurity>0</DocSecurity>
  <Lines>346</Lines>
  <Paragraphs>98</Paragraphs>
  <ScaleCrop>false</ScaleCrop>
  <Company>HP Inc.</Company>
  <LinksUpToDate>false</LinksUpToDate>
  <CharactersWithSpaces>49063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ADRIANA INFOEM</cp:lastModifiedBy>
  <cp:revision>2</cp:revision>
  <dcterms:created xsi:type="dcterms:W3CDTF">2026-03-26T23:55:00Z</dcterms:created>
  <dcterms:modified xsi:type="dcterms:W3CDTF">2026-03-26T23:55:00Z</dcterms:modified>
</cp:coreProperties>
</file>