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5D03" w:rsidRPr="00F27DDE" w:rsidRDefault="009E03C2">
      <w:pPr>
        <w:spacing w:line="360" w:lineRule="auto"/>
        <w:ind w:right="49" w:hanging="22"/>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Pr="00F27DDE">
        <w:rPr>
          <w:rFonts w:ascii="Palatino Linotype" w:eastAsia="Palatino Linotype" w:hAnsi="Palatino Linotype" w:cs="Palatino Linotype"/>
          <w:b/>
          <w:bCs/>
          <w:sz w:val="22"/>
          <w:szCs w:val="22"/>
        </w:rPr>
        <w:t>catorce de enero</w:t>
      </w:r>
      <w:r w:rsidRPr="00F27DDE">
        <w:rPr>
          <w:rFonts w:ascii="Palatino Linotype" w:eastAsia="Palatino Linotype" w:hAnsi="Palatino Linotype" w:cs="Palatino Linotype"/>
          <w:sz w:val="22"/>
          <w:szCs w:val="22"/>
        </w:rPr>
        <w:t xml:space="preserve"> </w:t>
      </w:r>
      <w:r w:rsidRPr="00F27DDE">
        <w:rPr>
          <w:rFonts w:ascii="Palatino Linotype" w:eastAsia="Palatino Linotype" w:hAnsi="Palatino Linotype" w:cs="Palatino Linotype"/>
          <w:b/>
          <w:bCs/>
          <w:sz w:val="22"/>
          <w:szCs w:val="22"/>
        </w:rPr>
        <w:t xml:space="preserve">de dos mil veintiséis. </w:t>
      </w:r>
    </w:p>
    <w:p w:rsidR="00655D03" w:rsidRPr="00F27DDE" w:rsidRDefault="00655D03">
      <w:pPr>
        <w:spacing w:line="360" w:lineRule="auto"/>
        <w:ind w:right="49" w:hanging="22"/>
        <w:jc w:val="both"/>
        <w:rPr>
          <w:rFonts w:ascii="Palatino Linotype" w:eastAsia="Palatino Linotype" w:hAnsi="Palatino Linotype" w:cs="Palatino Linotype"/>
          <w:sz w:val="22"/>
          <w:szCs w:val="22"/>
        </w:rPr>
      </w:pPr>
    </w:p>
    <w:p w:rsidR="00655D03" w:rsidRPr="00F27DDE" w:rsidRDefault="009E03C2">
      <w:pPr>
        <w:spacing w:line="360" w:lineRule="auto"/>
        <w:ind w:right="49"/>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b/>
          <w:bCs/>
          <w:sz w:val="22"/>
          <w:szCs w:val="22"/>
        </w:rPr>
        <w:t xml:space="preserve">VISTO </w:t>
      </w:r>
      <w:r w:rsidRPr="00F27DDE">
        <w:rPr>
          <w:rFonts w:ascii="Palatino Linotype" w:eastAsia="Palatino Linotype" w:hAnsi="Palatino Linotype" w:cs="Palatino Linotype"/>
          <w:sz w:val="22"/>
          <w:szCs w:val="22"/>
        </w:rPr>
        <w:t xml:space="preserve">el expediente relativo al recurso de revisión </w:t>
      </w:r>
      <w:r w:rsidRPr="00F27DDE">
        <w:rPr>
          <w:rFonts w:ascii="Palatino Linotype" w:eastAsia="Palatino Linotype" w:hAnsi="Palatino Linotype" w:cs="Palatino Linotype"/>
          <w:b/>
          <w:bCs/>
          <w:sz w:val="22"/>
          <w:szCs w:val="22"/>
        </w:rPr>
        <w:t xml:space="preserve">07604/INFOEM/IP/RR/2025, </w:t>
      </w:r>
      <w:r w:rsidRPr="00F27DDE">
        <w:rPr>
          <w:rFonts w:ascii="Palatino Linotype" w:eastAsia="Palatino Linotype" w:hAnsi="Palatino Linotype" w:cs="Palatino Linotype"/>
          <w:sz w:val="22"/>
          <w:szCs w:val="22"/>
        </w:rPr>
        <w:t xml:space="preserve">interpuesto por </w:t>
      </w:r>
      <w:r w:rsidR="003841D5" w:rsidRPr="003841D5">
        <w:rPr>
          <w:rFonts w:ascii="Palatino Linotype" w:eastAsia="Palatino Linotype" w:hAnsi="Palatino Linotype" w:cs="Palatino Linotype"/>
          <w:b/>
          <w:bCs/>
          <w:sz w:val="20"/>
          <w:szCs w:val="20"/>
        </w:rPr>
        <w:t>XXXXX XXXXXX XXXXXXXX</w:t>
      </w:r>
      <w:r w:rsidRPr="00F27DDE">
        <w:rPr>
          <w:rFonts w:ascii="Palatino Linotype" w:eastAsia="Palatino Linotype" w:hAnsi="Palatino Linotype" w:cs="Palatino Linotype"/>
          <w:sz w:val="22"/>
          <w:szCs w:val="22"/>
        </w:rPr>
        <w:t xml:space="preserve">, en lo sucesivo la parte </w:t>
      </w:r>
      <w:r w:rsidRPr="00F27DDE">
        <w:rPr>
          <w:rFonts w:ascii="Palatino Linotype" w:eastAsia="Palatino Linotype" w:hAnsi="Palatino Linotype" w:cs="Palatino Linotype"/>
          <w:b/>
          <w:bCs/>
          <w:sz w:val="22"/>
          <w:szCs w:val="22"/>
        </w:rPr>
        <w:t>Recurrente</w:t>
      </w:r>
      <w:r w:rsidRPr="00F27DDE">
        <w:rPr>
          <w:rFonts w:ascii="Palatino Linotype" w:eastAsia="Palatino Linotype" w:hAnsi="Palatino Linotype" w:cs="Palatino Linotype"/>
          <w:sz w:val="22"/>
          <w:szCs w:val="22"/>
        </w:rPr>
        <w:t xml:space="preserve">, en contra de la respuesta a la solicitud de información por parte del </w:t>
      </w:r>
      <w:r w:rsidRPr="00F27DDE">
        <w:rPr>
          <w:rFonts w:ascii="Palatino Linotype" w:eastAsia="Palatino Linotype" w:hAnsi="Palatino Linotype" w:cs="Palatino Linotype"/>
          <w:b/>
          <w:bCs/>
          <w:sz w:val="22"/>
          <w:szCs w:val="22"/>
        </w:rPr>
        <w:t>Oficialía Mayor</w:t>
      </w:r>
      <w:r w:rsidRPr="00F27DDE">
        <w:rPr>
          <w:rFonts w:ascii="Palatino Linotype" w:eastAsia="Palatino Linotype" w:hAnsi="Palatino Linotype" w:cs="Palatino Linotype"/>
          <w:sz w:val="22"/>
          <w:szCs w:val="22"/>
        </w:rPr>
        <w:t xml:space="preserve">, en lo sucesivo el </w:t>
      </w:r>
      <w:r w:rsidRPr="00F27DDE">
        <w:rPr>
          <w:rFonts w:ascii="Palatino Linotype" w:eastAsia="Palatino Linotype" w:hAnsi="Palatino Linotype" w:cs="Palatino Linotype"/>
          <w:b/>
          <w:bCs/>
          <w:sz w:val="22"/>
          <w:szCs w:val="22"/>
        </w:rPr>
        <w:t xml:space="preserve">Sujeto Obligado; </w:t>
      </w:r>
      <w:r w:rsidRPr="00F27DDE">
        <w:rPr>
          <w:rFonts w:ascii="Palatino Linotype" w:eastAsia="Palatino Linotype" w:hAnsi="Palatino Linotype" w:cs="Palatino Linotype"/>
          <w:sz w:val="22"/>
          <w:szCs w:val="22"/>
        </w:rPr>
        <w:t>se procede a dictar la presente resolución, con base en lo siguiente.</w:t>
      </w:r>
    </w:p>
    <w:p w:rsidR="00655D03" w:rsidRPr="00F27DDE" w:rsidRDefault="00655D03">
      <w:pPr>
        <w:spacing w:line="360" w:lineRule="auto"/>
        <w:ind w:right="49"/>
        <w:jc w:val="both"/>
        <w:rPr>
          <w:rFonts w:ascii="Palatino Linotype" w:eastAsia="Palatino Linotype" w:hAnsi="Palatino Linotype" w:cs="Palatino Linotype"/>
          <w:sz w:val="22"/>
          <w:szCs w:val="22"/>
        </w:rPr>
      </w:pPr>
    </w:p>
    <w:p w:rsidR="00655D03" w:rsidRPr="00F27DDE" w:rsidRDefault="009E03C2">
      <w:pPr>
        <w:spacing w:line="360" w:lineRule="auto"/>
        <w:ind w:right="49"/>
        <w:jc w:val="center"/>
        <w:rPr>
          <w:rFonts w:ascii="Palatino Linotype" w:eastAsia="Palatino Linotype" w:hAnsi="Palatino Linotype" w:cs="Palatino Linotype"/>
          <w:b/>
          <w:bCs/>
          <w:sz w:val="22"/>
          <w:szCs w:val="22"/>
        </w:rPr>
      </w:pPr>
      <w:r w:rsidRPr="00F27DDE">
        <w:rPr>
          <w:rFonts w:ascii="Palatino Linotype" w:eastAsia="Palatino Linotype" w:hAnsi="Palatino Linotype" w:cs="Palatino Linotype"/>
          <w:b/>
          <w:bCs/>
          <w:sz w:val="22"/>
          <w:szCs w:val="22"/>
        </w:rPr>
        <w:t>I.</w:t>
      </w:r>
      <w:r w:rsidRPr="00F27DDE">
        <w:rPr>
          <w:rFonts w:ascii="Palatino Linotype" w:eastAsia="Palatino Linotype" w:hAnsi="Palatino Linotype" w:cs="Palatino Linotype"/>
          <w:b/>
          <w:bCs/>
          <w:sz w:val="22"/>
          <w:szCs w:val="22"/>
        </w:rPr>
        <w:tab/>
        <w:t>A N T E C E D E N T E S</w:t>
      </w:r>
    </w:p>
    <w:p w:rsidR="00655D03" w:rsidRPr="00F27DDE" w:rsidRDefault="00655D03">
      <w:pPr>
        <w:spacing w:line="360" w:lineRule="auto"/>
        <w:ind w:right="49"/>
        <w:jc w:val="both"/>
        <w:rPr>
          <w:rFonts w:ascii="Palatino Linotype" w:eastAsia="Palatino Linotype" w:hAnsi="Palatino Linotype" w:cs="Palatino Linotype"/>
          <w:sz w:val="22"/>
          <w:szCs w:val="22"/>
        </w:rPr>
      </w:pPr>
    </w:p>
    <w:p w:rsidR="00655D03" w:rsidRPr="00F27DDE" w:rsidRDefault="009E03C2">
      <w:pPr>
        <w:spacing w:line="360" w:lineRule="auto"/>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b/>
          <w:bCs/>
          <w:sz w:val="22"/>
          <w:szCs w:val="22"/>
        </w:rPr>
        <w:t>1.</w:t>
      </w:r>
      <w:r w:rsidRPr="00F27DDE">
        <w:rPr>
          <w:rFonts w:ascii="Palatino Linotype" w:eastAsia="Palatino Linotype" w:hAnsi="Palatino Linotype" w:cs="Palatino Linotype"/>
          <w:sz w:val="22"/>
          <w:szCs w:val="22"/>
        </w:rPr>
        <w:t xml:space="preserve"> </w:t>
      </w:r>
      <w:r w:rsidRPr="00F27DDE">
        <w:rPr>
          <w:rFonts w:ascii="Palatino Linotype" w:eastAsia="Palatino Linotype" w:hAnsi="Palatino Linotype" w:cs="Palatino Linotype"/>
          <w:b/>
          <w:bCs/>
          <w:sz w:val="22"/>
          <w:szCs w:val="22"/>
        </w:rPr>
        <w:t>Solicitud de Acceso a la Información. El treinta de mayo de dos mil veinticinco</w:t>
      </w:r>
      <w:r w:rsidRPr="00F27DDE">
        <w:rPr>
          <w:rFonts w:ascii="Palatino Linotype" w:eastAsia="Palatino Linotype" w:hAnsi="Palatino Linotype" w:cs="Palatino Linotype"/>
          <w:sz w:val="22"/>
          <w:szCs w:val="22"/>
        </w:rPr>
        <w:t xml:space="preserve">, </w:t>
      </w:r>
      <w:r w:rsidRPr="00F27DDE">
        <w:rPr>
          <w:rFonts w:ascii="Palatino Linotype" w:eastAsia="Palatino Linotype" w:hAnsi="Palatino Linotype" w:cs="Palatino Linotype"/>
          <w:b/>
          <w:bCs/>
          <w:sz w:val="22"/>
          <w:szCs w:val="22"/>
        </w:rPr>
        <w:t>LA PARTE</w:t>
      </w:r>
      <w:r w:rsidRPr="00F27DDE">
        <w:rPr>
          <w:rFonts w:ascii="Palatino Linotype" w:eastAsia="Palatino Linotype" w:hAnsi="Palatino Linotype" w:cs="Palatino Linotype"/>
          <w:sz w:val="22"/>
          <w:szCs w:val="22"/>
        </w:rPr>
        <w:t xml:space="preserve"> </w:t>
      </w:r>
      <w:r w:rsidRPr="00F27DDE">
        <w:rPr>
          <w:rFonts w:ascii="Palatino Linotype" w:eastAsia="Palatino Linotype" w:hAnsi="Palatino Linotype" w:cs="Palatino Linotype"/>
          <w:b/>
          <w:bCs/>
          <w:sz w:val="22"/>
          <w:szCs w:val="22"/>
        </w:rPr>
        <w:t>RECURRENTE</w:t>
      </w:r>
      <w:r w:rsidRPr="00F27DDE">
        <w:rPr>
          <w:rFonts w:ascii="Palatino Linotype" w:eastAsia="Palatino Linotype" w:hAnsi="Palatino Linotype" w:cs="Palatino Linotype"/>
          <w:sz w:val="22"/>
          <w:szCs w:val="22"/>
        </w:rPr>
        <w:t xml:space="preserve"> formuló solicitud de acceso a información pública a través del </w:t>
      </w:r>
      <w:r w:rsidRPr="00F27DDE">
        <w:rPr>
          <w:rFonts w:ascii="Palatino Linotype" w:eastAsia="Palatino Linotype" w:hAnsi="Palatino Linotype" w:cs="Palatino Linotype"/>
          <w:b/>
          <w:bCs/>
          <w:sz w:val="22"/>
          <w:szCs w:val="22"/>
        </w:rPr>
        <w:t>SAIMEX</w:t>
      </w:r>
      <w:r w:rsidRPr="00F27DDE">
        <w:rPr>
          <w:rFonts w:ascii="Palatino Linotype" w:eastAsia="Palatino Linotype" w:hAnsi="Palatino Linotype" w:cs="Palatino Linotype"/>
          <w:sz w:val="22"/>
          <w:szCs w:val="22"/>
        </w:rPr>
        <w:t xml:space="preserve">, en la que requirió lo siguiente: </w:t>
      </w:r>
    </w:p>
    <w:p w:rsidR="00655D03" w:rsidRPr="00F27DDE" w:rsidRDefault="00655D03">
      <w:pPr>
        <w:spacing w:line="360" w:lineRule="auto"/>
        <w:jc w:val="both"/>
        <w:rPr>
          <w:rFonts w:ascii="Palatino Linotype" w:eastAsia="Palatino Linotype" w:hAnsi="Palatino Linotype" w:cs="Palatino Linotype"/>
          <w:sz w:val="22"/>
          <w:szCs w:val="22"/>
        </w:rPr>
      </w:pPr>
    </w:p>
    <w:p w:rsidR="00655D03" w:rsidRPr="00F27DDE" w:rsidRDefault="009E03C2">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bCs/>
          <w:sz w:val="22"/>
          <w:szCs w:val="22"/>
        </w:rPr>
      </w:pPr>
      <w:bookmarkStart w:id="0" w:name="_heading=h.3znysh7" w:colFirst="0" w:colLast="0"/>
      <w:bookmarkEnd w:id="0"/>
      <w:r w:rsidRPr="00F27DDE">
        <w:rPr>
          <w:rFonts w:ascii="Palatino Linotype" w:eastAsia="Palatino Linotype" w:hAnsi="Palatino Linotype" w:cs="Palatino Linotype"/>
          <w:b/>
          <w:bCs/>
          <w:sz w:val="22"/>
          <w:szCs w:val="22"/>
        </w:rPr>
        <w:t xml:space="preserve">00158/OFICIALIA/IP/2025 </w:t>
      </w:r>
    </w:p>
    <w:p w:rsidR="00655D03" w:rsidRPr="00F27DDE" w:rsidRDefault="009E03C2">
      <w:pPr>
        <w:spacing w:line="360" w:lineRule="auto"/>
        <w:ind w:left="567" w:right="843"/>
        <w:jc w:val="both"/>
        <w:rPr>
          <w:rFonts w:ascii="Palatino Linotype" w:eastAsia="Palatino Linotype" w:hAnsi="Palatino Linotype" w:cs="Palatino Linotype"/>
          <w:b/>
          <w:bCs/>
          <w:i/>
          <w:iCs/>
          <w:sz w:val="22"/>
          <w:szCs w:val="22"/>
        </w:rPr>
      </w:pPr>
      <w:r w:rsidRPr="00F27DDE">
        <w:rPr>
          <w:rFonts w:ascii="Palatino Linotype" w:eastAsia="Palatino Linotype" w:hAnsi="Palatino Linotype" w:cs="Palatino Linotype"/>
          <w:i/>
          <w:iCs/>
          <w:sz w:val="22"/>
          <w:szCs w:val="22"/>
        </w:rPr>
        <w:t>"Solicito copia simple digitalizada a través del sistema electrónico SAIMEX de las facturas pagadas con recursos públicos del presupuesto de egresos del año 2024 por un monto superior a 10 millones de pesos.</w:t>
      </w:r>
      <w:r w:rsidRPr="00F27DDE">
        <w:rPr>
          <w:rFonts w:ascii="Palatino Linotype" w:eastAsia="Palatino Linotype" w:hAnsi="Palatino Linotype" w:cs="Palatino Linotype"/>
          <w:b/>
          <w:bCs/>
          <w:i/>
          <w:iCs/>
          <w:sz w:val="22"/>
          <w:szCs w:val="22"/>
        </w:rPr>
        <w:t>” (Sic.)</w:t>
      </w:r>
    </w:p>
    <w:p w:rsidR="00655D03" w:rsidRPr="00F27DDE" w:rsidRDefault="00655D03">
      <w:pPr>
        <w:spacing w:line="360" w:lineRule="auto"/>
        <w:ind w:left="567" w:right="843"/>
        <w:jc w:val="both"/>
        <w:rPr>
          <w:rFonts w:ascii="Palatino Linotype" w:eastAsia="Palatino Linotype" w:hAnsi="Palatino Linotype" w:cs="Palatino Linotype"/>
          <w:i/>
          <w:iCs/>
          <w:sz w:val="22"/>
          <w:szCs w:val="22"/>
        </w:rPr>
      </w:pPr>
    </w:p>
    <w:p w:rsidR="00655D03" w:rsidRPr="00F27DDE" w:rsidRDefault="009E03C2">
      <w:pPr>
        <w:spacing w:line="360" w:lineRule="auto"/>
        <w:ind w:right="49"/>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b/>
          <w:bCs/>
          <w:sz w:val="22"/>
          <w:szCs w:val="22"/>
        </w:rPr>
        <w:t>Modalidad elegida para la entrega de la información:</w:t>
      </w:r>
      <w:r w:rsidRPr="00F27DDE">
        <w:rPr>
          <w:rFonts w:ascii="Palatino Linotype" w:eastAsia="Palatino Linotype" w:hAnsi="Palatino Linotype" w:cs="Palatino Linotype"/>
          <w:sz w:val="22"/>
          <w:szCs w:val="22"/>
        </w:rPr>
        <w:t xml:space="preserve"> a través del Sistema de Acceso a la Información Mexiquense (SAIMEX).</w:t>
      </w:r>
    </w:p>
    <w:p w:rsidR="00655D03" w:rsidRPr="00F27DDE" w:rsidRDefault="00655D03">
      <w:pPr>
        <w:spacing w:line="360" w:lineRule="auto"/>
        <w:ind w:right="49"/>
        <w:jc w:val="both"/>
        <w:rPr>
          <w:rFonts w:ascii="Palatino Linotype" w:eastAsia="Palatino Linotype" w:hAnsi="Palatino Linotype" w:cs="Palatino Linotype"/>
          <w:sz w:val="22"/>
          <w:szCs w:val="22"/>
        </w:rPr>
      </w:pPr>
    </w:p>
    <w:p w:rsidR="00655D03" w:rsidRPr="00F27DDE" w:rsidRDefault="009E03C2">
      <w:pPr>
        <w:widowControl w:val="0"/>
        <w:spacing w:line="360" w:lineRule="auto"/>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b/>
          <w:bCs/>
          <w:sz w:val="22"/>
          <w:szCs w:val="22"/>
        </w:rPr>
        <w:t>2. Respuesta.</w:t>
      </w:r>
      <w:r w:rsidRPr="00F27DDE">
        <w:rPr>
          <w:rFonts w:ascii="Palatino Linotype" w:eastAsia="Palatino Linotype" w:hAnsi="Palatino Linotype" w:cs="Palatino Linotype"/>
          <w:sz w:val="22"/>
          <w:szCs w:val="22"/>
        </w:rPr>
        <w:t xml:space="preserve"> El </w:t>
      </w:r>
      <w:r w:rsidRPr="00F27DDE">
        <w:rPr>
          <w:rFonts w:ascii="Palatino Linotype" w:eastAsia="Palatino Linotype" w:hAnsi="Palatino Linotype" w:cs="Palatino Linotype"/>
          <w:b/>
          <w:bCs/>
          <w:sz w:val="22"/>
          <w:szCs w:val="22"/>
        </w:rPr>
        <w:t>veinte de junio de dos mil veinticinco</w:t>
      </w:r>
      <w:r w:rsidRPr="00F27DDE">
        <w:rPr>
          <w:rFonts w:ascii="Palatino Linotype" w:eastAsia="Palatino Linotype" w:hAnsi="Palatino Linotype" w:cs="Palatino Linotype"/>
          <w:sz w:val="22"/>
          <w:szCs w:val="22"/>
        </w:rPr>
        <w:t>, el Sujeto Obligado dio respuesta a la solicitud, señalando lo siguiente:</w:t>
      </w:r>
    </w:p>
    <w:p w:rsidR="00655D03" w:rsidRPr="00F27DDE" w:rsidRDefault="00655D03">
      <w:pPr>
        <w:widowControl w:val="0"/>
        <w:spacing w:line="360" w:lineRule="auto"/>
        <w:jc w:val="both"/>
        <w:rPr>
          <w:rFonts w:ascii="Palatino Linotype" w:eastAsia="Palatino Linotype" w:hAnsi="Palatino Linotype" w:cs="Palatino Linotype"/>
          <w:sz w:val="22"/>
          <w:szCs w:val="22"/>
        </w:rPr>
      </w:pPr>
    </w:p>
    <w:p w:rsidR="00655D03" w:rsidRPr="00F27DDE" w:rsidRDefault="009E03C2">
      <w:pPr>
        <w:widowControl w:val="0"/>
        <w:spacing w:line="360" w:lineRule="auto"/>
        <w:ind w:left="567" w:right="843"/>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55D03" w:rsidRPr="00F27DDE" w:rsidRDefault="009E03C2">
      <w:pPr>
        <w:widowControl w:val="0"/>
        <w:spacing w:line="360" w:lineRule="auto"/>
        <w:ind w:left="567" w:right="843"/>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i/>
          <w:iCs/>
          <w:sz w:val="22"/>
          <w:szCs w:val="22"/>
        </w:rPr>
        <w:t>Se informa que esta Coordinación Administrativa no ha generado, administrado y poseído información pública alguna</w:t>
      </w:r>
    </w:p>
    <w:p w:rsidR="00655D03" w:rsidRPr="00F27DDE" w:rsidRDefault="009E03C2">
      <w:pPr>
        <w:widowControl w:val="0"/>
        <w:spacing w:line="360" w:lineRule="auto"/>
        <w:ind w:left="567" w:right="843"/>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i/>
          <w:iCs/>
          <w:sz w:val="22"/>
          <w:szCs w:val="22"/>
        </w:rPr>
        <w:t>ATENTAMENTE</w:t>
      </w:r>
    </w:p>
    <w:p w:rsidR="00655D03" w:rsidRPr="00F27DDE" w:rsidRDefault="009E03C2">
      <w:pPr>
        <w:widowControl w:val="0"/>
        <w:spacing w:line="360" w:lineRule="auto"/>
        <w:ind w:left="567" w:right="843"/>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i/>
          <w:iCs/>
          <w:sz w:val="22"/>
          <w:szCs w:val="22"/>
        </w:rPr>
        <w:t>Lic en Derecho Rafael Alejandro Contreras Carmona”</w:t>
      </w:r>
    </w:p>
    <w:p w:rsidR="00655D03" w:rsidRPr="00F27DDE" w:rsidRDefault="00655D03">
      <w:pPr>
        <w:widowControl w:val="0"/>
        <w:spacing w:line="360" w:lineRule="auto"/>
        <w:jc w:val="both"/>
        <w:rPr>
          <w:rFonts w:ascii="Palatino Linotype" w:eastAsia="Palatino Linotype" w:hAnsi="Palatino Linotype" w:cs="Palatino Linotype"/>
          <w:sz w:val="22"/>
          <w:szCs w:val="22"/>
        </w:rPr>
      </w:pPr>
    </w:p>
    <w:p w:rsidR="00655D03" w:rsidRPr="00F27DDE" w:rsidRDefault="009E03C2">
      <w:pPr>
        <w:widowControl w:val="0"/>
        <w:spacing w:line="360" w:lineRule="auto"/>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 xml:space="preserve">Además, adjuntó a la respuesta los documentos electrónicos </w:t>
      </w:r>
      <w:r w:rsidRPr="00F27DDE">
        <w:rPr>
          <w:rFonts w:ascii="Palatino Linotype" w:eastAsia="Palatino Linotype" w:hAnsi="Palatino Linotype" w:cs="Palatino Linotype"/>
          <w:b/>
          <w:bCs/>
          <w:sz w:val="22"/>
          <w:szCs w:val="22"/>
        </w:rPr>
        <w:t xml:space="preserve">Respuesta a la solicitud 000158.pdf; Scan 20 jun 2516-59-03.pdf </w:t>
      </w:r>
      <w:r w:rsidRPr="00F27DDE">
        <w:rPr>
          <w:rFonts w:ascii="Palatino Linotype" w:eastAsia="Palatino Linotype" w:hAnsi="Palatino Linotype" w:cs="Palatino Linotype"/>
          <w:sz w:val="22"/>
          <w:szCs w:val="22"/>
        </w:rPr>
        <w:t>mediante los cuales la Coordinadora de Administración refiere que no ha generado, administrado o poseído información pública alguna y el Titular de la Unidad de Transparencia refiere que adjunta la respuesta emitida por la Coordinación Administrativa.</w:t>
      </w:r>
    </w:p>
    <w:p w:rsidR="00655D03" w:rsidRPr="00F27DDE" w:rsidRDefault="00655D03">
      <w:pPr>
        <w:widowControl w:val="0"/>
        <w:spacing w:line="360" w:lineRule="auto"/>
        <w:jc w:val="both"/>
        <w:rPr>
          <w:rFonts w:ascii="Palatino Linotype" w:eastAsia="Palatino Linotype" w:hAnsi="Palatino Linotype" w:cs="Palatino Linotype"/>
          <w:sz w:val="22"/>
          <w:szCs w:val="22"/>
        </w:rPr>
      </w:pPr>
    </w:p>
    <w:p w:rsidR="00655D03" w:rsidRPr="00F27DDE" w:rsidRDefault="009E03C2">
      <w:pPr>
        <w:spacing w:line="360" w:lineRule="auto"/>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b/>
          <w:bCs/>
          <w:sz w:val="22"/>
          <w:szCs w:val="22"/>
        </w:rPr>
        <w:t xml:space="preserve">3. Del Recurso de Revisión. </w:t>
      </w:r>
      <w:r w:rsidRPr="00F27DDE">
        <w:rPr>
          <w:rFonts w:ascii="Palatino Linotype" w:eastAsia="Palatino Linotype" w:hAnsi="Palatino Linotype" w:cs="Palatino Linotype"/>
          <w:sz w:val="22"/>
          <w:szCs w:val="22"/>
        </w:rPr>
        <w:t>Inconforme con la respuesta del</w:t>
      </w:r>
      <w:r w:rsidRPr="00F27DDE">
        <w:rPr>
          <w:rFonts w:ascii="Palatino Linotype" w:eastAsia="Palatino Linotype" w:hAnsi="Palatino Linotype" w:cs="Palatino Linotype"/>
          <w:b/>
          <w:bCs/>
          <w:sz w:val="22"/>
          <w:szCs w:val="22"/>
        </w:rPr>
        <w:t xml:space="preserve"> SUJETO OBLIGADO, </w:t>
      </w:r>
      <w:r w:rsidRPr="00F27DDE">
        <w:rPr>
          <w:rFonts w:ascii="Palatino Linotype" w:eastAsia="Palatino Linotype" w:hAnsi="Palatino Linotype" w:cs="Palatino Linotype"/>
          <w:sz w:val="22"/>
          <w:szCs w:val="22"/>
        </w:rPr>
        <w:t xml:space="preserve">el </w:t>
      </w:r>
      <w:r w:rsidRPr="00F27DDE">
        <w:rPr>
          <w:rFonts w:ascii="Palatino Linotype" w:eastAsia="Palatino Linotype" w:hAnsi="Palatino Linotype" w:cs="Palatino Linotype"/>
          <w:b/>
          <w:bCs/>
          <w:sz w:val="22"/>
          <w:szCs w:val="22"/>
        </w:rPr>
        <w:t xml:space="preserve">veintitrés de junio de dos mil veinticinco, LA PARTE RECURRENTE </w:t>
      </w:r>
      <w:r w:rsidRPr="00F27DDE">
        <w:rPr>
          <w:rFonts w:ascii="Palatino Linotype" w:eastAsia="Palatino Linotype" w:hAnsi="Palatino Linotype" w:cs="Palatino Linotype"/>
          <w:sz w:val="22"/>
          <w:szCs w:val="22"/>
        </w:rPr>
        <w:t xml:space="preserve">interpuso el recurso de revisión, mediante el cual y manifestó lo siguiente: </w:t>
      </w:r>
    </w:p>
    <w:p w:rsidR="00655D03" w:rsidRPr="00F27DDE" w:rsidRDefault="00655D03">
      <w:pPr>
        <w:spacing w:line="360" w:lineRule="auto"/>
        <w:jc w:val="both"/>
        <w:rPr>
          <w:rFonts w:ascii="Palatino Linotype" w:eastAsia="Palatino Linotype" w:hAnsi="Palatino Linotype" w:cs="Palatino Linotype"/>
          <w:sz w:val="22"/>
          <w:szCs w:val="22"/>
        </w:rPr>
      </w:pPr>
    </w:p>
    <w:p w:rsidR="00655D03" w:rsidRPr="00F27DDE" w:rsidRDefault="009E03C2">
      <w:pPr>
        <w:numPr>
          <w:ilvl w:val="0"/>
          <w:numId w:val="1"/>
        </w:numPr>
        <w:pBdr>
          <w:top w:val="nil"/>
          <w:left w:val="nil"/>
          <w:bottom w:val="nil"/>
          <w:right w:val="nil"/>
          <w:between w:val="nil"/>
        </w:pBdr>
        <w:rPr>
          <w:rFonts w:ascii="Palatino Linotype" w:eastAsia="Palatino Linotype" w:hAnsi="Palatino Linotype" w:cs="Palatino Linotype"/>
          <w:i/>
          <w:iCs/>
          <w:sz w:val="22"/>
          <w:szCs w:val="22"/>
        </w:rPr>
      </w:pPr>
      <w:r w:rsidRPr="00F27DDE">
        <w:t>Acto Impugnado: “</w:t>
      </w:r>
      <w:r w:rsidRPr="00F27DDE">
        <w:rPr>
          <w:rFonts w:ascii="Palatino Linotype" w:eastAsia="Palatino Linotype" w:hAnsi="Palatino Linotype" w:cs="Palatino Linotype"/>
          <w:i/>
          <w:iCs/>
          <w:sz w:val="22"/>
          <w:szCs w:val="22"/>
        </w:rPr>
        <w:t>RESPUESTA A LA SOLICITUD 00158/OFICIALIA/IP/2025</w:t>
      </w:r>
      <w:r w:rsidRPr="00F27DDE">
        <w:t>” (Sic.)</w:t>
      </w:r>
    </w:p>
    <w:p w:rsidR="00655D03" w:rsidRPr="00F27DDE" w:rsidRDefault="00655D03">
      <w:pPr>
        <w:pBdr>
          <w:top w:val="nil"/>
          <w:left w:val="nil"/>
          <w:bottom w:val="nil"/>
          <w:right w:val="nil"/>
          <w:between w:val="nil"/>
        </w:pBdr>
        <w:spacing w:line="360" w:lineRule="auto"/>
        <w:ind w:left="720" w:right="560"/>
        <w:jc w:val="both"/>
        <w:rPr>
          <w:rFonts w:ascii="Palatino Linotype" w:eastAsia="Palatino Linotype" w:hAnsi="Palatino Linotype" w:cs="Palatino Linotype"/>
          <w:i/>
          <w:iCs/>
          <w:sz w:val="22"/>
          <w:szCs w:val="22"/>
        </w:rPr>
      </w:pPr>
    </w:p>
    <w:p w:rsidR="00655D03" w:rsidRPr="00F27DDE" w:rsidRDefault="009E03C2">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b/>
          <w:bCs/>
          <w:sz w:val="22"/>
          <w:szCs w:val="22"/>
        </w:rPr>
        <w:t>Motivo de inconformidad:</w:t>
      </w:r>
      <w:r w:rsidRPr="00F27DDE">
        <w:rPr>
          <w:rFonts w:ascii="Palatino Linotype" w:eastAsia="Palatino Linotype" w:hAnsi="Palatino Linotype" w:cs="Palatino Linotype"/>
          <w:sz w:val="22"/>
          <w:szCs w:val="22"/>
        </w:rPr>
        <w:t xml:space="preserve"> “</w:t>
      </w:r>
      <w:r w:rsidRPr="00F27DDE">
        <w:rPr>
          <w:rFonts w:ascii="Palatino Linotype" w:eastAsia="Palatino Linotype" w:hAnsi="Palatino Linotype" w:cs="Palatino Linotype"/>
          <w:i/>
          <w:iCs/>
          <w:sz w:val="22"/>
          <w:szCs w:val="22"/>
        </w:rPr>
        <w:t xml:space="preserve">En su respuesta, el sujeto obligado niega haber "administrado, generado o peseido información pública alguna" sin particularizar en ningun momento sobre la información solicitada; en sí la respuesta es una falsedad por parte del sujeto obligado, ya que está dentro de sus facultades el administrar un presupuesto público que le fue asignado para el ejercicio fiscal 2024. Por ello, resulta falsa la negativa de tajo que argumenta el sujeto obligado </w:t>
      </w:r>
      <w:r w:rsidRPr="00F27DDE">
        <w:rPr>
          <w:rFonts w:ascii="Palatino Linotype" w:eastAsia="Palatino Linotype" w:hAnsi="Palatino Linotype" w:cs="Palatino Linotype"/>
          <w:i/>
          <w:iCs/>
          <w:sz w:val="22"/>
          <w:szCs w:val="22"/>
        </w:rPr>
        <w:lastRenderedPageBreak/>
        <w:t>en su respuesta, ya que si bien la facultad de llevar a cabo los pagos correspondientes a dicho presupuesto es de la Secretaría de Finanzas, sí es competencia del sujeto obligado el ejercicio de dichos recursos públicos mediante la la adquisición de bienes y servicios relativos a sus funciones. Por lo anterior, solicito se revoque la respuesta del sujeto obligado y se le ordene la entrega de la información pública que le fue solicitada.</w:t>
      </w:r>
      <w:r w:rsidRPr="00F27DDE">
        <w:rPr>
          <w:rFonts w:ascii="Palatino Linotype" w:eastAsia="Palatino Linotype" w:hAnsi="Palatino Linotype" w:cs="Palatino Linotype"/>
          <w:sz w:val="22"/>
          <w:szCs w:val="22"/>
        </w:rPr>
        <w:t>” (Sic.)</w:t>
      </w:r>
    </w:p>
    <w:p w:rsidR="00655D03" w:rsidRPr="00F27DDE" w:rsidRDefault="00655D03">
      <w:pPr>
        <w:pBdr>
          <w:top w:val="nil"/>
          <w:left w:val="nil"/>
          <w:bottom w:val="nil"/>
          <w:right w:val="nil"/>
          <w:between w:val="nil"/>
        </w:pBdr>
        <w:spacing w:line="360" w:lineRule="auto"/>
        <w:ind w:left="720"/>
        <w:rPr>
          <w:rFonts w:ascii="Palatino Linotype" w:eastAsia="Palatino Linotype" w:hAnsi="Palatino Linotype" w:cs="Palatino Linotype"/>
          <w:i/>
          <w:iCs/>
          <w:sz w:val="22"/>
          <w:szCs w:val="22"/>
        </w:rPr>
      </w:pPr>
    </w:p>
    <w:p w:rsidR="00655D03" w:rsidRPr="00F27DDE" w:rsidRDefault="009E03C2">
      <w:pPr>
        <w:spacing w:line="360" w:lineRule="auto"/>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b/>
          <w:bCs/>
          <w:sz w:val="22"/>
          <w:szCs w:val="22"/>
        </w:rPr>
        <w:t xml:space="preserve">4. Turno. </w:t>
      </w:r>
      <w:r w:rsidRPr="00F27DDE">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F27DDE">
        <w:rPr>
          <w:rFonts w:ascii="Palatino Linotype" w:eastAsia="Palatino Linotype" w:hAnsi="Palatino Linotype" w:cs="Palatino Linotype"/>
          <w:b/>
          <w:bCs/>
          <w:sz w:val="22"/>
          <w:szCs w:val="22"/>
        </w:rPr>
        <w:t>07604/INFOEM/IP/RR/2025</w:t>
      </w:r>
      <w:r w:rsidRPr="00F27DDE">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F27DDE">
        <w:rPr>
          <w:rFonts w:ascii="Palatino Linotype" w:eastAsia="Palatino Linotype" w:hAnsi="Palatino Linotype" w:cs="Palatino Linotype"/>
          <w:b/>
          <w:bCs/>
          <w:sz w:val="22"/>
          <w:szCs w:val="22"/>
        </w:rPr>
        <w:t>Guadalupe Ramírez Peña</w:t>
      </w:r>
      <w:r w:rsidRPr="00F27DDE">
        <w:rPr>
          <w:rFonts w:ascii="Palatino Linotype" w:eastAsia="Palatino Linotype" w:hAnsi="Palatino Linotype" w:cs="Palatino Linotype"/>
          <w:sz w:val="22"/>
          <w:szCs w:val="22"/>
        </w:rPr>
        <w:t xml:space="preserve">, para su análisis, estudio, elaboración del proyecto y presentación ante el Pleno de este Instituto. </w:t>
      </w:r>
    </w:p>
    <w:p w:rsidR="00655D03" w:rsidRPr="00F27DDE" w:rsidRDefault="00655D03">
      <w:pPr>
        <w:spacing w:line="360" w:lineRule="auto"/>
        <w:jc w:val="both"/>
        <w:rPr>
          <w:rFonts w:ascii="Palatino Linotype" w:eastAsia="Palatino Linotype" w:hAnsi="Palatino Linotype" w:cs="Palatino Linotype"/>
          <w:sz w:val="22"/>
          <w:szCs w:val="22"/>
        </w:rPr>
      </w:pPr>
    </w:p>
    <w:p w:rsidR="00655D03" w:rsidRPr="00F27DDE" w:rsidRDefault="009E03C2">
      <w:pPr>
        <w:spacing w:line="360" w:lineRule="auto"/>
        <w:jc w:val="both"/>
        <w:rPr>
          <w:rFonts w:ascii="Palatino Linotype" w:eastAsia="Palatino Linotype" w:hAnsi="Palatino Linotype" w:cs="Palatino Linotype"/>
          <w:b/>
          <w:bCs/>
          <w:sz w:val="22"/>
          <w:szCs w:val="22"/>
        </w:rPr>
      </w:pPr>
      <w:r w:rsidRPr="00F27DDE">
        <w:rPr>
          <w:rFonts w:ascii="Palatino Linotype" w:eastAsia="Palatino Linotype" w:hAnsi="Palatino Linotype" w:cs="Palatino Linotype"/>
          <w:b/>
          <w:bCs/>
          <w:sz w:val="22"/>
          <w:szCs w:val="22"/>
        </w:rPr>
        <w:t xml:space="preserve">5. Admisión. </w:t>
      </w:r>
      <w:r w:rsidRPr="00F27DDE">
        <w:rPr>
          <w:rFonts w:ascii="Palatino Linotype" w:eastAsia="Palatino Linotype" w:hAnsi="Palatino Linotype" w:cs="Palatino Linotype"/>
          <w:sz w:val="22"/>
          <w:szCs w:val="22"/>
        </w:rPr>
        <w:t xml:space="preserve">El </w:t>
      </w:r>
      <w:r w:rsidRPr="00F27DDE">
        <w:rPr>
          <w:rFonts w:ascii="Palatino Linotype" w:eastAsia="Palatino Linotype" w:hAnsi="Palatino Linotype" w:cs="Palatino Linotype"/>
          <w:b/>
          <w:bCs/>
          <w:sz w:val="22"/>
          <w:szCs w:val="22"/>
        </w:rPr>
        <w:t>veintiséis de junio de dos mil veinticinco</w:t>
      </w:r>
      <w:r w:rsidRPr="00F27DDE">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F27DDE">
        <w:rPr>
          <w:rFonts w:ascii="Palatino Linotype" w:eastAsia="Palatino Linotype" w:hAnsi="Palatino Linotype" w:cs="Palatino Linotype"/>
          <w:b/>
          <w:bCs/>
          <w:sz w:val="22"/>
          <w:szCs w:val="22"/>
        </w:rPr>
        <w:t xml:space="preserve">. </w:t>
      </w:r>
    </w:p>
    <w:p w:rsidR="00655D03" w:rsidRPr="00F27DDE" w:rsidRDefault="00655D03">
      <w:pPr>
        <w:spacing w:line="360" w:lineRule="auto"/>
        <w:jc w:val="both"/>
        <w:rPr>
          <w:rFonts w:ascii="Palatino Linotype" w:eastAsia="Palatino Linotype" w:hAnsi="Palatino Linotype" w:cs="Palatino Linotype"/>
          <w:b/>
          <w:bCs/>
          <w:sz w:val="22"/>
          <w:szCs w:val="22"/>
        </w:rPr>
      </w:pPr>
    </w:p>
    <w:p w:rsidR="00655D03" w:rsidRPr="00F27DDE" w:rsidRDefault="009E03C2">
      <w:pPr>
        <w:spacing w:line="360" w:lineRule="auto"/>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b/>
          <w:bCs/>
          <w:sz w:val="22"/>
          <w:szCs w:val="22"/>
        </w:rPr>
        <w:t>6. Manifestaciones.</w:t>
      </w:r>
      <w:r w:rsidRPr="00F27DDE">
        <w:rPr>
          <w:rFonts w:ascii="Palatino Linotype" w:eastAsia="Palatino Linotype" w:hAnsi="Palatino Linotype" w:cs="Palatino Linotype"/>
          <w:sz w:val="22"/>
          <w:szCs w:val="22"/>
        </w:rPr>
        <w:t xml:space="preserve"> De las constancias que obran en el expediente electrónico del SAIMEX, se advierte que el Sujeto Obligado rindió su informe justificado el </w:t>
      </w:r>
      <w:r w:rsidRPr="00F27DDE">
        <w:rPr>
          <w:rFonts w:ascii="Palatino Linotype" w:eastAsia="Palatino Linotype" w:hAnsi="Palatino Linotype" w:cs="Palatino Linotype"/>
          <w:b/>
          <w:bCs/>
          <w:sz w:val="22"/>
          <w:szCs w:val="22"/>
        </w:rPr>
        <w:t xml:space="preserve">Scan 07 jul 25 21-27-50.pdf </w:t>
      </w:r>
      <w:r w:rsidRPr="00F27DDE">
        <w:rPr>
          <w:rFonts w:ascii="Palatino Linotype" w:eastAsia="Palatino Linotype" w:hAnsi="Palatino Linotype" w:cs="Palatino Linotype"/>
          <w:sz w:val="22"/>
          <w:szCs w:val="22"/>
        </w:rPr>
        <w:t xml:space="preserve">mediante el cual se ratifica la respuesta inicial, asimismo, refiere que es competencia de la Secretaría de Finanzas. El informe justificado se puso a disposición del Particular el </w:t>
      </w:r>
      <w:r w:rsidRPr="00F27DDE">
        <w:rPr>
          <w:rFonts w:ascii="Palatino Linotype" w:eastAsia="Palatino Linotype" w:hAnsi="Palatino Linotype" w:cs="Palatino Linotype"/>
          <w:b/>
          <w:bCs/>
          <w:sz w:val="22"/>
          <w:szCs w:val="22"/>
        </w:rPr>
        <w:t>doce de diciembre de dos mil veinticinco.</w:t>
      </w:r>
    </w:p>
    <w:p w:rsidR="00655D03" w:rsidRPr="00F27DDE" w:rsidRDefault="00655D03">
      <w:pPr>
        <w:spacing w:line="360" w:lineRule="auto"/>
        <w:jc w:val="both"/>
        <w:rPr>
          <w:rFonts w:ascii="Palatino Linotype" w:eastAsia="Palatino Linotype" w:hAnsi="Palatino Linotype" w:cs="Palatino Linotype"/>
          <w:b/>
          <w:bCs/>
          <w:sz w:val="22"/>
          <w:szCs w:val="22"/>
        </w:rPr>
      </w:pPr>
    </w:p>
    <w:p w:rsidR="00655D03" w:rsidRPr="00F27DDE" w:rsidRDefault="009E03C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b/>
          <w:bCs/>
          <w:sz w:val="22"/>
          <w:szCs w:val="22"/>
        </w:rPr>
        <w:t>7. Ampliación de plazo. El doce de diciembre de dos mil veinticinco</w:t>
      </w:r>
      <w:r w:rsidRPr="00F27DDE">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rsidR="00655D03" w:rsidRPr="00F27DDE" w:rsidRDefault="009E03C2">
      <w:pPr>
        <w:spacing w:before="240" w:after="240" w:line="360" w:lineRule="auto"/>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655D03" w:rsidRPr="00F27DDE" w:rsidRDefault="009E03C2">
      <w:pPr>
        <w:spacing w:before="240" w:after="240" w:line="360" w:lineRule="auto"/>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rsidR="00655D03" w:rsidRPr="00F27DDE" w:rsidRDefault="009E03C2">
      <w:pPr>
        <w:spacing w:before="240" w:after="240" w:line="360" w:lineRule="auto"/>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655D03" w:rsidRPr="00F27DDE" w:rsidRDefault="009E03C2">
      <w:pPr>
        <w:spacing w:before="240" w:after="240" w:line="360" w:lineRule="auto"/>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655D03" w:rsidRPr="00F27DDE" w:rsidRDefault="009E03C2">
      <w:pPr>
        <w:spacing w:before="240" w:after="240" w:line="360" w:lineRule="auto"/>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rsidR="00655D03" w:rsidRPr="00F27DDE" w:rsidRDefault="009E03C2">
      <w:pPr>
        <w:numPr>
          <w:ilvl w:val="0"/>
          <w:numId w:val="4"/>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b/>
          <w:bCs/>
          <w:sz w:val="22"/>
          <w:szCs w:val="22"/>
        </w:rPr>
        <w:t>Complejidad del Asunto:</w:t>
      </w:r>
      <w:r w:rsidRPr="00F27DDE">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rsidR="00655D03" w:rsidRPr="00F27DDE" w:rsidRDefault="009E03C2">
      <w:pPr>
        <w:numPr>
          <w:ilvl w:val="0"/>
          <w:numId w:val="4"/>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b/>
          <w:bCs/>
          <w:sz w:val="22"/>
          <w:szCs w:val="22"/>
        </w:rPr>
        <w:t>Actividad Procesal del interesado</w:t>
      </w:r>
      <w:r w:rsidRPr="00F27DDE">
        <w:rPr>
          <w:rFonts w:ascii="Palatino Linotype" w:eastAsia="Palatino Linotype" w:hAnsi="Palatino Linotype" w:cs="Palatino Linotype"/>
          <w:sz w:val="22"/>
          <w:szCs w:val="22"/>
        </w:rPr>
        <w:t>. Acciones u omisiones del interesado.</w:t>
      </w:r>
    </w:p>
    <w:p w:rsidR="00655D03" w:rsidRPr="00F27DDE" w:rsidRDefault="009E03C2">
      <w:pPr>
        <w:numPr>
          <w:ilvl w:val="0"/>
          <w:numId w:val="4"/>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b/>
          <w:bCs/>
          <w:sz w:val="22"/>
          <w:szCs w:val="22"/>
        </w:rPr>
        <w:t>Conducta de la Autoridad:</w:t>
      </w:r>
      <w:r w:rsidRPr="00F27DDE">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rsidR="00655D03" w:rsidRPr="00F27DDE" w:rsidRDefault="009E03C2">
      <w:pPr>
        <w:numPr>
          <w:ilvl w:val="0"/>
          <w:numId w:val="4"/>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b/>
          <w:bCs/>
          <w:sz w:val="22"/>
          <w:szCs w:val="22"/>
        </w:rPr>
        <w:t>La afectación generada en la situación jurídica de la persona involucrada en el proceso:</w:t>
      </w:r>
      <w:r w:rsidRPr="00F27DDE">
        <w:rPr>
          <w:rFonts w:ascii="Palatino Linotype" w:eastAsia="Palatino Linotype" w:hAnsi="Palatino Linotype" w:cs="Palatino Linotype"/>
          <w:sz w:val="22"/>
          <w:szCs w:val="22"/>
        </w:rPr>
        <w:t xml:space="preserve"> Violación a sus derechos humanos.</w:t>
      </w:r>
    </w:p>
    <w:p w:rsidR="00655D03" w:rsidRPr="00F27DDE" w:rsidRDefault="009E03C2">
      <w:pPr>
        <w:spacing w:before="240" w:after="240" w:line="360" w:lineRule="auto"/>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655D03" w:rsidRPr="00F27DDE" w:rsidRDefault="009E03C2">
      <w:pPr>
        <w:spacing w:before="240" w:after="240" w:line="360" w:lineRule="auto"/>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F27DDE">
        <w:rPr>
          <w:rFonts w:ascii="Palatino Linotype" w:eastAsia="Palatino Linotype" w:hAnsi="Palatino Linotype" w:cs="Palatino Linotype"/>
          <w:i/>
          <w:iCs/>
          <w:sz w:val="22"/>
          <w:szCs w:val="22"/>
        </w:rPr>
        <w:t>“TÉRMINOS PROCESALES. PARA DETERMINAR SI UN FUNCIONARIO JUDICIAL ACTUÓ INDEBIDAMENTE POR NO RESPETARLOS SE DEBE ATENDER AL PRESUPUESTO QUE CONSIDERÓ EL LEGISLADOR AL FIJARLOS Y LAS CARACTERÍSTICAS DEL CASO.”</w:t>
      </w:r>
      <w:r w:rsidRPr="00F27DDE">
        <w:rPr>
          <w:rFonts w:ascii="Palatino Linotype" w:eastAsia="Palatino Linotype" w:hAnsi="Palatino Linotype" w:cs="Palatino Linotype"/>
          <w:sz w:val="22"/>
          <w:szCs w:val="22"/>
        </w:rPr>
        <w:t>, visible en la Gaceta del Seminario Judicial de la Federación con el registro digital 205635.</w:t>
      </w:r>
    </w:p>
    <w:p w:rsidR="00655D03" w:rsidRPr="00F27DDE" w:rsidRDefault="009E03C2">
      <w:pPr>
        <w:spacing w:before="240" w:after="240" w:line="360" w:lineRule="auto"/>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655D03" w:rsidRPr="00F27DDE" w:rsidRDefault="009E03C2">
      <w:pPr>
        <w:spacing w:before="240" w:after="240" w:line="360" w:lineRule="auto"/>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rsidR="00655D03" w:rsidRPr="00F27DDE" w:rsidRDefault="009E03C2">
      <w:pPr>
        <w:spacing w:before="240" w:after="240" w:line="360" w:lineRule="auto"/>
        <w:ind w:left="851" w:right="900"/>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 xml:space="preserve"> </w:t>
      </w:r>
      <w:r w:rsidRPr="00F27DDE">
        <w:rPr>
          <w:rFonts w:ascii="Palatino Linotype" w:eastAsia="Palatino Linotype" w:hAnsi="Palatino Linotype" w:cs="Palatino Linotype"/>
          <w:b/>
          <w:bCs/>
          <w:i/>
          <w:iCs/>
          <w:sz w:val="22"/>
          <w:szCs w:val="22"/>
        </w:rPr>
        <w:t>“PLAZO RAZONABLE PARA RESOLVER. DIMENSIÓN Y EFECTOS DE ESTE CONCEPTO CUANDO SE ADUCE EXCESIVA CARGA DE TRABAJO</w:t>
      </w:r>
      <w:r w:rsidRPr="00F27DDE">
        <w:rPr>
          <w:rFonts w:ascii="Palatino Linotype" w:eastAsia="Palatino Linotype" w:hAnsi="Palatino Linotype" w:cs="Palatino Linotype"/>
          <w:i/>
          <w:iCs/>
          <w:sz w:val="22"/>
          <w:szCs w:val="22"/>
        </w:rPr>
        <w:t>.”</w:t>
      </w:r>
      <w:r w:rsidRPr="00F27DDE">
        <w:rPr>
          <w:rFonts w:ascii="Palatino Linotype" w:eastAsia="Palatino Linotype" w:hAnsi="Palatino Linotype" w:cs="Palatino Linotype"/>
          <w:sz w:val="22"/>
          <w:szCs w:val="22"/>
        </w:rPr>
        <w:t xml:space="preserve"> consultable en el Seminario Judicial de la Federación y su gaceta, con el registro digital 2002351.</w:t>
      </w:r>
    </w:p>
    <w:p w:rsidR="00655D03" w:rsidRPr="00F27DDE" w:rsidRDefault="009E03C2">
      <w:pPr>
        <w:spacing w:before="240" w:after="240" w:line="360" w:lineRule="auto"/>
        <w:ind w:left="851" w:right="900"/>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b/>
          <w:bCs/>
          <w:i/>
          <w:iCs/>
          <w:sz w:val="22"/>
          <w:szCs w:val="22"/>
        </w:rPr>
        <w:t>“PLAZO RAZONABLE PARA RESOLVER. CONCEPTO Y ELEMENTOS QUE LO INTEGRAN A LA LUZ DEL DERECHO INTERNACIONAL DE LOS DERECHOS HUMANOS.”</w:t>
      </w:r>
      <w:r w:rsidRPr="00F27DDE">
        <w:rPr>
          <w:rFonts w:ascii="Palatino Linotype" w:eastAsia="Palatino Linotype" w:hAnsi="Palatino Linotype" w:cs="Palatino Linotype"/>
          <w:sz w:val="22"/>
          <w:szCs w:val="22"/>
        </w:rPr>
        <w:t>, visible en el Seminario Judicial de la Federación y su gaceta, con el registro digital 2002350.</w:t>
      </w:r>
    </w:p>
    <w:p w:rsidR="00655D03" w:rsidRPr="00F27DDE" w:rsidRDefault="009E03C2">
      <w:pPr>
        <w:spacing w:before="240" w:after="240" w:line="360" w:lineRule="auto"/>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rsidR="00655D03" w:rsidRPr="00F27DDE" w:rsidRDefault="009E03C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b/>
          <w:bCs/>
          <w:sz w:val="22"/>
          <w:szCs w:val="22"/>
        </w:rPr>
        <w:t>8. Cierre de instrucción</w:t>
      </w:r>
      <w:r w:rsidRPr="00F27DDE">
        <w:rPr>
          <w:rFonts w:ascii="Palatino Linotype" w:eastAsia="Palatino Linotype" w:hAnsi="Palatino Linotype" w:cs="Palatino Linotype"/>
          <w:sz w:val="22"/>
          <w:szCs w:val="22"/>
        </w:rPr>
        <w:t xml:space="preserve">. En fecha </w:t>
      </w:r>
      <w:r w:rsidRPr="00F27DDE">
        <w:rPr>
          <w:rFonts w:ascii="Palatino Linotype" w:eastAsia="Palatino Linotype" w:hAnsi="Palatino Linotype" w:cs="Palatino Linotype"/>
          <w:b/>
          <w:bCs/>
          <w:sz w:val="22"/>
          <w:szCs w:val="22"/>
        </w:rPr>
        <w:t>doce de enero de dos mil veintiséis</w:t>
      </w:r>
      <w:r w:rsidRPr="00F27DDE">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rsidR="00655D03" w:rsidRPr="00F27DDE" w:rsidRDefault="00655D03">
      <w:pPr>
        <w:spacing w:line="360" w:lineRule="auto"/>
        <w:ind w:right="49"/>
        <w:jc w:val="both"/>
        <w:rPr>
          <w:rFonts w:ascii="Palatino Linotype" w:eastAsia="Palatino Linotype" w:hAnsi="Palatino Linotype" w:cs="Palatino Linotype"/>
          <w:sz w:val="22"/>
          <w:szCs w:val="22"/>
        </w:rPr>
      </w:pPr>
    </w:p>
    <w:p w:rsidR="00655D03" w:rsidRPr="00F27DDE" w:rsidRDefault="009E03C2">
      <w:pPr>
        <w:spacing w:line="360" w:lineRule="auto"/>
        <w:ind w:right="49"/>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 xml:space="preserve">Debido a que fue debidamente sustanciado </w:t>
      </w:r>
      <w:r w:rsidRPr="00F27DDE">
        <w:rPr>
          <w:rFonts w:ascii="Palatino Linotype" w:eastAsia="Palatino Linotype" w:hAnsi="Palatino Linotype" w:cs="Palatino Linotype"/>
          <w:sz w:val="22"/>
          <w:szCs w:val="22"/>
        </w:rPr>
        <w:tab/>
        <w:t xml:space="preserve">el expediente electrónico y no existe diligencia pendiente de desahogo, se emite la Resolución que conforme a Derecho proceda, de acuerdo con los siguientes: </w:t>
      </w:r>
    </w:p>
    <w:p w:rsidR="009E03C2" w:rsidRPr="00F27DDE" w:rsidRDefault="009E03C2">
      <w:pPr>
        <w:spacing w:line="360" w:lineRule="auto"/>
        <w:ind w:right="49"/>
        <w:jc w:val="center"/>
        <w:rPr>
          <w:rFonts w:ascii="Palatino Linotype" w:eastAsia="Palatino Linotype" w:hAnsi="Palatino Linotype" w:cs="Palatino Linotype"/>
          <w:b/>
          <w:bCs/>
          <w:sz w:val="22"/>
          <w:szCs w:val="22"/>
        </w:rPr>
      </w:pPr>
    </w:p>
    <w:p w:rsidR="009E03C2" w:rsidRPr="00F27DDE" w:rsidRDefault="009E03C2">
      <w:pPr>
        <w:spacing w:line="360" w:lineRule="auto"/>
        <w:ind w:right="49"/>
        <w:jc w:val="center"/>
        <w:rPr>
          <w:rFonts w:ascii="Palatino Linotype" w:eastAsia="Palatino Linotype" w:hAnsi="Palatino Linotype" w:cs="Palatino Linotype"/>
          <w:b/>
          <w:bCs/>
          <w:sz w:val="22"/>
          <w:szCs w:val="22"/>
        </w:rPr>
      </w:pPr>
    </w:p>
    <w:p w:rsidR="009E03C2" w:rsidRPr="00F27DDE" w:rsidRDefault="009E03C2">
      <w:pPr>
        <w:spacing w:line="360" w:lineRule="auto"/>
        <w:ind w:right="49"/>
        <w:jc w:val="center"/>
        <w:rPr>
          <w:rFonts w:ascii="Palatino Linotype" w:eastAsia="Palatino Linotype" w:hAnsi="Palatino Linotype" w:cs="Palatino Linotype"/>
          <w:b/>
          <w:bCs/>
          <w:sz w:val="22"/>
          <w:szCs w:val="22"/>
        </w:rPr>
      </w:pPr>
    </w:p>
    <w:p w:rsidR="00655D03" w:rsidRPr="00F27DDE" w:rsidRDefault="009E03C2">
      <w:pPr>
        <w:spacing w:line="360" w:lineRule="auto"/>
        <w:ind w:right="49"/>
        <w:jc w:val="center"/>
        <w:rPr>
          <w:rFonts w:ascii="Palatino Linotype" w:eastAsia="Palatino Linotype" w:hAnsi="Palatino Linotype" w:cs="Palatino Linotype"/>
          <w:b/>
          <w:bCs/>
          <w:sz w:val="22"/>
          <w:szCs w:val="22"/>
        </w:rPr>
      </w:pPr>
      <w:r w:rsidRPr="00F27DDE">
        <w:rPr>
          <w:rFonts w:ascii="Palatino Linotype" w:eastAsia="Palatino Linotype" w:hAnsi="Palatino Linotype" w:cs="Palatino Linotype"/>
          <w:b/>
          <w:bCs/>
          <w:sz w:val="22"/>
          <w:szCs w:val="22"/>
        </w:rPr>
        <w:t>II.</w:t>
      </w:r>
      <w:r w:rsidRPr="00F27DDE">
        <w:rPr>
          <w:rFonts w:ascii="Palatino Linotype" w:eastAsia="Palatino Linotype" w:hAnsi="Palatino Linotype" w:cs="Palatino Linotype"/>
          <w:b/>
          <w:bCs/>
          <w:sz w:val="22"/>
          <w:szCs w:val="22"/>
        </w:rPr>
        <w:tab/>
        <w:t>C O N S I D E R A N D O:</w:t>
      </w:r>
    </w:p>
    <w:p w:rsidR="00655D03" w:rsidRPr="00F27DDE" w:rsidRDefault="00655D03">
      <w:pPr>
        <w:spacing w:line="360" w:lineRule="auto"/>
        <w:ind w:right="49"/>
        <w:jc w:val="both"/>
        <w:rPr>
          <w:rFonts w:ascii="Palatino Linotype" w:eastAsia="Palatino Linotype" w:hAnsi="Palatino Linotype" w:cs="Palatino Linotype"/>
          <w:sz w:val="22"/>
          <w:szCs w:val="22"/>
        </w:rPr>
      </w:pPr>
    </w:p>
    <w:p w:rsidR="00655D03" w:rsidRPr="00F27DDE" w:rsidRDefault="009E03C2">
      <w:pPr>
        <w:spacing w:line="360" w:lineRule="auto"/>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b/>
          <w:bCs/>
          <w:sz w:val="22"/>
          <w:szCs w:val="22"/>
        </w:rPr>
        <w:t>Primero. Competencia.</w:t>
      </w:r>
      <w:r w:rsidRPr="00F27DDE">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655D03" w:rsidRPr="00F27DDE" w:rsidRDefault="009E03C2">
      <w:pPr>
        <w:spacing w:before="240" w:after="240" w:line="360" w:lineRule="auto"/>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b/>
          <w:bCs/>
          <w:sz w:val="22"/>
          <w:szCs w:val="22"/>
        </w:rPr>
        <w:t xml:space="preserve">Segundo. Oportunidad y Procedibilidad del Recurso de Revisión. </w:t>
      </w:r>
      <w:r w:rsidRPr="00F27DDE">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655D03" w:rsidRPr="00F27DDE" w:rsidRDefault="009E03C2">
      <w:pPr>
        <w:spacing w:before="240" w:after="240" w:line="360" w:lineRule="auto"/>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rsidR="00655D03" w:rsidRPr="00F27DDE" w:rsidRDefault="009E03C2">
      <w:pPr>
        <w:spacing w:line="360" w:lineRule="auto"/>
        <w:ind w:left="851" w:right="900"/>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 xml:space="preserve">“Artículo 178. </w:t>
      </w:r>
      <w:r w:rsidRPr="00F27DDE">
        <w:rPr>
          <w:rFonts w:ascii="Palatino Linotype" w:eastAsia="Palatino Linotype" w:hAnsi="Palatino Linotype" w:cs="Palatino Linotype"/>
          <w:i/>
          <w:iCs/>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55D03" w:rsidRPr="00F27DDE" w:rsidRDefault="009E03C2">
      <w:pPr>
        <w:spacing w:before="240" w:after="240" w:line="360" w:lineRule="auto"/>
        <w:ind w:right="49"/>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F27DDE">
        <w:rPr>
          <w:rFonts w:ascii="Palatino Linotype" w:eastAsia="Palatino Linotype" w:hAnsi="Palatino Linotype" w:cs="Palatino Linotype"/>
          <w:b/>
          <w:bCs/>
          <w:sz w:val="22"/>
          <w:szCs w:val="22"/>
        </w:rPr>
        <w:t>SUJETO OBLIGADO</w:t>
      </w:r>
      <w:r w:rsidRPr="00F27DDE">
        <w:rPr>
          <w:rFonts w:ascii="Palatino Linotype" w:eastAsia="Palatino Linotype" w:hAnsi="Palatino Linotype" w:cs="Palatino Linotype"/>
          <w:sz w:val="22"/>
          <w:szCs w:val="22"/>
        </w:rPr>
        <w:t xml:space="preserve"> remitió la respuesta a la solicitud de información el día veinte </w:t>
      </w:r>
      <w:r w:rsidRPr="00F27DDE">
        <w:rPr>
          <w:rFonts w:ascii="Palatino Linotype" w:eastAsia="Palatino Linotype" w:hAnsi="Palatino Linotype" w:cs="Palatino Linotype"/>
          <w:b/>
          <w:bCs/>
          <w:sz w:val="22"/>
          <w:szCs w:val="22"/>
        </w:rPr>
        <w:t xml:space="preserve">de junio de dos mil veinticinco, </w:t>
      </w:r>
      <w:r w:rsidRPr="00F27DDE">
        <w:rPr>
          <w:rFonts w:ascii="Palatino Linotype" w:eastAsia="Palatino Linotype" w:hAnsi="Palatino Linotype" w:cs="Palatino Linotype"/>
          <w:sz w:val="22"/>
          <w:szCs w:val="22"/>
        </w:rPr>
        <w:t xml:space="preserve">mientras que el recurso de revisión interpuesto por la parte </w:t>
      </w:r>
      <w:r w:rsidRPr="00F27DDE">
        <w:rPr>
          <w:rFonts w:ascii="Palatino Linotype" w:eastAsia="Palatino Linotype" w:hAnsi="Palatino Linotype" w:cs="Palatino Linotype"/>
          <w:b/>
          <w:bCs/>
          <w:sz w:val="22"/>
          <w:szCs w:val="22"/>
        </w:rPr>
        <w:t>RECURRENTE</w:t>
      </w:r>
      <w:r w:rsidRPr="00F27DDE">
        <w:rPr>
          <w:rFonts w:ascii="Palatino Linotype" w:eastAsia="Palatino Linotype" w:hAnsi="Palatino Linotype" w:cs="Palatino Linotype"/>
          <w:sz w:val="22"/>
          <w:szCs w:val="22"/>
        </w:rPr>
        <w:t xml:space="preserve">, se tuvo por presentado el </w:t>
      </w:r>
      <w:r w:rsidRPr="00F27DDE">
        <w:rPr>
          <w:rFonts w:ascii="Palatino Linotype" w:eastAsia="Palatino Linotype" w:hAnsi="Palatino Linotype" w:cs="Palatino Linotype"/>
          <w:b/>
          <w:bCs/>
          <w:sz w:val="22"/>
          <w:szCs w:val="22"/>
        </w:rPr>
        <w:t>veintitrés de junio del año dos mil veinticinco</w:t>
      </w:r>
      <w:r w:rsidRPr="00F27DDE">
        <w:rPr>
          <w:rFonts w:ascii="Palatino Linotype" w:eastAsia="Palatino Linotype" w:hAnsi="Palatino Linotype" w:cs="Palatino Linotype"/>
          <w:sz w:val="22"/>
          <w:szCs w:val="22"/>
        </w:rPr>
        <w:t>; esto es, al primer día hábil que se tuvo conocimiento de la respuesta.</w:t>
      </w:r>
    </w:p>
    <w:p w:rsidR="00655D03" w:rsidRPr="00F27DDE" w:rsidRDefault="009E03C2">
      <w:pPr>
        <w:spacing w:before="240" w:after="240" w:line="360" w:lineRule="auto"/>
        <w:ind w:right="49"/>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655D03" w:rsidRPr="00F27DDE" w:rsidRDefault="009E03C2">
      <w:pPr>
        <w:spacing w:before="240" w:after="240" w:line="360" w:lineRule="auto"/>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fracciones I de la ley de la materia, que a la letra dice:</w:t>
      </w:r>
    </w:p>
    <w:p w:rsidR="00655D03" w:rsidRPr="00F27DDE" w:rsidRDefault="009E03C2">
      <w:pPr>
        <w:spacing w:line="360" w:lineRule="auto"/>
        <w:ind w:left="851" w:right="1041"/>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i/>
          <w:iCs/>
          <w:sz w:val="22"/>
          <w:szCs w:val="22"/>
        </w:rPr>
        <w:t>“</w:t>
      </w:r>
      <w:r w:rsidRPr="00F27DDE">
        <w:rPr>
          <w:rFonts w:ascii="Palatino Linotype" w:eastAsia="Palatino Linotype" w:hAnsi="Palatino Linotype" w:cs="Palatino Linotype"/>
          <w:b/>
          <w:bCs/>
          <w:i/>
          <w:iCs/>
          <w:sz w:val="22"/>
          <w:szCs w:val="22"/>
        </w:rPr>
        <w:t xml:space="preserve">Artículo 179. </w:t>
      </w:r>
      <w:r w:rsidRPr="00F27DDE">
        <w:rPr>
          <w:rFonts w:ascii="Palatino Linotype" w:eastAsia="Palatino Linotype" w:hAnsi="Palatino Linotype" w:cs="Palatino Linotype"/>
          <w:i/>
          <w:iCs/>
          <w:sz w:val="22"/>
          <w:szCs w:val="22"/>
        </w:rPr>
        <w:t>El recurso de revisión es un medio de protección que la Ley otorga a los particulares, para hacer valer su derecho de acceso a la información pública, y procederá en contra de las siguientes causas:</w:t>
      </w:r>
    </w:p>
    <w:p w:rsidR="00655D03" w:rsidRPr="00F27DDE" w:rsidRDefault="009E03C2">
      <w:pPr>
        <w:spacing w:line="360" w:lineRule="auto"/>
        <w:ind w:left="851" w:right="1041"/>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i/>
          <w:iCs/>
          <w:sz w:val="22"/>
          <w:szCs w:val="22"/>
        </w:rPr>
        <w:t>I. La negativa de la información solicitada</w:t>
      </w:r>
    </w:p>
    <w:p w:rsidR="00655D03" w:rsidRPr="00F27DDE" w:rsidRDefault="009E03C2">
      <w:pPr>
        <w:spacing w:line="360" w:lineRule="auto"/>
        <w:ind w:left="851" w:right="1041"/>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i/>
          <w:iCs/>
          <w:sz w:val="22"/>
          <w:szCs w:val="22"/>
        </w:rPr>
        <w:t>…</w:t>
      </w:r>
    </w:p>
    <w:p w:rsidR="00655D03" w:rsidRPr="00F27DDE" w:rsidRDefault="009E03C2">
      <w:pPr>
        <w:spacing w:before="240" w:after="240" w:line="360" w:lineRule="auto"/>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b/>
          <w:bCs/>
          <w:sz w:val="22"/>
          <w:szCs w:val="22"/>
        </w:rPr>
        <w:t xml:space="preserve">Tercero. Materia de la revisión. </w:t>
      </w:r>
      <w:r w:rsidRPr="00F27DDE">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F27DDE">
        <w:rPr>
          <w:rFonts w:ascii="Palatino Linotype" w:eastAsia="Palatino Linotype" w:hAnsi="Palatino Linotype" w:cs="Palatino Linotype"/>
          <w:b/>
          <w:bCs/>
          <w:sz w:val="22"/>
          <w:szCs w:val="22"/>
        </w:rPr>
        <w:t xml:space="preserve">verificar si la respuesta otorgada por el Sujeto Obligado es adecuada y suficiente para satisfacer el derecho de acceso a la información pública </w:t>
      </w:r>
      <w:r w:rsidRPr="00F27DDE">
        <w:rPr>
          <w:rFonts w:ascii="Palatino Linotype" w:eastAsia="Palatino Linotype" w:hAnsi="Palatino Linotype" w:cs="Palatino Linotype"/>
          <w:sz w:val="22"/>
          <w:szCs w:val="22"/>
        </w:rPr>
        <w:t xml:space="preserve">de la parte </w:t>
      </w:r>
      <w:r w:rsidRPr="00F27DDE">
        <w:rPr>
          <w:rFonts w:ascii="Palatino Linotype" w:eastAsia="Palatino Linotype" w:hAnsi="Palatino Linotype" w:cs="Palatino Linotype"/>
          <w:b/>
          <w:bCs/>
          <w:sz w:val="22"/>
          <w:szCs w:val="22"/>
        </w:rPr>
        <w:t>Recurrente</w:t>
      </w:r>
      <w:r w:rsidRPr="00F27DDE">
        <w:rPr>
          <w:rFonts w:ascii="Palatino Linotype" w:eastAsia="Palatino Linotype" w:hAnsi="Palatino Linotype" w:cs="Palatino Linotype"/>
          <w:sz w:val="22"/>
          <w:szCs w:val="22"/>
        </w:rPr>
        <w:t>, o en su defecto, en caso de ser procedente, ordenar la entrega de información.</w:t>
      </w:r>
    </w:p>
    <w:p w:rsidR="00655D03" w:rsidRPr="00F27DDE" w:rsidRDefault="009E03C2">
      <w:pPr>
        <w:spacing w:line="360" w:lineRule="auto"/>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b/>
          <w:bCs/>
          <w:sz w:val="22"/>
          <w:szCs w:val="22"/>
        </w:rPr>
        <w:t xml:space="preserve">Cuarto. Estudio del asunto. </w:t>
      </w:r>
      <w:r w:rsidRPr="00F27DDE">
        <w:rPr>
          <w:rFonts w:ascii="Palatino Linotype" w:eastAsia="Palatino Linotype" w:hAnsi="Palatino Linotype" w:cs="Palatino Linotype"/>
          <w:sz w:val="22"/>
          <w:szCs w:val="22"/>
        </w:rPr>
        <w:t xml:space="preserve">En principio, es conveniente analizar si la respuesta del </w:t>
      </w:r>
      <w:r w:rsidRPr="00F27DDE">
        <w:rPr>
          <w:rFonts w:ascii="Palatino Linotype" w:eastAsia="Palatino Linotype" w:hAnsi="Palatino Linotype" w:cs="Palatino Linotype"/>
          <w:b/>
          <w:bCs/>
          <w:sz w:val="22"/>
          <w:szCs w:val="22"/>
        </w:rPr>
        <w:t>SUJETO OBLIGADO</w:t>
      </w:r>
      <w:r w:rsidRPr="00F27DDE">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655D03" w:rsidRPr="00F27DDE" w:rsidRDefault="00655D03">
      <w:pPr>
        <w:spacing w:line="360" w:lineRule="auto"/>
        <w:jc w:val="both"/>
        <w:rPr>
          <w:rFonts w:ascii="Palatino Linotype" w:eastAsia="Palatino Linotype" w:hAnsi="Palatino Linotype" w:cs="Palatino Linotype"/>
          <w:sz w:val="22"/>
          <w:szCs w:val="22"/>
        </w:rPr>
      </w:pPr>
    </w:p>
    <w:p w:rsidR="00655D03" w:rsidRPr="00F27DDE" w:rsidRDefault="009E03C2">
      <w:pPr>
        <w:ind w:left="567" w:right="616"/>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i/>
          <w:iCs/>
          <w:sz w:val="22"/>
          <w:szCs w:val="22"/>
        </w:rPr>
        <w:t>“</w:t>
      </w:r>
      <w:r w:rsidRPr="00F27DDE">
        <w:rPr>
          <w:rFonts w:ascii="Palatino Linotype" w:eastAsia="Palatino Linotype" w:hAnsi="Palatino Linotype" w:cs="Palatino Linotype"/>
          <w:b/>
          <w:bCs/>
          <w:i/>
          <w:iCs/>
          <w:sz w:val="22"/>
          <w:szCs w:val="22"/>
        </w:rPr>
        <w:t>Artículo 4</w:t>
      </w:r>
      <w:r w:rsidRPr="00F27DDE">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655D03" w:rsidRPr="00F27DDE" w:rsidRDefault="009E03C2">
      <w:pPr>
        <w:ind w:left="567" w:right="616"/>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F27DDE">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655D03" w:rsidRPr="00F27DDE" w:rsidRDefault="009E03C2">
      <w:pPr>
        <w:ind w:left="567" w:right="616"/>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F27DDE">
        <w:rPr>
          <w:rFonts w:ascii="Palatino Linotype" w:eastAsia="Palatino Linotype" w:hAnsi="Palatino Linotype" w:cs="Palatino Linotype"/>
          <w:i/>
          <w:iCs/>
          <w:sz w:val="22"/>
          <w:szCs w:val="22"/>
        </w:rPr>
        <w:t>.”</w:t>
      </w:r>
    </w:p>
    <w:p w:rsidR="00655D03" w:rsidRPr="00F27DDE" w:rsidRDefault="00655D03">
      <w:pPr>
        <w:spacing w:line="360" w:lineRule="auto"/>
        <w:jc w:val="both"/>
        <w:rPr>
          <w:rFonts w:ascii="Palatino Linotype" w:eastAsia="Palatino Linotype" w:hAnsi="Palatino Linotype" w:cs="Palatino Linotype"/>
          <w:sz w:val="22"/>
          <w:szCs w:val="22"/>
        </w:rPr>
      </w:pPr>
    </w:p>
    <w:p w:rsidR="00655D03" w:rsidRPr="00F27DDE" w:rsidRDefault="009E03C2">
      <w:pPr>
        <w:spacing w:line="360" w:lineRule="auto"/>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655D03" w:rsidRPr="00F27DDE" w:rsidRDefault="00655D03">
      <w:pPr>
        <w:spacing w:line="360" w:lineRule="auto"/>
        <w:jc w:val="both"/>
        <w:rPr>
          <w:rFonts w:ascii="Palatino Linotype" w:eastAsia="Palatino Linotype" w:hAnsi="Palatino Linotype" w:cs="Palatino Linotype"/>
          <w:sz w:val="22"/>
          <w:szCs w:val="22"/>
        </w:rPr>
      </w:pPr>
    </w:p>
    <w:p w:rsidR="00655D03" w:rsidRPr="00F27DDE" w:rsidRDefault="009E03C2">
      <w:pPr>
        <w:spacing w:line="276" w:lineRule="auto"/>
        <w:ind w:left="567" w:right="616"/>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“Artículo 12.-</w:t>
      </w:r>
      <w:r w:rsidRPr="00F27DDE">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rsidR="00655D03" w:rsidRPr="00F27DDE" w:rsidRDefault="00655D03">
      <w:pPr>
        <w:spacing w:line="276" w:lineRule="auto"/>
        <w:ind w:left="567" w:right="616"/>
        <w:jc w:val="both"/>
        <w:rPr>
          <w:rFonts w:ascii="Palatino Linotype" w:eastAsia="Palatino Linotype" w:hAnsi="Palatino Linotype" w:cs="Palatino Linotype"/>
          <w:i/>
          <w:iCs/>
          <w:sz w:val="22"/>
          <w:szCs w:val="22"/>
        </w:rPr>
      </w:pPr>
    </w:p>
    <w:p w:rsidR="00655D03" w:rsidRPr="00F27DDE" w:rsidRDefault="009E03C2">
      <w:pPr>
        <w:spacing w:line="276" w:lineRule="auto"/>
        <w:ind w:left="567" w:right="616"/>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F27DDE">
        <w:rPr>
          <w:rFonts w:ascii="Palatino Linotype" w:eastAsia="Palatino Linotype" w:hAnsi="Palatino Linotype" w:cs="Palatino Linotype"/>
          <w:i/>
          <w:iCs/>
          <w:sz w:val="22"/>
          <w:szCs w:val="22"/>
        </w:rPr>
        <w:t xml:space="preserve">. </w:t>
      </w:r>
      <w:r w:rsidRPr="00F27DDE">
        <w:rPr>
          <w:rFonts w:ascii="Palatino Linotype" w:eastAsia="Palatino Linotype" w:hAnsi="Palatino Linotype" w:cs="Palatino Linotype"/>
          <w:b/>
          <w:bCs/>
          <w:i/>
          <w:iCs/>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rsidR="00655D03" w:rsidRPr="00F27DDE" w:rsidRDefault="00655D03">
      <w:pPr>
        <w:spacing w:line="360" w:lineRule="auto"/>
        <w:ind w:right="-93"/>
        <w:jc w:val="both"/>
        <w:rPr>
          <w:rFonts w:ascii="Palatino Linotype" w:eastAsia="Palatino Linotype" w:hAnsi="Palatino Linotype" w:cs="Palatino Linotype"/>
          <w:sz w:val="22"/>
          <w:szCs w:val="22"/>
        </w:rPr>
      </w:pPr>
    </w:p>
    <w:p w:rsidR="00655D03" w:rsidRPr="00F27DDE" w:rsidRDefault="009E03C2">
      <w:pPr>
        <w:spacing w:line="360" w:lineRule="auto"/>
        <w:ind w:right="-93"/>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655D03" w:rsidRPr="00F27DDE" w:rsidRDefault="00655D03">
      <w:pPr>
        <w:spacing w:line="360" w:lineRule="auto"/>
        <w:ind w:right="-93"/>
        <w:jc w:val="both"/>
        <w:rPr>
          <w:rFonts w:ascii="Palatino Linotype" w:eastAsia="Palatino Linotype" w:hAnsi="Palatino Linotype" w:cs="Palatino Linotype"/>
          <w:sz w:val="22"/>
          <w:szCs w:val="22"/>
        </w:rPr>
      </w:pPr>
    </w:p>
    <w:p w:rsidR="00655D03" w:rsidRPr="00F27DDE" w:rsidRDefault="009E03C2">
      <w:pPr>
        <w:spacing w:line="360" w:lineRule="auto"/>
        <w:ind w:right="-93"/>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F27DDE">
        <w:rPr>
          <w:rFonts w:ascii="Palatino Linotype" w:eastAsia="Palatino Linotype" w:hAnsi="Palatino Linotype" w:cs="Palatino Linotype"/>
          <w:b/>
          <w:bCs/>
          <w:sz w:val="22"/>
          <w:szCs w:val="22"/>
        </w:rPr>
        <w:t xml:space="preserve"> </w:t>
      </w:r>
    </w:p>
    <w:p w:rsidR="00655D03" w:rsidRPr="00F27DDE" w:rsidRDefault="00655D03">
      <w:pPr>
        <w:spacing w:line="360" w:lineRule="auto"/>
        <w:jc w:val="both"/>
        <w:rPr>
          <w:rFonts w:ascii="Palatino Linotype" w:eastAsia="Palatino Linotype" w:hAnsi="Palatino Linotype" w:cs="Palatino Linotype"/>
          <w:b/>
          <w:bCs/>
          <w:sz w:val="22"/>
          <w:szCs w:val="22"/>
        </w:rPr>
      </w:pPr>
    </w:p>
    <w:p w:rsidR="00655D03" w:rsidRPr="00F27DDE" w:rsidRDefault="009E03C2">
      <w:pPr>
        <w:spacing w:line="276" w:lineRule="auto"/>
        <w:ind w:left="567" w:right="616"/>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i/>
          <w:iCs/>
          <w:sz w:val="22"/>
          <w:szCs w:val="22"/>
        </w:rPr>
        <w:t>“</w:t>
      </w:r>
      <w:r w:rsidRPr="00F27DDE">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F27DDE">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655D03" w:rsidRPr="00F27DDE" w:rsidRDefault="00655D03">
      <w:pPr>
        <w:spacing w:line="360" w:lineRule="auto"/>
        <w:ind w:right="-93"/>
        <w:jc w:val="both"/>
        <w:rPr>
          <w:rFonts w:ascii="Palatino Linotype" w:eastAsia="Palatino Linotype" w:hAnsi="Palatino Linotype" w:cs="Palatino Linotype"/>
          <w:sz w:val="22"/>
          <w:szCs w:val="22"/>
        </w:rPr>
      </w:pPr>
    </w:p>
    <w:p w:rsidR="00655D03" w:rsidRPr="00F27DDE" w:rsidRDefault="009E03C2">
      <w:pPr>
        <w:spacing w:line="360" w:lineRule="auto"/>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655D03" w:rsidRPr="00F27DDE" w:rsidRDefault="00655D03">
      <w:pPr>
        <w:spacing w:line="360" w:lineRule="auto"/>
        <w:jc w:val="both"/>
        <w:rPr>
          <w:rFonts w:ascii="Palatino Linotype" w:eastAsia="Palatino Linotype" w:hAnsi="Palatino Linotype" w:cs="Palatino Linotype"/>
          <w:sz w:val="22"/>
          <w:szCs w:val="22"/>
        </w:rPr>
      </w:pPr>
    </w:p>
    <w:p w:rsidR="00655D03" w:rsidRPr="00F27DDE" w:rsidRDefault="009E03C2">
      <w:pPr>
        <w:spacing w:line="360" w:lineRule="auto"/>
        <w:ind w:right="49"/>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655D03" w:rsidRPr="00F27DDE" w:rsidRDefault="00655D03">
      <w:pPr>
        <w:spacing w:line="360" w:lineRule="auto"/>
        <w:ind w:right="49"/>
        <w:jc w:val="both"/>
        <w:rPr>
          <w:rFonts w:ascii="Palatino Linotype" w:eastAsia="Palatino Linotype" w:hAnsi="Palatino Linotype" w:cs="Palatino Linotype"/>
          <w:sz w:val="22"/>
          <w:szCs w:val="22"/>
        </w:rPr>
      </w:pPr>
    </w:p>
    <w:p w:rsidR="00655D03" w:rsidRPr="00F27DDE" w:rsidRDefault="009E03C2">
      <w:pPr>
        <w:spacing w:line="360" w:lineRule="auto"/>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655D03" w:rsidRPr="00F27DDE" w:rsidRDefault="00655D03">
      <w:pPr>
        <w:spacing w:line="360" w:lineRule="auto"/>
        <w:ind w:left="567" w:right="616"/>
        <w:jc w:val="both"/>
        <w:rPr>
          <w:rFonts w:ascii="Palatino Linotype" w:eastAsia="Palatino Linotype" w:hAnsi="Palatino Linotype" w:cs="Palatino Linotype"/>
          <w:i/>
          <w:iCs/>
          <w:sz w:val="22"/>
          <w:szCs w:val="22"/>
        </w:rPr>
      </w:pPr>
    </w:p>
    <w:p w:rsidR="00655D03" w:rsidRPr="00F27DDE" w:rsidRDefault="009E03C2">
      <w:pPr>
        <w:spacing w:line="276" w:lineRule="auto"/>
        <w:ind w:left="567" w:right="616"/>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i/>
          <w:iCs/>
          <w:sz w:val="22"/>
          <w:szCs w:val="22"/>
        </w:rPr>
        <w:t>“</w:t>
      </w:r>
      <w:r w:rsidRPr="00F27DDE">
        <w:rPr>
          <w:rFonts w:ascii="Palatino Linotype" w:eastAsia="Palatino Linotype" w:hAnsi="Palatino Linotype" w:cs="Palatino Linotype"/>
          <w:b/>
          <w:bCs/>
          <w:i/>
          <w:iCs/>
          <w:sz w:val="22"/>
          <w:szCs w:val="22"/>
        </w:rPr>
        <w:t xml:space="preserve">Artículo 3. </w:t>
      </w:r>
      <w:r w:rsidRPr="00F27DDE">
        <w:rPr>
          <w:rFonts w:ascii="Palatino Linotype" w:eastAsia="Palatino Linotype" w:hAnsi="Palatino Linotype" w:cs="Palatino Linotype"/>
          <w:i/>
          <w:iCs/>
          <w:sz w:val="22"/>
          <w:szCs w:val="22"/>
        </w:rPr>
        <w:t>Para los efectos de la presente Ley se entenderá por:</w:t>
      </w:r>
    </w:p>
    <w:p w:rsidR="00655D03" w:rsidRPr="00F27DDE" w:rsidRDefault="009E03C2">
      <w:pPr>
        <w:spacing w:line="276" w:lineRule="auto"/>
        <w:ind w:left="567" w:right="616"/>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i/>
          <w:iCs/>
          <w:sz w:val="22"/>
          <w:szCs w:val="22"/>
        </w:rPr>
        <w:t>…</w:t>
      </w:r>
    </w:p>
    <w:p w:rsidR="00655D03" w:rsidRPr="00F27DDE" w:rsidRDefault="009E03C2">
      <w:pPr>
        <w:spacing w:line="276" w:lineRule="auto"/>
        <w:ind w:left="567" w:right="616"/>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XI. Documento:</w:t>
      </w:r>
      <w:r w:rsidRPr="00F27DDE">
        <w:rPr>
          <w:rFonts w:ascii="Palatino Linotype" w:eastAsia="Palatino Linotype" w:hAnsi="Palatino Linotype" w:cs="Palatino Linotype"/>
          <w:i/>
          <w:iCs/>
          <w:sz w:val="22"/>
          <w:szCs w:val="22"/>
        </w:rPr>
        <w:t xml:space="preserve"> Los expedientes, reportes, estudios, actas</w:t>
      </w:r>
      <w:r w:rsidRPr="00F27DDE">
        <w:rPr>
          <w:rFonts w:ascii="Palatino Linotype" w:eastAsia="Palatino Linotype" w:hAnsi="Palatino Linotype" w:cs="Palatino Linotype"/>
          <w:b/>
          <w:bCs/>
          <w:i/>
          <w:iCs/>
          <w:sz w:val="22"/>
          <w:szCs w:val="22"/>
        </w:rPr>
        <w:t>,</w:t>
      </w:r>
      <w:r w:rsidRPr="00F27DDE">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655D03" w:rsidRPr="00F27DDE" w:rsidRDefault="00655D03">
      <w:pPr>
        <w:spacing w:line="360" w:lineRule="auto"/>
        <w:ind w:left="851" w:right="899"/>
        <w:jc w:val="both"/>
        <w:rPr>
          <w:rFonts w:ascii="Palatino Linotype" w:eastAsia="Palatino Linotype" w:hAnsi="Palatino Linotype" w:cs="Palatino Linotype"/>
          <w:sz w:val="22"/>
          <w:szCs w:val="22"/>
        </w:rPr>
      </w:pPr>
    </w:p>
    <w:p w:rsidR="00655D03" w:rsidRPr="00F27DDE" w:rsidRDefault="009E03C2">
      <w:pPr>
        <w:spacing w:line="360" w:lineRule="auto"/>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655D03" w:rsidRPr="00F27DDE" w:rsidRDefault="00655D03">
      <w:pPr>
        <w:spacing w:line="360" w:lineRule="auto"/>
        <w:jc w:val="both"/>
        <w:rPr>
          <w:rFonts w:ascii="Palatino Linotype" w:eastAsia="Palatino Linotype" w:hAnsi="Palatino Linotype" w:cs="Palatino Linotype"/>
          <w:sz w:val="22"/>
          <w:szCs w:val="22"/>
        </w:rPr>
      </w:pPr>
    </w:p>
    <w:p w:rsidR="00655D03" w:rsidRPr="00F27DDE" w:rsidRDefault="009E03C2">
      <w:pPr>
        <w:spacing w:line="276" w:lineRule="auto"/>
        <w:ind w:left="567" w:right="616"/>
        <w:jc w:val="both"/>
        <w:rPr>
          <w:rFonts w:ascii="Palatino Linotype" w:eastAsia="Palatino Linotype" w:hAnsi="Palatino Linotype" w:cs="Palatino Linotype"/>
          <w:b/>
          <w:bCs/>
          <w:i/>
          <w:iCs/>
          <w:sz w:val="22"/>
          <w:szCs w:val="22"/>
        </w:rPr>
      </w:pPr>
      <w:r w:rsidRPr="00F27DDE">
        <w:rPr>
          <w:rFonts w:ascii="Palatino Linotype" w:eastAsia="Palatino Linotype" w:hAnsi="Palatino Linotype" w:cs="Palatino Linotype"/>
          <w:b/>
          <w:bCs/>
          <w:sz w:val="22"/>
          <w:szCs w:val="22"/>
        </w:rPr>
        <w:t>“</w:t>
      </w:r>
      <w:r w:rsidRPr="00F27DDE">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F27DDE">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655D03" w:rsidRPr="00F27DDE" w:rsidRDefault="009E03C2">
      <w:pPr>
        <w:spacing w:line="276" w:lineRule="auto"/>
        <w:ind w:left="567" w:right="616"/>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i/>
          <w:iCs/>
          <w:sz w:val="22"/>
          <w:szCs w:val="22"/>
        </w:rPr>
        <w:t>En consecuencia el acceso a la información se refiere a que se cumplan cualquiera de los siguientes tres supuestos:</w:t>
      </w:r>
    </w:p>
    <w:p w:rsidR="00655D03" w:rsidRPr="00F27DDE" w:rsidRDefault="009E03C2">
      <w:pPr>
        <w:spacing w:line="276" w:lineRule="auto"/>
        <w:ind w:left="567" w:right="616"/>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rsidR="00655D03" w:rsidRPr="00F27DDE" w:rsidRDefault="009E03C2">
      <w:pPr>
        <w:spacing w:line="276" w:lineRule="auto"/>
        <w:ind w:left="567" w:right="616"/>
        <w:jc w:val="both"/>
        <w:rPr>
          <w:rFonts w:ascii="Palatino Linotype" w:eastAsia="Palatino Linotype" w:hAnsi="Palatino Linotype" w:cs="Palatino Linotype"/>
          <w:b/>
          <w:bCs/>
          <w:i/>
          <w:iCs/>
          <w:sz w:val="22"/>
          <w:szCs w:val="22"/>
        </w:rPr>
      </w:pPr>
      <w:r w:rsidRPr="00F27DDE">
        <w:rPr>
          <w:rFonts w:ascii="Palatino Linotype" w:eastAsia="Palatino Linotype" w:hAnsi="Palatino Linotype" w:cs="Palatino Linotype"/>
          <w:b/>
          <w:bCs/>
          <w:i/>
          <w:iCs/>
          <w:sz w:val="22"/>
          <w:szCs w:val="22"/>
        </w:rPr>
        <w:t>2) Que se trate de información registrada en cualquier soporte documental, que en ejercicio de las atribuciones conferidas, sea administrada por los Sujetos Obligados, y</w:t>
      </w:r>
    </w:p>
    <w:p w:rsidR="00655D03" w:rsidRPr="00F27DDE" w:rsidRDefault="009E03C2">
      <w:pPr>
        <w:spacing w:line="276" w:lineRule="auto"/>
        <w:ind w:left="567" w:right="616"/>
        <w:jc w:val="both"/>
        <w:rPr>
          <w:rFonts w:ascii="Palatino Linotype" w:eastAsia="Palatino Linotype" w:hAnsi="Palatino Linotype" w:cs="Palatino Linotype"/>
          <w:b/>
          <w:bCs/>
          <w:i/>
          <w:iCs/>
          <w:sz w:val="22"/>
          <w:szCs w:val="22"/>
        </w:rPr>
      </w:pPr>
      <w:r w:rsidRPr="00F27DDE">
        <w:rPr>
          <w:rFonts w:ascii="Palatino Linotype" w:eastAsia="Palatino Linotype" w:hAnsi="Palatino Linotype" w:cs="Palatino Linotype"/>
          <w:b/>
          <w:bCs/>
          <w:i/>
          <w:iCs/>
          <w:sz w:val="22"/>
          <w:szCs w:val="22"/>
        </w:rPr>
        <w:t xml:space="preserve">3) Que se trate de información registrada en cualquier soporte documental, que en ejercicio de las atribuciones conferidas, se encuentre en posesión de los Sujetos Obligados.” </w:t>
      </w:r>
    </w:p>
    <w:p w:rsidR="00655D03" w:rsidRPr="00F27DDE" w:rsidRDefault="00655D03">
      <w:pPr>
        <w:tabs>
          <w:tab w:val="left" w:pos="8647"/>
        </w:tabs>
        <w:spacing w:line="360" w:lineRule="auto"/>
        <w:jc w:val="both"/>
        <w:rPr>
          <w:rFonts w:ascii="Palatino Linotype" w:eastAsia="Palatino Linotype" w:hAnsi="Palatino Linotype" w:cs="Palatino Linotype"/>
          <w:b/>
          <w:bCs/>
          <w:sz w:val="22"/>
          <w:szCs w:val="22"/>
        </w:rPr>
      </w:pPr>
    </w:p>
    <w:p w:rsidR="00655D03" w:rsidRPr="00F27DDE" w:rsidRDefault="009E03C2">
      <w:pPr>
        <w:spacing w:after="240" w:line="360" w:lineRule="auto"/>
        <w:jc w:val="both"/>
        <w:rPr>
          <w:rFonts w:ascii="Palatino Linotype" w:eastAsia="Palatino Linotype" w:hAnsi="Palatino Linotype" w:cs="Palatino Linotype"/>
          <w:b/>
          <w:bCs/>
          <w:sz w:val="22"/>
          <w:szCs w:val="22"/>
        </w:rPr>
      </w:pPr>
      <w:r w:rsidRPr="00F27DDE">
        <w:rPr>
          <w:rFonts w:ascii="Palatino Linotype" w:eastAsia="Palatino Linotype" w:hAnsi="Palatino Linotype" w:cs="Palatino Linotype"/>
          <w:sz w:val="22"/>
          <w:szCs w:val="22"/>
        </w:rPr>
        <w:t xml:space="preserve">Del análisis de la solicitud de información motivo del recurso de revisión que ahora se resuelve, se tiene que el Recurrente solicitó al </w:t>
      </w:r>
      <w:r w:rsidRPr="00F27DDE">
        <w:rPr>
          <w:rFonts w:ascii="Palatino Linotype" w:eastAsia="Palatino Linotype" w:hAnsi="Palatino Linotype" w:cs="Palatino Linotype"/>
          <w:b/>
          <w:bCs/>
          <w:sz w:val="22"/>
          <w:szCs w:val="22"/>
        </w:rPr>
        <w:t>Oficialía Mayor, lo siguiente:</w:t>
      </w:r>
    </w:p>
    <w:p w:rsidR="00655D03" w:rsidRPr="00F27DDE" w:rsidRDefault="009E03C2">
      <w:pPr>
        <w:numPr>
          <w:ilvl w:val="0"/>
          <w:numId w:val="3"/>
        </w:numPr>
        <w:pBdr>
          <w:top w:val="nil"/>
          <w:left w:val="nil"/>
          <w:bottom w:val="nil"/>
          <w:right w:val="nil"/>
          <w:between w:val="nil"/>
        </w:pBdr>
        <w:spacing w:line="360" w:lineRule="auto"/>
        <w:ind w:left="851"/>
        <w:jc w:val="both"/>
        <w:rPr>
          <w:rFonts w:ascii="Palatino Linotype" w:eastAsia="Palatino Linotype" w:hAnsi="Palatino Linotype" w:cs="Palatino Linotype"/>
          <w:b/>
          <w:bCs/>
          <w:sz w:val="22"/>
          <w:szCs w:val="22"/>
        </w:rPr>
      </w:pPr>
      <w:r w:rsidRPr="00F27DDE">
        <w:rPr>
          <w:rFonts w:ascii="Palatino Linotype" w:eastAsia="Palatino Linotype" w:hAnsi="Palatino Linotype" w:cs="Palatino Linotype"/>
          <w:sz w:val="22"/>
          <w:szCs w:val="22"/>
        </w:rPr>
        <w:t>Facturas pagadas por un monto superior a diez millones de pesos del uno de enero al treinta y uno de diciembre de dos mil veinticuatro.</w:t>
      </w:r>
    </w:p>
    <w:p w:rsidR="00655D03" w:rsidRPr="00F27DDE" w:rsidRDefault="00655D03">
      <w:pPr>
        <w:pBdr>
          <w:top w:val="nil"/>
          <w:left w:val="nil"/>
          <w:bottom w:val="nil"/>
          <w:right w:val="nil"/>
          <w:between w:val="nil"/>
        </w:pBdr>
        <w:spacing w:line="360" w:lineRule="auto"/>
        <w:ind w:left="851"/>
        <w:jc w:val="both"/>
        <w:rPr>
          <w:rFonts w:ascii="Palatino Linotype" w:eastAsia="Palatino Linotype" w:hAnsi="Palatino Linotype" w:cs="Palatino Linotype"/>
          <w:b/>
          <w:bCs/>
          <w:sz w:val="22"/>
          <w:szCs w:val="22"/>
        </w:rPr>
      </w:pPr>
    </w:p>
    <w:p w:rsidR="00655D03" w:rsidRPr="00F27DDE" w:rsidRDefault="009E03C2">
      <w:pPr>
        <w:spacing w:line="360" w:lineRule="auto"/>
        <w:jc w:val="both"/>
      </w:pPr>
      <w:r w:rsidRPr="00F27DDE">
        <w:rPr>
          <w:rFonts w:ascii="Palatino Linotype" w:eastAsia="Palatino Linotype" w:hAnsi="Palatino Linotype" w:cs="Palatino Linotype"/>
          <w:sz w:val="22"/>
          <w:szCs w:val="22"/>
        </w:rPr>
        <w:t>Derivado de la naturaleza de la información solicitada, es necesario traer a contexto que el término factura se encuentra definida en el Glosario de Términos Hacendarios que emite el Instituto Hacendario del Estado de México, como:</w:t>
      </w:r>
    </w:p>
    <w:p w:rsidR="00655D03" w:rsidRPr="00F27DDE" w:rsidRDefault="00655D03">
      <w:pPr>
        <w:pBdr>
          <w:top w:val="nil"/>
          <w:left w:val="nil"/>
          <w:bottom w:val="nil"/>
          <w:right w:val="nil"/>
          <w:between w:val="nil"/>
        </w:pBdr>
        <w:spacing w:before="120" w:after="120" w:line="360" w:lineRule="auto"/>
        <w:ind w:left="851" w:right="902"/>
        <w:jc w:val="both"/>
        <w:rPr>
          <w:rFonts w:ascii="Palatino Linotype" w:eastAsia="Palatino Linotype" w:hAnsi="Palatino Linotype" w:cs="Palatino Linotype"/>
          <w:i/>
          <w:iCs/>
          <w:sz w:val="22"/>
          <w:szCs w:val="22"/>
        </w:rPr>
      </w:pPr>
    </w:p>
    <w:p w:rsidR="00655D03" w:rsidRPr="00F27DDE" w:rsidRDefault="00655D03">
      <w:pPr>
        <w:pBdr>
          <w:top w:val="nil"/>
          <w:left w:val="nil"/>
          <w:bottom w:val="nil"/>
          <w:right w:val="nil"/>
          <w:between w:val="nil"/>
        </w:pBdr>
        <w:spacing w:before="120" w:after="120" w:line="360" w:lineRule="auto"/>
        <w:ind w:left="851" w:right="902"/>
        <w:jc w:val="both"/>
        <w:rPr>
          <w:rFonts w:ascii="Palatino Linotype" w:eastAsia="Palatino Linotype" w:hAnsi="Palatino Linotype" w:cs="Palatino Linotype"/>
          <w:i/>
          <w:iCs/>
          <w:sz w:val="22"/>
          <w:szCs w:val="22"/>
        </w:rPr>
      </w:pPr>
    </w:p>
    <w:p w:rsidR="00655D03" w:rsidRPr="00F27DDE" w:rsidRDefault="009E03C2">
      <w:pPr>
        <w:pBdr>
          <w:top w:val="nil"/>
          <w:left w:val="nil"/>
          <w:bottom w:val="nil"/>
          <w:right w:val="nil"/>
          <w:between w:val="nil"/>
        </w:pBdr>
        <w:spacing w:before="120" w:after="120" w:line="360" w:lineRule="auto"/>
        <w:ind w:left="851" w:right="902"/>
        <w:jc w:val="both"/>
      </w:pPr>
      <w:r w:rsidRPr="00F27DDE">
        <w:rPr>
          <w:rFonts w:ascii="Palatino Linotype" w:eastAsia="Palatino Linotype" w:hAnsi="Palatino Linotype" w:cs="Palatino Linotype"/>
          <w:i/>
          <w:iCs/>
          <w:sz w:val="22"/>
          <w:szCs w:val="22"/>
        </w:rPr>
        <w:t>“</w:t>
      </w:r>
      <w:r w:rsidRPr="00F27DDE">
        <w:rPr>
          <w:rFonts w:ascii="Palatino Linotype" w:eastAsia="Palatino Linotype" w:hAnsi="Palatino Linotype" w:cs="Palatino Linotype"/>
          <w:b/>
          <w:bCs/>
          <w:i/>
          <w:iCs/>
          <w:sz w:val="22"/>
          <w:szCs w:val="22"/>
        </w:rPr>
        <w:t>FACTURA</w:t>
      </w:r>
    </w:p>
    <w:p w:rsidR="00655D03" w:rsidRPr="00F27DDE" w:rsidRDefault="009E03C2">
      <w:pPr>
        <w:pBdr>
          <w:top w:val="nil"/>
          <w:left w:val="nil"/>
          <w:bottom w:val="nil"/>
          <w:right w:val="nil"/>
          <w:between w:val="nil"/>
        </w:pBdr>
        <w:spacing w:before="120" w:after="120" w:line="360" w:lineRule="auto"/>
        <w:ind w:left="851" w:right="902"/>
        <w:jc w:val="both"/>
      </w:pPr>
      <w:r w:rsidRPr="00F27DDE">
        <w:rPr>
          <w:rFonts w:ascii="Palatino Linotype" w:eastAsia="Palatino Linotype" w:hAnsi="Palatino Linotype" w:cs="Palatino Linotype"/>
          <w:i/>
          <w:iCs/>
          <w:sz w:val="22"/>
          <w:szCs w:val="22"/>
        </w:rPr>
        <w:t>Es el documento fiscal que emite la persona física o moral para comprobar la venta o adquisición de un bien y/o servicio.” (Sic)</w:t>
      </w:r>
    </w:p>
    <w:p w:rsidR="00655D03" w:rsidRPr="00F27DDE" w:rsidRDefault="009E03C2">
      <w:pPr>
        <w:pBdr>
          <w:top w:val="nil"/>
          <w:left w:val="nil"/>
          <w:bottom w:val="nil"/>
          <w:right w:val="nil"/>
          <w:between w:val="nil"/>
        </w:pBdr>
        <w:spacing w:before="240" w:after="240" w:line="360" w:lineRule="auto"/>
        <w:jc w:val="both"/>
      </w:pPr>
      <w:r w:rsidRPr="00F27DDE">
        <w:rPr>
          <w:rFonts w:ascii="Palatino Linotype" w:eastAsia="Palatino Linotype" w:hAnsi="Palatino Linotype" w:cs="Palatino Linotype"/>
          <w:sz w:val="22"/>
          <w:szCs w:val="22"/>
        </w:rPr>
        <w:t>Luego entonces las facturas son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rsidR="00655D03" w:rsidRPr="00F27DDE" w:rsidRDefault="009E03C2">
      <w:pPr>
        <w:pBdr>
          <w:top w:val="nil"/>
          <w:left w:val="nil"/>
          <w:bottom w:val="nil"/>
          <w:right w:val="nil"/>
          <w:between w:val="nil"/>
        </w:pBdr>
        <w:spacing w:before="240" w:after="240" w:line="360" w:lineRule="auto"/>
        <w:jc w:val="both"/>
      </w:pPr>
      <w:r w:rsidRPr="00F27DDE">
        <w:rPr>
          <w:rFonts w:ascii="Palatino Linotype" w:eastAsia="Palatino Linotype" w:hAnsi="Palatino Linotype" w:cs="Palatino Linotype"/>
          <w:sz w:val="22"/>
          <w:szCs w:val="22"/>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rsidR="00655D03" w:rsidRPr="00F27DDE" w:rsidRDefault="009E03C2">
      <w:pPr>
        <w:pBdr>
          <w:top w:val="nil"/>
          <w:left w:val="nil"/>
          <w:bottom w:val="nil"/>
          <w:right w:val="nil"/>
          <w:between w:val="nil"/>
        </w:pBdr>
        <w:spacing w:before="120" w:after="120" w:line="360" w:lineRule="auto"/>
        <w:ind w:left="840" w:right="902" w:hanging="10"/>
        <w:jc w:val="both"/>
      </w:pPr>
      <w:r w:rsidRPr="00F27DDE">
        <w:rPr>
          <w:rFonts w:ascii="Palatino Linotype" w:eastAsia="Palatino Linotype" w:hAnsi="Palatino Linotype" w:cs="Palatino Linotype"/>
          <w:b/>
          <w:bCs/>
          <w:i/>
          <w:iCs/>
          <w:sz w:val="22"/>
          <w:szCs w:val="22"/>
        </w:rPr>
        <w:t>“REGISTRO CONTABLE</w:t>
      </w:r>
    </w:p>
    <w:p w:rsidR="00655D03" w:rsidRPr="00F27DDE" w:rsidRDefault="009E03C2">
      <w:pPr>
        <w:pBdr>
          <w:top w:val="nil"/>
          <w:left w:val="nil"/>
          <w:bottom w:val="nil"/>
          <w:right w:val="nil"/>
          <w:between w:val="nil"/>
        </w:pBdr>
        <w:spacing w:before="120" w:after="120" w:line="360" w:lineRule="auto"/>
        <w:ind w:left="840" w:right="902" w:hanging="10"/>
        <w:jc w:val="both"/>
      </w:pPr>
      <w:r w:rsidRPr="00F27DDE">
        <w:rPr>
          <w:rFonts w:ascii="Palatino Linotype" w:eastAsia="Palatino Linotype" w:hAnsi="Palatino Linotype" w:cs="Palatino Linotype"/>
          <w:i/>
          <w:iCs/>
          <w:sz w:val="22"/>
          <w:szCs w:val="22"/>
        </w:rPr>
        <w:t>Asiento que se realiza en los libros de contabilidad de las actividades relacionadas con el ingreso y egresos de un ente económico.”</w:t>
      </w:r>
    </w:p>
    <w:p w:rsidR="00655D03" w:rsidRPr="00F27DDE" w:rsidRDefault="009E03C2">
      <w:pPr>
        <w:pBdr>
          <w:top w:val="nil"/>
          <w:left w:val="nil"/>
          <w:bottom w:val="nil"/>
          <w:right w:val="nil"/>
          <w:between w:val="nil"/>
        </w:pBdr>
        <w:spacing w:before="120" w:after="120" w:line="360" w:lineRule="auto"/>
        <w:ind w:left="840" w:right="902" w:hanging="10"/>
        <w:jc w:val="both"/>
      </w:pPr>
      <w:r w:rsidRPr="00F27DDE">
        <w:rPr>
          <w:rFonts w:ascii="Palatino Linotype" w:eastAsia="Palatino Linotype" w:hAnsi="Palatino Linotype" w:cs="Palatino Linotype"/>
          <w:b/>
          <w:bCs/>
          <w:i/>
          <w:iCs/>
          <w:sz w:val="22"/>
          <w:szCs w:val="22"/>
        </w:rPr>
        <w:t>“REGISTRO PRESUPUESTARIO</w:t>
      </w:r>
    </w:p>
    <w:p w:rsidR="00655D03" w:rsidRPr="00F27DDE" w:rsidRDefault="009E03C2">
      <w:pPr>
        <w:pBdr>
          <w:top w:val="nil"/>
          <w:left w:val="nil"/>
          <w:bottom w:val="nil"/>
          <w:right w:val="nil"/>
          <w:between w:val="nil"/>
        </w:pBdr>
        <w:spacing w:before="120" w:after="120" w:line="360" w:lineRule="auto"/>
        <w:ind w:left="840" w:right="902" w:hanging="10"/>
        <w:jc w:val="both"/>
      </w:pPr>
      <w:r w:rsidRPr="00F27DDE">
        <w:rPr>
          <w:rFonts w:ascii="Palatino Linotype" w:eastAsia="Palatino Linotype" w:hAnsi="Palatino Linotype" w:cs="Palatino Linotype"/>
          <w:i/>
          <w:iCs/>
          <w:sz w:val="22"/>
          <w:szCs w:val="22"/>
        </w:rPr>
        <w:t>Asiento contable de las erogaciones realizadas por las dependencias y entidades con relación a la asignación, modificación y ejercicio de los recursos presupuestarios que se les hayan autorizado.”</w:t>
      </w:r>
    </w:p>
    <w:p w:rsidR="00655D03" w:rsidRPr="00F27DDE" w:rsidRDefault="009E03C2">
      <w:pPr>
        <w:pBdr>
          <w:top w:val="nil"/>
          <w:left w:val="nil"/>
          <w:bottom w:val="nil"/>
          <w:right w:val="nil"/>
          <w:between w:val="nil"/>
        </w:pBdr>
        <w:spacing w:before="240" w:after="240" w:line="360" w:lineRule="auto"/>
        <w:ind w:right="51"/>
        <w:jc w:val="both"/>
      </w:pPr>
      <w:r w:rsidRPr="00F27DDE">
        <w:rPr>
          <w:rFonts w:ascii="Palatino Linotype" w:eastAsia="Palatino Linotype" w:hAnsi="Palatino Linotype" w:cs="Palatino Linotype"/>
          <w:sz w:val="22"/>
          <w:szCs w:val="22"/>
        </w:rPr>
        <w:t>Como bien se desprende de las definiciones, los registros contables y presupuestarios son asientos o anotaciones contables que se realizan tanto de los ingresos como de los egresos, a decir se trata de un control financiero en el que se reconoce la obligación del Tesorero o equivalente de llevar dicho registro.</w:t>
      </w:r>
    </w:p>
    <w:p w:rsidR="00655D03" w:rsidRPr="00F27DDE" w:rsidRDefault="009E03C2">
      <w:pPr>
        <w:pBdr>
          <w:top w:val="nil"/>
          <w:left w:val="nil"/>
          <w:bottom w:val="nil"/>
          <w:right w:val="nil"/>
          <w:between w:val="nil"/>
        </w:pBdr>
        <w:spacing w:before="240" w:after="240" w:line="360" w:lineRule="auto"/>
        <w:jc w:val="both"/>
      </w:pPr>
      <w:r w:rsidRPr="00F27DDE">
        <w:rPr>
          <w:rFonts w:ascii="Palatino Linotype" w:eastAsia="Palatino Linotype" w:hAnsi="Palatino Linotype" w:cs="Palatino Linotype"/>
          <w:sz w:val="22"/>
          <w:szCs w:val="22"/>
        </w:rPr>
        <w:t>Por otra parte, se establece que el sistema de contabilidad sobre base acumulativa total se sustentará en los principios de contabilidad gubernamental.</w:t>
      </w:r>
    </w:p>
    <w:p w:rsidR="00655D03" w:rsidRPr="00F27DDE" w:rsidRDefault="009E03C2">
      <w:pPr>
        <w:pBdr>
          <w:top w:val="nil"/>
          <w:left w:val="nil"/>
          <w:bottom w:val="nil"/>
          <w:right w:val="nil"/>
          <w:between w:val="nil"/>
        </w:pBdr>
        <w:spacing w:before="240" w:after="240" w:line="360" w:lineRule="auto"/>
        <w:jc w:val="both"/>
      </w:pPr>
      <w:r w:rsidRPr="00F27DDE">
        <w:rPr>
          <w:rFonts w:ascii="Palatino Linotype" w:eastAsia="Palatino Linotype" w:hAnsi="Palatino Linotype" w:cs="Palatino Linotype"/>
          <w:sz w:val="22"/>
          <w:szCs w:val="22"/>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rsidR="00655D03" w:rsidRPr="00F27DDE" w:rsidRDefault="009E03C2">
      <w:pPr>
        <w:pBdr>
          <w:top w:val="nil"/>
          <w:left w:val="nil"/>
          <w:bottom w:val="nil"/>
          <w:right w:val="nil"/>
          <w:between w:val="nil"/>
        </w:pBdr>
        <w:spacing w:before="240" w:after="240" w:line="360" w:lineRule="auto"/>
        <w:jc w:val="both"/>
      </w:pPr>
      <w:r w:rsidRPr="00F27DDE">
        <w:rPr>
          <w:rFonts w:ascii="Palatino Linotype" w:eastAsia="Palatino Linotype" w:hAnsi="Palatino Linotype" w:cs="Palatino Linotype"/>
          <w:sz w:val="22"/>
          <w:szCs w:val="22"/>
        </w:rPr>
        <w:t xml:space="preserve">Correlativo a lo anterior, es preciso referir una definición de </w:t>
      </w:r>
      <w:r w:rsidRPr="00F27DDE">
        <w:rPr>
          <w:rFonts w:ascii="Palatino Linotype" w:eastAsia="Palatino Linotype" w:hAnsi="Palatino Linotype" w:cs="Palatino Linotype"/>
          <w:i/>
          <w:iCs/>
          <w:sz w:val="22"/>
          <w:szCs w:val="22"/>
        </w:rPr>
        <w:t>póliza contable</w:t>
      </w:r>
      <w:r w:rsidRPr="00F27DDE">
        <w:rPr>
          <w:rFonts w:ascii="Palatino Linotype" w:eastAsia="Palatino Linotype" w:hAnsi="Palatino Linotype" w:cs="Palatino Linotype"/>
          <w:sz w:val="22"/>
          <w:szCs w:val="22"/>
        </w:rPr>
        <w:t>, la cual, primeramente, no está definida en el Código Financiero del Estado de México y Municipios; no obstante, el ya mencionado Glosario la define como:</w:t>
      </w:r>
    </w:p>
    <w:p w:rsidR="00655D03" w:rsidRPr="00F27DDE" w:rsidRDefault="009E03C2">
      <w:pPr>
        <w:pBdr>
          <w:top w:val="nil"/>
          <w:left w:val="nil"/>
          <w:bottom w:val="nil"/>
          <w:right w:val="nil"/>
          <w:between w:val="nil"/>
        </w:pBdr>
        <w:spacing w:before="120" w:after="120" w:line="360" w:lineRule="auto"/>
        <w:ind w:left="862" w:right="902"/>
        <w:jc w:val="both"/>
      </w:pPr>
      <w:r w:rsidRPr="00F27DDE">
        <w:rPr>
          <w:rFonts w:ascii="Palatino Linotype" w:eastAsia="Palatino Linotype" w:hAnsi="Palatino Linotype" w:cs="Palatino Linotype"/>
          <w:i/>
          <w:iCs/>
          <w:sz w:val="22"/>
          <w:szCs w:val="22"/>
        </w:rPr>
        <w:t>“</w:t>
      </w:r>
      <w:r w:rsidRPr="00F27DDE">
        <w:rPr>
          <w:rFonts w:ascii="Palatino Linotype" w:eastAsia="Palatino Linotype" w:hAnsi="Palatino Linotype" w:cs="Palatino Linotype"/>
          <w:b/>
          <w:bCs/>
          <w:i/>
          <w:iCs/>
          <w:sz w:val="22"/>
          <w:szCs w:val="22"/>
        </w:rPr>
        <w:t>PÓLIZA CONTABLE</w:t>
      </w:r>
    </w:p>
    <w:p w:rsidR="00655D03" w:rsidRPr="00F27DDE" w:rsidRDefault="009E03C2">
      <w:pPr>
        <w:pBdr>
          <w:top w:val="nil"/>
          <w:left w:val="nil"/>
          <w:bottom w:val="nil"/>
          <w:right w:val="nil"/>
          <w:between w:val="nil"/>
        </w:pBdr>
        <w:spacing w:before="120" w:after="120" w:line="360" w:lineRule="auto"/>
        <w:ind w:left="862" w:right="902"/>
        <w:jc w:val="both"/>
      </w:pPr>
      <w:r w:rsidRPr="00F27DDE">
        <w:rPr>
          <w:rFonts w:ascii="Palatino Linotype" w:eastAsia="Palatino Linotype" w:hAnsi="Palatino Linotype" w:cs="Palatino Linotype"/>
          <w:i/>
          <w:iCs/>
          <w:sz w:val="22"/>
          <w:szCs w:val="22"/>
        </w:rPr>
        <w:t>Documento en el cual se asientan en forma individual todas y cada una de las operaciones desarrolladas por una institución, así como la información necesaria para la identificación de dichas operaciones.” </w:t>
      </w:r>
    </w:p>
    <w:p w:rsidR="00655D03" w:rsidRPr="00F27DDE" w:rsidRDefault="009E03C2">
      <w:pPr>
        <w:pBdr>
          <w:top w:val="nil"/>
          <w:left w:val="nil"/>
          <w:bottom w:val="nil"/>
          <w:right w:val="nil"/>
          <w:between w:val="nil"/>
        </w:pBdr>
        <w:spacing w:before="240" w:after="240" w:line="360" w:lineRule="auto"/>
        <w:jc w:val="both"/>
      </w:pPr>
      <w:r w:rsidRPr="00F27DDE">
        <w:rPr>
          <w:rFonts w:ascii="Palatino Linotype" w:eastAsia="Palatino Linotype" w:hAnsi="Palatino Linotype" w:cs="Palatino Linotype"/>
          <w:sz w:val="22"/>
          <w:szCs w:val="22"/>
        </w:rPr>
        <w:t xml:space="preserve">Así, se advierte que la </w:t>
      </w:r>
      <w:r w:rsidRPr="00F27DDE">
        <w:rPr>
          <w:rFonts w:ascii="Palatino Linotype" w:eastAsia="Palatino Linotype" w:hAnsi="Palatino Linotype" w:cs="Palatino Linotype"/>
          <w:i/>
          <w:iCs/>
          <w:sz w:val="22"/>
          <w:szCs w:val="22"/>
        </w:rPr>
        <w:t>póliza contable</w:t>
      </w:r>
      <w:r w:rsidRPr="00F27DDE">
        <w:rPr>
          <w:rFonts w:ascii="Palatino Linotype" w:eastAsia="Palatino Linotype" w:hAnsi="Palatino Linotype" w:cs="Palatino Linotype"/>
          <w:sz w:val="22"/>
          <w:szCs w:val="22"/>
        </w:rPr>
        <w:t xml:space="preserve"> constituye un registro contable y presupuestal con el que cuentan los Municipios para el registro de operaciones relacionadas con </w:t>
      </w:r>
      <w:r w:rsidRPr="00F27DDE">
        <w:rPr>
          <w:rFonts w:ascii="Palatino Linotype" w:eastAsia="Palatino Linotype" w:hAnsi="Palatino Linotype" w:cs="Palatino Linotype"/>
          <w:sz w:val="22"/>
          <w:szCs w:val="22"/>
          <w:u w:val="single"/>
        </w:rPr>
        <w:t>ingresos y egresos</w:t>
      </w:r>
      <w:r w:rsidRPr="00F27DDE">
        <w:rPr>
          <w:rFonts w:ascii="Palatino Linotype" w:eastAsia="Palatino Linotype" w:hAnsi="Palatino Linotype" w:cs="Palatino Linotype"/>
          <w:sz w:val="22"/>
          <w:szCs w:val="22"/>
        </w:rPr>
        <w:t xml:space="preserve"> y se anexan los documentos o comprobantes que justifiquen las anotaciones y cantidades en ellas registradas, lo que permite la identificación plena de dichas operaciones.</w:t>
      </w:r>
    </w:p>
    <w:p w:rsidR="00655D03" w:rsidRPr="00F27DDE" w:rsidRDefault="009E03C2">
      <w:pPr>
        <w:pBdr>
          <w:top w:val="nil"/>
          <w:left w:val="nil"/>
          <w:bottom w:val="nil"/>
          <w:right w:val="nil"/>
          <w:between w:val="nil"/>
        </w:pBdr>
        <w:spacing w:before="240" w:after="240" w:line="360" w:lineRule="auto"/>
        <w:jc w:val="both"/>
      </w:pPr>
      <w:r w:rsidRPr="00F27DDE">
        <w:rPr>
          <w:rFonts w:ascii="Palatino Linotype" w:eastAsia="Palatino Linotype" w:hAnsi="Palatino Linotype" w:cs="Palatino Linotype"/>
          <w:sz w:val="22"/>
          <w:szCs w:val="22"/>
        </w:rPr>
        <w:t xml:space="preserve">En este sentido, existen diversos tipos de pólizas contables de acuerdo a las operaciones realizadas, dentro de las cuales, encontramos las </w:t>
      </w:r>
      <w:r w:rsidRPr="00F27DDE">
        <w:rPr>
          <w:rFonts w:ascii="Palatino Linotype" w:eastAsia="Palatino Linotype" w:hAnsi="Palatino Linotype" w:cs="Palatino Linotype"/>
          <w:i/>
          <w:iCs/>
          <w:sz w:val="22"/>
          <w:szCs w:val="22"/>
        </w:rPr>
        <w:t>pólizas de egresos e ingresos</w:t>
      </w:r>
      <w:r w:rsidRPr="00F27DDE">
        <w:rPr>
          <w:rFonts w:ascii="Palatino Linotype" w:eastAsia="Palatino Linotype" w:hAnsi="Palatino Linotype" w:cs="Palatino Linotype"/>
          <w:sz w:val="22"/>
          <w:szCs w:val="22"/>
        </w:rPr>
        <w:t xml:space="preserve">, </w:t>
      </w:r>
      <w:r w:rsidRPr="00F27DDE">
        <w:rPr>
          <w:rFonts w:ascii="Palatino Linotype" w:eastAsia="Palatino Linotype" w:hAnsi="Palatino Linotype" w:cs="Palatino Linotype"/>
          <w:b/>
          <w:bCs/>
          <w:sz w:val="22"/>
          <w:szCs w:val="22"/>
        </w:rPr>
        <w:t xml:space="preserve">las primeras son aquellas en las cuales </w:t>
      </w:r>
      <w:r w:rsidRPr="00F27DDE">
        <w:rPr>
          <w:rFonts w:ascii="Palatino Linotype" w:eastAsia="Palatino Linotype" w:hAnsi="Palatino Linotype" w:cs="Palatino Linotype"/>
          <w:b/>
          <w:bCs/>
          <w:sz w:val="22"/>
          <w:szCs w:val="22"/>
          <w:u w:val="single"/>
        </w:rPr>
        <w:t>se anotan diariamente las operaciones que representan gastos, es decir, salidas de dinero</w:t>
      </w:r>
      <w:r w:rsidRPr="00F27DDE">
        <w:rPr>
          <w:rFonts w:ascii="Palatino Linotype" w:eastAsia="Palatino Linotype" w:hAnsi="Palatino Linotype" w:cs="Palatino Linotype"/>
          <w:b/>
          <w:bCs/>
          <w:sz w:val="22"/>
          <w:szCs w:val="22"/>
        </w:rPr>
        <w:t>,</w:t>
      </w:r>
      <w:r w:rsidRPr="00F27DDE">
        <w:rPr>
          <w:rFonts w:ascii="Palatino Linotype" w:eastAsia="Palatino Linotype" w:hAnsi="Palatino Linotype" w:cs="Palatino Linotype"/>
          <w:sz w:val="22"/>
          <w:szCs w:val="22"/>
        </w:rPr>
        <w:t xml:space="preserve"> las que además, </w:t>
      </w:r>
      <w:r w:rsidRPr="00F27DDE">
        <w:rPr>
          <w:rFonts w:ascii="Palatino Linotype" w:eastAsia="Palatino Linotype" w:hAnsi="Palatino Linotype" w:cs="Palatino Linotype"/>
          <w:b/>
          <w:bCs/>
          <w:sz w:val="22"/>
          <w:szCs w:val="22"/>
        </w:rPr>
        <w:t>deben encontrarse acompañadas de las documentales que sirven de soporte de dicho movimiento como lo es la suficiencia y la requisición</w:t>
      </w:r>
      <w:r w:rsidRPr="00F27DDE">
        <w:rPr>
          <w:rFonts w:ascii="Palatino Linotype" w:eastAsia="Palatino Linotype" w:hAnsi="Palatino Linotype" w:cs="Palatino Linotype"/>
          <w:sz w:val="22"/>
          <w:szCs w:val="22"/>
        </w:rPr>
        <w:t>, en atención a las segundas, registran todas la entradas de dinero independientemente de la modalidad, ya sea en efectivo, transferencia, cheque o pagaré, mediante la expedición de facturas.</w:t>
      </w:r>
    </w:p>
    <w:p w:rsidR="00655D03" w:rsidRPr="00F27DDE" w:rsidRDefault="009E03C2">
      <w:pPr>
        <w:pBdr>
          <w:top w:val="nil"/>
          <w:left w:val="nil"/>
          <w:bottom w:val="nil"/>
          <w:right w:val="nil"/>
          <w:between w:val="nil"/>
        </w:pBdr>
        <w:spacing w:before="120" w:after="120" w:line="360" w:lineRule="auto"/>
        <w:ind w:right="-7"/>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En el presente asunto, la solicitud fue turnada a la Coordinación Administrativa, que de acuerdo al Manual de Organización de la Oficialía Mayor tiene las siguientes atribuciones:</w:t>
      </w:r>
    </w:p>
    <w:p w:rsidR="00655D03" w:rsidRPr="00F27DDE" w:rsidRDefault="00655D03">
      <w:pPr>
        <w:pBdr>
          <w:top w:val="nil"/>
          <w:left w:val="nil"/>
          <w:bottom w:val="nil"/>
          <w:right w:val="nil"/>
          <w:between w:val="nil"/>
        </w:pBdr>
        <w:spacing w:before="120" w:after="120" w:line="360" w:lineRule="auto"/>
        <w:ind w:right="-7"/>
        <w:jc w:val="both"/>
        <w:rPr>
          <w:rFonts w:ascii="Palatino Linotype" w:eastAsia="Palatino Linotype" w:hAnsi="Palatino Linotype" w:cs="Palatino Linotype"/>
          <w:sz w:val="22"/>
          <w:szCs w:val="22"/>
        </w:rPr>
      </w:pPr>
    </w:p>
    <w:p w:rsidR="00655D03" w:rsidRPr="00F27DDE" w:rsidRDefault="009E03C2">
      <w:pPr>
        <w:pBdr>
          <w:top w:val="nil"/>
          <w:left w:val="nil"/>
          <w:bottom w:val="nil"/>
          <w:right w:val="nil"/>
          <w:between w:val="nil"/>
        </w:pBdr>
        <w:spacing w:before="120" w:after="120" w:line="360" w:lineRule="auto"/>
        <w:ind w:left="567" w:right="843"/>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i/>
          <w:iCs/>
          <w:sz w:val="22"/>
          <w:szCs w:val="22"/>
        </w:rPr>
        <w:t xml:space="preserve">23400000030000S COORDINACIÓN ADMINISTRATIVA </w:t>
      </w:r>
    </w:p>
    <w:p w:rsidR="00655D03" w:rsidRPr="00F27DDE" w:rsidRDefault="009E03C2">
      <w:pPr>
        <w:pBdr>
          <w:top w:val="nil"/>
          <w:left w:val="nil"/>
          <w:bottom w:val="nil"/>
          <w:right w:val="nil"/>
          <w:between w:val="nil"/>
        </w:pBdr>
        <w:spacing w:before="120" w:after="120" w:line="360" w:lineRule="auto"/>
        <w:ind w:left="567" w:right="843"/>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i/>
          <w:iCs/>
          <w:sz w:val="22"/>
          <w:szCs w:val="22"/>
        </w:rPr>
        <w:t xml:space="preserve">OBJETIVO: Programar, organizar y controlar el suministro de los recursos humanos, materiales, financieros y técnicos que requieran las unidades administrativas de la Oficialía Mayor, con base en la normatividad vigente. </w:t>
      </w:r>
    </w:p>
    <w:p w:rsidR="00655D03" w:rsidRPr="00F27DDE" w:rsidRDefault="009E03C2">
      <w:pPr>
        <w:pBdr>
          <w:top w:val="nil"/>
          <w:left w:val="nil"/>
          <w:bottom w:val="nil"/>
          <w:right w:val="nil"/>
          <w:between w:val="nil"/>
        </w:pBdr>
        <w:spacing w:before="120" w:after="120" w:line="360" w:lineRule="auto"/>
        <w:ind w:left="567" w:right="843"/>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i/>
          <w:iCs/>
          <w:sz w:val="22"/>
          <w:szCs w:val="22"/>
        </w:rPr>
        <w:t xml:space="preserve">FUNCIONES: </w:t>
      </w:r>
    </w:p>
    <w:p w:rsidR="00655D03" w:rsidRPr="00F27DDE" w:rsidRDefault="009E03C2">
      <w:pPr>
        <w:pBdr>
          <w:top w:val="nil"/>
          <w:left w:val="nil"/>
          <w:bottom w:val="nil"/>
          <w:right w:val="nil"/>
          <w:between w:val="nil"/>
        </w:pBdr>
        <w:spacing w:before="120" w:after="120" w:line="360" w:lineRule="auto"/>
        <w:ind w:left="567" w:right="843"/>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i/>
          <w:iCs/>
          <w:sz w:val="22"/>
          <w:szCs w:val="22"/>
        </w:rPr>
        <w:t xml:space="preserve">1. Coordinar la integración del anteproyecto de presupuesto de egresos, el comunicado anual y el autorizado, de las unidades administrativas de la Oficialía Mayor y de los organismos auxiliares sectorizados a cargo de la dependencia. </w:t>
      </w:r>
    </w:p>
    <w:p w:rsidR="00655D03" w:rsidRPr="00F27DDE" w:rsidRDefault="009E03C2">
      <w:pPr>
        <w:pBdr>
          <w:top w:val="nil"/>
          <w:left w:val="nil"/>
          <w:bottom w:val="nil"/>
          <w:right w:val="nil"/>
          <w:between w:val="nil"/>
        </w:pBdr>
        <w:spacing w:before="120" w:after="120" w:line="360" w:lineRule="auto"/>
        <w:ind w:left="567" w:right="843"/>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i/>
          <w:iCs/>
          <w:sz w:val="22"/>
          <w:szCs w:val="22"/>
        </w:rPr>
        <w:t xml:space="preserve">2. Coordinar la integración de la calendarización del presupuesto de egresos autorizado a las unidades administrativas de la Oficialía Mayor y remitirlo a la instancia correspondiente. </w:t>
      </w:r>
    </w:p>
    <w:p w:rsidR="00655D03" w:rsidRPr="00F27DDE" w:rsidRDefault="009E03C2">
      <w:pPr>
        <w:pBdr>
          <w:top w:val="nil"/>
          <w:left w:val="nil"/>
          <w:bottom w:val="nil"/>
          <w:right w:val="nil"/>
          <w:between w:val="nil"/>
        </w:pBdr>
        <w:spacing w:before="120" w:after="120" w:line="360" w:lineRule="auto"/>
        <w:ind w:left="567" w:right="843"/>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i/>
          <w:iCs/>
          <w:sz w:val="22"/>
          <w:szCs w:val="22"/>
        </w:rPr>
        <w:t xml:space="preserve">3. Coordinar y gestionar las modificaciones al presupuesto, como son las adecuaciones presupuestales, de conformidad con las disposiciones que establezca la Secretaría de Finanzas. </w:t>
      </w:r>
    </w:p>
    <w:p w:rsidR="00655D03" w:rsidRPr="00F27DDE" w:rsidRDefault="009E03C2">
      <w:pPr>
        <w:pBdr>
          <w:top w:val="nil"/>
          <w:left w:val="nil"/>
          <w:bottom w:val="nil"/>
          <w:right w:val="nil"/>
          <w:between w:val="nil"/>
        </w:pBdr>
        <w:spacing w:before="120" w:after="120" w:line="360" w:lineRule="auto"/>
        <w:ind w:left="567" w:right="843"/>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i/>
          <w:iCs/>
          <w:sz w:val="22"/>
          <w:szCs w:val="22"/>
        </w:rPr>
        <w:t>4. Verificar que se difundan entre las unidades administrativas de la Oficialía Mayor, los ordenamientos remitidos por las instancias normativas, para contribuir a la administración y ejercicio del gasto público.</w:t>
      </w:r>
    </w:p>
    <w:p w:rsidR="00655D03" w:rsidRPr="00F27DDE" w:rsidRDefault="009E03C2">
      <w:pPr>
        <w:pBdr>
          <w:top w:val="nil"/>
          <w:left w:val="nil"/>
          <w:bottom w:val="nil"/>
          <w:right w:val="nil"/>
          <w:between w:val="nil"/>
        </w:pBdr>
        <w:spacing w:before="120" w:after="120" w:line="360" w:lineRule="auto"/>
        <w:ind w:left="567" w:right="843"/>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5. Supervisar el ejercicio de los recursos autorizados a las unidades administrativas de la Oficialía Mayor y la integración de los avances del mismo</w:t>
      </w:r>
      <w:r w:rsidRPr="00F27DDE">
        <w:rPr>
          <w:rFonts w:ascii="Palatino Linotype" w:eastAsia="Palatino Linotype" w:hAnsi="Palatino Linotype" w:cs="Palatino Linotype"/>
          <w:i/>
          <w:iCs/>
          <w:sz w:val="22"/>
          <w:szCs w:val="22"/>
        </w:rPr>
        <w:t xml:space="preserve">, </w:t>
      </w:r>
    </w:p>
    <w:p w:rsidR="00655D03" w:rsidRPr="00F27DDE" w:rsidRDefault="009E03C2">
      <w:pPr>
        <w:pBdr>
          <w:top w:val="nil"/>
          <w:left w:val="nil"/>
          <w:bottom w:val="nil"/>
          <w:right w:val="nil"/>
          <w:between w:val="nil"/>
        </w:pBdr>
        <w:spacing w:before="120" w:after="120" w:line="360" w:lineRule="auto"/>
        <w:ind w:left="567" w:right="843"/>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i/>
          <w:iCs/>
          <w:sz w:val="22"/>
          <w:szCs w:val="22"/>
        </w:rPr>
        <w:t xml:space="preserve">6. Colaborar en el envío de los avances presupuestales de las unidades administrativas de la Oficialía Mayor y organismos auxiliares sectorizados a su cargo, a las instancias correspondientes. </w:t>
      </w:r>
    </w:p>
    <w:p w:rsidR="00655D03" w:rsidRPr="00F27DDE" w:rsidRDefault="009E03C2">
      <w:pPr>
        <w:pBdr>
          <w:top w:val="nil"/>
          <w:left w:val="nil"/>
          <w:bottom w:val="nil"/>
          <w:right w:val="nil"/>
          <w:between w:val="nil"/>
        </w:pBdr>
        <w:spacing w:before="120" w:after="120" w:line="360" w:lineRule="auto"/>
        <w:ind w:left="567" w:right="843"/>
        <w:jc w:val="both"/>
        <w:rPr>
          <w:rFonts w:ascii="Palatino Linotype" w:eastAsia="Palatino Linotype" w:hAnsi="Palatino Linotype" w:cs="Palatino Linotype"/>
          <w:b/>
          <w:bCs/>
          <w:i/>
          <w:iCs/>
          <w:sz w:val="22"/>
          <w:szCs w:val="22"/>
        </w:rPr>
      </w:pPr>
      <w:r w:rsidRPr="00F27DDE">
        <w:rPr>
          <w:rFonts w:ascii="Palatino Linotype" w:eastAsia="Palatino Linotype" w:hAnsi="Palatino Linotype" w:cs="Palatino Linotype"/>
          <w:b/>
          <w:bCs/>
          <w:i/>
          <w:iCs/>
          <w:sz w:val="22"/>
          <w:szCs w:val="22"/>
        </w:rPr>
        <w:t xml:space="preserve">7. Vigilar que los registros contables, financieros, programáticos y presupuestales de las unidades administrativas de la Oficialía Mayor, se realicen de acuerdo con la normatividad vigente. </w:t>
      </w:r>
    </w:p>
    <w:p w:rsidR="00655D03" w:rsidRPr="00F27DDE" w:rsidRDefault="009E03C2">
      <w:pPr>
        <w:pBdr>
          <w:top w:val="nil"/>
          <w:left w:val="nil"/>
          <w:bottom w:val="nil"/>
          <w:right w:val="nil"/>
          <w:between w:val="nil"/>
        </w:pBdr>
        <w:spacing w:before="120" w:after="120" w:line="360" w:lineRule="auto"/>
        <w:ind w:left="567" w:right="843"/>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i/>
          <w:iCs/>
          <w:sz w:val="22"/>
          <w:szCs w:val="22"/>
        </w:rPr>
        <w:t xml:space="preserve">8. Coordinar la gestión ante la instancia correspondiente, de la certificación de suficiencia presupuestal solicitada por las unidades administrativas de la Oficialía Mayor y organismos auxiliares sectorizados a su cargo, de conformidad con el origen y destino de los recursos. </w:t>
      </w:r>
    </w:p>
    <w:p w:rsidR="00655D03" w:rsidRPr="00F27DDE" w:rsidRDefault="009E03C2">
      <w:pPr>
        <w:pBdr>
          <w:top w:val="nil"/>
          <w:left w:val="nil"/>
          <w:bottom w:val="nil"/>
          <w:right w:val="nil"/>
          <w:between w:val="nil"/>
        </w:pBdr>
        <w:spacing w:before="120" w:after="120" w:line="360" w:lineRule="auto"/>
        <w:ind w:left="567" w:right="843"/>
        <w:jc w:val="both"/>
        <w:rPr>
          <w:rFonts w:ascii="Palatino Linotype" w:eastAsia="Palatino Linotype" w:hAnsi="Palatino Linotype" w:cs="Palatino Linotype"/>
          <w:b/>
          <w:bCs/>
          <w:i/>
          <w:iCs/>
          <w:sz w:val="22"/>
          <w:szCs w:val="22"/>
        </w:rPr>
      </w:pPr>
      <w:r w:rsidRPr="00F27DDE">
        <w:rPr>
          <w:rFonts w:ascii="Palatino Linotype" w:eastAsia="Palatino Linotype" w:hAnsi="Palatino Linotype" w:cs="Palatino Linotype"/>
          <w:b/>
          <w:bCs/>
          <w:i/>
          <w:iCs/>
          <w:sz w:val="22"/>
          <w:szCs w:val="22"/>
        </w:rPr>
        <w:t xml:space="preserve">9. Coordinar la atención de los requerimientos presupuestales derivados de la reestructuración organizacional que realicen las unidades administrativas de la Oficialía Mayor y los organismos auxiliares sectorizados a su cargo. </w:t>
      </w:r>
    </w:p>
    <w:p w:rsidR="00655D03" w:rsidRPr="00F27DDE" w:rsidRDefault="009E03C2">
      <w:pPr>
        <w:pBdr>
          <w:top w:val="nil"/>
          <w:left w:val="nil"/>
          <w:bottom w:val="nil"/>
          <w:right w:val="nil"/>
          <w:between w:val="nil"/>
        </w:pBdr>
        <w:spacing w:before="120" w:after="120" w:line="360" w:lineRule="auto"/>
        <w:ind w:left="567" w:right="843"/>
        <w:jc w:val="both"/>
        <w:rPr>
          <w:rFonts w:ascii="Palatino Linotype" w:eastAsia="Palatino Linotype" w:hAnsi="Palatino Linotype" w:cs="Palatino Linotype"/>
          <w:b/>
          <w:bCs/>
          <w:i/>
          <w:iCs/>
          <w:sz w:val="22"/>
          <w:szCs w:val="22"/>
        </w:rPr>
      </w:pPr>
      <w:r w:rsidRPr="00F27DDE">
        <w:rPr>
          <w:rFonts w:ascii="Palatino Linotype" w:eastAsia="Palatino Linotype" w:hAnsi="Palatino Linotype" w:cs="Palatino Linotype"/>
          <w:b/>
          <w:bCs/>
          <w:i/>
          <w:iCs/>
          <w:sz w:val="22"/>
          <w:szCs w:val="22"/>
        </w:rPr>
        <w:t xml:space="preserve">10. Validar la suficiencia presupuestal de los contratos formalizados por la instancia correspondiente, para las unidades administrativas de la Oficialía Mayor. </w:t>
      </w:r>
    </w:p>
    <w:p w:rsidR="00655D03" w:rsidRPr="00F27DDE" w:rsidRDefault="009E03C2">
      <w:pPr>
        <w:pBdr>
          <w:top w:val="nil"/>
          <w:left w:val="nil"/>
          <w:bottom w:val="nil"/>
          <w:right w:val="nil"/>
          <w:between w:val="nil"/>
        </w:pBdr>
        <w:spacing w:before="120" w:after="120" w:line="360" w:lineRule="auto"/>
        <w:ind w:left="567" w:right="843"/>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i/>
          <w:iCs/>
          <w:sz w:val="22"/>
          <w:szCs w:val="22"/>
        </w:rPr>
        <w:t xml:space="preserve">11. Coordinar el Programa Anual de Adquisiciones y Servicios y el desarrollo de las acciones relativas al de las unidades administrativas de la Oficialía Mayor, de conformidad con lo establecido en la normatividad vigente. </w:t>
      </w:r>
    </w:p>
    <w:p w:rsidR="00655D03" w:rsidRPr="00F27DDE" w:rsidRDefault="009E03C2">
      <w:pPr>
        <w:pBdr>
          <w:top w:val="nil"/>
          <w:left w:val="nil"/>
          <w:bottom w:val="nil"/>
          <w:right w:val="nil"/>
          <w:between w:val="nil"/>
        </w:pBdr>
        <w:spacing w:before="120" w:after="120" w:line="360" w:lineRule="auto"/>
        <w:ind w:left="567" w:right="843"/>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i/>
          <w:iCs/>
          <w:sz w:val="22"/>
          <w:szCs w:val="22"/>
        </w:rPr>
        <w:t xml:space="preserve">12. Suscribir contratos y convenios derivados de los procedimientos de contrato pedido, de las unidades administrativas de la Oficialía Mayor, así como supervisar los trámites en relación con las garantías de defectos o vicios ocultos, respecto de este tipo contratos. </w:t>
      </w:r>
    </w:p>
    <w:p w:rsidR="00655D03" w:rsidRPr="00F27DDE" w:rsidRDefault="009E03C2">
      <w:pPr>
        <w:pBdr>
          <w:top w:val="nil"/>
          <w:left w:val="nil"/>
          <w:bottom w:val="nil"/>
          <w:right w:val="nil"/>
          <w:between w:val="nil"/>
        </w:pBdr>
        <w:spacing w:before="120" w:after="120" w:line="360" w:lineRule="auto"/>
        <w:ind w:left="567" w:right="843"/>
        <w:jc w:val="both"/>
        <w:rPr>
          <w:rFonts w:ascii="Palatino Linotype" w:eastAsia="Palatino Linotype" w:hAnsi="Palatino Linotype" w:cs="Palatino Linotype"/>
          <w:b/>
          <w:bCs/>
          <w:i/>
          <w:iCs/>
          <w:sz w:val="22"/>
          <w:szCs w:val="22"/>
        </w:rPr>
      </w:pPr>
      <w:r w:rsidRPr="00F27DDE">
        <w:rPr>
          <w:rFonts w:ascii="Palatino Linotype" w:eastAsia="Palatino Linotype" w:hAnsi="Palatino Linotype" w:cs="Palatino Linotype"/>
          <w:b/>
          <w:bCs/>
          <w:i/>
          <w:iCs/>
          <w:sz w:val="22"/>
          <w:szCs w:val="22"/>
        </w:rPr>
        <w:t xml:space="preserve">13. Dar seguimiento al cumplimiento de los contratos de bienes y servicios de las unidades administrativas de la Oficialía Mayor, e informar a la instancia correspondiente. </w:t>
      </w:r>
    </w:p>
    <w:p w:rsidR="00655D03" w:rsidRPr="00F27DDE" w:rsidRDefault="009E03C2">
      <w:pPr>
        <w:pBdr>
          <w:top w:val="nil"/>
          <w:left w:val="nil"/>
          <w:bottom w:val="nil"/>
          <w:right w:val="nil"/>
          <w:between w:val="nil"/>
        </w:pBdr>
        <w:spacing w:before="120" w:after="120" w:line="360" w:lineRule="auto"/>
        <w:ind w:left="567" w:right="843"/>
        <w:jc w:val="both"/>
        <w:rPr>
          <w:rFonts w:ascii="Palatino Linotype" w:eastAsia="Palatino Linotype" w:hAnsi="Palatino Linotype" w:cs="Palatino Linotype"/>
          <w:i/>
          <w:iCs/>
          <w:sz w:val="20"/>
          <w:szCs w:val="20"/>
        </w:rPr>
      </w:pPr>
      <w:r w:rsidRPr="00F27DDE">
        <w:rPr>
          <w:rFonts w:ascii="Palatino Linotype" w:eastAsia="Palatino Linotype" w:hAnsi="Palatino Linotype" w:cs="Palatino Linotype"/>
          <w:i/>
          <w:iCs/>
          <w:sz w:val="22"/>
          <w:szCs w:val="22"/>
        </w:rPr>
        <w:t>…</w:t>
      </w:r>
    </w:p>
    <w:p w:rsidR="00655D03" w:rsidRPr="00F27DDE" w:rsidRDefault="009E03C2">
      <w:pPr>
        <w:pBdr>
          <w:top w:val="nil"/>
          <w:left w:val="nil"/>
          <w:bottom w:val="nil"/>
          <w:right w:val="nil"/>
          <w:between w:val="nil"/>
        </w:pBdr>
        <w:spacing w:before="120" w:after="120" w:line="360" w:lineRule="auto"/>
        <w:ind w:right="902"/>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 xml:space="preserve">Tal y como se aprecia, la Coordinación Administrativa tiene entre sus funciones el dar seguimiento al cumplimiento de los contratos, así como validar la suficiencia presupuestal de los mismos, por lo que se determina que es el área competente para generar, administrar y poseer la información requerida por el particular, siguiendo con ello el procedimiento para la atención a las solicitudes de acceso a la información, establecido en los artículos 151, 160, 162, 163, 164, 165 y 166, de la Ley de Transparencia y Acceso a la Información Pública del Estado de México y Municipios:  </w:t>
      </w:r>
    </w:p>
    <w:p w:rsidR="00655D03" w:rsidRPr="00F27DDE" w:rsidRDefault="009E03C2">
      <w:pPr>
        <w:spacing w:after="240" w:line="360" w:lineRule="auto"/>
        <w:ind w:left="284"/>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 Las Unidades de Transparencia de los sujetos obligados deben garantizar las medidas y condiciones de accesibilidad para que toda persona pueda ejercer el derecho de acceso a la información; por lo que, son</w:t>
      </w:r>
      <w:bookmarkStart w:id="1" w:name="_GoBack"/>
      <w:bookmarkEnd w:id="1"/>
      <w:r w:rsidRPr="00F27DDE">
        <w:rPr>
          <w:rFonts w:ascii="Palatino Linotype" w:eastAsia="Palatino Linotype" w:hAnsi="Palatino Linotype" w:cs="Palatino Linotype"/>
          <w:sz w:val="22"/>
          <w:szCs w:val="22"/>
        </w:rPr>
        <w:t xml:space="preserve"> las responsables de hacer las notificaciones correspondientes, además de llevar a cabo todas las gestiones necesarias para facilitar el acceso de la información; </w:t>
      </w:r>
    </w:p>
    <w:p w:rsidR="00655D03" w:rsidRPr="00F27DDE" w:rsidRDefault="009E03C2">
      <w:pPr>
        <w:spacing w:after="240" w:line="360" w:lineRule="auto"/>
        <w:ind w:left="284"/>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rsidR="00655D03" w:rsidRPr="00F27DDE" w:rsidRDefault="009E03C2">
      <w:pPr>
        <w:spacing w:after="240" w:line="360" w:lineRule="auto"/>
        <w:ind w:left="284"/>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rsidR="00655D03" w:rsidRPr="00F27DDE" w:rsidRDefault="009E03C2">
      <w:pPr>
        <w:spacing w:after="240" w:line="360" w:lineRule="auto"/>
        <w:ind w:left="284"/>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rsidR="00655D03" w:rsidRPr="00F27DDE" w:rsidRDefault="009E03C2">
      <w:pPr>
        <w:spacing w:after="240" w:line="360" w:lineRule="auto"/>
        <w:ind w:left="284"/>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rsidR="00655D03" w:rsidRPr="00F27DDE" w:rsidRDefault="009E03C2">
      <w:pPr>
        <w:spacing w:after="240" w:line="360" w:lineRule="auto"/>
        <w:ind w:left="284"/>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rsidR="00655D03" w:rsidRPr="00F27DDE" w:rsidRDefault="009E03C2">
      <w:pPr>
        <w:spacing w:line="360" w:lineRule="auto"/>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En este orden de ideas, se reitera que la solicitud al turnarse a la unidad administrativa que cuentan con atribuciones para generar, administrar o poseer la información relacionada con facturas por contratos es que se acreditó la correcta búsqueda exhaustiva y razonable de la información.</w:t>
      </w:r>
    </w:p>
    <w:p w:rsidR="00655D03" w:rsidRPr="00F27DDE" w:rsidRDefault="00655D03">
      <w:pPr>
        <w:spacing w:line="360" w:lineRule="auto"/>
        <w:jc w:val="both"/>
        <w:rPr>
          <w:rFonts w:ascii="Palatino Linotype" w:eastAsia="Palatino Linotype" w:hAnsi="Palatino Linotype" w:cs="Palatino Linotype"/>
          <w:sz w:val="22"/>
          <w:szCs w:val="22"/>
        </w:rPr>
      </w:pPr>
    </w:p>
    <w:p w:rsidR="00655D03" w:rsidRPr="00F27DDE" w:rsidRDefault="009E03C2">
      <w:pPr>
        <w:spacing w:line="360" w:lineRule="auto"/>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Dicho lo anterior, es de recordar que el Sujeto Obligado, a través de su respuesta refirió que no cuenta con información pública alguna. Mientras que, en informe justificado reiteró la respuesta y añadió que es competencia de la Secretaría de Finanzas, ya que le corresponde el programar los pagos autorizados por las dependencias, entidades públicas y unidades ejecutoras del gasto, con cargo al presupuesto de egresos y de acuerdo con la disponibilidad financiera.</w:t>
      </w:r>
    </w:p>
    <w:p w:rsidR="00655D03" w:rsidRPr="00F27DDE" w:rsidRDefault="00655D03">
      <w:pPr>
        <w:spacing w:line="360" w:lineRule="auto"/>
        <w:jc w:val="both"/>
        <w:rPr>
          <w:rFonts w:ascii="Palatino Linotype" w:eastAsia="Palatino Linotype" w:hAnsi="Palatino Linotype" w:cs="Palatino Linotype"/>
          <w:sz w:val="22"/>
          <w:szCs w:val="22"/>
        </w:rPr>
      </w:pPr>
    </w:p>
    <w:p w:rsidR="00655D03" w:rsidRPr="00F27DDE" w:rsidRDefault="009E03C2">
      <w:pPr>
        <w:spacing w:line="360" w:lineRule="auto"/>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 xml:space="preserve">Si bien es cierto, la Secretaría de Finanzas es quien realiza el pago de los bienes y servicios, la unidad ejecutora y receptora de los bienes y servicios es la Oficialía Mayor, esta última debe planear, programar, organizar, coordinar y controlar el suministro, administración y aplicación de recursos materiales, financieros y técnicos para el correcto funcionamiento de las unidades administrativas. Asimismo, debe coordinar y ejecutar los procedimientos de adquisición, además de vigilar que los registros contables, financieros, programáticos y presupuestales de la Oficialía Mayor. </w:t>
      </w:r>
    </w:p>
    <w:p w:rsidR="00655D03" w:rsidRPr="00F27DDE" w:rsidRDefault="00655D03">
      <w:pPr>
        <w:spacing w:line="360" w:lineRule="auto"/>
        <w:jc w:val="both"/>
        <w:rPr>
          <w:rFonts w:ascii="Palatino Linotype" w:eastAsia="Palatino Linotype" w:hAnsi="Palatino Linotype" w:cs="Palatino Linotype"/>
          <w:sz w:val="22"/>
          <w:szCs w:val="22"/>
        </w:rPr>
      </w:pPr>
    </w:p>
    <w:p w:rsidR="00655D03" w:rsidRPr="00F27DDE" w:rsidRDefault="009E03C2">
      <w:pPr>
        <w:spacing w:line="360" w:lineRule="auto"/>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 xml:space="preserve">Es por lo anterior, que la Coordinación Administrativa tiene entre sus atribuciones generar, administrar y poseer información respecto a los procedimientos de adquisición de bienes y servicios, los que deberán incluir los contratos y sus pagos, los que se reflejan en facturas. </w:t>
      </w:r>
    </w:p>
    <w:p w:rsidR="00655D03" w:rsidRPr="00F27DDE" w:rsidRDefault="00655D03">
      <w:pPr>
        <w:spacing w:line="360" w:lineRule="auto"/>
        <w:jc w:val="both"/>
        <w:rPr>
          <w:rFonts w:ascii="Palatino Linotype" w:eastAsia="Palatino Linotype" w:hAnsi="Palatino Linotype" w:cs="Palatino Linotype"/>
          <w:sz w:val="22"/>
          <w:szCs w:val="22"/>
        </w:rPr>
      </w:pPr>
    </w:p>
    <w:p w:rsidR="00655D03" w:rsidRPr="00F27DDE" w:rsidRDefault="009E03C2">
      <w:pPr>
        <w:spacing w:line="360" w:lineRule="auto"/>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 xml:space="preserve">En consecuencia, se ORDENA realizar una búsqueda exhaustiva y razonable a efecto de localizar y poner a disposición del Recurrente las facturas por la adquisición de bienes o servicios superiores a diez millones de pesos del uno de enero al treinta y uno de diciembre de dos mil veinticuatro. </w:t>
      </w:r>
    </w:p>
    <w:p w:rsidR="00655D03" w:rsidRPr="00F27DDE" w:rsidRDefault="00655D03">
      <w:pPr>
        <w:spacing w:line="360" w:lineRule="auto"/>
        <w:jc w:val="both"/>
        <w:rPr>
          <w:rFonts w:ascii="Palatino Linotype" w:eastAsia="Palatino Linotype" w:hAnsi="Palatino Linotype" w:cs="Palatino Linotype"/>
          <w:sz w:val="22"/>
          <w:szCs w:val="22"/>
        </w:rPr>
      </w:pPr>
    </w:p>
    <w:p w:rsidR="00655D03" w:rsidRPr="00F27DDE" w:rsidRDefault="009E03C2">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 xml:space="preserve">De ser el caso de que no se cuente con la información requerida por no haber emitido facturas por más de diez millones de pesos, bastará con que así lo haga del conocimiento de la parte </w:t>
      </w:r>
      <w:r w:rsidRPr="00F27DDE">
        <w:rPr>
          <w:rFonts w:ascii="Palatino Linotype" w:eastAsia="Palatino Linotype" w:hAnsi="Palatino Linotype" w:cs="Palatino Linotype"/>
          <w:b/>
          <w:bCs/>
          <w:sz w:val="22"/>
          <w:szCs w:val="22"/>
        </w:rPr>
        <w:t>Recurrente</w:t>
      </w:r>
      <w:r w:rsidRPr="00F27DDE">
        <w:rPr>
          <w:rFonts w:ascii="Palatino Linotype" w:eastAsia="Palatino Linotype" w:hAnsi="Palatino Linotype" w:cs="Palatino Linotype"/>
          <w:sz w:val="22"/>
          <w:szCs w:val="22"/>
        </w:rPr>
        <w:t xml:space="preserve">, de manera clara y precisa, en términos del artículo 19, párrafo segundo de la Ley de Transparencia y Acceso a la Información pública del Estado de México y Municipios para tener por colmado el requerimiento de información. </w:t>
      </w:r>
    </w:p>
    <w:p w:rsidR="00655D03" w:rsidRPr="00F27DDE" w:rsidRDefault="00655D03">
      <w:pPr>
        <w:spacing w:line="360" w:lineRule="auto"/>
        <w:jc w:val="both"/>
        <w:rPr>
          <w:rFonts w:ascii="Palatino Linotype" w:eastAsia="Palatino Linotype" w:hAnsi="Palatino Linotype" w:cs="Palatino Linotype"/>
          <w:sz w:val="22"/>
          <w:szCs w:val="22"/>
        </w:rPr>
      </w:pPr>
    </w:p>
    <w:p w:rsidR="00655D03" w:rsidRPr="00F27DDE" w:rsidRDefault="009E03C2">
      <w:pPr>
        <w:spacing w:line="360" w:lineRule="auto"/>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De ser el caso de que la información que se ordena entregar contenga datos personales susceptibles de clasificarse como información confidencial, el Sujeto Obligado estará a lo dispuesto en el Considerando Quinto de la presente resolución.</w:t>
      </w:r>
    </w:p>
    <w:p w:rsidR="00655D03" w:rsidRPr="00F27DDE" w:rsidRDefault="009E03C2">
      <w:pPr>
        <w:spacing w:before="240" w:after="240" w:line="360" w:lineRule="auto"/>
        <w:ind w:right="51"/>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b/>
          <w:bCs/>
          <w:sz w:val="22"/>
          <w:szCs w:val="22"/>
        </w:rPr>
        <w:t xml:space="preserve">Quinto. Versión Pública. </w:t>
      </w:r>
      <w:r w:rsidRPr="00F27DDE">
        <w:rPr>
          <w:rFonts w:ascii="Palatino Linotype" w:eastAsia="Palatino Linotype" w:hAnsi="Palatino Linotype" w:cs="Palatino Linotype"/>
          <w:sz w:val="22"/>
          <w:szCs w:val="22"/>
        </w:rPr>
        <w:t>Como fue debidamente apuntado, el </w:t>
      </w:r>
      <w:r w:rsidRPr="00F27DDE">
        <w:rPr>
          <w:rFonts w:ascii="Palatino Linotype" w:eastAsia="Palatino Linotype" w:hAnsi="Palatino Linotype" w:cs="Palatino Linotype"/>
          <w:b/>
          <w:bCs/>
          <w:sz w:val="22"/>
          <w:szCs w:val="22"/>
        </w:rPr>
        <w:t>Sujeto Obligado</w:t>
      </w:r>
      <w:r w:rsidRPr="00F27DDE">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rsidR="00655D03" w:rsidRPr="00F27DDE" w:rsidRDefault="009E03C2">
      <w:pPr>
        <w:spacing w:before="240" w:after="240" w:line="360" w:lineRule="auto"/>
        <w:ind w:right="49"/>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rsidR="00655D03" w:rsidRPr="00F27DDE" w:rsidRDefault="009E03C2">
      <w:pPr>
        <w:spacing w:before="240" w:after="240" w:line="360" w:lineRule="auto"/>
        <w:ind w:right="49"/>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rsidR="00655D03" w:rsidRPr="00F27DDE" w:rsidRDefault="009E03C2">
      <w:pPr>
        <w:spacing w:before="240" w:after="240" w:line="360" w:lineRule="auto"/>
        <w:ind w:right="49"/>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vigente establecen:</w:t>
      </w:r>
    </w:p>
    <w:p w:rsidR="00655D03" w:rsidRPr="00F27DDE" w:rsidRDefault="009E03C2">
      <w:pPr>
        <w:spacing w:before="120" w:after="120"/>
        <w:ind w:left="851" w:right="902"/>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sz w:val="22"/>
          <w:szCs w:val="22"/>
        </w:rPr>
        <w:t> </w:t>
      </w:r>
      <w:r w:rsidRPr="00F27DDE">
        <w:rPr>
          <w:rFonts w:ascii="Palatino Linotype" w:eastAsia="Palatino Linotype" w:hAnsi="Palatino Linotype" w:cs="Palatino Linotype"/>
          <w:i/>
          <w:iCs/>
          <w:sz w:val="22"/>
          <w:szCs w:val="22"/>
        </w:rPr>
        <w:t>“</w:t>
      </w:r>
      <w:r w:rsidRPr="00F27DDE">
        <w:rPr>
          <w:rFonts w:ascii="Palatino Linotype" w:eastAsia="Palatino Linotype" w:hAnsi="Palatino Linotype" w:cs="Palatino Linotype"/>
          <w:b/>
          <w:bCs/>
          <w:i/>
          <w:iCs/>
          <w:sz w:val="22"/>
          <w:szCs w:val="22"/>
        </w:rPr>
        <w:t>Artículo 3.</w:t>
      </w:r>
      <w:r w:rsidRPr="00F27DDE">
        <w:rPr>
          <w:rFonts w:ascii="Palatino Linotype" w:eastAsia="Palatino Linotype" w:hAnsi="Palatino Linotype" w:cs="Palatino Linotype"/>
          <w:i/>
          <w:iCs/>
          <w:sz w:val="22"/>
          <w:szCs w:val="22"/>
        </w:rPr>
        <w:t xml:space="preserve"> Para los efectos de la presente Ley se entenderá por:</w:t>
      </w:r>
    </w:p>
    <w:p w:rsidR="00655D03" w:rsidRPr="00F27DDE" w:rsidRDefault="009E03C2">
      <w:pPr>
        <w:tabs>
          <w:tab w:val="left" w:pos="1276"/>
        </w:tabs>
        <w:spacing w:before="120" w:after="120"/>
        <w:ind w:left="1134" w:right="902"/>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i/>
          <w:iCs/>
          <w:sz w:val="22"/>
          <w:szCs w:val="22"/>
        </w:rPr>
        <w:t>…</w:t>
      </w:r>
    </w:p>
    <w:p w:rsidR="00655D03" w:rsidRPr="00F27DDE" w:rsidRDefault="009E03C2">
      <w:pPr>
        <w:tabs>
          <w:tab w:val="left" w:pos="1276"/>
        </w:tabs>
        <w:spacing w:before="120" w:after="120"/>
        <w:ind w:left="1134" w:right="902"/>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IX. Datos personales</w:t>
      </w:r>
      <w:r w:rsidRPr="00F27DDE">
        <w:rPr>
          <w:rFonts w:ascii="Palatino Linotype" w:eastAsia="Palatino Linotype" w:hAnsi="Palatino Linotype" w:cs="Palatino Linotype"/>
          <w:i/>
          <w:iCs/>
          <w:sz w:val="22"/>
          <w:szCs w:val="22"/>
        </w:rPr>
        <w:t>: La información concerniente a una persona, identificada o identificable según lo dispuesto por la Ley de Protección de Datos Personales del Estado de México;</w:t>
      </w:r>
    </w:p>
    <w:p w:rsidR="00655D03" w:rsidRPr="00F27DDE" w:rsidRDefault="009E03C2">
      <w:pPr>
        <w:tabs>
          <w:tab w:val="left" w:pos="1276"/>
        </w:tabs>
        <w:spacing w:before="120" w:after="120"/>
        <w:ind w:left="1134" w:right="902"/>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i/>
          <w:iCs/>
          <w:sz w:val="22"/>
          <w:szCs w:val="22"/>
        </w:rPr>
        <w:t>…</w:t>
      </w:r>
    </w:p>
    <w:p w:rsidR="00655D03" w:rsidRPr="00F27DDE" w:rsidRDefault="009E03C2">
      <w:pPr>
        <w:tabs>
          <w:tab w:val="left" w:pos="1276"/>
        </w:tabs>
        <w:spacing w:before="120" w:after="120"/>
        <w:ind w:left="1134" w:right="902"/>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XX. Información clasificada</w:t>
      </w:r>
      <w:r w:rsidRPr="00F27DDE">
        <w:rPr>
          <w:rFonts w:ascii="Palatino Linotype" w:eastAsia="Palatino Linotype" w:hAnsi="Palatino Linotype" w:cs="Palatino Linotype"/>
          <w:i/>
          <w:iCs/>
          <w:sz w:val="22"/>
          <w:szCs w:val="22"/>
        </w:rPr>
        <w:t>: Aquella considerada por la presente Ley como reservada o confidencial;</w:t>
      </w:r>
    </w:p>
    <w:p w:rsidR="00655D03" w:rsidRPr="00F27DDE" w:rsidRDefault="009E03C2">
      <w:pPr>
        <w:tabs>
          <w:tab w:val="left" w:pos="1276"/>
        </w:tabs>
        <w:spacing w:before="120" w:after="120"/>
        <w:ind w:left="1134" w:right="902"/>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XXI. Información confidencial</w:t>
      </w:r>
      <w:r w:rsidRPr="00F27DDE">
        <w:rPr>
          <w:rFonts w:ascii="Palatino Linotype" w:eastAsia="Palatino Linotype" w:hAnsi="Palatino Linotype" w:cs="Palatino Linotype"/>
          <w:i/>
          <w:iCs/>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655D03" w:rsidRPr="00F27DDE" w:rsidRDefault="009E03C2">
      <w:pPr>
        <w:tabs>
          <w:tab w:val="left" w:pos="1276"/>
        </w:tabs>
        <w:spacing w:before="120" w:after="120"/>
        <w:ind w:left="1134" w:right="902"/>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i/>
          <w:iCs/>
          <w:sz w:val="22"/>
          <w:szCs w:val="22"/>
        </w:rPr>
        <w:t>…</w:t>
      </w:r>
    </w:p>
    <w:p w:rsidR="00655D03" w:rsidRPr="00F27DDE" w:rsidRDefault="009E03C2">
      <w:pPr>
        <w:tabs>
          <w:tab w:val="left" w:pos="1276"/>
        </w:tabs>
        <w:spacing w:before="120" w:after="120"/>
        <w:ind w:left="1134" w:right="902"/>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XXXII. Protección de Datos Personales</w:t>
      </w:r>
      <w:r w:rsidRPr="00F27DDE">
        <w:rPr>
          <w:rFonts w:ascii="Palatino Linotype" w:eastAsia="Palatino Linotype" w:hAnsi="Palatino Linotype" w:cs="Palatino Linotype"/>
          <w:i/>
          <w:iCs/>
          <w:sz w:val="22"/>
          <w:szCs w:val="22"/>
        </w:rPr>
        <w:t>: Derecho humano que tutela la privacidad de datos personales en poder de los sujetos obligados y sujetos particulares;</w:t>
      </w:r>
    </w:p>
    <w:p w:rsidR="00655D03" w:rsidRPr="00F27DDE" w:rsidRDefault="009E03C2">
      <w:pPr>
        <w:tabs>
          <w:tab w:val="left" w:pos="1276"/>
        </w:tabs>
        <w:spacing w:before="120" w:after="120"/>
        <w:ind w:left="1134" w:right="902"/>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i/>
          <w:iCs/>
          <w:sz w:val="22"/>
          <w:szCs w:val="22"/>
        </w:rPr>
        <w:t>…</w:t>
      </w:r>
    </w:p>
    <w:p w:rsidR="00655D03" w:rsidRPr="00F27DDE" w:rsidRDefault="009E03C2">
      <w:pPr>
        <w:tabs>
          <w:tab w:val="left" w:pos="1276"/>
        </w:tabs>
        <w:spacing w:before="120" w:after="120"/>
        <w:ind w:left="1134" w:right="902"/>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XLV. Versión pública</w:t>
      </w:r>
      <w:r w:rsidRPr="00F27DDE">
        <w:rPr>
          <w:rFonts w:ascii="Palatino Linotype" w:eastAsia="Palatino Linotype" w:hAnsi="Palatino Linotype" w:cs="Palatino Linotype"/>
          <w:i/>
          <w:iCs/>
          <w:sz w:val="22"/>
          <w:szCs w:val="22"/>
        </w:rPr>
        <w:t>: Documento en el que se elimine, suprime o borra la información clasificada como reservada o confidencial para permitir su acceso.</w:t>
      </w:r>
    </w:p>
    <w:p w:rsidR="00655D03" w:rsidRPr="00F27DDE" w:rsidRDefault="009E03C2">
      <w:pPr>
        <w:spacing w:before="120" w:after="120"/>
        <w:ind w:left="851" w:right="902"/>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 Artículo 6</w:t>
      </w:r>
      <w:r w:rsidRPr="00F27DDE">
        <w:rPr>
          <w:rFonts w:ascii="Palatino Linotype" w:eastAsia="Palatino Linotype" w:hAnsi="Palatino Linotype" w:cs="Palatino Linotype"/>
          <w:i/>
          <w:iCs/>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655D03" w:rsidRPr="00F27DDE" w:rsidRDefault="009E03C2">
      <w:pPr>
        <w:spacing w:before="120" w:after="120"/>
        <w:ind w:left="851" w:right="902"/>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i/>
          <w:iCs/>
          <w:sz w:val="22"/>
          <w:szCs w:val="22"/>
        </w:rPr>
        <w:t>(…</w:t>
      </w:r>
    </w:p>
    <w:p w:rsidR="00655D03" w:rsidRPr="00F27DDE" w:rsidRDefault="009E03C2">
      <w:pPr>
        <w:spacing w:before="120" w:after="120"/>
        <w:ind w:left="851" w:right="902"/>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Artículo 91.</w:t>
      </w:r>
      <w:r w:rsidRPr="00F27DDE">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r w:rsidRPr="00F27DDE">
        <w:rPr>
          <w:rFonts w:ascii="Palatino Linotype" w:eastAsia="Palatino Linotype" w:hAnsi="Palatino Linotype" w:cs="Palatino Linotype"/>
          <w:i/>
          <w:iCs/>
          <w:sz w:val="22"/>
          <w:szCs w:val="22"/>
        </w:rPr>
        <w:br/>
        <w:t>…</w:t>
      </w:r>
    </w:p>
    <w:p w:rsidR="00655D03" w:rsidRPr="00F27DDE" w:rsidRDefault="009E03C2">
      <w:pPr>
        <w:spacing w:before="120" w:after="120"/>
        <w:ind w:left="851" w:right="902"/>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Artículo 132.</w:t>
      </w:r>
      <w:r w:rsidRPr="00F27DDE">
        <w:rPr>
          <w:rFonts w:ascii="Palatino Linotype" w:eastAsia="Palatino Linotype" w:hAnsi="Palatino Linotype" w:cs="Palatino Linotype"/>
          <w:i/>
          <w:iCs/>
          <w:sz w:val="22"/>
          <w:szCs w:val="22"/>
        </w:rPr>
        <w:t xml:space="preserve"> La clasificación de la información se llevará a cabo en el momento en que:</w:t>
      </w:r>
    </w:p>
    <w:p w:rsidR="00655D03" w:rsidRPr="00F27DDE" w:rsidRDefault="009E03C2">
      <w:pPr>
        <w:spacing w:before="120" w:after="120"/>
        <w:ind w:left="1134" w:right="902"/>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I</w:t>
      </w:r>
      <w:r w:rsidRPr="00F27DDE">
        <w:rPr>
          <w:rFonts w:ascii="Palatino Linotype" w:eastAsia="Palatino Linotype" w:hAnsi="Palatino Linotype" w:cs="Palatino Linotype"/>
          <w:i/>
          <w:iCs/>
          <w:sz w:val="22"/>
          <w:szCs w:val="22"/>
        </w:rPr>
        <w:t>. Se reciba una solicitud de acceso a la información;</w:t>
      </w:r>
    </w:p>
    <w:p w:rsidR="00655D03" w:rsidRPr="00F27DDE" w:rsidRDefault="009E03C2">
      <w:pPr>
        <w:spacing w:before="120" w:after="120"/>
        <w:ind w:left="1134" w:right="902"/>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II.</w:t>
      </w:r>
      <w:r w:rsidRPr="00F27DDE">
        <w:rPr>
          <w:rFonts w:ascii="Palatino Linotype" w:eastAsia="Palatino Linotype" w:hAnsi="Palatino Linotype" w:cs="Palatino Linotype"/>
          <w:i/>
          <w:iCs/>
          <w:sz w:val="22"/>
          <w:szCs w:val="22"/>
        </w:rPr>
        <w:t xml:space="preserve"> Se determine mediante resolución de autoridad competente; o</w:t>
      </w:r>
    </w:p>
    <w:p w:rsidR="00655D03" w:rsidRPr="00F27DDE" w:rsidRDefault="009E03C2">
      <w:pPr>
        <w:spacing w:before="120" w:after="120"/>
        <w:ind w:left="1134" w:right="902"/>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III.</w:t>
      </w:r>
      <w:r w:rsidRPr="00F27DDE">
        <w:rPr>
          <w:rFonts w:ascii="Palatino Linotype" w:eastAsia="Palatino Linotype" w:hAnsi="Palatino Linotype" w:cs="Palatino Linotype"/>
          <w:i/>
          <w:iCs/>
          <w:sz w:val="22"/>
          <w:szCs w:val="22"/>
        </w:rPr>
        <w:t xml:space="preserve"> Se generen versiones públicas para dar cumplimiento a las obligaciones de transparencia previstas en esta Ley.</w:t>
      </w:r>
    </w:p>
    <w:p w:rsidR="00655D03" w:rsidRPr="00F27DDE" w:rsidRDefault="009E03C2">
      <w:pPr>
        <w:spacing w:before="120" w:after="120"/>
        <w:ind w:left="851" w:right="902"/>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w:t>
      </w:r>
    </w:p>
    <w:p w:rsidR="00655D03" w:rsidRPr="00F27DDE" w:rsidRDefault="009E03C2">
      <w:pPr>
        <w:spacing w:before="120" w:after="120"/>
        <w:ind w:left="851" w:right="902"/>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Artículo 137.</w:t>
      </w:r>
      <w:r w:rsidRPr="00F27DDE">
        <w:rPr>
          <w:rFonts w:ascii="Palatino Linotype" w:eastAsia="Palatino Linotype" w:hAnsi="Palatino Linotype" w:cs="Palatino Linotype"/>
          <w:i/>
          <w:iCs/>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655D03" w:rsidRPr="00F27DDE" w:rsidRDefault="009E03C2">
      <w:pPr>
        <w:spacing w:before="120" w:after="120"/>
        <w:ind w:left="851" w:right="902"/>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 Artículo 143.</w:t>
      </w:r>
      <w:r w:rsidRPr="00F27DDE">
        <w:rPr>
          <w:rFonts w:ascii="Palatino Linotype" w:eastAsia="Palatino Linotype" w:hAnsi="Palatino Linotype" w:cs="Palatino Linotype"/>
          <w:i/>
          <w:iCs/>
          <w:sz w:val="22"/>
          <w:szCs w:val="22"/>
        </w:rPr>
        <w:t xml:space="preserve"> Para los efectos de esta Ley se considera información confidencial, la clasificada como tal, de manera permanente, por su naturaleza, cuando:</w:t>
      </w:r>
    </w:p>
    <w:p w:rsidR="00655D03" w:rsidRPr="00F27DDE" w:rsidRDefault="009E03C2">
      <w:pPr>
        <w:spacing w:before="120" w:after="120"/>
        <w:ind w:left="1134" w:right="902"/>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I.</w:t>
      </w:r>
      <w:r w:rsidRPr="00F27DDE">
        <w:rPr>
          <w:rFonts w:ascii="Palatino Linotype" w:eastAsia="Palatino Linotype" w:hAnsi="Palatino Linotype" w:cs="Palatino Linotype"/>
          <w:i/>
          <w:iCs/>
          <w:sz w:val="22"/>
          <w:szCs w:val="22"/>
        </w:rPr>
        <w:t xml:space="preserve"> Se refiera a la información privada y los datos personales concernientes a una persona física o jurídico colectiva identificada o identificable...”</w:t>
      </w:r>
    </w:p>
    <w:p w:rsidR="00655D03" w:rsidRPr="00F27DDE" w:rsidRDefault="009E03C2">
      <w:pPr>
        <w:spacing w:before="240" w:after="240" w:line="360" w:lineRule="auto"/>
        <w:ind w:right="50"/>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F27DDE">
        <w:rPr>
          <w:rFonts w:ascii="Palatino Linotype" w:eastAsia="Palatino Linotype" w:hAnsi="Palatino Linotype" w:cs="Palatino Linotype"/>
          <w:b/>
          <w:bCs/>
          <w:sz w:val="22"/>
          <w:szCs w:val="22"/>
        </w:rPr>
        <w:t>Sujeto Obligado</w:t>
      </w:r>
      <w:r w:rsidRPr="00F27DDE">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655D03" w:rsidRPr="00F27DDE" w:rsidRDefault="009E03C2">
      <w:pPr>
        <w:spacing w:before="240" w:after="240" w:line="360" w:lineRule="auto"/>
        <w:ind w:right="50"/>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655D03" w:rsidRPr="00F27DDE" w:rsidRDefault="009E03C2">
      <w:pPr>
        <w:spacing w:before="120" w:after="120"/>
        <w:ind w:left="851" w:right="900"/>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“Artículo 49.</w:t>
      </w:r>
      <w:r w:rsidRPr="00F27DDE">
        <w:rPr>
          <w:rFonts w:ascii="Palatino Linotype" w:eastAsia="Palatino Linotype" w:hAnsi="Palatino Linotype" w:cs="Palatino Linotype"/>
          <w:i/>
          <w:iCs/>
          <w:sz w:val="22"/>
          <w:szCs w:val="22"/>
        </w:rPr>
        <w:t xml:space="preserve"> </w:t>
      </w:r>
      <w:r w:rsidRPr="00F27DDE">
        <w:rPr>
          <w:rFonts w:ascii="Palatino Linotype" w:eastAsia="Palatino Linotype" w:hAnsi="Palatino Linotype" w:cs="Palatino Linotype"/>
          <w:b/>
          <w:bCs/>
          <w:i/>
          <w:iCs/>
          <w:sz w:val="22"/>
          <w:szCs w:val="22"/>
        </w:rPr>
        <w:t>Los Comités de Transparencia</w:t>
      </w:r>
      <w:r w:rsidRPr="00F27DDE">
        <w:rPr>
          <w:rFonts w:ascii="Palatino Linotype" w:eastAsia="Palatino Linotype" w:hAnsi="Palatino Linotype" w:cs="Palatino Linotype"/>
          <w:i/>
          <w:iCs/>
          <w:sz w:val="22"/>
          <w:szCs w:val="22"/>
        </w:rPr>
        <w:t xml:space="preserve"> tendrán las siguientes atribuciones:</w:t>
      </w:r>
    </w:p>
    <w:p w:rsidR="00655D03" w:rsidRPr="00F27DDE" w:rsidRDefault="009E03C2">
      <w:pPr>
        <w:spacing w:before="120" w:after="120"/>
        <w:ind w:left="1134" w:right="900"/>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VIII. Aprobar, modificar o revocar la clasificación de la información</w:t>
      </w:r>
      <w:r w:rsidRPr="00F27DDE">
        <w:rPr>
          <w:rFonts w:ascii="Palatino Linotype" w:eastAsia="Palatino Linotype" w:hAnsi="Palatino Linotype" w:cs="Palatino Linotype"/>
          <w:i/>
          <w:iCs/>
          <w:sz w:val="22"/>
          <w:szCs w:val="22"/>
        </w:rPr>
        <w:t>…”</w:t>
      </w:r>
    </w:p>
    <w:p w:rsidR="00655D03" w:rsidRPr="00F27DDE" w:rsidRDefault="009E03C2">
      <w:pPr>
        <w:spacing w:before="120" w:after="120"/>
        <w:ind w:left="851" w:right="900"/>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i/>
          <w:iCs/>
          <w:sz w:val="22"/>
          <w:szCs w:val="22"/>
        </w:rPr>
        <w:t>“</w:t>
      </w:r>
      <w:r w:rsidRPr="00F27DDE">
        <w:rPr>
          <w:rFonts w:ascii="Palatino Linotype" w:eastAsia="Palatino Linotype" w:hAnsi="Palatino Linotype" w:cs="Palatino Linotype"/>
          <w:b/>
          <w:bCs/>
          <w:i/>
          <w:iCs/>
          <w:sz w:val="22"/>
          <w:szCs w:val="22"/>
        </w:rPr>
        <w:t>Artículo 53.</w:t>
      </w:r>
      <w:r w:rsidRPr="00F27DDE">
        <w:rPr>
          <w:rFonts w:ascii="Palatino Linotype" w:eastAsia="Palatino Linotype" w:hAnsi="Palatino Linotype" w:cs="Palatino Linotype"/>
          <w:i/>
          <w:iCs/>
          <w:sz w:val="22"/>
          <w:szCs w:val="22"/>
        </w:rPr>
        <w:t xml:space="preserve"> Las </w:t>
      </w:r>
      <w:r w:rsidRPr="00F27DDE">
        <w:rPr>
          <w:rFonts w:ascii="Palatino Linotype" w:eastAsia="Palatino Linotype" w:hAnsi="Palatino Linotype" w:cs="Palatino Linotype"/>
          <w:b/>
          <w:bCs/>
          <w:i/>
          <w:iCs/>
          <w:sz w:val="22"/>
          <w:szCs w:val="22"/>
        </w:rPr>
        <w:t>Unidades de Transparencia</w:t>
      </w:r>
      <w:r w:rsidRPr="00F27DDE">
        <w:rPr>
          <w:rFonts w:ascii="Palatino Linotype" w:eastAsia="Palatino Linotype" w:hAnsi="Palatino Linotype" w:cs="Palatino Linotype"/>
          <w:i/>
          <w:iCs/>
          <w:sz w:val="22"/>
          <w:szCs w:val="22"/>
        </w:rPr>
        <w:t xml:space="preserve"> tendrán las siguientes </w:t>
      </w:r>
      <w:r w:rsidRPr="00F27DDE">
        <w:rPr>
          <w:rFonts w:ascii="Palatino Linotype" w:eastAsia="Palatino Linotype" w:hAnsi="Palatino Linotype" w:cs="Palatino Linotype"/>
          <w:b/>
          <w:bCs/>
          <w:i/>
          <w:iCs/>
          <w:sz w:val="22"/>
          <w:szCs w:val="22"/>
        </w:rPr>
        <w:t>funciones</w:t>
      </w:r>
      <w:r w:rsidRPr="00F27DDE">
        <w:rPr>
          <w:rFonts w:ascii="Palatino Linotype" w:eastAsia="Palatino Linotype" w:hAnsi="Palatino Linotype" w:cs="Palatino Linotype"/>
          <w:i/>
          <w:iCs/>
          <w:sz w:val="22"/>
          <w:szCs w:val="22"/>
        </w:rPr>
        <w:t>:</w:t>
      </w:r>
    </w:p>
    <w:p w:rsidR="00655D03" w:rsidRPr="00F27DDE" w:rsidRDefault="009E03C2">
      <w:pPr>
        <w:spacing w:before="120" w:after="120"/>
        <w:ind w:left="1134" w:right="900"/>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X. Presentar ante el Comité, el proyecto de clasificación de información</w:t>
      </w:r>
      <w:r w:rsidRPr="00F27DDE">
        <w:rPr>
          <w:rFonts w:ascii="Palatino Linotype" w:eastAsia="Palatino Linotype" w:hAnsi="Palatino Linotype" w:cs="Palatino Linotype"/>
          <w:i/>
          <w:iCs/>
          <w:sz w:val="22"/>
          <w:szCs w:val="22"/>
        </w:rPr>
        <w:t xml:space="preserve">…” </w:t>
      </w:r>
    </w:p>
    <w:p w:rsidR="00655D03" w:rsidRPr="00F27DDE" w:rsidRDefault="009E03C2">
      <w:pPr>
        <w:spacing w:before="120" w:after="120"/>
        <w:ind w:left="851" w:right="900"/>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“Artículo 59.</w:t>
      </w:r>
      <w:r w:rsidRPr="00F27DDE">
        <w:rPr>
          <w:rFonts w:ascii="Palatino Linotype" w:eastAsia="Palatino Linotype" w:hAnsi="Palatino Linotype" w:cs="Palatino Linotype"/>
          <w:i/>
          <w:iCs/>
          <w:sz w:val="22"/>
          <w:szCs w:val="22"/>
        </w:rPr>
        <w:t xml:space="preserve"> Los </w:t>
      </w:r>
      <w:r w:rsidRPr="00F27DDE">
        <w:rPr>
          <w:rFonts w:ascii="Palatino Linotype" w:eastAsia="Palatino Linotype" w:hAnsi="Palatino Linotype" w:cs="Palatino Linotype"/>
          <w:b/>
          <w:bCs/>
          <w:i/>
          <w:iCs/>
          <w:sz w:val="22"/>
          <w:szCs w:val="22"/>
        </w:rPr>
        <w:t>servidores públicos habilitados</w:t>
      </w:r>
      <w:r w:rsidRPr="00F27DDE">
        <w:rPr>
          <w:rFonts w:ascii="Palatino Linotype" w:eastAsia="Palatino Linotype" w:hAnsi="Palatino Linotype" w:cs="Palatino Linotype"/>
          <w:i/>
          <w:iCs/>
          <w:sz w:val="22"/>
          <w:szCs w:val="22"/>
        </w:rPr>
        <w:t xml:space="preserve"> tendrán las </w:t>
      </w:r>
      <w:r w:rsidRPr="00F27DDE">
        <w:rPr>
          <w:rFonts w:ascii="Palatino Linotype" w:eastAsia="Palatino Linotype" w:hAnsi="Palatino Linotype" w:cs="Palatino Linotype"/>
          <w:b/>
          <w:bCs/>
          <w:i/>
          <w:iCs/>
          <w:sz w:val="22"/>
          <w:szCs w:val="22"/>
        </w:rPr>
        <w:t>funciones</w:t>
      </w:r>
      <w:r w:rsidRPr="00F27DDE">
        <w:rPr>
          <w:rFonts w:ascii="Palatino Linotype" w:eastAsia="Palatino Linotype" w:hAnsi="Palatino Linotype" w:cs="Palatino Linotype"/>
          <w:i/>
          <w:iCs/>
          <w:sz w:val="22"/>
          <w:szCs w:val="22"/>
        </w:rPr>
        <w:t xml:space="preserve"> siguientes:</w:t>
      </w:r>
    </w:p>
    <w:p w:rsidR="00655D03" w:rsidRPr="00F27DDE" w:rsidRDefault="009E03C2">
      <w:pPr>
        <w:spacing w:before="120" w:after="120"/>
        <w:ind w:left="1134" w:right="900"/>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V. Integrar y presentar al responsable de la Unidad de Transparencia la propuesta de clasificación de información</w:t>
      </w:r>
      <w:r w:rsidRPr="00F27DDE">
        <w:rPr>
          <w:rFonts w:ascii="Palatino Linotype" w:eastAsia="Palatino Linotype" w:hAnsi="Palatino Linotype" w:cs="Palatino Linotype"/>
          <w:i/>
          <w:iCs/>
          <w:sz w:val="22"/>
          <w:szCs w:val="22"/>
        </w:rPr>
        <w:t>, la cual tendrá los fundamentos y argumentos en que se basa dicha propuesta…”</w:t>
      </w:r>
    </w:p>
    <w:p w:rsidR="00655D03" w:rsidRPr="00F27DDE" w:rsidRDefault="009E03C2">
      <w:pPr>
        <w:spacing w:before="240" w:after="240" w:line="360" w:lineRule="auto"/>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655D03" w:rsidRPr="00F27DDE" w:rsidRDefault="009E03C2">
      <w:pPr>
        <w:spacing w:before="240" w:after="240" w:line="360" w:lineRule="auto"/>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rsidR="00655D03" w:rsidRPr="00F27DDE" w:rsidRDefault="009E03C2">
      <w:pPr>
        <w:spacing w:before="120" w:after="120"/>
        <w:ind w:left="851" w:right="902"/>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i/>
          <w:iCs/>
          <w:sz w:val="22"/>
          <w:szCs w:val="22"/>
        </w:rPr>
        <w:t>“</w:t>
      </w:r>
      <w:r w:rsidRPr="00F27DDE">
        <w:rPr>
          <w:rFonts w:ascii="Palatino Linotype" w:eastAsia="Palatino Linotype" w:hAnsi="Palatino Linotype" w:cs="Palatino Linotype"/>
          <w:b/>
          <w:bCs/>
          <w:i/>
          <w:iCs/>
          <w:sz w:val="22"/>
          <w:szCs w:val="22"/>
        </w:rPr>
        <w:t>Artículo 149.</w:t>
      </w:r>
      <w:r w:rsidRPr="00F27DDE">
        <w:rPr>
          <w:rFonts w:ascii="Palatino Linotype" w:eastAsia="Palatino Linotype" w:hAnsi="Palatino Linotype" w:cs="Palatino Linotype"/>
          <w:i/>
          <w:iCs/>
          <w:sz w:val="22"/>
          <w:szCs w:val="22"/>
        </w:rPr>
        <w:t xml:space="preserve"> El </w:t>
      </w:r>
      <w:r w:rsidRPr="00F27DDE">
        <w:rPr>
          <w:rFonts w:ascii="Palatino Linotype" w:eastAsia="Palatino Linotype" w:hAnsi="Palatino Linotype" w:cs="Palatino Linotype"/>
          <w:b/>
          <w:bCs/>
          <w:i/>
          <w:iCs/>
          <w:sz w:val="22"/>
          <w:szCs w:val="22"/>
        </w:rPr>
        <w:t>acuerdo que clasifique la información como confidencial</w:t>
      </w:r>
      <w:r w:rsidRPr="00F27DDE">
        <w:rPr>
          <w:rFonts w:ascii="Palatino Linotype" w:eastAsia="Palatino Linotype" w:hAnsi="Palatino Linotype" w:cs="Palatino Linotype"/>
          <w:i/>
          <w:iCs/>
          <w:sz w:val="22"/>
          <w:szCs w:val="22"/>
        </w:rPr>
        <w:t xml:space="preserve"> deberá contener un razonamiento lógico en el que demuestre que la información se encuentra en alguna o algunas de las hipótesis previstas en la presente Ley.” </w:t>
      </w:r>
    </w:p>
    <w:p w:rsidR="00655D03" w:rsidRPr="00F27DDE" w:rsidRDefault="009E03C2">
      <w:pPr>
        <w:spacing w:before="240" w:after="240" w:line="360" w:lineRule="auto"/>
        <w:ind w:right="51"/>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 xml:space="preserve">Es decir, el </w:t>
      </w:r>
      <w:r w:rsidRPr="00F27DDE">
        <w:rPr>
          <w:rFonts w:ascii="Palatino Linotype" w:eastAsia="Palatino Linotype" w:hAnsi="Palatino Linotype" w:cs="Palatino Linotype"/>
          <w:b/>
          <w:bCs/>
          <w:sz w:val="22"/>
          <w:szCs w:val="22"/>
        </w:rPr>
        <w:t>Sujeto Obligado</w:t>
      </w:r>
      <w:r w:rsidRPr="00F27DDE">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rsidR="00655D03" w:rsidRPr="00F27DDE" w:rsidRDefault="009E03C2">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F27DDE">
        <w:rPr>
          <w:rFonts w:ascii="Palatino Linotype" w:eastAsia="Palatino Linotype" w:hAnsi="Palatino Linotype" w:cs="Palatino Linotype"/>
          <w:b/>
          <w:bCs/>
          <w:sz w:val="22"/>
          <w:szCs w:val="22"/>
        </w:rPr>
        <w:t>Sujeto Obligado</w:t>
      </w:r>
      <w:r w:rsidRPr="00F27DDE">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vigentes a la fecha de la solicitud, señalan lo siguiente:</w:t>
      </w:r>
    </w:p>
    <w:p w:rsidR="00655D03" w:rsidRPr="00F27DDE" w:rsidRDefault="009E03C2">
      <w:pPr>
        <w:spacing w:before="120" w:after="120"/>
        <w:ind w:left="851" w:right="902"/>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 xml:space="preserve"> “Quincuagésimo. </w:t>
      </w:r>
      <w:r w:rsidRPr="00F27DDE">
        <w:rPr>
          <w:rFonts w:ascii="Palatino Linotype" w:eastAsia="Palatino Linotype" w:hAnsi="Palatino Linotype" w:cs="Palatino Linotype"/>
          <w:i/>
          <w:iCs/>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655D03" w:rsidRPr="00F27DDE" w:rsidRDefault="009E03C2">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 xml:space="preserve">Quincuagésimo primero. </w:t>
      </w:r>
      <w:r w:rsidRPr="00F27DDE">
        <w:rPr>
          <w:rFonts w:ascii="Palatino Linotype" w:eastAsia="Palatino Linotype" w:hAnsi="Palatino Linotype" w:cs="Palatino Linotype"/>
          <w:i/>
          <w:iCs/>
          <w:sz w:val="22"/>
          <w:szCs w:val="22"/>
        </w:rPr>
        <w:t xml:space="preserve">Toda acta del Comité de Transparencia deberá contener: </w:t>
      </w:r>
    </w:p>
    <w:p w:rsidR="00655D03" w:rsidRPr="00F27DDE" w:rsidRDefault="009E03C2">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I.</w:t>
      </w:r>
      <w:r w:rsidRPr="00F27DDE">
        <w:rPr>
          <w:rFonts w:ascii="Palatino Linotype" w:eastAsia="Palatino Linotype" w:hAnsi="Palatino Linotype" w:cs="Palatino Linotype"/>
          <w:i/>
          <w:iCs/>
          <w:sz w:val="22"/>
          <w:szCs w:val="22"/>
        </w:rPr>
        <w:t xml:space="preserve"> El número de sesión y fecha; </w:t>
      </w:r>
    </w:p>
    <w:p w:rsidR="00655D03" w:rsidRPr="00F27DDE" w:rsidRDefault="009E03C2">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II</w:t>
      </w:r>
      <w:r w:rsidRPr="00F27DDE">
        <w:rPr>
          <w:rFonts w:ascii="Palatino Linotype" w:eastAsia="Palatino Linotype" w:hAnsi="Palatino Linotype" w:cs="Palatino Linotype"/>
          <w:i/>
          <w:iCs/>
          <w:sz w:val="22"/>
          <w:szCs w:val="22"/>
        </w:rPr>
        <w:t xml:space="preserve">. El nombre del área que solicitó la clasificación de información; </w:t>
      </w:r>
    </w:p>
    <w:p w:rsidR="00655D03" w:rsidRPr="00F27DDE" w:rsidRDefault="009E03C2">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III</w:t>
      </w:r>
      <w:r w:rsidRPr="00F27DDE">
        <w:rPr>
          <w:rFonts w:ascii="Palatino Linotype" w:eastAsia="Palatino Linotype" w:hAnsi="Palatino Linotype" w:cs="Palatino Linotype"/>
          <w:i/>
          <w:iCs/>
          <w:sz w:val="22"/>
          <w:szCs w:val="22"/>
        </w:rPr>
        <w:t xml:space="preserve">. La fundamentación legal y motivación correspondiente; </w:t>
      </w:r>
    </w:p>
    <w:p w:rsidR="00655D03" w:rsidRPr="00F27DDE" w:rsidRDefault="009E03C2">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IV</w:t>
      </w:r>
      <w:r w:rsidRPr="00F27DDE">
        <w:rPr>
          <w:rFonts w:ascii="Palatino Linotype" w:eastAsia="Palatino Linotype" w:hAnsi="Palatino Linotype" w:cs="Palatino Linotype"/>
          <w:i/>
          <w:iCs/>
          <w:sz w:val="22"/>
          <w:szCs w:val="22"/>
        </w:rPr>
        <w:t xml:space="preserve">. La resolución o resoluciones aprobadas; y </w:t>
      </w:r>
    </w:p>
    <w:p w:rsidR="00655D03" w:rsidRPr="00F27DDE" w:rsidRDefault="009E03C2">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V</w:t>
      </w:r>
      <w:r w:rsidRPr="00F27DDE">
        <w:rPr>
          <w:rFonts w:ascii="Palatino Linotype" w:eastAsia="Palatino Linotype" w:hAnsi="Palatino Linotype" w:cs="Palatino Linotype"/>
          <w:i/>
          <w:iCs/>
          <w:sz w:val="22"/>
          <w:szCs w:val="22"/>
        </w:rPr>
        <w:t xml:space="preserve">. La rúbrica o firma digital de cada integrante del Comité de Transparencia. </w:t>
      </w:r>
    </w:p>
    <w:p w:rsidR="00655D03" w:rsidRPr="00F27DDE" w:rsidRDefault="009E03C2">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rsidR="00655D03" w:rsidRPr="00F27DDE" w:rsidRDefault="009E03C2">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I.</w:t>
      </w:r>
      <w:r w:rsidRPr="00F27DDE">
        <w:rPr>
          <w:rFonts w:ascii="Palatino Linotype" w:eastAsia="Palatino Linotype" w:hAnsi="Palatino Linotype" w:cs="Palatino Linotype"/>
          <w:i/>
          <w:iCs/>
          <w:sz w:val="22"/>
          <w:szCs w:val="22"/>
        </w:rPr>
        <w:t xml:space="preserve"> Los motivos y razonamientos que sustenten la confirmación o modificación de la prueba de daño;</w:t>
      </w:r>
    </w:p>
    <w:p w:rsidR="00655D03" w:rsidRPr="00F27DDE" w:rsidRDefault="009E03C2">
      <w:pPr>
        <w:pBdr>
          <w:top w:val="nil"/>
          <w:left w:val="nil"/>
          <w:bottom w:val="nil"/>
          <w:right w:val="nil"/>
          <w:between w:val="nil"/>
        </w:pBdr>
        <w:spacing w:before="120" w:after="120"/>
        <w:ind w:left="1134" w:right="902"/>
        <w:jc w:val="both"/>
        <w:rPr>
          <w:rFonts w:ascii="Palatino Linotype" w:eastAsia="Palatino Linotype" w:hAnsi="Palatino Linotype" w:cs="Palatino Linotype"/>
          <w:b/>
          <w:bCs/>
          <w:i/>
          <w:iCs/>
          <w:sz w:val="22"/>
          <w:szCs w:val="22"/>
        </w:rPr>
      </w:pPr>
      <w:r w:rsidRPr="00F27DDE">
        <w:rPr>
          <w:rFonts w:ascii="Palatino Linotype" w:eastAsia="Palatino Linotype" w:hAnsi="Palatino Linotype" w:cs="Palatino Linotype"/>
          <w:b/>
          <w:bCs/>
          <w:i/>
          <w:iCs/>
          <w:sz w:val="22"/>
          <w:szCs w:val="22"/>
        </w:rPr>
        <w:t>II</w:t>
      </w:r>
      <w:r w:rsidRPr="00F27DDE">
        <w:rPr>
          <w:rFonts w:ascii="Palatino Linotype" w:eastAsia="Palatino Linotype" w:hAnsi="Palatino Linotype" w:cs="Palatino Linotype"/>
          <w:i/>
          <w:iCs/>
          <w:sz w:val="22"/>
          <w:szCs w:val="22"/>
        </w:rPr>
        <w:t>. Descripción de las partes o secciones reservadas, en caso de clasificación parcial</w:t>
      </w:r>
      <w:r w:rsidRPr="00F27DDE">
        <w:rPr>
          <w:rFonts w:ascii="Palatino Linotype" w:eastAsia="Palatino Linotype" w:hAnsi="Palatino Linotype" w:cs="Palatino Linotype"/>
          <w:b/>
          <w:bCs/>
          <w:i/>
          <w:iCs/>
          <w:sz w:val="22"/>
          <w:szCs w:val="22"/>
        </w:rPr>
        <w:t xml:space="preserve">; </w:t>
      </w:r>
    </w:p>
    <w:p w:rsidR="00655D03" w:rsidRPr="00F27DDE" w:rsidRDefault="009E03C2">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III.</w:t>
      </w:r>
      <w:r w:rsidRPr="00F27DDE">
        <w:rPr>
          <w:rFonts w:ascii="Palatino Linotype" w:eastAsia="Palatino Linotype" w:hAnsi="Palatino Linotype" w:cs="Palatino Linotype"/>
          <w:i/>
          <w:iCs/>
          <w:sz w:val="22"/>
          <w:szCs w:val="22"/>
        </w:rPr>
        <w:t xml:space="preserve"> El periodo por el que mantendrá su clasificación y fecha de expiración; y </w:t>
      </w:r>
    </w:p>
    <w:p w:rsidR="00655D03" w:rsidRPr="00F27DDE" w:rsidRDefault="009E03C2">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IV.</w:t>
      </w:r>
      <w:r w:rsidRPr="00F27DDE">
        <w:rPr>
          <w:rFonts w:ascii="Palatino Linotype" w:eastAsia="Palatino Linotype" w:hAnsi="Palatino Linotype" w:cs="Palatino Linotype"/>
          <w:i/>
          <w:iCs/>
          <w:sz w:val="22"/>
          <w:szCs w:val="22"/>
        </w:rPr>
        <w:t xml:space="preserve"> El nombre del titular y área encargada de realizar la versión pública del documento, en su caso. </w:t>
      </w:r>
    </w:p>
    <w:p w:rsidR="00655D03" w:rsidRPr="00F27DDE" w:rsidRDefault="009E03C2">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rsidR="00655D03" w:rsidRPr="00F27DDE" w:rsidRDefault="009E03C2">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rsidR="00655D03" w:rsidRPr="00F27DDE" w:rsidRDefault="009E03C2">
      <w:pPr>
        <w:spacing w:before="240" w:after="240" w:line="360" w:lineRule="auto"/>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vigentes a la fecha de la solicitud, que establecen lo siguiente:</w:t>
      </w:r>
    </w:p>
    <w:p w:rsidR="00655D03" w:rsidRPr="00F27DDE" w:rsidRDefault="009E03C2">
      <w:pPr>
        <w:spacing w:before="120" w:after="120"/>
        <w:ind w:left="851" w:right="900"/>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i/>
          <w:iCs/>
          <w:sz w:val="22"/>
          <w:szCs w:val="22"/>
        </w:rPr>
        <w:t>“</w:t>
      </w:r>
      <w:r w:rsidRPr="00F27DDE">
        <w:rPr>
          <w:rFonts w:ascii="Palatino Linotype" w:eastAsia="Palatino Linotype" w:hAnsi="Palatino Linotype" w:cs="Palatino Linotype"/>
          <w:b/>
          <w:bCs/>
          <w:i/>
          <w:iCs/>
          <w:sz w:val="22"/>
          <w:szCs w:val="22"/>
        </w:rPr>
        <w:t>Quincuagésimo segundo</w:t>
      </w:r>
      <w:r w:rsidRPr="00F27DDE">
        <w:rPr>
          <w:rFonts w:ascii="Palatino Linotype" w:eastAsia="Palatino Linotype" w:hAnsi="Palatino Linotype" w:cs="Palatino Linotype"/>
          <w:i/>
          <w:iCs/>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655D03" w:rsidRPr="00F27DDE" w:rsidRDefault="009E03C2">
      <w:pPr>
        <w:spacing w:before="120" w:after="120"/>
        <w:ind w:left="851" w:right="900"/>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rsidR="00655D03" w:rsidRPr="00F27DDE" w:rsidRDefault="009E03C2">
      <w:pPr>
        <w:spacing w:before="120" w:after="120"/>
        <w:ind w:left="1134" w:right="900"/>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I.</w:t>
      </w:r>
      <w:r w:rsidRPr="00F27DDE">
        <w:rPr>
          <w:rFonts w:ascii="Palatino Linotype" w:eastAsia="Palatino Linotype" w:hAnsi="Palatino Linotype" w:cs="Palatino Linotype"/>
          <w:i/>
          <w:iCs/>
          <w:sz w:val="22"/>
          <w:szCs w:val="22"/>
        </w:rPr>
        <w:t xml:space="preserve"> Fijar la fecha en que se elaboró la versión pública y la fecha en la cual el Comité de Transparencia confirmó dicha versión;</w:t>
      </w:r>
    </w:p>
    <w:p w:rsidR="00655D03" w:rsidRPr="00F27DDE" w:rsidRDefault="009E03C2">
      <w:pPr>
        <w:spacing w:before="120" w:after="120"/>
        <w:ind w:left="1134" w:right="900"/>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II.</w:t>
      </w:r>
      <w:r w:rsidRPr="00F27DDE">
        <w:rPr>
          <w:rFonts w:ascii="Palatino Linotype" w:eastAsia="Palatino Linotype" w:hAnsi="Palatino Linotype" w:cs="Palatino Linotype"/>
          <w:i/>
          <w:iCs/>
          <w:sz w:val="22"/>
          <w:szCs w:val="22"/>
        </w:rPr>
        <w:t xml:space="preserve"> Señalar dentro del documento el tipo de información confidencial que fue testada en cada caso específico, de conformidad con el lineamiento trigésimo octavo; y</w:t>
      </w:r>
    </w:p>
    <w:p w:rsidR="00655D03" w:rsidRPr="00F27DDE" w:rsidRDefault="009E03C2">
      <w:pPr>
        <w:spacing w:before="120" w:after="120"/>
        <w:ind w:left="1134" w:right="900"/>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III.</w:t>
      </w:r>
      <w:r w:rsidRPr="00F27DDE">
        <w:rPr>
          <w:rFonts w:ascii="Palatino Linotype" w:eastAsia="Palatino Linotype" w:hAnsi="Palatino Linotype" w:cs="Palatino Linotype"/>
          <w:i/>
          <w:iCs/>
          <w:sz w:val="22"/>
          <w:szCs w:val="22"/>
        </w:rPr>
        <w:t xml:space="preserve"> Señalar las personas o instancias autorizadas a acceder a la información clasificada.</w:t>
      </w:r>
    </w:p>
    <w:p w:rsidR="00655D03" w:rsidRPr="00F27DDE" w:rsidRDefault="009E03C2">
      <w:pPr>
        <w:spacing w:before="120" w:after="120"/>
        <w:ind w:left="851" w:right="900"/>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rsidR="00655D03" w:rsidRPr="00F27DDE" w:rsidRDefault="009E03C2">
      <w:pPr>
        <w:pBdr>
          <w:top w:val="nil"/>
          <w:left w:val="nil"/>
          <w:bottom w:val="nil"/>
          <w:right w:val="nil"/>
          <w:between w:val="nil"/>
        </w:pBdr>
        <w:spacing w:before="120" w:after="120"/>
        <w:ind w:left="851" w:right="900"/>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i/>
          <w:iCs/>
          <w:sz w:val="22"/>
          <w:szCs w:val="22"/>
        </w:rPr>
        <w:t>…</w:t>
      </w:r>
    </w:p>
    <w:p w:rsidR="00655D03" w:rsidRPr="00F27DDE" w:rsidRDefault="009E03C2">
      <w:pPr>
        <w:pBdr>
          <w:top w:val="nil"/>
          <w:left w:val="nil"/>
          <w:bottom w:val="nil"/>
          <w:right w:val="nil"/>
          <w:between w:val="nil"/>
        </w:pBdr>
        <w:spacing w:before="120" w:after="120"/>
        <w:ind w:left="851" w:right="900"/>
        <w:jc w:val="both"/>
        <w:rPr>
          <w:rFonts w:ascii="Palatino Linotype" w:eastAsia="Palatino Linotype" w:hAnsi="Palatino Linotype" w:cs="Palatino Linotype"/>
          <w:b/>
          <w:bCs/>
          <w:i/>
          <w:iCs/>
          <w:sz w:val="22"/>
          <w:szCs w:val="22"/>
        </w:rPr>
      </w:pPr>
      <w:r w:rsidRPr="00F27DDE">
        <w:rPr>
          <w:rFonts w:ascii="Palatino Linotype" w:eastAsia="Palatino Linotype" w:hAnsi="Palatino Linotype" w:cs="Palatino Linotype"/>
          <w:b/>
          <w:bCs/>
          <w:i/>
          <w:iCs/>
          <w:sz w:val="22"/>
          <w:szCs w:val="22"/>
        </w:rPr>
        <w:t xml:space="preserve">Quincuagésimo cuarto. </w:t>
      </w:r>
      <w:r w:rsidRPr="00F27DDE">
        <w:rPr>
          <w:rFonts w:ascii="Palatino Linotype" w:eastAsia="Palatino Linotype" w:hAnsi="Palatino Linotype" w:cs="Palatino Linotype"/>
          <w:i/>
          <w:iCs/>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F27DDE">
        <w:rPr>
          <w:rFonts w:ascii="Palatino Linotype" w:eastAsia="Palatino Linotype" w:hAnsi="Palatino Linotype" w:cs="Palatino Linotype"/>
          <w:b/>
          <w:bCs/>
          <w:i/>
          <w:iCs/>
          <w:sz w:val="22"/>
          <w:szCs w:val="22"/>
        </w:rPr>
        <w:t xml:space="preserve"> </w:t>
      </w:r>
    </w:p>
    <w:p w:rsidR="00655D03" w:rsidRPr="00F27DDE" w:rsidRDefault="009E03C2">
      <w:pPr>
        <w:spacing w:before="120" w:after="120"/>
        <w:ind w:left="851" w:right="902"/>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 xml:space="preserve">Quincuagésimo quinto. </w:t>
      </w:r>
      <w:r w:rsidRPr="00F27DDE">
        <w:rPr>
          <w:rFonts w:ascii="Palatino Linotype" w:eastAsia="Palatino Linotype" w:hAnsi="Palatino Linotype" w:cs="Palatino Linotype"/>
          <w:i/>
          <w:iCs/>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655D03" w:rsidRPr="00F27DDE" w:rsidRDefault="009E03C2">
      <w:pPr>
        <w:spacing w:before="120" w:after="120"/>
        <w:ind w:left="851" w:right="902"/>
        <w:jc w:val="both"/>
        <w:rPr>
          <w:rFonts w:ascii="Palatino Linotype" w:eastAsia="Palatino Linotype" w:hAnsi="Palatino Linotype" w:cs="Palatino Linotype"/>
          <w:b/>
          <w:bCs/>
          <w:i/>
          <w:iCs/>
          <w:sz w:val="22"/>
          <w:szCs w:val="22"/>
        </w:rPr>
      </w:pPr>
      <w:r w:rsidRPr="00F27DDE">
        <w:rPr>
          <w:rFonts w:ascii="Palatino Linotype" w:eastAsia="Palatino Linotype" w:hAnsi="Palatino Linotype" w:cs="Palatino Linotype"/>
          <w:b/>
          <w:bCs/>
          <w:i/>
          <w:iCs/>
          <w:sz w:val="22"/>
          <w:szCs w:val="22"/>
        </w:rPr>
        <w:t>...</w:t>
      </w:r>
    </w:p>
    <w:p w:rsidR="00655D03" w:rsidRPr="00F27DDE" w:rsidRDefault="009E03C2">
      <w:pPr>
        <w:spacing w:before="120" w:after="120"/>
        <w:ind w:left="851" w:right="902"/>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Quincuagésimo séptimo</w:t>
      </w:r>
      <w:r w:rsidRPr="00F27DDE">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rsidR="00655D03" w:rsidRPr="00F27DDE" w:rsidRDefault="009E03C2">
      <w:pPr>
        <w:spacing w:before="120" w:after="120"/>
        <w:ind w:left="1134" w:right="902"/>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I</w:t>
      </w:r>
      <w:r w:rsidRPr="00F27DDE">
        <w:rPr>
          <w:rFonts w:ascii="Palatino Linotype" w:eastAsia="Palatino Linotype" w:hAnsi="Palatino Linotype" w:cs="Palatino Linotype"/>
          <w:i/>
          <w:iCs/>
          <w:sz w:val="22"/>
          <w:szCs w:val="22"/>
        </w:rPr>
        <w:t xml:space="preserve">. La relativa a las Obligaciones de Transparencia que contempla el Título V de la Ley General y las demás disposiciones legales aplicables; </w:t>
      </w:r>
    </w:p>
    <w:p w:rsidR="00655D03" w:rsidRPr="00F27DDE" w:rsidRDefault="009E03C2">
      <w:pPr>
        <w:spacing w:before="120" w:after="120"/>
        <w:ind w:left="1134" w:right="902"/>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II.</w:t>
      </w:r>
      <w:r w:rsidRPr="00F27DDE">
        <w:rPr>
          <w:rFonts w:ascii="Palatino Linotype" w:eastAsia="Palatino Linotype" w:hAnsi="Palatino Linotype" w:cs="Palatino Linotype"/>
          <w:i/>
          <w:iCs/>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rsidR="00655D03" w:rsidRPr="00F27DDE" w:rsidRDefault="009E03C2">
      <w:pPr>
        <w:spacing w:before="120" w:after="120"/>
        <w:ind w:left="1134" w:right="902"/>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III</w:t>
      </w:r>
      <w:r w:rsidRPr="00F27DDE">
        <w:rPr>
          <w:rFonts w:ascii="Palatino Linotype" w:eastAsia="Palatino Linotype" w:hAnsi="Palatino Linotype" w:cs="Palatino Linotype"/>
          <w:i/>
          <w:iCs/>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655D03" w:rsidRPr="00F27DDE" w:rsidRDefault="009E03C2">
      <w:pPr>
        <w:spacing w:before="120" w:after="120"/>
        <w:ind w:left="851" w:right="902"/>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rsidR="00655D03" w:rsidRPr="00F27DDE" w:rsidRDefault="009E03C2">
      <w:pPr>
        <w:spacing w:before="120" w:after="120"/>
        <w:ind w:left="851" w:right="902"/>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b/>
          <w:bCs/>
          <w:i/>
          <w:iCs/>
          <w:sz w:val="22"/>
          <w:szCs w:val="22"/>
        </w:rPr>
        <w:t>Quincuagésimo octavo</w:t>
      </w:r>
      <w:r w:rsidRPr="00F27DDE">
        <w:rPr>
          <w:rFonts w:ascii="Palatino Linotype" w:eastAsia="Palatino Linotype" w:hAnsi="Palatino Linotype" w:cs="Palatino Linotype"/>
          <w:i/>
          <w:iCs/>
          <w:sz w:val="22"/>
          <w:szCs w:val="22"/>
        </w:rPr>
        <w:t>. Los sujetos obligados garantizarán que los sistemas o medios empleados para eliminar la información en las versiones públicas sean irreversibles, de tal forma que no permitan su recuperación o la visualización de la misma.”</w:t>
      </w:r>
    </w:p>
    <w:p w:rsidR="00655D03" w:rsidRPr="00F27DDE" w:rsidRDefault="00655D03">
      <w:pPr>
        <w:spacing w:line="360" w:lineRule="auto"/>
        <w:jc w:val="both"/>
        <w:rPr>
          <w:rFonts w:ascii="Palatino Linotype" w:eastAsia="Palatino Linotype" w:hAnsi="Palatino Linotype" w:cs="Palatino Linotype"/>
          <w:sz w:val="22"/>
          <w:szCs w:val="22"/>
        </w:rPr>
      </w:pPr>
    </w:p>
    <w:p w:rsidR="00655D03" w:rsidRPr="00F27DDE" w:rsidRDefault="009E03C2">
      <w:pPr>
        <w:spacing w:line="360" w:lineRule="auto"/>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Entre los datos personales que se pudieran localizar en las facturas que se ordena entregar, se enuncian los siguientes:</w:t>
      </w:r>
    </w:p>
    <w:p w:rsidR="00655D03" w:rsidRPr="00F27DDE" w:rsidRDefault="00655D03">
      <w:pPr>
        <w:spacing w:line="360" w:lineRule="auto"/>
        <w:jc w:val="both"/>
        <w:rPr>
          <w:rFonts w:ascii="Palatino Linotype" w:eastAsia="Palatino Linotype" w:hAnsi="Palatino Linotype" w:cs="Palatino Linotype"/>
          <w:sz w:val="22"/>
          <w:szCs w:val="22"/>
        </w:rPr>
      </w:pPr>
    </w:p>
    <w:p w:rsidR="00655D03" w:rsidRPr="00F27DDE" w:rsidRDefault="009E03C2">
      <w:pPr>
        <w:numPr>
          <w:ilvl w:val="0"/>
          <w:numId w:val="6"/>
        </w:numPr>
        <w:pBdr>
          <w:top w:val="nil"/>
          <w:left w:val="nil"/>
          <w:bottom w:val="nil"/>
          <w:right w:val="nil"/>
          <w:between w:val="nil"/>
        </w:pBdr>
        <w:spacing w:line="360" w:lineRule="auto"/>
        <w:ind w:left="142" w:right="49"/>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b/>
          <w:bCs/>
          <w:sz w:val="22"/>
          <w:szCs w:val="22"/>
        </w:rPr>
        <w:t xml:space="preserve">Nombre, firma y rúbrica del apoderado legal. </w:t>
      </w:r>
      <w:r w:rsidRPr="00F27DDE">
        <w:rPr>
          <w:rFonts w:ascii="Palatino Linotype" w:eastAsia="Palatino Linotype" w:hAnsi="Palatino Linotype" w:cs="Palatino Linotype"/>
          <w:sz w:val="22"/>
          <w:szCs w:val="22"/>
        </w:rPr>
        <w:t>Se trata de información pública en razón de que el representante legal la proporciona para manifestar el consentimiento de un tercero y otorgar validez a actos jurídicos celebrados con sujetos obligados, toma sustento de lo anterior, el criterio orientador 01/19 reiterado del entonces INAI</w:t>
      </w:r>
    </w:p>
    <w:p w:rsidR="00655D03" w:rsidRPr="00F27DDE" w:rsidRDefault="00655D03">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rsidR="00655D03" w:rsidRPr="00F27DDE" w:rsidRDefault="009E03C2">
      <w:pPr>
        <w:pBdr>
          <w:top w:val="nil"/>
          <w:left w:val="nil"/>
          <w:bottom w:val="nil"/>
          <w:right w:val="nil"/>
          <w:between w:val="nil"/>
        </w:pBdr>
        <w:spacing w:line="360" w:lineRule="auto"/>
        <w:ind w:left="426" w:right="843"/>
        <w:jc w:val="both"/>
      </w:pPr>
      <w:r w:rsidRPr="00F27DDE">
        <w:rPr>
          <w:rFonts w:ascii="Palatino Linotype" w:eastAsia="Palatino Linotype" w:hAnsi="Palatino Linotype" w:cs="Palatino Linotype"/>
          <w:b/>
          <w:bCs/>
          <w:i/>
          <w:iCs/>
          <w:sz w:val="22"/>
          <w:szCs w:val="22"/>
        </w:rPr>
        <w:t>Datos de identificación del representante o apoderado legal.</w:t>
      </w:r>
      <w:r w:rsidRPr="00F27DDE">
        <w:rPr>
          <w:rFonts w:ascii="Palatino Linotype" w:eastAsia="Palatino Linotype" w:hAnsi="Palatino Linotype" w:cs="Palatino Linotype"/>
          <w:i/>
          <w:iCs/>
          <w:sz w:val="22"/>
          <w:szCs w:val="22"/>
        </w:rPr>
        <w:t xml:space="preserve"> </w:t>
      </w:r>
      <w:r w:rsidRPr="00F27DDE">
        <w:rPr>
          <w:rFonts w:ascii="Palatino Linotype" w:eastAsia="Palatino Linotype" w:hAnsi="Palatino Linotype" w:cs="Palatino Linotype"/>
          <w:b/>
          <w:bCs/>
          <w:i/>
          <w:iCs/>
          <w:sz w:val="22"/>
          <w:szCs w:val="22"/>
        </w:rPr>
        <w:t xml:space="preserve">Naturaleza jurídica. </w:t>
      </w:r>
      <w:r w:rsidRPr="00F27DDE">
        <w:rPr>
          <w:rFonts w:ascii="Palatino Linotype" w:eastAsia="Palatino Linotype" w:hAnsi="Palatino Linotype" w:cs="Palatino Linotype"/>
          <w:i/>
          <w:iCs/>
          <w:sz w:val="22"/>
          <w:szCs w:val="22"/>
        </w:rPr>
        <w:t>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rsidR="00655D03" w:rsidRPr="00F27DDE" w:rsidRDefault="00655D03">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rsidR="00655D03" w:rsidRPr="00F27DDE" w:rsidRDefault="009E03C2">
      <w:pPr>
        <w:numPr>
          <w:ilvl w:val="0"/>
          <w:numId w:val="6"/>
        </w:numPr>
        <w:pBdr>
          <w:top w:val="nil"/>
          <w:left w:val="nil"/>
          <w:bottom w:val="nil"/>
          <w:right w:val="nil"/>
          <w:between w:val="nil"/>
        </w:pBdr>
        <w:spacing w:line="360" w:lineRule="auto"/>
        <w:ind w:left="426" w:right="49"/>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b/>
          <w:bCs/>
          <w:sz w:val="22"/>
          <w:szCs w:val="22"/>
        </w:rPr>
        <w:t xml:space="preserve">Registro Federal de Contribuyentes. </w:t>
      </w:r>
      <w:r w:rsidRPr="00F27DDE">
        <w:rPr>
          <w:rFonts w:ascii="Palatino Linotype" w:eastAsia="Palatino Linotype" w:hAnsi="Palatino Linotype" w:cs="Palatino Linotype"/>
          <w:sz w:val="22"/>
          <w:szCs w:val="22"/>
        </w:rPr>
        <w:t xml:space="preserve">Este dato se trata de proveedores o contratistas de entes públicos, cuya información es susceptible de transparentarse, tal como lo establece el Criterio Orientador del entonces INAI </w:t>
      </w:r>
      <w:r w:rsidRPr="00F27DDE">
        <w:rPr>
          <w:rFonts w:ascii="Palatino Linotype" w:eastAsia="Palatino Linotype" w:hAnsi="Palatino Linotype" w:cs="Palatino Linotype"/>
          <w:b/>
          <w:bCs/>
          <w:sz w:val="22"/>
          <w:szCs w:val="22"/>
        </w:rPr>
        <w:t>004/2021,</w:t>
      </w:r>
      <w:r w:rsidRPr="00F27DDE">
        <w:rPr>
          <w:rFonts w:ascii="Palatino Linotype" w:eastAsia="Palatino Linotype" w:hAnsi="Palatino Linotype" w:cs="Palatino Linotype"/>
          <w:sz w:val="22"/>
          <w:szCs w:val="22"/>
        </w:rPr>
        <w:t xml:space="preserve"> el cual es del tenor literal siguiente:</w:t>
      </w:r>
    </w:p>
    <w:p w:rsidR="00655D03" w:rsidRPr="00F27DDE" w:rsidRDefault="00655D03">
      <w:pPr>
        <w:pBdr>
          <w:top w:val="nil"/>
          <w:left w:val="nil"/>
          <w:bottom w:val="nil"/>
          <w:right w:val="nil"/>
          <w:between w:val="nil"/>
        </w:pBdr>
        <w:spacing w:line="360" w:lineRule="auto"/>
        <w:ind w:right="49"/>
        <w:jc w:val="both"/>
        <w:rPr>
          <w:rFonts w:ascii="Palatino Linotype" w:eastAsia="Palatino Linotype" w:hAnsi="Palatino Linotype" w:cs="Palatino Linotype"/>
          <w:i/>
          <w:iCs/>
          <w:sz w:val="22"/>
          <w:szCs w:val="22"/>
        </w:rPr>
      </w:pPr>
    </w:p>
    <w:p w:rsidR="00655D03" w:rsidRPr="00F27DDE" w:rsidRDefault="009E03C2">
      <w:pPr>
        <w:pBdr>
          <w:top w:val="nil"/>
          <w:left w:val="nil"/>
          <w:bottom w:val="nil"/>
          <w:right w:val="nil"/>
          <w:between w:val="nil"/>
        </w:pBdr>
        <w:spacing w:line="360" w:lineRule="auto"/>
        <w:ind w:left="284" w:right="560"/>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i/>
          <w:iCs/>
          <w:sz w:val="22"/>
          <w:szCs w:val="22"/>
        </w:rPr>
        <w:t>“</w:t>
      </w:r>
      <w:r w:rsidRPr="00F27DDE">
        <w:rPr>
          <w:rFonts w:ascii="Palatino Linotype" w:eastAsia="Palatino Linotype" w:hAnsi="Palatino Linotype" w:cs="Palatino Linotype"/>
          <w:b/>
          <w:bCs/>
          <w:i/>
          <w:iCs/>
          <w:sz w:val="22"/>
          <w:szCs w:val="22"/>
        </w:rPr>
        <w:t xml:space="preserve">Registro Federal de Contribuyentes (RFC) de personas físicas proveedores o contratistas. </w:t>
      </w:r>
      <w:r w:rsidRPr="00F27DDE">
        <w:rPr>
          <w:rFonts w:ascii="Palatino Linotype" w:eastAsia="Palatino Linotype" w:hAnsi="Palatino Linotype" w:cs="Palatino Linotype"/>
          <w:i/>
          <w:iCs/>
          <w:sz w:val="22"/>
          <w:szCs w:val="22"/>
        </w:rPr>
        <w:t>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rsidR="00655D03" w:rsidRPr="00F27DDE" w:rsidRDefault="00655D03">
      <w:pPr>
        <w:pBdr>
          <w:top w:val="nil"/>
          <w:left w:val="nil"/>
          <w:bottom w:val="nil"/>
          <w:right w:val="nil"/>
          <w:between w:val="nil"/>
        </w:pBdr>
        <w:spacing w:line="360" w:lineRule="auto"/>
        <w:ind w:left="284" w:right="560"/>
        <w:jc w:val="both"/>
      </w:pPr>
    </w:p>
    <w:p w:rsidR="00655D03" w:rsidRPr="00F27DDE" w:rsidRDefault="009E03C2">
      <w:pPr>
        <w:numPr>
          <w:ilvl w:val="0"/>
          <w:numId w:val="6"/>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b/>
          <w:bCs/>
          <w:sz w:val="22"/>
          <w:szCs w:val="22"/>
        </w:rPr>
        <w:t xml:space="preserve">Firma de servidores públicos. </w:t>
      </w:r>
      <w:r w:rsidRPr="00F27DDE">
        <w:rPr>
          <w:rFonts w:ascii="Palatino Linotype" w:eastAsia="Palatino Linotype" w:hAnsi="Palatino Linotype" w:cs="Palatino Linotype"/>
          <w:sz w:val="22"/>
          <w:szCs w:val="22"/>
        </w:rPr>
        <w:t>Como quedó asentado anteriormente, la firma de servidores públicos no es susceptible de ser clasificada, cuando esta es realizada en ejercicio de las atribuciones que les fueron conferidas.</w:t>
      </w:r>
    </w:p>
    <w:p w:rsidR="00655D03" w:rsidRPr="00F27DDE" w:rsidRDefault="00655D03">
      <w:pPr>
        <w:spacing w:line="360" w:lineRule="auto"/>
        <w:jc w:val="both"/>
        <w:rPr>
          <w:rFonts w:ascii="Palatino Linotype" w:eastAsia="Palatino Linotype" w:hAnsi="Palatino Linotype" w:cs="Palatino Linotype"/>
          <w:sz w:val="22"/>
          <w:szCs w:val="22"/>
        </w:rPr>
      </w:pPr>
    </w:p>
    <w:p w:rsidR="00655D03" w:rsidRPr="00F27DDE" w:rsidRDefault="009E03C2">
      <w:pPr>
        <w:spacing w:line="360" w:lineRule="auto"/>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F27DDE">
        <w:rPr>
          <w:rFonts w:ascii="Palatino Linotype" w:eastAsia="Palatino Linotype" w:hAnsi="Palatino Linotype" w:cs="Palatino Linotype"/>
          <w:b/>
          <w:bCs/>
          <w:sz w:val="22"/>
          <w:szCs w:val="22"/>
        </w:rPr>
        <w:t>Sujeto Obligado</w:t>
      </w:r>
      <w:r w:rsidRPr="00F27DDE">
        <w:rPr>
          <w:rFonts w:ascii="Palatino Linotype" w:eastAsia="Palatino Linotype" w:hAnsi="Palatino Linotype" w:cs="Palatino Linotype"/>
          <w:sz w:val="22"/>
          <w:szCs w:val="22"/>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655D03" w:rsidRPr="00F27DDE" w:rsidRDefault="009E03C2">
      <w:pPr>
        <w:spacing w:before="240" w:after="240" w:line="360" w:lineRule="auto"/>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rsidR="00655D03" w:rsidRPr="00F27DDE" w:rsidRDefault="00655D03">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bCs/>
          <w:sz w:val="22"/>
          <w:szCs w:val="22"/>
        </w:rPr>
      </w:pPr>
    </w:p>
    <w:p w:rsidR="00655D03" w:rsidRPr="00F27DDE" w:rsidRDefault="00655D03">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bCs/>
          <w:sz w:val="22"/>
          <w:szCs w:val="22"/>
        </w:rPr>
      </w:pPr>
      <w:bookmarkStart w:id="2" w:name="_heading=h.gw2v0leme2dq" w:colFirst="0" w:colLast="0"/>
      <w:bookmarkEnd w:id="2"/>
    </w:p>
    <w:p w:rsidR="00655D03" w:rsidRPr="00F27DDE" w:rsidRDefault="009E03C2">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bCs/>
          <w:sz w:val="22"/>
          <w:szCs w:val="22"/>
        </w:rPr>
      </w:pPr>
      <w:r w:rsidRPr="00F27DDE">
        <w:rPr>
          <w:rFonts w:ascii="Palatino Linotype" w:eastAsia="Palatino Linotype" w:hAnsi="Palatino Linotype" w:cs="Palatino Linotype"/>
          <w:b/>
          <w:bCs/>
          <w:sz w:val="22"/>
          <w:szCs w:val="22"/>
        </w:rPr>
        <w:t>R E S U E L V E:</w:t>
      </w:r>
    </w:p>
    <w:p w:rsidR="00655D03" w:rsidRPr="00F27DDE" w:rsidRDefault="009E03C2">
      <w:pPr>
        <w:spacing w:before="240" w:after="240" w:line="360" w:lineRule="auto"/>
        <w:jc w:val="both"/>
        <w:rPr>
          <w:rFonts w:ascii="Palatino Linotype" w:eastAsia="Palatino Linotype" w:hAnsi="Palatino Linotype" w:cs="Palatino Linotype"/>
          <w:b/>
          <w:bCs/>
          <w:sz w:val="22"/>
          <w:szCs w:val="22"/>
        </w:rPr>
      </w:pPr>
      <w:r w:rsidRPr="00F27DDE">
        <w:rPr>
          <w:rFonts w:ascii="Palatino Linotype" w:eastAsia="Palatino Linotype" w:hAnsi="Palatino Linotype" w:cs="Palatino Linotype"/>
          <w:b/>
          <w:bCs/>
          <w:sz w:val="22"/>
          <w:szCs w:val="22"/>
        </w:rPr>
        <w:t xml:space="preserve">Primero. </w:t>
      </w:r>
      <w:r w:rsidRPr="00F27DDE">
        <w:rPr>
          <w:rFonts w:ascii="Palatino Linotype" w:eastAsia="Palatino Linotype" w:hAnsi="Palatino Linotype" w:cs="Palatino Linotype"/>
          <w:sz w:val="22"/>
          <w:szCs w:val="22"/>
        </w:rPr>
        <w:t>Resultan</w:t>
      </w:r>
      <w:r w:rsidRPr="00F27DDE">
        <w:rPr>
          <w:rFonts w:ascii="Palatino Linotype" w:eastAsia="Palatino Linotype" w:hAnsi="Palatino Linotype" w:cs="Palatino Linotype"/>
          <w:b/>
          <w:bCs/>
          <w:sz w:val="22"/>
          <w:szCs w:val="22"/>
        </w:rPr>
        <w:t xml:space="preserve"> fundados </w:t>
      </w:r>
      <w:r w:rsidRPr="00F27DDE">
        <w:rPr>
          <w:rFonts w:ascii="Palatino Linotype" w:eastAsia="Palatino Linotype" w:hAnsi="Palatino Linotype" w:cs="Palatino Linotype"/>
          <w:sz w:val="22"/>
          <w:szCs w:val="22"/>
        </w:rPr>
        <w:t xml:space="preserve">los motivos de inconformidad hechos valer por </w:t>
      </w:r>
      <w:r w:rsidRPr="00F27DDE">
        <w:rPr>
          <w:rFonts w:ascii="Palatino Linotype" w:eastAsia="Palatino Linotype" w:hAnsi="Palatino Linotype" w:cs="Palatino Linotype"/>
          <w:b/>
          <w:bCs/>
          <w:sz w:val="22"/>
          <w:szCs w:val="22"/>
        </w:rPr>
        <w:t>la parte Recurrente</w:t>
      </w:r>
      <w:r w:rsidRPr="00F27DDE">
        <w:rPr>
          <w:rFonts w:ascii="Palatino Linotype" w:eastAsia="Palatino Linotype" w:hAnsi="Palatino Linotype" w:cs="Palatino Linotype"/>
          <w:sz w:val="22"/>
          <w:szCs w:val="22"/>
        </w:rPr>
        <w:t xml:space="preserve"> en el Recurso de Revisión</w:t>
      </w:r>
      <w:r w:rsidRPr="00F27DDE">
        <w:rPr>
          <w:rFonts w:ascii="Palatino Linotype" w:eastAsia="Palatino Linotype" w:hAnsi="Palatino Linotype" w:cs="Palatino Linotype"/>
          <w:b/>
          <w:bCs/>
          <w:sz w:val="22"/>
          <w:szCs w:val="22"/>
        </w:rPr>
        <w:t xml:space="preserve"> 07604/INFOEM/IP/RR/2025, </w:t>
      </w:r>
      <w:r w:rsidRPr="00F27DDE">
        <w:rPr>
          <w:rFonts w:ascii="Palatino Linotype" w:eastAsia="Palatino Linotype" w:hAnsi="Palatino Linotype" w:cs="Palatino Linotype"/>
          <w:sz w:val="22"/>
          <w:szCs w:val="22"/>
        </w:rPr>
        <w:t>por lo que</w:t>
      </w:r>
      <w:r w:rsidRPr="00F27DDE">
        <w:rPr>
          <w:rFonts w:ascii="Palatino Linotype" w:eastAsia="Palatino Linotype" w:hAnsi="Palatino Linotype" w:cs="Palatino Linotype"/>
          <w:b/>
          <w:bCs/>
          <w:sz w:val="22"/>
          <w:szCs w:val="22"/>
        </w:rPr>
        <w:t xml:space="preserve">, en términos del Considerando Cuarto </w:t>
      </w:r>
      <w:r w:rsidRPr="00F27DDE">
        <w:rPr>
          <w:rFonts w:ascii="Palatino Linotype" w:eastAsia="Palatino Linotype" w:hAnsi="Palatino Linotype" w:cs="Palatino Linotype"/>
          <w:sz w:val="22"/>
          <w:szCs w:val="22"/>
        </w:rPr>
        <w:t>de la presente resolución</w:t>
      </w:r>
      <w:r w:rsidRPr="00F27DDE">
        <w:rPr>
          <w:rFonts w:ascii="Palatino Linotype" w:eastAsia="Palatino Linotype" w:hAnsi="Palatino Linotype" w:cs="Palatino Linotype"/>
          <w:b/>
          <w:bCs/>
          <w:sz w:val="22"/>
          <w:szCs w:val="22"/>
        </w:rPr>
        <w:t>, se REVOCA l</w:t>
      </w:r>
      <w:r w:rsidRPr="00F27DDE">
        <w:rPr>
          <w:rFonts w:ascii="Palatino Linotype" w:eastAsia="Palatino Linotype" w:hAnsi="Palatino Linotype" w:cs="Palatino Linotype"/>
          <w:sz w:val="22"/>
          <w:szCs w:val="22"/>
        </w:rPr>
        <w:t>a respuesta del</w:t>
      </w:r>
      <w:r w:rsidRPr="00F27DDE">
        <w:rPr>
          <w:rFonts w:ascii="Palatino Linotype" w:eastAsia="Palatino Linotype" w:hAnsi="Palatino Linotype" w:cs="Palatino Linotype"/>
          <w:b/>
          <w:bCs/>
          <w:sz w:val="22"/>
          <w:szCs w:val="22"/>
        </w:rPr>
        <w:t xml:space="preserve"> Sujeto Obligado.</w:t>
      </w:r>
    </w:p>
    <w:p w:rsidR="00655D03" w:rsidRPr="00F27DDE" w:rsidRDefault="009E03C2">
      <w:pPr>
        <w:spacing w:before="240" w:after="240" w:line="360" w:lineRule="auto"/>
        <w:jc w:val="both"/>
        <w:rPr>
          <w:rFonts w:ascii="Palatino Linotype" w:eastAsia="Palatino Linotype" w:hAnsi="Palatino Linotype" w:cs="Palatino Linotype"/>
          <w:b/>
          <w:bCs/>
          <w:sz w:val="22"/>
          <w:szCs w:val="22"/>
        </w:rPr>
      </w:pPr>
      <w:bookmarkStart w:id="3" w:name="_heading=h.j3ppyxwlb1s2" w:colFirst="0" w:colLast="0"/>
      <w:bookmarkEnd w:id="3"/>
      <w:r w:rsidRPr="00F27DDE">
        <w:rPr>
          <w:rFonts w:ascii="Palatino Linotype" w:eastAsia="Palatino Linotype" w:hAnsi="Palatino Linotype" w:cs="Palatino Linotype"/>
          <w:b/>
          <w:bCs/>
          <w:sz w:val="22"/>
          <w:szCs w:val="22"/>
        </w:rPr>
        <w:t xml:space="preserve">Segundo. Se Ordena al Sujeto Obligado </w:t>
      </w:r>
      <w:r w:rsidRPr="00F27DDE">
        <w:rPr>
          <w:rFonts w:ascii="Palatino Linotype" w:eastAsia="Palatino Linotype" w:hAnsi="Palatino Linotype" w:cs="Palatino Linotype"/>
          <w:sz w:val="22"/>
          <w:szCs w:val="22"/>
        </w:rPr>
        <w:t>que en términos de los</w:t>
      </w:r>
      <w:r w:rsidRPr="00F27DDE">
        <w:rPr>
          <w:rFonts w:ascii="Palatino Linotype" w:eastAsia="Palatino Linotype" w:hAnsi="Palatino Linotype" w:cs="Palatino Linotype"/>
          <w:b/>
          <w:bCs/>
          <w:sz w:val="22"/>
          <w:szCs w:val="22"/>
        </w:rPr>
        <w:t xml:space="preserve"> Considerandos Cuarto y Quinto </w:t>
      </w:r>
      <w:r w:rsidRPr="00F27DDE">
        <w:rPr>
          <w:rFonts w:ascii="Palatino Linotype" w:eastAsia="Palatino Linotype" w:hAnsi="Palatino Linotype" w:cs="Palatino Linotype"/>
          <w:sz w:val="22"/>
          <w:szCs w:val="22"/>
        </w:rPr>
        <w:t xml:space="preserve">de esta resolución, haga entrega previa búsqueda exhaustiva y razonable, a </w:t>
      </w:r>
      <w:r w:rsidRPr="00F27DDE">
        <w:rPr>
          <w:rFonts w:ascii="Palatino Linotype" w:eastAsia="Palatino Linotype" w:hAnsi="Palatino Linotype" w:cs="Palatino Linotype"/>
          <w:b/>
          <w:bCs/>
          <w:sz w:val="22"/>
          <w:szCs w:val="22"/>
        </w:rPr>
        <w:t xml:space="preserve">la parte Recurrente a través del SAIMEX, en versión pública, </w:t>
      </w:r>
      <w:r w:rsidRPr="00F27DDE">
        <w:rPr>
          <w:rFonts w:ascii="Palatino Linotype" w:eastAsia="Palatino Linotype" w:hAnsi="Palatino Linotype" w:cs="Palatino Linotype"/>
          <w:sz w:val="22"/>
          <w:szCs w:val="22"/>
        </w:rPr>
        <w:t>la siguiente información:</w:t>
      </w:r>
    </w:p>
    <w:p w:rsidR="00655D03" w:rsidRPr="00F27DDE" w:rsidRDefault="009E03C2">
      <w:pPr>
        <w:numPr>
          <w:ilvl w:val="0"/>
          <w:numId w:val="5"/>
        </w:numPr>
        <w:pBdr>
          <w:top w:val="nil"/>
          <w:left w:val="nil"/>
          <w:bottom w:val="nil"/>
          <w:right w:val="nil"/>
          <w:between w:val="nil"/>
        </w:pBdr>
        <w:spacing w:before="240" w:after="240" w:line="276" w:lineRule="auto"/>
        <w:ind w:left="360" w:right="49"/>
        <w:jc w:val="both"/>
        <w:rPr>
          <w:rFonts w:ascii="Palatino Linotype" w:eastAsia="Palatino Linotype" w:hAnsi="Palatino Linotype" w:cs="Palatino Linotype"/>
          <w:b/>
          <w:bCs/>
          <w:i/>
          <w:iCs/>
          <w:sz w:val="22"/>
          <w:szCs w:val="22"/>
        </w:rPr>
      </w:pPr>
      <w:r w:rsidRPr="00F27DDE">
        <w:rPr>
          <w:rFonts w:ascii="Palatino Linotype" w:eastAsia="Palatino Linotype" w:hAnsi="Palatino Linotype" w:cs="Palatino Linotype"/>
          <w:b/>
          <w:bCs/>
        </w:rPr>
        <w:t>Facturas pagadas por un monto superior a diez millones de pesos del uno de enero al treinta y uno de diciembre de dos mil veinticuatro</w:t>
      </w:r>
    </w:p>
    <w:p w:rsidR="00655D03" w:rsidRPr="00F27DDE" w:rsidRDefault="009E03C2">
      <w:pPr>
        <w:pBdr>
          <w:top w:val="nil"/>
          <w:left w:val="nil"/>
          <w:bottom w:val="nil"/>
          <w:right w:val="nil"/>
          <w:between w:val="nil"/>
        </w:pBdr>
        <w:spacing w:before="240" w:after="240" w:line="276" w:lineRule="auto"/>
        <w:ind w:left="360" w:right="49"/>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i/>
          <w:iCs/>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la parte </w:t>
      </w:r>
      <w:r w:rsidRPr="00F27DDE">
        <w:rPr>
          <w:rFonts w:ascii="Palatino Linotype" w:eastAsia="Palatino Linotype" w:hAnsi="Palatino Linotype" w:cs="Palatino Linotype"/>
          <w:b/>
          <w:bCs/>
          <w:i/>
          <w:iCs/>
          <w:sz w:val="22"/>
          <w:szCs w:val="22"/>
        </w:rPr>
        <w:t>Recurrente</w:t>
      </w:r>
      <w:r w:rsidRPr="00F27DDE">
        <w:rPr>
          <w:rFonts w:ascii="Palatino Linotype" w:eastAsia="Palatino Linotype" w:hAnsi="Palatino Linotype" w:cs="Palatino Linotype"/>
          <w:i/>
          <w:iCs/>
          <w:sz w:val="22"/>
          <w:szCs w:val="22"/>
        </w:rPr>
        <w:t xml:space="preserve">, mismo que igualmente hará de su conocimiento. </w:t>
      </w:r>
    </w:p>
    <w:p w:rsidR="00655D03" w:rsidRPr="00F27DDE" w:rsidRDefault="009E03C2">
      <w:pPr>
        <w:pBdr>
          <w:top w:val="nil"/>
          <w:left w:val="nil"/>
          <w:bottom w:val="nil"/>
          <w:right w:val="nil"/>
          <w:between w:val="nil"/>
        </w:pBdr>
        <w:spacing w:before="240" w:after="240" w:line="276" w:lineRule="auto"/>
        <w:ind w:left="360" w:right="49"/>
        <w:jc w:val="both"/>
        <w:rPr>
          <w:rFonts w:ascii="Palatino Linotype" w:eastAsia="Palatino Linotype" w:hAnsi="Palatino Linotype" w:cs="Palatino Linotype"/>
          <w:i/>
          <w:iCs/>
          <w:sz w:val="22"/>
          <w:szCs w:val="22"/>
        </w:rPr>
      </w:pPr>
      <w:r w:rsidRPr="00F27DDE">
        <w:rPr>
          <w:rFonts w:ascii="Palatino Linotype" w:eastAsia="Palatino Linotype" w:hAnsi="Palatino Linotype" w:cs="Palatino Linotype"/>
          <w:i/>
          <w:iCs/>
          <w:sz w:val="22"/>
          <w:szCs w:val="22"/>
        </w:rPr>
        <w:t xml:space="preserve">De ser el caso de que no se cuente con la información requerida por no haber emitido facturas por más de diez millones de pesos, bastará con que así lo haga del conocimiento de la parte </w:t>
      </w:r>
      <w:r w:rsidRPr="00F27DDE">
        <w:rPr>
          <w:rFonts w:ascii="Palatino Linotype" w:eastAsia="Palatino Linotype" w:hAnsi="Palatino Linotype" w:cs="Palatino Linotype"/>
          <w:b/>
          <w:bCs/>
          <w:i/>
          <w:iCs/>
          <w:sz w:val="22"/>
          <w:szCs w:val="22"/>
        </w:rPr>
        <w:t>Recurrente</w:t>
      </w:r>
      <w:r w:rsidRPr="00F27DDE">
        <w:rPr>
          <w:rFonts w:ascii="Palatino Linotype" w:eastAsia="Palatino Linotype" w:hAnsi="Palatino Linotype" w:cs="Palatino Linotype"/>
          <w:i/>
          <w:iCs/>
          <w:sz w:val="22"/>
          <w:szCs w:val="22"/>
        </w:rPr>
        <w:t xml:space="preserve">, de manera clara y precisa, en términos del artículo 19, párrafo segundo de la Ley de Transparencia y Acceso a la Información pública del Estado de México y Municipios para tener por colmado el requerimiento de información. </w:t>
      </w:r>
    </w:p>
    <w:p w:rsidR="00655D03" w:rsidRPr="00F27DDE" w:rsidRDefault="009E03C2">
      <w:pPr>
        <w:spacing w:before="240" w:after="240" w:line="360" w:lineRule="auto"/>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b/>
          <w:bCs/>
          <w:sz w:val="22"/>
          <w:szCs w:val="22"/>
        </w:rPr>
        <w:t xml:space="preserve">Tercero.  Notifíquese vía SAIMEX, </w:t>
      </w:r>
      <w:r w:rsidRPr="00F27DDE">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655D03" w:rsidRPr="00F27DDE" w:rsidRDefault="009E03C2">
      <w:pPr>
        <w:spacing w:before="240" w:after="240" w:line="360" w:lineRule="auto"/>
        <w:jc w:val="both"/>
        <w:rPr>
          <w:rFonts w:ascii="Palatino Linotype" w:eastAsia="Palatino Linotype" w:hAnsi="Palatino Linotype" w:cs="Palatino Linotype"/>
          <w:sz w:val="22"/>
          <w:szCs w:val="22"/>
        </w:rPr>
      </w:pPr>
      <w:r w:rsidRPr="00F27DDE">
        <w:rPr>
          <w:rFonts w:ascii="Palatino Linotype" w:eastAsia="Palatino Linotype" w:hAnsi="Palatino Linotype" w:cs="Palatino Linotype"/>
          <w:b/>
          <w:bCs/>
          <w:sz w:val="22"/>
          <w:szCs w:val="22"/>
        </w:rPr>
        <w:t xml:space="preserve">Cuarto. </w:t>
      </w:r>
      <w:r w:rsidRPr="00F27DDE">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F27DDE">
        <w:rPr>
          <w:rFonts w:ascii="Palatino Linotype" w:eastAsia="Palatino Linotype" w:hAnsi="Palatino Linotype" w:cs="Palatino Linotype"/>
          <w:b/>
          <w:bCs/>
          <w:sz w:val="22"/>
          <w:szCs w:val="22"/>
        </w:rPr>
        <w:t>Sujeto Obligado</w:t>
      </w:r>
      <w:r w:rsidRPr="00F27DDE">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rsidR="00655D03" w:rsidRPr="00F27DDE" w:rsidRDefault="009E03C2">
      <w:pPr>
        <w:spacing w:line="360" w:lineRule="auto"/>
        <w:jc w:val="both"/>
        <w:rPr>
          <w:rFonts w:ascii="Palatino Linotype" w:eastAsia="Palatino Linotype" w:hAnsi="Palatino Linotype" w:cs="Palatino Linotype"/>
          <w:sz w:val="22"/>
          <w:szCs w:val="22"/>
        </w:rPr>
      </w:pPr>
      <w:bookmarkStart w:id="4" w:name="_heading=h.tyjcwt" w:colFirst="0" w:colLast="0"/>
      <w:bookmarkEnd w:id="4"/>
      <w:r w:rsidRPr="00F27DDE">
        <w:rPr>
          <w:rFonts w:ascii="Palatino Linotype" w:eastAsia="Palatino Linotype" w:hAnsi="Palatino Linotype" w:cs="Palatino Linotype"/>
          <w:b/>
          <w:bCs/>
          <w:sz w:val="22"/>
          <w:szCs w:val="22"/>
        </w:rPr>
        <w:t xml:space="preserve">Quinto. Notifíquese vía SAIMEX, </w:t>
      </w:r>
      <w:r w:rsidRPr="00F27DDE">
        <w:rPr>
          <w:rFonts w:ascii="Palatino Linotype" w:eastAsia="Palatino Linotype" w:hAnsi="Palatino Linotype" w:cs="Palatino Linotype"/>
          <w:sz w:val="22"/>
          <w:szCs w:val="22"/>
        </w:rPr>
        <w:t>a</w:t>
      </w:r>
      <w:r w:rsidRPr="00F27DDE">
        <w:rPr>
          <w:rFonts w:ascii="Palatino Linotype" w:eastAsia="Palatino Linotype" w:hAnsi="Palatino Linotype" w:cs="Palatino Linotype"/>
          <w:b/>
          <w:bCs/>
          <w:sz w:val="22"/>
          <w:szCs w:val="22"/>
        </w:rPr>
        <w:t xml:space="preserve"> la parte Recurrente</w:t>
      </w:r>
      <w:r w:rsidRPr="00F27DDE">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rsidR="00655D03" w:rsidRPr="00F27DDE" w:rsidRDefault="00655D03">
      <w:pPr>
        <w:spacing w:line="360" w:lineRule="auto"/>
        <w:jc w:val="both"/>
        <w:rPr>
          <w:rFonts w:ascii="Palatino Linotype" w:eastAsia="Palatino Linotype" w:hAnsi="Palatino Linotype" w:cs="Palatino Linotype"/>
          <w:b/>
          <w:bCs/>
          <w:sz w:val="22"/>
          <w:szCs w:val="22"/>
        </w:rPr>
      </w:pPr>
    </w:p>
    <w:p w:rsidR="00655D03" w:rsidRPr="009E03C2" w:rsidRDefault="009E03C2">
      <w:pPr>
        <w:spacing w:line="360" w:lineRule="auto"/>
        <w:ind w:right="-93"/>
        <w:jc w:val="both"/>
        <w:rPr>
          <w:rFonts w:ascii="Palatino Linotype" w:eastAsia="Palatino Linotype" w:hAnsi="Palatino Linotype" w:cs="Palatino Linotype"/>
          <w:sz w:val="22"/>
          <w:szCs w:val="22"/>
        </w:rPr>
      </w:pPr>
      <w:bookmarkStart w:id="5" w:name="_heading=h.jl0dlasot4f" w:colFirst="0" w:colLast="0"/>
      <w:bookmarkEnd w:id="5"/>
      <w:r w:rsidRPr="00F27DDE">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PRIMERA SESIÓN ORDINARIA CELEBRADA EL CATORCE DE ENERO DE DOS MIL VEINTISÉIS, ANTE EL SECRETARIO TÉCNICO DEL PLENO ALEXIS TAPIA RAMÍREZ.</w:t>
      </w:r>
    </w:p>
    <w:p w:rsidR="00655D03" w:rsidRPr="009E03C2" w:rsidRDefault="00655D03">
      <w:pPr>
        <w:spacing w:line="360" w:lineRule="auto"/>
        <w:ind w:right="-93"/>
        <w:jc w:val="both"/>
        <w:rPr>
          <w:rFonts w:ascii="Palatino Linotype" w:eastAsia="Palatino Linotype" w:hAnsi="Palatino Linotype" w:cs="Palatino Linotype"/>
          <w:sz w:val="22"/>
          <w:szCs w:val="22"/>
        </w:rPr>
      </w:pPr>
    </w:p>
    <w:p w:rsidR="00655D03" w:rsidRPr="009E03C2" w:rsidRDefault="00655D03">
      <w:pPr>
        <w:spacing w:line="360" w:lineRule="auto"/>
        <w:ind w:right="-93"/>
        <w:jc w:val="both"/>
        <w:rPr>
          <w:rFonts w:ascii="Palatino Linotype" w:eastAsia="Palatino Linotype" w:hAnsi="Palatino Linotype" w:cs="Palatino Linotype"/>
          <w:sz w:val="22"/>
          <w:szCs w:val="22"/>
        </w:rPr>
      </w:pPr>
    </w:p>
    <w:p w:rsidR="00655D03" w:rsidRPr="009E03C2" w:rsidRDefault="00655D03">
      <w:pPr>
        <w:spacing w:line="360" w:lineRule="auto"/>
        <w:ind w:right="-93"/>
        <w:jc w:val="both"/>
        <w:rPr>
          <w:rFonts w:ascii="Palatino Linotype" w:eastAsia="Palatino Linotype" w:hAnsi="Palatino Linotype" w:cs="Palatino Linotype"/>
          <w:sz w:val="22"/>
          <w:szCs w:val="22"/>
        </w:rPr>
      </w:pPr>
    </w:p>
    <w:p w:rsidR="00655D03" w:rsidRPr="009E03C2" w:rsidRDefault="00655D03">
      <w:pPr>
        <w:spacing w:line="360" w:lineRule="auto"/>
        <w:ind w:right="-93"/>
        <w:jc w:val="both"/>
        <w:rPr>
          <w:rFonts w:ascii="Palatino Linotype" w:eastAsia="Palatino Linotype" w:hAnsi="Palatino Linotype" w:cs="Palatino Linotype"/>
          <w:sz w:val="22"/>
          <w:szCs w:val="22"/>
        </w:rPr>
      </w:pPr>
    </w:p>
    <w:p w:rsidR="00655D03" w:rsidRPr="009E03C2" w:rsidRDefault="00655D03">
      <w:pPr>
        <w:spacing w:line="360" w:lineRule="auto"/>
        <w:ind w:right="-93"/>
        <w:jc w:val="both"/>
        <w:rPr>
          <w:rFonts w:ascii="Palatino Linotype" w:eastAsia="Palatino Linotype" w:hAnsi="Palatino Linotype" w:cs="Palatino Linotype"/>
          <w:sz w:val="22"/>
          <w:szCs w:val="22"/>
        </w:rPr>
      </w:pPr>
    </w:p>
    <w:p w:rsidR="00655D03" w:rsidRPr="009E03C2" w:rsidRDefault="00655D03">
      <w:pPr>
        <w:spacing w:line="360" w:lineRule="auto"/>
        <w:ind w:right="49"/>
        <w:jc w:val="both"/>
        <w:rPr>
          <w:rFonts w:ascii="Palatino Linotype" w:eastAsia="Palatino Linotype" w:hAnsi="Palatino Linotype" w:cs="Palatino Linotype"/>
          <w:sz w:val="22"/>
          <w:szCs w:val="22"/>
        </w:rPr>
      </w:pPr>
    </w:p>
    <w:sectPr w:rsidR="00655D03" w:rsidRPr="009E03C2">
      <w:headerReference w:type="default" r:id="rId8"/>
      <w:footerReference w:type="default" r:id="rId9"/>
      <w:headerReference w:type="first" r:id="rId10"/>
      <w:footerReference w:type="first" r:id="rId11"/>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5D4A" w:rsidRDefault="00205D4A">
      <w:r>
        <w:separator/>
      </w:r>
    </w:p>
  </w:endnote>
  <w:endnote w:type="continuationSeparator" w:id="0">
    <w:p w:rsidR="00205D4A" w:rsidRDefault="00205D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1A94F78E-54B6-43BB-ABA4-8D0DD7042CC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E6EF9A41-EBEA-4083-9C44-9D92998587A3}"/>
    <w:embedBold r:id="rId3" w:fontKey="{9B7E23BF-A958-496F-85B8-440F4857372E}"/>
    <w:embedItalic r:id="rId4" w:fontKey="{8FB34A94-680C-47F3-A13A-511270103193}"/>
    <w:embedBoldItalic r:id="rId5" w:fontKey="{3BEFA1F1-3696-4708-B07A-36D62CFA2AB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9933842A-E8EA-46FB-85BD-136578C73281}"/>
    <w:embedBold r:id="rId7" w:fontKey="{0CCDA12B-132E-418E-A871-785C26873AA6}"/>
    <w:embedItalic r:id="rId8" w:fontKey="{EAB14B06-6763-4282-B4EC-DBEE6D0726D6}"/>
  </w:font>
  <w:font w:name="Bookman Old Style">
    <w:panose1 w:val="02050604050505020204"/>
    <w:charset w:val="00"/>
    <w:family w:val="roman"/>
    <w:pitch w:val="variable"/>
    <w:sig w:usb0="00000287" w:usb1="00000000" w:usb2="00000000" w:usb3="00000000" w:csb0="0000009F" w:csb1="00000000"/>
    <w:embedRegular r:id="rId9" w:fontKey="{EE906757-5FC8-4BAA-A0C3-ECA67FACA54D}"/>
  </w:font>
  <w:font w:name="Georgia">
    <w:panose1 w:val="02040502050405020303"/>
    <w:charset w:val="00"/>
    <w:family w:val="roman"/>
    <w:pitch w:val="variable"/>
    <w:sig w:usb0="00000287" w:usb1="00000000" w:usb2="00000000" w:usb3="00000000" w:csb0="0000009F" w:csb1="00000000"/>
    <w:embedItalic r:id="rId10" w:fontKey="{F0E4F91D-E86A-4A6C-8074-B0014174CDDF}"/>
  </w:font>
  <w:font w:name="Calibri Light">
    <w:panose1 w:val="020F0302020204030204"/>
    <w:charset w:val="00"/>
    <w:family w:val="swiss"/>
    <w:pitch w:val="variable"/>
    <w:sig w:usb0="E4002EFF" w:usb1="C200247B" w:usb2="00000009" w:usb3="00000000" w:csb0="000001FF" w:csb1="00000000"/>
    <w:embedRegular r:id="rId11" w:fontKey="{95DB90DC-1731-4C7E-A1EE-B66715E4994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D03" w:rsidRDefault="009E03C2">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3841D5">
      <w:rPr>
        <w:b/>
        <w:bCs/>
        <w:noProof/>
        <w:color w:val="000000"/>
      </w:rPr>
      <w:t>18</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3841D5">
      <w:rPr>
        <w:b/>
        <w:bCs/>
        <w:noProof/>
        <w:color w:val="000000"/>
      </w:rPr>
      <w:t>32</w:t>
    </w:r>
    <w:r>
      <w:rPr>
        <w:b/>
        <w:bCs/>
        <w:color w:val="000000"/>
      </w:rPr>
      <w:fldChar w:fldCharType="end"/>
    </w:r>
  </w:p>
  <w:p w:rsidR="00655D03" w:rsidRDefault="00655D0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D03" w:rsidRDefault="009E03C2">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3841D5">
      <w:rPr>
        <w:b/>
        <w:bCs/>
        <w:noProof/>
        <w:color w:val="000000"/>
      </w:rPr>
      <w:t>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3841D5">
      <w:rPr>
        <w:b/>
        <w:bCs/>
        <w:noProof/>
        <w:color w:val="000000"/>
      </w:rPr>
      <w:t>32</w:t>
    </w:r>
    <w:r>
      <w:rPr>
        <w:b/>
        <w:bCs/>
        <w:color w:val="000000"/>
      </w:rPr>
      <w:fldChar w:fldCharType="end"/>
    </w:r>
  </w:p>
  <w:p w:rsidR="00655D03" w:rsidRDefault="00655D03">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5D4A" w:rsidRDefault="00205D4A">
      <w:r>
        <w:separator/>
      </w:r>
    </w:p>
  </w:footnote>
  <w:footnote w:type="continuationSeparator" w:id="0">
    <w:p w:rsidR="00205D4A" w:rsidRDefault="00205D4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D03" w:rsidRDefault="009E03C2">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simplePos x="0" y="0"/>
          <wp:positionH relativeFrom="column">
            <wp:posOffset>0</wp:posOffset>
          </wp:positionH>
          <wp:positionV relativeFrom="paragraph">
            <wp:posOffset>-401952</wp:posOffset>
          </wp:positionV>
          <wp:extent cx="7809876" cy="10165823"/>
          <wp:effectExtent l="0" t="0" r="0" b="0"/>
          <wp:wrapNone/>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8"/>
      <w:tblW w:w="5603" w:type="dxa"/>
      <w:tblInd w:w="3611" w:type="dxa"/>
      <w:tblLayout w:type="fixed"/>
      <w:tblLook w:val="0400" w:firstRow="0" w:lastRow="0" w:firstColumn="0" w:lastColumn="0" w:noHBand="0" w:noVBand="1"/>
    </w:tblPr>
    <w:tblGrid>
      <w:gridCol w:w="2551"/>
      <w:gridCol w:w="3052"/>
    </w:tblGrid>
    <w:tr w:rsidR="00655D03">
      <w:tc>
        <w:tcPr>
          <w:tcW w:w="2551" w:type="dxa"/>
          <w:vAlign w:val="center"/>
        </w:tcPr>
        <w:p w:rsidR="00655D03" w:rsidRDefault="009E03C2">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Recurso de Revisión:</w:t>
          </w:r>
        </w:p>
        <w:p w:rsidR="00655D03" w:rsidRDefault="00655D03">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p>
      </w:tc>
      <w:tc>
        <w:tcPr>
          <w:tcW w:w="3052" w:type="dxa"/>
          <w:vAlign w:val="center"/>
        </w:tcPr>
        <w:p w:rsidR="00655D03" w:rsidRDefault="009E03C2">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07604/INFOEM/IP/RR/2025</w:t>
          </w:r>
        </w:p>
      </w:tc>
    </w:tr>
    <w:tr w:rsidR="00655D03">
      <w:trPr>
        <w:trHeight w:val="217"/>
      </w:trPr>
      <w:tc>
        <w:tcPr>
          <w:tcW w:w="2551" w:type="dxa"/>
          <w:vAlign w:val="center"/>
        </w:tcPr>
        <w:p w:rsidR="00655D03" w:rsidRDefault="009E03C2">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Sujeto obligado:</w:t>
          </w:r>
        </w:p>
      </w:tc>
      <w:tc>
        <w:tcPr>
          <w:tcW w:w="3052" w:type="dxa"/>
          <w:vAlign w:val="center"/>
        </w:tcPr>
        <w:p w:rsidR="00655D03" w:rsidRDefault="009E03C2">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Oficialía Mayor</w:t>
          </w:r>
        </w:p>
      </w:tc>
    </w:tr>
    <w:tr w:rsidR="00655D03">
      <w:tc>
        <w:tcPr>
          <w:tcW w:w="2551" w:type="dxa"/>
          <w:vAlign w:val="center"/>
        </w:tcPr>
        <w:p w:rsidR="00655D03" w:rsidRDefault="009E03C2">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Comisionada ponente:</w:t>
          </w:r>
        </w:p>
      </w:tc>
      <w:tc>
        <w:tcPr>
          <w:tcW w:w="3052" w:type="dxa"/>
          <w:vAlign w:val="center"/>
        </w:tcPr>
        <w:p w:rsidR="00655D03" w:rsidRDefault="009E03C2">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Guadalupe Ramírez Peña</w:t>
          </w:r>
        </w:p>
      </w:tc>
    </w:tr>
  </w:tbl>
  <w:p w:rsidR="00655D03" w:rsidRDefault="00655D03">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D03" w:rsidRDefault="009E03C2">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simplePos x="0" y="0"/>
          <wp:positionH relativeFrom="column">
            <wp:posOffset>-929003</wp:posOffset>
          </wp:positionH>
          <wp:positionV relativeFrom="paragraph">
            <wp:posOffset>-644523</wp:posOffset>
          </wp:positionV>
          <wp:extent cx="7809865" cy="10165715"/>
          <wp:effectExtent l="0" t="0" r="0" b="0"/>
          <wp:wrapNone/>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9"/>
      <w:tblW w:w="5461" w:type="dxa"/>
      <w:tblInd w:w="3611" w:type="dxa"/>
      <w:tblLayout w:type="fixed"/>
      <w:tblLook w:val="0400" w:firstRow="0" w:lastRow="0" w:firstColumn="0" w:lastColumn="0" w:noHBand="0" w:noVBand="1"/>
    </w:tblPr>
    <w:tblGrid>
      <w:gridCol w:w="2343"/>
      <w:gridCol w:w="3118"/>
    </w:tblGrid>
    <w:tr w:rsidR="00655D03">
      <w:tc>
        <w:tcPr>
          <w:tcW w:w="2343" w:type="dxa"/>
          <w:vAlign w:val="center"/>
        </w:tcPr>
        <w:p w:rsidR="00655D03" w:rsidRDefault="009E03C2">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Recurso de Revisión:</w:t>
          </w:r>
        </w:p>
        <w:p w:rsidR="00655D03" w:rsidRDefault="00655D03">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p>
      </w:tc>
      <w:tc>
        <w:tcPr>
          <w:tcW w:w="3118" w:type="dxa"/>
          <w:vAlign w:val="center"/>
        </w:tcPr>
        <w:p w:rsidR="00655D03" w:rsidRDefault="009E03C2">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2"/>
              <w:szCs w:val="22"/>
            </w:rPr>
            <w:t>07604/INFOEM/IP/RR/2025</w:t>
          </w:r>
        </w:p>
      </w:tc>
    </w:tr>
    <w:tr w:rsidR="00655D03">
      <w:tc>
        <w:tcPr>
          <w:tcW w:w="2343" w:type="dxa"/>
          <w:vAlign w:val="center"/>
        </w:tcPr>
        <w:p w:rsidR="00655D03" w:rsidRDefault="009E03C2">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Recurrente:</w:t>
          </w:r>
        </w:p>
      </w:tc>
      <w:tc>
        <w:tcPr>
          <w:tcW w:w="3118" w:type="dxa"/>
          <w:vAlign w:val="center"/>
        </w:tcPr>
        <w:p w:rsidR="00655D03" w:rsidRDefault="003841D5">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XXXXX XXXXXX XXXXXXXX</w:t>
          </w:r>
        </w:p>
      </w:tc>
    </w:tr>
    <w:tr w:rsidR="00655D03">
      <w:trPr>
        <w:trHeight w:val="152"/>
      </w:trPr>
      <w:tc>
        <w:tcPr>
          <w:tcW w:w="2343" w:type="dxa"/>
          <w:vAlign w:val="center"/>
        </w:tcPr>
        <w:p w:rsidR="00655D03" w:rsidRDefault="009E03C2">
          <w:pP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Sujeto obligado:</w:t>
          </w:r>
        </w:p>
        <w:p w:rsidR="00655D03" w:rsidRDefault="00655D03">
          <w:pPr>
            <w:tabs>
              <w:tab w:val="center" w:pos="4419"/>
              <w:tab w:val="right" w:pos="8838"/>
            </w:tabs>
            <w:rPr>
              <w:rFonts w:ascii="Palatino Linotype" w:eastAsia="Palatino Linotype" w:hAnsi="Palatino Linotype" w:cs="Palatino Linotype"/>
              <w:b/>
              <w:bCs/>
              <w:color w:val="000000"/>
              <w:sz w:val="20"/>
              <w:szCs w:val="20"/>
            </w:rPr>
          </w:pPr>
        </w:p>
      </w:tc>
      <w:tc>
        <w:tcPr>
          <w:tcW w:w="3118" w:type="dxa"/>
          <w:vAlign w:val="center"/>
        </w:tcPr>
        <w:p w:rsidR="00655D03" w:rsidRDefault="009E03C2">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2"/>
              <w:szCs w:val="22"/>
            </w:rPr>
            <w:t>Oficialía Mayor</w:t>
          </w:r>
        </w:p>
      </w:tc>
    </w:tr>
    <w:tr w:rsidR="00655D03">
      <w:tc>
        <w:tcPr>
          <w:tcW w:w="2343" w:type="dxa"/>
          <w:vAlign w:val="center"/>
        </w:tcPr>
        <w:p w:rsidR="00655D03" w:rsidRDefault="009E03C2">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Comisionada ponente:</w:t>
          </w:r>
        </w:p>
      </w:tc>
      <w:tc>
        <w:tcPr>
          <w:tcW w:w="3118" w:type="dxa"/>
          <w:vAlign w:val="center"/>
        </w:tcPr>
        <w:p w:rsidR="00655D03" w:rsidRDefault="009E03C2">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Guadalupe Ramírez Peña</w:t>
          </w:r>
        </w:p>
      </w:tc>
    </w:tr>
  </w:tbl>
  <w:p w:rsidR="00655D03" w:rsidRDefault="009E03C2">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7275D3"/>
    <w:multiLevelType w:val="multilevel"/>
    <w:tmpl w:val="D70EBEB4"/>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384DFF"/>
    <w:multiLevelType w:val="multilevel"/>
    <w:tmpl w:val="105E54CC"/>
    <w:lvl w:ilvl="0">
      <w:start w:val="1"/>
      <w:numFmt w:val="bullet"/>
      <w:lvlText w:val="⮚"/>
      <w:lvlJc w:val="left"/>
      <w:pPr>
        <w:ind w:left="1440" w:hanging="360"/>
      </w:pPr>
      <w:rPr>
        <w:rFonts w:ascii="Noto Sans Symbols" w:eastAsia="Noto Sans Symbols" w:hAnsi="Noto Sans Symbols" w:cs="Noto Sans Symbols"/>
        <w:sz w:val="22"/>
        <w:szCs w:val="22"/>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2A5B1081"/>
    <w:multiLevelType w:val="multilevel"/>
    <w:tmpl w:val="B75AA9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F566821"/>
    <w:multiLevelType w:val="multilevel"/>
    <w:tmpl w:val="2294E4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11F5A52"/>
    <w:multiLevelType w:val="multilevel"/>
    <w:tmpl w:val="6B3C7766"/>
    <w:lvl w:ilvl="0">
      <w:start w:val="1"/>
      <w:numFmt w:val="lowerLetter"/>
      <w:pStyle w:val="Listaconvietas"/>
      <w:lvlText w:val="%1)"/>
      <w:lvlJc w:val="left"/>
      <w:pPr>
        <w:ind w:left="927" w:hanging="360"/>
      </w:pPr>
      <w:rPr>
        <w:b/>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7E0F60C1"/>
    <w:multiLevelType w:val="multilevel"/>
    <w:tmpl w:val="42D2D614"/>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3"/>
  </w:num>
  <w:num w:numId="3">
    <w:abstractNumId w:val="1"/>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D03"/>
    <w:rsid w:val="00205D4A"/>
    <w:rsid w:val="003841D5"/>
    <w:rsid w:val="00655D03"/>
    <w:rsid w:val="009E03C2"/>
    <w:rsid w:val="00B21611"/>
    <w:rsid w:val="00F27D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A306B"/>
  <w15:docId w15:val="{0367FC0B-858C-4BA6-8059-463F2F5B1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5"/>
    <w:tblPr>
      <w:tblStyleRowBandSize w:val="1"/>
      <w:tblStyleColBandSize w:val="1"/>
      <w:tblCellMar>
        <w:top w:w="15" w:type="dxa"/>
        <w:left w:w="115" w:type="dxa"/>
        <w:bottom w:w="15" w:type="dxa"/>
        <w:right w:w="115" w:type="dxa"/>
      </w:tblCellMar>
    </w:tblPr>
  </w:style>
  <w:style w:type="table" w:customStyle="1" w:styleId="a4">
    <w:basedOn w:val="TableNormal5"/>
    <w:tblPr>
      <w:tblStyleRowBandSize w:val="1"/>
      <w:tblStyleColBandSize w:val="1"/>
      <w:tblCellMar>
        <w:top w:w="15" w:type="dxa"/>
        <w:left w:w="115" w:type="dxa"/>
        <w:bottom w:w="15" w:type="dxa"/>
        <w:right w:w="115"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top w:w="15" w:type="dxa"/>
        <w:left w:w="115" w:type="dxa"/>
        <w:bottom w:w="15" w:type="dxa"/>
        <w:right w:w="115" w:type="dxa"/>
      </w:tblCellMar>
    </w:tblPr>
  </w:style>
  <w:style w:type="table" w:customStyle="1" w:styleId="aa">
    <w:basedOn w:val="TableNormal4"/>
    <w:tblPr>
      <w:tblStyleRowBandSize w:val="1"/>
      <w:tblStyleColBandSize w:val="1"/>
      <w:tblCellMar>
        <w:top w:w="15" w:type="dxa"/>
        <w:left w:w="115" w:type="dxa"/>
        <w:bottom w:w="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08" w:type="dxa"/>
        <w:right w:w="108" w:type="dxa"/>
      </w:tblCellMar>
    </w:tblPr>
  </w:style>
  <w:style w:type="table" w:customStyle="1" w:styleId="af0">
    <w:basedOn w:val="TableNormal3"/>
    <w:tblPr>
      <w:tblStyleRowBandSize w:val="1"/>
      <w:tblStyleColBandSize w:val="1"/>
      <w:tblCellMar>
        <w:left w:w="108" w:type="dxa"/>
        <w:right w:w="108" w:type="dxa"/>
      </w:tblCellMar>
    </w:tblPr>
  </w:style>
  <w:style w:type="table" w:customStyle="1" w:styleId="af1">
    <w:basedOn w:val="TableNormal3"/>
    <w:tblPr>
      <w:tblStyleRowBandSize w:val="1"/>
      <w:tblStyleColBandSize w:val="1"/>
      <w:tblCellMar>
        <w:top w:w="15" w:type="dxa"/>
        <w:left w:w="115" w:type="dxa"/>
        <w:bottom w:w="15" w:type="dxa"/>
        <w:right w:w="115" w:type="dxa"/>
      </w:tblCellMar>
    </w:tblPr>
  </w:style>
  <w:style w:type="table" w:customStyle="1" w:styleId="af2">
    <w:basedOn w:val="TableNormal3"/>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top w:w="15" w:type="dxa"/>
        <w:left w:w="115" w:type="dxa"/>
        <w:bottom w:w="15" w:type="dxa"/>
        <w:right w:w="115" w:type="dxa"/>
      </w:tblCellMar>
    </w:tblPr>
  </w:style>
  <w:style w:type="table" w:customStyle="1" w:styleId="af5">
    <w:basedOn w:val="TableNormal2"/>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4"/>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table" w:customStyle="1" w:styleId="af6">
    <w:basedOn w:val="TableNormal1"/>
    <w:tblPr>
      <w:tblStyleRowBandSize w:val="1"/>
      <w:tblStyleColBandSize w:val="1"/>
      <w:tblCellMar>
        <w:top w:w="15" w:type="dxa"/>
        <w:left w:w="115" w:type="dxa"/>
        <w:bottom w:w="15" w:type="dxa"/>
        <w:right w:w="115" w:type="dxa"/>
      </w:tblCellMar>
    </w:tblPr>
  </w:style>
  <w:style w:type="table" w:customStyle="1" w:styleId="af7">
    <w:basedOn w:val="TableNormal1"/>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 w:type="paragraph" w:customStyle="1" w:styleId="p1">
    <w:name w:val="p1"/>
    <w:basedOn w:val="Normal"/>
    <w:rsid w:val="00E41FFF"/>
    <w:rPr>
      <w:rFonts w:ascii="Bookman Old Style" w:hAnsi="Bookman Old Style"/>
      <w:color w:val="000000"/>
      <w:sz w:val="15"/>
      <w:szCs w:val="15"/>
      <w:lang w:val="es-ES" w:eastAsia="es-ES_tradnl"/>
    </w:rPr>
  </w:style>
  <w:style w:type="character" w:customStyle="1" w:styleId="s1">
    <w:name w:val="s1"/>
    <w:basedOn w:val="Fuentedeprrafopredeter"/>
    <w:rsid w:val="00E41FFF"/>
    <w:rPr>
      <w:rFonts w:ascii="Bookman Old Style" w:hAnsi="Bookman Old Style" w:hint="default"/>
      <w:sz w:val="15"/>
      <w:szCs w:val="15"/>
    </w:rPr>
  </w:style>
  <w:style w:type="character" w:customStyle="1" w:styleId="s2">
    <w:name w:val="s2"/>
    <w:basedOn w:val="Fuentedeprrafopredeter"/>
    <w:rsid w:val="00E41FFF"/>
    <w:rPr>
      <w:rFonts w:ascii="Arial" w:hAnsi="Arial" w:cs="Arial" w:hint="default"/>
      <w:sz w:val="15"/>
      <w:szCs w:val="15"/>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8">
    <w:basedOn w:val="TableNormal0"/>
    <w:tblPr>
      <w:tblStyleRowBandSize w:val="1"/>
      <w:tblStyleColBandSize w:val="1"/>
      <w:tblCellMar>
        <w:top w:w="15" w:type="dxa"/>
        <w:left w:w="115" w:type="dxa"/>
        <w:bottom w:w="15" w:type="dxa"/>
        <w:right w:w="115" w:type="dxa"/>
      </w:tblCellMar>
    </w:tblPr>
  </w:style>
  <w:style w:type="table" w:customStyle="1" w:styleId="af9">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voWmdbjnAtSN3Jv5oTVAULA2AQ==">CgMxLjAyCWguM3pueXNoNzIOaC5ndzJ2MGxlbWUyZHEyDmguajNwcHl4d2xiMXMyMghoLnR5amN3dDINaC5qbDBkbGFzb3Q0ZjgAciExLWhKaVBpU3Rra2VkWGdOdmFhdWZvQWNnZ0N5blFTRV8=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8486</Words>
  <Characters>46675</Characters>
  <Application>Microsoft Office Word</Application>
  <DocSecurity>0</DocSecurity>
  <Lines>388</Lines>
  <Paragraphs>110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2026-01-15T19:13:00Z</cp:lastPrinted>
  <dcterms:created xsi:type="dcterms:W3CDTF">2026-02-02T02:11:00Z</dcterms:created>
  <dcterms:modified xsi:type="dcterms:W3CDTF">2026-02-02T02:11:00Z</dcterms:modified>
</cp:coreProperties>
</file>