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2A93B" w14:textId="0C4402F2" w:rsidR="00694AA0" w:rsidRPr="006F57F2" w:rsidRDefault="005B22B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a </w:t>
      </w:r>
      <w:r w:rsidR="00396C62" w:rsidRPr="006F57F2">
        <w:rPr>
          <w:rFonts w:ascii="Palatino Linotype" w:eastAsia="Palatino Linotype" w:hAnsi="Palatino Linotype" w:cs="Palatino Linotype"/>
          <w:sz w:val="22"/>
          <w:szCs w:val="22"/>
        </w:rPr>
        <w:t>veinti</w:t>
      </w:r>
      <w:r w:rsidR="004C11AD" w:rsidRPr="006F57F2">
        <w:rPr>
          <w:rFonts w:ascii="Palatino Linotype" w:eastAsia="Palatino Linotype" w:hAnsi="Palatino Linotype" w:cs="Palatino Linotype"/>
          <w:sz w:val="22"/>
          <w:szCs w:val="22"/>
        </w:rPr>
        <w:t>cuatro</w:t>
      </w:r>
      <w:r w:rsidR="00442329" w:rsidRPr="006F57F2">
        <w:rPr>
          <w:rFonts w:ascii="Palatino Linotype" w:eastAsia="Palatino Linotype" w:hAnsi="Palatino Linotype" w:cs="Palatino Linotype"/>
          <w:sz w:val="22"/>
          <w:szCs w:val="22"/>
        </w:rPr>
        <w:t xml:space="preserve"> de septiembre</w:t>
      </w:r>
      <w:r w:rsidR="00067351" w:rsidRPr="006F57F2">
        <w:rPr>
          <w:rFonts w:ascii="Palatino Linotype" w:eastAsia="Palatino Linotype" w:hAnsi="Palatino Linotype" w:cs="Palatino Linotype"/>
          <w:sz w:val="22"/>
          <w:szCs w:val="22"/>
        </w:rPr>
        <w:t xml:space="preserve"> </w:t>
      </w:r>
      <w:r w:rsidRPr="006F57F2">
        <w:rPr>
          <w:rFonts w:ascii="Palatino Linotype" w:eastAsia="Palatino Linotype" w:hAnsi="Palatino Linotype" w:cs="Palatino Linotype"/>
          <w:sz w:val="22"/>
          <w:szCs w:val="22"/>
        </w:rPr>
        <w:t xml:space="preserve">de dos mil </w:t>
      </w:r>
      <w:r w:rsidR="00382740" w:rsidRPr="006F57F2">
        <w:rPr>
          <w:rFonts w:ascii="Palatino Linotype" w:eastAsia="Palatino Linotype" w:hAnsi="Palatino Linotype" w:cs="Palatino Linotype"/>
          <w:sz w:val="22"/>
          <w:szCs w:val="22"/>
        </w:rPr>
        <w:t>veintiséis</w:t>
      </w:r>
      <w:r w:rsidRPr="006F57F2">
        <w:rPr>
          <w:rFonts w:ascii="Palatino Linotype" w:eastAsia="Palatino Linotype" w:hAnsi="Palatino Linotype" w:cs="Palatino Linotype"/>
          <w:sz w:val="22"/>
          <w:szCs w:val="22"/>
        </w:rPr>
        <w:t xml:space="preserve">. </w:t>
      </w:r>
    </w:p>
    <w:p w14:paraId="32D33C57" w14:textId="6405AA41" w:rsidR="00694AA0" w:rsidRPr="006F57F2" w:rsidRDefault="005B22BA">
      <w:pPr>
        <w:tabs>
          <w:tab w:val="left" w:pos="5812"/>
        </w:tabs>
        <w:spacing w:before="240" w:after="240" w:line="360" w:lineRule="auto"/>
        <w:jc w:val="both"/>
        <w:rPr>
          <w:rFonts w:ascii="Palatino Linotype" w:eastAsia="Palatino Linotype" w:hAnsi="Palatino Linotype" w:cs="Palatino Linotype"/>
          <w:sz w:val="22"/>
          <w:szCs w:val="22"/>
        </w:rPr>
      </w:pPr>
      <w:bookmarkStart w:id="0" w:name="_heading=h.daj3j2xo6q66" w:colFirst="0" w:colLast="0"/>
      <w:bookmarkEnd w:id="0"/>
      <w:r w:rsidRPr="006F57F2">
        <w:rPr>
          <w:rFonts w:ascii="Palatino Linotype" w:eastAsia="Palatino Linotype" w:hAnsi="Palatino Linotype" w:cs="Palatino Linotype"/>
          <w:b/>
          <w:sz w:val="22"/>
          <w:szCs w:val="22"/>
        </w:rPr>
        <w:t>VISTO</w:t>
      </w:r>
      <w:r w:rsidRPr="006F57F2">
        <w:rPr>
          <w:rFonts w:ascii="Palatino Linotype" w:eastAsia="Palatino Linotype" w:hAnsi="Palatino Linotype" w:cs="Palatino Linotype"/>
          <w:sz w:val="22"/>
          <w:szCs w:val="22"/>
        </w:rPr>
        <w:t xml:space="preserve"> el expediente formado con motivo del recurso de revisión </w:t>
      </w:r>
      <w:r w:rsidR="001D3D99" w:rsidRPr="006F57F2">
        <w:rPr>
          <w:rFonts w:ascii="Palatino Linotype" w:eastAsia="Palatino Linotype" w:hAnsi="Palatino Linotype" w:cs="Palatino Linotype"/>
          <w:b/>
          <w:sz w:val="22"/>
          <w:szCs w:val="22"/>
        </w:rPr>
        <w:t>0</w:t>
      </w:r>
      <w:r w:rsidR="00EB06FF" w:rsidRPr="006F57F2">
        <w:rPr>
          <w:rFonts w:ascii="Palatino Linotype" w:eastAsia="Palatino Linotype" w:hAnsi="Palatino Linotype" w:cs="Palatino Linotype"/>
          <w:b/>
          <w:sz w:val="22"/>
          <w:szCs w:val="22"/>
        </w:rPr>
        <w:t>7257</w:t>
      </w:r>
      <w:r w:rsidR="00644C86" w:rsidRPr="006F57F2">
        <w:rPr>
          <w:rFonts w:ascii="Palatino Linotype" w:eastAsia="Palatino Linotype" w:hAnsi="Palatino Linotype" w:cs="Palatino Linotype"/>
          <w:b/>
          <w:sz w:val="22"/>
          <w:szCs w:val="22"/>
        </w:rPr>
        <w:t>/INFOEM/IP/RR/202</w:t>
      </w:r>
      <w:r w:rsidR="00067351" w:rsidRPr="006F57F2">
        <w:rPr>
          <w:rFonts w:ascii="Palatino Linotype" w:eastAsia="Palatino Linotype" w:hAnsi="Palatino Linotype" w:cs="Palatino Linotype"/>
          <w:b/>
          <w:sz w:val="22"/>
          <w:szCs w:val="22"/>
        </w:rPr>
        <w:t>6</w:t>
      </w:r>
      <w:r w:rsidRPr="006F57F2">
        <w:rPr>
          <w:rFonts w:ascii="Palatino Linotype" w:eastAsia="Palatino Linotype" w:hAnsi="Palatino Linotype" w:cs="Palatino Linotype"/>
          <w:sz w:val="22"/>
          <w:szCs w:val="22"/>
        </w:rPr>
        <w:t>, interpuesto por</w:t>
      </w:r>
      <w:r w:rsidR="00067351" w:rsidRPr="006F57F2">
        <w:rPr>
          <w:rFonts w:ascii="Palatino Linotype" w:eastAsia="Palatino Linotype" w:hAnsi="Palatino Linotype" w:cs="Palatino Linotype"/>
          <w:sz w:val="22"/>
          <w:szCs w:val="22"/>
        </w:rPr>
        <w:t xml:space="preserve"> </w:t>
      </w:r>
      <w:r w:rsidR="00B82D71" w:rsidRPr="00B82D71">
        <w:rPr>
          <w:rFonts w:ascii="Palatino Linotype" w:eastAsia="Palatino Linotype" w:hAnsi="Palatino Linotype" w:cs="Palatino Linotype"/>
          <w:b/>
          <w:sz w:val="22"/>
          <w:szCs w:val="22"/>
        </w:rPr>
        <w:t>XXXXXX XXXX</w:t>
      </w:r>
      <w:r w:rsidR="001A3D4C" w:rsidRPr="00B82D71">
        <w:rPr>
          <w:rFonts w:ascii="Palatino Linotype" w:eastAsia="Palatino Linotype" w:hAnsi="Palatino Linotype" w:cs="Palatino Linotype"/>
          <w:b/>
          <w:sz w:val="22"/>
          <w:szCs w:val="22"/>
        </w:rPr>
        <w:t>,</w:t>
      </w:r>
      <w:r w:rsidRPr="006F57F2">
        <w:rPr>
          <w:rFonts w:ascii="Palatino Linotype" w:eastAsia="Palatino Linotype" w:hAnsi="Palatino Linotype" w:cs="Palatino Linotype"/>
          <w:sz w:val="22"/>
          <w:szCs w:val="22"/>
        </w:rPr>
        <w:t xml:space="preserve"> en lo sucesivo</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la parte </w:t>
      </w:r>
      <w:r w:rsidRPr="006F57F2">
        <w:rPr>
          <w:rFonts w:ascii="Palatino Linotype" w:eastAsia="Palatino Linotype" w:hAnsi="Palatino Linotype" w:cs="Palatino Linotype"/>
          <w:b/>
          <w:sz w:val="22"/>
          <w:szCs w:val="22"/>
        </w:rPr>
        <w:t>Recurrente,</w:t>
      </w:r>
      <w:r w:rsidRPr="006F57F2">
        <w:rPr>
          <w:rFonts w:ascii="Palatino Linotype" w:eastAsia="Palatino Linotype" w:hAnsi="Palatino Linotype" w:cs="Palatino Linotype"/>
          <w:sz w:val="22"/>
          <w:szCs w:val="22"/>
        </w:rPr>
        <w:t xml:space="preserve"> en contra de la respuesta a la solicitud de información con número de folio</w:t>
      </w:r>
      <w:r w:rsidRPr="006F57F2">
        <w:rPr>
          <w:rFonts w:ascii="Palatino Linotype" w:eastAsia="Palatino Linotype" w:hAnsi="Palatino Linotype" w:cs="Palatino Linotype"/>
          <w:b/>
          <w:sz w:val="22"/>
          <w:szCs w:val="22"/>
        </w:rPr>
        <w:t xml:space="preserve"> </w:t>
      </w:r>
      <w:r w:rsidR="00EB06FF" w:rsidRPr="006F57F2">
        <w:rPr>
          <w:rFonts w:ascii="Palatino Linotype" w:eastAsia="Palatino Linotype" w:hAnsi="Palatino Linotype" w:cs="Palatino Linotype"/>
          <w:b/>
          <w:sz w:val="22"/>
          <w:szCs w:val="22"/>
        </w:rPr>
        <w:t>00029/DIFATENCO/IP/2026</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por parte del </w:t>
      </w:r>
      <w:r w:rsidR="00EB06FF" w:rsidRPr="006F57F2">
        <w:rPr>
          <w:rFonts w:ascii="Palatino Linotype" w:eastAsia="Palatino Linotype" w:hAnsi="Palatino Linotype" w:cs="Palatino Linotype"/>
          <w:b/>
          <w:bCs/>
          <w:sz w:val="22"/>
          <w:szCs w:val="22"/>
        </w:rPr>
        <w:t>Sistema Municipal para el Desarrollo Integral de la Familia Municipio de Atenco</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en lo sucesivo 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 xml:space="preserve">se procede a dictar la presente resolución con base en los siguientes: </w:t>
      </w:r>
    </w:p>
    <w:p w14:paraId="6CBEA268" w14:textId="77777777" w:rsidR="00694AA0" w:rsidRPr="006F57F2" w:rsidRDefault="005B22BA">
      <w:pPr>
        <w:spacing w:before="240" w:after="240" w:line="360" w:lineRule="auto"/>
        <w:jc w:val="center"/>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I. A N T E C E D E N T E S</w:t>
      </w:r>
    </w:p>
    <w:p w14:paraId="68695096" w14:textId="70889FC5" w:rsidR="00694AA0" w:rsidRPr="006F57F2" w:rsidRDefault="005B22BA">
      <w:pPr>
        <w:spacing w:before="240" w:after="240" w:line="360" w:lineRule="auto"/>
        <w:jc w:val="both"/>
        <w:rPr>
          <w:rFonts w:ascii="Palatino Linotype" w:eastAsia="Palatino Linotype" w:hAnsi="Palatino Linotype" w:cs="Palatino Linotype"/>
          <w:sz w:val="22"/>
          <w:szCs w:val="22"/>
        </w:rPr>
      </w:pPr>
      <w:bookmarkStart w:id="1" w:name="_heading=h.gjdgxs" w:colFirst="0" w:colLast="0"/>
      <w:bookmarkEnd w:id="1"/>
      <w:r w:rsidRPr="006F57F2">
        <w:rPr>
          <w:rFonts w:ascii="Palatino Linotype" w:eastAsia="Palatino Linotype" w:hAnsi="Palatino Linotype" w:cs="Palatino Linotype"/>
          <w:b/>
          <w:sz w:val="22"/>
          <w:szCs w:val="22"/>
        </w:rPr>
        <w:t>1. Solicitud de acceso a la información.</w:t>
      </w:r>
      <w:r w:rsidRPr="006F57F2">
        <w:rPr>
          <w:rFonts w:ascii="Palatino Linotype" w:eastAsia="Palatino Linotype" w:hAnsi="Palatino Linotype" w:cs="Palatino Linotype"/>
          <w:sz w:val="22"/>
          <w:szCs w:val="22"/>
        </w:rPr>
        <w:t xml:space="preserve"> El </w:t>
      </w:r>
      <w:r w:rsidR="00EB06FF" w:rsidRPr="006F57F2">
        <w:rPr>
          <w:rFonts w:ascii="Palatino Linotype" w:eastAsia="Palatino Linotype" w:hAnsi="Palatino Linotype" w:cs="Palatino Linotype"/>
          <w:b/>
          <w:sz w:val="22"/>
          <w:szCs w:val="22"/>
        </w:rPr>
        <w:t>diez</w:t>
      </w:r>
      <w:r w:rsidR="001D3D99" w:rsidRPr="006F57F2">
        <w:rPr>
          <w:rFonts w:ascii="Palatino Linotype" w:eastAsia="Palatino Linotype" w:hAnsi="Palatino Linotype" w:cs="Palatino Linotype"/>
          <w:b/>
          <w:sz w:val="22"/>
          <w:szCs w:val="22"/>
        </w:rPr>
        <w:t xml:space="preserve"> de junio</w:t>
      </w:r>
      <w:r w:rsidR="008F421B" w:rsidRPr="006F57F2">
        <w:rPr>
          <w:rFonts w:ascii="Palatino Linotype" w:eastAsia="Palatino Linotype" w:hAnsi="Palatino Linotype" w:cs="Palatino Linotype"/>
          <w:b/>
          <w:sz w:val="22"/>
          <w:szCs w:val="22"/>
        </w:rPr>
        <w:t xml:space="preserve"> </w:t>
      </w:r>
      <w:r w:rsidR="00067351" w:rsidRPr="006F57F2">
        <w:rPr>
          <w:rFonts w:ascii="Palatino Linotype" w:eastAsia="Palatino Linotype" w:hAnsi="Palatino Linotype" w:cs="Palatino Linotype"/>
          <w:b/>
          <w:sz w:val="22"/>
          <w:szCs w:val="22"/>
        </w:rPr>
        <w:t>de</w:t>
      </w:r>
      <w:r w:rsidRPr="006F57F2">
        <w:rPr>
          <w:rFonts w:ascii="Palatino Linotype" w:eastAsia="Palatino Linotype" w:hAnsi="Palatino Linotype" w:cs="Palatino Linotype"/>
          <w:b/>
          <w:sz w:val="22"/>
          <w:szCs w:val="22"/>
        </w:rPr>
        <w:t xml:space="preserve"> dos mil veinti</w:t>
      </w:r>
      <w:r w:rsidR="00067351" w:rsidRPr="006F57F2">
        <w:rPr>
          <w:rFonts w:ascii="Palatino Linotype" w:eastAsia="Palatino Linotype" w:hAnsi="Palatino Linotype" w:cs="Palatino Linotype"/>
          <w:b/>
          <w:sz w:val="22"/>
          <w:szCs w:val="22"/>
        </w:rPr>
        <w:t>séis</w:t>
      </w:r>
      <w:r w:rsidRPr="006F57F2">
        <w:rPr>
          <w:rFonts w:ascii="Palatino Linotype" w:eastAsia="Palatino Linotype" w:hAnsi="Palatino Linotype" w:cs="Palatino Linotype"/>
          <w:b/>
          <w:sz w:val="22"/>
          <w:szCs w:val="22"/>
        </w:rPr>
        <w:t>,</w:t>
      </w:r>
      <w:r w:rsidRPr="006F57F2">
        <w:rPr>
          <w:rFonts w:ascii="Palatino Linotype" w:eastAsia="Palatino Linotype" w:hAnsi="Palatino Linotype" w:cs="Palatino Linotype"/>
          <w:sz w:val="22"/>
          <w:szCs w:val="22"/>
        </w:rPr>
        <w:t xml:space="preserve"> la parte </w:t>
      </w:r>
      <w:r w:rsidRPr="006F57F2">
        <w:rPr>
          <w:rFonts w:ascii="Palatino Linotype" w:eastAsia="Palatino Linotype" w:hAnsi="Palatino Linotype" w:cs="Palatino Linotype"/>
          <w:b/>
          <w:sz w:val="22"/>
          <w:szCs w:val="22"/>
        </w:rPr>
        <w:t xml:space="preserve">Recurrente </w:t>
      </w:r>
      <w:r w:rsidR="007D6158" w:rsidRPr="006F57F2">
        <w:rPr>
          <w:rFonts w:ascii="Palatino Linotype" w:eastAsia="Palatino Linotype" w:hAnsi="Palatino Linotype" w:cs="Palatino Linotype"/>
          <w:sz w:val="22"/>
          <w:szCs w:val="22"/>
        </w:rPr>
        <w:t xml:space="preserve">presentó la solicitud de acceso a la información pública ante el </w:t>
      </w:r>
      <w:r w:rsidR="007D6158" w:rsidRPr="006F57F2">
        <w:rPr>
          <w:rFonts w:ascii="Palatino Linotype" w:eastAsia="Palatino Linotype" w:hAnsi="Palatino Linotype" w:cs="Palatino Linotype"/>
          <w:b/>
          <w:sz w:val="22"/>
          <w:szCs w:val="22"/>
        </w:rPr>
        <w:t>Sujeto Obligado</w:t>
      </w:r>
      <w:r w:rsidR="007D6158" w:rsidRPr="006F57F2">
        <w:rPr>
          <w:rFonts w:ascii="Palatino Linotype" w:eastAsia="Palatino Linotype" w:hAnsi="Palatino Linotype" w:cs="Palatino Linotype"/>
          <w:sz w:val="22"/>
          <w:szCs w:val="22"/>
        </w:rPr>
        <w:t xml:space="preserve">, a través del Sistema de Acceso a la Información Mexiquense, en lo subsecuente el </w:t>
      </w:r>
      <w:r w:rsidR="007D6158" w:rsidRPr="006F57F2">
        <w:rPr>
          <w:rFonts w:ascii="Palatino Linotype" w:eastAsia="Palatino Linotype" w:hAnsi="Palatino Linotype" w:cs="Palatino Linotype"/>
          <w:b/>
          <w:sz w:val="22"/>
          <w:szCs w:val="22"/>
        </w:rPr>
        <w:t>SAIMEX,</w:t>
      </w:r>
      <w:r w:rsidR="00842531"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mediante la cual requirió lo siguiente:</w:t>
      </w:r>
    </w:p>
    <w:p w14:paraId="2B457E68" w14:textId="4A4AA15E" w:rsidR="00694AA0" w:rsidRPr="006F57F2" w:rsidRDefault="005B22BA" w:rsidP="00D15C4F">
      <w:pPr>
        <w:spacing w:before="120" w:after="120"/>
        <w:ind w:left="851" w:right="902"/>
        <w:jc w:val="both"/>
        <w:rPr>
          <w:rFonts w:ascii="Palatino Linotype" w:eastAsia="Palatino Linotype" w:hAnsi="Palatino Linotype" w:cs="Palatino Linotype"/>
          <w:b/>
          <w:i/>
          <w:sz w:val="22"/>
          <w:szCs w:val="22"/>
        </w:rPr>
      </w:pPr>
      <w:r w:rsidRPr="006F57F2">
        <w:rPr>
          <w:rFonts w:ascii="Palatino Linotype" w:eastAsia="Palatino Linotype" w:hAnsi="Palatino Linotype" w:cs="Palatino Linotype"/>
          <w:i/>
          <w:sz w:val="22"/>
          <w:szCs w:val="22"/>
        </w:rPr>
        <w:t xml:space="preserve"> “</w:t>
      </w:r>
      <w:r w:rsidR="00EB06FF" w:rsidRPr="006F57F2">
        <w:rPr>
          <w:rFonts w:ascii="Palatino Linotype" w:eastAsia="Palatino Linotype" w:hAnsi="Palatino Linotype" w:cs="Palatino Linotype"/>
          <w:i/>
          <w:sz w:val="22"/>
          <w:szCs w:val="22"/>
        </w:rPr>
        <w:t>BUENAS TARDES, SOLICITO EL CV DEL PERSONAL QUE TRABAJA EN LA PRESENTE ADMINISTRACION, ASI COMO DE LAS PERSONAS QUE HAN TRABAJADO DESDE INICIO DE LA ADMINISTRACION</w:t>
      </w:r>
      <w:r w:rsidRPr="006F57F2">
        <w:rPr>
          <w:rFonts w:ascii="Palatino Linotype" w:eastAsia="Palatino Linotype" w:hAnsi="Palatino Linotype" w:cs="Palatino Linotype"/>
          <w:b/>
          <w:i/>
          <w:sz w:val="22"/>
          <w:szCs w:val="22"/>
        </w:rPr>
        <w:t>”</w:t>
      </w:r>
      <w:r w:rsidRPr="006F57F2">
        <w:rPr>
          <w:rFonts w:ascii="Palatino Linotype" w:eastAsia="Palatino Linotype" w:hAnsi="Palatino Linotype" w:cs="Palatino Linotype"/>
          <w:i/>
          <w:sz w:val="22"/>
          <w:szCs w:val="22"/>
        </w:rPr>
        <w:t xml:space="preserve"> (sic) </w:t>
      </w:r>
    </w:p>
    <w:p w14:paraId="00632FFF" w14:textId="77777777" w:rsidR="007D6158" w:rsidRPr="006F57F2" w:rsidRDefault="007D6158" w:rsidP="007D6158">
      <w:pPr>
        <w:spacing w:before="240" w:after="240" w:line="360" w:lineRule="auto"/>
        <w:jc w:val="both"/>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 xml:space="preserve">Modalidad de Entrega: </w:t>
      </w:r>
      <w:r w:rsidRPr="006F57F2">
        <w:rPr>
          <w:rFonts w:ascii="Palatino Linotype" w:eastAsia="Palatino Linotype" w:hAnsi="Palatino Linotype" w:cs="Palatino Linotype"/>
          <w:sz w:val="22"/>
          <w:szCs w:val="22"/>
        </w:rPr>
        <w:t>a través del</w:t>
      </w:r>
      <w:r w:rsidRPr="006F57F2">
        <w:rPr>
          <w:rFonts w:ascii="Palatino Linotype" w:eastAsia="Palatino Linotype" w:hAnsi="Palatino Linotype" w:cs="Palatino Linotype"/>
          <w:b/>
          <w:sz w:val="22"/>
          <w:szCs w:val="22"/>
        </w:rPr>
        <w:t xml:space="preserve"> SAIMEX.</w:t>
      </w:r>
    </w:p>
    <w:p w14:paraId="7686068F" w14:textId="6CC4DC24" w:rsidR="00694AA0" w:rsidRPr="006F57F2" w:rsidRDefault="005B22B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 xml:space="preserve">2. Respuesta. </w:t>
      </w:r>
      <w:r w:rsidR="004A5926" w:rsidRPr="006F57F2">
        <w:rPr>
          <w:rFonts w:ascii="Palatino Linotype" w:eastAsia="Palatino Linotype" w:hAnsi="Palatino Linotype" w:cs="Palatino Linotype"/>
          <w:sz w:val="22"/>
          <w:szCs w:val="22"/>
        </w:rPr>
        <w:t xml:space="preserve">El </w:t>
      </w:r>
      <w:r w:rsidR="00EB06FF" w:rsidRPr="006F57F2">
        <w:rPr>
          <w:rFonts w:ascii="Palatino Linotype" w:eastAsia="Palatino Linotype" w:hAnsi="Palatino Linotype" w:cs="Palatino Linotype"/>
          <w:b/>
          <w:sz w:val="22"/>
          <w:szCs w:val="22"/>
        </w:rPr>
        <w:t>treinta</w:t>
      </w:r>
      <w:r w:rsidR="001D3D99" w:rsidRPr="006F57F2">
        <w:rPr>
          <w:rFonts w:ascii="Palatino Linotype" w:eastAsia="Palatino Linotype" w:hAnsi="Palatino Linotype" w:cs="Palatino Linotype"/>
          <w:b/>
          <w:sz w:val="22"/>
          <w:szCs w:val="22"/>
        </w:rPr>
        <w:t xml:space="preserve"> de junio </w:t>
      </w:r>
      <w:r w:rsidR="00067351" w:rsidRPr="006F57F2">
        <w:rPr>
          <w:rFonts w:ascii="Palatino Linotype" w:eastAsia="Palatino Linotype" w:hAnsi="Palatino Linotype" w:cs="Palatino Linotype"/>
          <w:b/>
          <w:sz w:val="22"/>
          <w:szCs w:val="22"/>
        </w:rPr>
        <w:t>de dos mil veintiséis</w:t>
      </w:r>
      <w:r w:rsidRPr="006F57F2">
        <w:rPr>
          <w:rFonts w:ascii="Palatino Linotype" w:eastAsia="Palatino Linotype" w:hAnsi="Palatino Linotype" w:cs="Palatino Linotype"/>
          <w:b/>
          <w:sz w:val="22"/>
          <w:szCs w:val="22"/>
        </w:rPr>
        <w:t>,</w:t>
      </w:r>
      <w:r w:rsidRPr="006F57F2">
        <w:rPr>
          <w:rFonts w:ascii="Palatino Linotype" w:eastAsia="Palatino Linotype" w:hAnsi="Palatino Linotype" w:cs="Palatino Linotype"/>
          <w:sz w:val="22"/>
          <w:szCs w:val="22"/>
        </w:rPr>
        <w:t xml:space="preserve"> 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0EB69FD4" w14:textId="07DD0547" w:rsidR="00694AA0" w:rsidRPr="006F57F2" w:rsidRDefault="005B22BA">
      <w:pPr>
        <w:spacing w:before="240" w:after="24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lastRenderedPageBreak/>
        <w:t>“…</w:t>
      </w:r>
      <w:r w:rsidR="00E021E4" w:rsidRPr="006F57F2">
        <w:rPr>
          <w:rFonts w:ascii="Palatino Linotype" w:eastAsia="Palatino Linotype" w:hAnsi="Palatino Linotype" w:cs="Palatino Linotype"/>
          <w:i/>
          <w:sz w:val="22"/>
          <w:szCs w:val="22"/>
        </w:rPr>
        <w:t>SE ENVIA INFORMACIÓN</w:t>
      </w:r>
      <w:r w:rsidR="0018603F" w:rsidRPr="006F57F2">
        <w:rPr>
          <w:rFonts w:ascii="Palatino Linotype" w:eastAsia="Palatino Linotype" w:hAnsi="Palatino Linotype" w:cs="Palatino Linotype"/>
          <w:i/>
          <w:sz w:val="22"/>
          <w:szCs w:val="22"/>
        </w:rPr>
        <w:t>.</w:t>
      </w:r>
      <w:r w:rsidRPr="006F57F2">
        <w:rPr>
          <w:rFonts w:ascii="Palatino Linotype" w:eastAsia="Palatino Linotype" w:hAnsi="Palatino Linotype" w:cs="Palatino Linotype"/>
          <w:i/>
          <w:sz w:val="22"/>
          <w:szCs w:val="22"/>
        </w:rPr>
        <w:t>..” (sic)</w:t>
      </w:r>
    </w:p>
    <w:p w14:paraId="5089B5EA" w14:textId="77777777" w:rsidR="00E021E4" w:rsidRPr="006F57F2" w:rsidRDefault="005B22BA" w:rsidP="00067351">
      <w:pPr>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adjuntó</w:t>
      </w:r>
      <w:r w:rsidR="00D067D1" w:rsidRPr="006F57F2">
        <w:rPr>
          <w:rFonts w:ascii="Palatino Linotype" w:eastAsia="Palatino Linotype" w:hAnsi="Palatino Linotype" w:cs="Palatino Linotype"/>
          <w:sz w:val="22"/>
          <w:szCs w:val="22"/>
        </w:rPr>
        <w:t xml:space="preserve"> </w:t>
      </w:r>
      <w:r w:rsidR="00E021E4" w:rsidRPr="006F57F2">
        <w:rPr>
          <w:rFonts w:ascii="Palatino Linotype" w:eastAsia="Palatino Linotype" w:hAnsi="Palatino Linotype" w:cs="Palatino Linotype"/>
          <w:sz w:val="22"/>
          <w:szCs w:val="22"/>
        </w:rPr>
        <w:t>lo siguiente:</w:t>
      </w:r>
    </w:p>
    <w:p w14:paraId="7B340BFB" w14:textId="3BE73D10" w:rsidR="00E021E4" w:rsidRPr="006F57F2" w:rsidRDefault="00E021E4" w:rsidP="00067351">
      <w:pPr>
        <w:spacing w:before="240" w:after="240" w:line="360" w:lineRule="auto"/>
        <w:ind w:right="49"/>
        <w:jc w:val="both"/>
        <w:rPr>
          <w:rFonts w:ascii="Palatino Linotype" w:hAnsi="Palatino Linotype"/>
          <w:sz w:val="22"/>
          <w:szCs w:val="22"/>
        </w:rPr>
      </w:pPr>
      <w:r w:rsidRPr="006F57F2">
        <w:rPr>
          <w:rFonts w:ascii="Palatino Linotype" w:eastAsia="Palatino Linotype" w:hAnsi="Palatino Linotype" w:cs="Palatino Linotype"/>
          <w:sz w:val="22"/>
          <w:szCs w:val="22"/>
        </w:rPr>
        <w:t>- O</w:t>
      </w:r>
      <w:r w:rsidR="006760EF" w:rsidRPr="006F57F2">
        <w:rPr>
          <w:rFonts w:ascii="Palatino Linotype" w:eastAsia="Palatino Linotype" w:hAnsi="Palatino Linotype" w:cs="Palatino Linotype"/>
          <w:sz w:val="22"/>
          <w:szCs w:val="22"/>
        </w:rPr>
        <w:t xml:space="preserve">ficio número </w:t>
      </w:r>
      <w:r w:rsidRPr="006F57F2">
        <w:rPr>
          <w:rFonts w:ascii="Palatino Linotype" w:hAnsi="Palatino Linotype"/>
          <w:sz w:val="22"/>
          <w:szCs w:val="22"/>
        </w:rPr>
        <w:t>SMDIF/RH/044/2026, mediante el cual la Coordinadora de Recursos Humanos y Control Patrimonial refirió hacer entrega del curriculum vitae del personal que laboró y labora en el Sistema Municipal DIF Atenco.</w:t>
      </w:r>
    </w:p>
    <w:p w14:paraId="786D8BA5" w14:textId="61A85147" w:rsidR="00E021E4" w:rsidRPr="006F57F2" w:rsidRDefault="00E021E4" w:rsidP="00067351">
      <w:pPr>
        <w:spacing w:before="240" w:after="240" w:line="360" w:lineRule="auto"/>
        <w:ind w:right="49"/>
        <w:jc w:val="both"/>
        <w:rPr>
          <w:rFonts w:ascii="Palatino Linotype" w:hAnsi="Palatino Linotype"/>
          <w:sz w:val="22"/>
          <w:szCs w:val="22"/>
        </w:rPr>
      </w:pPr>
      <w:r w:rsidRPr="006F57F2">
        <w:rPr>
          <w:rFonts w:ascii="Palatino Linotype" w:hAnsi="Palatino Linotype"/>
          <w:sz w:val="22"/>
          <w:szCs w:val="22"/>
        </w:rPr>
        <w:t xml:space="preserve">- </w:t>
      </w:r>
      <w:r w:rsidR="00543305" w:rsidRPr="006F57F2">
        <w:rPr>
          <w:rFonts w:ascii="Palatino Linotype" w:hAnsi="Palatino Linotype"/>
          <w:sz w:val="22"/>
          <w:szCs w:val="22"/>
        </w:rPr>
        <w:t xml:space="preserve">47 curiculum vitae. </w:t>
      </w:r>
    </w:p>
    <w:p w14:paraId="5F735353" w14:textId="289ADF62" w:rsidR="00D571DC" w:rsidRPr="006F57F2" w:rsidRDefault="005B22BA">
      <w:pPr>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 xml:space="preserve">3. Interposición del recurso de revisión. </w:t>
      </w:r>
      <w:r w:rsidRPr="006F57F2">
        <w:rPr>
          <w:rFonts w:ascii="Palatino Linotype" w:eastAsia="Palatino Linotype" w:hAnsi="Palatino Linotype" w:cs="Palatino Linotype"/>
          <w:sz w:val="22"/>
          <w:szCs w:val="22"/>
        </w:rPr>
        <w:t xml:space="preserve">Inconforme con los términos de la respuesta emitida por parte del </w:t>
      </w:r>
      <w:r w:rsidRPr="006F57F2">
        <w:rPr>
          <w:rFonts w:ascii="Palatino Linotype" w:eastAsia="Palatino Linotype" w:hAnsi="Palatino Linotype" w:cs="Palatino Linotype"/>
          <w:b/>
          <w:sz w:val="22"/>
          <w:szCs w:val="22"/>
        </w:rPr>
        <w:t>Sujeto Obligado</w:t>
      </w:r>
      <w:r w:rsidRPr="006F57F2">
        <w:rPr>
          <w:rFonts w:ascii="Palatino Linotype" w:eastAsia="Palatino Linotype" w:hAnsi="Palatino Linotype" w:cs="Palatino Linotype"/>
          <w:sz w:val="22"/>
          <w:szCs w:val="22"/>
        </w:rPr>
        <w:t xml:space="preserve">, el </w:t>
      </w:r>
      <w:r w:rsidR="00543305" w:rsidRPr="006F57F2">
        <w:rPr>
          <w:rFonts w:ascii="Palatino Linotype" w:eastAsia="Palatino Linotype" w:hAnsi="Palatino Linotype" w:cs="Palatino Linotype"/>
          <w:b/>
          <w:sz w:val="22"/>
          <w:szCs w:val="22"/>
        </w:rPr>
        <w:t>quince de julio</w:t>
      </w:r>
      <w:r w:rsidR="00067351" w:rsidRPr="006F57F2">
        <w:rPr>
          <w:rFonts w:ascii="Palatino Linotype" w:eastAsia="Palatino Linotype" w:hAnsi="Palatino Linotype" w:cs="Palatino Linotype"/>
          <w:b/>
          <w:sz w:val="22"/>
          <w:szCs w:val="22"/>
        </w:rPr>
        <w:t xml:space="preserve"> de dos mil veintiséis</w:t>
      </w:r>
      <w:r w:rsidRPr="006F57F2">
        <w:rPr>
          <w:rFonts w:ascii="Palatino Linotype" w:eastAsia="Palatino Linotype" w:hAnsi="Palatino Linotype" w:cs="Palatino Linotype"/>
          <w:b/>
          <w:sz w:val="22"/>
          <w:szCs w:val="22"/>
        </w:rPr>
        <w:t>,</w:t>
      </w:r>
      <w:r w:rsidRPr="006F57F2">
        <w:rPr>
          <w:rFonts w:ascii="Palatino Linotype" w:eastAsia="Palatino Linotype" w:hAnsi="Palatino Linotype" w:cs="Palatino Linotype"/>
          <w:sz w:val="22"/>
          <w:szCs w:val="22"/>
        </w:rPr>
        <w:t xml:space="preserve"> la parte </w:t>
      </w:r>
      <w:r w:rsidRPr="006F57F2">
        <w:rPr>
          <w:rFonts w:ascii="Palatino Linotype" w:eastAsia="Palatino Linotype" w:hAnsi="Palatino Linotype" w:cs="Palatino Linotype"/>
          <w:b/>
          <w:sz w:val="22"/>
          <w:szCs w:val="22"/>
        </w:rPr>
        <w:t>Recurrente</w:t>
      </w:r>
      <w:r w:rsidRPr="006F57F2">
        <w:rPr>
          <w:rFonts w:ascii="Palatino Linotype" w:eastAsia="Palatino Linotype" w:hAnsi="Palatino Linotype" w:cs="Palatino Linotype"/>
          <w:sz w:val="22"/>
          <w:szCs w:val="22"/>
        </w:rPr>
        <w:t xml:space="preserve"> interpuso el recurso de revisión a través de </w:t>
      </w:r>
      <w:r w:rsidRPr="006F57F2">
        <w:rPr>
          <w:rFonts w:ascii="Palatino Linotype" w:eastAsia="Palatino Linotype" w:hAnsi="Palatino Linotype" w:cs="Palatino Linotype"/>
          <w:b/>
          <w:sz w:val="22"/>
          <w:szCs w:val="22"/>
        </w:rPr>
        <w:t xml:space="preserve">SAIMEX, </w:t>
      </w:r>
      <w:r w:rsidRPr="006F57F2">
        <w:rPr>
          <w:rFonts w:ascii="Palatino Linotype" w:eastAsia="Palatino Linotype" w:hAnsi="Palatino Linotype" w:cs="Palatino Linotype"/>
          <w:sz w:val="22"/>
          <w:szCs w:val="22"/>
        </w:rPr>
        <w:t>en donde se manifestó de la siguiente manera:</w:t>
      </w:r>
    </w:p>
    <w:p w14:paraId="7C2BF786" w14:textId="77777777" w:rsidR="00694AA0" w:rsidRPr="006F57F2" w:rsidRDefault="005B22BA">
      <w:pPr>
        <w:spacing w:before="240" w:after="240" w:line="360" w:lineRule="auto"/>
        <w:ind w:right="49"/>
        <w:jc w:val="both"/>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 xml:space="preserve">Acto impugnado: </w:t>
      </w:r>
    </w:p>
    <w:p w14:paraId="3DC3BF9F" w14:textId="7831A73F" w:rsidR="00694AA0" w:rsidRPr="006F57F2" w:rsidRDefault="005B22BA" w:rsidP="00F25291">
      <w:pPr>
        <w:ind w:left="851" w:right="900"/>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00543305" w:rsidRPr="006F57F2">
        <w:rPr>
          <w:rFonts w:ascii="Palatino Linotype" w:eastAsia="Palatino Linotype" w:hAnsi="Palatino Linotype" w:cs="Palatino Linotype"/>
          <w:i/>
          <w:sz w:val="22"/>
          <w:szCs w:val="22"/>
        </w:rPr>
        <w:t>no entregaro n informacion afectando mi derecho de acceso a la informacion</w:t>
      </w:r>
      <w:r w:rsidRPr="006F57F2">
        <w:rPr>
          <w:rFonts w:ascii="Palatino Linotype" w:eastAsia="Palatino Linotype" w:hAnsi="Palatino Linotype" w:cs="Palatino Linotype"/>
          <w:i/>
          <w:sz w:val="22"/>
          <w:szCs w:val="22"/>
        </w:rPr>
        <w:t>” (sic)</w:t>
      </w:r>
    </w:p>
    <w:p w14:paraId="367E1F4A" w14:textId="77777777" w:rsidR="006262EB" w:rsidRPr="006F57F2" w:rsidRDefault="006262EB" w:rsidP="009C1FBD">
      <w:pPr>
        <w:ind w:left="851" w:right="900"/>
        <w:rPr>
          <w:rFonts w:ascii="Palatino Linotype" w:eastAsia="Palatino Linotype" w:hAnsi="Palatino Linotype" w:cs="Palatino Linotype"/>
          <w:i/>
          <w:sz w:val="22"/>
          <w:szCs w:val="22"/>
        </w:rPr>
      </w:pPr>
    </w:p>
    <w:p w14:paraId="199B1EFD" w14:textId="77777777" w:rsidR="00694AA0" w:rsidRPr="006F57F2" w:rsidRDefault="005B22BA">
      <w:pPr>
        <w:spacing w:line="360" w:lineRule="auto"/>
        <w:jc w:val="both"/>
        <w:rPr>
          <w:rFonts w:ascii="Palatino Linotype" w:eastAsia="Palatino Linotype" w:hAnsi="Palatino Linotype" w:cs="Palatino Linotype"/>
          <w:sz w:val="22"/>
          <w:szCs w:val="22"/>
        </w:rPr>
      </w:pPr>
      <w:bookmarkStart w:id="2" w:name="_heading=h.30j0zll" w:colFirst="0" w:colLast="0"/>
      <w:bookmarkEnd w:id="2"/>
      <w:r w:rsidRPr="006F57F2">
        <w:rPr>
          <w:rFonts w:ascii="Palatino Linotype" w:eastAsia="Palatino Linotype" w:hAnsi="Palatino Linotype" w:cs="Palatino Linotype"/>
          <w:b/>
          <w:sz w:val="22"/>
          <w:szCs w:val="22"/>
        </w:rPr>
        <w:t>Y, Razones o motivos de inconformidad</w:t>
      </w:r>
      <w:r w:rsidRPr="006F57F2">
        <w:rPr>
          <w:rFonts w:ascii="Palatino Linotype" w:eastAsia="Palatino Linotype" w:hAnsi="Palatino Linotype" w:cs="Palatino Linotype"/>
          <w:sz w:val="22"/>
          <w:szCs w:val="22"/>
        </w:rPr>
        <w:t>:</w:t>
      </w:r>
    </w:p>
    <w:p w14:paraId="6F009CC9" w14:textId="07F6C3C5" w:rsidR="00694AA0" w:rsidRPr="006F57F2" w:rsidRDefault="005B22BA">
      <w:pPr>
        <w:tabs>
          <w:tab w:val="left" w:pos="2745"/>
        </w:tabs>
        <w:spacing w:before="240" w:after="240"/>
        <w:ind w:left="851" w:right="900"/>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00543305" w:rsidRPr="006F57F2">
        <w:rPr>
          <w:rFonts w:ascii="Palatino Linotype" w:eastAsia="Palatino Linotype" w:hAnsi="Palatino Linotype" w:cs="Palatino Linotype"/>
          <w:i/>
          <w:sz w:val="22"/>
          <w:szCs w:val="22"/>
        </w:rPr>
        <w:t>no entregaro n informacion afectando mi derecho de acceso a la informacion</w:t>
      </w:r>
      <w:r w:rsidR="005F6749" w:rsidRPr="006F57F2">
        <w:rPr>
          <w:rFonts w:ascii="Palatino Linotype" w:eastAsia="Palatino Linotype" w:hAnsi="Palatino Linotype" w:cs="Palatino Linotype"/>
          <w:i/>
          <w:sz w:val="22"/>
          <w:szCs w:val="22"/>
        </w:rPr>
        <w:t>"</w:t>
      </w:r>
      <w:r w:rsidR="00D74224" w:rsidRPr="006F57F2">
        <w:rPr>
          <w:rFonts w:ascii="Palatino Linotype" w:eastAsia="Palatino Linotype" w:hAnsi="Palatino Linotype" w:cs="Palatino Linotype"/>
          <w:i/>
          <w:sz w:val="22"/>
          <w:szCs w:val="22"/>
        </w:rPr>
        <w:t xml:space="preserve"> </w:t>
      </w:r>
      <w:r w:rsidRPr="006F57F2">
        <w:rPr>
          <w:rFonts w:ascii="Palatino Linotype" w:eastAsia="Palatino Linotype" w:hAnsi="Palatino Linotype" w:cs="Palatino Linotype"/>
          <w:i/>
          <w:sz w:val="22"/>
          <w:szCs w:val="22"/>
        </w:rPr>
        <w:t>(sic)</w:t>
      </w:r>
    </w:p>
    <w:p w14:paraId="058BB2CD" w14:textId="65FEA00D" w:rsidR="00694AA0" w:rsidRPr="006F57F2" w:rsidRDefault="005B22BA">
      <w:pPr>
        <w:spacing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 xml:space="preserve">4. Turno. </w:t>
      </w:r>
      <w:r w:rsidRPr="006F57F2">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DB2E99" w:rsidRPr="006F57F2">
        <w:rPr>
          <w:rFonts w:ascii="Palatino Linotype" w:eastAsia="Palatino Linotype" w:hAnsi="Palatino Linotype" w:cs="Palatino Linotype"/>
          <w:b/>
          <w:sz w:val="22"/>
          <w:szCs w:val="22"/>
        </w:rPr>
        <w:t>Sharon Cristina Morales Martínez</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a efecto de que analizara sobre su admisión o su desechamiento.</w:t>
      </w:r>
    </w:p>
    <w:p w14:paraId="5B57059D" w14:textId="74F1A704" w:rsidR="00694AA0" w:rsidRPr="006F57F2" w:rsidRDefault="005B22B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lastRenderedPageBreak/>
        <w:t>5. Admisión del Recurso de revisión.</w:t>
      </w:r>
      <w:r w:rsidRPr="006F57F2">
        <w:rPr>
          <w:rFonts w:ascii="Palatino Linotype" w:eastAsia="Palatino Linotype" w:hAnsi="Palatino Linotype" w:cs="Palatino Linotype"/>
          <w:sz w:val="22"/>
          <w:szCs w:val="22"/>
        </w:rPr>
        <w:t xml:space="preserve"> El</w:t>
      </w:r>
      <w:r w:rsidRPr="006F57F2">
        <w:rPr>
          <w:rFonts w:ascii="Palatino Linotype" w:eastAsia="Palatino Linotype" w:hAnsi="Palatino Linotype" w:cs="Palatino Linotype"/>
          <w:b/>
          <w:sz w:val="22"/>
          <w:szCs w:val="22"/>
        </w:rPr>
        <w:t xml:space="preserve"> </w:t>
      </w:r>
      <w:r w:rsidR="00543305" w:rsidRPr="006F57F2">
        <w:rPr>
          <w:rFonts w:ascii="Palatino Linotype" w:eastAsia="Palatino Linotype" w:hAnsi="Palatino Linotype" w:cs="Palatino Linotype"/>
          <w:b/>
          <w:sz w:val="22"/>
          <w:szCs w:val="22"/>
        </w:rPr>
        <w:t xml:space="preserve">tres de agosto </w:t>
      </w:r>
      <w:r w:rsidR="00067351" w:rsidRPr="006F57F2">
        <w:rPr>
          <w:rFonts w:ascii="Palatino Linotype" w:eastAsia="Palatino Linotype" w:hAnsi="Palatino Linotype" w:cs="Palatino Linotype"/>
          <w:b/>
          <w:sz w:val="22"/>
          <w:szCs w:val="22"/>
        </w:rPr>
        <w:t>de dos mil veintiséis</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presentara su informe justificado.</w:t>
      </w:r>
    </w:p>
    <w:p w14:paraId="2D7A579B" w14:textId="3A280822" w:rsidR="00DB2E99" w:rsidRPr="006F57F2" w:rsidRDefault="00DB2E99" w:rsidP="00DB2E99">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6. Returno</w:t>
      </w:r>
      <w:r w:rsidRPr="006F57F2">
        <w:rPr>
          <w:rFonts w:ascii="Palatino Linotype" w:eastAsia="Palatino Linotype" w:hAnsi="Palatino Linotype" w:cs="Palatino Linotype"/>
          <w:sz w:val="22"/>
          <w:szCs w:val="22"/>
        </w:rPr>
        <w:t xml:space="preserve">. Mediante acuerdo del </w:t>
      </w:r>
      <w:r w:rsidRPr="006F57F2">
        <w:rPr>
          <w:rFonts w:ascii="Palatino Linotype" w:eastAsia="Palatino Linotype" w:hAnsi="Palatino Linotype" w:cs="Palatino Linotype"/>
          <w:b/>
          <w:bCs/>
          <w:sz w:val="22"/>
          <w:szCs w:val="22"/>
        </w:rPr>
        <w:t>diecinueve de agosto de dos mil veintiséis</w:t>
      </w:r>
      <w:r w:rsidRPr="006F57F2">
        <w:rPr>
          <w:rFonts w:ascii="Palatino Linotype" w:eastAsia="Palatino Linotype" w:hAnsi="Palatino Linotype" w:cs="Palatino Linotype"/>
          <w:sz w:val="22"/>
          <w:szCs w:val="22"/>
        </w:rPr>
        <w:t xml:space="preserve"> el Pleno de este Organismo Garante, aprobó returnar el recurso de revisión a la Comisionada </w:t>
      </w:r>
      <w:r w:rsidRPr="006F57F2">
        <w:rPr>
          <w:rFonts w:ascii="Palatino Linotype" w:eastAsia="Palatino Linotype" w:hAnsi="Palatino Linotype" w:cs="Palatino Linotype"/>
          <w:b/>
          <w:sz w:val="22"/>
          <w:szCs w:val="22"/>
        </w:rPr>
        <w:t>Guadalupe Ramírez Peña</w:t>
      </w:r>
      <w:r w:rsidRPr="006F57F2">
        <w:rPr>
          <w:rFonts w:ascii="Palatino Linotype" w:eastAsia="Palatino Linotype" w:hAnsi="Palatino Linotype" w:cs="Palatino Linotype"/>
          <w:sz w:val="22"/>
          <w:szCs w:val="22"/>
        </w:rPr>
        <w:t xml:space="preserve">, a efecto de que formulara y presentara el proyecto de resolución correspondiente. </w:t>
      </w:r>
    </w:p>
    <w:p w14:paraId="49FAA2AE" w14:textId="498ADF18" w:rsidR="000C2B68" w:rsidRPr="006F57F2" w:rsidRDefault="00DB2E99" w:rsidP="00543305">
      <w:pPr>
        <w:widowControl w:val="0"/>
        <w:spacing w:before="240" w:after="240" w:line="360" w:lineRule="auto"/>
        <w:ind w:right="51"/>
        <w:jc w:val="both"/>
        <w:rPr>
          <w:rFonts w:ascii="Palatino Linotype" w:eastAsia="Palatino Linotype" w:hAnsi="Palatino Linotype" w:cs="Palatino Linotype"/>
          <w:sz w:val="22"/>
          <w:szCs w:val="22"/>
        </w:rPr>
      </w:pPr>
      <w:bookmarkStart w:id="3" w:name="_heading=h.2s8eyo1" w:colFirst="0" w:colLast="0"/>
      <w:bookmarkEnd w:id="3"/>
      <w:r w:rsidRPr="006F57F2">
        <w:rPr>
          <w:rFonts w:ascii="Palatino Linotype" w:eastAsia="Palatino Linotype" w:hAnsi="Palatino Linotype" w:cs="Palatino Linotype"/>
          <w:b/>
          <w:sz w:val="22"/>
          <w:szCs w:val="22"/>
        </w:rPr>
        <w:t>7</w:t>
      </w:r>
      <w:r w:rsidR="005B22BA" w:rsidRPr="006F57F2">
        <w:rPr>
          <w:rFonts w:ascii="Palatino Linotype" w:eastAsia="Palatino Linotype" w:hAnsi="Palatino Linotype" w:cs="Palatino Linotype"/>
          <w:b/>
          <w:sz w:val="22"/>
          <w:szCs w:val="22"/>
        </w:rPr>
        <w:t>. Manifestaciones</w:t>
      </w:r>
      <w:r w:rsidR="005B22BA" w:rsidRPr="006F57F2">
        <w:rPr>
          <w:rFonts w:ascii="Palatino Linotype" w:eastAsia="Palatino Linotype" w:hAnsi="Palatino Linotype" w:cs="Palatino Linotype"/>
          <w:sz w:val="22"/>
          <w:szCs w:val="22"/>
        </w:rPr>
        <w:t xml:space="preserve">. </w:t>
      </w:r>
      <w:r w:rsidR="00010AC2" w:rsidRPr="006F57F2">
        <w:rPr>
          <w:rFonts w:ascii="Palatino Linotype" w:eastAsia="Palatino Linotype" w:hAnsi="Palatino Linotype" w:cs="Palatino Linotype"/>
          <w:sz w:val="22"/>
          <w:szCs w:val="22"/>
        </w:rPr>
        <w:t xml:space="preserve">De constancias del expediente electrónico del SAIMEX, se observa que el </w:t>
      </w:r>
      <w:r w:rsidR="00010AC2" w:rsidRPr="006F57F2">
        <w:rPr>
          <w:rFonts w:ascii="Palatino Linotype" w:eastAsia="Palatino Linotype" w:hAnsi="Palatino Linotype" w:cs="Palatino Linotype"/>
          <w:b/>
          <w:sz w:val="22"/>
          <w:szCs w:val="22"/>
        </w:rPr>
        <w:t>Sujeto Obligado</w:t>
      </w:r>
      <w:r w:rsidR="00010AC2" w:rsidRPr="006F57F2">
        <w:rPr>
          <w:rFonts w:ascii="Palatino Linotype" w:eastAsia="Palatino Linotype" w:hAnsi="Palatino Linotype" w:cs="Palatino Linotype"/>
          <w:sz w:val="22"/>
          <w:szCs w:val="22"/>
        </w:rPr>
        <w:t xml:space="preserve"> fue omiso en rendir su informe justificado; así como, la parte </w:t>
      </w:r>
      <w:r w:rsidR="00010AC2" w:rsidRPr="006F57F2">
        <w:rPr>
          <w:rFonts w:ascii="Palatino Linotype" w:eastAsia="Palatino Linotype" w:hAnsi="Palatino Linotype" w:cs="Palatino Linotype"/>
          <w:b/>
          <w:sz w:val="22"/>
          <w:szCs w:val="22"/>
        </w:rPr>
        <w:t xml:space="preserve">Recurrente </w:t>
      </w:r>
      <w:r w:rsidR="00010AC2" w:rsidRPr="006F57F2">
        <w:rPr>
          <w:rFonts w:ascii="Palatino Linotype" w:eastAsia="Palatino Linotype" w:hAnsi="Palatino Linotype" w:cs="Palatino Linotype"/>
          <w:sz w:val="22"/>
          <w:szCs w:val="22"/>
        </w:rPr>
        <w:t>fue omisa en hacer valer manifestaciones o rendir alegatos que conforme a derecho resultaran procedentes, como se muestra:</w:t>
      </w:r>
    </w:p>
    <w:p w14:paraId="44EB1DDA" w14:textId="6B53240A" w:rsidR="00010AC2" w:rsidRPr="006F57F2" w:rsidRDefault="00010AC2" w:rsidP="00543305">
      <w:pPr>
        <w:widowControl w:val="0"/>
        <w:spacing w:before="240" w:after="240" w:line="360" w:lineRule="auto"/>
        <w:ind w:right="51"/>
        <w:jc w:val="both"/>
        <w:rPr>
          <w:rFonts w:ascii="Palatino Linotype" w:eastAsia="Palatino Linotype" w:hAnsi="Palatino Linotype" w:cs="Palatino Linotype"/>
          <w:sz w:val="22"/>
          <w:szCs w:val="22"/>
        </w:rPr>
      </w:pPr>
      <w:r w:rsidRPr="006F57F2">
        <w:rPr>
          <w:rFonts w:ascii="Palatino Linotype" w:hAnsi="Palatino Linotype"/>
          <w:noProof/>
          <w:sz w:val="22"/>
          <w:szCs w:val="22"/>
        </w:rPr>
        <w:drawing>
          <wp:inline distT="0" distB="0" distL="0" distR="0" wp14:anchorId="6F9A8093" wp14:editId="5E6F7320">
            <wp:extent cx="5612130" cy="1664970"/>
            <wp:effectExtent l="0" t="0" r="7620" b="0"/>
            <wp:docPr id="27834260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342605" name=""/>
                    <pic:cNvPicPr/>
                  </pic:nvPicPr>
                  <pic:blipFill>
                    <a:blip r:embed="rId9"/>
                    <a:stretch>
                      <a:fillRect/>
                    </a:stretch>
                  </pic:blipFill>
                  <pic:spPr>
                    <a:xfrm>
                      <a:off x="0" y="0"/>
                      <a:ext cx="5612130" cy="1664970"/>
                    </a:xfrm>
                    <a:prstGeom prst="rect">
                      <a:avLst/>
                    </a:prstGeom>
                  </pic:spPr>
                </pic:pic>
              </a:graphicData>
            </a:graphic>
          </wp:inline>
        </w:drawing>
      </w:r>
    </w:p>
    <w:p w14:paraId="33B88E38" w14:textId="06AE00E2" w:rsidR="007458B0" w:rsidRPr="006F57F2" w:rsidRDefault="00DB2E99" w:rsidP="007458B0">
      <w:pPr>
        <w:widowControl w:val="0"/>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8</w:t>
      </w:r>
      <w:r w:rsidR="007458B0" w:rsidRPr="006F57F2">
        <w:rPr>
          <w:rFonts w:ascii="Palatino Linotype" w:eastAsia="Palatino Linotype" w:hAnsi="Palatino Linotype" w:cs="Palatino Linotype"/>
          <w:b/>
          <w:sz w:val="22"/>
          <w:szCs w:val="22"/>
        </w:rPr>
        <w:t xml:space="preserve">. Cierre de instrucción. </w:t>
      </w:r>
      <w:r w:rsidR="007458B0" w:rsidRPr="006F57F2">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00543305" w:rsidRPr="006F57F2">
        <w:rPr>
          <w:rFonts w:ascii="Palatino Linotype" w:eastAsia="Palatino Linotype" w:hAnsi="Palatino Linotype" w:cs="Palatino Linotype"/>
          <w:b/>
          <w:sz w:val="22"/>
          <w:szCs w:val="22"/>
        </w:rPr>
        <w:t>diecisiete de septiembre</w:t>
      </w:r>
      <w:r w:rsidR="00E2646E" w:rsidRPr="006F57F2">
        <w:rPr>
          <w:rFonts w:ascii="Palatino Linotype" w:eastAsia="Palatino Linotype" w:hAnsi="Palatino Linotype" w:cs="Palatino Linotype"/>
          <w:b/>
          <w:sz w:val="22"/>
          <w:szCs w:val="22"/>
        </w:rPr>
        <w:t xml:space="preserve"> </w:t>
      </w:r>
      <w:r w:rsidR="000C2B68" w:rsidRPr="006F57F2">
        <w:rPr>
          <w:rFonts w:ascii="Palatino Linotype" w:eastAsia="Palatino Linotype" w:hAnsi="Palatino Linotype" w:cs="Palatino Linotype"/>
          <w:b/>
          <w:sz w:val="22"/>
          <w:szCs w:val="22"/>
        </w:rPr>
        <w:t>de dos mil veintiséis</w:t>
      </w:r>
      <w:r w:rsidR="007458B0" w:rsidRPr="006F57F2">
        <w:rPr>
          <w:rFonts w:ascii="Palatino Linotype" w:eastAsia="Palatino Linotype" w:hAnsi="Palatino Linotype" w:cs="Palatino Linotype"/>
          <w:sz w:val="22"/>
          <w:szCs w:val="22"/>
        </w:rPr>
        <w:t>, la Comisionada Ponente determinó el cierre de instrucción en términos de la fracción VI del</w:t>
      </w:r>
      <w:r w:rsidR="00A65DC9" w:rsidRPr="006F57F2">
        <w:rPr>
          <w:rFonts w:ascii="Palatino Linotype" w:eastAsia="Palatino Linotype" w:hAnsi="Palatino Linotype" w:cs="Palatino Linotype"/>
          <w:sz w:val="22"/>
          <w:szCs w:val="22"/>
        </w:rPr>
        <w:t xml:space="preserve"> </w:t>
      </w:r>
      <w:r w:rsidR="007458B0" w:rsidRPr="006F57F2">
        <w:rPr>
          <w:rFonts w:ascii="Palatino Linotype" w:eastAsia="Palatino Linotype" w:hAnsi="Palatino Linotype" w:cs="Palatino Linotype"/>
          <w:sz w:val="22"/>
          <w:szCs w:val="22"/>
        </w:rPr>
        <w:t>artículo 185 de la Ley de Transparencia y Acceso a la Información Pública del Estado de México y Municipios.</w:t>
      </w:r>
    </w:p>
    <w:p w14:paraId="53444F85" w14:textId="1A5C9EFD" w:rsidR="00212EA4" w:rsidRPr="006F57F2" w:rsidRDefault="00DB2E99" w:rsidP="007458B0">
      <w:pPr>
        <w:widowControl w:val="0"/>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bCs/>
          <w:sz w:val="22"/>
          <w:szCs w:val="22"/>
        </w:rPr>
        <w:t>9</w:t>
      </w:r>
      <w:r w:rsidR="00212EA4" w:rsidRPr="006F57F2">
        <w:rPr>
          <w:rFonts w:ascii="Palatino Linotype" w:eastAsia="Palatino Linotype" w:hAnsi="Palatino Linotype" w:cs="Palatino Linotype"/>
          <w:b/>
          <w:bCs/>
          <w:sz w:val="22"/>
          <w:szCs w:val="22"/>
        </w:rPr>
        <w:t>.</w:t>
      </w:r>
      <w:r w:rsidR="00212EA4" w:rsidRPr="006F57F2">
        <w:rPr>
          <w:rFonts w:ascii="Palatino Linotype" w:eastAsia="Palatino Linotype" w:hAnsi="Palatino Linotype" w:cs="Palatino Linotype"/>
          <w:sz w:val="22"/>
          <w:szCs w:val="22"/>
        </w:rPr>
        <w:t xml:space="preserve"> </w:t>
      </w:r>
      <w:r w:rsidR="00212EA4" w:rsidRPr="006F57F2">
        <w:rPr>
          <w:rFonts w:ascii="Palatino Linotype" w:eastAsia="Palatino Linotype" w:hAnsi="Palatino Linotype" w:cs="Palatino Linotype"/>
          <w:b/>
          <w:sz w:val="22"/>
          <w:szCs w:val="22"/>
        </w:rPr>
        <w:t>Ampliación del término para resolver</w:t>
      </w:r>
      <w:r w:rsidR="00212EA4" w:rsidRPr="006F57F2">
        <w:rPr>
          <w:rFonts w:ascii="Palatino Linotype" w:eastAsia="Palatino Linotype" w:hAnsi="Palatino Linotype" w:cs="Palatino Linotype"/>
          <w:sz w:val="22"/>
          <w:szCs w:val="22"/>
        </w:rPr>
        <w:t xml:space="preserve">. El </w:t>
      </w:r>
      <w:r w:rsidR="00C01E88" w:rsidRPr="006F57F2">
        <w:rPr>
          <w:rFonts w:ascii="Palatino Linotype" w:eastAsia="Palatino Linotype" w:hAnsi="Palatino Linotype" w:cs="Palatino Linotype"/>
          <w:b/>
          <w:sz w:val="22"/>
          <w:szCs w:val="22"/>
        </w:rPr>
        <w:t xml:space="preserve">diecisiete de septiembre </w:t>
      </w:r>
      <w:r w:rsidR="00212EA4" w:rsidRPr="006F57F2">
        <w:rPr>
          <w:rFonts w:ascii="Palatino Linotype" w:eastAsia="Palatino Linotype" w:hAnsi="Palatino Linotype" w:cs="Palatino Linotype"/>
          <w:b/>
          <w:sz w:val="22"/>
          <w:szCs w:val="22"/>
        </w:rPr>
        <w:t>de dos mil veintiséis</w:t>
      </w:r>
      <w:r w:rsidR="00212EA4" w:rsidRPr="006F57F2">
        <w:rPr>
          <w:rFonts w:ascii="Palatino Linotype" w:eastAsia="Palatino Linotype" w:hAnsi="Palatino Linotype" w:cs="Palatino Linotype"/>
          <w:sz w:val="22"/>
          <w:szCs w:val="22"/>
        </w:rPr>
        <w:t>, se amplió el término para resolver el recurso de revisión en términos del artículo 181 párrafo tercero de la Ley de Transparencia y Acceso a la Información Pública del Estado de México y Municipios, notificándose el dieciséis de julio de dos mil veintiséis.</w:t>
      </w:r>
    </w:p>
    <w:p w14:paraId="3632DFE2" w14:textId="77777777" w:rsidR="00694AA0" w:rsidRPr="006F57F2" w:rsidRDefault="005B22B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58C3A9B5" w14:textId="77777777" w:rsidR="00694AA0" w:rsidRPr="006F57F2" w:rsidRDefault="005B22BA">
      <w:pPr>
        <w:widowControl w:val="0"/>
        <w:spacing w:before="240" w:after="240" w:line="360" w:lineRule="auto"/>
        <w:jc w:val="center"/>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II. C O N S I D E R A N D O S</w:t>
      </w:r>
    </w:p>
    <w:p w14:paraId="65525EF7" w14:textId="60C8B49A" w:rsidR="00694AA0" w:rsidRPr="006F57F2" w:rsidRDefault="005B22B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Primero. Competencia.</w:t>
      </w:r>
      <w:r w:rsidRPr="006F57F2">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w:t>
      </w:r>
      <w:r w:rsidR="008E0B27" w:rsidRPr="006F57F2">
        <w:rPr>
          <w:rFonts w:ascii="Palatino Linotype" w:eastAsia="Palatino Linotype" w:hAnsi="Palatino Linotype" w:cs="Palatino Linotype"/>
          <w:sz w:val="22"/>
          <w:szCs w:val="22"/>
        </w:rPr>
        <w:t>cuarto, cuadragésimo quinto y cuadragésimo sexto</w:t>
      </w:r>
      <w:r w:rsidRPr="006F57F2">
        <w:rPr>
          <w:rFonts w:ascii="Palatino Linotype" w:eastAsia="Palatino Linotype" w:hAnsi="Palatino Linotype" w:cs="Palatino Linotype"/>
          <w:sz w:val="22"/>
          <w:szCs w:val="22"/>
        </w:rPr>
        <w:t>, fracciones IV y V de la Constitu</w:t>
      </w:r>
      <w:bookmarkStart w:id="4" w:name="_GoBack"/>
      <w:bookmarkEnd w:id="4"/>
      <w:r w:rsidRPr="006F57F2">
        <w:rPr>
          <w:rFonts w:ascii="Palatino Linotype" w:eastAsia="Palatino Linotype" w:hAnsi="Palatino Linotype" w:cs="Palatino Linotype"/>
          <w:sz w:val="22"/>
          <w:szCs w:val="22"/>
        </w:rPr>
        <w:t xml:space="preserve">ción Política del Estado Libre y Soberano de México; </w:t>
      </w:r>
      <w:r w:rsidR="00BE3EF4" w:rsidRPr="006F57F2">
        <w:rPr>
          <w:rFonts w:ascii="Palatino Linotype" w:eastAsia="Palatino Linotype" w:hAnsi="Palatino Linotype" w:cs="Palatino Linotype"/>
          <w:sz w:val="22"/>
          <w:szCs w:val="22"/>
        </w:rPr>
        <w:t xml:space="preserve">transitorio Cuarto del Decreto número 198 de la “LXII” Legislatura del Estado de México; </w:t>
      </w:r>
      <w:r w:rsidRPr="006F57F2">
        <w:rPr>
          <w:rFonts w:ascii="Palatino Linotype" w:eastAsia="Palatino Linotype" w:hAnsi="Palatino Linotype" w:cs="Palatino Linotype"/>
          <w:sz w:val="22"/>
          <w:szCs w:val="22"/>
        </w:rPr>
        <w:t>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4121E3F" w14:textId="77777777" w:rsidR="00694AA0" w:rsidRPr="006F57F2" w:rsidRDefault="005B22BA">
      <w:pPr>
        <w:spacing w:before="240" w:after="240" w:line="360" w:lineRule="auto"/>
        <w:jc w:val="both"/>
        <w:rPr>
          <w:rFonts w:ascii="Palatino Linotype" w:eastAsia="Palatino Linotype" w:hAnsi="Palatino Linotype" w:cs="Palatino Linotype"/>
          <w:sz w:val="22"/>
          <w:szCs w:val="22"/>
        </w:rPr>
      </w:pPr>
      <w:bookmarkStart w:id="5" w:name="_heading=h.tyjcwt" w:colFirst="0" w:colLast="0"/>
      <w:bookmarkEnd w:id="5"/>
      <w:r w:rsidRPr="006F57F2">
        <w:rPr>
          <w:rFonts w:ascii="Palatino Linotype" w:eastAsia="Palatino Linotype" w:hAnsi="Palatino Linotype" w:cs="Palatino Linotype"/>
          <w:b/>
          <w:sz w:val="22"/>
          <w:szCs w:val="22"/>
        </w:rPr>
        <w:t>Segundo. Oportunidad y Procedibilidad del Recurso de Revisión</w:t>
      </w:r>
      <w:r w:rsidRPr="006F57F2">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661F1BAB" w14:textId="013939CC" w:rsidR="00694AA0" w:rsidRPr="006F57F2" w:rsidRDefault="005B22B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 xml:space="preserve">remitió la respuesta a la solicitud de información el día </w:t>
      </w:r>
      <w:r w:rsidR="00E135F1" w:rsidRPr="006F57F2">
        <w:rPr>
          <w:rFonts w:ascii="Palatino Linotype" w:eastAsia="Palatino Linotype" w:hAnsi="Palatino Linotype" w:cs="Palatino Linotype"/>
          <w:b/>
          <w:sz w:val="22"/>
          <w:szCs w:val="22"/>
        </w:rPr>
        <w:t xml:space="preserve">treinta </w:t>
      </w:r>
      <w:r w:rsidR="00170CA5" w:rsidRPr="006F57F2">
        <w:rPr>
          <w:rFonts w:ascii="Palatino Linotype" w:eastAsia="Palatino Linotype" w:hAnsi="Palatino Linotype" w:cs="Palatino Linotype"/>
          <w:b/>
          <w:sz w:val="22"/>
          <w:szCs w:val="22"/>
        </w:rPr>
        <w:t>de junio</w:t>
      </w:r>
      <w:r w:rsidR="00ED34E8" w:rsidRPr="006F57F2">
        <w:rPr>
          <w:rFonts w:ascii="Palatino Linotype" w:eastAsia="Palatino Linotype" w:hAnsi="Palatino Linotype" w:cs="Palatino Linotype"/>
          <w:b/>
          <w:sz w:val="22"/>
          <w:szCs w:val="22"/>
        </w:rPr>
        <w:t xml:space="preserve"> </w:t>
      </w:r>
      <w:r w:rsidR="000C2B68" w:rsidRPr="006F57F2">
        <w:rPr>
          <w:rFonts w:ascii="Palatino Linotype" w:eastAsia="Palatino Linotype" w:hAnsi="Palatino Linotype" w:cs="Palatino Linotype"/>
          <w:b/>
          <w:sz w:val="22"/>
          <w:szCs w:val="22"/>
        </w:rPr>
        <w:t>de dos mil veintiséis</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mientras que el recurso de revisión interpuesto por la parte </w:t>
      </w:r>
      <w:r w:rsidRPr="006F57F2">
        <w:rPr>
          <w:rFonts w:ascii="Palatino Linotype" w:eastAsia="Palatino Linotype" w:hAnsi="Palatino Linotype" w:cs="Palatino Linotype"/>
          <w:b/>
          <w:sz w:val="22"/>
          <w:szCs w:val="22"/>
        </w:rPr>
        <w:t xml:space="preserve">Recurrente, </w:t>
      </w:r>
      <w:r w:rsidRPr="006F57F2">
        <w:rPr>
          <w:rFonts w:ascii="Palatino Linotype" w:eastAsia="Palatino Linotype" w:hAnsi="Palatino Linotype" w:cs="Palatino Linotype"/>
          <w:sz w:val="22"/>
          <w:szCs w:val="22"/>
        </w:rPr>
        <w:t>se tuvo por presentado el día</w:t>
      </w:r>
      <w:r w:rsidRPr="006F57F2">
        <w:rPr>
          <w:rFonts w:ascii="Palatino Linotype" w:eastAsia="Palatino Linotype" w:hAnsi="Palatino Linotype" w:cs="Palatino Linotype"/>
          <w:b/>
          <w:sz w:val="22"/>
          <w:szCs w:val="22"/>
        </w:rPr>
        <w:t xml:space="preserve"> </w:t>
      </w:r>
      <w:r w:rsidR="00E135F1" w:rsidRPr="006F57F2">
        <w:rPr>
          <w:rFonts w:ascii="Palatino Linotype" w:eastAsia="Palatino Linotype" w:hAnsi="Palatino Linotype" w:cs="Palatino Linotype"/>
          <w:b/>
          <w:sz w:val="22"/>
          <w:szCs w:val="22"/>
        </w:rPr>
        <w:t>quince de julio</w:t>
      </w:r>
      <w:r w:rsidR="000C2B68" w:rsidRPr="006F57F2">
        <w:rPr>
          <w:rFonts w:ascii="Palatino Linotype" w:eastAsia="Palatino Linotype" w:hAnsi="Palatino Linotype" w:cs="Palatino Linotype"/>
          <w:b/>
          <w:sz w:val="22"/>
          <w:szCs w:val="22"/>
        </w:rPr>
        <w:t xml:space="preserve"> de dos mil veintiséis</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esto es, </w:t>
      </w:r>
      <w:r w:rsidR="00170CA5" w:rsidRPr="006F57F2">
        <w:rPr>
          <w:rFonts w:ascii="Palatino Linotype" w:eastAsia="Palatino Linotype" w:hAnsi="Palatino Linotype" w:cs="Palatino Linotype"/>
          <w:sz w:val="22"/>
          <w:szCs w:val="22"/>
        </w:rPr>
        <w:t xml:space="preserve">al </w:t>
      </w:r>
      <w:r w:rsidR="00E135F1" w:rsidRPr="006F57F2">
        <w:rPr>
          <w:rFonts w:ascii="Palatino Linotype" w:eastAsia="Palatino Linotype" w:hAnsi="Palatino Linotype" w:cs="Palatino Linotype"/>
          <w:sz w:val="22"/>
          <w:szCs w:val="22"/>
        </w:rPr>
        <w:t>décimo primer</w:t>
      </w:r>
      <w:r w:rsidR="00170CA5" w:rsidRPr="006F57F2">
        <w:rPr>
          <w:rFonts w:ascii="Palatino Linotype" w:eastAsia="Palatino Linotype" w:hAnsi="Palatino Linotype" w:cs="Palatino Linotype"/>
          <w:sz w:val="22"/>
          <w:szCs w:val="22"/>
        </w:rPr>
        <w:t xml:space="preserve"> </w:t>
      </w:r>
      <w:r w:rsidR="000C2B68" w:rsidRPr="006F57F2">
        <w:rPr>
          <w:rFonts w:ascii="Palatino Linotype" w:eastAsia="Palatino Linotype" w:hAnsi="Palatino Linotype" w:cs="Palatino Linotype"/>
          <w:sz w:val="22"/>
          <w:szCs w:val="22"/>
        </w:rPr>
        <w:t>día</w:t>
      </w:r>
      <w:r w:rsidR="00170CA5" w:rsidRPr="006F57F2">
        <w:rPr>
          <w:rFonts w:ascii="Palatino Linotype" w:eastAsia="Palatino Linotype" w:hAnsi="Palatino Linotype" w:cs="Palatino Linotype"/>
          <w:sz w:val="22"/>
          <w:szCs w:val="22"/>
        </w:rPr>
        <w:t xml:space="preserve"> hábil</w:t>
      </w:r>
      <w:r w:rsidR="000C2B68" w:rsidRPr="006F57F2">
        <w:rPr>
          <w:rFonts w:ascii="Palatino Linotype" w:eastAsia="Palatino Linotype" w:hAnsi="Palatino Linotype" w:cs="Palatino Linotype"/>
          <w:sz w:val="22"/>
          <w:szCs w:val="22"/>
        </w:rPr>
        <w:t xml:space="preserve"> en el que </w:t>
      </w:r>
      <w:r w:rsidRPr="006F57F2">
        <w:rPr>
          <w:rFonts w:ascii="Palatino Linotype" w:eastAsia="Palatino Linotype" w:hAnsi="Palatino Linotype" w:cs="Palatino Linotype"/>
          <w:sz w:val="22"/>
          <w:szCs w:val="22"/>
        </w:rPr>
        <w:t>tuvo conocimiento de la respuesta impugnada. En este sentido, se concluye que el presente recurso de revisión se encuentra dentro de los márgenes temporales previstos en las disposiciones legales referidas.</w:t>
      </w:r>
    </w:p>
    <w:p w14:paraId="0E300F37" w14:textId="77777777" w:rsidR="00E135F1" w:rsidRPr="006F57F2" w:rsidRDefault="00E135F1" w:rsidP="00E135F1">
      <w:pPr>
        <w:spacing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Además, por cuanto hace a la procedibilidad del recurso de revisión, es de suma importancia señalar que </w:t>
      </w:r>
      <w:r w:rsidRPr="006F57F2">
        <w:rPr>
          <w:rFonts w:ascii="Palatino Linotype" w:eastAsia="Palatino Linotype" w:hAnsi="Palatino Linotype" w:cs="Palatino Linotype"/>
          <w:bCs/>
          <w:sz w:val="22"/>
          <w:szCs w:val="22"/>
        </w:rPr>
        <w:t>la parte</w:t>
      </w:r>
      <w:r w:rsidRPr="006F57F2">
        <w:rPr>
          <w:rFonts w:ascii="Palatino Linotype" w:eastAsia="Palatino Linotype" w:hAnsi="Palatino Linotype" w:cs="Palatino Linotype"/>
          <w:b/>
          <w:sz w:val="22"/>
          <w:szCs w:val="22"/>
        </w:rPr>
        <w:t xml:space="preserve"> Recurrente</w:t>
      </w:r>
      <w:r w:rsidRPr="006F57F2">
        <w:rPr>
          <w:rFonts w:ascii="Palatino Linotype" w:eastAsia="Palatino Linotype" w:hAnsi="Palatino Linotype" w:cs="Palatino Linotype"/>
          <w:sz w:val="22"/>
          <w:szCs w:val="22"/>
        </w:rPr>
        <w:t xml:space="preserve">, no señaló un </w:t>
      </w:r>
      <w:r w:rsidRPr="006F57F2">
        <w:rPr>
          <w:rFonts w:ascii="Palatino Linotype" w:eastAsia="Palatino Linotype" w:hAnsi="Palatino Linotype" w:cs="Palatino Linotype"/>
          <w:b/>
          <w:bCs/>
          <w:sz w:val="22"/>
          <w:szCs w:val="22"/>
        </w:rPr>
        <w:t>nombre</w:t>
      </w:r>
      <w:r w:rsidRPr="006F57F2">
        <w:rPr>
          <w:rFonts w:ascii="Palatino Linotype" w:eastAsia="Palatino Linotype" w:hAnsi="Palatino Linotype" w:cs="Palatino Linotype"/>
          <w:sz w:val="22"/>
          <w:szCs w:val="22"/>
        </w:rPr>
        <w:t xml:space="preserve"> con el cual desea ser identificado, como se advierte en el detalle de seguimiento del SAIMEX, no obstante no proporcionar un nombre no es motivo para archivar la solicitud de acceso a la información pública como concluida, conforme a lo previsto en el artículo 155, penúltimo párrafo de la Ley de Transparencia y Acceso a la Información Pública del Estado de México y Municipios que establece lo siguiente:</w:t>
      </w:r>
    </w:p>
    <w:p w14:paraId="64C46A26" w14:textId="77777777" w:rsidR="00E135F1" w:rsidRPr="006F57F2" w:rsidRDefault="00E135F1" w:rsidP="00E135F1">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Pr="006F57F2">
        <w:rPr>
          <w:rFonts w:ascii="Palatino Linotype" w:eastAsia="Palatino Linotype" w:hAnsi="Palatino Linotype" w:cs="Palatino Linotype"/>
          <w:b/>
          <w:i/>
          <w:sz w:val="22"/>
          <w:szCs w:val="22"/>
        </w:rPr>
        <w:t>Las solicitudes anónimas</w:t>
      </w:r>
      <w:r w:rsidRPr="006F57F2">
        <w:rPr>
          <w:rFonts w:ascii="Palatino Linotype" w:eastAsia="Palatino Linotype" w:hAnsi="Palatino Linotype" w:cs="Palatino Linotype"/>
          <w:i/>
          <w:sz w:val="22"/>
          <w:szCs w:val="22"/>
        </w:rPr>
        <w:t xml:space="preserve">, con nombre incompleto o </w:t>
      </w:r>
      <w:r w:rsidRPr="006F57F2">
        <w:rPr>
          <w:rFonts w:ascii="Palatino Linotype" w:eastAsia="Palatino Linotype" w:hAnsi="Palatino Linotype" w:cs="Palatino Linotype"/>
          <w:b/>
          <w:i/>
          <w:sz w:val="22"/>
          <w:szCs w:val="22"/>
        </w:rPr>
        <w:t>seudónimo</w:t>
      </w:r>
      <w:r w:rsidRPr="006F57F2">
        <w:rPr>
          <w:rFonts w:ascii="Palatino Linotype" w:eastAsia="Palatino Linotype" w:hAnsi="Palatino Linotype" w:cs="Palatino Linotype"/>
          <w:i/>
          <w:sz w:val="22"/>
          <w:szCs w:val="22"/>
        </w:rPr>
        <w:t xml:space="preserve"> serán procedentes para su trámite por parte del sujeto obligado ante quien se presente. No podrá requerirse información adicional con motivo del nombre proporcionado por el solicitante."</w:t>
      </w:r>
    </w:p>
    <w:p w14:paraId="5E292458" w14:textId="77777777" w:rsidR="00E135F1" w:rsidRPr="006F57F2" w:rsidRDefault="00E135F1" w:rsidP="00E135F1">
      <w:pPr>
        <w:spacing w:before="240" w:after="240" w:line="360" w:lineRule="auto"/>
        <w:jc w:val="both"/>
        <w:rPr>
          <w:rFonts w:ascii="Palatino Linotype" w:eastAsia="Palatino Linotype" w:hAnsi="Palatino Linotype" w:cs="Palatino Linotype"/>
          <w:b/>
          <w:sz w:val="22"/>
          <w:szCs w:val="22"/>
        </w:rPr>
      </w:pPr>
      <w:r w:rsidRPr="006F57F2">
        <w:rPr>
          <w:rFonts w:ascii="Palatino Linotype" w:eastAsia="Palatino Linotype" w:hAnsi="Palatino Linotype" w:cs="Palatino Linotype"/>
          <w:sz w:val="22"/>
          <w:szCs w:val="22"/>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w:t>
      </w:r>
      <w:r w:rsidRPr="006F57F2">
        <w:rPr>
          <w:rFonts w:ascii="Palatino Linotype" w:eastAsia="Palatino Linotype" w:hAnsi="Palatino Linotype" w:cs="Palatino Linotype"/>
          <w:bCs/>
          <w:sz w:val="22"/>
          <w:szCs w:val="22"/>
        </w:rPr>
        <w:t>el</w:t>
      </w:r>
      <w:r w:rsidRPr="006F57F2">
        <w:rPr>
          <w:rFonts w:ascii="Palatino Linotype" w:eastAsia="Palatino Linotype" w:hAnsi="Palatino Linotype" w:cs="Palatino Linotype"/>
          <w:b/>
          <w:sz w:val="22"/>
          <w:szCs w:val="22"/>
        </w:rPr>
        <w:t xml:space="preserve"> SAIMEX.</w:t>
      </w:r>
    </w:p>
    <w:p w14:paraId="2DB43ED9" w14:textId="55F43C81" w:rsidR="006E155A" w:rsidRPr="006F57F2" w:rsidRDefault="005B22BA" w:rsidP="006E155A">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Finalmente, se advierte que resulta procedente la interposición del recurso, según lo manifestado por la parte </w:t>
      </w:r>
      <w:r w:rsidRPr="006F57F2">
        <w:rPr>
          <w:rFonts w:ascii="Palatino Linotype" w:eastAsia="Palatino Linotype" w:hAnsi="Palatino Linotype" w:cs="Palatino Linotype"/>
          <w:b/>
          <w:sz w:val="22"/>
          <w:szCs w:val="22"/>
        </w:rPr>
        <w:t>Recurrente</w:t>
      </w:r>
      <w:r w:rsidRPr="006F57F2">
        <w:rPr>
          <w:rFonts w:ascii="Palatino Linotype" w:eastAsia="Palatino Linotype" w:hAnsi="Palatino Linotype" w:cs="Palatino Linotype"/>
          <w:sz w:val="22"/>
          <w:szCs w:val="22"/>
        </w:rPr>
        <w:t xml:space="preserve"> en sus motivos de inconformidad, de acuerdo al artículo 179, </w:t>
      </w:r>
      <w:r w:rsidR="00C00558" w:rsidRPr="006F57F2">
        <w:rPr>
          <w:rFonts w:ascii="Palatino Linotype" w:eastAsia="Palatino Linotype" w:hAnsi="Palatino Linotype" w:cs="Palatino Linotype"/>
          <w:sz w:val="22"/>
          <w:szCs w:val="22"/>
        </w:rPr>
        <w:t>f</w:t>
      </w:r>
      <w:r w:rsidR="00A521AD" w:rsidRPr="006F57F2">
        <w:rPr>
          <w:rFonts w:ascii="Palatino Linotype" w:eastAsia="Palatino Linotype" w:hAnsi="Palatino Linotype" w:cs="Palatino Linotype"/>
          <w:sz w:val="22"/>
          <w:szCs w:val="22"/>
        </w:rPr>
        <w:t>racci</w:t>
      </w:r>
      <w:r w:rsidR="00C3371F" w:rsidRPr="006F57F2">
        <w:rPr>
          <w:rFonts w:ascii="Palatino Linotype" w:eastAsia="Palatino Linotype" w:hAnsi="Palatino Linotype" w:cs="Palatino Linotype"/>
          <w:sz w:val="22"/>
          <w:szCs w:val="22"/>
        </w:rPr>
        <w:t>ón</w:t>
      </w:r>
      <w:r w:rsidR="00170CA5" w:rsidRPr="006F57F2">
        <w:rPr>
          <w:rFonts w:ascii="Palatino Linotype" w:eastAsia="Palatino Linotype" w:hAnsi="Palatino Linotype" w:cs="Palatino Linotype"/>
          <w:sz w:val="22"/>
          <w:szCs w:val="22"/>
        </w:rPr>
        <w:t xml:space="preserve"> </w:t>
      </w:r>
      <w:r w:rsidR="00E135F1" w:rsidRPr="006F57F2">
        <w:rPr>
          <w:rFonts w:ascii="Palatino Linotype" w:eastAsia="Palatino Linotype" w:hAnsi="Palatino Linotype" w:cs="Palatino Linotype"/>
          <w:sz w:val="22"/>
          <w:szCs w:val="22"/>
        </w:rPr>
        <w:t>I</w:t>
      </w:r>
      <w:r w:rsidR="00200EBD" w:rsidRPr="006F57F2">
        <w:rPr>
          <w:rFonts w:ascii="Palatino Linotype" w:eastAsia="Palatino Linotype" w:hAnsi="Palatino Linotype" w:cs="Palatino Linotype"/>
          <w:sz w:val="22"/>
          <w:szCs w:val="22"/>
        </w:rPr>
        <w:t xml:space="preserve"> </w:t>
      </w:r>
      <w:r w:rsidR="006E155A" w:rsidRPr="006F57F2">
        <w:rPr>
          <w:rFonts w:ascii="Palatino Linotype" w:eastAsia="Palatino Linotype" w:hAnsi="Palatino Linotype" w:cs="Palatino Linotype"/>
          <w:sz w:val="22"/>
          <w:szCs w:val="22"/>
        </w:rPr>
        <w:t>del ordenamiento legal citado, que a la letra dice: </w:t>
      </w:r>
    </w:p>
    <w:p w14:paraId="76DBCF77" w14:textId="77777777" w:rsidR="006E155A" w:rsidRPr="006F57F2" w:rsidRDefault="006E155A" w:rsidP="006E155A">
      <w:pPr>
        <w:tabs>
          <w:tab w:val="left" w:pos="7938"/>
        </w:tabs>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Pr="006F57F2">
        <w:rPr>
          <w:rFonts w:ascii="Palatino Linotype" w:eastAsia="Palatino Linotype" w:hAnsi="Palatino Linotype" w:cs="Palatino Linotype"/>
          <w:b/>
          <w:i/>
          <w:sz w:val="22"/>
          <w:szCs w:val="22"/>
        </w:rPr>
        <w:t>Artículo 179.</w:t>
      </w:r>
      <w:r w:rsidRPr="006F57F2">
        <w:rPr>
          <w:rFonts w:ascii="Palatino Linotype" w:eastAsia="Palatino Linotype" w:hAnsi="Palatino Linotype" w:cs="Palatino Linotype"/>
          <w:i/>
          <w:sz w:val="22"/>
          <w:szCs w:val="22"/>
        </w:rPr>
        <w:t xml:space="preserve"> El recurso de revisión es un medio de protección que la Ley otorga a los particulares, para hacer valer su derecho de acceso a la información pública, y procederá en contra de las siguientes causas:</w:t>
      </w:r>
    </w:p>
    <w:p w14:paraId="609BC029" w14:textId="14C4F929" w:rsidR="00561AA1" w:rsidRPr="006F57F2" w:rsidRDefault="00561AA1" w:rsidP="006E155A">
      <w:pPr>
        <w:tabs>
          <w:tab w:val="left" w:pos="7938"/>
        </w:tabs>
        <w:spacing w:before="120" w:after="120"/>
        <w:ind w:left="851" w:right="900"/>
        <w:jc w:val="both"/>
        <w:rPr>
          <w:rFonts w:ascii="Palatino Linotype" w:hAnsi="Palatino Linotype"/>
          <w:b/>
          <w:i/>
          <w:sz w:val="22"/>
          <w:szCs w:val="22"/>
        </w:rPr>
      </w:pPr>
      <w:r w:rsidRPr="006F57F2">
        <w:rPr>
          <w:rFonts w:ascii="Palatino Linotype" w:hAnsi="Palatino Linotype"/>
          <w:b/>
          <w:i/>
          <w:sz w:val="22"/>
          <w:szCs w:val="22"/>
        </w:rPr>
        <w:t>...</w:t>
      </w:r>
    </w:p>
    <w:p w14:paraId="57894972" w14:textId="7A2597F0" w:rsidR="006E155A" w:rsidRPr="006F57F2" w:rsidRDefault="00E135F1" w:rsidP="00C3371F">
      <w:pPr>
        <w:tabs>
          <w:tab w:val="left" w:pos="7938"/>
        </w:tabs>
        <w:spacing w:before="120" w:after="120"/>
        <w:ind w:left="851" w:right="900"/>
        <w:jc w:val="both"/>
        <w:rPr>
          <w:rFonts w:ascii="Palatino Linotype" w:hAnsi="Palatino Linotype"/>
          <w:i/>
          <w:sz w:val="22"/>
          <w:szCs w:val="22"/>
        </w:rPr>
      </w:pPr>
      <w:r w:rsidRPr="006F57F2">
        <w:rPr>
          <w:rFonts w:ascii="Palatino Linotype" w:hAnsi="Palatino Linotype"/>
          <w:b/>
          <w:bCs/>
          <w:i/>
          <w:sz w:val="22"/>
          <w:szCs w:val="22"/>
        </w:rPr>
        <w:t>I</w:t>
      </w:r>
      <w:r w:rsidRPr="006F57F2">
        <w:rPr>
          <w:rFonts w:ascii="Palatino Linotype" w:hAnsi="Palatino Linotype"/>
          <w:i/>
          <w:sz w:val="22"/>
          <w:szCs w:val="22"/>
        </w:rPr>
        <w:t>. La negativa a la información solicitada</w:t>
      </w:r>
      <w:r w:rsidR="00A521AD" w:rsidRPr="006F57F2">
        <w:rPr>
          <w:rFonts w:ascii="Palatino Linotype" w:hAnsi="Palatino Linotype"/>
          <w:i/>
          <w:sz w:val="22"/>
          <w:szCs w:val="22"/>
        </w:rPr>
        <w:t>;</w:t>
      </w:r>
      <w:r w:rsidR="006E155A" w:rsidRPr="006F57F2">
        <w:rPr>
          <w:rFonts w:ascii="Palatino Linotype" w:eastAsia="Palatino Linotype" w:hAnsi="Palatino Linotype" w:cs="Palatino Linotype"/>
          <w:i/>
          <w:sz w:val="22"/>
          <w:szCs w:val="22"/>
        </w:rPr>
        <w:t>”</w:t>
      </w:r>
    </w:p>
    <w:p w14:paraId="4C26C5B6" w14:textId="77777777" w:rsidR="0040629F" w:rsidRPr="006F57F2" w:rsidRDefault="0040629F" w:rsidP="0040629F">
      <w:pPr>
        <w:spacing w:before="240" w:after="240" w:line="360" w:lineRule="auto"/>
        <w:jc w:val="both"/>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 xml:space="preserve">Tercero. Materia de la revisión. </w:t>
      </w:r>
      <w:r w:rsidRPr="006F57F2">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6F57F2">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6F57F2">
        <w:rPr>
          <w:rFonts w:ascii="Palatino Linotype" w:eastAsia="Palatino Linotype" w:hAnsi="Palatino Linotype" w:cs="Palatino Linotype"/>
          <w:sz w:val="22"/>
          <w:szCs w:val="22"/>
        </w:rPr>
        <w:t xml:space="preserve">de la parte </w:t>
      </w:r>
      <w:r w:rsidRPr="006F57F2">
        <w:rPr>
          <w:rFonts w:ascii="Palatino Linotype" w:eastAsia="Palatino Linotype" w:hAnsi="Palatino Linotype" w:cs="Palatino Linotype"/>
          <w:b/>
          <w:sz w:val="22"/>
          <w:szCs w:val="22"/>
        </w:rPr>
        <w:t>Recurrente</w:t>
      </w:r>
      <w:r w:rsidRPr="006F57F2">
        <w:rPr>
          <w:rFonts w:ascii="Palatino Linotype" w:eastAsia="Palatino Linotype" w:hAnsi="Palatino Linotype" w:cs="Palatino Linotype"/>
          <w:sz w:val="22"/>
          <w:szCs w:val="22"/>
        </w:rPr>
        <w:t>, o en su defecto, en caso de ser procedente, ordenar la entrega de información.</w:t>
      </w:r>
    </w:p>
    <w:p w14:paraId="53EE3284"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 xml:space="preserve">Cuarto. Estudio del asunto. </w:t>
      </w:r>
      <w:r w:rsidRPr="006F57F2">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7414CA37"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Pr="006F57F2">
        <w:rPr>
          <w:rFonts w:ascii="Palatino Linotype" w:eastAsia="Palatino Linotype" w:hAnsi="Palatino Linotype" w:cs="Palatino Linotype"/>
          <w:b/>
          <w:i/>
          <w:sz w:val="22"/>
          <w:szCs w:val="22"/>
        </w:rPr>
        <w:t>Artículo 4</w:t>
      </w:r>
      <w:r w:rsidRPr="006F57F2">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5C9E9F22"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6F57F2">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4C4BBEA2"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6F57F2">
        <w:rPr>
          <w:rFonts w:ascii="Palatino Linotype" w:eastAsia="Palatino Linotype" w:hAnsi="Palatino Linotype" w:cs="Palatino Linotype"/>
          <w:i/>
          <w:sz w:val="22"/>
          <w:szCs w:val="22"/>
        </w:rPr>
        <w:t>.”</w:t>
      </w:r>
    </w:p>
    <w:p w14:paraId="10DD1A2E"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0D421B93"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b/>
          <w:i/>
          <w:sz w:val="22"/>
          <w:szCs w:val="22"/>
        </w:rPr>
        <w:t>“Artículo 12.-</w:t>
      </w:r>
      <w:r w:rsidRPr="006F57F2">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3C28871B"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6F57F2">
        <w:rPr>
          <w:rFonts w:ascii="Palatino Linotype" w:eastAsia="Palatino Linotype" w:hAnsi="Palatino Linotype" w:cs="Palatino Linotype"/>
          <w:i/>
          <w:sz w:val="22"/>
          <w:szCs w:val="22"/>
        </w:rPr>
        <w:t xml:space="preserve">. </w:t>
      </w:r>
      <w:r w:rsidRPr="006F57F2">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79D3F331" w14:textId="77777777" w:rsidR="0040629F" w:rsidRPr="006F57F2" w:rsidRDefault="0040629F" w:rsidP="0040629F">
      <w:pPr>
        <w:spacing w:before="240" w:after="240" w:line="360" w:lineRule="auto"/>
        <w:ind w:right="-93"/>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53259D94" w14:textId="77777777" w:rsidR="0040629F" w:rsidRPr="006F57F2" w:rsidRDefault="0040629F" w:rsidP="0040629F">
      <w:pPr>
        <w:spacing w:before="240" w:after="240" w:line="360" w:lineRule="auto"/>
        <w:jc w:val="both"/>
        <w:rPr>
          <w:rFonts w:ascii="Palatino Linotype" w:eastAsia="Palatino Linotype" w:hAnsi="Palatino Linotype" w:cs="Palatino Linotype"/>
          <w:b/>
          <w:sz w:val="22"/>
          <w:szCs w:val="22"/>
        </w:rPr>
      </w:pPr>
      <w:r w:rsidRPr="006F57F2">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6F57F2">
        <w:rPr>
          <w:rFonts w:ascii="Palatino Linotype" w:eastAsia="Palatino Linotype" w:hAnsi="Palatino Linotype" w:cs="Palatino Linotype"/>
          <w:b/>
          <w:sz w:val="22"/>
          <w:szCs w:val="22"/>
        </w:rPr>
        <w:t xml:space="preserve"> </w:t>
      </w:r>
    </w:p>
    <w:p w14:paraId="651B1D7E"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Pr="006F57F2">
        <w:rPr>
          <w:rFonts w:ascii="Palatino Linotype" w:eastAsia="Palatino Linotype" w:hAnsi="Palatino Linotype" w:cs="Palatino Linotype"/>
          <w:b/>
          <w:i/>
          <w:sz w:val="22"/>
          <w:szCs w:val="22"/>
        </w:rPr>
        <w:t>No existe obligación de elaborar documentos ad hoc para atender las solicitudes de acceso a la información.</w:t>
      </w:r>
      <w:r w:rsidRPr="006F57F2">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5C4745BC"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354B2AC5" w14:textId="77777777" w:rsidR="0040629F" w:rsidRPr="006F57F2" w:rsidRDefault="0040629F" w:rsidP="0040629F">
      <w:pPr>
        <w:spacing w:before="120" w:after="12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1FB48981"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r w:rsidRPr="006F57F2">
        <w:rPr>
          <w:rFonts w:ascii="Palatino Linotype" w:eastAsia="Palatino Linotype" w:hAnsi="Palatino Linotype" w:cs="Palatino Linotype"/>
          <w:b/>
          <w:i/>
          <w:sz w:val="22"/>
          <w:szCs w:val="22"/>
        </w:rPr>
        <w:t xml:space="preserve">Artículo 3. </w:t>
      </w:r>
      <w:r w:rsidRPr="006F57F2">
        <w:rPr>
          <w:rFonts w:ascii="Palatino Linotype" w:eastAsia="Palatino Linotype" w:hAnsi="Palatino Linotype" w:cs="Palatino Linotype"/>
          <w:i/>
          <w:sz w:val="22"/>
          <w:szCs w:val="22"/>
        </w:rPr>
        <w:t>Para los efectos de la presente Ley se entenderá por:</w:t>
      </w:r>
    </w:p>
    <w:p w14:paraId="6C0BEDB5"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w:t>
      </w:r>
    </w:p>
    <w:p w14:paraId="20AB1C69"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b/>
          <w:i/>
          <w:sz w:val="22"/>
          <w:szCs w:val="22"/>
        </w:rPr>
        <w:t>XI. Documento:</w:t>
      </w:r>
      <w:r w:rsidRPr="006F57F2">
        <w:rPr>
          <w:rFonts w:ascii="Palatino Linotype" w:eastAsia="Palatino Linotype" w:hAnsi="Palatino Linotype" w:cs="Palatino Linotype"/>
          <w:i/>
          <w:sz w:val="22"/>
          <w:szCs w:val="22"/>
        </w:rPr>
        <w:t xml:space="preserve"> Los expedientes, reportes, estudios, actas</w:t>
      </w:r>
      <w:r w:rsidRPr="006F57F2">
        <w:rPr>
          <w:rFonts w:ascii="Palatino Linotype" w:eastAsia="Palatino Linotype" w:hAnsi="Palatino Linotype" w:cs="Palatino Linotype"/>
          <w:b/>
          <w:i/>
          <w:sz w:val="22"/>
          <w:szCs w:val="22"/>
        </w:rPr>
        <w:t>,</w:t>
      </w:r>
      <w:r w:rsidRPr="006F57F2">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5F6DB219"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0E564DA4"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b/>
          <w:sz w:val="22"/>
          <w:szCs w:val="22"/>
        </w:rPr>
        <w:t>“</w:t>
      </w:r>
      <w:r w:rsidRPr="006F57F2">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6F57F2">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1FED36EA"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6A607A89"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1249B735"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31063323" w14:textId="77777777" w:rsidR="0040629F" w:rsidRPr="006F57F2" w:rsidRDefault="0040629F" w:rsidP="0040629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55E4991C" w14:textId="77777777" w:rsidR="0040629F" w:rsidRPr="006F57F2" w:rsidRDefault="0040629F" w:rsidP="0040629F">
      <w:pPr>
        <w:spacing w:before="240" w:after="240" w:line="360" w:lineRule="auto"/>
        <w:ind w:right="51"/>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3DD2A761"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556C16C5" w14:textId="77777777" w:rsidR="0040629F" w:rsidRPr="006F57F2" w:rsidRDefault="0040629F" w:rsidP="0040629F">
      <w:pPr>
        <w:spacing w:before="240" w:after="240" w:line="360" w:lineRule="auto"/>
        <w:ind w:right="51"/>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6F57F2">
        <w:rPr>
          <w:rFonts w:ascii="Palatino Linotype" w:eastAsia="Palatino Linotype" w:hAnsi="Palatino Linotype" w:cs="Palatino Linotype"/>
          <w:b/>
          <w:sz w:val="22"/>
          <w:szCs w:val="22"/>
        </w:rPr>
        <w:t>Recurrente</w:t>
      </w:r>
      <w:r w:rsidRPr="006F57F2">
        <w:rPr>
          <w:rFonts w:ascii="Palatino Linotype" w:eastAsia="Palatino Linotype" w:hAnsi="Palatino Linotype" w:cs="Palatino Linotype"/>
          <w:sz w:val="22"/>
          <w:szCs w:val="22"/>
        </w:rPr>
        <w:t xml:space="preserve"> requirió al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le proporcione, información consistente en lo siguiente:</w:t>
      </w:r>
    </w:p>
    <w:p w14:paraId="046B7080" w14:textId="027A6084" w:rsidR="00E135F1" w:rsidRPr="006F57F2" w:rsidRDefault="00E135F1" w:rsidP="00567790">
      <w:pPr>
        <w:pStyle w:val="Prrafodelista"/>
        <w:numPr>
          <w:ilvl w:val="0"/>
          <w:numId w:val="20"/>
        </w:numPr>
        <w:spacing w:before="240" w:after="240" w:line="360" w:lineRule="auto"/>
        <w:ind w:left="284" w:right="49" w:firstLine="0"/>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Curriculum vitae del personal que trabaja en la presente administración, así como de las personas que han trabajado desde el inicio de la administración.</w:t>
      </w:r>
    </w:p>
    <w:p w14:paraId="425BE4E6" w14:textId="65FDF8AE" w:rsidR="00E135F1" w:rsidRPr="006F57F2" w:rsidRDefault="00E84E47" w:rsidP="000C2B68">
      <w:pPr>
        <w:spacing w:before="240" w:after="240" w:line="360" w:lineRule="auto"/>
        <w:ind w:right="49"/>
        <w:jc w:val="both"/>
        <w:rPr>
          <w:rFonts w:ascii="Palatino Linotype" w:hAnsi="Palatino Linotype"/>
          <w:sz w:val="22"/>
          <w:szCs w:val="22"/>
        </w:rPr>
      </w:pPr>
      <w:r w:rsidRPr="006F57F2">
        <w:rPr>
          <w:rFonts w:ascii="Palatino Linotype" w:eastAsia="Palatino Linotype" w:hAnsi="Palatino Linotype" w:cs="Palatino Linotype"/>
          <w:sz w:val="22"/>
          <w:szCs w:val="22"/>
        </w:rPr>
        <w:t xml:space="preserve">En respuesta, </w:t>
      </w:r>
      <w:r w:rsidR="00E135F1" w:rsidRPr="006F57F2">
        <w:rPr>
          <w:rFonts w:ascii="Palatino Linotype" w:eastAsia="Palatino Linotype" w:hAnsi="Palatino Linotype" w:cs="Palatino Linotype"/>
          <w:sz w:val="22"/>
          <w:szCs w:val="22"/>
        </w:rPr>
        <w:t xml:space="preserve">el </w:t>
      </w:r>
      <w:r w:rsidR="00E135F1" w:rsidRPr="006F57F2">
        <w:rPr>
          <w:rFonts w:ascii="Palatino Linotype" w:eastAsia="Palatino Linotype" w:hAnsi="Palatino Linotype" w:cs="Palatino Linotype"/>
          <w:b/>
          <w:bCs/>
          <w:sz w:val="22"/>
          <w:szCs w:val="22"/>
        </w:rPr>
        <w:t xml:space="preserve">Sujeto Obligado, </w:t>
      </w:r>
      <w:r w:rsidR="00E135F1" w:rsidRPr="006F57F2">
        <w:rPr>
          <w:rFonts w:ascii="Palatino Linotype" w:eastAsia="Palatino Linotype" w:hAnsi="Palatino Linotype" w:cs="Palatino Linotype"/>
          <w:sz w:val="22"/>
          <w:szCs w:val="22"/>
        </w:rPr>
        <w:t xml:space="preserve">por conducto de </w:t>
      </w:r>
      <w:r w:rsidR="00567790" w:rsidRPr="006F57F2">
        <w:rPr>
          <w:rFonts w:ascii="Palatino Linotype" w:eastAsia="Palatino Linotype" w:hAnsi="Palatino Linotype" w:cs="Palatino Linotype"/>
          <w:sz w:val="22"/>
          <w:szCs w:val="22"/>
        </w:rPr>
        <w:t>la</w:t>
      </w:r>
      <w:r w:rsidR="00E135F1" w:rsidRPr="006F57F2">
        <w:rPr>
          <w:rFonts w:ascii="Palatino Linotype" w:eastAsia="Palatino Linotype" w:hAnsi="Palatino Linotype" w:cs="Palatino Linotype"/>
          <w:sz w:val="22"/>
          <w:szCs w:val="22"/>
        </w:rPr>
        <w:t xml:space="preserve"> </w:t>
      </w:r>
      <w:r w:rsidR="00E135F1" w:rsidRPr="006F57F2">
        <w:rPr>
          <w:rFonts w:ascii="Palatino Linotype" w:hAnsi="Palatino Linotype"/>
          <w:sz w:val="22"/>
          <w:szCs w:val="22"/>
        </w:rPr>
        <w:t>Coordina</w:t>
      </w:r>
      <w:r w:rsidR="00FA796F" w:rsidRPr="006F57F2">
        <w:rPr>
          <w:rFonts w:ascii="Palatino Linotype" w:hAnsi="Palatino Linotype"/>
          <w:sz w:val="22"/>
          <w:szCs w:val="22"/>
        </w:rPr>
        <w:t>ción</w:t>
      </w:r>
      <w:r w:rsidR="00E135F1" w:rsidRPr="006F57F2">
        <w:rPr>
          <w:rFonts w:ascii="Palatino Linotype" w:hAnsi="Palatino Linotype"/>
          <w:sz w:val="22"/>
          <w:szCs w:val="22"/>
        </w:rPr>
        <w:t xml:space="preserve"> de Recursos Humanos y Control Patrimonial, hizo entrega de 47 curriculum vitae, precisando que correspondía con el personal que laboró y labora en el Sistema Municipal DIF Atenco.</w:t>
      </w:r>
    </w:p>
    <w:p w14:paraId="43FA9F2B" w14:textId="14DF2FCE" w:rsidR="00E135F1" w:rsidRPr="006F57F2" w:rsidRDefault="003F3C79" w:rsidP="000C2B68">
      <w:pPr>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Sin embargo, al no estar conforme con los términos de la solicitud, la persona solicitante interpuso el recurso de revisión que nos ocupa, </w:t>
      </w:r>
      <w:r w:rsidR="0098166B" w:rsidRPr="006F57F2">
        <w:rPr>
          <w:rFonts w:ascii="Palatino Linotype" w:eastAsia="Palatino Linotype" w:hAnsi="Palatino Linotype" w:cs="Palatino Linotype"/>
          <w:sz w:val="22"/>
          <w:szCs w:val="22"/>
        </w:rPr>
        <w:t>por medio del cual alegó que</w:t>
      </w:r>
      <w:r w:rsidR="00E135F1" w:rsidRPr="006F57F2">
        <w:rPr>
          <w:rFonts w:ascii="Palatino Linotype" w:eastAsia="Palatino Linotype" w:hAnsi="Palatino Linotype" w:cs="Palatino Linotype"/>
          <w:sz w:val="22"/>
          <w:szCs w:val="22"/>
        </w:rPr>
        <w:t xml:space="preserve"> no le fue entregada la información, con lo cual se afectaba su Derecho de acceso a la información.</w:t>
      </w:r>
    </w:p>
    <w:p w14:paraId="6F9254BC" w14:textId="77777777" w:rsidR="00E135F1" w:rsidRPr="006F57F2" w:rsidRDefault="00E135F1" w:rsidP="00E135F1">
      <w:pPr>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En la etapa de manifestaciones el </w:t>
      </w:r>
      <w:r w:rsidRPr="006F57F2">
        <w:rPr>
          <w:rFonts w:ascii="Palatino Linotype" w:eastAsia="Palatino Linotype" w:hAnsi="Palatino Linotype" w:cs="Palatino Linotype"/>
          <w:b/>
          <w:bCs/>
          <w:sz w:val="22"/>
          <w:szCs w:val="22"/>
        </w:rPr>
        <w:t xml:space="preserve">Sujeto Obligado </w:t>
      </w:r>
      <w:r w:rsidRPr="006F57F2">
        <w:rPr>
          <w:rFonts w:ascii="Palatino Linotype" w:eastAsia="Palatino Linotype" w:hAnsi="Palatino Linotype" w:cs="Palatino Linotype"/>
          <w:sz w:val="22"/>
          <w:szCs w:val="22"/>
        </w:rPr>
        <w:t xml:space="preserve">fue omiso en rendir su informe justificado, y la parte </w:t>
      </w:r>
      <w:r w:rsidRPr="006F57F2">
        <w:rPr>
          <w:rFonts w:ascii="Palatino Linotype" w:eastAsia="Palatino Linotype" w:hAnsi="Palatino Linotype" w:cs="Palatino Linotype"/>
          <w:b/>
          <w:bCs/>
          <w:sz w:val="22"/>
          <w:szCs w:val="22"/>
        </w:rPr>
        <w:t xml:space="preserve">Recurrente </w:t>
      </w:r>
      <w:r w:rsidRPr="006F57F2">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14:paraId="59FCE9FA"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Una vez establecidas las posturas de las partes, se procede al análisis de los requerimientos de información, así como la información proporcionada por 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 xml:space="preserve">en contraposición con el motivo de inconformidad alegado por la parte </w:t>
      </w:r>
      <w:r w:rsidRPr="006F57F2">
        <w:rPr>
          <w:rFonts w:ascii="Palatino Linotype" w:eastAsia="Palatino Linotype" w:hAnsi="Palatino Linotype" w:cs="Palatino Linotype"/>
          <w:b/>
          <w:sz w:val="22"/>
          <w:szCs w:val="22"/>
        </w:rPr>
        <w:t xml:space="preserve">Recurrente, </w:t>
      </w:r>
      <w:r w:rsidRPr="006F57F2">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56A90C97" w14:textId="77777777" w:rsidR="0040629F" w:rsidRPr="006F57F2" w:rsidRDefault="0040629F" w:rsidP="0040629F">
      <w:pPr>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En este tenor es imprescindible mencionar que las Unidades de Transparencia, son el área responsable en cada Sujeto Obligado para dar atención a las solicitudes de información que se realicen al amparo de la Ley, el responsable de dicha área funge como enlace entre el Sujeto Obligado y los solicitantes, y tiene bajo su responsabilidad el tramitar internamente la solicitud de información.</w:t>
      </w:r>
    </w:p>
    <w:p w14:paraId="2E54D57F"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De tal manera que, si bien el Titular de la Unidad de Transparencia no tiene bajo su resguardo el archivo que contiene la documentación en donde consta la información solicitada, esta puede obrar en las distintas áreas que conforman la estructura orgánica del Sujeto Obligado, es por ello que debe turnar la solicitud al servidor público habilitado que tiene bajo su resguardo la misma, de conformidad con los artículos 53, fracciones II y IV y 162 de la Ley de Transparencia y Acceso a la Información Pública del Estado de México y Municipios.</w:t>
      </w:r>
    </w:p>
    <w:p w14:paraId="078F3E69" w14:textId="77777777" w:rsidR="0040629F" w:rsidRPr="006F57F2" w:rsidRDefault="0040629F" w:rsidP="0040629F">
      <w:pPr>
        <w:spacing w:before="240" w:after="240" w:line="360" w:lineRule="auto"/>
        <w:ind w:right="51"/>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Por su parte, los servidores públicos habilitados, quienes son designados por el titular de cada Sujeto Obligado derivado de la propuesta del responsable de la Unidad de Transparencia, son las personas encargadas dentro de las diversas unidades administrativas o áreas de los Sujeto Obligado, de apoyar, gestionar y entregar la información o datos personales que se ubiquen en la misma, a sus respectivas unidades de transparencia; respecto de las solicitudes presentadas, y aportar en primera instancia el fundamento y motivación de la clasificación de la información, teniendo como función buscar, localizar y en su caso entregar la información solicitada, así como integrar y presentar al responsable de la Unidad de Transparencia la propuesta de clasificación de información, la cual tendrá los fundamentos y argumentos en que se basa dicha propuesta y verificar, una vez analizado el contenido de la información, que no se encuentre en los supuestos de información clasificada, de conformidad con los artículos 3, fracción XXXIX, 58 y 59, de la Ley de Transparencia y Acceso a la Información Pública del Estado de México y Municipios.</w:t>
      </w:r>
    </w:p>
    <w:p w14:paraId="1D59EA62" w14:textId="77777777" w:rsidR="0040629F" w:rsidRPr="006F57F2" w:rsidRDefault="0040629F" w:rsidP="0040629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De lo manifestado con antelación se advierte que la persona Titular de la Unidad de Transparencia debe garantizar que las solicitudes se turnen a todas las áreas competentes que puedan contar con la información, con el objeto de que los servidores públicos habilitados realicen la búsqueda exhaustiva y razonable de la información solicitada, y que una vez localizada, la misma sea proporcionada a las personas solicitantes atendiendo a la naturaleza jurídica de la misma.</w:t>
      </w:r>
    </w:p>
    <w:p w14:paraId="1D8179D6" w14:textId="304F4A66" w:rsidR="0040629F" w:rsidRPr="006F57F2" w:rsidRDefault="0040629F" w:rsidP="0040629F">
      <w:pPr>
        <w:spacing w:before="280" w:after="28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En esta línea de pensamiento, derivado del análisis de las constancias que obran en el expediente electrónico en el que se actúa, se advirtió que la Unidad de Transparencia, turnó la solicitud de información a la </w:t>
      </w:r>
      <w:r w:rsidRPr="006F57F2">
        <w:rPr>
          <w:rFonts w:ascii="Palatino Linotype" w:hAnsi="Palatino Linotype"/>
          <w:sz w:val="22"/>
          <w:szCs w:val="22"/>
        </w:rPr>
        <w:t xml:space="preserve">Coordinación de Recursos Humanos y Control Patrimonial </w:t>
      </w:r>
      <w:r w:rsidRPr="006F57F2">
        <w:rPr>
          <w:rFonts w:ascii="Palatino Linotype" w:eastAsia="Palatino Linotype" w:hAnsi="Palatino Linotype" w:cs="Palatino Linotype"/>
          <w:sz w:val="22"/>
          <w:szCs w:val="22"/>
        </w:rPr>
        <w:t>como la dependencia responsable para conocer de la información que es del interés de la persona solicitante</w:t>
      </w:r>
      <w:r w:rsidR="00440139" w:rsidRPr="006F57F2">
        <w:rPr>
          <w:rFonts w:ascii="Palatino Linotype" w:eastAsia="Palatino Linotype" w:hAnsi="Palatino Linotype" w:cs="Palatino Linotype"/>
          <w:sz w:val="22"/>
          <w:szCs w:val="22"/>
        </w:rPr>
        <w:t xml:space="preserve">, por lo tanto, </w:t>
      </w:r>
      <w:r w:rsidR="00527185" w:rsidRPr="006F57F2">
        <w:rPr>
          <w:rFonts w:ascii="Palatino Linotype" w:eastAsia="Palatino Linotype" w:hAnsi="Palatino Linotype" w:cs="Palatino Linotype"/>
          <w:sz w:val="22"/>
          <w:szCs w:val="22"/>
        </w:rPr>
        <w:t>se</w:t>
      </w:r>
      <w:r w:rsidR="00440139" w:rsidRPr="006F57F2">
        <w:rPr>
          <w:rFonts w:ascii="Palatino Linotype" w:eastAsia="Palatino Linotype" w:hAnsi="Palatino Linotype" w:cs="Palatino Linotype"/>
          <w:sz w:val="22"/>
          <w:szCs w:val="22"/>
        </w:rPr>
        <w:t xml:space="preserve"> cumplió el procedimiento de búsqueda establecido en los artículos 151, 159, 160, 162, 163, 164, 165 y 166, de la Ley de Transparencia y Acceso a la Información Pública del Estado de México y Municipio, el cual se constituye como la garantía primaria del derecho humano de acceso a la información pública, el cual se rige por los principios de simplicidad, rapidez, gratuidad del procedimiento, auxilio y orientación a las personas solicitantes con el fin de otorgar la protección más amplia de este derecho.</w:t>
      </w:r>
    </w:p>
    <w:p w14:paraId="34AD1D2C" w14:textId="7044FCFE" w:rsidR="00C9556E" w:rsidRPr="006F57F2" w:rsidRDefault="00440139" w:rsidP="0040629F">
      <w:pPr>
        <w:spacing w:before="280" w:after="28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Una vez establecido lo anterior, partiendo de los motivos de inconformidad alegados por la parte Recurrente, este Organismo Garante procedió al análisis de la información solicitada, así como la respuesta proporcionada por el Sujeto Obligado, arribando </w:t>
      </w:r>
      <w:r w:rsidR="00C9556E" w:rsidRPr="006F57F2">
        <w:rPr>
          <w:rFonts w:ascii="Palatino Linotype" w:eastAsia="Palatino Linotype" w:hAnsi="Palatino Linotype" w:cs="Palatino Linotype"/>
          <w:sz w:val="22"/>
          <w:szCs w:val="22"/>
        </w:rPr>
        <w:t>a las siguientes conclusiones:</w:t>
      </w:r>
    </w:p>
    <w:p w14:paraId="6790D944" w14:textId="2E7F663D" w:rsidR="00440139" w:rsidRPr="006F57F2" w:rsidRDefault="00527185" w:rsidP="00527185">
      <w:pPr>
        <w:tabs>
          <w:tab w:val="left" w:pos="567"/>
        </w:tabs>
        <w:spacing w:before="280" w:after="280" w:line="360" w:lineRule="auto"/>
        <w:ind w:left="284"/>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 </w:t>
      </w:r>
      <w:r w:rsidR="00C9556E" w:rsidRPr="006F57F2">
        <w:rPr>
          <w:rFonts w:ascii="Palatino Linotype" w:eastAsia="Palatino Linotype" w:hAnsi="Palatino Linotype" w:cs="Palatino Linotype"/>
          <w:sz w:val="22"/>
          <w:szCs w:val="22"/>
        </w:rPr>
        <w:t>C</w:t>
      </w:r>
      <w:r w:rsidR="00440139" w:rsidRPr="006F57F2">
        <w:rPr>
          <w:rFonts w:ascii="Palatino Linotype" w:eastAsia="Palatino Linotype" w:hAnsi="Palatino Linotype" w:cs="Palatino Linotype"/>
          <w:sz w:val="22"/>
          <w:szCs w:val="22"/>
        </w:rPr>
        <w:t xml:space="preserve">ontrario a lo manifestado por la parte </w:t>
      </w:r>
      <w:r w:rsidR="00440139" w:rsidRPr="006F57F2">
        <w:rPr>
          <w:rFonts w:ascii="Palatino Linotype" w:eastAsia="Palatino Linotype" w:hAnsi="Palatino Linotype" w:cs="Palatino Linotype"/>
          <w:b/>
          <w:bCs/>
          <w:sz w:val="22"/>
          <w:szCs w:val="22"/>
        </w:rPr>
        <w:t xml:space="preserve">Recurrente, </w:t>
      </w:r>
      <w:r w:rsidR="00C9556E" w:rsidRPr="006F57F2">
        <w:rPr>
          <w:rFonts w:ascii="Palatino Linotype" w:eastAsia="Palatino Linotype" w:hAnsi="Palatino Linotype" w:cs="Palatino Linotype"/>
          <w:sz w:val="22"/>
          <w:szCs w:val="22"/>
        </w:rPr>
        <w:t xml:space="preserve">el </w:t>
      </w:r>
      <w:r w:rsidR="00C9556E" w:rsidRPr="006F57F2">
        <w:rPr>
          <w:rFonts w:ascii="Palatino Linotype" w:eastAsia="Palatino Linotype" w:hAnsi="Palatino Linotype" w:cs="Palatino Linotype"/>
          <w:b/>
          <w:bCs/>
          <w:sz w:val="22"/>
          <w:szCs w:val="22"/>
        </w:rPr>
        <w:t xml:space="preserve">Sujeto Obligado </w:t>
      </w:r>
      <w:r w:rsidR="00C9556E" w:rsidRPr="006F57F2">
        <w:rPr>
          <w:rFonts w:ascii="Palatino Linotype" w:eastAsia="Palatino Linotype" w:hAnsi="Palatino Linotype" w:cs="Palatino Linotype"/>
          <w:sz w:val="22"/>
          <w:szCs w:val="22"/>
        </w:rPr>
        <w:t>hizo entrega de 47 curriculum vitae.</w:t>
      </w:r>
    </w:p>
    <w:p w14:paraId="11EFD98A" w14:textId="3957B991" w:rsidR="00C9556E" w:rsidRPr="006F57F2" w:rsidRDefault="00527185" w:rsidP="00527185">
      <w:pPr>
        <w:tabs>
          <w:tab w:val="left" w:pos="567"/>
        </w:tabs>
        <w:spacing w:before="280" w:after="280" w:line="360" w:lineRule="auto"/>
        <w:ind w:left="284"/>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 </w:t>
      </w:r>
      <w:r w:rsidR="00FA796F" w:rsidRPr="006F57F2">
        <w:rPr>
          <w:rFonts w:ascii="Palatino Linotype" w:eastAsia="Palatino Linotype" w:hAnsi="Palatino Linotype" w:cs="Palatino Linotype"/>
          <w:sz w:val="22"/>
          <w:szCs w:val="22"/>
        </w:rPr>
        <w:t xml:space="preserve">La persona servidora pública habilitada de la Coordinación </w:t>
      </w:r>
      <w:r w:rsidR="00FA796F" w:rsidRPr="006F57F2">
        <w:rPr>
          <w:rFonts w:ascii="Palatino Linotype" w:hAnsi="Palatino Linotype"/>
          <w:sz w:val="22"/>
          <w:szCs w:val="22"/>
        </w:rPr>
        <w:t>de Recursos Humanos y Control Patrimonial, precisó que los documentos entregados correspondían al personal que laboró y labora en la presente administración.</w:t>
      </w:r>
    </w:p>
    <w:p w14:paraId="234964F8" w14:textId="48814C5A" w:rsidR="00A60AC7" w:rsidRPr="006F57F2" w:rsidRDefault="00A60AC7" w:rsidP="00A60AC7">
      <w:pPr>
        <w:spacing w:before="280" w:after="280" w:line="360" w:lineRule="auto"/>
        <w:jc w:val="both"/>
        <w:rPr>
          <w:rFonts w:ascii="Palatino Linotype" w:hAnsi="Palatino Linotype"/>
          <w:sz w:val="22"/>
          <w:szCs w:val="22"/>
        </w:rPr>
      </w:pPr>
      <w:r w:rsidRPr="006F57F2">
        <w:rPr>
          <w:rFonts w:ascii="Palatino Linotype" w:eastAsia="Palatino Linotype" w:hAnsi="Palatino Linotype" w:cs="Palatino Linotype"/>
          <w:sz w:val="22"/>
          <w:szCs w:val="22"/>
        </w:rPr>
        <w:t xml:space="preserve">Además, es </w:t>
      </w:r>
      <w:r w:rsidR="008F1D9C" w:rsidRPr="006F57F2">
        <w:rPr>
          <w:rFonts w:ascii="Palatino Linotype" w:eastAsia="Palatino Linotype" w:hAnsi="Palatino Linotype" w:cs="Palatino Linotype"/>
          <w:sz w:val="22"/>
          <w:szCs w:val="22"/>
        </w:rPr>
        <w:t>importante dejar claro que este Pleno no está facultado para manifestarse sobre la veracidad de la información proporcionada, conforme lo prevé el artículo 36 de la Ley de Transparencia y Acceso a la Información Pública del Estado de México y Municipios</w:t>
      </w:r>
      <w:r w:rsidRPr="006F57F2">
        <w:rPr>
          <w:rFonts w:ascii="Palatino Linotype" w:eastAsia="Palatino Linotype" w:hAnsi="Palatino Linotype" w:cs="Palatino Linotype"/>
          <w:sz w:val="22"/>
          <w:szCs w:val="22"/>
        </w:rPr>
        <w:t xml:space="preserve">, por lo que basta con la aseveración por parte del </w:t>
      </w:r>
      <w:r w:rsidRPr="006F57F2">
        <w:rPr>
          <w:rFonts w:ascii="Palatino Linotype" w:eastAsia="Palatino Linotype" w:hAnsi="Palatino Linotype" w:cs="Palatino Linotype"/>
          <w:b/>
          <w:sz w:val="22"/>
          <w:szCs w:val="22"/>
        </w:rPr>
        <w:t xml:space="preserve">Sujeto Obligado, </w:t>
      </w:r>
      <w:r w:rsidRPr="006F57F2">
        <w:rPr>
          <w:rFonts w:ascii="Palatino Linotype" w:eastAsia="Palatino Linotype" w:hAnsi="Palatino Linotype" w:cs="Palatino Linotype"/>
          <w:sz w:val="22"/>
          <w:szCs w:val="22"/>
        </w:rPr>
        <w:t xml:space="preserve">a través del área competente para tener por atendido el requerimiento de información en análisis, toda vez que se hizo entrega de la información solicitada, esto es, el curriculum vitae de los servidores públicos que laboran en el </w:t>
      </w:r>
      <w:r w:rsidRPr="006F57F2">
        <w:rPr>
          <w:rFonts w:ascii="Palatino Linotype" w:hAnsi="Palatino Linotype"/>
          <w:sz w:val="22"/>
          <w:szCs w:val="22"/>
        </w:rPr>
        <w:t>Sistema Municipal DIF Atenco, en la administración 2025-2027, así como de aquellas personas que laboraron desde el inicio de dicha administración.</w:t>
      </w:r>
    </w:p>
    <w:p w14:paraId="7D1E3FFC" w14:textId="4477021C" w:rsidR="00BA2951" w:rsidRPr="006F57F2" w:rsidRDefault="00BA2951" w:rsidP="00BA2951">
      <w:pPr>
        <w:tabs>
          <w:tab w:val="left" w:pos="3544"/>
        </w:tabs>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Con base en lo previo se logra vislumbrar que los motivos de inconformidad alegados por la parte </w:t>
      </w:r>
      <w:r w:rsidRPr="006F57F2">
        <w:rPr>
          <w:rFonts w:ascii="Palatino Linotype" w:eastAsia="Palatino Linotype" w:hAnsi="Palatino Linotype" w:cs="Palatino Linotype"/>
          <w:b/>
          <w:sz w:val="22"/>
          <w:szCs w:val="22"/>
        </w:rPr>
        <w:t xml:space="preserve">Recurrente </w:t>
      </w:r>
      <w:r w:rsidRPr="006F57F2">
        <w:rPr>
          <w:rFonts w:ascii="Palatino Linotype" w:eastAsia="Palatino Linotype" w:hAnsi="Palatino Linotype" w:cs="Palatino Linotype"/>
          <w:sz w:val="22"/>
          <w:szCs w:val="22"/>
        </w:rPr>
        <w:t xml:space="preserve">son infundados, dado que </w:t>
      </w:r>
      <w:r w:rsidR="001A3B4F" w:rsidRPr="006F57F2">
        <w:rPr>
          <w:rFonts w:ascii="Palatino Linotype" w:eastAsia="Palatino Linotype" w:hAnsi="Palatino Linotype" w:cs="Palatino Linotype"/>
          <w:sz w:val="22"/>
          <w:szCs w:val="22"/>
        </w:rPr>
        <w:t>la persona</w:t>
      </w:r>
      <w:r w:rsidRPr="006F57F2">
        <w:rPr>
          <w:rFonts w:ascii="Palatino Linotype" w:eastAsia="Palatino Linotype" w:hAnsi="Palatino Linotype" w:cs="Palatino Linotype"/>
          <w:sz w:val="22"/>
          <w:szCs w:val="22"/>
        </w:rPr>
        <w:t xml:space="preserve"> servidor</w:t>
      </w:r>
      <w:r w:rsidR="001A3B4F" w:rsidRPr="006F57F2">
        <w:rPr>
          <w:rFonts w:ascii="Palatino Linotype" w:eastAsia="Palatino Linotype" w:hAnsi="Palatino Linotype" w:cs="Palatino Linotype"/>
          <w:sz w:val="22"/>
          <w:szCs w:val="22"/>
        </w:rPr>
        <w:t>a</w:t>
      </w:r>
      <w:r w:rsidRPr="006F57F2">
        <w:rPr>
          <w:rFonts w:ascii="Palatino Linotype" w:eastAsia="Palatino Linotype" w:hAnsi="Palatino Linotype" w:cs="Palatino Linotype"/>
          <w:sz w:val="22"/>
          <w:szCs w:val="22"/>
        </w:rPr>
        <w:t xml:space="preserve"> públic</w:t>
      </w:r>
      <w:r w:rsidR="001A3B4F" w:rsidRPr="006F57F2">
        <w:rPr>
          <w:rFonts w:ascii="Palatino Linotype" w:eastAsia="Palatino Linotype" w:hAnsi="Palatino Linotype" w:cs="Palatino Linotype"/>
          <w:sz w:val="22"/>
          <w:szCs w:val="22"/>
        </w:rPr>
        <w:t>a</w:t>
      </w:r>
      <w:r w:rsidRPr="006F57F2">
        <w:rPr>
          <w:rFonts w:ascii="Palatino Linotype" w:eastAsia="Palatino Linotype" w:hAnsi="Palatino Linotype" w:cs="Palatino Linotype"/>
          <w:sz w:val="22"/>
          <w:szCs w:val="22"/>
        </w:rPr>
        <w:t xml:space="preserve"> habilitad</w:t>
      </w:r>
      <w:r w:rsidR="001A3B4F" w:rsidRPr="006F57F2">
        <w:rPr>
          <w:rFonts w:ascii="Palatino Linotype" w:eastAsia="Palatino Linotype" w:hAnsi="Palatino Linotype" w:cs="Palatino Linotype"/>
          <w:sz w:val="22"/>
          <w:szCs w:val="22"/>
        </w:rPr>
        <w:t>a</w:t>
      </w:r>
      <w:r w:rsidRPr="006F57F2">
        <w:rPr>
          <w:rFonts w:ascii="Palatino Linotype" w:eastAsia="Palatino Linotype" w:hAnsi="Palatino Linotype" w:cs="Palatino Linotype"/>
          <w:sz w:val="22"/>
          <w:szCs w:val="22"/>
        </w:rPr>
        <w:t xml:space="preserve"> del área competente hizo entrega de </w:t>
      </w:r>
      <w:r w:rsidR="001A3B4F" w:rsidRPr="006F57F2">
        <w:rPr>
          <w:rFonts w:ascii="Palatino Linotype" w:eastAsia="Palatino Linotype" w:hAnsi="Palatino Linotype" w:cs="Palatino Linotype"/>
          <w:sz w:val="22"/>
          <w:szCs w:val="22"/>
        </w:rPr>
        <w:t>la información</w:t>
      </w:r>
      <w:r w:rsidRPr="006F57F2">
        <w:rPr>
          <w:rFonts w:ascii="Palatino Linotype" w:eastAsia="Palatino Linotype" w:hAnsi="Palatino Linotype" w:cs="Palatino Linotype"/>
          <w:sz w:val="22"/>
          <w:szCs w:val="22"/>
        </w:rPr>
        <w:t xml:space="preserve"> tal y como fue solicitado</w:t>
      </w:r>
      <w:r w:rsidR="001A3B4F" w:rsidRPr="006F57F2">
        <w:rPr>
          <w:rFonts w:ascii="Palatino Linotype" w:eastAsia="Palatino Linotype" w:hAnsi="Palatino Linotype" w:cs="Palatino Linotype"/>
          <w:sz w:val="22"/>
          <w:szCs w:val="22"/>
        </w:rPr>
        <w:t>.</w:t>
      </w:r>
    </w:p>
    <w:p w14:paraId="529B66C0" w14:textId="188E8D99" w:rsidR="001A3B4F" w:rsidRPr="006F57F2" w:rsidRDefault="00BA2951" w:rsidP="001A3B4F">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Sin embargo, es de suma importancia mencionar que no es posible confirmar la respuesta proporcionada en virtud de que derivado del análisis efectuado en el soporte documental entregado en respuesta, se advirtió que en algunos </w:t>
      </w:r>
      <w:r w:rsidR="001A3B4F" w:rsidRPr="006F57F2">
        <w:rPr>
          <w:rFonts w:ascii="Palatino Linotype" w:eastAsia="Palatino Linotype" w:hAnsi="Palatino Linotype" w:cs="Palatino Linotype"/>
          <w:sz w:val="22"/>
          <w:szCs w:val="22"/>
        </w:rPr>
        <w:t>curriculum vitae</w:t>
      </w:r>
      <w:r w:rsidRPr="006F57F2">
        <w:rPr>
          <w:rFonts w:ascii="Palatino Linotype" w:eastAsia="Palatino Linotype" w:hAnsi="Palatino Linotype" w:cs="Palatino Linotype"/>
          <w:sz w:val="22"/>
          <w:szCs w:val="22"/>
        </w:rPr>
        <w:t xml:space="preserve"> se dej</w:t>
      </w:r>
      <w:r w:rsidR="001A3B4F" w:rsidRPr="006F57F2">
        <w:rPr>
          <w:rFonts w:ascii="Palatino Linotype" w:eastAsia="Palatino Linotype" w:hAnsi="Palatino Linotype" w:cs="Palatino Linotype"/>
          <w:sz w:val="22"/>
          <w:szCs w:val="22"/>
        </w:rPr>
        <w:t xml:space="preserve">ó </w:t>
      </w:r>
      <w:r w:rsidRPr="006F57F2">
        <w:rPr>
          <w:rFonts w:ascii="Palatino Linotype" w:eastAsia="Palatino Linotype" w:hAnsi="Palatino Linotype" w:cs="Palatino Linotype"/>
          <w:sz w:val="22"/>
          <w:szCs w:val="22"/>
        </w:rPr>
        <w:t>visibl</w:t>
      </w:r>
      <w:r w:rsidR="001A3B4F" w:rsidRPr="006F57F2">
        <w:rPr>
          <w:rFonts w:ascii="Palatino Linotype" w:eastAsia="Palatino Linotype" w:hAnsi="Palatino Linotype" w:cs="Palatino Linotype"/>
          <w:sz w:val="22"/>
          <w:szCs w:val="22"/>
        </w:rPr>
        <w:t>e</w:t>
      </w:r>
      <w:r w:rsidRPr="006F57F2">
        <w:rPr>
          <w:rFonts w:ascii="Palatino Linotype" w:eastAsia="Palatino Linotype" w:hAnsi="Palatino Linotype" w:cs="Palatino Linotype"/>
          <w:sz w:val="22"/>
          <w:szCs w:val="22"/>
        </w:rPr>
        <w:t xml:space="preserve"> </w:t>
      </w:r>
      <w:r w:rsidR="001A3B4F" w:rsidRPr="006F57F2">
        <w:rPr>
          <w:rFonts w:ascii="Palatino Linotype" w:eastAsia="Palatino Linotype" w:hAnsi="Palatino Linotype" w:cs="Palatino Linotype"/>
          <w:sz w:val="22"/>
          <w:szCs w:val="22"/>
        </w:rPr>
        <w:t>el lugar de nacimiento y estado civil de los servidores públicos, datos que al tratarse de información concerniente a la vida privada de los servidores públicos, no susceptibles de conocimiento público, ya que, de difundirse, pudieran vulnerar la esfera más íntima de privacidad de su titular, siendo procedente su clasificación como información confidencial, de manera fundada y motivada en términos del artículo 143, fracción I de la Ley de Transparencia y Acceso a la Información Pública del Estado de México y Municipios, a saber:</w:t>
      </w:r>
    </w:p>
    <w:p w14:paraId="2EC1AF8A" w14:textId="77777777" w:rsidR="001A3B4F" w:rsidRPr="006F57F2" w:rsidRDefault="001A3B4F" w:rsidP="001A3B4F">
      <w:pPr>
        <w:spacing w:before="120" w:after="120"/>
        <w:ind w:left="851" w:right="902"/>
        <w:jc w:val="both"/>
        <w:rPr>
          <w:rFonts w:ascii="Palatino Linotype" w:eastAsia="Palatino Linotype" w:hAnsi="Palatino Linotype" w:cs="Palatino Linotype"/>
          <w:i/>
          <w:sz w:val="22"/>
          <w:szCs w:val="22"/>
        </w:rPr>
      </w:pPr>
      <w:r w:rsidRPr="006F57F2">
        <w:rPr>
          <w:rFonts w:ascii="Palatino Linotype" w:eastAsia="Palatino Linotype" w:hAnsi="Palatino Linotype" w:cs="Palatino Linotype"/>
          <w:sz w:val="22"/>
          <w:szCs w:val="22"/>
        </w:rPr>
        <w:t>“</w:t>
      </w:r>
      <w:r w:rsidRPr="006F57F2">
        <w:rPr>
          <w:rFonts w:ascii="Palatino Linotype" w:eastAsia="Palatino Linotype" w:hAnsi="Palatino Linotype" w:cs="Palatino Linotype"/>
          <w:b/>
          <w:i/>
          <w:sz w:val="22"/>
          <w:szCs w:val="22"/>
        </w:rPr>
        <w:t>Artículo 143.</w:t>
      </w:r>
      <w:r w:rsidRPr="006F57F2">
        <w:rPr>
          <w:rFonts w:ascii="Palatino Linotype" w:eastAsia="Palatino Linotype" w:hAnsi="Palatino Linotype" w:cs="Palatino Linotype"/>
          <w:i/>
          <w:sz w:val="22"/>
          <w:szCs w:val="22"/>
        </w:rPr>
        <w:t xml:space="preserve"> Para los efectos de esta Ley se considera información confidencial, la clasificada como tal, de manera permanente, por su naturaleza, cuando:</w:t>
      </w:r>
    </w:p>
    <w:p w14:paraId="5778082A" w14:textId="77777777" w:rsidR="001A3B4F" w:rsidRPr="006F57F2" w:rsidRDefault="001A3B4F" w:rsidP="001A3B4F">
      <w:pPr>
        <w:spacing w:before="120" w:after="120"/>
        <w:ind w:left="851"/>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i/>
          <w:sz w:val="22"/>
          <w:szCs w:val="22"/>
        </w:rPr>
        <w:t>I.</w:t>
      </w:r>
      <w:r w:rsidRPr="006F57F2">
        <w:rPr>
          <w:rFonts w:ascii="Palatino Linotype" w:eastAsia="Palatino Linotype" w:hAnsi="Palatino Linotype" w:cs="Palatino Linotype"/>
          <w:i/>
          <w:sz w:val="22"/>
          <w:szCs w:val="22"/>
        </w:rPr>
        <w:t xml:space="preserve"> Se refiera a la información privada y los datos personales concernientes a una persona física o jurídico colectiva identificada o identificable”</w:t>
      </w:r>
    </w:p>
    <w:p w14:paraId="0C8996DE" w14:textId="0AFBDB66" w:rsidR="00BA2951" w:rsidRPr="006F57F2" w:rsidRDefault="001A3B4F" w:rsidP="00BA2951">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E</w:t>
      </w:r>
      <w:r w:rsidR="00BA2951" w:rsidRPr="006F57F2">
        <w:rPr>
          <w:rFonts w:ascii="Palatino Linotype" w:eastAsia="Palatino Linotype" w:hAnsi="Palatino Linotype" w:cs="Palatino Linotype"/>
          <w:sz w:val="22"/>
          <w:szCs w:val="22"/>
        </w:rPr>
        <w:t xml:space="preserve">n consecuencia </w:t>
      </w:r>
      <w:r w:rsidR="00BA2951" w:rsidRPr="006F57F2">
        <w:rPr>
          <w:rFonts w:ascii="Palatino Linotype" w:hAnsi="Palatino Linotype"/>
          <w:sz w:val="22"/>
          <w:szCs w:val="22"/>
        </w:rPr>
        <w:t xml:space="preserve">resulta procedente dar vista al Titular de la Dirección General de Protección de Datos Personales de este Órgano, </w:t>
      </w:r>
      <w:r w:rsidR="00BA2951" w:rsidRPr="006F57F2">
        <w:rPr>
          <w:rFonts w:ascii="Palatino Linotype" w:eastAsiaTheme="minorHAnsi" w:hAnsi="Palatino Linotype" w:cs="Arial"/>
          <w:sz w:val="22"/>
          <w:szCs w:val="22"/>
          <w:lang w:val="es-ES_tradnl" w:eastAsia="en-US"/>
        </w:rPr>
        <w:t xml:space="preserve">con fundamento en el artículo 82, fracción XXVII de la Ley de Protección de Datos Personales del Estado de México y Municipios, </w:t>
      </w:r>
      <w:r w:rsidR="00BA2951" w:rsidRPr="006F57F2">
        <w:rPr>
          <w:rFonts w:ascii="Palatino Linotype" w:hAnsi="Palatino Linotype"/>
          <w:sz w:val="22"/>
          <w:szCs w:val="22"/>
        </w:rPr>
        <w:t xml:space="preserve">para que en ejercicio de sus atribuciones contenidas en el numeral 24, fracciones V, XI, XII y XIII del Reglamento Interior del Instituto de Transparencia, Acceso a la Información Pública y Protección de Datos Personales del Estado de México y Municipios, investigue y sanciones las posibles omisiones en las que el </w:t>
      </w:r>
      <w:r w:rsidR="00BA2951" w:rsidRPr="006F57F2">
        <w:rPr>
          <w:rFonts w:ascii="Palatino Linotype" w:hAnsi="Palatino Linotype"/>
          <w:b/>
          <w:sz w:val="22"/>
          <w:szCs w:val="22"/>
        </w:rPr>
        <w:t>Sujeto Obligado</w:t>
      </w:r>
      <w:r w:rsidR="00BA2951" w:rsidRPr="006F57F2">
        <w:rPr>
          <w:rFonts w:ascii="Palatino Linotype" w:hAnsi="Palatino Linotype"/>
          <w:sz w:val="22"/>
          <w:szCs w:val="22"/>
        </w:rPr>
        <w:t xml:space="preserve"> pudo haber incurrido por el incumplimiento a las obligaciones previstas en la Ley de Protección de Datos Personales en Posesión de Sujetos Obligados del Estado de México y Municipios y, las demás disposiciones jurídicas aplicables en la materia; en caso de acreditarse las mismas, lo deberá hacer del conocimiento del Órgano de Control Interno del </w:t>
      </w:r>
      <w:r w:rsidR="00BA2951" w:rsidRPr="006F57F2">
        <w:rPr>
          <w:rFonts w:ascii="Palatino Linotype" w:hAnsi="Palatino Linotype"/>
          <w:b/>
          <w:sz w:val="22"/>
          <w:szCs w:val="22"/>
        </w:rPr>
        <w:t>Sujeto Obligado</w:t>
      </w:r>
      <w:r w:rsidR="00BA2951" w:rsidRPr="006F57F2">
        <w:rPr>
          <w:rFonts w:ascii="Palatino Linotype" w:hAnsi="Palatino Linotype"/>
          <w:sz w:val="22"/>
          <w:szCs w:val="22"/>
        </w:rPr>
        <w:t xml:space="preserve"> para que este determine lo que conforme derecho corresponda, cuyo resultado deberá ser informado a este Instituto.</w:t>
      </w:r>
    </w:p>
    <w:p w14:paraId="156D80EB" w14:textId="77777777" w:rsidR="00BA2951" w:rsidRPr="006F57F2" w:rsidRDefault="00BA2951" w:rsidP="00BA2951">
      <w:pPr>
        <w:tabs>
          <w:tab w:val="left" w:pos="3544"/>
        </w:tabs>
        <w:spacing w:before="240" w:after="240" w:line="360" w:lineRule="auto"/>
        <w:ind w:right="49"/>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 xml:space="preserve">Bajo esta línea de pensamiento, en el presente asunto se actualiza la causal de sobreseimiento prevista en el artículo 192, fracción V de la Ley de Transparencia y Acceso a la Información Pública del Estado de México y Municipios, misma que establece que el recurso será sobreseído cuando por cualquier causa quede sin materia, ello en atención a que el presente asunto se inició bajo el motivo de inconformidad, que describe que la información entregada no corresponde con lo solicitado, asimismo que se clasificó información en los documentos entregados,  lo cual resulta infundado pues en análisis a la respuesta, la información entregada si coincide con lo solicitado, y la clasificación parcial se encuentra justificada; por tanto, es pertinente </w:t>
      </w:r>
      <w:r w:rsidRPr="006F57F2">
        <w:rPr>
          <w:rFonts w:ascii="Palatino Linotype" w:eastAsia="Palatino Linotype" w:hAnsi="Palatino Linotype" w:cs="Palatino Linotype"/>
          <w:i/>
          <w:sz w:val="22"/>
          <w:szCs w:val="22"/>
        </w:rPr>
        <w:t>Sobreseer</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el presente recurso de revisión, en atención a que el medio de impugnación quedó sin materia, ya que el motivo de inconformidad resultó infundados y desvirtuado.</w:t>
      </w:r>
    </w:p>
    <w:p w14:paraId="4368008A" w14:textId="699717B8" w:rsidR="00331A87" w:rsidRPr="006F57F2" w:rsidRDefault="00331A87" w:rsidP="00331A87">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Así, con fundamento en lo prescrito en los artículos 5 párrafos cuadragésimo cuarto, cuadragésimo quinto cuadragésimo sexto, de la Constitución Política del Estado Libre y Soberano de México; Transitorio Cuarto, párrafo segundo del Decreto número 198 de la “LXII” Legislatura del Estado de México; 2, fracción II; 29, 36 fracciones I y II; 176, 178, 181, 185 y 186 fracción II de la Ley de Transparencia y Acceso a la Información Pública del Estado de México y Municipios, este Pleno:</w:t>
      </w:r>
    </w:p>
    <w:p w14:paraId="6475D997" w14:textId="18295757" w:rsidR="004C11AD" w:rsidRPr="006F57F2" w:rsidRDefault="004C11AD" w:rsidP="00331A87">
      <w:pPr>
        <w:spacing w:before="240" w:after="240" w:line="360" w:lineRule="auto"/>
        <w:jc w:val="both"/>
        <w:rPr>
          <w:rFonts w:ascii="Palatino Linotype" w:eastAsia="Palatino Linotype" w:hAnsi="Palatino Linotype" w:cs="Palatino Linotype"/>
          <w:sz w:val="22"/>
          <w:szCs w:val="22"/>
        </w:rPr>
      </w:pPr>
    </w:p>
    <w:p w14:paraId="05086426" w14:textId="2DF6BA7B" w:rsidR="004C11AD" w:rsidRPr="006F57F2" w:rsidRDefault="004C11AD" w:rsidP="00331A87">
      <w:pPr>
        <w:spacing w:before="240" w:after="240" w:line="360" w:lineRule="auto"/>
        <w:jc w:val="both"/>
        <w:rPr>
          <w:rFonts w:ascii="Palatino Linotype" w:eastAsia="Palatino Linotype" w:hAnsi="Palatino Linotype" w:cs="Palatino Linotype"/>
          <w:sz w:val="22"/>
          <w:szCs w:val="22"/>
        </w:rPr>
      </w:pPr>
    </w:p>
    <w:p w14:paraId="6D5CCEC2" w14:textId="77777777" w:rsidR="004C11AD" w:rsidRPr="006F57F2" w:rsidRDefault="004C11AD" w:rsidP="00331A87">
      <w:pPr>
        <w:spacing w:before="240" w:after="240" w:line="360" w:lineRule="auto"/>
        <w:jc w:val="both"/>
        <w:rPr>
          <w:rFonts w:ascii="Palatino Linotype" w:eastAsia="Palatino Linotype" w:hAnsi="Palatino Linotype" w:cs="Palatino Linotype"/>
          <w:sz w:val="22"/>
          <w:szCs w:val="22"/>
        </w:rPr>
      </w:pPr>
    </w:p>
    <w:p w14:paraId="0B4B5E69" w14:textId="77777777" w:rsidR="00694AA0" w:rsidRPr="006F57F2" w:rsidRDefault="005B22BA">
      <w:pPr>
        <w:pBdr>
          <w:top w:val="nil"/>
          <w:left w:val="nil"/>
          <w:bottom w:val="nil"/>
          <w:right w:val="nil"/>
          <w:between w:val="nil"/>
        </w:pBdr>
        <w:spacing w:before="240" w:after="240" w:line="360" w:lineRule="auto"/>
        <w:jc w:val="center"/>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III. R E S U E L V E</w:t>
      </w:r>
    </w:p>
    <w:p w14:paraId="4F395CA1" w14:textId="2E7C9B7F" w:rsidR="001A3B4F" w:rsidRPr="006F57F2" w:rsidRDefault="001A3B4F" w:rsidP="001A3B4F">
      <w:pPr>
        <w:spacing w:before="240" w:after="240" w:line="360" w:lineRule="auto"/>
        <w:jc w:val="both"/>
        <w:rPr>
          <w:rFonts w:ascii="Palatino Linotype" w:hAnsi="Palatino Linotype"/>
          <w:sz w:val="22"/>
          <w:szCs w:val="22"/>
          <w:lang w:val="es-ES_tradnl"/>
        </w:rPr>
      </w:pPr>
      <w:bookmarkStart w:id="6" w:name="_heading=h.26in1rg" w:colFirst="0" w:colLast="0"/>
      <w:bookmarkStart w:id="7" w:name="_heading=h.lnxbz9" w:colFirst="0" w:colLast="0"/>
      <w:bookmarkEnd w:id="6"/>
      <w:bookmarkEnd w:id="7"/>
      <w:r w:rsidRPr="006F57F2">
        <w:rPr>
          <w:rFonts w:ascii="Palatino Linotype" w:eastAsia="Palatino Linotype" w:hAnsi="Palatino Linotype" w:cs="Palatino Linotype"/>
          <w:b/>
          <w:sz w:val="22"/>
          <w:szCs w:val="22"/>
        </w:rPr>
        <w:t xml:space="preserve">Primero. </w:t>
      </w:r>
      <w:r w:rsidRPr="006F57F2">
        <w:rPr>
          <w:rFonts w:ascii="Palatino Linotype" w:eastAsia="Palatino Linotype" w:hAnsi="Palatino Linotype" w:cs="Palatino Linotype"/>
          <w:sz w:val="22"/>
          <w:szCs w:val="22"/>
        </w:rPr>
        <w:t>Se</w:t>
      </w:r>
      <w:r w:rsidRPr="006F57F2">
        <w:rPr>
          <w:rFonts w:ascii="Palatino Linotype" w:eastAsia="Palatino Linotype" w:hAnsi="Palatino Linotype" w:cs="Palatino Linotype"/>
          <w:b/>
          <w:sz w:val="22"/>
          <w:szCs w:val="22"/>
        </w:rPr>
        <w:t xml:space="preserve"> Sobresee </w:t>
      </w:r>
      <w:r w:rsidRPr="006F57F2">
        <w:rPr>
          <w:rFonts w:ascii="Palatino Linotype" w:eastAsia="Palatino Linotype" w:hAnsi="Palatino Linotype" w:cs="Palatino Linotype"/>
          <w:sz w:val="22"/>
          <w:szCs w:val="22"/>
        </w:rPr>
        <w:t>el Recurso de Revisión</w:t>
      </w:r>
      <w:r w:rsidRPr="006F57F2">
        <w:rPr>
          <w:rFonts w:ascii="Palatino Linotype" w:eastAsia="Palatino Linotype" w:hAnsi="Palatino Linotype" w:cs="Palatino Linotype"/>
          <w:b/>
          <w:sz w:val="22"/>
          <w:szCs w:val="22"/>
        </w:rPr>
        <w:t xml:space="preserve"> 07257/INFOEM/IP/RR/2026, </w:t>
      </w:r>
      <w:r w:rsidRPr="006F57F2">
        <w:rPr>
          <w:rFonts w:ascii="Palatino Linotype" w:hAnsi="Palatino Linotype"/>
          <w:sz w:val="22"/>
          <w:szCs w:val="22"/>
          <w:lang w:val="es-ES_tradnl"/>
        </w:rPr>
        <w:t xml:space="preserve">en términos del considerando </w:t>
      </w:r>
      <w:r w:rsidRPr="006F57F2">
        <w:rPr>
          <w:rFonts w:ascii="Palatino Linotype" w:hAnsi="Palatino Linotype"/>
          <w:b/>
          <w:sz w:val="22"/>
          <w:szCs w:val="22"/>
          <w:lang w:val="es-ES_tradnl"/>
        </w:rPr>
        <w:t xml:space="preserve">Cuarto </w:t>
      </w:r>
      <w:r w:rsidRPr="006F57F2">
        <w:rPr>
          <w:rFonts w:ascii="Palatino Linotype" w:hAnsi="Palatino Linotype"/>
          <w:sz w:val="22"/>
          <w:szCs w:val="22"/>
          <w:lang w:val="es-ES_tradnl"/>
        </w:rPr>
        <w:t>de la presente resolución, al quedar sin materia</w:t>
      </w:r>
      <w:r w:rsidRPr="006F57F2">
        <w:rPr>
          <w:rFonts w:ascii="Palatino Linotype" w:hAnsi="Palatino Linotype"/>
          <w:sz w:val="22"/>
          <w:szCs w:val="22"/>
        </w:rPr>
        <w:t xml:space="preserve"> </w:t>
      </w:r>
      <w:r w:rsidRPr="006F57F2">
        <w:rPr>
          <w:rFonts w:ascii="Palatino Linotype" w:hAnsi="Palatino Linotype"/>
          <w:sz w:val="22"/>
          <w:szCs w:val="22"/>
          <w:lang w:val="es-ES_tradnl"/>
        </w:rPr>
        <w:t>conforme a lo dispuesto en el artículo 192, fracción V de la Ley de Transparencia y Acceso a la Información Pública del Estado de México y Municipios.</w:t>
      </w:r>
    </w:p>
    <w:p w14:paraId="73AEB4C9" w14:textId="77777777" w:rsidR="0014347D" w:rsidRPr="006F57F2" w:rsidRDefault="0014347D" w:rsidP="0014347D">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 xml:space="preserve">Segundo. Notifíquese, </w:t>
      </w:r>
      <w:r w:rsidRPr="006F57F2">
        <w:rPr>
          <w:rFonts w:ascii="Palatino Linotype" w:eastAsia="Palatino Linotype" w:hAnsi="Palatino Linotype" w:cs="Palatino Linotype"/>
          <w:sz w:val="22"/>
          <w:szCs w:val="22"/>
        </w:rPr>
        <w:t>vía</w:t>
      </w:r>
      <w:r w:rsidRPr="006F57F2">
        <w:rPr>
          <w:rFonts w:ascii="Palatino Linotype" w:eastAsia="Palatino Linotype" w:hAnsi="Palatino Linotype" w:cs="Palatino Linotype"/>
          <w:b/>
          <w:sz w:val="22"/>
          <w:szCs w:val="22"/>
        </w:rPr>
        <w:t xml:space="preserve"> SAIMEX</w:t>
      </w:r>
      <w:r w:rsidRPr="006F57F2">
        <w:rPr>
          <w:rFonts w:ascii="Palatino Linotype" w:eastAsia="Palatino Linotype" w:hAnsi="Palatino Linotype" w:cs="Palatino Linotype"/>
          <w:b/>
          <w:i/>
          <w:sz w:val="22"/>
          <w:szCs w:val="22"/>
        </w:rPr>
        <w:t xml:space="preserve">, </w:t>
      </w:r>
      <w:r w:rsidRPr="006F57F2">
        <w:rPr>
          <w:rFonts w:ascii="Palatino Linotype" w:eastAsia="Palatino Linotype" w:hAnsi="Palatino Linotype" w:cs="Palatino Linotype"/>
          <w:sz w:val="22"/>
          <w:szCs w:val="22"/>
        </w:rPr>
        <w:t xml:space="preserve">al Titular de la Unidad de Transparencia del </w:t>
      </w:r>
      <w:r w:rsidRPr="006F57F2">
        <w:rPr>
          <w:rFonts w:ascii="Palatino Linotype" w:eastAsia="Palatino Linotype" w:hAnsi="Palatino Linotype" w:cs="Palatino Linotype"/>
          <w:b/>
          <w:sz w:val="22"/>
          <w:szCs w:val="22"/>
        </w:rPr>
        <w:t>Sujeto Obligado</w:t>
      </w:r>
      <w:r w:rsidRPr="006F57F2">
        <w:rPr>
          <w:rFonts w:ascii="Palatino Linotype" w:eastAsia="Palatino Linotype" w:hAnsi="Palatino Linotype" w:cs="Palatino Linotype"/>
          <w:sz w:val="22"/>
          <w:szCs w:val="22"/>
        </w:rPr>
        <w:t xml:space="preserve"> la presente resolución, para su conocimiento.</w:t>
      </w:r>
    </w:p>
    <w:p w14:paraId="105A7F54" w14:textId="77777777" w:rsidR="0014347D" w:rsidRPr="006F57F2" w:rsidRDefault="0014347D" w:rsidP="0014347D">
      <w:pPr>
        <w:spacing w:before="240" w:after="240" w:line="360" w:lineRule="auto"/>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b/>
          <w:sz w:val="22"/>
          <w:szCs w:val="22"/>
        </w:rPr>
        <w:t xml:space="preserve">Tercero. Notifíquese, </w:t>
      </w:r>
      <w:r w:rsidRPr="006F57F2">
        <w:rPr>
          <w:rFonts w:ascii="Palatino Linotype" w:eastAsia="Palatino Linotype" w:hAnsi="Palatino Linotype" w:cs="Palatino Linotype"/>
          <w:sz w:val="22"/>
          <w:szCs w:val="22"/>
        </w:rPr>
        <w:t>vía</w:t>
      </w:r>
      <w:r w:rsidRPr="006F57F2">
        <w:rPr>
          <w:rFonts w:ascii="Palatino Linotype" w:eastAsia="Palatino Linotype" w:hAnsi="Palatino Linotype" w:cs="Palatino Linotype"/>
          <w:b/>
          <w:sz w:val="22"/>
          <w:szCs w:val="22"/>
        </w:rPr>
        <w:t xml:space="preserve"> SAIMEX</w:t>
      </w:r>
      <w:r w:rsidRPr="006F57F2">
        <w:rPr>
          <w:rFonts w:ascii="Palatino Linotype" w:eastAsia="Palatino Linotype" w:hAnsi="Palatino Linotype" w:cs="Palatino Linotype"/>
          <w:sz w:val="22"/>
          <w:szCs w:val="22"/>
        </w:rPr>
        <w:t>, a</w:t>
      </w:r>
      <w:r w:rsidRPr="006F57F2">
        <w:rPr>
          <w:rFonts w:ascii="Palatino Linotype" w:eastAsia="Palatino Linotype" w:hAnsi="Palatino Linotype" w:cs="Palatino Linotype"/>
          <w:b/>
          <w:sz w:val="22"/>
          <w:szCs w:val="22"/>
        </w:rPr>
        <w:t xml:space="preserve"> </w:t>
      </w:r>
      <w:r w:rsidRPr="006F57F2">
        <w:rPr>
          <w:rFonts w:ascii="Palatino Linotype" w:eastAsia="Palatino Linotype" w:hAnsi="Palatino Linotype" w:cs="Palatino Linotype"/>
          <w:sz w:val="22"/>
          <w:szCs w:val="22"/>
        </w:rPr>
        <w:t xml:space="preserve">la parte </w:t>
      </w:r>
      <w:r w:rsidRPr="006F57F2">
        <w:rPr>
          <w:rFonts w:ascii="Palatino Linotype" w:eastAsia="Palatino Linotype" w:hAnsi="Palatino Linotype" w:cs="Palatino Linotype"/>
          <w:b/>
          <w:sz w:val="22"/>
          <w:szCs w:val="22"/>
        </w:rPr>
        <w:t>Recurrente</w:t>
      </w:r>
      <w:r w:rsidRPr="006F57F2">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podrá impugnarla vía el Juicio de Amparo en los términos de las leyes aplicables.</w:t>
      </w:r>
    </w:p>
    <w:p w14:paraId="2A4A8F96" w14:textId="77777777" w:rsidR="001A3B4F" w:rsidRPr="006F57F2" w:rsidRDefault="001A3B4F" w:rsidP="001A3B4F">
      <w:pPr>
        <w:spacing w:before="240" w:after="240" w:line="360" w:lineRule="auto"/>
        <w:jc w:val="both"/>
        <w:rPr>
          <w:rFonts w:ascii="Palatino Linotype" w:eastAsia="Palatino Linotype" w:hAnsi="Palatino Linotype" w:cs="Palatino Linotype"/>
          <w:b/>
          <w:sz w:val="22"/>
          <w:szCs w:val="22"/>
        </w:rPr>
      </w:pPr>
      <w:r w:rsidRPr="006F57F2">
        <w:rPr>
          <w:rFonts w:ascii="Palatino Linotype" w:eastAsia="Palatino Linotype" w:hAnsi="Palatino Linotype" w:cs="Palatino Linotype"/>
          <w:b/>
          <w:sz w:val="22"/>
          <w:szCs w:val="22"/>
        </w:rPr>
        <w:t xml:space="preserve">Cuarto. </w:t>
      </w:r>
      <w:r w:rsidRPr="006F57F2">
        <w:rPr>
          <w:rFonts w:ascii="Palatino Linotype" w:hAnsi="Palatino Linotype"/>
          <w:b/>
          <w:sz w:val="22"/>
          <w:szCs w:val="22"/>
          <w:lang w:eastAsia="es-ES_tradnl"/>
        </w:rPr>
        <w:t>Gírese</w:t>
      </w:r>
      <w:r w:rsidRPr="006F57F2">
        <w:rPr>
          <w:rFonts w:ascii="Palatino Linotype" w:hAnsi="Palatino Linotype"/>
          <w:sz w:val="22"/>
          <w:szCs w:val="22"/>
          <w:lang w:eastAsia="es-ES_tradnl"/>
        </w:rPr>
        <w:t xml:space="preserve"> oficio a la </w:t>
      </w:r>
      <w:r w:rsidRPr="006F57F2">
        <w:rPr>
          <w:rFonts w:ascii="Palatino Linotype" w:hAnsi="Palatino Linotype"/>
          <w:b/>
          <w:sz w:val="22"/>
          <w:szCs w:val="22"/>
          <w:lang w:eastAsia="es-ES_tradnl"/>
        </w:rPr>
        <w:t>Dirección General de Protección de Datos Personales</w:t>
      </w:r>
      <w:r w:rsidRPr="006F57F2">
        <w:rPr>
          <w:rFonts w:ascii="Palatino Linotype" w:hAnsi="Palatino Linotype"/>
          <w:sz w:val="22"/>
          <w:szCs w:val="22"/>
          <w:lang w:eastAsia="es-ES_tradnl"/>
        </w:rPr>
        <w:t xml:space="preserve">, en atención al artículo 82, fracción XXVII de la Ley de Protección de Datos Personales en Posesión de Sujetos Obligados del Estado de México y Municipios en términos de lo señalado en el </w:t>
      </w:r>
      <w:r w:rsidRPr="006F57F2">
        <w:rPr>
          <w:rFonts w:ascii="Palatino Linotype" w:hAnsi="Palatino Linotype"/>
          <w:b/>
          <w:bCs/>
          <w:sz w:val="22"/>
          <w:szCs w:val="22"/>
          <w:lang w:eastAsia="es-ES_tradnl"/>
        </w:rPr>
        <w:t>Considerando Cuarto</w:t>
      </w:r>
      <w:r w:rsidRPr="006F57F2">
        <w:rPr>
          <w:rFonts w:ascii="Palatino Linotype" w:hAnsi="Palatino Linotype"/>
          <w:sz w:val="22"/>
          <w:szCs w:val="22"/>
          <w:lang w:eastAsia="es-ES_tradnl"/>
        </w:rPr>
        <w:t xml:space="preserve"> de la presente resolución.</w:t>
      </w:r>
    </w:p>
    <w:p w14:paraId="7C146F11" w14:textId="247CFA32" w:rsidR="00694AA0" w:rsidRPr="004C11AD" w:rsidRDefault="005B22BA">
      <w:pPr>
        <w:tabs>
          <w:tab w:val="left" w:pos="8647"/>
        </w:tabs>
        <w:spacing w:before="240" w:after="240" w:line="360" w:lineRule="auto"/>
        <w:ind w:right="51"/>
        <w:jc w:val="both"/>
        <w:rPr>
          <w:rFonts w:ascii="Palatino Linotype" w:eastAsia="Palatino Linotype" w:hAnsi="Palatino Linotype" w:cs="Palatino Linotype"/>
          <w:sz w:val="22"/>
          <w:szCs w:val="22"/>
        </w:rPr>
      </w:pPr>
      <w:r w:rsidRPr="006F57F2">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w:t>
      </w:r>
      <w:r w:rsidR="00442329" w:rsidRPr="006F57F2">
        <w:rPr>
          <w:rFonts w:ascii="Palatino Linotype" w:eastAsia="Palatino Linotype" w:hAnsi="Palatino Linotype" w:cs="Palatino Linotype"/>
          <w:sz w:val="22"/>
          <w:szCs w:val="22"/>
        </w:rPr>
        <w:t xml:space="preserve"> MARÍA DEL ROSARIO MEJÍA AYALA</w:t>
      </w:r>
      <w:r w:rsidRPr="006F57F2">
        <w:rPr>
          <w:rFonts w:ascii="Palatino Linotype" w:eastAsia="Palatino Linotype" w:hAnsi="Palatino Linotype" w:cs="Palatino Linotype"/>
          <w:sz w:val="22"/>
          <w:szCs w:val="22"/>
        </w:rPr>
        <w:t xml:space="preserve"> Y GUADALUPE RAMÍREZ P</w:t>
      </w:r>
      <w:r w:rsidR="00FC4683" w:rsidRPr="006F57F2">
        <w:rPr>
          <w:rFonts w:ascii="Palatino Linotype" w:eastAsia="Palatino Linotype" w:hAnsi="Palatino Linotype" w:cs="Palatino Linotype"/>
          <w:sz w:val="22"/>
          <w:szCs w:val="22"/>
        </w:rPr>
        <w:t xml:space="preserve">EÑA, EN LA </w:t>
      </w:r>
      <w:r w:rsidR="00442329" w:rsidRPr="006F57F2">
        <w:rPr>
          <w:rFonts w:ascii="Palatino Linotype" w:eastAsia="Palatino Linotype" w:hAnsi="Palatino Linotype" w:cs="Palatino Linotype"/>
          <w:sz w:val="22"/>
          <w:szCs w:val="22"/>
        </w:rPr>
        <w:t xml:space="preserve">TRIGÉSIMA </w:t>
      </w:r>
      <w:r w:rsidR="00396C62" w:rsidRPr="006F57F2">
        <w:rPr>
          <w:rFonts w:ascii="Palatino Linotype" w:eastAsia="Palatino Linotype" w:hAnsi="Palatino Linotype" w:cs="Palatino Linotype"/>
          <w:sz w:val="22"/>
          <w:szCs w:val="22"/>
        </w:rPr>
        <w:t>CUARTA</w:t>
      </w:r>
      <w:r w:rsidR="00FC4683" w:rsidRPr="006F57F2">
        <w:rPr>
          <w:rFonts w:ascii="Palatino Linotype" w:eastAsia="Palatino Linotype" w:hAnsi="Palatino Linotype" w:cs="Palatino Linotype"/>
          <w:sz w:val="22"/>
          <w:szCs w:val="22"/>
        </w:rPr>
        <w:t xml:space="preserve"> </w:t>
      </w:r>
      <w:r w:rsidRPr="006F57F2">
        <w:rPr>
          <w:rFonts w:ascii="Palatino Linotype" w:eastAsia="Palatino Linotype" w:hAnsi="Palatino Linotype" w:cs="Palatino Linotype"/>
          <w:sz w:val="22"/>
          <w:szCs w:val="22"/>
        </w:rPr>
        <w:t xml:space="preserve">SESIÓN ORDINARIA CELEBRADA EL </w:t>
      </w:r>
      <w:r w:rsidR="00396C62" w:rsidRPr="006F57F2">
        <w:rPr>
          <w:rFonts w:ascii="Palatino Linotype" w:eastAsia="Palatino Linotype" w:hAnsi="Palatino Linotype" w:cs="Palatino Linotype"/>
          <w:sz w:val="22"/>
          <w:szCs w:val="22"/>
        </w:rPr>
        <w:t>VEINTI</w:t>
      </w:r>
      <w:r w:rsidR="004C11AD" w:rsidRPr="006F57F2">
        <w:rPr>
          <w:rFonts w:ascii="Palatino Linotype" w:eastAsia="Palatino Linotype" w:hAnsi="Palatino Linotype" w:cs="Palatino Linotype"/>
          <w:sz w:val="22"/>
          <w:szCs w:val="22"/>
        </w:rPr>
        <w:t>CUATRO</w:t>
      </w:r>
      <w:r w:rsidR="00396C62" w:rsidRPr="006F57F2">
        <w:rPr>
          <w:rFonts w:ascii="Palatino Linotype" w:eastAsia="Palatino Linotype" w:hAnsi="Palatino Linotype" w:cs="Palatino Linotype"/>
          <w:sz w:val="22"/>
          <w:szCs w:val="22"/>
        </w:rPr>
        <w:t xml:space="preserve"> </w:t>
      </w:r>
      <w:r w:rsidR="00442329" w:rsidRPr="006F57F2">
        <w:rPr>
          <w:rFonts w:ascii="Palatino Linotype" w:eastAsia="Palatino Linotype" w:hAnsi="Palatino Linotype" w:cs="Palatino Linotype"/>
          <w:sz w:val="22"/>
          <w:szCs w:val="22"/>
        </w:rPr>
        <w:t xml:space="preserve">DE SEPTIEMBRE </w:t>
      </w:r>
      <w:r w:rsidRPr="006F57F2">
        <w:rPr>
          <w:rFonts w:ascii="Palatino Linotype" w:eastAsia="Palatino Linotype" w:hAnsi="Palatino Linotype" w:cs="Palatino Linotype"/>
          <w:sz w:val="22"/>
          <w:szCs w:val="22"/>
        </w:rPr>
        <w:t>DE DOS MIL VEINTI</w:t>
      </w:r>
      <w:r w:rsidR="00382740" w:rsidRPr="006F57F2">
        <w:rPr>
          <w:rFonts w:ascii="Palatino Linotype" w:eastAsia="Palatino Linotype" w:hAnsi="Palatino Linotype" w:cs="Palatino Linotype"/>
          <w:sz w:val="22"/>
          <w:szCs w:val="22"/>
        </w:rPr>
        <w:t>SÉIS</w:t>
      </w:r>
      <w:r w:rsidRPr="006F57F2">
        <w:rPr>
          <w:rFonts w:ascii="Palatino Linotype" w:eastAsia="Palatino Linotype" w:hAnsi="Palatino Linotype" w:cs="Palatino Linotype"/>
          <w:sz w:val="22"/>
          <w:szCs w:val="22"/>
        </w:rPr>
        <w:t>, ANTE EL SECRETARIO TÉCNICO DEL PLENO ALEXIS TAPIA RAMÍREZ.</w:t>
      </w:r>
    </w:p>
    <w:p w14:paraId="36F5D5CA"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10176E8B" w14:textId="77777777" w:rsidR="00694AA0" w:rsidRPr="004C11AD" w:rsidRDefault="00694AA0">
      <w:pPr>
        <w:spacing w:line="360" w:lineRule="auto"/>
        <w:jc w:val="center"/>
        <w:rPr>
          <w:rFonts w:ascii="Palatino Linotype" w:eastAsia="Palatino Linotype" w:hAnsi="Palatino Linotype" w:cs="Palatino Linotype"/>
          <w:sz w:val="22"/>
          <w:szCs w:val="22"/>
        </w:rPr>
      </w:pPr>
    </w:p>
    <w:p w14:paraId="6DF87AE6"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708FB06E"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537054EF"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17774119"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5509219D"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5A5B7374"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016906CE"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3536C243"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10C74B60"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48A36858"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3FE6DE95"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16F5DDC9"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714A31D2"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46664245"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5C092A01"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669D5981"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3D7F8E58"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61848FB2" w14:textId="77777777" w:rsidR="00694AA0" w:rsidRPr="004C11AD" w:rsidRDefault="00694AA0">
      <w:pPr>
        <w:spacing w:line="360" w:lineRule="auto"/>
        <w:jc w:val="both"/>
        <w:rPr>
          <w:rFonts w:ascii="Palatino Linotype" w:eastAsia="Palatino Linotype" w:hAnsi="Palatino Linotype" w:cs="Palatino Linotype"/>
          <w:sz w:val="22"/>
          <w:szCs w:val="22"/>
        </w:rPr>
      </w:pPr>
    </w:p>
    <w:p w14:paraId="5684A0AB" w14:textId="51443F49" w:rsidR="006F3A18" w:rsidRPr="004C11AD" w:rsidRDefault="006F3A18">
      <w:pPr>
        <w:spacing w:line="360" w:lineRule="auto"/>
        <w:jc w:val="both"/>
        <w:rPr>
          <w:rFonts w:ascii="Palatino Linotype" w:eastAsia="Palatino Linotype" w:hAnsi="Palatino Linotype" w:cs="Palatino Linotype"/>
          <w:sz w:val="22"/>
          <w:szCs w:val="22"/>
        </w:rPr>
      </w:pPr>
    </w:p>
    <w:p w14:paraId="5B98A2B3" w14:textId="77777777" w:rsidR="00C1140A" w:rsidRPr="004C11AD" w:rsidRDefault="00C1140A">
      <w:pPr>
        <w:spacing w:line="360" w:lineRule="auto"/>
        <w:jc w:val="both"/>
        <w:rPr>
          <w:rFonts w:ascii="Palatino Linotype" w:eastAsia="Palatino Linotype" w:hAnsi="Palatino Linotype" w:cs="Palatino Linotype"/>
          <w:sz w:val="22"/>
          <w:szCs w:val="22"/>
        </w:rPr>
      </w:pPr>
    </w:p>
    <w:p w14:paraId="700A6F79" w14:textId="77777777" w:rsidR="00C8211D" w:rsidRPr="004C11AD" w:rsidRDefault="00C8211D">
      <w:pPr>
        <w:spacing w:line="360" w:lineRule="auto"/>
        <w:jc w:val="both"/>
        <w:rPr>
          <w:rFonts w:ascii="Palatino Linotype" w:eastAsia="Palatino Linotype" w:hAnsi="Palatino Linotype" w:cs="Palatino Linotype"/>
          <w:sz w:val="22"/>
          <w:szCs w:val="22"/>
        </w:rPr>
      </w:pPr>
    </w:p>
    <w:p w14:paraId="06EEC432" w14:textId="77777777" w:rsidR="006D5E49" w:rsidRPr="004C11AD" w:rsidRDefault="006D5E49">
      <w:pPr>
        <w:spacing w:line="360" w:lineRule="auto"/>
        <w:jc w:val="both"/>
        <w:rPr>
          <w:rFonts w:ascii="Palatino Linotype" w:eastAsia="Palatino Linotype" w:hAnsi="Palatino Linotype" w:cs="Palatino Linotype"/>
          <w:sz w:val="22"/>
          <w:szCs w:val="22"/>
        </w:rPr>
      </w:pPr>
    </w:p>
    <w:sectPr w:rsidR="006D5E49" w:rsidRPr="004C11AD">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BB88B" w14:textId="77777777" w:rsidR="00232FC8" w:rsidRDefault="00232FC8">
      <w:r>
        <w:separator/>
      </w:r>
    </w:p>
  </w:endnote>
  <w:endnote w:type="continuationSeparator" w:id="0">
    <w:p w14:paraId="37CCEED0" w14:textId="77777777" w:rsidR="00232FC8" w:rsidRDefault="00232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FD7A" w14:textId="39BE8B6E" w:rsidR="00441164" w:rsidRDefault="00441164">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B82D71">
      <w:rPr>
        <w:rFonts w:ascii="Palatino Linotype" w:eastAsia="Palatino Linotype" w:hAnsi="Palatino Linotype" w:cs="Palatino Linotype"/>
        <w:b/>
        <w:noProof/>
        <w:color w:val="000000"/>
        <w:sz w:val="20"/>
        <w:szCs w:val="20"/>
      </w:rPr>
      <w:t>2</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B82D71">
      <w:rPr>
        <w:rFonts w:ascii="Palatino Linotype" w:eastAsia="Palatino Linotype" w:hAnsi="Palatino Linotype" w:cs="Palatino Linotype"/>
        <w:b/>
        <w:noProof/>
        <w:color w:val="000000"/>
        <w:sz w:val="20"/>
        <w:szCs w:val="20"/>
      </w:rPr>
      <w:t>18</w:t>
    </w:r>
    <w:r>
      <w:rPr>
        <w:rFonts w:ascii="Palatino Linotype" w:eastAsia="Palatino Linotype" w:hAnsi="Palatino Linotype" w:cs="Palatino Linotype"/>
        <w:b/>
        <w:color w:val="000000"/>
        <w:sz w:val="20"/>
        <w:szCs w:val="20"/>
      </w:rPr>
      <w:fldChar w:fldCharType="end"/>
    </w:r>
  </w:p>
  <w:p w14:paraId="01320A57" w14:textId="77777777" w:rsidR="00441164" w:rsidRDefault="00441164">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D5DD" w14:textId="3FB68928" w:rsidR="00441164" w:rsidRDefault="00441164">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B82D71">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B82D71">
      <w:rPr>
        <w:rFonts w:ascii="Palatino Linotype" w:eastAsia="Palatino Linotype" w:hAnsi="Palatino Linotype" w:cs="Palatino Linotype"/>
        <w:b/>
        <w:noProof/>
        <w:color w:val="000000"/>
        <w:sz w:val="20"/>
        <w:szCs w:val="20"/>
      </w:rPr>
      <w:t>18</w:t>
    </w:r>
    <w:r>
      <w:rPr>
        <w:rFonts w:ascii="Palatino Linotype" w:eastAsia="Palatino Linotype" w:hAnsi="Palatino Linotype" w:cs="Palatino Linotype"/>
        <w:b/>
        <w:color w:val="000000"/>
        <w:sz w:val="20"/>
        <w:szCs w:val="20"/>
      </w:rPr>
      <w:fldChar w:fldCharType="end"/>
    </w:r>
  </w:p>
  <w:p w14:paraId="71AA7E10" w14:textId="77777777" w:rsidR="00441164" w:rsidRDefault="00441164">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6FB497" w14:textId="77777777" w:rsidR="00232FC8" w:rsidRDefault="00232FC8">
      <w:r>
        <w:separator/>
      </w:r>
    </w:p>
  </w:footnote>
  <w:footnote w:type="continuationSeparator" w:id="0">
    <w:p w14:paraId="15D317EC" w14:textId="77777777" w:rsidR="00232FC8" w:rsidRDefault="00232FC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A67F7" w14:textId="77777777" w:rsidR="00441164" w:rsidRDefault="00441164">
    <w:pPr>
      <w:rPr>
        <w:rFonts w:ascii="Cambria" w:eastAsia="Cambria" w:hAnsi="Cambria" w:cs="Cambria"/>
        <w:color w:val="000000"/>
      </w:rPr>
    </w:pPr>
    <w:r>
      <w:rPr>
        <w:noProof/>
      </w:rPr>
      <w:drawing>
        <wp:anchor distT="0" distB="0" distL="0" distR="0" simplePos="0" relativeHeight="251658240" behindDoc="1" locked="0" layoutInCell="1" hidden="0" allowOverlap="1" wp14:anchorId="737B4D0F" wp14:editId="5C481CA0">
          <wp:simplePos x="0" y="0"/>
          <wp:positionH relativeFrom="column">
            <wp:posOffset>-1080090</wp:posOffset>
          </wp:positionH>
          <wp:positionV relativeFrom="paragraph">
            <wp:posOffset>-488261</wp:posOffset>
          </wp:positionV>
          <wp:extent cx="7809865" cy="10165715"/>
          <wp:effectExtent l="0" t="0" r="0" b="0"/>
          <wp:wrapNone/>
          <wp:docPr id="19520825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2"/>
      <w:tblW w:w="5953" w:type="dxa"/>
      <w:tblInd w:w="3261" w:type="dxa"/>
      <w:tblLayout w:type="fixed"/>
      <w:tblLook w:val="0400" w:firstRow="0" w:lastRow="0" w:firstColumn="0" w:lastColumn="0" w:noHBand="0" w:noVBand="1"/>
    </w:tblPr>
    <w:tblGrid>
      <w:gridCol w:w="2489"/>
      <w:gridCol w:w="3464"/>
    </w:tblGrid>
    <w:tr w:rsidR="00441164" w14:paraId="0791587B" w14:textId="77777777">
      <w:tc>
        <w:tcPr>
          <w:tcW w:w="2489" w:type="dxa"/>
        </w:tcPr>
        <w:p w14:paraId="5B034C04" w14:textId="77777777" w:rsidR="00441164" w:rsidRDefault="004411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288814C3" w14:textId="72A90BE8" w:rsidR="00441164" w:rsidRDefault="00442329" w:rsidP="008B29B1">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w:t>
          </w:r>
          <w:r w:rsidR="00396C62">
            <w:rPr>
              <w:rFonts w:ascii="Palatino Linotype" w:eastAsia="Palatino Linotype" w:hAnsi="Palatino Linotype" w:cs="Palatino Linotype"/>
              <w:b/>
              <w:sz w:val="22"/>
              <w:szCs w:val="22"/>
            </w:rPr>
            <w:t>7257</w:t>
          </w:r>
          <w:r w:rsidR="00441164">
            <w:rPr>
              <w:rFonts w:ascii="Palatino Linotype" w:eastAsia="Palatino Linotype" w:hAnsi="Palatino Linotype" w:cs="Palatino Linotype"/>
              <w:b/>
              <w:sz w:val="22"/>
              <w:szCs w:val="22"/>
            </w:rPr>
            <w:t>/INFOEM/IP/RR/2026</w:t>
          </w:r>
        </w:p>
      </w:tc>
    </w:tr>
    <w:tr w:rsidR="00441164" w14:paraId="704D61F0" w14:textId="77777777">
      <w:trPr>
        <w:trHeight w:val="228"/>
      </w:trPr>
      <w:tc>
        <w:tcPr>
          <w:tcW w:w="2489" w:type="dxa"/>
          <w:vAlign w:val="center"/>
        </w:tcPr>
        <w:p w14:paraId="6DFC1FC7" w14:textId="77777777" w:rsidR="00441164" w:rsidRDefault="004411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7C5BFEDD" w14:textId="248FD578" w:rsidR="00441164" w:rsidRDefault="00396C62">
          <w:pPr>
            <w:ind w:left="-45" w:right="176"/>
            <w:jc w:val="both"/>
            <w:rPr>
              <w:rFonts w:ascii="Palatino Linotype" w:eastAsia="Palatino Linotype" w:hAnsi="Palatino Linotype" w:cs="Palatino Linotype"/>
              <w:b/>
              <w:sz w:val="22"/>
              <w:szCs w:val="22"/>
            </w:rPr>
          </w:pPr>
          <w:r w:rsidRPr="00396C62">
            <w:rPr>
              <w:rFonts w:ascii="Palatino Linotype" w:eastAsia="Palatino Linotype" w:hAnsi="Palatino Linotype" w:cs="Palatino Linotype"/>
              <w:b/>
              <w:sz w:val="22"/>
              <w:szCs w:val="22"/>
            </w:rPr>
            <w:t>Sistema Municipal para el Desarrollo Integral de la Familia Municipio de Atenco</w:t>
          </w:r>
        </w:p>
      </w:tc>
    </w:tr>
    <w:tr w:rsidR="00441164" w14:paraId="2B5F7CE9" w14:textId="77777777">
      <w:tc>
        <w:tcPr>
          <w:tcW w:w="2489" w:type="dxa"/>
          <w:vAlign w:val="center"/>
        </w:tcPr>
        <w:p w14:paraId="63B3258D" w14:textId="77777777" w:rsidR="00441164" w:rsidRDefault="00441164">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6AB48BAE" w14:textId="77777777" w:rsidR="00441164" w:rsidRDefault="00441164">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0947C34D" w14:textId="77777777" w:rsidR="00441164" w:rsidRDefault="00441164">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D0846" w14:textId="77777777" w:rsidR="00441164" w:rsidRDefault="00441164">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557F20C8" wp14:editId="7DFE190E">
          <wp:simplePos x="0" y="0"/>
          <wp:positionH relativeFrom="page">
            <wp:align>left</wp:align>
          </wp:positionH>
          <wp:positionV relativeFrom="paragraph">
            <wp:posOffset>-369891</wp:posOffset>
          </wp:positionV>
          <wp:extent cx="7809865" cy="10165715"/>
          <wp:effectExtent l="0" t="0" r="635" b="6985"/>
          <wp:wrapNone/>
          <wp:docPr id="19520825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1"/>
      <w:tblW w:w="5953" w:type="dxa"/>
      <w:tblInd w:w="3261" w:type="dxa"/>
      <w:tblLayout w:type="fixed"/>
      <w:tblLook w:val="0400" w:firstRow="0" w:lastRow="0" w:firstColumn="0" w:lastColumn="0" w:noHBand="0" w:noVBand="1"/>
    </w:tblPr>
    <w:tblGrid>
      <w:gridCol w:w="2489"/>
      <w:gridCol w:w="3464"/>
    </w:tblGrid>
    <w:tr w:rsidR="00441164" w14:paraId="71B7394D" w14:textId="77777777">
      <w:tc>
        <w:tcPr>
          <w:tcW w:w="2489" w:type="dxa"/>
        </w:tcPr>
        <w:p w14:paraId="6F6314B5" w14:textId="77777777" w:rsidR="00441164" w:rsidRDefault="004411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471E5532" w14:textId="202B9033" w:rsidR="00441164" w:rsidRDefault="008B29B1" w:rsidP="00442329">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w:t>
          </w:r>
          <w:r w:rsidR="00396C62">
            <w:rPr>
              <w:rFonts w:ascii="Palatino Linotype" w:eastAsia="Palatino Linotype" w:hAnsi="Palatino Linotype" w:cs="Palatino Linotype"/>
              <w:b/>
              <w:sz w:val="22"/>
              <w:szCs w:val="22"/>
            </w:rPr>
            <w:t>7257</w:t>
          </w:r>
          <w:r w:rsidR="00441164">
            <w:rPr>
              <w:rFonts w:ascii="Palatino Linotype" w:eastAsia="Palatino Linotype" w:hAnsi="Palatino Linotype" w:cs="Palatino Linotype"/>
              <w:b/>
              <w:sz w:val="22"/>
              <w:szCs w:val="22"/>
            </w:rPr>
            <w:t>/INFOEM/IP/RR/2026</w:t>
          </w:r>
        </w:p>
      </w:tc>
    </w:tr>
    <w:tr w:rsidR="00441164" w14:paraId="4854212C" w14:textId="77777777">
      <w:tc>
        <w:tcPr>
          <w:tcW w:w="2489" w:type="dxa"/>
        </w:tcPr>
        <w:p w14:paraId="1D1E2C85" w14:textId="77777777" w:rsidR="00441164" w:rsidRDefault="004411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299EB360" w14:textId="349EEB31" w:rsidR="00441164" w:rsidRPr="00E66354" w:rsidRDefault="00B82D71">
          <w:pPr>
            <w:ind w:right="175"/>
            <w:jc w:val="both"/>
            <w:rPr>
              <w:rFonts w:ascii="Palatino Linotype" w:eastAsia="Palatino Linotype" w:hAnsi="Palatino Linotype" w:cs="Palatino Linotype"/>
              <w:b/>
              <w:sz w:val="22"/>
              <w:szCs w:val="22"/>
              <w:highlight w:val="yellow"/>
            </w:rPr>
          </w:pPr>
          <w:r>
            <w:rPr>
              <w:rFonts w:ascii="Palatino Linotype" w:eastAsia="Palatino Linotype" w:hAnsi="Palatino Linotype" w:cs="Palatino Linotype"/>
              <w:b/>
              <w:sz w:val="22"/>
              <w:szCs w:val="22"/>
            </w:rPr>
            <w:t xml:space="preserve">XXXXXX XXXX </w:t>
          </w:r>
        </w:p>
      </w:tc>
    </w:tr>
    <w:tr w:rsidR="00441164" w14:paraId="082218B4" w14:textId="77777777">
      <w:trPr>
        <w:trHeight w:val="228"/>
      </w:trPr>
      <w:tc>
        <w:tcPr>
          <w:tcW w:w="2489" w:type="dxa"/>
          <w:vAlign w:val="center"/>
        </w:tcPr>
        <w:p w14:paraId="5E8970C5" w14:textId="77777777" w:rsidR="00441164" w:rsidRDefault="00441164">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59B822F6" w14:textId="6CBED0AB" w:rsidR="00441164" w:rsidRDefault="00396C62">
          <w:pPr>
            <w:ind w:left="-45" w:right="176"/>
            <w:jc w:val="both"/>
            <w:rPr>
              <w:rFonts w:ascii="Palatino Linotype" w:eastAsia="Palatino Linotype" w:hAnsi="Palatino Linotype" w:cs="Palatino Linotype"/>
              <w:b/>
              <w:sz w:val="22"/>
              <w:szCs w:val="22"/>
            </w:rPr>
          </w:pPr>
          <w:r w:rsidRPr="00396C62">
            <w:rPr>
              <w:rFonts w:ascii="Palatino Linotype" w:eastAsia="Palatino Linotype" w:hAnsi="Palatino Linotype" w:cs="Palatino Linotype"/>
              <w:b/>
              <w:sz w:val="22"/>
              <w:szCs w:val="22"/>
            </w:rPr>
            <w:t>Sistema Municipal para el Desarrollo Integral de la Familia Municipio de Atenco</w:t>
          </w:r>
        </w:p>
      </w:tc>
    </w:tr>
    <w:tr w:rsidR="00441164" w14:paraId="10C74DEA" w14:textId="77777777">
      <w:tc>
        <w:tcPr>
          <w:tcW w:w="2489" w:type="dxa"/>
          <w:vAlign w:val="center"/>
        </w:tcPr>
        <w:p w14:paraId="1F1A62FF" w14:textId="77777777" w:rsidR="00441164" w:rsidRDefault="00441164">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52548D8D" w14:textId="77777777" w:rsidR="00441164" w:rsidRDefault="00441164">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4904CEDE" w14:textId="77777777" w:rsidR="00441164" w:rsidRDefault="00441164"/>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5FA81C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BD6295C"/>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5565543"/>
    <w:multiLevelType w:val="multilevel"/>
    <w:tmpl w:val="41889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C10D90"/>
    <w:multiLevelType w:val="hybridMultilevel"/>
    <w:tmpl w:val="66D2FADE"/>
    <w:lvl w:ilvl="0" w:tplc="0B9A7AFA">
      <w:start w:val="1"/>
      <w:numFmt w:val="decimal"/>
      <w:lvlText w:val="%1."/>
      <w:lvlJc w:val="left"/>
      <w:pPr>
        <w:ind w:left="644" w:hanging="36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4" w15:restartNumberingAfterBreak="0">
    <w:nsid w:val="0E3079D8"/>
    <w:multiLevelType w:val="multilevel"/>
    <w:tmpl w:val="3196C92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195329F5"/>
    <w:multiLevelType w:val="multilevel"/>
    <w:tmpl w:val="A6488A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202B4D73"/>
    <w:multiLevelType w:val="multilevel"/>
    <w:tmpl w:val="17600E4A"/>
    <w:lvl w:ilvl="0">
      <w:start w:val="2"/>
      <w:numFmt w:val="bullet"/>
      <w:lvlText w:val="●"/>
      <w:lvlJc w:val="left"/>
      <w:pPr>
        <w:ind w:left="360" w:hanging="360"/>
      </w:pPr>
      <w:rPr>
        <w:rFonts w:ascii="Noto Sans Symbols" w:eastAsia="Noto Sans Symbols" w:hAnsi="Noto Sans Symbols" w:cs="Noto Sans Symbols"/>
        <w:b/>
        <w:i w:val="0"/>
        <w:color w:val="0D0D0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 w15:restartNumberingAfterBreak="0">
    <w:nsid w:val="25C81A7C"/>
    <w:multiLevelType w:val="multilevel"/>
    <w:tmpl w:val="99D404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AD620B6"/>
    <w:multiLevelType w:val="multilevel"/>
    <w:tmpl w:val="49443A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3ABD1D9D"/>
    <w:multiLevelType w:val="hybridMultilevel"/>
    <w:tmpl w:val="B8CAAEA8"/>
    <w:lvl w:ilvl="0" w:tplc="0DB2A454">
      <w:start w:val="1"/>
      <w:numFmt w:val="decimal"/>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10" w15:restartNumberingAfterBreak="0">
    <w:nsid w:val="3B8F169B"/>
    <w:multiLevelType w:val="multilevel"/>
    <w:tmpl w:val="E67CC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1D25AD0"/>
    <w:multiLevelType w:val="hybridMultilevel"/>
    <w:tmpl w:val="9B3E43EC"/>
    <w:lvl w:ilvl="0" w:tplc="2F461F4A">
      <w:start w:val="1"/>
      <w:numFmt w:val="decimal"/>
      <w:lvlText w:val="%1."/>
      <w:lvlJc w:val="left"/>
      <w:pPr>
        <w:ind w:left="644" w:hanging="360"/>
      </w:pPr>
      <w:rPr>
        <w:rFonts w:hint="default"/>
        <w:b w:val="0"/>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2" w15:restartNumberingAfterBreak="0">
    <w:nsid w:val="467007CA"/>
    <w:multiLevelType w:val="multilevel"/>
    <w:tmpl w:val="E646CB2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8D6097B"/>
    <w:multiLevelType w:val="multilevel"/>
    <w:tmpl w:val="DF6CA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4A3E71D2"/>
    <w:multiLevelType w:val="multilevel"/>
    <w:tmpl w:val="CEC050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5" w15:restartNumberingAfterBreak="0">
    <w:nsid w:val="4B5D6649"/>
    <w:multiLevelType w:val="hybridMultilevel"/>
    <w:tmpl w:val="E6E47A4A"/>
    <w:lvl w:ilvl="0" w:tplc="B880B3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ECA6C08"/>
    <w:multiLevelType w:val="multilevel"/>
    <w:tmpl w:val="77045766"/>
    <w:lvl w:ilvl="0">
      <w:start w:val="1"/>
      <w:numFmt w:val="decimal"/>
      <w:pStyle w:val="Listaconvietas3"/>
      <w:lvlText w:val="%1."/>
      <w:lvlJc w:val="left"/>
      <w:pPr>
        <w:ind w:left="644" w:hanging="359"/>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7" w15:restartNumberingAfterBreak="0">
    <w:nsid w:val="620930DE"/>
    <w:multiLevelType w:val="multilevel"/>
    <w:tmpl w:val="07B63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0CC0097"/>
    <w:multiLevelType w:val="hybridMultilevel"/>
    <w:tmpl w:val="112625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BD4592D"/>
    <w:multiLevelType w:val="multilevel"/>
    <w:tmpl w:val="BB5AF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ED3330D"/>
    <w:multiLevelType w:val="multilevel"/>
    <w:tmpl w:val="7CAE87EE"/>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6"/>
  </w:num>
  <w:num w:numId="2">
    <w:abstractNumId w:val="4"/>
  </w:num>
  <w:num w:numId="3">
    <w:abstractNumId w:val="17"/>
  </w:num>
  <w:num w:numId="4">
    <w:abstractNumId w:val="7"/>
  </w:num>
  <w:num w:numId="5">
    <w:abstractNumId w:val="11"/>
  </w:num>
  <w:num w:numId="6">
    <w:abstractNumId w:val="1"/>
  </w:num>
  <w:num w:numId="7">
    <w:abstractNumId w:val="0"/>
  </w:num>
  <w:num w:numId="8">
    <w:abstractNumId w:val="13"/>
  </w:num>
  <w:num w:numId="9">
    <w:abstractNumId w:val="6"/>
  </w:num>
  <w:num w:numId="10">
    <w:abstractNumId w:val="8"/>
  </w:num>
  <w:num w:numId="11">
    <w:abstractNumId w:val="14"/>
  </w:num>
  <w:num w:numId="12">
    <w:abstractNumId w:val="18"/>
  </w:num>
  <w:num w:numId="13">
    <w:abstractNumId w:val="5"/>
  </w:num>
  <w:num w:numId="14">
    <w:abstractNumId w:val="19"/>
  </w:num>
  <w:num w:numId="15">
    <w:abstractNumId w:val="2"/>
  </w:num>
  <w:num w:numId="16">
    <w:abstractNumId w:val="20"/>
  </w:num>
  <w:num w:numId="17">
    <w:abstractNumId w:val="15"/>
  </w:num>
  <w:num w:numId="18">
    <w:abstractNumId w:val="10"/>
  </w:num>
  <w:num w:numId="19">
    <w:abstractNumId w:val="12"/>
  </w:num>
  <w:num w:numId="20">
    <w:abstractNumId w:val="3"/>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AA0"/>
    <w:rsid w:val="000024A8"/>
    <w:rsid w:val="00004D58"/>
    <w:rsid w:val="000064B5"/>
    <w:rsid w:val="00010AC2"/>
    <w:rsid w:val="00011EDD"/>
    <w:rsid w:val="00012101"/>
    <w:rsid w:val="0001493C"/>
    <w:rsid w:val="000206D1"/>
    <w:rsid w:val="00025977"/>
    <w:rsid w:val="000308A5"/>
    <w:rsid w:val="000309D9"/>
    <w:rsid w:val="0003226E"/>
    <w:rsid w:val="00032DF7"/>
    <w:rsid w:val="00034BC5"/>
    <w:rsid w:val="00037481"/>
    <w:rsid w:val="000419D8"/>
    <w:rsid w:val="00052702"/>
    <w:rsid w:val="00052F49"/>
    <w:rsid w:val="000555B5"/>
    <w:rsid w:val="000645CC"/>
    <w:rsid w:val="000652D4"/>
    <w:rsid w:val="000653F9"/>
    <w:rsid w:val="000655B9"/>
    <w:rsid w:val="000661FA"/>
    <w:rsid w:val="00067351"/>
    <w:rsid w:val="0006748F"/>
    <w:rsid w:val="00074A51"/>
    <w:rsid w:val="000778D1"/>
    <w:rsid w:val="00080547"/>
    <w:rsid w:val="00080C9F"/>
    <w:rsid w:val="00082344"/>
    <w:rsid w:val="00082BC4"/>
    <w:rsid w:val="000844C8"/>
    <w:rsid w:val="0008515D"/>
    <w:rsid w:val="00090C8E"/>
    <w:rsid w:val="00094877"/>
    <w:rsid w:val="000967F1"/>
    <w:rsid w:val="000A1B06"/>
    <w:rsid w:val="000A330F"/>
    <w:rsid w:val="000A4D58"/>
    <w:rsid w:val="000A73DA"/>
    <w:rsid w:val="000A7B03"/>
    <w:rsid w:val="000B0896"/>
    <w:rsid w:val="000B0B75"/>
    <w:rsid w:val="000B1527"/>
    <w:rsid w:val="000B3BB5"/>
    <w:rsid w:val="000C1C49"/>
    <w:rsid w:val="000C2B68"/>
    <w:rsid w:val="000C3127"/>
    <w:rsid w:val="000D0779"/>
    <w:rsid w:val="000D2AFA"/>
    <w:rsid w:val="000D66CA"/>
    <w:rsid w:val="000D757F"/>
    <w:rsid w:val="000E065C"/>
    <w:rsid w:val="000E290B"/>
    <w:rsid w:val="000E2AAF"/>
    <w:rsid w:val="000E4283"/>
    <w:rsid w:val="000F2854"/>
    <w:rsid w:val="000F2C48"/>
    <w:rsid w:val="000F4585"/>
    <w:rsid w:val="000F4DED"/>
    <w:rsid w:val="000F65ED"/>
    <w:rsid w:val="000F7A1C"/>
    <w:rsid w:val="00100890"/>
    <w:rsid w:val="00102489"/>
    <w:rsid w:val="00102AAC"/>
    <w:rsid w:val="00102F12"/>
    <w:rsid w:val="001035B5"/>
    <w:rsid w:val="0010443E"/>
    <w:rsid w:val="00116312"/>
    <w:rsid w:val="0011644B"/>
    <w:rsid w:val="00120198"/>
    <w:rsid w:val="001206D7"/>
    <w:rsid w:val="001225FB"/>
    <w:rsid w:val="00122CF7"/>
    <w:rsid w:val="00124E71"/>
    <w:rsid w:val="0012634B"/>
    <w:rsid w:val="001309F0"/>
    <w:rsid w:val="001322B9"/>
    <w:rsid w:val="00132D33"/>
    <w:rsid w:val="00133291"/>
    <w:rsid w:val="00134ECF"/>
    <w:rsid w:val="001361C4"/>
    <w:rsid w:val="00142C8A"/>
    <w:rsid w:val="00143423"/>
    <w:rsid w:val="0014347D"/>
    <w:rsid w:val="00143A14"/>
    <w:rsid w:val="001440AD"/>
    <w:rsid w:val="001452C0"/>
    <w:rsid w:val="00150E6D"/>
    <w:rsid w:val="00156057"/>
    <w:rsid w:val="00157D6E"/>
    <w:rsid w:val="00160734"/>
    <w:rsid w:val="00160A05"/>
    <w:rsid w:val="0016401F"/>
    <w:rsid w:val="001650AB"/>
    <w:rsid w:val="001706FD"/>
    <w:rsid w:val="00170CA5"/>
    <w:rsid w:val="00171EC8"/>
    <w:rsid w:val="00175D7C"/>
    <w:rsid w:val="00176DB0"/>
    <w:rsid w:val="00180E53"/>
    <w:rsid w:val="001813EF"/>
    <w:rsid w:val="00181750"/>
    <w:rsid w:val="0018290D"/>
    <w:rsid w:val="00183D44"/>
    <w:rsid w:val="001857F0"/>
    <w:rsid w:val="0018603F"/>
    <w:rsid w:val="00187914"/>
    <w:rsid w:val="00187FCA"/>
    <w:rsid w:val="001912AE"/>
    <w:rsid w:val="00193278"/>
    <w:rsid w:val="0019636D"/>
    <w:rsid w:val="001A0778"/>
    <w:rsid w:val="001A32EE"/>
    <w:rsid w:val="001A3B4F"/>
    <w:rsid w:val="001A3D4C"/>
    <w:rsid w:val="001A67BA"/>
    <w:rsid w:val="001B415E"/>
    <w:rsid w:val="001B5E9D"/>
    <w:rsid w:val="001B6B47"/>
    <w:rsid w:val="001C10CB"/>
    <w:rsid w:val="001C2313"/>
    <w:rsid w:val="001D1E76"/>
    <w:rsid w:val="001D2D68"/>
    <w:rsid w:val="001D3D99"/>
    <w:rsid w:val="001D5EA4"/>
    <w:rsid w:val="001E1623"/>
    <w:rsid w:val="001E2666"/>
    <w:rsid w:val="001E4554"/>
    <w:rsid w:val="001F28C8"/>
    <w:rsid w:val="001F3BA6"/>
    <w:rsid w:val="001F4FD3"/>
    <w:rsid w:val="001F64E8"/>
    <w:rsid w:val="001F7F14"/>
    <w:rsid w:val="0020097E"/>
    <w:rsid w:val="00200EBD"/>
    <w:rsid w:val="002056F0"/>
    <w:rsid w:val="0020700A"/>
    <w:rsid w:val="0021130D"/>
    <w:rsid w:val="00212EA4"/>
    <w:rsid w:val="00213AC2"/>
    <w:rsid w:val="00213EC3"/>
    <w:rsid w:val="00220FE4"/>
    <w:rsid w:val="00223511"/>
    <w:rsid w:val="00224FE9"/>
    <w:rsid w:val="00225E6F"/>
    <w:rsid w:val="0023072C"/>
    <w:rsid w:val="0023184C"/>
    <w:rsid w:val="00231963"/>
    <w:rsid w:val="00232FC8"/>
    <w:rsid w:val="0023374C"/>
    <w:rsid w:val="002341CA"/>
    <w:rsid w:val="002361D4"/>
    <w:rsid w:val="00236512"/>
    <w:rsid w:val="00241420"/>
    <w:rsid w:val="00243C81"/>
    <w:rsid w:val="0024570E"/>
    <w:rsid w:val="00253ED3"/>
    <w:rsid w:val="0025447F"/>
    <w:rsid w:val="0026015D"/>
    <w:rsid w:val="00262068"/>
    <w:rsid w:val="0026210D"/>
    <w:rsid w:val="00262320"/>
    <w:rsid w:val="00264911"/>
    <w:rsid w:val="0026546D"/>
    <w:rsid w:val="00265B55"/>
    <w:rsid w:val="00271BB8"/>
    <w:rsid w:val="002725BF"/>
    <w:rsid w:val="00273787"/>
    <w:rsid w:val="002825BA"/>
    <w:rsid w:val="00285347"/>
    <w:rsid w:val="0028645D"/>
    <w:rsid w:val="00287959"/>
    <w:rsid w:val="00291D95"/>
    <w:rsid w:val="002951FD"/>
    <w:rsid w:val="002A00F2"/>
    <w:rsid w:val="002A6516"/>
    <w:rsid w:val="002A6FD5"/>
    <w:rsid w:val="002A7199"/>
    <w:rsid w:val="002B045F"/>
    <w:rsid w:val="002B2BAF"/>
    <w:rsid w:val="002B2F3E"/>
    <w:rsid w:val="002B4B3D"/>
    <w:rsid w:val="002B604F"/>
    <w:rsid w:val="002B7A69"/>
    <w:rsid w:val="002B7ACF"/>
    <w:rsid w:val="002C0FC7"/>
    <w:rsid w:val="002C42D1"/>
    <w:rsid w:val="002C5F3C"/>
    <w:rsid w:val="002C703F"/>
    <w:rsid w:val="002D1187"/>
    <w:rsid w:val="002E146F"/>
    <w:rsid w:val="002E322B"/>
    <w:rsid w:val="002E3E87"/>
    <w:rsid w:val="002E461D"/>
    <w:rsid w:val="0030276A"/>
    <w:rsid w:val="0030662C"/>
    <w:rsid w:val="00313CA2"/>
    <w:rsid w:val="00320983"/>
    <w:rsid w:val="00323056"/>
    <w:rsid w:val="00330224"/>
    <w:rsid w:val="00331A87"/>
    <w:rsid w:val="0033200D"/>
    <w:rsid w:val="003325DF"/>
    <w:rsid w:val="00333438"/>
    <w:rsid w:val="00333A54"/>
    <w:rsid w:val="0034602C"/>
    <w:rsid w:val="0034618D"/>
    <w:rsid w:val="00346F0D"/>
    <w:rsid w:val="00347688"/>
    <w:rsid w:val="003523B6"/>
    <w:rsid w:val="0035251B"/>
    <w:rsid w:val="00352A09"/>
    <w:rsid w:val="0036325A"/>
    <w:rsid w:val="00365022"/>
    <w:rsid w:val="00367429"/>
    <w:rsid w:val="003739EE"/>
    <w:rsid w:val="00375184"/>
    <w:rsid w:val="003779F8"/>
    <w:rsid w:val="00382740"/>
    <w:rsid w:val="0038287E"/>
    <w:rsid w:val="00382908"/>
    <w:rsid w:val="00382B7F"/>
    <w:rsid w:val="00383985"/>
    <w:rsid w:val="00383A75"/>
    <w:rsid w:val="0038463F"/>
    <w:rsid w:val="00386EDA"/>
    <w:rsid w:val="00390109"/>
    <w:rsid w:val="00391F52"/>
    <w:rsid w:val="00391F5D"/>
    <w:rsid w:val="00396C62"/>
    <w:rsid w:val="00397531"/>
    <w:rsid w:val="00397DDF"/>
    <w:rsid w:val="003A2BE9"/>
    <w:rsid w:val="003A762E"/>
    <w:rsid w:val="003B39BA"/>
    <w:rsid w:val="003B589D"/>
    <w:rsid w:val="003B5E1E"/>
    <w:rsid w:val="003C02DC"/>
    <w:rsid w:val="003C0FC7"/>
    <w:rsid w:val="003C46C2"/>
    <w:rsid w:val="003C6617"/>
    <w:rsid w:val="003C7B76"/>
    <w:rsid w:val="003D4C05"/>
    <w:rsid w:val="003D61F9"/>
    <w:rsid w:val="003D6643"/>
    <w:rsid w:val="003E3995"/>
    <w:rsid w:val="003E481D"/>
    <w:rsid w:val="003F3603"/>
    <w:rsid w:val="003F3C79"/>
    <w:rsid w:val="003F50C0"/>
    <w:rsid w:val="003F6652"/>
    <w:rsid w:val="0040045C"/>
    <w:rsid w:val="0040067E"/>
    <w:rsid w:val="00401D4B"/>
    <w:rsid w:val="00403F03"/>
    <w:rsid w:val="0040629F"/>
    <w:rsid w:val="00412F49"/>
    <w:rsid w:val="00420290"/>
    <w:rsid w:val="00420C30"/>
    <w:rsid w:val="00424DFD"/>
    <w:rsid w:val="00430882"/>
    <w:rsid w:val="00431976"/>
    <w:rsid w:val="00434592"/>
    <w:rsid w:val="00435111"/>
    <w:rsid w:val="00440139"/>
    <w:rsid w:val="00441164"/>
    <w:rsid w:val="00442329"/>
    <w:rsid w:val="004431D2"/>
    <w:rsid w:val="004439F2"/>
    <w:rsid w:val="00445077"/>
    <w:rsid w:val="00450E3A"/>
    <w:rsid w:val="00455D25"/>
    <w:rsid w:val="00456DAB"/>
    <w:rsid w:val="00457843"/>
    <w:rsid w:val="00460C75"/>
    <w:rsid w:val="00463FB8"/>
    <w:rsid w:val="00464290"/>
    <w:rsid w:val="00471407"/>
    <w:rsid w:val="004730D4"/>
    <w:rsid w:val="00473806"/>
    <w:rsid w:val="00476E4A"/>
    <w:rsid w:val="004802E9"/>
    <w:rsid w:val="00483311"/>
    <w:rsid w:val="00483CA6"/>
    <w:rsid w:val="004852EA"/>
    <w:rsid w:val="00485D01"/>
    <w:rsid w:val="00490112"/>
    <w:rsid w:val="00494CB2"/>
    <w:rsid w:val="004962AD"/>
    <w:rsid w:val="004A13F9"/>
    <w:rsid w:val="004A30AD"/>
    <w:rsid w:val="004A5926"/>
    <w:rsid w:val="004A6693"/>
    <w:rsid w:val="004B0BBC"/>
    <w:rsid w:val="004B35BD"/>
    <w:rsid w:val="004B68AF"/>
    <w:rsid w:val="004C11AD"/>
    <w:rsid w:val="004C49B8"/>
    <w:rsid w:val="004D0484"/>
    <w:rsid w:val="004D23F6"/>
    <w:rsid w:val="004D3EB9"/>
    <w:rsid w:val="004D6C3D"/>
    <w:rsid w:val="004D73B7"/>
    <w:rsid w:val="004D7DF2"/>
    <w:rsid w:val="004E1DF4"/>
    <w:rsid w:val="004E7391"/>
    <w:rsid w:val="004F1364"/>
    <w:rsid w:val="004F28E7"/>
    <w:rsid w:val="004F74FF"/>
    <w:rsid w:val="00500DA9"/>
    <w:rsid w:val="00503F99"/>
    <w:rsid w:val="00504175"/>
    <w:rsid w:val="00504FA2"/>
    <w:rsid w:val="0050510A"/>
    <w:rsid w:val="00510048"/>
    <w:rsid w:val="0051150E"/>
    <w:rsid w:val="0051378C"/>
    <w:rsid w:val="00515185"/>
    <w:rsid w:val="005160F3"/>
    <w:rsid w:val="0051666B"/>
    <w:rsid w:val="005262EA"/>
    <w:rsid w:val="00527185"/>
    <w:rsid w:val="00530D60"/>
    <w:rsid w:val="00533E33"/>
    <w:rsid w:val="00535FC8"/>
    <w:rsid w:val="00536B33"/>
    <w:rsid w:val="00541317"/>
    <w:rsid w:val="005414BE"/>
    <w:rsid w:val="00543305"/>
    <w:rsid w:val="00544E94"/>
    <w:rsid w:val="00546E25"/>
    <w:rsid w:val="005475B9"/>
    <w:rsid w:val="00547E14"/>
    <w:rsid w:val="00552496"/>
    <w:rsid w:val="00554822"/>
    <w:rsid w:val="005568B8"/>
    <w:rsid w:val="00561AA1"/>
    <w:rsid w:val="00566890"/>
    <w:rsid w:val="00567790"/>
    <w:rsid w:val="005732B7"/>
    <w:rsid w:val="00574CB0"/>
    <w:rsid w:val="00574FB2"/>
    <w:rsid w:val="00575E92"/>
    <w:rsid w:val="005771D4"/>
    <w:rsid w:val="005810A6"/>
    <w:rsid w:val="0058403F"/>
    <w:rsid w:val="0058459E"/>
    <w:rsid w:val="005A0ACE"/>
    <w:rsid w:val="005A390C"/>
    <w:rsid w:val="005B22BA"/>
    <w:rsid w:val="005B2E1B"/>
    <w:rsid w:val="005B4AB4"/>
    <w:rsid w:val="005C0836"/>
    <w:rsid w:val="005C0C18"/>
    <w:rsid w:val="005C240D"/>
    <w:rsid w:val="005C382B"/>
    <w:rsid w:val="005C5ECD"/>
    <w:rsid w:val="005C66EA"/>
    <w:rsid w:val="005C71F4"/>
    <w:rsid w:val="005D0FA8"/>
    <w:rsid w:val="005D1B14"/>
    <w:rsid w:val="005D59EB"/>
    <w:rsid w:val="005E23C8"/>
    <w:rsid w:val="005E3109"/>
    <w:rsid w:val="005F4F51"/>
    <w:rsid w:val="005F5AAF"/>
    <w:rsid w:val="005F5FA2"/>
    <w:rsid w:val="005F6749"/>
    <w:rsid w:val="005F7C03"/>
    <w:rsid w:val="00601597"/>
    <w:rsid w:val="006015C6"/>
    <w:rsid w:val="0061041C"/>
    <w:rsid w:val="00610DDC"/>
    <w:rsid w:val="0061261C"/>
    <w:rsid w:val="006241FB"/>
    <w:rsid w:val="006262EB"/>
    <w:rsid w:val="00627316"/>
    <w:rsid w:val="00627673"/>
    <w:rsid w:val="00630F9F"/>
    <w:rsid w:val="00637CF4"/>
    <w:rsid w:val="00641BF3"/>
    <w:rsid w:val="00644C86"/>
    <w:rsid w:val="006464CB"/>
    <w:rsid w:val="00655EF3"/>
    <w:rsid w:val="00656E59"/>
    <w:rsid w:val="00663D56"/>
    <w:rsid w:val="006760EF"/>
    <w:rsid w:val="00680895"/>
    <w:rsid w:val="006819F0"/>
    <w:rsid w:val="006823DB"/>
    <w:rsid w:val="006833D4"/>
    <w:rsid w:val="00694AA0"/>
    <w:rsid w:val="00695C11"/>
    <w:rsid w:val="006A0D3C"/>
    <w:rsid w:val="006A1F43"/>
    <w:rsid w:val="006A2376"/>
    <w:rsid w:val="006A2500"/>
    <w:rsid w:val="006A35B9"/>
    <w:rsid w:val="006A424F"/>
    <w:rsid w:val="006B1360"/>
    <w:rsid w:val="006B339F"/>
    <w:rsid w:val="006B429A"/>
    <w:rsid w:val="006B4AEC"/>
    <w:rsid w:val="006B5B5A"/>
    <w:rsid w:val="006C0563"/>
    <w:rsid w:val="006C1064"/>
    <w:rsid w:val="006C53E3"/>
    <w:rsid w:val="006C7CC7"/>
    <w:rsid w:val="006D2EFA"/>
    <w:rsid w:val="006D5E49"/>
    <w:rsid w:val="006E155A"/>
    <w:rsid w:val="006E15E3"/>
    <w:rsid w:val="006E22E1"/>
    <w:rsid w:val="006F0386"/>
    <w:rsid w:val="006F3A18"/>
    <w:rsid w:val="006F4589"/>
    <w:rsid w:val="006F57F2"/>
    <w:rsid w:val="006F5A94"/>
    <w:rsid w:val="006F76B7"/>
    <w:rsid w:val="00702E1B"/>
    <w:rsid w:val="007048DE"/>
    <w:rsid w:val="007049C9"/>
    <w:rsid w:val="0070776B"/>
    <w:rsid w:val="0071256D"/>
    <w:rsid w:val="007161DC"/>
    <w:rsid w:val="007165D6"/>
    <w:rsid w:val="00721597"/>
    <w:rsid w:val="0072757A"/>
    <w:rsid w:val="00727F38"/>
    <w:rsid w:val="007304EC"/>
    <w:rsid w:val="00731EF3"/>
    <w:rsid w:val="007333D5"/>
    <w:rsid w:val="007347D2"/>
    <w:rsid w:val="0074045F"/>
    <w:rsid w:val="00740E3F"/>
    <w:rsid w:val="00743B58"/>
    <w:rsid w:val="00743D96"/>
    <w:rsid w:val="007458B0"/>
    <w:rsid w:val="00746A44"/>
    <w:rsid w:val="00751011"/>
    <w:rsid w:val="0075371C"/>
    <w:rsid w:val="007540CF"/>
    <w:rsid w:val="0075679E"/>
    <w:rsid w:val="00760B02"/>
    <w:rsid w:val="00761396"/>
    <w:rsid w:val="0076259D"/>
    <w:rsid w:val="0076423F"/>
    <w:rsid w:val="007643E2"/>
    <w:rsid w:val="00766F3A"/>
    <w:rsid w:val="0077158A"/>
    <w:rsid w:val="00771F7F"/>
    <w:rsid w:val="00777F2D"/>
    <w:rsid w:val="007817F4"/>
    <w:rsid w:val="007855CE"/>
    <w:rsid w:val="00786A85"/>
    <w:rsid w:val="00786ABA"/>
    <w:rsid w:val="00786E97"/>
    <w:rsid w:val="00790D70"/>
    <w:rsid w:val="007927CF"/>
    <w:rsid w:val="0079456E"/>
    <w:rsid w:val="007A29DA"/>
    <w:rsid w:val="007A3A27"/>
    <w:rsid w:val="007A5450"/>
    <w:rsid w:val="007A6C82"/>
    <w:rsid w:val="007A6E2C"/>
    <w:rsid w:val="007B0AC5"/>
    <w:rsid w:val="007B1117"/>
    <w:rsid w:val="007B3781"/>
    <w:rsid w:val="007D00F0"/>
    <w:rsid w:val="007D0435"/>
    <w:rsid w:val="007D0E13"/>
    <w:rsid w:val="007D5593"/>
    <w:rsid w:val="007D6158"/>
    <w:rsid w:val="007E38E2"/>
    <w:rsid w:val="007E3B6A"/>
    <w:rsid w:val="007F113B"/>
    <w:rsid w:val="007F66F5"/>
    <w:rsid w:val="0080115E"/>
    <w:rsid w:val="00802635"/>
    <w:rsid w:val="0080393C"/>
    <w:rsid w:val="0080595B"/>
    <w:rsid w:val="00805F3C"/>
    <w:rsid w:val="008107E2"/>
    <w:rsid w:val="00814A5A"/>
    <w:rsid w:val="0081640B"/>
    <w:rsid w:val="00816B9D"/>
    <w:rsid w:val="008203FD"/>
    <w:rsid w:val="0082048C"/>
    <w:rsid w:val="00820E38"/>
    <w:rsid w:val="0082626C"/>
    <w:rsid w:val="00830AED"/>
    <w:rsid w:val="00831C7F"/>
    <w:rsid w:val="00832336"/>
    <w:rsid w:val="00837E5E"/>
    <w:rsid w:val="00842531"/>
    <w:rsid w:val="0084340C"/>
    <w:rsid w:val="0084377E"/>
    <w:rsid w:val="00851B06"/>
    <w:rsid w:val="00854416"/>
    <w:rsid w:val="00854E5C"/>
    <w:rsid w:val="008573A2"/>
    <w:rsid w:val="00857C0C"/>
    <w:rsid w:val="00867295"/>
    <w:rsid w:val="00870252"/>
    <w:rsid w:val="008823E0"/>
    <w:rsid w:val="00882DDC"/>
    <w:rsid w:val="00883836"/>
    <w:rsid w:val="0088463F"/>
    <w:rsid w:val="00885F07"/>
    <w:rsid w:val="00887BE0"/>
    <w:rsid w:val="008914DE"/>
    <w:rsid w:val="00893A31"/>
    <w:rsid w:val="00894A8C"/>
    <w:rsid w:val="00896B25"/>
    <w:rsid w:val="00897BD0"/>
    <w:rsid w:val="008A165D"/>
    <w:rsid w:val="008A2915"/>
    <w:rsid w:val="008A4625"/>
    <w:rsid w:val="008A4B43"/>
    <w:rsid w:val="008B29B1"/>
    <w:rsid w:val="008B3A1B"/>
    <w:rsid w:val="008B474D"/>
    <w:rsid w:val="008B57AD"/>
    <w:rsid w:val="008B5F54"/>
    <w:rsid w:val="008B7DA1"/>
    <w:rsid w:val="008C2928"/>
    <w:rsid w:val="008C7E00"/>
    <w:rsid w:val="008D0989"/>
    <w:rsid w:val="008D45F0"/>
    <w:rsid w:val="008D4E23"/>
    <w:rsid w:val="008E0B27"/>
    <w:rsid w:val="008E1CAA"/>
    <w:rsid w:val="008E266B"/>
    <w:rsid w:val="008E26F9"/>
    <w:rsid w:val="008E736B"/>
    <w:rsid w:val="008F1D9C"/>
    <w:rsid w:val="008F421B"/>
    <w:rsid w:val="008F501F"/>
    <w:rsid w:val="008F5E0C"/>
    <w:rsid w:val="008F6E01"/>
    <w:rsid w:val="008F7C04"/>
    <w:rsid w:val="0090386C"/>
    <w:rsid w:val="00903C6D"/>
    <w:rsid w:val="009068AC"/>
    <w:rsid w:val="00907832"/>
    <w:rsid w:val="00907CDD"/>
    <w:rsid w:val="00911AB2"/>
    <w:rsid w:val="00912889"/>
    <w:rsid w:val="00924016"/>
    <w:rsid w:val="0093285E"/>
    <w:rsid w:val="00934778"/>
    <w:rsid w:val="0093581E"/>
    <w:rsid w:val="00937F28"/>
    <w:rsid w:val="009452CA"/>
    <w:rsid w:val="009454C1"/>
    <w:rsid w:val="00947504"/>
    <w:rsid w:val="00947607"/>
    <w:rsid w:val="009502ED"/>
    <w:rsid w:val="00950E4F"/>
    <w:rsid w:val="00960DF1"/>
    <w:rsid w:val="00963D80"/>
    <w:rsid w:val="00964B06"/>
    <w:rsid w:val="009659E6"/>
    <w:rsid w:val="00967C99"/>
    <w:rsid w:val="009711CB"/>
    <w:rsid w:val="0097667F"/>
    <w:rsid w:val="00977C10"/>
    <w:rsid w:val="00980D6F"/>
    <w:rsid w:val="00980D84"/>
    <w:rsid w:val="0098166B"/>
    <w:rsid w:val="009844BB"/>
    <w:rsid w:val="009911DC"/>
    <w:rsid w:val="00993B95"/>
    <w:rsid w:val="009952D9"/>
    <w:rsid w:val="009A3A3C"/>
    <w:rsid w:val="009A3E3A"/>
    <w:rsid w:val="009A4F22"/>
    <w:rsid w:val="009A6189"/>
    <w:rsid w:val="009A724E"/>
    <w:rsid w:val="009B4ADD"/>
    <w:rsid w:val="009B6B82"/>
    <w:rsid w:val="009C1FBD"/>
    <w:rsid w:val="009D082C"/>
    <w:rsid w:val="009D0D80"/>
    <w:rsid w:val="009D1E45"/>
    <w:rsid w:val="009D42B1"/>
    <w:rsid w:val="009D73E1"/>
    <w:rsid w:val="009E1382"/>
    <w:rsid w:val="009E1822"/>
    <w:rsid w:val="009E663F"/>
    <w:rsid w:val="009F4157"/>
    <w:rsid w:val="009F5343"/>
    <w:rsid w:val="009F561E"/>
    <w:rsid w:val="009F6237"/>
    <w:rsid w:val="009F7CB0"/>
    <w:rsid w:val="00A00781"/>
    <w:rsid w:val="00A03417"/>
    <w:rsid w:val="00A11C10"/>
    <w:rsid w:val="00A12096"/>
    <w:rsid w:val="00A15BBA"/>
    <w:rsid w:val="00A16791"/>
    <w:rsid w:val="00A17271"/>
    <w:rsid w:val="00A17609"/>
    <w:rsid w:val="00A20BCE"/>
    <w:rsid w:val="00A21D3A"/>
    <w:rsid w:val="00A2767F"/>
    <w:rsid w:val="00A30507"/>
    <w:rsid w:val="00A30DF1"/>
    <w:rsid w:val="00A32C8A"/>
    <w:rsid w:val="00A34546"/>
    <w:rsid w:val="00A361B9"/>
    <w:rsid w:val="00A40950"/>
    <w:rsid w:val="00A42932"/>
    <w:rsid w:val="00A442A0"/>
    <w:rsid w:val="00A521AD"/>
    <w:rsid w:val="00A52B1B"/>
    <w:rsid w:val="00A57A19"/>
    <w:rsid w:val="00A60AC7"/>
    <w:rsid w:val="00A618B3"/>
    <w:rsid w:val="00A63282"/>
    <w:rsid w:val="00A65DC9"/>
    <w:rsid w:val="00A666B7"/>
    <w:rsid w:val="00A73534"/>
    <w:rsid w:val="00A755DC"/>
    <w:rsid w:val="00A80177"/>
    <w:rsid w:val="00A8074A"/>
    <w:rsid w:val="00A80760"/>
    <w:rsid w:val="00A84826"/>
    <w:rsid w:val="00A84CE0"/>
    <w:rsid w:val="00A8727F"/>
    <w:rsid w:val="00A91EFC"/>
    <w:rsid w:val="00A9302F"/>
    <w:rsid w:val="00AA57D1"/>
    <w:rsid w:val="00AA5812"/>
    <w:rsid w:val="00AA6672"/>
    <w:rsid w:val="00AB180E"/>
    <w:rsid w:val="00AC01DB"/>
    <w:rsid w:val="00AC581C"/>
    <w:rsid w:val="00AC638F"/>
    <w:rsid w:val="00AD444D"/>
    <w:rsid w:val="00AD547B"/>
    <w:rsid w:val="00AD7617"/>
    <w:rsid w:val="00AE52C6"/>
    <w:rsid w:val="00AE791E"/>
    <w:rsid w:val="00AE7A45"/>
    <w:rsid w:val="00AF363C"/>
    <w:rsid w:val="00B00861"/>
    <w:rsid w:val="00B017F0"/>
    <w:rsid w:val="00B039D1"/>
    <w:rsid w:val="00B04225"/>
    <w:rsid w:val="00B04701"/>
    <w:rsid w:val="00B04E6A"/>
    <w:rsid w:val="00B06597"/>
    <w:rsid w:val="00B101D9"/>
    <w:rsid w:val="00B106F0"/>
    <w:rsid w:val="00B10771"/>
    <w:rsid w:val="00B128EA"/>
    <w:rsid w:val="00B12F75"/>
    <w:rsid w:val="00B14870"/>
    <w:rsid w:val="00B14A23"/>
    <w:rsid w:val="00B20EF2"/>
    <w:rsid w:val="00B221EC"/>
    <w:rsid w:val="00B277F2"/>
    <w:rsid w:val="00B30784"/>
    <w:rsid w:val="00B31501"/>
    <w:rsid w:val="00B3392A"/>
    <w:rsid w:val="00B34E8D"/>
    <w:rsid w:val="00B437A7"/>
    <w:rsid w:val="00B5122B"/>
    <w:rsid w:val="00B5180F"/>
    <w:rsid w:val="00B555D2"/>
    <w:rsid w:val="00B623F2"/>
    <w:rsid w:val="00B653DB"/>
    <w:rsid w:val="00B70221"/>
    <w:rsid w:val="00B748A2"/>
    <w:rsid w:val="00B82287"/>
    <w:rsid w:val="00B822AB"/>
    <w:rsid w:val="00B82D71"/>
    <w:rsid w:val="00B853F2"/>
    <w:rsid w:val="00B86CD7"/>
    <w:rsid w:val="00B90F26"/>
    <w:rsid w:val="00B910BD"/>
    <w:rsid w:val="00B919FC"/>
    <w:rsid w:val="00B97B43"/>
    <w:rsid w:val="00BA10C9"/>
    <w:rsid w:val="00BA2951"/>
    <w:rsid w:val="00BA3B7B"/>
    <w:rsid w:val="00BA72EB"/>
    <w:rsid w:val="00BB06F6"/>
    <w:rsid w:val="00BB3036"/>
    <w:rsid w:val="00BB3325"/>
    <w:rsid w:val="00BB403F"/>
    <w:rsid w:val="00BB495C"/>
    <w:rsid w:val="00BC0309"/>
    <w:rsid w:val="00BD020A"/>
    <w:rsid w:val="00BD3F8D"/>
    <w:rsid w:val="00BD504B"/>
    <w:rsid w:val="00BD66A4"/>
    <w:rsid w:val="00BE3CF9"/>
    <w:rsid w:val="00BE3EF4"/>
    <w:rsid w:val="00BF23F0"/>
    <w:rsid w:val="00BF2B46"/>
    <w:rsid w:val="00C00558"/>
    <w:rsid w:val="00C015F7"/>
    <w:rsid w:val="00C01C2E"/>
    <w:rsid w:val="00C01E88"/>
    <w:rsid w:val="00C022D6"/>
    <w:rsid w:val="00C062E4"/>
    <w:rsid w:val="00C10893"/>
    <w:rsid w:val="00C1117A"/>
    <w:rsid w:val="00C1140A"/>
    <w:rsid w:val="00C1289E"/>
    <w:rsid w:val="00C15F66"/>
    <w:rsid w:val="00C17A6C"/>
    <w:rsid w:val="00C203BF"/>
    <w:rsid w:val="00C20CE6"/>
    <w:rsid w:val="00C2186A"/>
    <w:rsid w:val="00C24F74"/>
    <w:rsid w:val="00C314BD"/>
    <w:rsid w:val="00C3371F"/>
    <w:rsid w:val="00C37F2C"/>
    <w:rsid w:val="00C438D0"/>
    <w:rsid w:val="00C46E38"/>
    <w:rsid w:val="00C505A8"/>
    <w:rsid w:val="00C50E06"/>
    <w:rsid w:val="00C531D8"/>
    <w:rsid w:val="00C5376A"/>
    <w:rsid w:val="00C56BC5"/>
    <w:rsid w:val="00C62663"/>
    <w:rsid w:val="00C77A36"/>
    <w:rsid w:val="00C77BAB"/>
    <w:rsid w:val="00C8211D"/>
    <w:rsid w:val="00C83CCB"/>
    <w:rsid w:val="00C85C03"/>
    <w:rsid w:val="00C85F44"/>
    <w:rsid w:val="00C90819"/>
    <w:rsid w:val="00C92979"/>
    <w:rsid w:val="00C9556E"/>
    <w:rsid w:val="00C95F85"/>
    <w:rsid w:val="00C97F6E"/>
    <w:rsid w:val="00CA0E3E"/>
    <w:rsid w:val="00CA1A20"/>
    <w:rsid w:val="00CA3B77"/>
    <w:rsid w:val="00CB19B5"/>
    <w:rsid w:val="00CB469A"/>
    <w:rsid w:val="00CC319E"/>
    <w:rsid w:val="00CC3687"/>
    <w:rsid w:val="00CC4509"/>
    <w:rsid w:val="00CC69D1"/>
    <w:rsid w:val="00CD210A"/>
    <w:rsid w:val="00CD2C55"/>
    <w:rsid w:val="00CD2E1D"/>
    <w:rsid w:val="00CD2F0E"/>
    <w:rsid w:val="00CD31F2"/>
    <w:rsid w:val="00CE7F47"/>
    <w:rsid w:val="00D00DEE"/>
    <w:rsid w:val="00D02838"/>
    <w:rsid w:val="00D03150"/>
    <w:rsid w:val="00D035B4"/>
    <w:rsid w:val="00D067D1"/>
    <w:rsid w:val="00D1493B"/>
    <w:rsid w:val="00D14F7F"/>
    <w:rsid w:val="00D15C4F"/>
    <w:rsid w:val="00D17528"/>
    <w:rsid w:val="00D17A09"/>
    <w:rsid w:val="00D20444"/>
    <w:rsid w:val="00D24078"/>
    <w:rsid w:val="00D258B6"/>
    <w:rsid w:val="00D3616F"/>
    <w:rsid w:val="00D36C2A"/>
    <w:rsid w:val="00D3786D"/>
    <w:rsid w:val="00D40765"/>
    <w:rsid w:val="00D46BA0"/>
    <w:rsid w:val="00D46D1C"/>
    <w:rsid w:val="00D472E8"/>
    <w:rsid w:val="00D47470"/>
    <w:rsid w:val="00D53CC1"/>
    <w:rsid w:val="00D55778"/>
    <w:rsid w:val="00D5699C"/>
    <w:rsid w:val="00D571DC"/>
    <w:rsid w:val="00D57575"/>
    <w:rsid w:val="00D60D79"/>
    <w:rsid w:val="00D71F7C"/>
    <w:rsid w:val="00D73A90"/>
    <w:rsid w:val="00D74224"/>
    <w:rsid w:val="00D76018"/>
    <w:rsid w:val="00D77B2F"/>
    <w:rsid w:val="00D77EC0"/>
    <w:rsid w:val="00D80AEE"/>
    <w:rsid w:val="00D86C32"/>
    <w:rsid w:val="00D926EE"/>
    <w:rsid w:val="00D93A7B"/>
    <w:rsid w:val="00D976CB"/>
    <w:rsid w:val="00DA3C43"/>
    <w:rsid w:val="00DB12FF"/>
    <w:rsid w:val="00DB2E99"/>
    <w:rsid w:val="00DB3F19"/>
    <w:rsid w:val="00DB513A"/>
    <w:rsid w:val="00DB5736"/>
    <w:rsid w:val="00DC1F5B"/>
    <w:rsid w:val="00DD1E25"/>
    <w:rsid w:val="00DD4B76"/>
    <w:rsid w:val="00DD4CBD"/>
    <w:rsid w:val="00DD705D"/>
    <w:rsid w:val="00DE2382"/>
    <w:rsid w:val="00DE5ADE"/>
    <w:rsid w:val="00DF17EB"/>
    <w:rsid w:val="00DF403C"/>
    <w:rsid w:val="00DF478E"/>
    <w:rsid w:val="00E00E1B"/>
    <w:rsid w:val="00E01AFC"/>
    <w:rsid w:val="00E021E4"/>
    <w:rsid w:val="00E03ABC"/>
    <w:rsid w:val="00E04FEE"/>
    <w:rsid w:val="00E07A72"/>
    <w:rsid w:val="00E1082D"/>
    <w:rsid w:val="00E135F1"/>
    <w:rsid w:val="00E16633"/>
    <w:rsid w:val="00E2140A"/>
    <w:rsid w:val="00E23D61"/>
    <w:rsid w:val="00E24D85"/>
    <w:rsid w:val="00E2646E"/>
    <w:rsid w:val="00E307A0"/>
    <w:rsid w:val="00E311B5"/>
    <w:rsid w:val="00E314E3"/>
    <w:rsid w:val="00E40785"/>
    <w:rsid w:val="00E417D0"/>
    <w:rsid w:val="00E4388D"/>
    <w:rsid w:val="00E43918"/>
    <w:rsid w:val="00E44511"/>
    <w:rsid w:val="00E44E94"/>
    <w:rsid w:val="00E45187"/>
    <w:rsid w:val="00E46253"/>
    <w:rsid w:val="00E463A2"/>
    <w:rsid w:val="00E516E2"/>
    <w:rsid w:val="00E545C2"/>
    <w:rsid w:val="00E56B57"/>
    <w:rsid w:val="00E5787A"/>
    <w:rsid w:val="00E61814"/>
    <w:rsid w:val="00E650CC"/>
    <w:rsid w:val="00E66354"/>
    <w:rsid w:val="00E670ED"/>
    <w:rsid w:val="00E71C2F"/>
    <w:rsid w:val="00E767E7"/>
    <w:rsid w:val="00E768F3"/>
    <w:rsid w:val="00E80376"/>
    <w:rsid w:val="00E81721"/>
    <w:rsid w:val="00E84CB1"/>
    <w:rsid w:val="00E84E47"/>
    <w:rsid w:val="00E85FB2"/>
    <w:rsid w:val="00E91C46"/>
    <w:rsid w:val="00E92C81"/>
    <w:rsid w:val="00E93B86"/>
    <w:rsid w:val="00E944B9"/>
    <w:rsid w:val="00E94EF9"/>
    <w:rsid w:val="00EA2309"/>
    <w:rsid w:val="00EA40BA"/>
    <w:rsid w:val="00EA5A9A"/>
    <w:rsid w:val="00EA5CD6"/>
    <w:rsid w:val="00EA6CC7"/>
    <w:rsid w:val="00EB032A"/>
    <w:rsid w:val="00EB06FF"/>
    <w:rsid w:val="00EB5EF4"/>
    <w:rsid w:val="00EB6F38"/>
    <w:rsid w:val="00EC00F9"/>
    <w:rsid w:val="00EC3811"/>
    <w:rsid w:val="00EC6393"/>
    <w:rsid w:val="00ED09D2"/>
    <w:rsid w:val="00ED34E8"/>
    <w:rsid w:val="00ED39E8"/>
    <w:rsid w:val="00ED661A"/>
    <w:rsid w:val="00EE042E"/>
    <w:rsid w:val="00EE2377"/>
    <w:rsid w:val="00EE28E4"/>
    <w:rsid w:val="00EE67A9"/>
    <w:rsid w:val="00EF14B6"/>
    <w:rsid w:val="00EF5D8A"/>
    <w:rsid w:val="00EF6444"/>
    <w:rsid w:val="00F02A5B"/>
    <w:rsid w:val="00F06F3B"/>
    <w:rsid w:val="00F11B01"/>
    <w:rsid w:val="00F1200E"/>
    <w:rsid w:val="00F136A4"/>
    <w:rsid w:val="00F1393C"/>
    <w:rsid w:val="00F13C63"/>
    <w:rsid w:val="00F16B97"/>
    <w:rsid w:val="00F20BEB"/>
    <w:rsid w:val="00F212D2"/>
    <w:rsid w:val="00F21D6B"/>
    <w:rsid w:val="00F221D2"/>
    <w:rsid w:val="00F231B8"/>
    <w:rsid w:val="00F2377F"/>
    <w:rsid w:val="00F23792"/>
    <w:rsid w:val="00F25291"/>
    <w:rsid w:val="00F25B82"/>
    <w:rsid w:val="00F25CB7"/>
    <w:rsid w:val="00F25E2D"/>
    <w:rsid w:val="00F30612"/>
    <w:rsid w:val="00F30EE8"/>
    <w:rsid w:val="00F33904"/>
    <w:rsid w:val="00F33D9D"/>
    <w:rsid w:val="00F34BCC"/>
    <w:rsid w:val="00F3705C"/>
    <w:rsid w:val="00F3756A"/>
    <w:rsid w:val="00F40A78"/>
    <w:rsid w:val="00F449BD"/>
    <w:rsid w:val="00F50F75"/>
    <w:rsid w:val="00F531F6"/>
    <w:rsid w:val="00F539C1"/>
    <w:rsid w:val="00F55A0F"/>
    <w:rsid w:val="00F5701B"/>
    <w:rsid w:val="00F570F7"/>
    <w:rsid w:val="00F601B3"/>
    <w:rsid w:val="00F62323"/>
    <w:rsid w:val="00F62348"/>
    <w:rsid w:val="00F62898"/>
    <w:rsid w:val="00F66328"/>
    <w:rsid w:val="00F730DC"/>
    <w:rsid w:val="00F74D28"/>
    <w:rsid w:val="00F809E5"/>
    <w:rsid w:val="00F827DF"/>
    <w:rsid w:val="00F844C6"/>
    <w:rsid w:val="00F8506A"/>
    <w:rsid w:val="00F90070"/>
    <w:rsid w:val="00F91BC2"/>
    <w:rsid w:val="00F95385"/>
    <w:rsid w:val="00F96B54"/>
    <w:rsid w:val="00F97716"/>
    <w:rsid w:val="00FA0237"/>
    <w:rsid w:val="00FA2A3A"/>
    <w:rsid w:val="00FA376E"/>
    <w:rsid w:val="00FA3C9A"/>
    <w:rsid w:val="00FA55F6"/>
    <w:rsid w:val="00FA796F"/>
    <w:rsid w:val="00FB0090"/>
    <w:rsid w:val="00FB2F84"/>
    <w:rsid w:val="00FC1CC5"/>
    <w:rsid w:val="00FC30CF"/>
    <w:rsid w:val="00FC3482"/>
    <w:rsid w:val="00FC36ED"/>
    <w:rsid w:val="00FC3BE5"/>
    <w:rsid w:val="00FC4233"/>
    <w:rsid w:val="00FC4683"/>
    <w:rsid w:val="00FC54A4"/>
    <w:rsid w:val="00FC74CC"/>
    <w:rsid w:val="00FD1D03"/>
    <w:rsid w:val="00FD3909"/>
    <w:rsid w:val="00FE251A"/>
    <w:rsid w:val="00FE3915"/>
    <w:rsid w:val="00FE75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AC76C3C"/>
  <w15:docId w15:val="{4E3D6FF7-1FD1-4EA6-BDE9-C4C1B259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3">
    <w:name w:val="TableNormal3"/>
    <w:tblPr>
      <w:tblCellMar>
        <w:top w:w="0" w:type="dxa"/>
        <w:left w:w="0" w:type="dxa"/>
        <w:bottom w:w="0" w:type="dxa"/>
        <w:right w:w="0" w:type="dxa"/>
      </w:tblCellMar>
    </w:tbl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5">
    <w:name w:val="Table Normal15"/>
    <w:tblPr>
      <w:tblCellMar>
        <w:top w:w="0" w:type="dxa"/>
        <w:left w:w="0" w:type="dxa"/>
        <w:bottom w:w="0" w:type="dxa"/>
        <w:right w:w="0" w:type="dxa"/>
      </w:tblCellMar>
    </w:tblPr>
  </w:style>
  <w:style w:type="table" w:customStyle="1" w:styleId="TableNormal14">
    <w:name w:val="Table Normal14"/>
    <w:tblPr>
      <w:tblCellMar>
        <w:top w:w="0" w:type="dxa"/>
        <w:left w:w="0" w:type="dxa"/>
        <w:bottom w:w="0" w:type="dxa"/>
        <w:right w:w="0" w:type="dxa"/>
      </w:tblCellMar>
    </w:tblPr>
  </w:style>
  <w:style w:type="table" w:customStyle="1" w:styleId="TableNormal13">
    <w:name w:val="Table Normal13"/>
    <w:tblPr>
      <w:tblCellMar>
        <w:top w:w="0" w:type="dxa"/>
        <w:left w:w="0" w:type="dxa"/>
        <w:bottom w:w="0" w:type="dxa"/>
        <w:right w:w="0" w:type="dxa"/>
      </w:tblCellMar>
    </w:tblPr>
  </w:style>
  <w:style w:type="table" w:customStyle="1" w:styleId="TableNormal12">
    <w:name w:val="Table Normal12"/>
    <w:tblPr>
      <w:tblCellMar>
        <w:top w:w="0" w:type="dxa"/>
        <w:left w:w="0" w:type="dxa"/>
        <w:bottom w:w="0" w:type="dxa"/>
        <w:right w:w="0" w:type="dxa"/>
      </w:tblCellMar>
    </w:tblPr>
  </w:style>
  <w:style w:type="table" w:customStyle="1" w:styleId="TableNormal11">
    <w:name w:val="Table Normal11"/>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table" w:customStyle="1" w:styleId="TableNormal9">
    <w:name w:val="Table Normal9"/>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6">
    <w:name w:val="Table Normal1"/>
    <w:tblPr>
      <w:tblCellMar>
        <w:top w:w="0" w:type="dxa"/>
        <w:left w:w="0" w:type="dxa"/>
        <w:bottom w:w="0" w:type="dxa"/>
        <w:right w:w="0" w:type="dxa"/>
      </w:tblCellMar>
    </w:tblPr>
  </w:style>
  <w:style w:type="table" w:customStyle="1" w:styleId="47">
    <w:name w:val="47"/>
    <w:basedOn w:val="TableNormal16"/>
    <w:tblPr>
      <w:tblStyleRowBandSize w:val="1"/>
      <w:tblStyleColBandSize w:val="1"/>
      <w:tblCellMar>
        <w:left w:w="115" w:type="dxa"/>
        <w:right w:w="115" w:type="dxa"/>
      </w:tblCellMar>
    </w:tblPr>
  </w:style>
  <w:style w:type="table" w:customStyle="1" w:styleId="46">
    <w:name w:val="46"/>
    <w:basedOn w:val="TableNormal16"/>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72"/>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iPriority w:val="99"/>
    <w:unhideWhenUsed/>
    <w:qFormat/>
    <w:rsid w:val="00806B5C"/>
    <w:rPr>
      <w:vertAlign w:val="superscript"/>
    </w:rPr>
  </w:style>
  <w:style w:type="table" w:customStyle="1" w:styleId="45">
    <w:name w:val="45"/>
    <w:basedOn w:val="TableNormal16"/>
    <w:tblPr>
      <w:tblStyleRowBandSize w:val="1"/>
      <w:tblStyleColBandSize w:val="1"/>
      <w:tblCellMar>
        <w:left w:w="115" w:type="dxa"/>
        <w:right w:w="115" w:type="dxa"/>
      </w:tblCellMar>
    </w:tblPr>
  </w:style>
  <w:style w:type="table" w:customStyle="1" w:styleId="44">
    <w:name w:val="44"/>
    <w:basedOn w:val="TableNormal16"/>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43"/>
    <w:basedOn w:val="TableNormal20"/>
    <w:tblPr>
      <w:tblStyleRowBandSize w:val="1"/>
      <w:tblStyleColBandSize w:val="1"/>
      <w:tblCellMar>
        <w:left w:w="115" w:type="dxa"/>
        <w:right w:w="115" w:type="dxa"/>
      </w:tblCellMar>
    </w:tblPr>
  </w:style>
  <w:style w:type="table" w:customStyle="1" w:styleId="42">
    <w:name w:val="42"/>
    <w:basedOn w:val="TableNormal2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72"/>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41">
    <w:name w:val="41"/>
    <w:basedOn w:val="TableNormal30"/>
    <w:tblPr>
      <w:tblStyleRowBandSize w:val="1"/>
      <w:tblStyleColBandSize w:val="1"/>
      <w:tblCellMar>
        <w:left w:w="108" w:type="dxa"/>
        <w:right w:w="108" w:type="dxa"/>
      </w:tblCellMar>
    </w:tblPr>
  </w:style>
  <w:style w:type="table" w:customStyle="1" w:styleId="40">
    <w:name w:val="40"/>
    <w:basedOn w:val="TableNormal30"/>
    <w:tblPr>
      <w:tblStyleRowBandSize w:val="1"/>
      <w:tblStyleColBandSize w:val="1"/>
      <w:tblCellMar>
        <w:left w:w="108" w:type="dxa"/>
        <w:right w:w="108" w:type="dxa"/>
      </w:tblCellMar>
    </w:tblPr>
  </w:style>
  <w:style w:type="table" w:customStyle="1" w:styleId="39">
    <w:name w:val="39"/>
    <w:basedOn w:val="TableNormal30"/>
    <w:tblPr>
      <w:tblStyleRowBandSize w:val="1"/>
      <w:tblStyleColBandSize w:val="1"/>
      <w:tblCellMar>
        <w:left w:w="108" w:type="dxa"/>
        <w:right w:w="108" w:type="dxa"/>
      </w:tblCellMar>
    </w:tblPr>
  </w:style>
  <w:style w:type="table" w:customStyle="1" w:styleId="38">
    <w:name w:val="38"/>
    <w:basedOn w:val="TableNormal30"/>
    <w:tblPr>
      <w:tblStyleRowBandSize w:val="1"/>
      <w:tblStyleColBandSize w:val="1"/>
      <w:tblCellMar>
        <w:left w:w="108" w:type="dxa"/>
        <w:right w:w="108" w:type="dxa"/>
      </w:tblCellMar>
    </w:tblPr>
  </w:style>
  <w:style w:type="table" w:customStyle="1" w:styleId="37">
    <w:name w:val="37"/>
    <w:basedOn w:val="TableNormal30"/>
    <w:tblPr>
      <w:tblStyleRowBandSize w:val="1"/>
      <w:tblStyleColBandSize w:val="1"/>
      <w:tblCellMar>
        <w:left w:w="108" w:type="dxa"/>
        <w:right w:w="108" w:type="dxa"/>
      </w:tblCellMar>
    </w:tblPr>
  </w:style>
  <w:style w:type="table" w:customStyle="1" w:styleId="36">
    <w:name w:val="36"/>
    <w:basedOn w:val="TableNormal30"/>
    <w:tblPr>
      <w:tblStyleRowBandSize w:val="1"/>
      <w:tblStyleColBandSize w:val="1"/>
      <w:tblCellMar>
        <w:left w:w="115" w:type="dxa"/>
        <w:right w:w="115" w:type="dxa"/>
      </w:tblCellMar>
    </w:tblPr>
  </w:style>
  <w:style w:type="table" w:customStyle="1" w:styleId="35">
    <w:name w:val="35"/>
    <w:basedOn w:val="TableNormal30"/>
    <w:tblPr>
      <w:tblStyleRowBandSize w:val="1"/>
      <w:tblStyleColBandSize w:val="1"/>
      <w:tblCellMar>
        <w:left w:w="115" w:type="dxa"/>
        <w:right w:w="115" w:type="dxa"/>
      </w:tblCellMar>
    </w:tblPr>
  </w:style>
  <w:style w:type="table" w:customStyle="1" w:styleId="34">
    <w:name w:val="34"/>
    <w:basedOn w:val="TableNormal4"/>
    <w:tblPr>
      <w:tblStyleRowBandSize w:val="1"/>
      <w:tblStyleColBandSize w:val="1"/>
      <w:tblCellMar>
        <w:left w:w="108" w:type="dxa"/>
        <w:right w:w="108" w:type="dxa"/>
      </w:tblCellMar>
    </w:tblPr>
  </w:style>
  <w:style w:type="table" w:customStyle="1" w:styleId="33">
    <w:name w:val="33"/>
    <w:basedOn w:val="TableNormal4"/>
    <w:tblPr>
      <w:tblStyleRowBandSize w:val="1"/>
      <w:tblStyleColBandSize w:val="1"/>
      <w:tblCellMar>
        <w:left w:w="115" w:type="dxa"/>
        <w:right w:w="115" w:type="dxa"/>
      </w:tblCellMar>
    </w:tblPr>
  </w:style>
  <w:style w:type="table" w:customStyle="1" w:styleId="32">
    <w:name w:val="32"/>
    <w:basedOn w:val="TableNormal4"/>
    <w:tblPr>
      <w:tblStyleRowBandSize w:val="1"/>
      <w:tblStyleColBandSize w:val="1"/>
      <w:tblCellMar>
        <w:left w:w="115" w:type="dxa"/>
        <w:right w:w="115" w:type="dxa"/>
      </w:tblCellMar>
    </w:tblPr>
  </w:style>
  <w:style w:type="table" w:customStyle="1" w:styleId="31">
    <w:name w:val="31"/>
    <w:basedOn w:val="TableNormal5"/>
    <w:tblPr>
      <w:tblStyleRowBandSize w:val="1"/>
      <w:tblStyleColBandSize w:val="1"/>
      <w:tblCellMar>
        <w:left w:w="115" w:type="dxa"/>
        <w:right w:w="115" w:type="dxa"/>
      </w:tblCellMar>
    </w:tblPr>
  </w:style>
  <w:style w:type="table" w:customStyle="1" w:styleId="30">
    <w:name w:val="30"/>
    <w:basedOn w:val="TableNormal5"/>
    <w:tblPr>
      <w:tblStyleRowBandSize w:val="1"/>
      <w:tblStyleColBandSize w:val="1"/>
      <w:tblCellMar>
        <w:left w:w="115" w:type="dxa"/>
        <w:right w:w="115" w:type="dxa"/>
      </w:tblCellMar>
    </w:tblPr>
  </w:style>
  <w:style w:type="table" w:customStyle="1" w:styleId="29">
    <w:name w:val="29"/>
    <w:basedOn w:val="TableNormal5"/>
    <w:tblPr>
      <w:tblStyleRowBandSize w:val="1"/>
      <w:tblStyleColBandSize w:val="1"/>
      <w:tblCellMar>
        <w:left w:w="115" w:type="dxa"/>
        <w:right w:w="115" w:type="dxa"/>
      </w:tblCellMar>
    </w:tblPr>
  </w:style>
  <w:style w:type="table" w:customStyle="1" w:styleId="28">
    <w:name w:val="28"/>
    <w:basedOn w:val="TableNormal6"/>
    <w:tblPr>
      <w:tblStyleRowBandSize w:val="1"/>
      <w:tblStyleColBandSize w:val="1"/>
      <w:tblCellMar>
        <w:left w:w="115" w:type="dxa"/>
        <w:right w:w="115" w:type="dxa"/>
      </w:tblCellMar>
    </w:tblPr>
  </w:style>
  <w:style w:type="table" w:customStyle="1" w:styleId="27">
    <w:name w:val="27"/>
    <w:basedOn w:val="TableNormal6"/>
    <w:tblPr>
      <w:tblStyleRowBandSize w:val="1"/>
      <w:tblStyleColBandSize w:val="1"/>
      <w:tblCellMar>
        <w:left w:w="115" w:type="dxa"/>
        <w:right w:w="115" w:type="dxa"/>
      </w:tblCellMar>
    </w:tblPr>
  </w:style>
  <w:style w:type="table" w:customStyle="1" w:styleId="26">
    <w:name w:val="26"/>
    <w:basedOn w:val="TableNormal7"/>
    <w:tblPr>
      <w:tblStyleRowBandSize w:val="1"/>
      <w:tblStyleColBandSize w:val="1"/>
      <w:tblCellMar>
        <w:left w:w="115" w:type="dxa"/>
        <w:right w:w="115" w:type="dxa"/>
      </w:tblCellMar>
    </w:tblPr>
  </w:style>
  <w:style w:type="table" w:customStyle="1" w:styleId="25">
    <w:name w:val="25"/>
    <w:basedOn w:val="TableNormal7"/>
    <w:tblPr>
      <w:tblStyleRowBandSize w:val="1"/>
      <w:tblStyleColBandSize w:val="1"/>
      <w:tblCellMar>
        <w:left w:w="115" w:type="dxa"/>
        <w:right w:w="115" w:type="dxa"/>
      </w:tblCellMar>
    </w:tblPr>
  </w:style>
  <w:style w:type="table" w:customStyle="1" w:styleId="24">
    <w:name w:val="24"/>
    <w:basedOn w:val="TableNormal8"/>
    <w:tblPr>
      <w:tblStyleRowBandSize w:val="1"/>
      <w:tblStyleColBandSize w:val="1"/>
      <w:tblCellMar>
        <w:left w:w="115" w:type="dxa"/>
        <w:right w:w="115" w:type="dxa"/>
      </w:tblCellMar>
    </w:tblPr>
  </w:style>
  <w:style w:type="table" w:customStyle="1" w:styleId="23">
    <w:name w:val="23"/>
    <w:basedOn w:val="TableNormal8"/>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22">
    <w:name w:val="22"/>
    <w:basedOn w:val="TableNormal9"/>
    <w:tblPr>
      <w:tblStyleRowBandSize w:val="1"/>
      <w:tblStyleColBandSize w:val="1"/>
      <w:tblCellMar>
        <w:left w:w="115" w:type="dxa"/>
        <w:right w:w="115" w:type="dxa"/>
      </w:tblCellMar>
    </w:tblPr>
  </w:style>
  <w:style w:type="table" w:customStyle="1" w:styleId="21">
    <w:name w:val="21"/>
    <w:basedOn w:val="TableNormal9"/>
    <w:tblPr>
      <w:tblStyleRowBandSize w:val="1"/>
      <w:tblStyleColBandSize w:val="1"/>
      <w:tblCellMar>
        <w:left w:w="115" w:type="dxa"/>
        <w:right w:w="115" w:type="dxa"/>
      </w:tblCellMar>
    </w:tblPr>
  </w:style>
  <w:style w:type="table" w:customStyle="1" w:styleId="20">
    <w:name w:val="20"/>
    <w:basedOn w:val="TableNormal10"/>
    <w:tblPr>
      <w:tblStyleRowBandSize w:val="1"/>
      <w:tblStyleColBandSize w:val="1"/>
      <w:tblCellMar>
        <w:left w:w="115" w:type="dxa"/>
        <w:right w:w="115" w:type="dxa"/>
      </w:tblCellMar>
    </w:tblPr>
  </w:style>
  <w:style w:type="table" w:customStyle="1" w:styleId="19">
    <w:name w:val="19"/>
    <w:basedOn w:val="TableNormal10"/>
    <w:tblPr>
      <w:tblStyleRowBandSize w:val="1"/>
      <w:tblStyleColBandSize w:val="1"/>
      <w:tblCellMar>
        <w:left w:w="115" w:type="dxa"/>
        <w:right w:w="115" w:type="dxa"/>
      </w:tblCellMar>
    </w:tblPr>
  </w:style>
  <w:style w:type="table" w:customStyle="1" w:styleId="18">
    <w:name w:val="18"/>
    <w:basedOn w:val="TableNormal11"/>
    <w:tblPr>
      <w:tblStyleRowBandSize w:val="1"/>
      <w:tblStyleColBandSize w:val="1"/>
      <w:tblCellMar>
        <w:left w:w="115" w:type="dxa"/>
        <w:right w:w="115" w:type="dxa"/>
      </w:tblCellMar>
    </w:tblPr>
  </w:style>
  <w:style w:type="table" w:customStyle="1" w:styleId="17">
    <w:name w:val="17"/>
    <w:basedOn w:val="TableNormal11"/>
    <w:tblPr>
      <w:tblStyleRowBandSize w:val="1"/>
      <w:tblStyleColBandSize w:val="1"/>
      <w:tblCellMar>
        <w:left w:w="115" w:type="dxa"/>
        <w:right w:w="115" w:type="dxa"/>
      </w:tblCellMar>
    </w:tblPr>
  </w:style>
  <w:style w:type="table" w:customStyle="1" w:styleId="16">
    <w:name w:val="16"/>
    <w:basedOn w:val="TableNormal12"/>
    <w:tblPr>
      <w:tblStyleRowBandSize w:val="1"/>
      <w:tblStyleColBandSize w:val="1"/>
      <w:tblCellMar>
        <w:left w:w="115" w:type="dxa"/>
        <w:right w:w="115" w:type="dxa"/>
      </w:tblCellMar>
    </w:tblPr>
  </w:style>
  <w:style w:type="table" w:customStyle="1" w:styleId="15">
    <w:name w:val="15"/>
    <w:basedOn w:val="TableNormal12"/>
    <w:tblPr>
      <w:tblStyleRowBandSize w:val="1"/>
      <w:tblStyleColBandSize w:val="1"/>
      <w:tblCellMar>
        <w:left w:w="115" w:type="dxa"/>
        <w:right w:w="115" w:type="dxa"/>
      </w:tblCellMar>
    </w:tblPr>
  </w:style>
  <w:style w:type="table" w:customStyle="1" w:styleId="14">
    <w:name w:val="14"/>
    <w:basedOn w:val="TableNormal13"/>
    <w:tblPr>
      <w:tblStyleRowBandSize w:val="1"/>
      <w:tblStyleColBandSize w:val="1"/>
      <w:tblCellMar>
        <w:left w:w="115" w:type="dxa"/>
        <w:right w:w="115" w:type="dxa"/>
      </w:tblCellMar>
    </w:tblPr>
  </w:style>
  <w:style w:type="table" w:customStyle="1" w:styleId="13">
    <w:name w:val="13"/>
    <w:basedOn w:val="TableNormal13"/>
    <w:tblPr>
      <w:tblStyleRowBandSize w:val="1"/>
      <w:tblStyleColBandSize w:val="1"/>
      <w:tblCellMar>
        <w:left w:w="115" w:type="dxa"/>
        <w:right w:w="115" w:type="dxa"/>
      </w:tblCellMar>
    </w:tblPr>
  </w:style>
  <w:style w:type="table" w:customStyle="1" w:styleId="12">
    <w:name w:val="12"/>
    <w:basedOn w:val="TableNormal14"/>
    <w:tblPr>
      <w:tblStyleRowBandSize w:val="1"/>
      <w:tblStyleColBandSize w:val="1"/>
      <w:tblCellMar>
        <w:left w:w="115" w:type="dxa"/>
        <w:right w:w="115" w:type="dxa"/>
      </w:tblCellMar>
    </w:tblPr>
  </w:style>
  <w:style w:type="table" w:customStyle="1" w:styleId="11">
    <w:name w:val="11"/>
    <w:basedOn w:val="TableNormal14"/>
    <w:tblPr>
      <w:tblStyleRowBandSize w:val="1"/>
      <w:tblStyleColBandSize w:val="1"/>
      <w:tblCellMar>
        <w:left w:w="115" w:type="dxa"/>
        <w:right w:w="115" w:type="dxa"/>
      </w:tblCellMar>
    </w:tblPr>
  </w:style>
  <w:style w:type="table" w:customStyle="1" w:styleId="10">
    <w:name w:val="10"/>
    <w:basedOn w:val="TableNormal15"/>
    <w:tblPr>
      <w:tblStyleRowBandSize w:val="1"/>
      <w:tblStyleColBandSize w:val="1"/>
      <w:tblCellMar>
        <w:left w:w="115" w:type="dxa"/>
        <w:right w:w="115" w:type="dxa"/>
      </w:tblCellMar>
    </w:tblPr>
  </w:style>
  <w:style w:type="table" w:customStyle="1" w:styleId="9">
    <w:name w:val="9"/>
    <w:basedOn w:val="TableNormal15"/>
    <w:tblPr>
      <w:tblStyleRowBandSize w:val="1"/>
      <w:tblStyleColBandSize w:val="1"/>
      <w:tblCellMar>
        <w:left w:w="115" w:type="dxa"/>
        <w:right w:w="115" w:type="dxa"/>
      </w:tblCellMar>
    </w:tblPr>
  </w:style>
  <w:style w:type="table" w:customStyle="1" w:styleId="8">
    <w:name w:val="8"/>
    <w:basedOn w:val="TableNormal0"/>
    <w:tblPr>
      <w:tblStyleRowBandSize w:val="1"/>
      <w:tblStyleColBandSize w:val="1"/>
      <w:tblCellMar>
        <w:left w:w="115" w:type="dxa"/>
        <w:right w:w="115" w:type="dxa"/>
      </w:tblCellMar>
    </w:tblPr>
  </w:style>
  <w:style w:type="table" w:customStyle="1" w:styleId="7">
    <w:name w:val="7"/>
    <w:basedOn w:val="TableNormal0"/>
    <w:tblPr>
      <w:tblStyleRowBandSize w:val="1"/>
      <w:tblStyleColBandSize w:val="1"/>
      <w:tblCellMar>
        <w:left w:w="115" w:type="dxa"/>
        <w:right w:w="115"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CellMar>
        <w:left w:w="115" w:type="dxa"/>
        <w:right w:w="115" w:type="dxa"/>
      </w:tblCellMar>
    </w:tblPr>
  </w:style>
  <w:style w:type="table" w:customStyle="1" w:styleId="4">
    <w:name w:val="4"/>
    <w:basedOn w:val="TableNormal2"/>
    <w:tblPr>
      <w:tblStyleRowBandSize w:val="1"/>
      <w:tblStyleColBandSize w:val="1"/>
      <w:tblCellMar>
        <w:left w:w="115" w:type="dxa"/>
        <w:right w:w="115" w:type="dxa"/>
      </w:tblCellMar>
    </w:tblPr>
  </w:style>
  <w:style w:type="table" w:customStyle="1" w:styleId="3">
    <w:name w:val="3"/>
    <w:basedOn w:val="TableNormal2"/>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3"/>
    <w:tblPr>
      <w:tblStyleRowBandSize w:val="1"/>
      <w:tblStyleColBandSize w:val="1"/>
      <w:tblCellMar>
        <w:left w:w="115" w:type="dxa"/>
        <w:right w:w="115" w:type="dxa"/>
      </w:tblCellMar>
    </w:tblPr>
  </w:style>
  <w:style w:type="table" w:customStyle="1" w:styleId="1">
    <w:name w:val="1"/>
    <w:basedOn w:val="TableNormal3"/>
    <w:tblPr>
      <w:tblStyleRowBandSize w:val="1"/>
      <w:tblStyleColBandSize w:val="1"/>
      <w:tblCellMar>
        <w:left w:w="115" w:type="dxa"/>
        <w:right w:w="115" w:type="dxa"/>
      </w:tblCellMar>
    </w:tblPr>
  </w:style>
  <w:style w:type="paragraph" w:styleId="Lista">
    <w:name w:val="List"/>
    <w:basedOn w:val="Normal"/>
    <w:uiPriority w:val="99"/>
    <w:unhideWhenUsed/>
    <w:rsid w:val="0076259D"/>
    <w:pPr>
      <w:ind w:left="283" w:hanging="283"/>
      <w:contextualSpacing/>
    </w:pPr>
  </w:style>
  <w:style w:type="paragraph" w:styleId="Lista2">
    <w:name w:val="List 2"/>
    <w:basedOn w:val="Normal"/>
    <w:uiPriority w:val="99"/>
    <w:unhideWhenUsed/>
    <w:rsid w:val="0076259D"/>
    <w:pPr>
      <w:ind w:left="566" w:hanging="283"/>
      <w:contextualSpacing/>
    </w:pPr>
  </w:style>
  <w:style w:type="paragraph" w:styleId="Lista3">
    <w:name w:val="List 3"/>
    <w:basedOn w:val="Normal"/>
    <w:uiPriority w:val="99"/>
    <w:unhideWhenUsed/>
    <w:rsid w:val="0076259D"/>
    <w:pPr>
      <w:ind w:left="849" w:hanging="283"/>
      <w:contextualSpacing/>
    </w:pPr>
  </w:style>
  <w:style w:type="paragraph" w:styleId="Lista4">
    <w:name w:val="List 4"/>
    <w:basedOn w:val="Normal"/>
    <w:uiPriority w:val="99"/>
    <w:unhideWhenUsed/>
    <w:rsid w:val="0076259D"/>
    <w:pPr>
      <w:ind w:left="1132" w:hanging="283"/>
      <w:contextualSpacing/>
    </w:pPr>
  </w:style>
  <w:style w:type="paragraph" w:styleId="Lista5">
    <w:name w:val="List 5"/>
    <w:basedOn w:val="Normal"/>
    <w:uiPriority w:val="99"/>
    <w:unhideWhenUsed/>
    <w:rsid w:val="0076259D"/>
    <w:pPr>
      <w:ind w:left="1415" w:hanging="283"/>
      <w:contextualSpacing/>
    </w:pPr>
  </w:style>
  <w:style w:type="paragraph" w:styleId="Saludo">
    <w:name w:val="Salutation"/>
    <w:basedOn w:val="Normal"/>
    <w:next w:val="Normal"/>
    <w:link w:val="SaludoCar"/>
    <w:uiPriority w:val="99"/>
    <w:unhideWhenUsed/>
    <w:rsid w:val="0076259D"/>
  </w:style>
  <w:style w:type="character" w:customStyle="1" w:styleId="SaludoCar">
    <w:name w:val="Saludo Car"/>
    <w:basedOn w:val="Fuentedeprrafopredeter"/>
    <w:link w:val="Saludo"/>
    <w:uiPriority w:val="99"/>
    <w:rsid w:val="0076259D"/>
  </w:style>
  <w:style w:type="paragraph" w:styleId="Listaconvietas">
    <w:name w:val="List Bullet"/>
    <w:basedOn w:val="Normal"/>
    <w:uiPriority w:val="99"/>
    <w:unhideWhenUsed/>
    <w:rsid w:val="0076259D"/>
    <w:pPr>
      <w:numPr>
        <w:numId w:val="6"/>
      </w:numPr>
      <w:contextualSpacing/>
    </w:pPr>
  </w:style>
  <w:style w:type="paragraph" w:styleId="Listaconvietas2">
    <w:name w:val="List Bullet 2"/>
    <w:basedOn w:val="Normal"/>
    <w:uiPriority w:val="99"/>
    <w:unhideWhenUsed/>
    <w:rsid w:val="0076259D"/>
    <w:pPr>
      <w:numPr>
        <w:numId w:val="7"/>
      </w:numPr>
      <w:contextualSpacing/>
    </w:pPr>
  </w:style>
  <w:style w:type="paragraph" w:styleId="Continuarlista">
    <w:name w:val="List Continue"/>
    <w:basedOn w:val="Normal"/>
    <w:uiPriority w:val="99"/>
    <w:unhideWhenUsed/>
    <w:rsid w:val="0076259D"/>
    <w:pPr>
      <w:spacing w:after="120"/>
      <w:ind w:left="283"/>
      <w:contextualSpacing/>
    </w:pPr>
  </w:style>
  <w:style w:type="paragraph" w:styleId="Textoindependiente">
    <w:name w:val="Body Text"/>
    <w:basedOn w:val="Normal"/>
    <w:link w:val="TextoindependienteCar"/>
    <w:uiPriority w:val="99"/>
    <w:unhideWhenUsed/>
    <w:rsid w:val="0076259D"/>
    <w:pPr>
      <w:spacing w:after="120"/>
    </w:pPr>
  </w:style>
  <w:style w:type="character" w:customStyle="1" w:styleId="TextoindependienteCar">
    <w:name w:val="Texto independiente Car"/>
    <w:basedOn w:val="Fuentedeprrafopredeter"/>
    <w:link w:val="Textoindependiente"/>
    <w:uiPriority w:val="99"/>
    <w:rsid w:val="0076259D"/>
  </w:style>
  <w:style w:type="paragraph" w:styleId="Sangradetextonormal">
    <w:name w:val="Body Text Indent"/>
    <w:basedOn w:val="Normal"/>
    <w:link w:val="SangradetextonormalCar"/>
    <w:uiPriority w:val="99"/>
    <w:unhideWhenUsed/>
    <w:rsid w:val="0076259D"/>
    <w:pPr>
      <w:spacing w:after="120"/>
      <w:ind w:left="283"/>
    </w:pPr>
  </w:style>
  <w:style w:type="character" w:customStyle="1" w:styleId="SangradetextonormalCar">
    <w:name w:val="Sangría de texto normal Car"/>
    <w:basedOn w:val="Fuentedeprrafopredeter"/>
    <w:link w:val="Sangradetextonormal"/>
    <w:uiPriority w:val="99"/>
    <w:rsid w:val="0076259D"/>
  </w:style>
  <w:style w:type="paragraph" w:styleId="Textoindependienteprimerasangra2">
    <w:name w:val="Body Text First Indent 2"/>
    <w:basedOn w:val="Sangradetextonormal"/>
    <w:link w:val="Textoindependienteprimerasangra2Car"/>
    <w:uiPriority w:val="99"/>
    <w:unhideWhenUsed/>
    <w:rsid w:val="0076259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6259D"/>
  </w:style>
  <w:style w:type="character" w:customStyle="1" w:styleId="Mencinsinresolver3">
    <w:name w:val="Mención sin resolver3"/>
    <w:basedOn w:val="Fuentedeprrafopredeter"/>
    <w:uiPriority w:val="99"/>
    <w:semiHidden/>
    <w:unhideWhenUsed/>
    <w:rsid w:val="00C90819"/>
    <w:rPr>
      <w:color w:val="605E5C"/>
      <w:shd w:val="clear" w:color="auto" w:fill="E1DFDD"/>
    </w:rPr>
  </w:style>
  <w:style w:type="character" w:customStyle="1" w:styleId="Mencinsinresolver4">
    <w:name w:val="Mención sin resolver4"/>
    <w:basedOn w:val="Fuentedeprrafopredeter"/>
    <w:uiPriority w:val="99"/>
    <w:semiHidden/>
    <w:unhideWhenUsed/>
    <w:rsid w:val="002C4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3920">
      <w:bodyDiv w:val="1"/>
      <w:marLeft w:val="0"/>
      <w:marRight w:val="0"/>
      <w:marTop w:val="0"/>
      <w:marBottom w:val="0"/>
      <w:divBdr>
        <w:top w:val="none" w:sz="0" w:space="0" w:color="auto"/>
        <w:left w:val="none" w:sz="0" w:space="0" w:color="auto"/>
        <w:bottom w:val="none" w:sz="0" w:space="0" w:color="auto"/>
        <w:right w:val="none" w:sz="0" w:space="0" w:color="auto"/>
      </w:divBdr>
    </w:div>
    <w:div w:id="1034044231">
      <w:bodyDiv w:val="1"/>
      <w:marLeft w:val="0"/>
      <w:marRight w:val="0"/>
      <w:marTop w:val="0"/>
      <w:marBottom w:val="0"/>
      <w:divBdr>
        <w:top w:val="none" w:sz="0" w:space="0" w:color="auto"/>
        <w:left w:val="none" w:sz="0" w:space="0" w:color="auto"/>
        <w:bottom w:val="none" w:sz="0" w:space="0" w:color="auto"/>
        <w:right w:val="none" w:sz="0" w:space="0" w:color="auto"/>
      </w:divBdr>
    </w:div>
    <w:div w:id="1177690712">
      <w:bodyDiv w:val="1"/>
      <w:marLeft w:val="0"/>
      <w:marRight w:val="0"/>
      <w:marTop w:val="0"/>
      <w:marBottom w:val="0"/>
      <w:divBdr>
        <w:top w:val="none" w:sz="0" w:space="0" w:color="auto"/>
        <w:left w:val="none" w:sz="0" w:space="0" w:color="auto"/>
        <w:bottom w:val="none" w:sz="0" w:space="0" w:color="auto"/>
        <w:right w:val="none" w:sz="0" w:space="0" w:color="auto"/>
      </w:divBdr>
    </w:div>
    <w:div w:id="1328094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UmA8CbdtqGPvZMvoJJm3uf21g==">CgMxLjAyCWguM3JkY3JqbjIOaC5kYWozajJ4bzZxNjYyCGguZ2pkZ3hzMgloLjNkeTZ2a20yCWguMzBqMHpsbDIJaC4yczhleW8xMghoLnR5amN3dDIJaC4yZXQ5MnAwMgloLjI2aW4xcmcyCWguMTdkcDh2dTIIaC5sbnhiejk4AHIhMUpERlNuZGw5LUV0aHkyYUNyYlJzTExMdi1WQTkzblFP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855E753-789C-4B67-A8F2-FBC1779AC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4682</Words>
  <Characters>25751</Characters>
  <Application>Microsoft Office Word</Application>
  <DocSecurity>0</DocSecurity>
  <Lines>214</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Maricela Villagómez Martínez</cp:lastModifiedBy>
  <cp:revision>2</cp:revision>
  <cp:lastPrinted>2026-09-25T18:07:00Z</cp:lastPrinted>
  <dcterms:created xsi:type="dcterms:W3CDTF">2026-09-28T16:13:00Z</dcterms:created>
  <dcterms:modified xsi:type="dcterms:W3CDTF">2026-09-28T16:13:00Z</dcterms:modified>
</cp:coreProperties>
</file>