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CB1" w:rsidRPr="008E12A5" w:rsidRDefault="00BF5B66" w:rsidP="0014156B">
      <w:pPr>
        <w:pBdr>
          <w:top w:val="nil"/>
          <w:left w:val="nil"/>
          <w:bottom w:val="nil"/>
          <w:right w:val="nil"/>
          <w:between w:val="nil"/>
        </w:pBdr>
        <w:spacing w:line="360" w:lineRule="auto"/>
        <w:ind w:right="-284"/>
        <w:jc w:val="both"/>
        <w:rPr>
          <w:rFonts w:ascii="Palatino Linotype" w:eastAsia="Palatino Linotype" w:hAnsi="Palatino Linotype" w:cs="Palatino Linotype"/>
          <w:b/>
          <w:color w:val="000000"/>
        </w:rPr>
      </w:pPr>
      <w:r w:rsidRPr="008E12A5">
        <w:rPr>
          <w:rFonts w:ascii="Palatino Linotype" w:eastAsia="Palatino Linotype" w:hAnsi="Palatino Linotype" w:cs="Palatino Linotype"/>
          <w:color w:val="000000"/>
        </w:rPr>
        <w:t>R</w:t>
      </w:r>
      <w:bookmarkStart w:id="0" w:name="_GoBack"/>
      <w:bookmarkEnd w:id="0"/>
      <w:r w:rsidRPr="008E12A5">
        <w:rPr>
          <w:rFonts w:ascii="Palatino Linotype" w:eastAsia="Palatino Linotype" w:hAnsi="Palatino Linotype" w:cs="Palatino Linotype"/>
          <w:color w:val="000000"/>
        </w:rPr>
        <w:t>esolución del Pleno del Instituto de Transparencia, Acceso a la Información Pública y Protección de Datos Personales del Estado de México y Municipios, con domicilio en Metepec, Esta</w:t>
      </w:r>
      <w:r w:rsidR="0014156B" w:rsidRPr="008E12A5">
        <w:rPr>
          <w:rFonts w:ascii="Palatino Linotype" w:eastAsia="Palatino Linotype" w:hAnsi="Palatino Linotype" w:cs="Palatino Linotype"/>
          <w:color w:val="000000"/>
        </w:rPr>
        <w:t xml:space="preserve">do de México; de </w:t>
      </w:r>
      <w:r w:rsidR="0014156B" w:rsidRPr="008E12A5">
        <w:rPr>
          <w:rFonts w:ascii="Palatino Linotype" w:eastAsia="Palatino Linotype" w:hAnsi="Palatino Linotype" w:cs="Palatino Linotype"/>
          <w:b/>
          <w:color w:val="000000"/>
        </w:rPr>
        <w:t>fecha uno</w:t>
      </w:r>
      <w:r w:rsidR="008E12A5" w:rsidRPr="008E12A5">
        <w:rPr>
          <w:rFonts w:ascii="Palatino Linotype" w:eastAsia="Palatino Linotype" w:hAnsi="Palatino Linotype" w:cs="Palatino Linotype"/>
          <w:b/>
          <w:color w:val="000000"/>
        </w:rPr>
        <w:t xml:space="preserve"> (01)</w:t>
      </w:r>
      <w:r w:rsidR="0014156B" w:rsidRPr="008E12A5">
        <w:rPr>
          <w:rFonts w:ascii="Palatino Linotype" w:eastAsia="Palatino Linotype" w:hAnsi="Palatino Linotype" w:cs="Palatino Linotype"/>
          <w:b/>
          <w:color w:val="000000"/>
        </w:rPr>
        <w:t xml:space="preserve"> de julio de dos mil veintiséis</w:t>
      </w:r>
      <w:r w:rsidRPr="008E12A5">
        <w:rPr>
          <w:rFonts w:ascii="Palatino Linotype" w:eastAsia="Palatino Linotype" w:hAnsi="Palatino Linotype" w:cs="Palatino Linotype"/>
          <w:b/>
          <w:color w:val="000000"/>
        </w:rPr>
        <w:t>.</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bookmarkStart w:id="1" w:name="_heading=h.gjdgxs" w:colFirst="0" w:colLast="0"/>
      <w:bookmarkEnd w:id="1"/>
      <w:r w:rsidRPr="008E12A5">
        <w:rPr>
          <w:rFonts w:ascii="Palatino Linotype" w:eastAsia="Palatino Linotype" w:hAnsi="Palatino Linotype" w:cs="Palatino Linotype"/>
          <w:b/>
          <w:bCs/>
          <w:color w:val="000000"/>
        </w:rPr>
        <w:t>VISTO</w:t>
      </w:r>
      <w:r w:rsidRPr="008E12A5">
        <w:rPr>
          <w:rFonts w:ascii="Palatino Linotype" w:eastAsia="Palatino Linotype" w:hAnsi="Palatino Linotype" w:cs="Palatino Linotype"/>
          <w:color w:val="000000"/>
        </w:rPr>
        <w:t xml:space="preserve"> el expediente electrónico formado con motivo   del Recursos de Revisión </w:t>
      </w:r>
      <w:r w:rsidRPr="008E12A5">
        <w:rPr>
          <w:rFonts w:ascii="Palatino Linotype" w:eastAsia="Palatino Linotype" w:hAnsi="Palatino Linotype" w:cs="Palatino Linotype"/>
          <w:b/>
          <w:bCs/>
          <w:color w:val="000000"/>
        </w:rPr>
        <w:t xml:space="preserve"> 03833/INFOEM/IP/RR/</w:t>
      </w:r>
      <w:r w:rsidRPr="008E12A5">
        <w:rPr>
          <w:rFonts w:ascii="Palatino Linotype" w:eastAsia="Palatino Linotype" w:hAnsi="Palatino Linotype" w:cs="Palatino Linotype"/>
          <w:b/>
          <w:bCs/>
        </w:rPr>
        <w:t>2026 promovido</w:t>
      </w:r>
      <w:r w:rsidRPr="008E12A5">
        <w:rPr>
          <w:rFonts w:ascii="Palatino Linotype" w:eastAsia="Palatino Linotype" w:hAnsi="Palatino Linotype" w:cs="Palatino Linotype"/>
          <w:color w:val="000000"/>
        </w:rPr>
        <w:t xml:space="preserve"> por </w:t>
      </w:r>
      <w:r w:rsidR="00890BCB" w:rsidRPr="00890BCB">
        <w:rPr>
          <w:rFonts w:ascii="Palatino Linotype" w:eastAsia="Palatino Linotype" w:hAnsi="Palatino Linotype" w:cs="Palatino Linotype"/>
          <w:b/>
          <w:color w:val="000000"/>
        </w:rPr>
        <w:t>XXXX</w:t>
      </w:r>
      <w:r w:rsidRPr="008E12A5">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8E12A5">
        <w:rPr>
          <w:rFonts w:ascii="Palatino Linotype" w:eastAsia="Palatino Linotype" w:hAnsi="Palatino Linotype" w:cs="Palatino Linotype"/>
          <w:b/>
          <w:bCs/>
          <w:color w:val="000000"/>
        </w:rPr>
        <w:t>EL RECURRENTE</w:t>
      </w:r>
      <w:r w:rsidR="0014156B" w:rsidRPr="008E12A5">
        <w:rPr>
          <w:rFonts w:ascii="Palatino Linotype" w:eastAsia="Palatino Linotype" w:hAnsi="Palatino Linotype" w:cs="Palatino Linotype"/>
          <w:color w:val="000000"/>
        </w:rPr>
        <w:t>, en contra de la respuesta</w:t>
      </w:r>
      <w:r w:rsidRPr="008E12A5">
        <w:rPr>
          <w:rFonts w:ascii="Palatino Linotype" w:eastAsia="Palatino Linotype" w:hAnsi="Palatino Linotype" w:cs="Palatino Linotype"/>
          <w:color w:val="000000"/>
        </w:rPr>
        <w:t xml:space="preserve"> del </w:t>
      </w:r>
      <w:r w:rsidRPr="008E12A5">
        <w:rPr>
          <w:rFonts w:ascii="Palatino Linotype" w:eastAsia="Palatino Linotype" w:hAnsi="Palatino Linotype" w:cs="Palatino Linotype"/>
          <w:b/>
          <w:bCs/>
          <w:color w:val="000000"/>
        </w:rPr>
        <w:t>Ayuntamiento de Aculco</w:t>
      </w:r>
      <w:r w:rsidR="00890BCB">
        <w:rPr>
          <w:rFonts w:ascii="Palatino Linotype" w:eastAsia="Palatino Linotype" w:hAnsi="Palatino Linotype" w:cs="Palatino Linotype"/>
          <w:b/>
          <w:bCs/>
          <w:color w:val="000000"/>
        </w:rPr>
        <w:t>,</w:t>
      </w:r>
      <w:r w:rsidRPr="008E12A5">
        <w:rPr>
          <w:rFonts w:ascii="Palatino Linotype" w:eastAsia="Palatino Linotype" w:hAnsi="Palatino Linotype" w:cs="Palatino Linotype"/>
          <w:b/>
          <w:bCs/>
          <w:color w:val="000000"/>
        </w:rPr>
        <w:t xml:space="preserve">   </w:t>
      </w:r>
      <w:r w:rsidRPr="008E12A5">
        <w:rPr>
          <w:rFonts w:ascii="Palatino Linotype" w:eastAsia="Palatino Linotype" w:hAnsi="Palatino Linotype" w:cs="Palatino Linotype"/>
          <w:color w:val="000000"/>
        </w:rPr>
        <w:t xml:space="preserve">en </w:t>
      </w:r>
      <w:r w:rsidRPr="008E12A5">
        <w:rPr>
          <w:rFonts w:ascii="Palatino Linotype" w:eastAsia="Palatino Linotype" w:hAnsi="Palatino Linotype" w:cs="Palatino Linotype"/>
        </w:rPr>
        <w:t>adelante</w:t>
      </w:r>
      <w:r w:rsidRPr="008E12A5">
        <w:rPr>
          <w:rFonts w:ascii="Palatino Linotype" w:eastAsia="Palatino Linotype" w:hAnsi="Palatino Linotype" w:cs="Palatino Linotype"/>
          <w:color w:val="000000"/>
        </w:rPr>
        <w:t xml:space="preserve"> </w:t>
      </w:r>
      <w:r w:rsidRPr="008E12A5">
        <w:rPr>
          <w:rFonts w:ascii="Palatino Linotype" w:eastAsia="Palatino Linotype" w:hAnsi="Palatino Linotype" w:cs="Palatino Linotype"/>
          <w:b/>
          <w:bCs/>
          <w:color w:val="000000"/>
        </w:rPr>
        <w:t>EL SUJETO OBLIGADO</w:t>
      </w:r>
      <w:r w:rsidRPr="008E12A5">
        <w:rPr>
          <w:rFonts w:ascii="Palatino Linotype" w:eastAsia="Palatino Linotype" w:hAnsi="Palatino Linotype" w:cs="Palatino Linotype"/>
          <w:color w:val="000000"/>
        </w:rPr>
        <w:t>, se procede a dictar la presente resolución, con base en los siguientes:</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14156B">
      <w:pPr>
        <w:pBdr>
          <w:top w:val="nil"/>
          <w:left w:val="nil"/>
          <w:bottom w:val="nil"/>
          <w:right w:val="nil"/>
          <w:between w:val="nil"/>
        </w:pBdr>
        <w:spacing w:line="360" w:lineRule="auto"/>
        <w:ind w:right="-284"/>
        <w:jc w:val="center"/>
        <w:rPr>
          <w:rFonts w:ascii="Palatino Linotype" w:eastAsia="Palatino Linotype" w:hAnsi="Palatino Linotype" w:cs="Palatino Linotype"/>
          <w:b/>
          <w:bCs/>
          <w:color w:val="000000"/>
        </w:rPr>
      </w:pPr>
      <w:r w:rsidRPr="008E12A5">
        <w:rPr>
          <w:rFonts w:ascii="Palatino Linotype" w:eastAsia="Palatino Linotype" w:hAnsi="Palatino Linotype" w:cs="Palatino Linotype"/>
          <w:b/>
          <w:bCs/>
          <w:color w:val="000000"/>
        </w:rPr>
        <w:t>A N T E C E D E N T E S</w:t>
      </w:r>
    </w:p>
    <w:p w:rsidR="00337CB1" w:rsidRPr="008E12A5" w:rsidRDefault="00337CB1" w:rsidP="0014156B">
      <w:pPr>
        <w:spacing w:line="360" w:lineRule="auto"/>
        <w:ind w:right="-284"/>
        <w:rPr>
          <w:rFonts w:ascii="Palatino Linotype" w:eastAsia="Palatino Linotype" w:hAnsi="Palatino Linotype" w:cs="Palatino Linotype"/>
        </w:rPr>
      </w:pPr>
    </w:p>
    <w:p w:rsidR="00337CB1" w:rsidRPr="008E12A5" w:rsidRDefault="00BF5B66" w:rsidP="0014156B">
      <w:pPr>
        <w:numPr>
          <w:ilvl w:val="0"/>
          <w:numId w:val="6"/>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El </w:t>
      </w:r>
      <w:r w:rsidRPr="008E12A5">
        <w:rPr>
          <w:rFonts w:ascii="Palatino Linotype" w:eastAsia="Palatino Linotype" w:hAnsi="Palatino Linotype" w:cs="Palatino Linotype"/>
          <w:b/>
          <w:bCs/>
          <w:color w:val="000000"/>
        </w:rPr>
        <w:t xml:space="preserve">cinco de febrero de dos mil veintiséis, </w:t>
      </w:r>
      <w:r w:rsidRPr="008E12A5">
        <w:rPr>
          <w:rFonts w:ascii="Palatino Linotype" w:eastAsia="Palatino Linotype" w:hAnsi="Palatino Linotype" w:cs="Palatino Linotype"/>
          <w:color w:val="000000"/>
        </w:rPr>
        <w:t xml:space="preserve">el </w:t>
      </w:r>
      <w:r w:rsidRPr="008E12A5">
        <w:rPr>
          <w:rFonts w:ascii="Palatino Linotype" w:eastAsia="Palatino Linotype" w:hAnsi="Palatino Linotype" w:cs="Palatino Linotype"/>
          <w:b/>
          <w:bCs/>
          <w:color w:val="000000"/>
        </w:rPr>
        <w:t>RECURRENTE</w:t>
      </w:r>
      <w:r w:rsidRPr="008E12A5">
        <w:rPr>
          <w:rFonts w:ascii="Palatino Linotype" w:eastAsia="Palatino Linotype" w:hAnsi="Palatino Linotype" w:cs="Palatino Linotype"/>
          <w:color w:val="000000"/>
        </w:rPr>
        <w:t xml:space="preserve"> </w:t>
      </w:r>
      <w:r w:rsidRPr="008E12A5">
        <w:rPr>
          <w:rFonts w:ascii="Palatino Linotype" w:eastAsia="Palatino Linotype" w:hAnsi="Palatino Linotype" w:cs="Palatino Linotype"/>
        </w:rPr>
        <w:t>ingresó</w:t>
      </w:r>
      <w:r w:rsidRPr="008E12A5">
        <w:rPr>
          <w:rFonts w:ascii="Palatino Linotype" w:eastAsia="Palatino Linotype" w:hAnsi="Palatino Linotype" w:cs="Palatino Linotype"/>
          <w:color w:val="000000"/>
        </w:rPr>
        <w:t xml:space="preserve"> la solicitud de información, el Sistema de Acceso a la Información</w:t>
      </w:r>
      <w:r w:rsidRPr="008E12A5">
        <w:rPr>
          <w:rFonts w:ascii="Palatino Linotype" w:eastAsia="Palatino Linotype" w:hAnsi="Palatino Linotype" w:cs="Palatino Linotype"/>
          <w:b/>
          <w:bCs/>
          <w:color w:val="000000"/>
        </w:rPr>
        <w:t xml:space="preserve"> , </w:t>
      </w:r>
      <w:r w:rsidRPr="008E12A5">
        <w:rPr>
          <w:rFonts w:ascii="Palatino Linotype" w:eastAsia="Palatino Linotype" w:hAnsi="Palatino Linotype" w:cs="Palatino Linotype"/>
          <w:color w:val="000000"/>
        </w:rPr>
        <w:t xml:space="preserve">quedando  registrada con el número </w:t>
      </w:r>
      <w:r w:rsidRPr="008E12A5">
        <w:rPr>
          <w:rFonts w:ascii="Palatino Linotype" w:eastAsia="Palatino Linotype" w:hAnsi="Palatino Linotype" w:cs="Palatino Linotype"/>
          <w:b/>
          <w:bCs/>
          <w:color w:val="000000"/>
        </w:rPr>
        <w:t xml:space="preserve">00012/ACULCO/IP/2026, </w:t>
      </w:r>
      <w:r w:rsidRPr="008E12A5">
        <w:rPr>
          <w:rFonts w:ascii="Palatino Linotype" w:eastAsia="Palatino Linotype" w:hAnsi="Palatino Linotype" w:cs="Palatino Linotype"/>
        </w:rPr>
        <w:t xml:space="preserve">en la que </w:t>
      </w:r>
      <w:r w:rsidRPr="008E12A5">
        <w:rPr>
          <w:rFonts w:ascii="Palatino Linotype" w:eastAsia="Palatino Linotype" w:hAnsi="Palatino Linotype" w:cs="Palatino Linotype"/>
          <w:color w:val="000000"/>
        </w:rPr>
        <w:t>se solicitó la siguiente información:</w:t>
      </w:r>
    </w:p>
    <w:p w:rsidR="00337CB1" w:rsidRPr="008E12A5" w:rsidRDefault="00337CB1" w:rsidP="0014156B">
      <w:pPr>
        <w:ind w:right="-284"/>
        <w:jc w:val="both"/>
        <w:rPr>
          <w:rFonts w:ascii="Palatino Linotype" w:eastAsia="Palatino Linotype" w:hAnsi="Palatino Linotype" w:cs="Palatino Linotype"/>
          <w:i/>
          <w:iCs/>
        </w:rPr>
      </w:pPr>
    </w:p>
    <w:p w:rsidR="00337CB1" w:rsidRPr="008E12A5" w:rsidRDefault="00BF5B66" w:rsidP="0014156B">
      <w:pPr>
        <w:pBdr>
          <w:top w:val="nil"/>
          <w:left w:val="nil"/>
          <w:bottom w:val="nil"/>
          <w:right w:val="nil"/>
          <w:between w:val="nil"/>
        </w:pBdr>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r w:rsidRPr="008E12A5">
        <w:t xml:space="preserve"> </w:t>
      </w:r>
      <w:r w:rsidRPr="008E12A5">
        <w:rPr>
          <w:rFonts w:ascii="Palatino Linotype" w:eastAsia="Palatino Linotype" w:hAnsi="Palatino Linotype" w:cs="Palatino Linotype"/>
          <w:i/>
          <w:iCs/>
          <w:color w:val="000000"/>
        </w:rPr>
        <w:t xml:space="preserve">Solicito: 1. El Programa Municipal de Seguridad Pública 2. Acta de sesion de cabildo en el que fue presentado 3. Oficio de validación/autorización del programa Municipal de Seguridad Pública de las instituciones estatales correspondientes. 4. El Reglamento de Seguridad Pública 5. Diagnóstico Municipal de Seguridad Pública en consideración de la siguiente información: 6. Estadísticas por colonia, mapas de calor, violencia de género (desagregado por tipo), delitos patrimoniales, consumo de sustancias, indicadores de atención a llamadas de emergencia del Centro de Mando; del año 2022, 2023, 2024, 2025, y del mes de enero de 2026. 7. Área encargada de la integración de la información. 8. Perfil del o los servidores públicos responsables de la clasificación, integración y análisis de la información estadística. 9. Organigrama de la Dirección Municipal de Seguridad Pública 10. Perfil académico, laboral, certificaciones vigentes, experiencia policial del Titular de </w:t>
      </w:r>
      <w:r w:rsidRPr="008E12A5">
        <w:rPr>
          <w:rFonts w:ascii="Palatino Linotype" w:eastAsia="Palatino Linotype" w:hAnsi="Palatino Linotype" w:cs="Palatino Linotype"/>
          <w:i/>
          <w:iCs/>
          <w:color w:val="000000"/>
        </w:rPr>
        <w:lastRenderedPageBreak/>
        <w:t>Seguridad Pública, de los Directores de Área, Subdirectores, Jefes de Departamento, Jefes de turno según corresponda. 11. Nombramiento del Titular de Seguridad Pública, de los Directores de Área, Subdirectores y Jefes de Departamento, Jefes de turno según corresponda. 12. En caso de extitulares que hayan laborado en el periodo 2025, Subdirectores, Jefes de Departamento, Jefes de turno, integrar la información de su perfil académico, laboral y experiencia policial en diversos ámbitos institucionales. LÍNEAS DE ATENCIÓN EN LOS SIGUIENTE CASOS: En caso de no existir información, favor de anexar la declaratoria formal de inexistencia. En caso de contener datos sensibles, solicito versión pública testada. En caso de reserva, solicito: a) Acta del Comité de Transparencia b) Fundamento jurídico c) Prueba de daño d) Plazo de reserva e) Secciones clasificadas”(Sic)</w:t>
      </w:r>
    </w:p>
    <w:p w:rsidR="00337CB1" w:rsidRPr="008E12A5" w:rsidRDefault="00337CB1"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i/>
          <w:iCs/>
        </w:rPr>
      </w:pPr>
    </w:p>
    <w:p w:rsidR="00337CB1" w:rsidRPr="008E12A5" w:rsidRDefault="00BF5B66" w:rsidP="0014156B">
      <w:pPr>
        <w:numPr>
          <w:ilvl w:val="0"/>
          <w:numId w:val="1"/>
        </w:numPr>
        <w:pBdr>
          <w:top w:val="nil"/>
          <w:left w:val="nil"/>
          <w:bottom w:val="nil"/>
          <w:right w:val="nil"/>
          <w:between w:val="nil"/>
        </w:pBdr>
        <w:spacing w:line="360" w:lineRule="auto"/>
        <w:ind w:left="1134" w:right="-284"/>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b/>
          <w:bCs/>
          <w:color w:val="000000"/>
        </w:rPr>
        <w:t>Modalidad de entrega</w:t>
      </w:r>
      <w:r w:rsidRPr="008E12A5">
        <w:rPr>
          <w:rFonts w:ascii="Palatino Linotype" w:eastAsia="Palatino Linotype" w:hAnsi="Palatino Linotype" w:cs="Palatino Linotype"/>
          <w:color w:val="000000"/>
        </w:rPr>
        <w:t>: Sistema de Acceso a la Información (SAIMEX)</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14156B">
      <w:pPr>
        <w:numPr>
          <w:ilvl w:val="0"/>
          <w:numId w:val="6"/>
        </w:numPr>
        <w:pBdr>
          <w:top w:val="nil"/>
          <w:left w:val="nil"/>
          <w:bottom w:val="nil"/>
          <w:right w:val="nil"/>
          <w:between w:val="nil"/>
        </w:pBdr>
        <w:spacing w:before="240" w:line="360" w:lineRule="auto"/>
        <w:ind w:left="0" w:right="-284" w:firstLine="0"/>
        <w:jc w:val="both"/>
        <w:rPr>
          <w:rFonts w:ascii="Palatino Linotype" w:eastAsia="Palatino Linotype" w:hAnsi="Palatino Linotype" w:cs="Palatino Linotype"/>
          <w:b/>
          <w:bCs/>
          <w:color w:val="000000"/>
        </w:rPr>
      </w:pPr>
      <w:r w:rsidRPr="008E12A5">
        <w:rPr>
          <w:rFonts w:ascii="Palatino Linotype" w:eastAsia="Palatino Linotype" w:hAnsi="Palatino Linotype" w:cs="Palatino Linotype"/>
          <w:color w:val="000000"/>
        </w:rPr>
        <w:t xml:space="preserve">De las constancias que obran en el expediente electrónico del </w:t>
      </w:r>
      <w:r w:rsidRPr="008E12A5">
        <w:rPr>
          <w:rFonts w:ascii="Palatino Linotype" w:eastAsia="Palatino Linotype" w:hAnsi="Palatino Linotype" w:cs="Palatino Linotype"/>
          <w:b/>
          <w:bCs/>
          <w:color w:val="000000"/>
        </w:rPr>
        <w:t xml:space="preserve">SAIMEX, </w:t>
      </w:r>
      <w:r w:rsidRPr="008E12A5">
        <w:rPr>
          <w:rFonts w:ascii="Palatino Linotype" w:eastAsia="Palatino Linotype" w:hAnsi="Palatino Linotype" w:cs="Palatino Linotype"/>
          <w:color w:val="000000"/>
        </w:rPr>
        <w:t xml:space="preserve">se advierte que en fecha </w:t>
      </w:r>
      <w:r w:rsidRPr="008E12A5">
        <w:rPr>
          <w:rFonts w:ascii="Palatino Linotype" w:eastAsia="Palatino Linotype" w:hAnsi="Palatino Linotype" w:cs="Palatino Linotype"/>
          <w:b/>
          <w:bCs/>
          <w:color w:val="000000"/>
        </w:rPr>
        <w:t xml:space="preserve">veintiséis de febrero de la presente anualidad, El Sujeto Obligado </w:t>
      </w:r>
      <w:r w:rsidRPr="008E12A5">
        <w:rPr>
          <w:rFonts w:ascii="Palatino Linotype" w:eastAsia="Palatino Linotype" w:hAnsi="Palatino Linotype" w:cs="Palatino Linotype"/>
          <w:color w:val="000000"/>
        </w:rPr>
        <w:t xml:space="preserve">solicitó prórroga de siete días para recabar la información solicitada y dar cumplimiento a lo requerido por </w:t>
      </w:r>
      <w:r w:rsidRPr="008E12A5">
        <w:rPr>
          <w:rFonts w:ascii="Palatino Linotype" w:eastAsia="Palatino Linotype" w:hAnsi="Palatino Linotype" w:cs="Palatino Linotype"/>
          <w:b/>
          <w:bCs/>
          <w:color w:val="000000"/>
        </w:rPr>
        <w:t xml:space="preserve">La Recurrente, </w:t>
      </w:r>
      <w:r w:rsidRPr="008E12A5">
        <w:rPr>
          <w:rFonts w:ascii="Palatino Linotype" w:eastAsia="Palatino Linotype" w:hAnsi="Palatino Linotype" w:cs="Palatino Linotype"/>
          <w:color w:val="000000"/>
        </w:rPr>
        <w:t>advirtiendo que dicha prórroga</w:t>
      </w:r>
      <w:r w:rsidRPr="008E12A5">
        <w:rPr>
          <w:rFonts w:ascii="Palatino Linotype" w:eastAsia="Palatino Linotype" w:hAnsi="Palatino Linotype" w:cs="Palatino Linotype"/>
          <w:b/>
          <w:bCs/>
          <w:color w:val="000000"/>
        </w:rPr>
        <w:t xml:space="preserve"> NO</w:t>
      </w:r>
      <w:r w:rsidRPr="008E12A5">
        <w:rPr>
          <w:rFonts w:ascii="Palatino Linotype" w:eastAsia="Palatino Linotype" w:hAnsi="Palatino Linotype" w:cs="Palatino Linotype"/>
          <w:color w:val="000000"/>
        </w:rPr>
        <w:t xml:space="preserve"> cumple con lo establecido en el artículo 49, fracción II, así como en el artículo 163 segundo párrafo, de la Ley de Transparencia y Acceso a la Información Pública del Estado de México y Municipios.</w:t>
      </w:r>
    </w:p>
    <w:p w:rsidR="00337CB1" w:rsidRPr="008E12A5" w:rsidRDefault="00337CB1" w:rsidP="0014156B">
      <w:pPr>
        <w:spacing w:before="240" w:line="360" w:lineRule="auto"/>
        <w:ind w:right="-284"/>
        <w:jc w:val="both"/>
        <w:rPr>
          <w:rFonts w:ascii="Palatino Linotype" w:eastAsia="Palatino Linotype" w:hAnsi="Palatino Linotype" w:cs="Palatino Linotype"/>
          <w:b/>
          <w:bCs/>
        </w:rPr>
      </w:pPr>
    </w:p>
    <w:p w:rsidR="00337CB1" w:rsidRPr="008E12A5" w:rsidRDefault="00BF5B66" w:rsidP="0014156B">
      <w:pPr>
        <w:numPr>
          <w:ilvl w:val="0"/>
          <w:numId w:val="6"/>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El </w:t>
      </w:r>
      <w:r w:rsidRPr="008E12A5">
        <w:rPr>
          <w:rFonts w:ascii="Palatino Linotype" w:eastAsia="Palatino Linotype" w:hAnsi="Palatino Linotype" w:cs="Palatino Linotype"/>
          <w:b/>
          <w:bCs/>
          <w:color w:val="000000"/>
        </w:rPr>
        <w:t>doce de marzo de dos mil veintiséis</w:t>
      </w:r>
      <w:r w:rsidRPr="008E12A5">
        <w:rPr>
          <w:rFonts w:ascii="Palatino Linotype" w:eastAsia="Palatino Linotype" w:hAnsi="Palatino Linotype" w:cs="Palatino Linotype"/>
          <w:color w:val="000000"/>
        </w:rPr>
        <w:t>,</w:t>
      </w:r>
      <w:r w:rsidRPr="008E12A5">
        <w:rPr>
          <w:rFonts w:ascii="Palatino Linotype" w:eastAsia="Palatino Linotype" w:hAnsi="Palatino Linotype" w:cs="Palatino Linotype"/>
          <w:b/>
          <w:bCs/>
          <w:color w:val="000000"/>
        </w:rPr>
        <w:t xml:space="preserve"> </w:t>
      </w:r>
      <w:r w:rsidRPr="008E12A5">
        <w:rPr>
          <w:rFonts w:ascii="Palatino Linotype" w:eastAsia="Palatino Linotype" w:hAnsi="Palatino Linotype" w:cs="Palatino Linotype"/>
          <w:color w:val="000000"/>
        </w:rPr>
        <w:t xml:space="preserve">el </w:t>
      </w:r>
      <w:r w:rsidRPr="008E12A5">
        <w:rPr>
          <w:rFonts w:ascii="Palatino Linotype" w:eastAsia="Palatino Linotype" w:hAnsi="Palatino Linotype" w:cs="Palatino Linotype"/>
          <w:b/>
          <w:bCs/>
          <w:color w:val="000000"/>
        </w:rPr>
        <w:t xml:space="preserve">SUJETO OBLIGADO </w:t>
      </w:r>
      <w:r w:rsidRPr="008E12A5">
        <w:rPr>
          <w:rFonts w:ascii="Palatino Linotype" w:eastAsia="Palatino Linotype" w:hAnsi="Palatino Linotype" w:cs="Palatino Linotype"/>
          <w:color w:val="000000"/>
        </w:rPr>
        <w:t>dio respuesta por medio de archivos electrónicos en formato pdf, de cuyo contenido se desprende lo siguiente:</w:t>
      </w:r>
    </w:p>
    <w:p w:rsidR="00337CB1" w:rsidRPr="008E12A5" w:rsidRDefault="00BF5B66" w:rsidP="0014156B">
      <w:pPr>
        <w:pBdr>
          <w:top w:val="nil"/>
          <w:left w:val="nil"/>
          <w:bottom w:val="nil"/>
          <w:right w:val="nil"/>
          <w:between w:val="nil"/>
        </w:pBdr>
        <w:ind w:left="720"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b/>
          <w:bCs/>
          <w:i/>
          <w:iCs/>
          <w:color w:val="000000"/>
        </w:rPr>
        <w:t xml:space="preserve">SAIMEX SEGURIDAD PUBLICA.pdf </w:t>
      </w:r>
      <w:r w:rsidRPr="008E12A5">
        <w:rPr>
          <w:rFonts w:ascii="Palatino Linotype" w:eastAsia="Palatino Linotype" w:hAnsi="Palatino Linotype" w:cs="Palatino Linotype"/>
          <w:i/>
          <w:iCs/>
          <w:color w:val="000000"/>
        </w:rPr>
        <w:t>Donde Secretario del Ayuntamiento entrega nombramiento del Director de Seguridad Pública Municipal en funciones al momento de la solicitud así como el acta de Cabildo donde se aprueba el nombramiento para el referido servidor público.</w:t>
      </w:r>
    </w:p>
    <w:p w:rsidR="00337CB1" w:rsidRPr="008E12A5" w:rsidRDefault="00BF5B66" w:rsidP="0014156B">
      <w:pPr>
        <w:pBdr>
          <w:top w:val="nil"/>
          <w:left w:val="nil"/>
          <w:bottom w:val="nil"/>
          <w:right w:val="nil"/>
          <w:between w:val="nil"/>
        </w:pBdr>
        <w:ind w:left="720"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b/>
          <w:bCs/>
          <w:i/>
          <w:iCs/>
          <w:color w:val="000000"/>
        </w:rPr>
        <w:lastRenderedPageBreak/>
        <w:t xml:space="preserve">folio 12.pdf </w:t>
      </w:r>
      <w:r w:rsidRPr="008E12A5">
        <w:rPr>
          <w:rFonts w:ascii="Palatino Linotype" w:eastAsia="Palatino Linotype" w:hAnsi="Palatino Linotype" w:cs="Palatino Linotype"/>
          <w:i/>
          <w:iCs/>
          <w:color w:val="000000"/>
        </w:rPr>
        <w:t>Donde el Director de Seguridad Pública Municipal refiere que respecto a los puntos 1,2, y 3 de la solicitud se encuentran en trámite, respecto al numeral 4 entrega liga electrónica en formato cerrado para su consulta, para los puntos 5 y 6 refiere enviar  las estadísticas para 2022, 2023, 2024 y 2025 y respecto a enero de 2026  aún no cuenta con información solicitada, con respecto al punto 7 refirió contar con usuario y contraseña para el acceso a la Plataforma Sistema de Análisis de Incidencia Delictiva que contiene las estadísticas es administrada por Sujeto Obligado diverso, con relación al punto 8 señaló no contar con personal para desarrollar tal tarea, finalmente respecto al punto 9 entregó liga electrónica en formato cerrado para su consulta.</w:t>
      </w:r>
    </w:p>
    <w:p w:rsidR="00337CB1" w:rsidRPr="008E12A5" w:rsidRDefault="00337CB1" w:rsidP="0014156B">
      <w:pPr>
        <w:pBdr>
          <w:top w:val="nil"/>
          <w:left w:val="nil"/>
          <w:bottom w:val="nil"/>
          <w:right w:val="nil"/>
          <w:between w:val="nil"/>
        </w:pBdr>
        <w:ind w:left="720" w:right="-284"/>
        <w:jc w:val="both"/>
        <w:rPr>
          <w:rFonts w:ascii="Palatino Linotype" w:eastAsia="Palatino Linotype" w:hAnsi="Palatino Linotype" w:cs="Palatino Linotype"/>
          <w:i/>
          <w:iCs/>
          <w:color w:val="000000"/>
        </w:rPr>
      </w:pPr>
    </w:p>
    <w:p w:rsidR="00337CB1" w:rsidRPr="008E12A5" w:rsidRDefault="00BF5B66" w:rsidP="0014156B">
      <w:pPr>
        <w:pBdr>
          <w:top w:val="nil"/>
          <w:left w:val="nil"/>
          <w:bottom w:val="nil"/>
          <w:right w:val="nil"/>
          <w:between w:val="nil"/>
        </w:pBdr>
        <w:ind w:left="720"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b/>
          <w:bCs/>
          <w:i/>
          <w:iCs/>
          <w:color w:val="000000"/>
        </w:rPr>
        <w:t xml:space="preserve">SOLICITUD 00012.doc </w:t>
      </w:r>
      <w:r w:rsidRPr="008E12A5">
        <w:rPr>
          <w:rFonts w:ascii="Palatino Linotype" w:eastAsia="Palatino Linotype" w:hAnsi="Palatino Linotype" w:cs="Palatino Linotype"/>
          <w:i/>
          <w:iCs/>
          <w:color w:val="000000"/>
        </w:rPr>
        <w:t>Donde el secretario Técnico del Consejo Municipal de Seguridad Pública refiere que la información requerida no obra en su haber  dadas las atribuciones a éste conferidas.</w:t>
      </w:r>
    </w:p>
    <w:p w:rsidR="00337CB1" w:rsidRPr="008E12A5" w:rsidRDefault="00337CB1" w:rsidP="0014156B">
      <w:pPr>
        <w:pBdr>
          <w:top w:val="nil"/>
          <w:left w:val="nil"/>
          <w:bottom w:val="nil"/>
          <w:right w:val="nil"/>
          <w:between w:val="nil"/>
        </w:pBdr>
        <w:ind w:left="720" w:right="-284"/>
        <w:jc w:val="both"/>
        <w:rPr>
          <w:rFonts w:ascii="Palatino Linotype" w:eastAsia="Palatino Linotype" w:hAnsi="Palatino Linotype" w:cs="Palatino Linotype"/>
          <w:b/>
          <w:bCs/>
          <w:i/>
          <w:iCs/>
          <w:color w:val="000000"/>
        </w:rPr>
      </w:pPr>
    </w:p>
    <w:p w:rsidR="00337CB1" w:rsidRPr="008E12A5" w:rsidRDefault="00BF5B66" w:rsidP="0014156B">
      <w:pPr>
        <w:pBdr>
          <w:top w:val="nil"/>
          <w:left w:val="nil"/>
          <w:bottom w:val="nil"/>
          <w:right w:val="nil"/>
          <w:between w:val="nil"/>
        </w:pBdr>
        <w:ind w:left="720"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b/>
          <w:bCs/>
          <w:i/>
          <w:iCs/>
          <w:color w:val="000000"/>
        </w:rPr>
        <w:t xml:space="preserve">SOLICITUD 00012ACULCOIP2026.pdf  </w:t>
      </w:r>
      <w:r w:rsidRPr="008E12A5">
        <w:rPr>
          <w:rFonts w:ascii="Palatino Linotype" w:eastAsia="Palatino Linotype" w:hAnsi="Palatino Linotype" w:cs="Palatino Linotype"/>
          <w:i/>
          <w:iCs/>
          <w:color w:val="000000"/>
        </w:rPr>
        <w:t>Donde la Directora de Administración</w:t>
      </w:r>
      <w:r w:rsidRPr="008E12A5">
        <w:rPr>
          <w:rFonts w:ascii="Palatino Linotype" w:eastAsia="Palatino Linotype" w:hAnsi="Palatino Linotype" w:cs="Palatino Linotype"/>
          <w:b/>
          <w:bCs/>
          <w:i/>
          <w:iCs/>
          <w:color w:val="000000"/>
        </w:rPr>
        <w:t xml:space="preserve"> entrega </w:t>
      </w:r>
      <w:r w:rsidRPr="008E12A5">
        <w:rPr>
          <w:rFonts w:ascii="Palatino Linotype" w:eastAsia="Palatino Linotype" w:hAnsi="Palatino Linotype" w:cs="Palatino Linotype"/>
          <w:i/>
          <w:iCs/>
          <w:color w:val="000000"/>
        </w:rPr>
        <w:t>CV del Director de Seguridad Pública en funciones a la fecha de la solicitud en atención al punto diez de la solicitud y que en relación al punto 12  refiere haber realizado su reserva.</w:t>
      </w:r>
    </w:p>
    <w:p w:rsidR="00337CB1" w:rsidRPr="008E12A5" w:rsidRDefault="00337CB1" w:rsidP="0014156B">
      <w:pPr>
        <w:ind w:right="-284"/>
        <w:jc w:val="both"/>
        <w:rPr>
          <w:rFonts w:ascii="Palatino Linotype" w:eastAsia="Palatino Linotype" w:hAnsi="Palatino Linotype" w:cs="Palatino Linotype"/>
          <w:b/>
          <w:bCs/>
          <w:i/>
          <w:iCs/>
          <w:color w:val="000000"/>
        </w:rPr>
      </w:pPr>
    </w:p>
    <w:p w:rsidR="00337CB1" w:rsidRPr="008E12A5" w:rsidRDefault="00BF5B66" w:rsidP="0014156B">
      <w:pPr>
        <w:pBdr>
          <w:top w:val="nil"/>
          <w:left w:val="nil"/>
          <w:bottom w:val="nil"/>
          <w:right w:val="nil"/>
          <w:between w:val="nil"/>
        </w:pBdr>
        <w:ind w:left="720"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b/>
          <w:bCs/>
          <w:i/>
          <w:iCs/>
          <w:color w:val="000000"/>
        </w:rPr>
        <w:t xml:space="preserve">Respuesta 00012.pdf </w:t>
      </w:r>
      <w:r w:rsidRPr="008E12A5">
        <w:rPr>
          <w:rFonts w:ascii="Palatino Linotype" w:eastAsia="Palatino Linotype" w:hAnsi="Palatino Linotype" w:cs="Palatino Linotype"/>
          <w:i/>
          <w:iCs/>
          <w:color w:val="000000"/>
        </w:rPr>
        <w:t>Donde el secretario Técnico del Consejo Municipal de Seguridad Pública refiere que la información requerida no obra en su haber  dadas las atribuciones a éste conferidas.</w:t>
      </w:r>
    </w:p>
    <w:p w:rsidR="00337CB1" w:rsidRPr="008E12A5" w:rsidRDefault="00337CB1" w:rsidP="0014156B">
      <w:pPr>
        <w:pBdr>
          <w:top w:val="nil"/>
          <w:left w:val="nil"/>
          <w:bottom w:val="nil"/>
          <w:right w:val="nil"/>
          <w:between w:val="nil"/>
        </w:pBdr>
        <w:ind w:left="720" w:right="-284"/>
        <w:jc w:val="both"/>
        <w:rPr>
          <w:rFonts w:ascii="Palatino Linotype" w:eastAsia="Palatino Linotype" w:hAnsi="Palatino Linotype" w:cs="Palatino Linotype"/>
          <w:b/>
          <w:bCs/>
          <w:i/>
          <w:iCs/>
          <w:color w:val="000000"/>
        </w:rPr>
      </w:pPr>
    </w:p>
    <w:p w:rsidR="00337CB1" w:rsidRPr="008E12A5" w:rsidRDefault="00BF5B66" w:rsidP="0014156B">
      <w:pPr>
        <w:numPr>
          <w:ilvl w:val="0"/>
          <w:numId w:val="6"/>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El </w:t>
      </w:r>
      <w:r w:rsidRPr="008E12A5">
        <w:rPr>
          <w:rFonts w:ascii="Palatino Linotype" w:eastAsia="Palatino Linotype" w:hAnsi="Palatino Linotype" w:cs="Palatino Linotype"/>
          <w:b/>
          <w:bCs/>
          <w:color w:val="000000"/>
        </w:rPr>
        <w:t>diez de abril de dos mil veintiséis</w:t>
      </w:r>
      <w:r w:rsidRPr="008E12A5">
        <w:rPr>
          <w:rFonts w:ascii="Palatino Linotype" w:eastAsia="Palatino Linotype" w:hAnsi="Palatino Linotype" w:cs="Palatino Linotype"/>
          <w:color w:val="000000"/>
        </w:rPr>
        <w:t xml:space="preserve">, el </w:t>
      </w:r>
      <w:r w:rsidRPr="008E12A5">
        <w:rPr>
          <w:rFonts w:ascii="Palatino Linotype" w:eastAsia="Palatino Linotype" w:hAnsi="Palatino Linotype" w:cs="Palatino Linotype"/>
          <w:b/>
          <w:bCs/>
          <w:color w:val="000000"/>
        </w:rPr>
        <w:t>RECURRENTE</w:t>
      </w:r>
      <w:r w:rsidRPr="008E12A5">
        <w:rPr>
          <w:rFonts w:ascii="Palatino Linotype" w:eastAsia="Palatino Linotype" w:hAnsi="Palatino Linotype" w:cs="Palatino Linotype"/>
          <w:color w:val="000000"/>
        </w:rPr>
        <w:t xml:space="preserve"> interpuso recurso de revisión en contra de la respuestas emitida por el </w:t>
      </w:r>
      <w:r w:rsidRPr="008E12A5">
        <w:rPr>
          <w:rFonts w:ascii="Palatino Linotype" w:eastAsia="Palatino Linotype" w:hAnsi="Palatino Linotype" w:cs="Palatino Linotype"/>
          <w:b/>
          <w:bCs/>
          <w:color w:val="000000"/>
        </w:rPr>
        <w:t>SUJETO OBLIGADO</w:t>
      </w:r>
      <w:r w:rsidRPr="008E12A5">
        <w:rPr>
          <w:rFonts w:ascii="Palatino Linotype" w:eastAsia="Palatino Linotype" w:hAnsi="Palatino Linotype" w:cs="Palatino Linotype"/>
          <w:color w:val="000000"/>
        </w:rPr>
        <w:t>, señalando las siguientes razones o motivos de inconformidad:</w:t>
      </w:r>
    </w:p>
    <w:p w:rsidR="00337CB1" w:rsidRPr="008E12A5" w:rsidRDefault="00337CB1" w:rsidP="0014156B">
      <w:pPr>
        <w:ind w:right="-284"/>
        <w:jc w:val="both"/>
        <w:rPr>
          <w:rFonts w:ascii="Palatino Linotype" w:eastAsia="Palatino Linotype" w:hAnsi="Palatino Linotype" w:cs="Palatino Linotype"/>
          <w:color w:val="000000"/>
        </w:rPr>
      </w:pPr>
    </w:p>
    <w:p w:rsidR="00337CB1" w:rsidRPr="008E12A5" w:rsidRDefault="00BF5B66" w:rsidP="0014156B">
      <w:pPr>
        <w:numPr>
          <w:ilvl w:val="0"/>
          <w:numId w:val="14"/>
        </w:numPr>
        <w:ind w:right="-284"/>
        <w:jc w:val="both"/>
        <w:rPr>
          <w:rFonts w:ascii="Palatino Linotype" w:eastAsia="Palatino Linotype" w:hAnsi="Palatino Linotype" w:cs="Palatino Linotype"/>
          <w:b/>
          <w:bCs/>
          <w:color w:val="000000"/>
        </w:rPr>
      </w:pPr>
      <w:bookmarkStart w:id="2" w:name="_heading=h.1fob9te" w:colFirst="0" w:colLast="0"/>
      <w:bookmarkEnd w:id="2"/>
      <w:r w:rsidRPr="008E12A5">
        <w:rPr>
          <w:rFonts w:ascii="Palatino Linotype" w:eastAsia="Palatino Linotype" w:hAnsi="Palatino Linotype" w:cs="Palatino Linotype"/>
          <w:b/>
          <w:bCs/>
          <w:color w:val="000000"/>
        </w:rPr>
        <w:t xml:space="preserve">ACTO IMPUGNADO: </w:t>
      </w: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color w:val="000000"/>
        </w:rPr>
        <w:t>“Respuesta incompleta, incongruente y carente de fundamentación y motivación suficiente.</w:t>
      </w:r>
      <w:r w:rsidRPr="008E12A5">
        <w:rPr>
          <w:rFonts w:ascii="Palatino Linotype" w:eastAsia="Palatino Linotype" w:hAnsi="Palatino Linotype" w:cs="Palatino Linotype"/>
          <w:i/>
          <w:iCs/>
        </w:rPr>
        <w:t>”(Sic.)</w:t>
      </w:r>
    </w:p>
    <w:p w:rsidR="00337CB1" w:rsidRPr="008E12A5" w:rsidRDefault="00337CB1" w:rsidP="0014156B">
      <w:pPr>
        <w:pBdr>
          <w:top w:val="nil"/>
          <w:left w:val="nil"/>
          <w:bottom w:val="nil"/>
          <w:right w:val="nil"/>
          <w:between w:val="nil"/>
        </w:pBdr>
        <w:ind w:left="1134" w:right="-284"/>
        <w:jc w:val="both"/>
        <w:rPr>
          <w:rFonts w:ascii="Palatino Linotype" w:eastAsia="Palatino Linotype" w:hAnsi="Palatino Linotype" w:cs="Palatino Linotype"/>
          <w:color w:val="000000"/>
        </w:rPr>
      </w:pPr>
    </w:p>
    <w:p w:rsidR="00337CB1" w:rsidRPr="008E12A5" w:rsidRDefault="00BF5B66" w:rsidP="0014156B">
      <w:pPr>
        <w:numPr>
          <w:ilvl w:val="0"/>
          <w:numId w:val="13"/>
        </w:numPr>
        <w:ind w:right="-284"/>
        <w:jc w:val="both"/>
        <w:rPr>
          <w:rFonts w:ascii="Palatino Linotype" w:eastAsia="Palatino Linotype" w:hAnsi="Palatino Linotype" w:cs="Palatino Linotype"/>
          <w:b/>
          <w:bCs/>
          <w:color w:val="000000"/>
        </w:rPr>
      </w:pPr>
      <w:bookmarkStart w:id="3" w:name="_heading=h.3znysh7" w:colFirst="0" w:colLast="0"/>
      <w:bookmarkEnd w:id="3"/>
      <w:r w:rsidRPr="008E12A5">
        <w:rPr>
          <w:rFonts w:ascii="Palatino Linotype" w:eastAsia="Palatino Linotype" w:hAnsi="Palatino Linotype" w:cs="Palatino Linotype"/>
          <w:b/>
          <w:bCs/>
          <w:color w:val="000000"/>
        </w:rPr>
        <w:t xml:space="preserve">RAZONES O MOTIVOS DE INCONFORMIDAD: </w:t>
      </w: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color w:val="000000"/>
        </w:rPr>
        <w:t>“</w:t>
      </w:r>
      <w:r w:rsidRPr="008E12A5">
        <w:rPr>
          <w:rFonts w:ascii="Palatino Linotype" w:eastAsia="Palatino Linotype" w:hAnsi="Palatino Linotype" w:cs="Palatino Linotype"/>
          <w:i/>
          <w:iCs/>
        </w:rPr>
        <w:t xml:space="preserve">RAZONES: 1. Se presentó solicitud de acceso a la información requiriendo documentación relacionada con el Programa Municipal de Seguridad Pública, diagnóstico, estructura administrativa y perfiles. 2. El sujeto obligado emitió respuesta fragmentada por </w:t>
      </w:r>
      <w:r w:rsidRPr="008E12A5">
        <w:rPr>
          <w:rFonts w:ascii="Palatino Linotype" w:eastAsia="Palatino Linotype" w:hAnsi="Palatino Linotype" w:cs="Palatino Linotype"/>
          <w:i/>
          <w:iCs/>
        </w:rPr>
        <w:lastRenderedPageBreak/>
        <w:t>diversas áreas, señalando en algunos casos que la información “se encuentra en trámite”, en otros que “no obra en archivos” o que “no es competencia”. 3. Asimismo, se adjuntó documentación que carece de formalidades esenciales (sin firma, sello o validación institucional), lo que impide tener certeza jurídica sobre su autenticidad. AGRAVIOS: PRIMERO. Falta de exhaustividad. La autoridad no acredita búsqueda exhaustiva en todas las áreas competentes, ni detalla unidades administrativas consultadas, incumpliendo el principio de máxima publicidad. SEGUNDO. Indeterminación de la respuesta. La expresión “en trámite” resulta ambigua, al no precisar etapa, responsable, soporte documental ni plazo, lo que impide conocer el estado real de la información. TERCERO. Incongruencia institucional. Existen respuestas contradictorias: por un lado se afirma inexistencia o falta de competencia, y por otro se señala que la información está en trámite, sin aclaración oficial. CUARTO. Incumplimiento en clasificación o inexistencia. No se remitió acta del Comité de Transparencia, ni prueba de daño, ni fundamentación, pese a haberse solicitado expresamente. QUINTO. Falta de validez formal de documentos. Parte de la información proporcionada carece de firma, sello o elementos mínimos de autenticidad, lo que vulnera certeza jurídica.”(Sic).</w:t>
      </w:r>
    </w:p>
    <w:p w:rsidR="00337CB1" w:rsidRPr="008E12A5" w:rsidRDefault="00337CB1" w:rsidP="0014156B">
      <w:pPr>
        <w:pBdr>
          <w:top w:val="nil"/>
          <w:left w:val="nil"/>
          <w:bottom w:val="nil"/>
          <w:right w:val="nil"/>
          <w:between w:val="nil"/>
        </w:pBdr>
        <w:ind w:left="1134" w:right="-284"/>
        <w:jc w:val="both"/>
        <w:rPr>
          <w:rFonts w:ascii="Palatino Linotype" w:eastAsia="Palatino Linotype" w:hAnsi="Palatino Linotype" w:cs="Palatino Linotype"/>
          <w:color w:val="000000"/>
        </w:rPr>
      </w:pPr>
    </w:p>
    <w:p w:rsidR="00337CB1" w:rsidRPr="008E12A5" w:rsidRDefault="00337CB1" w:rsidP="0014156B">
      <w:pPr>
        <w:ind w:right="-284"/>
        <w:jc w:val="both"/>
        <w:rPr>
          <w:rFonts w:ascii="Palatino Linotype" w:eastAsia="Palatino Linotype" w:hAnsi="Palatino Linotype" w:cs="Palatino Linotype"/>
          <w:b/>
          <w:bCs/>
          <w:i/>
          <w:iCs/>
          <w:color w:val="000000"/>
        </w:rPr>
      </w:pPr>
    </w:p>
    <w:p w:rsidR="00337CB1" w:rsidRPr="008E12A5" w:rsidRDefault="00BF5B66" w:rsidP="0014156B">
      <w:pPr>
        <w:numPr>
          <w:ilvl w:val="0"/>
          <w:numId w:val="6"/>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Consecutivamente</w:t>
      </w:r>
      <w:r w:rsidRPr="008E12A5">
        <w:rPr>
          <w:rFonts w:ascii="Palatino Linotype" w:eastAsia="Palatino Linotype" w:hAnsi="Palatino Linotype" w:cs="Palatino Linotype"/>
          <w:i/>
          <w:iCs/>
          <w:color w:val="000000"/>
        </w:rPr>
        <w:t xml:space="preserve">, </w:t>
      </w:r>
      <w:r w:rsidRPr="008E12A5">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8E12A5">
        <w:rPr>
          <w:rFonts w:ascii="Palatino Linotype" w:eastAsia="Palatino Linotype" w:hAnsi="Palatino Linotype" w:cs="Palatino Linotype"/>
          <w:b/>
          <w:bCs/>
          <w:color w:val="000000"/>
        </w:rPr>
        <w:t>Comisionada</w:t>
      </w:r>
      <w:r w:rsidRPr="008E12A5">
        <w:rPr>
          <w:rFonts w:ascii="Palatino Linotype" w:eastAsia="Palatino Linotype" w:hAnsi="Palatino Linotype" w:cs="Palatino Linotype"/>
          <w:color w:val="000000"/>
        </w:rPr>
        <w:t xml:space="preserve"> </w:t>
      </w:r>
      <w:r w:rsidRPr="008E12A5">
        <w:rPr>
          <w:rFonts w:ascii="Palatino Linotype" w:eastAsia="Palatino Linotype" w:hAnsi="Palatino Linotype" w:cs="Palatino Linotype"/>
          <w:b/>
          <w:bCs/>
          <w:color w:val="000000"/>
        </w:rPr>
        <w:t>María del Rosario Mejía Ayala</w:t>
      </w:r>
      <w:r w:rsidRPr="008E12A5">
        <w:rPr>
          <w:rFonts w:ascii="Palatino Linotype" w:eastAsia="Palatino Linotype" w:hAnsi="Palatino Linotype" w:cs="Palatino Linotype"/>
          <w:color w:val="000000"/>
        </w:rPr>
        <w:t>,</w:t>
      </w:r>
      <w:r w:rsidRPr="008E12A5">
        <w:rPr>
          <w:rFonts w:ascii="Palatino Linotype" w:eastAsia="Palatino Linotype" w:hAnsi="Palatino Linotype" w:cs="Palatino Linotype"/>
          <w:b/>
          <w:bCs/>
          <w:color w:val="000000"/>
        </w:rPr>
        <w:t xml:space="preserve"> </w:t>
      </w:r>
      <w:r w:rsidRPr="008E12A5">
        <w:rPr>
          <w:rFonts w:ascii="Palatino Linotype" w:eastAsia="Palatino Linotype" w:hAnsi="Palatino Linotype" w:cs="Palatino Linotype"/>
        </w:rPr>
        <w:t xml:space="preserve">para </w:t>
      </w:r>
      <w:r w:rsidRPr="008E12A5">
        <w:rPr>
          <w:rFonts w:ascii="Palatino Linotype" w:eastAsia="Palatino Linotype" w:hAnsi="Palatino Linotype" w:cs="Palatino Linotype"/>
          <w:color w:val="000000"/>
        </w:rPr>
        <w:t>su análisis.</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14156B">
      <w:pPr>
        <w:numPr>
          <w:ilvl w:val="0"/>
          <w:numId w:val="6"/>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8E12A5">
        <w:rPr>
          <w:rFonts w:ascii="Palatino Linotype" w:eastAsia="Palatino Linotype" w:hAnsi="Palatino Linotype" w:cs="Palatino Linotype"/>
          <w:b/>
          <w:bCs/>
          <w:color w:val="000000"/>
        </w:rPr>
        <w:t xml:space="preserve">acuerdo de admisión </w:t>
      </w:r>
      <w:r w:rsidRPr="008E12A5">
        <w:rPr>
          <w:rFonts w:ascii="Palatino Linotype" w:eastAsia="Palatino Linotype" w:hAnsi="Palatino Linotype" w:cs="Palatino Linotype"/>
          <w:color w:val="000000"/>
        </w:rPr>
        <w:t xml:space="preserve">del </w:t>
      </w:r>
      <w:r w:rsidRPr="008E12A5">
        <w:rPr>
          <w:rFonts w:ascii="Palatino Linotype" w:eastAsia="Palatino Linotype" w:hAnsi="Palatino Linotype" w:cs="Palatino Linotype"/>
          <w:b/>
          <w:bCs/>
          <w:color w:val="000000"/>
        </w:rPr>
        <w:t xml:space="preserve">trece de abril de dos mil veintiséis, </w:t>
      </w:r>
      <w:r w:rsidRPr="008E12A5">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8E12A5">
        <w:rPr>
          <w:rFonts w:ascii="Palatino Linotype" w:eastAsia="Palatino Linotype" w:hAnsi="Palatino Linotype" w:cs="Palatino Linotype"/>
        </w:rPr>
        <w:t>manifestara</w:t>
      </w:r>
      <w:r w:rsidRPr="008E12A5">
        <w:rPr>
          <w:rFonts w:ascii="Palatino Linotype" w:eastAsia="Palatino Linotype" w:hAnsi="Palatino Linotype" w:cs="Palatino Linotype"/>
          <w:color w:val="000000"/>
        </w:rPr>
        <w:t xml:space="preserve"> lo que a su derecho conviniera, </w:t>
      </w:r>
      <w:r w:rsidRPr="008E12A5">
        <w:rPr>
          <w:rFonts w:ascii="Palatino Linotype" w:eastAsia="Palatino Linotype" w:hAnsi="Palatino Linotype" w:cs="Palatino Linotype"/>
        </w:rPr>
        <w:t>ofreciera</w:t>
      </w:r>
      <w:r w:rsidRPr="008E12A5">
        <w:rPr>
          <w:rFonts w:ascii="Palatino Linotype" w:eastAsia="Palatino Linotype" w:hAnsi="Palatino Linotype" w:cs="Palatino Linotype"/>
          <w:color w:val="000000"/>
        </w:rPr>
        <w:t xml:space="preserve"> pruebas y alegatos según corresponda al caso concreto, de esta forma para que el </w:t>
      </w:r>
      <w:r w:rsidRPr="008E12A5">
        <w:rPr>
          <w:rFonts w:ascii="Palatino Linotype" w:eastAsia="Palatino Linotype" w:hAnsi="Palatino Linotype" w:cs="Palatino Linotype"/>
          <w:b/>
          <w:bCs/>
          <w:color w:val="000000"/>
        </w:rPr>
        <w:t xml:space="preserve">SUJETO OBLIGADO </w:t>
      </w:r>
      <w:r w:rsidRPr="008E12A5">
        <w:rPr>
          <w:rFonts w:ascii="Palatino Linotype" w:eastAsia="Palatino Linotype" w:hAnsi="Palatino Linotype" w:cs="Palatino Linotype"/>
        </w:rPr>
        <w:t>presentase</w:t>
      </w:r>
      <w:r w:rsidRPr="008E12A5">
        <w:rPr>
          <w:rFonts w:ascii="Palatino Linotype" w:eastAsia="Palatino Linotype" w:hAnsi="Palatino Linotype" w:cs="Palatino Linotype"/>
          <w:color w:val="000000"/>
        </w:rPr>
        <w:t xml:space="preserve"> el Informe Justificado procedente.</w:t>
      </w:r>
    </w:p>
    <w:p w:rsidR="00337CB1" w:rsidRPr="008E12A5" w:rsidRDefault="00BF5B66" w:rsidP="0014156B">
      <w:pPr>
        <w:numPr>
          <w:ilvl w:val="0"/>
          <w:numId w:val="6"/>
        </w:numPr>
        <w:pBdr>
          <w:top w:val="nil"/>
          <w:left w:val="nil"/>
          <w:bottom w:val="nil"/>
          <w:right w:val="nil"/>
          <w:between w:val="nil"/>
        </w:pBdr>
        <w:tabs>
          <w:tab w:val="left" w:pos="426"/>
        </w:tabs>
        <w:spacing w:line="360" w:lineRule="auto"/>
        <w:ind w:left="0" w:right="-284" w:firstLine="0"/>
        <w:jc w:val="both"/>
        <w:rPr>
          <w:color w:val="000000"/>
        </w:rPr>
      </w:pPr>
      <w:r w:rsidRPr="008E12A5">
        <w:rPr>
          <w:rFonts w:ascii="Palatino Linotype" w:eastAsia="Palatino Linotype" w:hAnsi="Palatino Linotype" w:cs="Palatino Linotype"/>
          <w:color w:val="000000"/>
        </w:rPr>
        <w:lastRenderedPageBreak/>
        <w:t xml:space="preserve">En esa línea, el </w:t>
      </w:r>
      <w:r w:rsidRPr="008E12A5">
        <w:rPr>
          <w:rFonts w:ascii="Palatino Linotype" w:eastAsia="Palatino Linotype" w:hAnsi="Palatino Linotype" w:cs="Palatino Linotype"/>
          <w:b/>
          <w:bCs/>
          <w:color w:val="000000"/>
        </w:rPr>
        <w:t xml:space="preserve">SUJETO OBLIGADO </w:t>
      </w:r>
      <w:r w:rsidRPr="008E12A5">
        <w:rPr>
          <w:rFonts w:ascii="Palatino Linotype" w:eastAsia="Palatino Linotype" w:hAnsi="Palatino Linotype" w:cs="Palatino Linotype"/>
          <w:color w:val="000000"/>
        </w:rPr>
        <w:t xml:space="preserve">omitió rendir el informe justificado correspondiente, por su parte, el </w:t>
      </w:r>
      <w:r w:rsidRPr="008E12A5">
        <w:rPr>
          <w:rFonts w:ascii="Palatino Linotype" w:eastAsia="Palatino Linotype" w:hAnsi="Palatino Linotype" w:cs="Palatino Linotype"/>
          <w:b/>
          <w:bCs/>
          <w:color w:val="000000"/>
        </w:rPr>
        <w:t>RECURRENTE</w:t>
      </w:r>
      <w:r w:rsidRPr="008E12A5">
        <w:rPr>
          <w:rFonts w:ascii="Palatino Linotype" w:eastAsia="Palatino Linotype" w:hAnsi="Palatino Linotype" w:cs="Palatino Linotype"/>
          <w:color w:val="000000"/>
        </w:rPr>
        <w:t xml:space="preserve"> no realizó manifestaciones que a su derecho </w:t>
      </w:r>
      <w:r w:rsidRPr="008E12A5">
        <w:rPr>
          <w:rFonts w:ascii="Palatino Linotype" w:eastAsia="Palatino Linotype" w:hAnsi="Palatino Linotype" w:cs="Palatino Linotype"/>
        </w:rPr>
        <w:t>conviniera</w:t>
      </w:r>
      <w:r w:rsidRPr="008E12A5">
        <w:rPr>
          <w:rFonts w:ascii="Palatino Linotype" w:eastAsia="Palatino Linotype" w:hAnsi="Palatino Linotype" w:cs="Palatino Linotype"/>
          <w:color w:val="000000"/>
        </w:rPr>
        <w:t xml:space="preserve"> y asistieran.</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i/>
          <w:iCs/>
          <w:color w:val="000000"/>
        </w:rPr>
      </w:pPr>
    </w:p>
    <w:p w:rsidR="00337CB1" w:rsidRPr="008E12A5" w:rsidRDefault="00BF5B66" w:rsidP="0014156B">
      <w:pPr>
        <w:numPr>
          <w:ilvl w:val="0"/>
          <w:numId w:val="12"/>
        </w:numPr>
        <w:spacing w:line="360" w:lineRule="auto"/>
        <w:ind w:left="0" w:right="-284" w:firstLine="0"/>
        <w:jc w:val="both"/>
        <w:rPr>
          <w:rFonts w:ascii="Palatino Linotype" w:eastAsia="Palatino Linotype" w:hAnsi="Palatino Linotype" w:cs="Palatino Linotype"/>
        </w:rPr>
      </w:pPr>
      <w:bookmarkStart w:id="4" w:name="_heading=h.2et92p0" w:colFirst="0" w:colLast="0"/>
      <w:bookmarkEnd w:id="4"/>
      <w:r w:rsidRPr="008E12A5">
        <w:rPr>
          <w:rFonts w:ascii="Palatino Linotype" w:eastAsia="Palatino Linotype" w:hAnsi="Palatino Linotype" w:cs="Palatino Linotype"/>
        </w:rPr>
        <w:t xml:space="preserve">La Comisionada Ponente decretó el cierre de instrucción mediante el acuerdo del </w:t>
      </w:r>
      <w:r w:rsidRPr="008E12A5">
        <w:rPr>
          <w:rFonts w:ascii="Palatino Linotype" w:eastAsia="Palatino Linotype" w:hAnsi="Palatino Linotype" w:cs="Palatino Linotype"/>
          <w:b/>
          <w:bCs/>
        </w:rPr>
        <w:t xml:space="preserve">once de mayo  de dos mil veintiséis; </w:t>
      </w:r>
      <w:r w:rsidRPr="008E12A5">
        <w:rPr>
          <w:rFonts w:ascii="Palatino Linotype" w:eastAsia="Palatino Linotype" w:hAnsi="Palatino Linotype" w:cs="Palatino Linotype"/>
        </w:rPr>
        <w:t xml:space="preserve">por lo que en virtud de que el expediente electrónico ha sido debidamente sustanciado y no existe diligencia pendiente de desahogo, se procede a emitir la resolución que conforme a Derecho corresponda. </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12"/>
        </w:numPr>
        <w:pBdr>
          <w:top w:val="nil"/>
          <w:left w:val="nil"/>
          <w:bottom w:val="nil"/>
          <w:right w:val="nil"/>
          <w:between w:val="nil"/>
        </w:pBdr>
        <w:spacing w:line="360" w:lineRule="auto"/>
        <w:ind w:left="0" w:right="-284" w:firstLine="0"/>
        <w:jc w:val="both"/>
        <w:rPr>
          <w:rFonts w:ascii="Palatino Linotype" w:eastAsia="Palatino Linotype" w:hAnsi="Palatino Linotype" w:cs="Palatino Linotype"/>
          <w:b/>
          <w:bCs/>
          <w:color w:val="000000"/>
        </w:rPr>
      </w:pPr>
      <w:r w:rsidRPr="008E12A5">
        <w:rPr>
          <w:rFonts w:ascii="Palatino Linotype" w:eastAsia="Palatino Linotype" w:hAnsi="Palatino Linotype" w:cs="Palatino Linotype"/>
          <w:color w:val="000000"/>
        </w:rPr>
        <w:t xml:space="preserve">En </w:t>
      </w:r>
      <w:r w:rsidRPr="008E12A5">
        <w:rPr>
          <w:rFonts w:ascii="Palatino Linotype" w:eastAsia="Palatino Linotype" w:hAnsi="Palatino Linotype" w:cs="Palatino Linotype"/>
          <w:b/>
          <w:bCs/>
          <w:color w:val="000000"/>
        </w:rPr>
        <w:t>fecha veinticuatro de junio de dos mil veintiséis</w:t>
      </w:r>
      <w:r w:rsidRPr="008E12A5">
        <w:rPr>
          <w:rFonts w:ascii="Palatino Linotype" w:eastAsia="Palatino Linotype" w:hAnsi="Palatino Linotype" w:cs="Palatino Linotype"/>
          <w:color w:val="000000"/>
        </w:rPr>
        <w:t>, se acordó ampliar el término para resolver el presente asunto.</w:t>
      </w:r>
    </w:p>
    <w:p w:rsidR="00337CB1" w:rsidRPr="008E12A5" w:rsidRDefault="00337CB1" w:rsidP="0014156B">
      <w:pPr>
        <w:pBdr>
          <w:top w:val="nil"/>
          <w:left w:val="nil"/>
          <w:bottom w:val="nil"/>
          <w:right w:val="nil"/>
          <w:between w:val="nil"/>
        </w:pBdr>
        <w:ind w:left="720" w:right="-284"/>
        <w:rPr>
          <w:rFonts w:ascii="Palatino Linotype" w:eastAsia="Palatino Linotype" w:hAnsi="Palatino Linotype" w:cs="Palatino Linotype"/>
          <w:b/>
          <w:bCs/>
          <w:color w:val="000000"/>
        </w:rPr>
      </w:pPr>
    </w:p>
    <w:p w:rsidR="00337CB1" w:rsidRPr="008E12A5" w:rsidRDefault="00BF5B66" w:rsidP="0014156B">
      <w:pPr>
        <w:numPr>
          <w:ilvl w:val="0"/>
          <w:numId w:val="12"/>
        </w:numPr>
        <w:pBdr>
          <w:top w:val="nil"/>
          <w:left w:val="nil"/>
          <w:bottom w:val="nil"/>
          <w:right w:val="nil"/>
          <w:between w:val="nil"/>
        </w:pBdr>
        <w:spacing w:line="360" w:lineRule="auto"/>
        <w:ind w:left="0" w:right="-284" w:firstLine="0"/>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337CB1" w:rsidRPr="008E12A5" w:rsidRDefault="00337CB1" w:rsidP="0014156B">
      <w:pPr>
        <w:pBdr>
          <w:top w:val="nil"/>
          <w:left w:val="nil"/>
          <w:bottom w:val="nil"/>
          <w:right w:val="nil"/>
          <w:between w:val="nil"/>
        </w:pBdr>
        <w:spacing w:line="360" w:lineRule="auto"/>
        <w:ind w:right="-284"/>
        <w:jc w:val="center"/>
        <w:rPr>
          <w:rFonts w:ascii="Palatino Linotype" w:eastAsia="Palatino Linotype" w:hAnsi="Palatino Linotype" w:cs="Palatino Linotype"/>
        </w:rPr>
      </w:pPr>
    </w:p>
    <w:p w:rsidR="00337CB1" w:rsidRPr="008E12A5" w:rsidRDefault="00BF5B66" w:rsidP="0014156B">
      <w:pPr>
        <w:pBdr>
          <w:top w:val="nil"/>
          <w:left w:val="nil"/>
          <w:bottom w:val="nil"/>
          <w:right w:val="nil"/>
          <w:between w:val="nil"/>
        </w:pBdr>
        <w:spacing w:line="360" w:lineRule="auto"/>
        <w:ind w:right="-284"/>
        <w:jc w:val="center"/>
        <w:rPr>
          <w:rFonts w:ascii="Palatino Linotype" w:eastAsia="Palatino Linotype" w:hAnsi="Palatino Linotype" w:cs="Palatino Linotype"/>
          <w:b/>
          <w:bCs/>
          <w:color w:val="000000"/>
        </w:rPr>
      </w:pPr>
      <w:r w:rsidRPr="008E12A5">
        <w:rPr>
          <w:rFonts w:ascii="Palatino Linotype" w:eastAsia="Palatino Linotype" w:hAnsi="Palatino Linotype" w:cs="Palatino Linotype"/>
          <w:b/>
          <w:bCs/>
          <w:color w:val="000000"/>
        </w:rPr>
        <w:t xml:space="preserve">C O N S I D E R A N D O </w:t>
      </w:r>
    </w:p>
    <w:p w:rsidR="00337CB1" w:rsidRPr="008E12A5" w:rsidRDefault="00337CB1" w:rsidP="0014156B">
      <w:pPr>
        <w:pBdr>
          <w:top w:val="nil"/>
          <w:left w:val="nil"/>
          <w:bottom w:val="nil"/>
          <w:right w:val="nil"/>
          <w:between w:val="nil"/>
        </w:pBdr>
        <w:spacing w:line="360" w:lineRule="auto"/>
        <w:ind w:right="-284"/>
        <w:jc w:val="center"/>
        <w:rPr>
          <w:rFonts w:ascii="Palatino Linotype" w:eastAsia="Palatino Linotype" w:hAnsi="Palatino Linotype" w:cs="Palatino Linotype"/>
          <w:b/>
          <w:bCs/>
          <w:color w:val="000000"/>
        </w:rPr>
      </w:pPr>
    </w:p>
    <w:p w:rsidR="00337CB1" w:rsidRPr="008E12A5" w:rsidRDefault="00BF5B66" w:rsidP="0014156B">
      <w:pPr>
        <w:pStyle w:val="Ttulo2"/>
        <w:spacing w:before="0" w:line="360" w:lineRule="auto"/>
        <w:ind w:right="-284"/>
        <w:rPr>
          <w:rFonts w:ascii="Palatino Linotype" w:eastAsia="Palatino Linotype" w:hAnsi="Palatino Linotype" w:cs="Palatino Linotype"/>
          <w:b/>
          <w:bCs/>
          <w:color w:val="000000"/>
          <w:sz w:val="24"/>
          <w:szCs w:val="24"/>
        </w:rPr>
      </w:pPr>
      <w:bookmarkStart w:id="5" w:name="_heading=h.tyjcwt" w:colFirst="0" w:colLast="0"/>
      <w:bookmarkEnd w:id="5"/>
      <w:r w:rsidRPr="008E12A5">
        <w:rPr>
          <w:rFonts w:ascii="Palatino Linotype" w:eastAsia="Palatino Linotype" w:hAnsi="Palatino Linotype" w:cs="Palatino Linotype"/>
          <w:b/>
          <w:bCs/>
          <w:color w:val="000000"/>
          <w:sz w:val="24"/>
          <w:szCs w:val="24"/>
        </w:rPr>
        <w:t>PRIMERO. De la competencia</w:t>
      </w: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w:t>
      </w:r>
      <w:r w:rsidRPr="008E12A5">
        <w:rPr>
          <w:rFonts w:ascii="Palatino Linotype" w:eastAsia="Palatino Linotype" w:hAnsi="Palatino Linotype" w:cs="Palatino Linotype"/>
          <w:color w:val="000000"/>
        </w:rPr>
        <w:lastRenderedPageBreak/>
        <w:t>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337CB1" w:rsidRPr="008E12A5" w:rsidRDefault="00337CB1" w:rsidP="0014156B">
      <w:pPr>
        <w:pBdr>
          <w:top w:val="nil"/>
          <w:left w:val="nil"/>
          <w:bottom w:val="nil"/>
          <w:right w:val="nil"/>
          <w:between w:val="nil"/>
        </w:pBdr>
        <w:tabs>
          <w:tab w:val="left" w:pos="426"/>
        </w:tabs>
        <w:spacing w:line="360" w:lineRule="auto"/>
        <w:ind w:right="-284"/>
        <w:jc w:val="both"/>
        <w:rPr>
          <w:rFonts w:ascii="Palatino Linotype" w:eastAsia="Palatino Linotype" w:hAnsi="Palatino Linotype" w:cs="Palatino Linotype"/>
          <w:b/>
          <w:bCs/>
          <w:color w:val="000000"/>
        </w:rPr>
      </w:pPr>
      <w:bookmarkStart w:id="6" w:name="_heading=h.3dy6vkm" w:colFirst="0" w:colLast="0"/>
      <w:bookmarkEnd w:id="6"/>
    </w:p>
    <w:p w:rsidR="00337CB1" w:rsidRPr="008E12A5" w:rsidRDefault="00BF5B66" w:rsidP="0014156B">
      <w:pPr>
        <w:pBdr>
          <w:top w:val="nil"/>
          <w:left w:val="nil"/>
          <w:bottom w:val="nil"/>
          <w:right w:val="nil"/>
          <w:between w:val="nil"/>
        </w:pBdr>
        <w:tabs>
          <w:tab w:val="left" w:pos="426"/>
        </w:tabs>
        <w:spacing w:line="360" w:lineRule="auto"/>
        <w:ind w:right="-284"/>
        <w:jc w:val="both"/>
        <w:rPr>
          <w:rFonts w:ascii="Palatino Linotype" w:eastAsia="Palatino Linotype" w:hAnsi="Palatino Linotype" w:cs="Palatino Linotype"/>
          <w:b/>
          <w:bCs/>
          <w:color w:val="000000"/>
        </w:rPr>
      </w:pPr>
      <w:bookmarkStart w:id="7" w:name="_heading=h.1t3h5sf" w:colFirst="0" w:colLast="0"/>
      <w:bookmarkEnd w:id="7"/>
      <w:r w:rsidRPr="008E12A5">
        <w:rPr>
          <w:rFonts w:ascii="Palatino Linotype" w:eastAsia="Palatino Linotype" w:hAnsi="Palatino Linotype" w:cs="Palatino Linotype"/>
          <w:b/>
          <w:bCs/>
          <w:color w:val="000000"/>
        </w:rPr>
        <w:t>SEGUNDO. De la oportunidad y procedencia.</w:t>
      </w: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bookmarkStart w:id="8" w:name="_heading=h.4d34og8" w:colFirst="0" w:colLast="0"/>
      <w:bookmarkEnd w:id="8"/>
      <w:r w:rsidRPr="008E12A5">
        <w:rPr>
          <w:rFonts w:ascii="Palatino Linotype" w:eastAsia="Palatino Linotype" w:hAnsi="Palatino Linotype" w:cs="Palatino Linotype"/>
          <w:color w:val="000000"/>
        </w:rPr>
        <w:t xml:space="preserve">Los medios de impugnación fueron presentados a través del </w:t>
      </w:r>
      <w:r w:rsidRPr="008E12A5">
        <w:rPr>
          <w:rFonts w:ascii="Palatino Linotype" w:eastAsia="Palatino Linotype" w:hAnsi="Palatino Linotype" w:cs="Palatino Linotype"/>
          <w:b/>
          <w:bCs/>
          <w:color w:val="000000"/>
        </w:rPr>
        <w:t>SAIMEX,</w:t>
      </w:r>
      <w:r w:rsidRPr="008E12A5">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8E12A5">
        <w:rPr>
          <w:rFonts w:ascii="Palatino Linotype" w:eastAsia="Palatino Linotype" w:hAnsi="Palatino Linotype" w:cs="Palatino Linotype"/>
          <w:b/>
          <w:bCs/>
          <w:color w:val="000000"/>
        </w:rPr>
        <w:t>SUJETO OBLIGADO</w:t>
      </w:r>
      <w:r w:rsidRPr="008E12A5">
        <w:rPr>
          <w:rFonts w:ascii="Palatino Linotype" w:eastAsia="Palatino Linotype" w:hAnsi="Palatino Linotype" w:cs="Palatino Linotype"/>
          <w:color w:val="000000"/>
        </w:rPr>
        <w:t xml:space="preserve"> entregó su respuesta el </w:t>
      </w:r>
      <w:r w:rsidRPr="008E12A5">
        <w:rPr>
          <w:rFonts w:ascii="Palatino Linotype" w:eastAsia="Palatino Linotype" w:hAnsi="Palatino Linotype" w:cs="Palatino Linotype"/>
          <w:b/>
          <w:bCs/>
          <w:color w:val="000000"/>
        </w:rPr>
        <w:t>doce de marzo de dos mil veintiséis</w:t>
      </w:r>
      <w:r w:rsidRPr="008E12A5">
        <w:rPr>
          <w:rFonts w:ascii="Palatino Linotype" w:eastAsia="Palatino Linotype" w:hAnsi="Palatino Linotype" w:cs="Palatino Linotype"/>
          <w:color w:val="000000"/>
        </w:rPr>
        <w:t xml:space="preserve">, de tal forma que el plazo para interponer el recurso de revisión transcurrió del día </w:t>
      </w:r>
      <w:r w:rsidRPr="008E12A5">
        <w:rPr>
          <w:rFonts w:ascii="Palatino Linotype" w:eastAsia="Palatino Linotype" w:hAnsi="Palatino Linotype" w:cs="Palatino Linotype"/>
          <w:b/>
          <w:bCs/>
          <w:color w:val="000000"/>
        </w:rPr>
        <w:t>trece de marzo al diez de abril de dos mil veintiséis</w:t>
      </w:r>
      <w:r w:rsidRPr="008E12A5">
        <w:rPr>
          <w:rFonts w:ascii="Palatino Linotype" w:eastAsia="Palatino Linotype" w:hAnsi="Palatino Linotype" w:cs="Palatino Linotype"/>
          <w:color w:val="000000"/>
        </w:rPr>
        <w:t xml:space="preserve">; en consecuencia, el ahora </w:t>
      </w:r>
      <w:r w:rsidRPr="008E12A5">
        <w:rPr>
          <w:rFonts w:ascii="Palatino Linotype" w:eastAsia="Palatino Linotype" w:hAnsi="Palatino Linotype" w:cs="Palatino Linotype"/>
          <w:b/>
          <w:bCs/>
          <w:color w:val="000000"/>
        </w:rPr>
        <w:t>RECURRENTE</w:t>
      </w:r>
      <w:r w:rsidRPr="008E12A5">
        <w:rPr>
          <w:rFonts w:ascii="Palatino Linotype" w:eastAsia="Palatino Linotype" w:hAnsi="Palatino Linotype" w:cs="Palatino Linotype"/>
          <w:color w:val="000000"/>
        </w:rPr>
        <w:t xml:space="preserve"> presentó su inconformidad el día </w:t>
      </w:r>
      <w:r w:rsidRPr="008E12A5">
        <w:rPr>
          <w:rFonts w:ascii="Palatino Linotype" w:eastAsia="Palatino Linotype" w:hAnsi="Palatino Linotype" w:cs="Palatino Linotype"/>
          <w:b/>
          <w:bCs/>
          <w:color w:val="000000"/>
        </w:rPr>
        <w:t>diez de abril de dos mil veintiséis</w:t>
      </w:r>
      <w:r w:rsidRPr="008E12A5">
        <w:rPr>
          <w:rFonts w:ascii="Palatino Linotype" w:eastAsia="Palatino Linotype" w:hAnsi="Palatino Linotype" w:cs="Palatino Linotype"/>
          <w:color w:val="000000"/>
        </w:rPr>
        <w:t>; es decir dentro del lapso legalmente establecido para tal efecto.</w:t>
      </w:r>
    </w:p>
    <w:p w:rsidR="00337CB1" w:rsidRPr="008E12A5" w:rsidRDefault="00337CB1" w:rsidP="0014156B">
      <w:pPr>
        <w:pBdr>
          <w:top w:val="nil"/>
          <w:left w:val="nil"/>
          <w:bottom w:val="nil"/>
          <w:right w:val="nil"/>
          <w:between w:val="nil"/>
        </w:pBdr>
        <w:spacing w:line="360" w:lineRule="auto"/>
        <w:ind w:right="-284"/>
        <w:jc w:val="both"/>
        <w:rPr>
          <w:color w:val="000000"/>
        </w:rPr>
      </w:pP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14156B">
      <w:pPr>
        <w:pStyle w:val="Ttulo1"/>
        <w:spacing w:before="0" w:line="360" w:lineRule="auto"/>
        <w:ind w:right="-284"/>
        <w:rPr>
          <w:rFonts w:ascii="Palatino Linotype" w:eastAsia="Palatino Linotype" w:hAnsi="Palatino Linotype" w:cs="Palatino Linotype"/>
          <w:b/>
          <w:bCs/>
          <w:color w:val="000000"/>
          <w:sz w:val="24"/>
          <w:szCs w:val="24"/>
        </w:rPr>
      </w:pPr>
      <w:bookmarkStart w:id="9" w:name="_heading=h.2s8eyo1" w:colFirst="0" w:colLast="0"/>
      <w:bookmarkEnd w:id="9"/>
      <w:r w:rsidRPr="008E12A5">
        <w:rPr>
          <w:rFonts w:ascii="Palatino Linotype" w:eastAsia="Palatino Linotype" w:hAnsi="Palatino Linotype" w:cs="Palatino Linotype"/>
          <w:b/>
          <w:bCs/>
          <w:color w:val="000000"/>
          <w:sz w:val="24"/>
          <w:szCs w:val="24"/>
        </w:rPr>
        <w:lastRenderedPageBreak/>
        <w:t xml:space="preserve">TERCERO. Del planteamiento de la </w:t>
      </w:r>
      <w:r w:rsidRPr="008E12A5">
        <w:rPr>
          <w:rFonts w:ascii="Palatino Linotype" w:eastAsia="Palatino Linotype" w:hAnsi="Palatino Linotype" w:cs="Palatino Linotype"/>
          <w:b/>
          <w:bCs/>
          <w:i/>
          <w:iCs/>
          <w:color w:val="000000"/>
          <w:sz w:val="24"/>
          <w:szCs w:val="24"/>
        </w:rPr>
        <w:t>Litis</w:t>
      </w:r>
      <w:r w:rsidRPr="008E12A5">
        <w:rPr>
          <w:rFonts w:ascii="Palatino Linotype" w:eastAsia="Palatino Linotype" w:hAnsi="Palatino Linotype" w:cs="Palatino Linotype"/>
          <w:b/>
          <w:bCs/>
          <w:color w:val="000000"/>
          <w:sz w:val="24"/>
          <w:szCs w:val="24"/>
        </w:rPr>
        <w:t>.</w:t>
      </w:r>
    </w:p>
    <w:p w:rsidR="00337CB1" w:rsidRPr="008E12A5" w:rsidRDefault="00BF5B66" w:rsidP="0014156B">
      <w:pPr>
        <w:numPr>
          <w:ilvl w:val="0"/>
          <w:numId w:val="3"/>
        </w:numPr>
        <w:pBdr>
          <w:top w:val="nil"/>
          <w:left w:val="nil"/>
          <w:bottom w:val="nil"/>
          <w:right w:val="nil"/>
          <w:between w:val="nil"/>
        </w:pBdr>
        <w:tabs>
          <w:tab w:val="left" w:pos="0"/>
        </w:tabs>
        <w:spacing w:line="360" w:lineRule="auto"/>
        <w:ind w:left="0" w:right="-284" w:firstLine="0"/>
        <w:jc w:val="both"/>
        <w:rPr>
          <w:color w:val="000000"/>
        </w:rPr>
      </w:pPr>
      <w:r w:rsidRPr="008E12A5">
        <w:rPr>
          <w:rFonts w:ascii="Palatino Linotype" w:eastAsia="Palatino Linotype" w:hAnsi="Palatino Linotype" w:cs="Palatino Linotype"/>
          <w:color w:val="000000"/>
        </w:rPr>
        <w:t>Una vez realizado el estudio de las constancias que integran el expediente en que se actúa, se observó que el Particular solicitó al Ayuntamiento de Aculco:</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1. El Programa Municipal de Seguridad Pública </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2. Acta de sesión de cabildo en el que fue presentado </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3. Oficio de validación/autorización del programa Municipal de Seguridad Pública de las instituciones estatales correspondientes. </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4. El Reglamento de Seguridad Pública </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5. Diagnóstico Municipal de Seguridad Pública en consideración de la siguiente información:  Estadísticas por colonia, mapas de calor, violencia de género (desagregado por tipo), delitos patrimoniales, consumo de sustancias, indicadores de atención a llamadas de emergencia del Centro de Mando; del año 2022, 2023, 2024, 2025, y del mes de enero de 2026.</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6. Área encargada de la integración de la información. </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7. Perfil del o los servidores públicos responsables de la clasificación, integración y análisis de la información estadística. </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8. Organigrama de la Dirección Municipal de Seguridad Pública </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9. Perfil académico, laboral, certificaciones vigentes, experiencia policial del Titular de Seguridad Pública, de los Directores de Área, Subdirectores, Jefes de Departamento, Jefes de turno según corresponda. </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10. Nombramiento del Titular de Seguridad Pública, de los Directores de Área, Subdirectores y Jefes de Departamento, Jefes de turno según corresponda. </w:t>
      </w:r>
    </w:p>
    <w:p w:rsidR="00337CB1" w:rsidRPr="008E12A5" w:rsidRDefault="00BF5B66" w:rsidP="0014156B">
      <w:pPr>
        <w:tabs>
          <w:tab w:val="left" w:pos="567"/>
        </w:tabs>
        <w:spacing w:line="276" w:lineRule="auto"/>
        <w:ind w:left="567"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11. En caso de extitulares que hayan laborado en el periodo 2025, Subdirectores, Jefes de Departamento, Jefes de turno, integrar la información de su perfil académico, laboral y experiencia policial en diversos ámbitos institucionales.</w:t>
      </w:r>
    </w:p>
    <w:p w:rsidR="00337CB1" w:rsidRPr="008E12A5" w:rsidRDefault="00337CB1" w:rsidP="0014156B">
      <w:pPr>
        <w:tabs>
          <w:tab w:val="left" w:pos="0"/>
        </w:tabs>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En respuesta,</w:t>
      </w:r>
      <w:r w:rsidRPr="008E12A5">
        <w:rPr>
          <w:rFonts w:ascii="Palatino Linotype" w:eastAsia="Palatino Linotype" w:hAnsi="Palatino Linotype" w:cs="Palatino Linotype"/>
          <w:i/>
          <w:iCs/>
          <w:color w:val="000000"/>
        </w:rPr>
        <w:t xml:space="preserve"> </w:t>
      </w:r>
      <w:r w:rsidRPr="008E12A5">
        <w:rPr>
          <w:rFonts w:ascii="Palatino Linotype" w:eastAsia="Palatino Linotype" w:hAnsi="Palatino Linotype" w:cs="Palatino Linotype"/>
          <w:color w:val="000000"/>
        </w:rPr>
        <w:t>el</w:t>
      </w:r>
      <w:r w:rsidRPr="008E12A5">
        <w:rPr>
          <w:rFonts w:ascii="Palatino Linotype" w:eastAsia="Palatino Linotype" w:hAnsi="Palatino Linotype" w:cs="Palatino Linotype"/>
          <w:i/>
          <w:iCs/>
          <w:color w:val="000000"/>
        </w:rPr>
        <w:t xml:space="preserve"> </w:t>
      </w:r>
      <w:r w:rsidRPr="008E12A5">
        <w:rPr>
          <w:rFonts w:ascii="Palatino Linotype" w:eastAsia="Palatino Linotype" w:hAnsi="Palatino Linotype" w:cs="Palatino Linotype"/>
          <w:b/>
          <w:bCs/>
          <w:color w:val="000000"/>
        </w:rPr>
        <w:t>SUJETO</w:t>
      </w:r>
      <w:r w:rsidRPr="008E12A5">
        <w:rPr>
          <w:rFonts w:ascii="Palatino Linotype" w:eastAsia="Palatino Linotype" w:hAnsi="Palatino Linotype" w:cs="Palatino Linotype"/>
          <w:b/>
          <w:bCs/>
          <w:i/>
          <w:iCs/>
          <w:color w:val="000000"/>
        </w:rPr>
        <w:t xml:space="preserve"> </w:t>
      </w:r>
      <w:r w:rsidRPr="008E12A5">
        <w:rPr>
          <w:rFonts w:ascii="Palatino Linotype" w:eastAsia="Palatino Linotype" w:hAnsi="Palatino Linotype" w:cs="Palatino Linotype"/>
          <w:b/>
          <w:bCs/>
          <w:color w:val="000000"/>
        </w:rPr>
        <w:t xml:space="preserve">OBLIGADO </w:t>
      </w:r>
      <w:r w:rsidRPr="008E12A5">
        <w:rPr>
          <w:rFonts w:ascii="Palatino Linotype" w:eastAsia="Palatino Linotype" w:hAnsi="Palatino Linotype" w:cs="Palatino Linotype"/>
          <w:color w:val="000000"/>
        </w:rPr>
        <w:t xml:space="preserve">por medio del Titular de la Unidad de Transparencia, entregó las documentales desglosadas en el  numeral tres de la presente Resolución, </w:t>
      </w:r>
      <w:r w:rsidRPr="008E12A5">
        <w:rPr>
          <w:rFonts w:ascii="Palatino Linotype" w:eastAsia="Palatino Linotype" w:hAnsi="Palatino Linotype" w:cs="Palatino Linotype"/>
        </w:rPr>
        <w:t>no conformándose</w:t>
      </w:r>
      <w:r w:rsidRPr="008E12A5">
        <w:rPr>
          <w:rFonts w:ascii="Palatino Linotype" w:eastAsia="Palatino Linotype" w:hAnsi="Palatino Linotype" w:cs="Palatino Linotype"/>
          <w:color w:val="000000"/>
        </w:rPr>
        <w:t xml:space="preserve">  por la entrega incompleta de la  información.</w:t>
      </w: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rPr>
        <w:lastRenderedPageBreak/>
        <w:t xml:space="preserve">En dichas condiciones, la </w:t>
      </w:r>
      <w:r w:rsidRPr="008E12A5">
        <w:rPr>
          <w:rFonts w:ascii="Palatino Linotype" w:eastAsia="Palatino Linotype" w:hAnsi="Palatino Linotype" w:cs="Palatino Linotype"/>
          <w:i/>
          <w:iCs/>
        </w:rPr>
        <w:t>Litis</w:t>
      </w:r>
      <w:r w:rsidRPr="008E12A5">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V de la </w:t>
      </w:r>
      <w:r w:rsidRPr="008E12A5">
        <w:rPr>
          <w:rFonts w:ascii="Palatino Linotype" w:eastAsia="Palatino Linotype" w:hAnsi="Palatino Linotype" w:cs="Palatino Linotype"/>
          <w:b/>
          <w:bCs/>
        </w:rPr>
        <w:t xml:space="preserve">Ley de Transparencia y Acceso a la </w:t>
      </w:r>
      <w:r w:rsidRPr="008E12A5">
        <w:rPr>
          <w:rFonts w:ascii="Palatino Linotype" w:eastAsia="Palatino Linotype" w:hAnsi="Palatino Linotype" w:cs="Palatino Linotype"/>
        </w:rPr>
        <w:t>Información</w:t>
      </w:r>
      <w:r w:rsidRPr="008E12A5">
        <w:rPr>
          <w:rFonts w:ascii="Palatino Linotype" w:eastAsia="Palatino Linotype" w:hAnsi="Palatino Linotype" w:cs="Palatino Linotype"/>
          <w:b/>
          <w:bCs/>
        </w:rPr>
        <w:t xml:space="preserve"> Pública del Estado de México y Municipios</w:t>
      </w:r>
      <w:r w:rsidRPr="008E12A5">
        <w:rPr>
          <w:rFonts w:ascii="Palatino Linotype" w:eastAsia="Palatino Linotype" w:hAnsi="Palatino Linotype" w:cs="Palatino Linotype"/>
        </w:rPr>
        <w:t xml:space="preserve">; </w:t>
      </w:r>
      <w:r w:rsidRPr="008E12A5">
        <w:rPr>
          <w:rFonts w:ascii="Palatino Linotype" w:eastAsia="Palatino Linotype" w:hAnsi="Palatino Linotype" w:cs="Palatino Linotype"/>
          <w:color w:val="000000"/>
        </w:rPr>
        <w:t xml:space="preserve">fracción que determina la hipótesis jurídica relativa a la entrega incompleta de la información; </w:t>
      </w:r>
      <w:r w:rsidRPr="008E12A5">
        <w:rPr>
          <w:rFonts w:ascii="Palatino Linotype" w:eastAsia="Palatino Linotype" w:hAnsi="Palatino Linotype" w:cs="Palatino Linotype"/>
        </w:rPr>
        <w:t xml:space="preserve">contexto del cual se dolió el </w:t>
      </w:r>
      <w:r w:rsidRPr="008E12A5">
        <w:rPr>
          <w:rFonts w:ascii="Palatino Linotype" w:eastAsia="Palatino Linotype" w:hAnsi="Palatino Linotype" w:cs="Palatino Linotype"/>
          <w:b/>
          <w:bCs/>
        </w:rPr>
        <w:t>RECURRENTE</w:t>
      </w:r>
      <w:r w:rsidRPr="008E12A5">
        <w:rPr>
          <w:rFonts w:ascii="Palatino Linotype" w:eastAsia="Palatino Linotype" w:hAnsi="Palatino Linotype" w:cs="Palatino Linotype"/>
        </w:rPr>
        <w:t xml:space="preserve"> al momento de interponer su recurso de revisión</w:t>
      </w:r>
      <w:r w:rsidRPr="008E12A5">
        <w:rPr>
          <w:rFonts w:ascii="Palatino Linotype" w:eastAsia="Palatino Linotype" w:hAnsi="Palatino Linotype" w:cs="Palatino Linotype"/>
          <w:color w:val="000000"/>
        </w:rPr>
        <w:t>.</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De modo tal que el presente recurso de revisión se </w:t>
      </w:r>
      <w:r w:rsidRPr="008E12A5">
        <w:rPr>
          <w:rFonts w:ascii="Palatino Linotype" w:eastAsia="Palatino Linotype" w:hAnsi="Palatino Linotype" w:cs="Palatino Linotype"/>
        </w:rPr>
        <w:t>abocará</w:t>
      </w:r>
      <w:r w:rsidRPr="008E12A5">
        <w:rPr>
          <w:rFonts w:ascii="Palatino Linotype" w:eastAsia="Palatino Linotype" w:hAnsi="Palatino Linotype" w:cs="Palatino Linotype"/>
          <w:color w:val="000000"/>
        </w:rPr>
        <w:t xml:space="preserve"> en determinar si el </w:t>
      </w:r>
      <w:r w:rsidRPr="008E12A5">
        <w:rPr>
          <w:rFonts w:ascii="Palatino Linotype" w:eastAsia="Palatino Linotype" w:hAnsi="Palatino Linotype" w:cs="Palatino Linotype"/>
          <w:b/>
          <w:bCs/>
          <w:color w:val="000000"/>
        </w:rPr>
        <w:t>SUJETO OBLIGADO</w:t>
      </w:r>
      <w:r w:rsidRPr="008E12A5">
        <w:rPr>
          <w:rFonts w:ascii="Palatino Linotype" w:eastAsia="Palatino Linotype" w:hAnsi="Palatino Linotype" w:cs="Palatino Linotype"/>
          <w:color w:val="000000"/>
        </w:rPr>
        <w:t xml:space="preserve"> con su respuesta ciertamente actualiza la causal de procedencia</w:t>
      </w:r>
      <w:r w:rsidRPr="008E12A5">
        <w:rPr>
          <w:rFonts w:ascii="Palatino Linotype" w:eastAsia="Palatino Linotype" w:hAnsi="Palatino Linotype" w:cs="Palatino Linotype"/>
          <w:b/>
          <w:bCs/>
          <w:color w:val="000000"/>
        </w:rPr>
        <w:t xml:space="preserve"> </w:t>
      </w:r>
      <w:r w:rsidRPr="008E12A5">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14156B">
      <w:pPr>
        <w:keepNext/>
        <w:keepLines/>
        <w:ind w:right="-284"/>
        <w:rPr>
          <w:rFonts w:ascii="Palatino Linotype" w:eastAsia="Palatino Linotype" w:hAnsi="Palatino Linotype" w:cs="Palatino Linotype"/>
          <w:b/>
          <w:bCs/>
          <w:color w:val="000000"/>
        </w:rPr>
      </w:pPr>
      <w:r w:rsidRPr="008E12A5">
        <w:rPr>
          <w:rFonts w:ascii="Palatino Linotype" w:eastAsia="Palatino Linotype" w:hAnsi="Palatino Linotype" w:cs="Palatino Linotype"/>
          <w:b/>
          <w:bCs/>
          <w:color w:val="000000"/>
        </w:rPr>
        <w:t>CUARTO. Del estudio y resolución del estudio.</w:t>
      </w:r>
    </w:p>
    <w:p w:rsidR="00337CB1" w:rsidRPr="008E12A5" w:rsidRDefault="00BF5B66" w:rsidP="0014156B">
      <w:pPr>
        <w:keepNext/>
        <w:keepLines/>
        <w:numPr>
          <w:ilvl w:val="0"/>
          <w:numId w:val="7"/>
        </w:numPr>
        <w:spacing w:after="240"/>
        <w:ind w:left="786" w:right="-284"/>
        <w:rPr>
          <w:rFonts w:ascii="Palatino Linotype" w:eastAsia="Palatino Linotype" w:hAnsi="Palatino Linotype" w:cs="Palatino Linotype"/>
          <w:b/>
          <w:bCs/>
          <w:color w:val="000000"/>
        </w:rPr>
      </w:pPr>
      <w:bookmarkStart w:id="10" w:name="_heading=h.17dp8vu" w:colFirst="0" w:colLast="0"/>
      <w:bookmarkEnd w:id="10"/>
      <w:r w:rsidRPr="008E12A5">
        <w:rPr>
          <w:rFonts w:ascii="Palatino Linotype" w:eastAsia="Palatino Linotype" w:hAnsi="Palatino Linotype" w:cs="Palatino Linotype"/>
          <w:b/>
          <w:bCs/>
          <w:color w:val="000000"/>
        </w:rPr>
        <w:t>Del derecho de acceso a la información.</w:t>
      </w: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337CB1" w:rsidRPr="008E12A5" w:rsidRDefault="00BF5B66" w:rsidP="0014156B">
      <w:pPr>
        <w:numPr>
          <w:ilvl w:val="0"/>
          <w:numId w:val="3"/>
        </w:numPr>
        <w:spacing w:before="240" w:line="360" w:lineRule="auto"/>
        <w:ind w:left="0" w:right="-284" w:firstLine="0"/>
        <w:jc w:val="both"/>
      </w:pPr>
      <w:r w:rsidRPr="008E12A5">
        <w:rPr>
          <w:rFonts w:ascii="Palatino Linotype" w:eastAsia="Palatino Linotype" w:hAnsi="Palatino Linotype" w:cs="Palatino Linotype"/>
        </w:rPr>
        <w:lastRenderedPageBreak/>
        <w:t xml:space="preserve">Definiendo el Derecho de Acceso a la Información Pública como: </w:t>
      </w:r>
      <w:r w:rsidRPr="008E12A5">
        <w:rPr>
          <w:rFonts w:ascii="Palatino Linotype" w:eastAsia="Palatino Linotype" w:hAnsi="Palatino Linotype" w:cs="Palatino Linotype"/>
          <w:i/>
          <w:iCs/>
          <w:color w:val="000000"/>
        </w:rPr>
        <w:t>La igualdad de oportunidades para recibir, buscar e impartir información</w:t>
      </w:r>
      <w:r w:rsidRPr="008E12A5">
        <w:rPr>
          <w:rFonts w:ascii="Palatino Linotype" w:eastAsia="Palatino Linotype" w:hAnsi="Palatino Linotype" w:cs="Palatino Linotype"/>
          <w:i/>
          <w:iCs/>
          <w:vertAlign w:val="superscript"/>
        </w:rPr>
        <w:footnoteReference w:id="1"/>
      </w:r>
      <w:r w:rsidRPr="008E12A5">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8E12A5">
        <w:rPr>
          <w:rFonts w:ascii="Palatino Linotype" w:eastAsia="Palatino Linotype" w:hAnsi="Palatino Linotype" w:cs="Palatino Linotype"/>
          <w:i/>
          <w:iCs/>
          <w:vertAlign w:val="superscript"/>
        </w:rPr>
        <w:footnoteReference w:id="2"/>
      </w:r>
      <w:r w:rsidRPr="008E12A5">
        <w:rPr>
          <w:rFonts w:ascii="Palatino Linotype" w:eastAsia="Palatino Linotype" w:hAnsi="Palatino Linotype" w:cs="Palatino Linotype"/>
          <w:color w:val="000000"/>
        </w:rPr>
        <w:t>que se constituye como una herramienta fundamental para ejercer</w:t>
      </w:r>
      <w:r w:rsidRPr="008E12A5">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8E12A5">
        <w:rPr>
          <w:rFonts w:ascii="Palatino Linotype" w:eastAsia="Palatino Linotype" w:hAnsi="Palatino Linotype" w:cs="Palatino Linotype"/>
          <w:i/>
          <w:iCs/>
          <w:vertAlign w:val="superscript"/>
        </w:rPr>
        <w:footnoteReference w:id="3"/>
      </w:r>
      <w:r w:rsidRPr="008E12A5">
        <w:rPr>
          <w:rFonts w:ascii="Palatino Linotype" w:eastAsia="Palatino Linotype" w:hAnsi="Palatino Linotype" w:cs="Palatino Linotype"/>
          <w:color w:val="000000"/>
        </w:rPr>
        <w:t>fomentando</w:t>
      </w:r>
      <w:r w:rsidRPr="008E12A5">
        <w:rPr>
          <w:rFonts w:ascii="Palatino Linotype" w:eastAsia="Palatino Linotype" w:hAnsi="Palatino Linotype" w:cs="Palatino Linotype"/>
          <w:i/>
          <w:iCs/>
          <w:color w:val="000000"/>
        </w:rPr>
        <w:t xml:space="preserve"> la transparencia de las actividades estatales y </w:t>
      </w:r>
      <w:r w:rsidRPr="008E12A5">
        <w:rPr>
          <w:rFonts w:ascii="Palatino Linotype" w:eastAsia="Palatino Linotype" w:hAnsi="Palatino Linotype" w:cs="Palatino Linotype"/>
          <w:color w:val="000000"/>
        </w:rPr>
        <w:t>promoviendo</w:t>
      </w:r>
      <w:r w:rsidRPr="008E12A5">
        <w:rPr>
          <w:rFonts w:ascii="Palatino Linotype" w:eastAsia="Palatino Linotype" w:hAnsi="Palatino Linotype" w:cs="Palatino Linotype"/>
          <w:i/>
          <w:iCs/>
          <w:color w:val="000000"/>
        </w:rPr>
        <w:t xml:space="preserve"> la responsabilidad de los funcionarios sobre su gestión pública,</w:t>
      </w:r>
      <w:r w:rsidRPr="008E12A5">
        <w:rPr>
          <w:rFonts w:ascii="Palatino Linotype" w:eastAsia="Palatino Linotype" w:hAnsi="Palatino Linotype" w:cs="Palatino Linotype"/>
          <w:i/>
          <w:iCs/>
          <w:vertAlign w:val="superscript"/>
        </w:rPr>
        <w:footnoteReference w:id="4"/>
      </w:r>
      <w:r w:rsidRPr="008E12A5">
        <w:rPr>
          <w:rFonts w:ascii="Palatino Linotype" w:eastAsia="Palatino Linotype" w:hAnsi="Palatino Linotype" w:cs="Palatino Linotype"/>
          <w:color w:val="000000"/>
        </w:rPr>
        <w:t>que permite</w:t>
      </w:r>
      <w:r w:rsidRPr="008E12A5">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w:t>
      </w:r>
      <w:r w:rsidRPr="008E12A5">
        <w:rPr>
          <w:rFonts w:ascii="Palatino Linotype" w:eastAsia="Palatino Linotype" w:hAnsi="Palatino Linotype" w:cs="Palatino Linotype"/>
          <w:b/>
          <w:bCs/>
          <w:i/>
          <w:iCs/>
        </w:rPr>
        <w:t>Artículo 1.-</w:t>
      </w:r>
      <w:r w:rsidRPr="008E12A5">
        <w:rPr>
          <w:rFonts w:ascii="Palatino Linotype" w:eastAsia="Palatino Linotype" w:hAnsi="Palatino Linotype" w:cs="Palatino Linotype"/>
          <w:i/>
          <w:iCs/>
        </w:rPr>
        <w:t xml:space="preserve"> </w:t>
      </w: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w:t>
      </w: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Todas las</w:t>
      </w:r>
      <w:r w:rsidRPr="008E12A5">
        <w:rPr>
          <w:rFonts w:ascii="Palatino Linotype" w:eastAsia="Palatino Linotype" w:hAnsi="Palatino Linotype" w:cs="Palatino Linotype"/>
        </w:rPr>
        <w:t xml:space="preserve"> </w:t>
      </w:r>
      <w:r w:rsidRPr="008E12A5">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337CB1" w:rsidRPr="008E12A5" w:rsidRDefault="00BF5B66" w:rsidP="0014156B">
      <w:pPr>
        <w:ind w:left="1134" w:right="-284"/>
        <w:jc w:val="both"/>
        <w:rPr>
          <w:rFonts w:ascii="Palatino Linotype" w:eastAsia="Palatino Linotype" w:hAnsi="Palatino Linotype" w:cs="Palatino Linotype"/>
        </w:rPr>
      </w:pPr>
      <w:r w:rsidRPr="008E12A5">
        <w:rPr>
          <w:rFonts w:ascii="Palatino Linotype" w:eastAsia="Palatino Linotype" w:hAnsi="Palatino Linotype" w:cs="Palatino Linotype"/>
          <w:i/>
          <w:iCs/>
        </w:rPr>
        <w:lastRenderedPageBreak/>
        <w:t>(…)</w:t>
      </w:r>
      <w:r w:rsidRPr="008E12A5">
        <w:rPr>
          <w:rFonts w:ascii="Palatino Linotype" w:eastAsia="Palatino Linotype" w:hAnsi="Palatino Linotype" w:cs="Palatino Linotype"/>
        </w:rPr>
        <w:t>”.</w:t>
      </w:r>
    </w:p>
    <w:p w:rsidR="00337CB1" w:rsidRPr="008E12A5" w:rsidRDefault="00337CB1" w:rsidP="0014156B">
      <w:pPr>
        <w:ind w:right="-284"/>
        <w:jc w:val="both"/>
        <w:rPr>
          <w:rFonts w:ascii="Palatino Linotype" w:eastAsia="Palatino Linotype" w:hAnsi="Palatino Linotype" w:cs="Palatino Linotype"/>
          <w:b/>
          <w:bCs/>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337CB1" w:rsidRPr="008E12A5" w:rsidRDefault="00BF5B66" w:rsidP="0014156B">
      <w:pPr>
        <w:spacing w:after="240"/>
        <w:ind w:left="1134" w:right="-284"/>
        <w:jc w:val="both"/>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Constitución Política de los Estados Unidos Mexicanos</w:t>
      </w:r>
    </w:p>
    <w:p w:rsidR="00337CB1" w:rsidRPr="008E12A5" w:rsidRDefault="00BF5B66" w:rsidP="0014156B">
      <w:pPr>
        <w:spacing w:before="240" w:after="240"/>
        <w:ind w:left="1134" w:right="-284"/>
        <w:jc w:val="both"/>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“Artículo 6.</w:t>
      </w:r>
    </w:p>
    <w:p w:rsidR="00337CB1" w:rsidRPr="008E12A5" w:rsidRDefault="00BF5B66" w:rsidP="0014156B">
      <w:pPr>
        <w:spacing w:before="240" w:after="240"/>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w:t>
      </w:r>
    </w:p>
    <w:p w:rsidR="00337CB1" w:rsidRPr="008E12A5" w:rsidRDefault="00BF5B66" w:rsidP="0014156B">
      <w:pPr>
        <w:spacing w:before="240" w:after="240"/>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Para efectos de lo dispuesto en el presente artículo se observará lo siguiente:</w:t>
      </w:r>
    </w:p>
    <w:p w:rsidR="00337CB1" w:rsidRPr="008E12A5" w:rsidRDefault="00BF5B66" w:rsidP="0014156B">
      <w:pPr>
        <w:spacing w:before="240" w:after="240"/>
        <w:ind w:left="1134" w:right="-284"/>
        <w:jc w:val="both"/>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A</w:t>
      </w:r>
      <w:r w:rsidRPr="008E12A5">
        <w:rPr>
          <w:rFonts w:ascii="Palatino Linotype" w:eastAsia="Palatino Linotype" w:hAnsi="Palatino Linotype" w:cs="Palatino Linotype"/>
          <w:i/>
          <w:iCs/>
        </w:rPr>
        <w:t xml:space="preserve">. </w:t>
      </w:r>
      <w:r w:rsidRPr="008E12A5">
        <w:rPr>
          <w:rFonts w:ascii="Palatino Linotype" w:eastAsia="Palatino Linotype" w:hAnsi="Palatino Linotype" w:cs="Palatino Linotype"/>
          <w:b/>
          <w:bCs/>
          <w:i/>
          <w:iCs/>
        </w:rPr>
        <w:t>Para el ejercicio del derecho de acceso a la información</w:t>
      </w:r>
      <w:r w:rsidRPr="008E12A5">
        <w:rPr>
          <w:rFonts w:ascii="Palatino Linotype" w:eastAsia="Palatino Linotype" w:hAnsi="Palatino Linotype" w:cs="Palatino Linotype"/>
          <w:i/>
          <w:iCs/>
        </w:rPr>
        <w:t xml:space="preserve">, la Federación y </w:t>
      </w:r>
      <w:r w:rsidRPr="008E12A5">
        <w:rPr>
          <w:rFonts w:ascii="Palatino Linotype" w:eastAsia="Palatino Linotype" w:hAnsi="Palatino Linotype" w:cs="Palatino Linotype"/>
          <w:b/>
          <w:bCs/>
          <w:i/>
          <w:iCs/>
        </w:rPr>
        <w:t>las entidades federativas, en el ámbito de sus respectivas competencias, se regirán por los siguientes principios y bases:</w:t>
      </w:r>
    </w:p>
    <w:p w:rsidR="00337CB1" w:rsidRPr="008E12A5" w:rsidRDefault="00BF5B66" w:rsidP="0014156B">
      <w:pPr>
        <w:spacing w:before="240" w:after="240"/>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b/>
          <w:bCs/>
          <w:i/>
          <w:iCs/>
        </w:rPr>
        <w:t xml:space="preserve">I. </w:t>
      </w:r>
      <w:r w:rsidRPr="008E12A5">
        <w:rPr>
          <w:rFonts w:ascii="Palatino Linotype" w:eastAsia="Palatino Linotype" w:hAnsi="Palatino Linotype" w:cs="Palatino Linotype"/>
          <w:b/>
          <w:bCs/>
          <w:i/>
          <w:iCs/>
        </w:rPr>
        <w:tab/>
        <w:t>Toda la información en posesión de cualquier</w:t>
      </w:r>
      <w:r w:rsidRPr="008E12A5">
        <w:rPr>
          <w:rFonts w:ascii="Palatino Linotype" w:eastAsia="Palatino Linotype" w:hAnsi="Palatino Linotype" w:cs="Palatino Linotype"/>
          <w:i/>
          <w:iCs/>
        </w:rPr>
        <w:t xml:space="preserve"> </w:t>
      </w:r>
      <w:r w:rsidRPr="008E12A5">
        <w:rPr>
          <w:rFonts w:ascii="Palatino Linotype" w:eastAsia="Palatino Linotype" w:hAnsi="Palatino Linotype" w:cs="Palatino Linotype"/>
          <w:b/>
          <w:bCs/>
          <w:i/>
          <w:iCs/>
        </w:rPr>
        <w:t>autoridad</w:t>
      </w:r>
      <w:r w:rsidRPr="008E12A5">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E12A5">
        <w:rPr>
          <w:rFonts w:ascii="Palatino Linotype" w:eastAsia="Palatino Linotype" w:hAnsi="Palatino Linotype" w:cs="Palatino Linotype"/>
          <w:b/>
          <w:bCs/>
          <w:i/>
          <w:iCs/>
        </w:rPr>
        <w:t>municipal</w:t>
      </w:r>
      <w:r w:rsidRPr="008E12A5">
        <w:rPr>
          <w:rFonts w:ascii="Palatino Linotype" w:eastAsia="Palatino Linotype" w:hAnsi="Palatino Linotype" w:cs="Palatino Linotype"/>
          <w:i/>
          <w:iCs/>
        </w:rPr>
        <w:t xml:space="preserve">, </w:t>
      </w:r>
      <w:r w:rsidRPr="008E12A5">
        <w:rPr>
          <w:rFonts w:ascii="Palatino Linotype" w:eastAsia="Palatino Linotype" w:hAnsi="Palatino Linotype" w:cs="Palatino Linotype"/>
          <w:b/>
          <w:bCs/>
          <w:i/>
          <w:iCs/>
        </w:rPr>
        <w:t>es pública</w:t>
      </w:r>
      <w:r w:rsidRPr="008E12A5">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8E12A5">
        <w:rPr>
          <w:rFonts w:ascii="Palatino Linotype" w:eastAsia="Palatino Linotype" w:hAnsi="Palatino Linotype" w:cs="Palatino Linotype"/>
          <w:b/>
          <w:bCs/>
          <w:i/>
          <w:iCs/>
        </w:rPr>
        <w:t xml:space="preserve">En la interpretación de este derecho deberá prevalecer el principio de máxima </w:t>
      </w:r>
      <w:r w:rsidRPr="008E12A5">
        <w:rPr>
          <w:rFonts w:ascii="Palatino Linotype" w:eastAsia="Palatino Linotype" w:hAnsi="Palatino Linotype" w:cs="Palatino Linotype"/>
          <w:b/>
          <w:bCs/>
          <w:i/>
          <w:iCs/>
        </w:rPr>
        <w:lastRenderedPageBreak/>
        <w:t>publicidad. Los sujetos obligados deberán documentar todo acto que derive del ejercicio de sus facultades, competencias o funciones</w:t>
      </w:r>
      <w:r w:rsidRPr="008E12A5">
        <w:rPr>
          <w:rFonts w:ascii="Palatino Linotype" w:eastAsia="Palatino Linotype" w:hAnsi="Palatino Linotype" w:cs="Palatino Linotype"/>
          <w:i/>
          <w:iCs/>
        </w:rPr>
        <w:t>, la ley determinará los supuestos específicos bajo los cuales procederá la declaración de inexistencia de la información.”</w:t>
      </w:r>
    </w:p>
    <w:p w:rsidR="00337CB1" w:rsidRPr="008E12A5" w:rsidRDefault="00337CB1" w:rsidP="0014156B">
      <w:pPr>
        <w:pBdr>
          <w:top w:val="nil"/>
          <w:left w:val="nil"/>
          <w:bottom w:val="nil"/>
          <w:right w:val="nil"/>
          <w:between w:val="nil"/>
        </w:pBdr>
        <w:tabs>
          <w:tab w:val="left" w:pos="567"/>
        </w:tabs>
        <w:spacing w:before="240" w:after="240"/>
        <w:ind w:left="1134" w:right="-284"/>
        <w:jc w:val="both"/>
        <w:rPr>
          <w:rFonts w:ascii="Palatino Linotype" w:eastAsia="Palatino Linotype" w:hAnsi="Palatino Linotype" w:cs="Palatino Linotype"/>
          <w:b/>
          <w:bCs/>
          <w:i/>
          <w:iCs/>
          <w:color w:val="000000"/>
        </w:rPr>
      </w:pPr>
    </w:p>
    <w:p w:rsidR="00337CB1" w:rsidRPr="008E12A5" w:rsidRDefault="00BF5B66" w:rsidP="0014156B">
      <w:pPr>
        <w:spacing w:before="240" w:after="240"/>
        <w:ind w:left="1134" w:right="-284"/>
        <w:jc w:val="both"/>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Constitución Política del Estado Libre y Soberano de México</w:t>
      </w:r>
    </w:p>
    <w:p w:rsidR="00337CB1" w:rsidRPr="008E12A5" w:rsidRDefault="00BF5B66" w:rsidP="0014156B">
      <w:pPr>
        <w:spacing w:before="240" w:after="240"/>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b/>
          <w:bCs/>
          <w:i/>
          <w:iCs/>
        </w:rPr>
        <w:t>“Artículo 5</w:t>
      </w:r>
      <w:r w:rsidRPr="008E12A5">
        <w:rPr>
          <w:rFonts w:ascii="Palatino Linotype" w:eastAsia="Palatino Linotype" w:hAnsi="Palatino Linotype" w:cs="Palatino Linotype"/>
          <w:i/>
          <w:iCs/>
        </w:rPr>
        <w:t xml:space="preserve">.- </w:t>
      </w:r>
    </w:p>
    <w:p w:rsidR="00337CB1" w:rsidRPr="008E12A5" w:rsidRDefault="00BF5B66" w:rsidP="0014156B">
      <w:pPr>
        <w:spacing w:before="240" w:after="240"/>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w:t>
      </w:r>
    </w:p>
    <w:p w:rsidR="00337CB1" w:rsidRPr="008E12A5" w:rsidRDefault="00BF5B66" w:rsidP="0014156B">
      <w:pPr>
        <w:spacing w:before="240" w:after="240"/>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8E12A5">
        <w:rPr>
          <w:rFonts w:ascii="Palatino Linotype" w:eastAsia="Palatino Linotype" w:hAnsi="Palatino Linotype" w:cs="Palatino Linotype"/>
          <w:i/>
          <w:iCs/>
        </w:rPr>
        <w:t>.</w:t>
      </w:r>
    </w:p>
    <w:p w:rsidR="00337CB1" w:rsidRPr="008E12A5" w:rsidRDefault="00BF5B66" w:rsidP="0014156B">
      <w:pPr>
        <w:spacing w:before="240" w:after="240"/>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37CB1" w:rsidRPr="008E12A5" w:rsidRDefault="00BF5B66" w:rsidP="0014156B">
      <w:pPr>
        <w:spacing w:before="240" w:after="240"/>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b/>
          <w:bCs/>
          <w:i/>
          <w:iCs/>
        </w:rPr>
        <w:t>Este derecho se regirá por los principios y bases siguientes</w:t>
      </w:r>
      <w:r w:rsidRPr="008E12A5">
        <w:rPr>
          <w:rFonts w:ascii="Palatino Linotype" w:eastAsia="Palatino Linotype" w:hAnsi="Palatino Linotype" w:cs="Palatino Linotype"/>
          <w:i/>
          <w:iCs/>
        </w:rPr>
        <w:t>:</w:t>
      </w:r>
    </w:p>
    <w:p w:rsidR="00337CB1" w:rsidRPr="008E12A5" w:rsidRDefault="00BF5B66" w:rsidP="0014156B">
      <w:pPr>
        <w:spacing w:before="240" w:after="240"/>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b/>
          <w:bCs/>
          <w:i/>
          <w:iCs/>
        </w:rPr>
        <w:t>I. Toda la información en posesión de cualquier autoridad, entidad, órgano y organismos de los</w:t>
      </w:r>
      <w:r w:rsidRPr="008E12A5">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8E12A5">
        <w:rPr>
          <w:rFonts w:ascii="Palatino Linotype" w:eastAsia="Palatino Linotype" w:hAnsi="Palatino Linotype" w:cs="Palatino Linotype"/>
          <w:b/>
          <w:bCs/>
          <w:i/>
          <w:iCs/>
        </w:rPr>
        <w:t>municipales</w:t>
      </w:r>
      <w:r w:rsidRPr="008E12A5">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E12A5">
        <w:rPr>
          <w:rFonts w:ascii="Palatino Linotype" w:eastAsia="Palatino Linotype" w:hAnsi="Palatino Linotype" w:cs="Palatino Linotype"/>
          <w:b/>
          <w:bCs/>
          <w:i/>
          <w:iCs/>
        </w:rPr>
        <w:t>es pública</w:t>
      </w:r>
      <w:r w:rsidRPr="008E12A5">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8E12A5">
        <w:rPr>
          <w:rFonts w:ascii="Palatino Linotype" w:eastAsia="Palatino Linotype" w:hAnsi="Palatino Linotype" w:cs="Palatino Linotype"/>
          <w:b/>
          <w:bCs/>
          <w:i/>
          <w:iCs/>
        </w:rPr>
        <w:t>En la interpretación de este derecho deberá prevalecer el principio de máxima publicidad</w:t>
      </w:r>
      <w:r w:rsidRPr="008E12A5">
        <w:rPr>
          <w:rFonts w:ascii="Palatino Linotype" w:eastAsia="Palatino Linotype" w:hAnsi="Palatino Linotype" w:cs="Palatino Linotype"/>
          <w:i/>
          <w:iCs/>
        </w:rPr>
        <w:t xml:space="preserve">. </w:t>
      </w:r>
      <w:r w:rsidRPr="008E12A5">
        <w:rPr>
          <w:rFonts w:ascii="Palatino Linotype" w:eastAsia="Palatino Linotype" w:hAnsi="Palatino Linotype" w:cs="Palatino Linotype"/>
          <w:b/>
          <w:bCs/>
          <w:i/>
          <w:iCs/>
        </w:rPr>
        <w:t>Los sujetos obligados deberán documentar todo acto que derive del ejercicio de sus facultades, competencias o funciones</w:t>
      </w:r>
      <w:r w:rsidRPr="008E12A5">
        <w:rPr>
          <w:rFonts w:ascii="Palatino Linotype" w:eastAsia="Palatino Linotype" w:hAnsi="Palatino Linotype" w:cs="Palatino Linotype"/>
          <w:i/>
          <w:iCs/>
        </w:rPr>
        <w:t>, la ley determinará los supuestos específicos bajo los cuales procederá la declaración de inexistencia de la información.”</w:t>
      </w:r>
    </w:p>
    <w:p w:rsidR="00337CB1" w:rsidRPr="008E12A5" w:rsidRDefault="00337CB1" w:rsidP="0014156B">
      <w:pPr>
        <w:tabs>
          <w:tab w:val="left" w:pos="567"/>
        </w:tabs>
        <w:spacing w:before="240" w:after="240"/>
        <w:ind w:right="-284"/>
        <w:jc w:val="both"/>
        <w:rPr>
          <w:rFonts w:ascii="Palatino Linotype" w:eastAsia="Palatino Linotype" w:hAnsi="Palatino Linotype" w:cs="Palatino Linotype"/>
          <w:b/>
          <w:bCs/>
          <w:i/>
          <w:iCs/>
        </w:rPr>
      </w:pPr>
    </w:p>
    <w:p w:rsidR="00337CB1" w:rsidRPr="008E12A5" w:rsidRDefault="00BF5B66" w:rsidP="0014156B">
      <w:pPr>
        <w:numPr>
          <w:ilvl w:val="0"/>
          <w:numId w:val="3"/>
        </w:numPr>
        <w:spacing w:before="240" w:line="360" w:lineRule="auto"/>
        <w:ind w:left="0" w:right="-284" w:firstLine="0"/>
        <w:jc w:val="both"/>
      </w:pPr>
      <w:r w:rsidRPr="008E12A5">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sidRPr="008E12A5">
        <w:rPr>
          <w:rFonts w:ascii="Palatino Linotype" w:eastAsia="Palatino Linotype" w:hAnsi="Palatino Linotype" w:cs="Palatino Linotype"/>
          <w:i/>
          <w:iCs/>
        </w:rPr>
        <w:t>por los principios de simplicidad, rapidez gratuidad del procedimiento, auxilio y orientación a los particulares</w:t>
      </w:r>
      <w:r w:rsidRPr="008E12A5">
        <w:rPr>
          <w:rFonts w:ascii="Palatino Linotype" w:eastAsia="Palatino Linotype" w:hAnsi="Palatino Linotype" w:cs="Palatino Linotype"/>
        </w:rPr>
        <w:t>, contemplando el derecho de las personas con discapacidad y hablantes de lengua indígena.</w:t>
      </w:r>
    </w:p>
    <w:p w:rsidR="00337CB1" w:rsidRPr="008E12A5" w:rsidRDefault="00337CB1" w:rsidP="0014156B">
      <w:pPr>
        <w:spacing w:before="240"/>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 xml:space="preserve">El Derecho de Acceso a la Información se garantiza y respeta oportunamente, y según lo que dispone la Ley, las </w:t>
      </w:r>
      <w:r w:rsidRPr="008E12A5">
        <w:rPr>
          <w:rFonts w:ascii="Palatino Linotype" w:eastAsia="Palatino Linotype" w:hAnsi="Palatino Linotype" w:cs="Palatino Linotype"/>
          <w:i/>
          <w:iCs/>
        </w:rPr>
        <w:t>solicitudes de acceso a la información</w:t>
      </w:r>
      <w:r w:rsidRPr="008E12A5">
        <w:rPr>
          <w:rFonts w:ascii="Palatino Linotype" w:eastAsia="Palatino Linotype" w:hAnsi="Palatino Linotype" w:cs="Palatino Linotype"/>
        </w:rPr>
        <w:t>.</w:t>
      </w:r>
    </w:p>
    <w:p w:rsidR="00337CB1" w:rsidRPr="008E12A5" w:rsidRDefault="00337CB1" w:rsidP="0014156B">
      <w:pPr>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 xml:space="preserve">Así entonces, se procede analizar, en primer lugar, si el </w:t>
      </w:r>
      <w:r w:rsidRPr="008E12A5">
        <w:rPr>
          <w:rFonts w:ascii="Palatino Linotype" w:eastAsia="Palatino Linotype" w:hAnsi="Palatino Linotype" w:cs="Palatino Linotype"/>
          <w:b/>
          <w:bCs/>
        </w:rPr>
        <w:t>SUJETO OBLIGADO</w:t>
      </w:r>
      <w:r w:rsidRPr="008E12A5">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rPr>
      </w:pPr>
    </w:p>
    <w:p w:rsidR="00337CB1" w:rsidRPr="008E12A5" w:rsidRDefault="00BF5B66" w:rsidP="0014156B">
      <w:pPr>
        <w:pStyle w:val="Ttulo1"/>
        <w:spacing w:before="0" w:after="240"/>
        <w:ind w:right="-284"/>
        <w:rPr>
          <w:rFonts w:ascii="Palatino Linotype" w:eastAsia="Palatino Linotype" w:hAnsi="Palatino Linotype" w:cs="Palatino Linotype"/>
          <w:b/>
          <w:bCs/>
          <w:color w:val="000000"/>
          <w:sz w:val="24"/>
          <w:szCs w:val="24"/>
        </w:rPr>
      </w:pPr>
      <w:bookmarkStart w:id="11" w:name="_heading=h.26in1rg" w:colFirst="0" w:colLast="0"/>
      <w:bookmarkEnd w:id="11"/>
      <w:r w:rsidRPr="008E12A5">
        <w:rPr>
          <w:rFonts w:ascii="Palatino Linotype" w:eastAsia="Palatino Linotype" w:hAnsi="Palatino Linotype" w:cs="Palatino Linotype"/>
          <w:b/>
          <w:bCs/>
          <w:color w:val="000000"/>
          <w:sz w:val="24"/>
          <w:szCs w:val="24"/>
        </w:rPr>
        <w:t>II. De la información solicitada y la respuesta del SUJETO OBLIGADO</w:t>
      </w: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color w:val="000000"/>
        </w:rPr>
        <w:t xml:space="preserve">Acotada la </w:t>
      </w:r>
      <w:r w:rsidRPr="008E12A5">
        <w:rPr>
          <w:rFonts w:ascii="Palatino Linotype" w:eastAsia="Palatino Linotype" w:hAnsi="Palatino Linotype" w:cs="Palatino Linotype"/>
          <w:i/>
          <w:iCs/>
          <w:color w:val="000000"/>
        </w:rPr>
        <w:t>Litis</w:t>
      </w:r>
      <w:r w:rsidRPr="008E12A5">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 la entrega incompleta de  la  información.</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En ese sentido, es importante reiterar la información requerida por el particular, la respuesta otorgada por el Sujeto Obligado y su cumplimiento desglosado en la siguiente tabla:</w:t>
      </w:r>
    </w:p>
    <w:p w:rsidR="008E12A5" w:rsidRDefault="008E12A5" w:rsidP="008E12A5">
      <w:pPr>
        <w:pStyle w:val="Prrafodelista"/>
      </w:pPr>
    </w:p>
    <w:p w:rsidR="008E12A5" w:rsidRPr="008E12A5" w:rsidRDefault="008E12A5" w:rsidP="008E12A5">
      <w:pPr>
        <w:spacing w:line="360" w:lineRule="auto"/>
        <w:ind w:right="-284"/>
        <w:jc w:val="both"/>
      </w:pPr>
    </w:p>
    <w:tbl>
      <w:tblPr>
        <w:tblStyle w:val="a"/>
        <w:tblW w:w="9540" w:type="dxa"/>
        <w:jc w:val="center"/>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3285"/>
        <w:gridCol w:w="3420"/>
        <w:gridCol w:w="2835"/>
      </w:tblGrid>
      <w:tr w:rsidR="00337CB1" w:rsidRPr="008E12A5" w:rsidTr="00337C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85" w:type="dxa"/>
          </w:tcPr>
          <w:p w:rsidR="00337CB1" w:rsidRPr="008E12A5" w:rsidRDefault="00BF5B66" w:rsidP="0014156B">
            <w:pPr>
              <w:spacing w:line="360" w:lineRule="auto"/>
              <w:ind w:right="-284"/>
              <w:jc w:val="center"/>
              <w:rPr>
                <w:rFonts w:ascii="Palatino Linotype" w:eastAsia="Palatino Linotype" w:hAnsi="Palatino Linotype" w:cs="Palatino Linotype"/>
              </w:rPr>
            </w:pPr>
            <w:r w:rsidRPr="008E12A5">
              <w:rPr>
                <w:rFonts w:ascii="Palatino Linotype" w:eastAsia="Palatino Linotype" w:hAnsi="Palatino Linotype" w:cs="Palatino Linotype"/>
              </w:rPr>
              <w:lastRenderedPageBreak/>
              <w:t>SOLICITUD</w:t>
            </w:r>
          </w:p>
        </w:tc>
        <w:tc>
          <w:tcPr>
            <w:tcW w:w="3420" w:type="dxa"/>
          </w:tcPr>
          <w:p w:rsidR="00337CB1" w:rsidRPr="008E12A5" w:rsidRDefault="00BF5B66" w:rsidP="0014156B">
            <w:pPr>
              <w:spacing w:line="360" w:lineRule="auto"/>
              <w:ind w:right="-284"/>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REQUERIMIENTO</w:t>
            </w:r>
          </w:p>
        </w:tc>
        <w:tc>
          <w:tcPr>
            <w:tcW w:w="2835" w:type="dxa"/>
            <w:vAlign w:val="center"/>
          </w:tcPr>
          <w:p w:rsidR="00337CB1" w:rsidRPr="008E12A5" w:rsidRDefault="00BF5B66" w:rsidP="0014156B">
            <w:pPr>
              <w:spacing w:line="360" w:lineRule="auto"/>
              <w:ind w:right="-284"/>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CUMPLIMIENTO</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1. El Programa Municipal de Seguridad Pública</w:t>
            </w:r>
          </w:p>
        </w:tc>
        <w:tc>
          <w:tcPr>
            <w:tcW w:w="3420" w:type="dxa"/>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Refiere que se encuentra en trámite</w:t>
            </w:r>
          </w:p>
        </w:tc>
        <w:tc>
          <w:tcPr>
            <w:tcW w:w="2835" w:type="dxa"/>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NO</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shd w:val="clear" w:color="auto" w:fill="E7E6E6"/>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2. Acta de sesión de cabildo en el que fue presentado</w:t>
            </w:r>
          </w:p>
        </w:tc>
        <w:tc>
          <w:tcPr>
            <w:tcW w:w="3420" w:type="dxa"/>
            <w:shd w:val="clear" w:color="auto" w:fill="E7E6E6"/>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Entregó Acta de cabildo donde se aprobó el nombramiento del Director de Seguridad Pública en funciones a la fecha de la solicitud.</w:t>
            </w:r>
          </w:p>
        </w:tc>
        <w:tc>
          <w:tcPr>
            <w:tcW w:w="2835" w:type="dxa"/>
            <w:shd w:val="clear" w:color="auto" w:fill="E7E6E6"/>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NO</w:t>
            </w:r>
          </w:p>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8E12A5">
              <w:rPr>
                <w:rFonts w:ascii="Palatino Linotype" w:eastAsia="Palatino Linotype" w:hAnsi="Palatino Linotype" w:cs="Palatino Linotype"/>
                <w:i/>
                <w:iCs/>
              </w:rPr>
              <w:t>Presentó información diversa a la requerida por el particular.</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3. Oficio de validación/autorización del programa Municipal de Seguridad Pública de las instituciones estatales correspondientes.</w:t>
            </w:r>
          </w:p>
        </w:tc>
        <w:tc>
          <w:tcPr>
            <w:tcW w:w="3420" w:type="dxa"/>
            <w:vAlign w:val="center"/>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Refiere que se encuentra en trámite</w:t>
            </w:r>
          </w:p>
        </w:tc>
        <w:tc>
          <w:tcPr>
            <w:tcW w:w="2835" w:type="dxa"/>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NO</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shd w:val="clear" w:color="auto" w:fill="E7E6E6"/>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4. El Reglamento de Seguridad Pública</w:t>
            </w:r>
          </w:p>
        </w:tc>
        <w:tc>
          <w:tcPr>
            <w:tcW w:w="3420" w:type="dxa"/>
            <w:shd w:val="clear" w:color="auto" w:fill="E7E6E6"/>
            <w:vAlign w:val="center"/>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Entrega liga electrónica en formato cerrado para su consulta</w:t>
            </w:r>
          </w:p>
        </w:tc>
        <w:tc>
          <w:tcPr>
            <w:tcW w:w="2835" w:type="dxa"/>
            <w:shd w:val="clear" w:color="auto" w:fill="E7E6E6"/>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NO</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5. Diagnóstico Municipal de Seguridad Pública en consideración de la siguiente información:  Estadísticas por colonia, mapas de calor, violencia de género (desagregado por tipo), delitos patrimoniales, consumo de sustancias, indicadores de atención a llamadas de emergencia del Centro de Mando; del año 2022, 2023, 2024, 2025, y del mes de enero de 2026.</w:t>
            </w:r>
          </w:p>
        </w:tc>
        <w:tc>
          <w:tcPr>
            <w:tcW w:w="3420" w:type="dxa"/>
            <w:vAlign w:val="center"/>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Refirió la entrega para los años 2022, 2023, 2024, y 2025, sin embargo fue omiso en remitirlas, respecto a enero de 2026 refirió no contar con tales estadísticas</w:t>
            </w:r>
          </w:p>
        </w:tc>
        <w:tc>
          <w:tcPr>
            <w:tcW w:w="2835" w:type="dxa"/>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NO</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shd w:val="clear" w:color="auto" w:fill="E7E6E6"/>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lastRenderedPageBreak/>
              <w:t>6. Área encargada de la integración de la información.</w:t>
            </w:r>
          </w:p>
        </w:tc>
        <w:tc>
          <w:tcPr>
            <w:tcW w:w="3420" w:type="dxa"/>
            <w:shd w:val="clear" w:color="auto" w:fill="E7E6E6"/>
            <w:vAlign w:val="center"/>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Refiere que la información es administrada por Sujeto Obligado Diverso</w:t>
            </w:r>
          </w:p>
        </w:tc>
        <w:tc>
          <w:tcPr>
            <w:tcW w:w="2835" w:type="dxa"/>
            <w:shd w:val="clear" w:color="auto" w:fill="E7E6E6"/>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8E12A5">
              <w:rPr>
                <w:rFonts w:ascii="Palatino Linotype" w:eastAsia="Palatino Linotype" w:hAnsi="Palatino Linotype" w:cs="Palatino Linotype"/>
                <w:i/>
                <w:iCs/>
              </w:rPr>
              <w:t>NO</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7. Perfil del o los servidores públicos responsables de la clasificación, integración y análisis de la información estadística.</w:t>
            </w:r>
          </w:p>
        </w:tc>
        <w:tc>
          <w:tcPr>
            <w:tcW w:w="3420" w:type="dxa"/>
            <w:vAlign w:val="center"/>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Refiere no contar con personal</w:t>
            </w:r>
          </w:p>
        </w:tc>
        <w:tc>
          <w:tcPr>
            <w:tcW w:w="2835" w:type="dxa"/>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8E12A5">
              <w:rPr>
                <w:rFonts w:ascii="Palatino Linotype" w:eastAsia="Palatino Linotype" w:hAnsi="Palatino Linotype" w:cs="Palatino Linotype"/>
                <w:i/>
                <w:iCs/>
              </w:rPr>
              <w:t>SI</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shd w:val="clear" w:color="auto" w:fill="E7E6E6"/>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8. Organigrama de la Dirección Municipal de Seguridad Pública</w:t>
            </w:r>
          </w:p>
        </w:tc>
        <w:tc>
          <w:tcPr>
            <w:tcW w:w="3420" w:type="dxa"/>
            <w:shd w:val="clear" w:color="auto" w:fill="E7E6E6"/>
            <w:vAlign w:val="center"/>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Entregó liga electrónica en formato cerrado para su consulta</w:t>
            </w:r>
          </w:p>
        </w:tc>
        <w:tc>
          <w:tcPr>
            <w:tcW w:w="2835" w:type="dxa"/>
            <w:shd w:val="clear" w:color="auto" w:fill="E7E6E6"/>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NO</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9. Perfil académico, laboral, certificaciones vigentes, experiencia policial del Titular de Seguridad Pública, de los Directores de Área, Subdirectores, Jefes de Departamento, Jefes de turno según corresponda.</w:t>
            </w:r>
          </w:p>
        </w:tc>
        <w:tc>
          <w:tcPr>
            <w:tcW w:w="3420" w:type="dxa"/>
            <w:vAlign w:val="center"/>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Entrega CV del Director de Seguridad Pública Municipal</w:t>
            </w:r>
          </w:p>
        </w:tc>
        <w:tc>
          <w:tcPr>
            <w:tcW w:w="2835" w:type="dxa"/>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PARCIALMENTE</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shd w:val="clear" w:color="auto" w:fill="E7E6E6"/>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10. Nombramiento del Titular de Seguridad Pública, de los Directores de Área, Subdirectores y Jefes de Departamento, Jefes de turno según corresponda.</w:t>
            </w:r>
          </w:p>
        </w:tc>
        <w:tc>
          <w:tcPr>
            <w:tcW w:w="3420" w:type="dxa"/>
            <w:shd w:val="clear" w:color="auto" w:fill="E7E6E6"/>
            <w:vAlign w:val="center"/>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Entrega nombramiento del Director de Seguridad Pública Municipal</w:t>
            </w:r>
          </w:p>
        </w:tc>
        <w:tc>
          <w:tcPr>
            <w:tcW w:w="2835" w:type="dxa"/>
            <w:shd w:val="clear" w:color="auto" w:fill="E7E6E6"/>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8E12A5">
              <w:rPr>
                <w:rFonts w:ascii="Palatino Linotype" w:eastAsia="Palatino Linotype" w:hAnsi="Palatino Linotype" w:cs="Palatino Linotype"/>
                <w:i/>
                <w:iCs/>
              </w:rPr>
              <w:t>PARCIAL</w:t>
            </w:r>
          </w:p>
        </w:tc>
      </w:tr>
      <w:tr w:rsidR="00337CB1" w:rsidRPr="008E12A5" w:rsidTr="00337CB1">
        <w:trPr>
          <w:jc w:val="center"/>
        </w:trPr>
        <w:tc>
          <w:tcPr>
            <w:cnfStyle w:val="001000000000" w:firstRow="0" w:lastRow="0" w:firstColumn="1" w:lastColumn="0" w:oddVBand="0" w:evenVBand="0" w:oddHBand="0" w:evenHBand="0" w:firstRowFirstColumn="0" w:firstRowLastColumn="0" w:lastRowFirstColumn="0" w:lastRowLastColumn="0"/>
            <w:tcW w:w="3285" w:type="dxa"/>
            <w:vAlign w:val="center"/>
          </w:tcPr>
          <w:p w:rsidR="00337CB1" w:rsidRPr="008E12A5" w:rsidRDefault="00BF5B66" w:rsidP="008E12A5">
            <w:pPr>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11. En caso de extitulares que hayan laborado en el periodo 2025, Subdirectores, Jefes de Departamento, Jefes de turno, integrar la información de su perfil académico, laboral y experiencia policial en diversos ámbitos institucionales.</w:t>
            </w:r>
          </w:p>
        </w:tc>
        <w:tc>
          <w:tcPr>
            <w:tcW w:w="3420" w:type="dxa"/>
            <w:vAlign w:val="center"/>
          </w:tcPr>
          <w:p w:rsidR="00337CB1" w:rsidRPr="008E12A5" w:rsidRDefault="00BF5B66" w:rsidP="008E12A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E12A5">
              <w:rPr>
                <w:rFonts w:ascii="Palatino Linotype" w:eastAsia="Palatino Linotype" w:hAnsi="Palatino Linotype" w:cs="Palatino Linotype"/>
              </w:rPr>
              <w:t>Refirió la reserva de la información.</w:t>
            </w:r>
          </w:p>
        </w:tc>
        <w:tc>
          <w:tcPr>
            <w:tcW w:w="2835" w:type="dxa"/>
            <w:vAlign w:val="center"/>
          </w:tcPr>
          <w:p w:rsidR="00337CB1" w:rsidRPr="008E12A5" w:rsidRDefault="00BF5B66" w:rsidP="008E12A5">
            <w:pPr>
              <w:ind w:right="81"/>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8E12A5">
              <w:rPr>
                <w:rFonts w:ascii="Palatino Linotype" w:eastAsia="Palatino Linotype" w:hAnsi="Palatino Linotype" w:cs="Palatino Linotype"/>
                <w:i/>
                <w:iCs/>
              </w:rPr>
              <w:t>NO</w:t>
            </w:r>
          </w:p>
        </w:tc>
      </w:tr>
    </w:tbl>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color w:val="000000"/>
        </w:rPr>
        <w:lastRenderedPageBreak/>
        <w:t xml:space="preserve">A más de lo anterior, es de explorado derecho que este Instituto no se encuentra facultado para dudar de la veracidad de la </w:t>
      </w:r>
      <w:r w:rsidRPr="008E12A5">
        <w:rPr>
          <w:rFonts w:ascii="Palatino Linotype" w:eastAsia="Palatino Linotype" w:hAnsi="Palatino Linotype" w:cs="Palatino Linotype"/>
        </w:rPr>
        <w:t>información</w:t>
      </w:r>
      <w:r w:rsidRPr="008E12A5">
        <w:rPr>
          <w:rFonts w:ascii="Palatino Linotype" w:eastAsia="Palatino Linotype" w:hAnsi="Palatino Linotype" w:cs="Palatino Linotype"/>
          <w:color w:val="000000"/>
        </w:rPr>
        <w:t xml:space="preserve"> que le fue entregada al hoy </w:t>
      </w:r>
      <w:r w:rsidRPr="008E12A5">
        <w:rPr>
          <w:rFonts w:ascii="Palatino Linotype" w:eastAsia="Palatino Linotype" w:hAnsi="Palatino Linotype" w:cs="Palatino Linotype"/>
          <w:b/>
          <w:bCs/>
          <w:color w:val="000000"/>
        </w:rPr>
        <w:t>RECURRENTE</w:t>
      </w:r>
      <w:r w:rsidRPr="008E12A5">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Pr="008E12A5">
        <w:rPr>
          <w:rFonts w:ascii="Palatino Linotype" w:eastAsia="Palatino Linotype" w:hAnsi="Palatino Linotype" w:cs="Palatino Linotype"/>
        </w:rPr>
        <w:t xml:space="preserve">situación que se aleja de las atribuciones de este Instituto </w:t>
      </w:r>
      <w:r w:rsidRPr="008E12A5">
        <w:rPr>
          <w:rFonts w:ascii="Palatino Linotype" w:eastAsia="Palatino Linotype" w:hAnsi="Palatino Linotype" w:cs="Palatino Linotype"/>
          <w:i/>
          <w:iCs/>
          <w:color w:val="000000"/>
        </w:rPr>
        <w:t>máxime</w:t>
      </w:r>
      <w:r w:rsidRPr="008E12A5">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337CB1" w:rsidRPr="008E12A5" w:rsidRDefault="00337CB1" w:rsidP="0014156B">
      <w:pPr>
        <w:pBdr>
          <w:top w:val="nil"/>
          <w:left w:val="nil"/>
          <w:bottom w:val="nil"/>
          <w:right w:val="nil"/>
          <w:between w:val="nil"/>
        </w:pBdr>
        <w:spacing w:line="360" w:lineRule="auto"/>
        <w:ind w:right="-284"/>
        <w:rPr>
          <w:rFonts w:ascii="Palatino Linotype" w:eastAsia="Palatino Linotype" w:hAnsi="Palatino Linotype" w:cs="Palatino Linotype"/>
          <w:color w:val="000000"/>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 xml:space="preserve">Sirviendo de apoyo a lo anterior por analogía, el criterio 31-10 emitido por el entonces Instituto </w:t>
      </w:r>
      <w:r w:rsidRPr="008E12A5">
        <w:rPr>
          <w:rFonts w:ascii="Palatino Linotype" w:eastAsia="Palatino Linotype" w:hAnsi="Palatino Linotype" w:cs="Palatino Linotype"/>
          <w:color w:val="000000"/>
        </w:rPr>
        <w:t>Nacional</w:t>
      </w:r>
      <w:r w:rsidRPr="008E12A5">
        <w:rPr>
          <w:rFonts w:ascii="Palatino Linotype" w:eastAsia="Palatino Linotype" w:hAnsi="Palatino Linotype" w:cs="Palatino Linotype"/>
        </w:rPr>
        <w:t xml:space="preserve"> de Transparencia, Acceso a la Información y Protección de Datos Personales, que a la letra dice:</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“El Instituto Federal de Acceso a la Información y Protección de Datos </w:t>
      </w:r>
      <w:r w:rsidRPr="008E12A5">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sidRPr="008E12A5">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i/>
          <w:iCs/>
          <w:color w:val="000000"/>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lastRenderedPageBreak/>
        <w:t xml:space="preserve">Así como lo dispuesto por la </w:t>
      </w:r>
      <w:r w:rsidRPr="008E12A5">
        <w:rPr>
          <w:rFonts w:ascii="Palatino Linotype" w:eastAsia="Palatino Linotype" w:hAnsi="Palatino Linotype" w:cs="Palatino Linotype"/>
          <w:b/>
          <w:bCs/>
        </w:rPr>
        <w:t xml:space="preserve">Ley de Transparencia y Acceso a la Información Pública del </w:t>
      </w:r>
      <w:r w:rsidRPr="008E12A5">
        <w:rPr>
          <w:rFonts w:ascii="Palatino Linotype" w:eastAsia="Palatino Linotype" w:hAnsi="Palatino Linotype" w:cs="Palatino Linotype"/>
          <w:color w:val="000000"/>
        </w:rPr>
        <w:t>Estado</w:t>
      </w:r>
      <w:r w:rsidRPr="008E12A5">
        <w:rPr>
          <w:rFonts w:ascii="Palatino Linotype" w:eastAsia="Palatino Linotype" w:hAnsi="Palatino Linotype" w:cs="Palatino Linotype"/>
          <w:b/>
          <w:bCs/>
        </w:rPr>
        <w:t xml:space="preserve"> de México y Municipios</w:t>
      </w:r>
      <w:r w:rsidRPr="008E12A5">
        <w:rPr>
          <w:rFonts w:ascii="Palatino Linotype" w:eastAsia="Palatino Linotype" w:hAnsi="Palatino Linotype" w:cs="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337CB1" w:rsidRPr="008E12A5" w:rsidRDefault="00BF5B66" w:rsidP="0014156B">
      <w:pPr>
        <w:pBdr>
          <w:top w:val="nil"/>
          <w:left w:val="nil"/>
          <w:bottom w:val="nil"/>
          <w:right w:val="nil"/>
          <w:between w:val="nil"/>
        </w:pBdr>
        <w:tabs>
          <w:tab w:val="left" w:pos="7938"/>
        </w:tabs>
        <w:spacing w:line="276"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8E12A5">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b/>
          <w:bCs/>
          <w:i/>
          <w:iCs/>
          <w:color w:val="000000"/>
        </w:rPr>
      </w:pPr>
    </w:p>
    <w:p w:rsidR="00337CB1" w:rsidRPr="008E12A5" w:rsidRDefault="00BF5B66" w:rsidP="0014156B">
      <w:pPr>
        <w:numPr>
          <w:ilvl w:val="0"/>
          <w:numId w:val="3"/>
        </w:numPr>
        <w:spacing w:line="360" w:lineRule="auto"/>
        <w:ind w:left="0" w:right="-284" w:firstLine="0"/>
        <w:jc w:val="both"/>
        <w:rPr>
          <w:color w:val="000000"/>
        </w:rPr>
      </w:pPr>
      <w:r w:rsidRPr="008E12A5">
        <w:rPr>
          <w:rFonts w:ascii="Palatino Linotype" w:eastAsia="Palatino Linotype" w:hAnsi="Palatino Linotype" w:cs="Palatino Linotype"/>
        </w:rPr>
        <w:t xml:space="preserve">Numerales que compelen al </w:t>
      </w:r>
      <w:r w:rsidRPr="008E12A5">
        <w:rPr>
          <w:rFonts w:ascii="Palatino Linotype" w:eastAsia="Palatino Linotype" w:hAnsi="Palatino Linotype" w:cs="Palatino Linotype"/>
          <w:b/>
          <w:bCs/>
        </w:rPr>
        <w:t>SUJETO OBLIGADO</w:t>
      </w:r>
      <w:r w:rsidRPr="008E12A5">
        <w:rPr>
          <w:rFonts w:ascii="Palatino Linotype" w:eastAsia="Palatino Linotype" w:hAnsi="Palatino Linotype" w:cs="Palatino Linotype"/>
        </w:rPr>
        <w:t xml:space="preserve"> apegarse en todo momento a los criterios ya expuestos, impidiendo a este Órgano Colegiado cuestionar la veracidad de la información.</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Resulta importante establecer, que el servidor público habilitado que emitió la respuesta en cita y admite ser poseedor de la información, por lo cual, no es necesario estudiar si este es competente para conocer y en su caso dar respuesta a la solicitud, pues al mencionar que pone a disposición la información solicitada, esté reconoce contar con la misma.</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lastRenderedPageBreak/>
        <w:t xml:space="preserve">Al respecto, se precisa que se obvia el análisis de la competencia por parte del </w:t>
      </w:r>
      <w:r w:rsidRPr="008E12A5">
        <w:rPr>
          <w:rFonts w:ascii="Palatino Linotype" w:eastAsia="Palatino Linotype" w:hAnsi="Palatino Linotype" w:cs="Palatino Linotype"/>
          <w:b/>
          <w:bCs/>
        </w:rPr>
        <w:t>SUJETO OBLIGADO</w:t>
      </w:r>
      <w:r w:rsidRPr="008E12A5">
        <w:rPr>
          <w:rFonts w:ascii="Palatino Linotype" w:eastAsia="Palatino Linotype" w:hAnsi="Palatino Linotype" w:cs="Palatino Linotype"/>
        </w:rPr>
        <w:t>, para generar, administrar o poseer la información solicitada, dado que éste ha asumido la misma, en razón de que en su respuesta admitió contar con dicha información.</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“Artículo 12. Quienes generen, recopilen, administren, manejen, procesen, archiven o conserven información pública serán responsables de la misma en los términos de las disposiciones jurídicas aplicables.”</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 efectuar cálculos o practicar investigaciones.”</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 xml:space="preserve">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w:t>
      </w:r>
      <w:r w:rsidRPr="008E12A5">
        <w:rPr>
          <w:rFonts w:ascii="Palatino Linotype" w:eastAsia="Palatino Linotype" w:hAnsi="Palatino Linotype" w:cs="Palatino Linotype"/>
        </w:rPr>
        <w:lastRenderedPageBreak/>
        <w:t>administra, en ejercicio de sus funciones de derecho público, motivo por el cual, se actualiza el supuesto jurídico, previsto en el artículo 12 de la Ley de la materia, anteriormente referido.</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pBdr>
          <w:top w:val="nil"/>
          <w:left w:val="nil"/>
          <w:bottom w:val="nil"/>
          <w:right w:val="nil"/>
          <w:between w:val="nil"/>
        </w:pBdr>
        <w:spacing w:line="360" w:lineRule="auto"/>
        <w:ind w:left="0" w:right="-284" w:firstLine="0"/>
        <w:rPr>
          <w:color w:val="000000"/>
        </w:rPr>
      </w:pPr>
      <w:r w:rsidRPr="008E12A5">
        <w:rPr>
          <w:rFonts w:ascii="Palatino Linotype" w:eastAsia="Palatino Linotype" w:hAnsi="Palatino Linotype" w:cs="Palatino Linotype"/>
          <w:color w:val="000000"/>
        </w:rPr>
        <w:t>Con respecto al Programa de Seguridad Pública Municipal nuestra Carta Magna confiere tal función a los Municipios a saber:</w:t>
      </w:r>
    </w:p>
    <w:p w:rsidR="00337CB1" w:rsidRPr="008E12A5" w:rsidRDefault="00BF5B66" w:rsidP="0014156B">
      <w:pPr>
        <w:pBdr>
          <w:top w:val="nil"/>
          <w:left w:val="nil"/>
          <w:bottom w:val="nil"/>
          <w:right w:val="nil"/>
          <w:between w:val="nil"/>
        </w:pBdr>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“La seguridad pública es una función del Estado a cargo de la Federación, las entidades federativas y los Municipios, cuyos fines son salvaguardar la vida, las libertades, la integridad y el patrimonio de las personas, de conformidad con lo dispuesto en el artículo 4o. de esta Constitución que garantiza los deberes reforzados de protección del Estado con las mujeres, adolescentes, niñas y niños;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esta Constitución.</w:t>
      </w:r>
      <w:r w:rsidRPr="008E12A5">
        <w:rPr>
          <w:rFonts w:ascii="Palatino Linotype" w:eastAsia="Palatino Linotype" w:hAnsi="Palatino Linotype" w:cs="Palatino Linotype"/>
          <w:i/>
          <w:iCs/>
          <w:color w:val="000000"/>
          <w:vertAlign w:val="superscript"/>
        </w:rPr>
        <w:footnoteReference w:id="5"/>
      </w:r>
      <w:r w:rsidRPr="008E12A5">
        <w:rPr>
          <w:rFonts w:ascii="Palatino Linotype" w:eastAsia="Palatino Linotype" w:hAnsi="Palatino Linotype" w:cs="Palatino Linotype"/>
          <w:i/>
          <w:iCs/>
          <w:color w:val="000000"/>
        </w:rPr>
        <w:t>”</w:t>
      </w:r>
    </w:p>
    <w:p w:rsidR="00337CB1" w:rsidRPr="008E12A5" w:rsidRDefault="00337CB1" w:rsidP="0014156B">
      <w:pPr>
        <w:pBdr>
          <w:top w:val="nil"/>
          <w:left w:val="nil"/>
          <w:bottom w:val="nil"/>
          <w:right w:val="nil"/>
          <w:between w:val="nil"/>
        </w:pBdr>
        <w:ind w:left="1134" w:right="-284"/>
        <w:jc w:val="both"/>
        <w:rPr>
          <w:rFonts w:ascii="Palatino Linotype" w:eastAsia="Palatino Linotype" w:hAnsi="Palatino Linotype" w:cs="Palatino Linotype"/>
          <w:i/>
          <w:iCs/>
          <w:color w:val="000000"/>
        </w:rPr>
      </w:pPr>
    </w:p>
    <w:p w:rsidR="00337CB1" w:rsidRPr="008E12A5" w:rsidRDefault="00BF5B66" w:rsidP="0014156B">
      <w:pPr>
        <w:numPr>
          <w:ilvl w:val="0"/>
          <w:numId w:val="3"/>
        </w:numPr>
        <w:pBdr>
          <w:top w:val="nil"/>
          <w:left w:val="nil"/>
          <w:bottom w:val="nil"/>
          <w:right w:val="nil"/>
          <w:between w:val="nil"/>
        </w:pBdr>
        <w:spacing w:line="360" w:lineRule="auto"/>
        <w:ind w:left="0" w:right="-284" w:firstLine="0"/>
        <w:rPr>
          <w:color w:val="000000"/>
        </w:rPr>
      </w:pPr>
      <w:r w:rsidRPr="008E12A5">
        <w:rPr>
          <w:rFonts w:ascii="Palatino Linotype" w:eastAsia="Palatino Linotype" w:hAnsi="Palatino Linotype" w:cs="Palatino Linotype"/>
          <w:color w:val="000000"/>
        </w:rPr>
        <w:t>Por lo que en el ámbito de su competencia la Ley de Seguridad del Estado de México refiere para los Ayuntamientos:</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“Artículo 20.- Son atribuciones de los ayuntamientos en materia de seguridad pública:</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I…</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II. Gestionar y realizar el Programa Municipal de Seguridad Pública Preventiva en congruencia con el respectivo Programa Estatal; así como el programa municipal de prevención social de la violencia y la delincuencia, con participación ciudadana;</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III…</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IV. Aprobar el nombramiento de la persona titular de la Dirección de Seguridad Pública Municipal o de la persona servidora pública que realice esta función; vigilando que su </w:t>
      </w:r>
      <w:r w:rsidRPr="008E12A5">
        <w:rPr>
          <w:rFonts w:ascii="Palatino Linotype" w:eastAsia="Palatino Linotype" w:hAnsi="Palatino Linotype" w:cs="Palatino Linotype"/>
          <w:i/>
          <w:iCs/>
        </w:rPr>
        <w:lastRenderedPageBreak/>
        <w:t>formación académica y profesional sea conforme a los requisitos establecidos en la presente ley;</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V…X”</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Por cuanto hace al propio Director de Seguridad Pública, la elaboración del Programa de referencia se establece dentro del mismo marco normativo en el artículo 22 fracción I que a la letra enuncia: </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“Artículo 22.- Son atribuciones del Director de Seguridad Pública Municipal:</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I. Participar en la elaboración del Programa Municipal de Seguridad Pública y del Programa Municipal de Prevención Social de la Violencia y la Delincuencia con Participación Ciudadana;</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II…IV</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V.</w:t>
      </w:r>
      <w:r w:rsidRPr="008E12A5">
        <w:rPr>
          <w:i/>
          <w:iCs/>
        </w:rPr>
        <w:t xml:space="preserve"> </w:t>
      </w:r>
      <w:r w:rsidRPr="008E12A5">
        <w:rPr>
          <w:rFonts w:ascii="Palatino Linotype" w:eastAsia="Palatino Linotype" w:hAnsi="Palatino Linotype" w:cs="Palatino Linotype"/>
          <w:i/>
          <w:iCs/>
        </w:rPr>
        <w:t>Contar con las estadísticas delictivas y efectuar la supervisión de las acciones de seguridad pública municipal;</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VI…XI”</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En la misma línea, la Ley de Planeación refiere la obligatoriedad para la formulación, aprobación y publicación de los planes de desarrollo y sus respectivos programas sectoriales dentro de los </w:t>
      </w:r>
      <w:r w:rsidRPr="008E12A5">
        <w:rPr>
          <w:rFonts w:ascii="Palatino Linotype" w:eastAsia="Palatino Linotype" w:hAnsi="Palatino Linotype" w:cs="Palatino Linotype"/>
          <w:b/>
          <w:bCs/>
          <w:color w:val="000000"/>
        </w:rPr>
        <w:t>tres meses posteriores al inicio del periodo constitucional de gobierno</w:t>
      </w:r>
      <w:r w:rsidRPr="008E12A5">
        <w:rPr>
          <w:rFonts w:ascii="Palatino Linotype" w:eastAsia="Palatino Linotype" w:hAnsi="Palatino Linotype" w:cs="Palatino Linotype"/>
          <w:color w:val="000000"/>
        </w:rPr>
        <w:t xml:space="preserve">, así como considerar para su elaboración la situación imperante es decir </w:t>
      </w:r>
      <w:r w:rsidRPr="008E12A5">
        <w:rPr>
          <w:rFonts w:ascii="Palatino Linotype" w:eastAsia="Palatino Linotype" w:hAnsi="Palatino Linotype" w:cs="Palatino Linotype"/>
          <w:b/>
          <w:bCs/>
          <w:color w:val="000000"/>
        </w:rPr>
        <w:t>Diagnósticos que sustenten su elaboración</w:t>
      </w:r>
      <w:r w:rsidRPr="008E12A5">
        <w:rPr>
          <w:rFonts w:ascii="Palatino Linotype" w:eastAsia="Palatino Linotype" w:hAnsi="Palatino Linotype" w:cs="Palatino Linotype"/>
          <w:color w:val="000000"/>
        </w:rPr>
        <w:t>.</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“Artículo 22.- Los planes de desarrollo se formularán, aprobarán y publicarán dentro de un plazo de seis meses para el Ejecutivo del Estado y </w:t>
      </w:r>
      <w:r w:rsidRPr="008E12A5">
        <w:rPr>
          <w:rFonts w:ascii="Palatino Linotype" w:eastAsia="Palatino Linotype" w:hAnsi="Palatino Linotype" w:cs="Palatino Linotype"/>
          <w:b/>
          <w:bCs/>
          <w:i/>
          <w:iCs/>
        </w:rPr>
        <w:t>tres meses para los ayuntamientos</w:t>
      </w:r>
      <w:r w:rsidRPr="008E12A5">
        <w:rPr>
          <w:rFonts w:ascii="Palatino Linotype" w:eastAsia="Palatino Linotype" w:hAnsi="Palatino Linotype" w:cs="Palatino Linotype"/>
          <w:i/>
          <w:iCs/>
        </w:rPr>
        <w:t xml:space="preserve">, contados a partir del inicio del período constitucional de gobierno y en su elaboración se tomarán en cuenta las opiniones y aportaciones de los diversos grupos de la sociedad; así como el Plan de Desarrollo precedente y contener por lo menos un diagnóstico de la situación actual en ejes centrales, temas prioritarios, objetivos, estrategias e indicadores de </w:t>
      </w:r>
      <w:r w:rsidRPr="008E12A5">
        <w:rPr>
          <w:rFonts w:ascii="Palatino Linotype" w:eastAsia="Palatino Linotype" w:hAnsi="Palatino Linotype" w:cs="Palatino Linotype"/>
          <w:i/>
          <w:iCs/>
        </w:rPr>
        <w:lastRenderedPageBreak/>
        <w:t>desempeño, de igual manera habrá de considerarse el siguiente período constitucional de gobierno, a fin de asegurar la continuidad y consecución de aquellos que por su importancia adquieran el carácter estratégico de largo plazo. Su vigencia se circunscribirá al período constitucional o hasta la publicación del plan de desarrollo del siguiente período constitucional de gobierno…”</w:t>
      </w:r>
    </w:p>
    <w:p w:rsidR="00337CB1" w:rsidRPr="008E12A5" w:rsidRDefault="00337CB1" w:rsidP="0014156B">
      <w:pPr>
        <w:spacing w:line="276" w:lineRule="auto"/>
        <w:ind w:left="1134" w:right="-284"/>
        <w:jc w:val="both"/>
        <w:rPr>
          <w:rFonts w:ascii="Palatino Linotype" w:eastAsia="Palatino Linotype" w:hAnsi="Palatino Linotype" w:cs="Palatino Linotype"/>
          <w:i/>
          <w:iCs/>
        </w:rPr>
      </w:pP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Así mismo, la Ley Orgánica Municipal  para nuestro Estado señala la complementación obligatoria del Plan de desarrollo Municipal con los programas sectoriales de la administración Municipal</w:t>
      </w:r>
      <w:r w:rsidRPr="008E12A5">
        <w:rPr>
          <w:rFonts w:ascii="Palatino Linotype" w:eastAsia="Palatino Linotype" w:hAnsi="Palatino Linotype" w:cs="Palatino Linotype"/>
          <w:color w:val="000000"/>
          <w:vertAlign w:val="superscript"/>
        </w:rPr>
        <w:footnoteReference w:id="6"/>
      </w:r>
      <w:r w:rsidRPr="008E12A5">
        <w:rPr>
          <w:rFonts w:ascii="Palatino Linotype" w:eastAsia="Palatino Linotype" w:hAnsi="Palatino Linotype" w:cs="Palatino Linotype"/>
          <w:color w:val="000000"/>
        </w:rPr>
        <w:t>, siendo los programas que de éste deriven estrictamente obligatorios para las dependencias municipales</w:t>
      </w:r>
      <w:r w:rsidRPr="008E12A5">
        <w:rPr>
          <w:rFonts w:ascii="Palatino Linotype" w:eastAsia="Palatino Linotype" w:hAnsi="Palatino Linotype" w:cs="Palatino Linotype"/>
          <w:color w:val="000000"/>
          <w:vertAlign w:val="superscript"/>
        </w:rPr>
        <w:footnoteReference w:id="7"/>
      </w:r>
      <w:r w:rsidRPr="008E12A5">
        <w:rPr>
          <w:rFonts w:ascii="Palatino Linotype" w:eastAsia="Palatino Linotype" w:hAnsi="Palatino Linotype" w:cs="Palatino Linotype"/>
          <w:color w:val="000000"/>
        </w:rPr>
        <w:t>.</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De ahí que para poder acceder a los recursos presupuestales estatales y federales el Sujeto Obligado deberá remitir el borrador del Programa referido al Consejo Estatal quien validara</w:t>
      </w:r>
      <w:r w:rsidRPr="008E12A5">
        <w:rPr>
          <w:rFonts w:ascii="Palatino Linotype" w:eastAsia="Palatino Linotype" w:hAnsi="Palatino Linotype" w:cs="Palatino Linotype"/>
          <w:vertAlign w:val="superscript"/>
        </w:rPr>
        <w:footnoteReference w:id="8"/>
      </w:r>
      <w:r w:rsidRPr="008E12A5">
        <w:rPr>
          <w:rFonts w:ascii="Palatino Linotype" w:eastAsia="Palatino Linotype" w:hAnsi="Palatino Linotype" w:cs="Palatino Linotype"/>
        </w:rPr>
        <w:t xml:space="preserve"> la congruencia con el Programa Estatal y en su caso emitir las recomendaciones pertinentes para su posterior aprobación y liberación de los referidos recursos económicos.</w:t>
      </w:r>
    </w:p>
    <w:p w:rsidR="00337CB1" w:rsidRPr="008E12A5" w:rsidRDefault="00337CB1" w:rsidP="0014156B">
      <w:pPr>
        <w:pBdr>
          <w:top w:val="nil"/>
          <w:left w:val="nil"/>
          <w:bottom w:val="nil"/>
          <w:right w:val="nil"/>
          <w:between w:val="nil"/>
        </w:pBdr>
        <w:ind w:left="720" w:right="-284"/>
        <w:rPr>
          <w:rFonts w:ascii="Palatino Linotype" w:eastAsia="Palatino Linotype" w:hAnsi="Palatino Linotype" w:cs="Palatino Linotype"/>
          <w:color w:val="000000"/>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Una vez aprobado por el Consejo Estatal, el Programa es sometido a votación en sesión de Cabildo por el cuerpo Edilicio quienes poseen la atribución exclusiva para aprobar los planes, programas y reglamentos</w:t>
      </w:r>
      <w:r w:rsidRPr="008E12A5">
        <w:rPr>
          <w:rFonts w:ascii="Palatino Linotype" w:eastAsia="Palatino Linotype" w:hAnsi="Palatino Linotype" w:cs="Palatino Linotype"/>
          <w:vertAlign w:val="superscript"/>
        </w:rPr>
        <w:footnoteReference w:id="9"/>
      </w:r>
      <w:r w:rsidRPr="008E12A5">
        <w:rPr>
          <w:rFonts w:ascii="Palatino Linotype" w:eastAsia="Palatino Linotype" w:hAnsi="Palatino Linotype" w:cs="Palatino Linotype"/>
        </w:rPr>
        <w:t xml:space="preserve"> para adquirir su carácter de cumplimiento obligatorio </w:t>
      </w:r>
      <w:r w:rsidRPr="008E12A5">
        <w:rPr>
          <w:rFonts w:ascii="Palatino Linotype" w:eastAsia="Palatino Linotype" w:hAnsi="Palatino Linotype" w:cs="Palatino Linotype"/>
        </w:rPr>
        <w:lastRenderedPageBreak/>
        <w:t>dentro del Municipio, sesión de la que debe obrar un Acta elaborada por el Secretario del Ayuntamiento</w:t>
      </w:r>
      <w:r w:rsidRPr="008E12A5">
        <w:rPr>
          <w:rFonts w:ascii="Palatino Linotype" w:eastAsia="Palatino Linotype" w:hAnsi="Palatino Linotype" w:cs="Palatino Linotype"/>
          <w:vertAlign w:val="superscript"/>
        </w:rPr>
        <w:footnoteReference w:id="10"/>
      </w:r>
      <w:r w:rsidRPr="008E12A5">
        <w:rPr>
          <w:rFonts w:ascii="Palatino Linotype" w:eastAsia="Palatino Linotype" w:hAnsi="Palatino Linotype" w:cs="Palatino Linotype"/>
        </w:rPr>
        <w:t>.</w:t>
      </w:r>
    </w:p>
    <w:p w:rsidR="00337CB1" w:rsidRPr="008E12A5" w:rsidRDefault="00337CB1" w:rsidP="0014156B">
      <w:pPr>
        <w:pBdr>
          <w:top w:val="nil"/>
          <w:left w:val="nil"/>
          <w:bottom w:val="nil"/>
          <w:right w:val="nil"/>
          <w:between w:val="nil"/>
        </w:pBdr>
        <w:ind w:left="720" w:right="-284"/>
        <w:rPr>
          <w:rFonts w:ascii="Palatino Linotype" w:eastAsia="Palatino Linotype" w:hAnsi="Palatino Linotype" w:cs="Palatino Linotype"/>
          <w:color w:val="000000"/>
        </w:rPr>
      </w:pPr>
    </w:p>
    <w:p w:rsidR="00337CB1" w:rsidRPr="008E12A5" w:rsidRDefault="00BF5B66" w:rsidP="0014156B">
      <w:pPr>
        <w:numPr>
          <w:ilvl w:val="0"/>
          <w:numId w:val="3"/>
        </w:numPr>
        <w:spacing w:line="360" w:lineRule="auto"/>
        <w:ind w:left="0" w:right="-284" w:firstLine="0"/>
        <w:jc w:val="both"/>
      </w:pPr>
      <w:r w:rsidRPr="008E12A5">
        <w:rPr>
          <w:rFonts w:ascii="Palatino Linotype" w:eastAsia="Palatino Linotype" w:hAnsi="Palatino Linotype" w:cs="Palatino Linotype"/>
        </w:rPr>
        <w:t>Así mismo, la Ley de Seguridad del Estado de México establece la obligatoriedad para los Ayuntamientos de establecer dentro de su estructura orgánica a la unidad administrativa denominada Secretaría Técnica del consejo Municipal de Seguridad Pública misma que atenderá los aspectos normativos, administrativos y de planeación necesarios para la prestación del servicio de seguridad pública y de vinculación con las instancias federales y estatales, así también refiere que dentro de sus atribuciones se encuentran:</w:t>
      </w:r>
    </w:p>
    <w:p w:rsidR="00337CB1" w:rsidRPr="008E12A5" w:rsidRDefault="00BF5B66" w:rsidP="0014156B">
      <w:pPr>
        <w:pBdr>
          <w:top w:val="nil"/>
          <w:left w:val="nil"/>
          <w:bottom w:val="nil"/>
          <w:right w:val="nil"/>
          <w:between w:val="nil"/>
        </w:pBdr>
        <w:ind w:left="1134" w:right="-284"/>
        <w:jc w:val="both"/>
        <w:rPr>
          <w:i/>
          <w:iCs/>
          <w:color w:val="000000"/>
        </w:rPr>
      </w:pPr>
      <w:r w:rsidRPr="008E12A5">
        <w:rPr>
          <w:i/>
          <w:iCs/>
          <w:color w:val="000000"/>
        </w:rPr>
        <w:t>“Artículo 58 Quinquies. Son atribuciones del Secretario o Secretaria Técnica:</w:t>
      </w:r>
    </w:p>
    <w:p w:rsidR="00337CB1" w:rsidRPr="008E12A5" w:rsidRDefault="00BF5B66" w:rsidP="0014156B">
      <w:pPr>
        <w:pBdr>
          <w:top w:val="nil"/>
          <w:left w:val="nil"/>
          <w:bottom w:val="nil"/>
          <w:right w:val="nil"/>
          <w:between w:val="nil"/>
        </w:pBdr>
        <w:ind w:left="1134" w:right="-284"/>
        <w:jc w:val="both"/>
        <w:rPr>
          <w:i/>
          <w:iCs/>
          <w:color w:val="000000"/>
        </w:rPr>
      </w:pPr>
      <w:r w:rsidRPr="008E12A5">
        <w:rPr>
          <w:i/>
          <w:iCs/>
          <w:color w:val="000000"/>
        </w:rPr>
        <w:t>I…IV</w:t>
      </w:r>
    </w:p>
    <w:p w:rsidR="00337CB1" w:rsidRPr="008E12A5" w:rsidRDefault="00BF5B66" w:rsidP="0014156B">
      <w:pPr>
        <w:pBdr>
          <w:top w:val="nil"/>
          <w:left w:val="nil"/>
          <w:bottom w:val="nil"/>
          <w:right w:val="nil"/>
          <w:between w:val="nil"/>
        </w:pBdr>
        <w:ind w:left="1134" w:right="-284"/>
        <w:jc w:val="both"/>
        <w:rPr>
          <w:i/>
          <w:iCs/>
          <w:color w:val="000000"/>
        </w:rPr>
      </w:pPr>
      <w:r w:rsidRPr="008E12A5">
        <w:rPr>
          <w:i/>
          <w:iCs/>
          <w:color w:val="000000"/>
        </w:rPr>
        <w:t>V. Fungir como enlace ante el Secretariado Ejecutivo del Sistema Estatal de Seguridad Pública e informarle periódicamente el estado que guardan los asuntos a su cargo</w:t>
      </w:r>
    </w:p>
    <w:p w:rsidR="00337CB1" w:rsidRPr="008E12A5" w:rsidRDefault="00BF5B66" w:rsidP="0014156B">
      <w:pPr>
        <w:pBdr>
          <w:top w:val="nil"/>
          <w:left w:val="nil"/>
          <w:bottom w:val="nil"/>
          <w:right w:val="nil"/>
          <w:between w:val="nil"/>
        </w:pBdr>
        <w:ind w:left="1134" w:right="-284"/>
        <w:jc w:val="both"/>
        <w:rPr>
          <w:i/>
          <w:iCs/>
          <w:color w:val="000000"/>
        </w:rPr>
      </w:pPr>
      <w:r w:rsidRPr="008E12A5">
        <w:rPr>
          <w:i/>
          <w:iCs/>
          <w:color w:val="000000"/>
        </w:rPr>
        <w:t>V…VI</w:t>
      </w:r>
    </w:p>
    <w:p w:rsidR="00337CB1" w:rsidRPr="008E12A5" w:rsidRDefault="00BF5B66" w:rsidP="0014156B">
      <w:pPr>
        <w:pBdr>
          <w:top w:val="nil"/>
          <w:left w:val="nil"/>
          <w:bottom w:val="nil"/>
          <w:right w:val="nil"/>
          <w:between w:val="nil"/>
        </w:pBdr>
        <w:ind w:left="1134" w:right="-284"/>
        <w:jc w:val="both"/>
        <w:rPr>
          <w:i/>
          <w:iCs/>
          <w:color w:val="000000"/>
        </w:rPr>
      </w:pPr>
      <w:r w:rsidRPr="008E12A5">
        <w:rPr>
          <w:i/>
          <w:iCs/>
          <w:color w:val="000000"/>
        </w:rPr>
        <w:t>VII. Ser el enlace ante el Centro de Información y Estadística del Secretariado Ejecutivo y proveer la información que le sea solicitada;</w:t>
      </w:r>
    </w:p>
    <w:p w:rsidR="00337CB1" w:rsidRPr="008E12A5" w:rsidRDefault="00BF5B66" w:rsidP="0014156B">
      <w:pPr>
        <w:pBdr>
          <w:top w:val="nil"/>
          <w:left w:val="nil"/>
          <w:bottom w:val="nil"/>
          <w:right w:val="nil"/>
          <w:between w:val="nil"/>
        </w:pBdr>
        <w:ind w:left="1134" w:right="-284"/>
        <w:jc w:val="both"/>
        <w:rPr>
          <w:rFonts w:ascii="Palatino Linotype" w:eastAsia="Palatino Linotype" w:hAnsi="Palatino Linotype" w:cs="Palatino Linotype"/>
          <w:i/>
          <w:iCs/>
          <w:color w:val="000000"/>
        </w:rPr>
      </w:pPr>
      <w:r w:rsidRPr="008E12A5">
        <w:rPr>
          <w:i/>
          <w:iCs/>
          <w:color w:val="000000"/>
        </w:rPr>
        <w:t>VIII. Fungir como enlace ante el Centro de Prevención del Delito del Secretariado Ejecutivo y coordinarse para la ejecución y evaluación de programas, políticas y estrategias en la materia, así como proveer información que le sea solicitada;</w:t>
      </w:r>
    </w:p>
    <w:p w:rsidR="00337CB1" w:rsidRPr="008E12A5" w:rsidRDefault="00BF5B66" w:rsidP="0014156B">
      <w:pPr>
        <w:spacing w:line="360"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 xml:space="preserve">IX…XI </w:t>
      </w:r>
    </w:p>
    <w:p w:rsidR="00337CB1" w:rsidRPr="008E12A5" w:rsidRDefault="00BF5B66" w:rsidP="0014156B">
      <w:pPr>
        <w:spacing w:line="360" w:lineRule="auto"/>
        <w:ind w:left="1134" w:right="-284"/>
        <w:jc w:val="both"/>
        <w:rPr>
          <w:rFonts w:ascii="Palatino Linotype" w:eastAsia="Palatino Linotype" w:hAnsi="Palatino Linotype" w:cs="Palatino Linotype"/>
          <w:i/>
          <w:iCs/>
        </w:rPr>
      </w:pPr>
      <w:r w:rsidRPr="008E12A5">
        <w:rPr>
          <w:i/>
          <w:iCs/>
        </w:rPr>
        <w:t>XII. Brindar atención y orientación permanente a la ciudadanía sobre solicitudes, quejas y denuncias;</w:t>
      </w:r>
    </w:p>
    <w:p w:rsidR="00337CB1" w:rsidRPr="008E12A5" w:rsidRDefault="00BF5B66" w:rsidP="0014156B">
      <w:pPr>
        <w:spacing w:line="360"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XIII…XXI”</w:t>
      </w:r>
    </w:p>
    <w:p w:rsidR="00337CB1" w:rsidRPr="008E12A5" w:rsidRDefault="00BF5B66" w:rsidP="0014156B">
      <w:pPr>
        <w:numPr>
          <w:ilvl w:val="0"/>
          <w:numId w:val="3"/>
        </w:numPr>
        <w:pBdr>
          <w:top w:val="nil"/>
          <w:left w:val="nil"/>
          <w:bottom w:val="nil"/>
          <w:right w:val="nil"/>
          <w:between w:val="nil"/>
        </w:pBdr>
        <w:spacing w:line="360" w:lineRule="auto"/>
        <w:ind w:left="0" w:right="-284" w:firstLine="0"/>
        <w:jc w:val="both"/>
        <w:rPr>
          <w:color w:val="0D0D0D"/>
        </w:rPr>
      </w:pPr>
      <w:r w:rsidRPr="008E12A5">
        <w:rPr>
          <w:rFonts w:ascii="Palatino Linotype" w:eastAsia="Palatino Linotype" w:hAnsi="Palatino Linotype" w:cs="Palatino Linotype"/>
          <w:color w:val="000000"/>
        </w:rPr>
        <w:t>De lo expuesto se concluye respecto a lo punto 1 y 3  al referir el Sujeto Obligado que  tales documentales se encuentran en trámite se estaría en el supuesto de inexistencia de la información, e</w:t>
      </w:r>
      <w:r w:rsidRPr="008E12A5">
        <w:rPr>
          <w:rFonts w:ascii="Palatino Linotype" w:eastAsia="Palatino Linotype" w:hAnsi="Palatino Linotype" w:cs="Palatino Linotype"/>
          <w:color w:val="0D0D0D"/>
        </w:rPr>
        <w:t xml:space="preserve">n ese sentido, según Trujillo, Humberto (2019), en el “Diccionario de </w:t>
      </w:r>
      <w:r w:rsidRPr="008E12A5">
        <w:rPr>
          <w:rFonts w:ascii="Palatino Linotype" w:eastAsia="Palatino Linotype" w:hAnsi="Palatino Linotype" w:cs="Palatino Linotype"/>
          <w:color w:val="0D0D0D"/>
        </w:rPr>
        <w:lastRenderedPageBreak/>
        <w:t xml:space="preserve">Transparencia y Acceso a la Información Pública” (p. 201), </w:t>
      </w:r>
      <w:r w:rsidRPr="008E12A5">
        <w:rPr>
          <w:rFonts w:ascii="Palatino Linotype" w:eastAsia="Palatino Linotype" w:hAnsi="Palatino Linotype" w:cs="Palatino Linotype"/>
          <w:b/>
          <w:bCs/>
          <w:color w:val="0D0D0D"/>
        </w:rPr>
        <w:t xml:space="preserve">la negativa de acceso a la información </w:t>
      </w:r>
      <w:r w:rsidRPr="008E12A5">
        <w:rPr>
          <w:rFonts w:ascii="Palatino Linotype" w:eastAsia="Palatino Linotype" w:hAnsi="Palatino Linotype" w:cs="Palatino Linotype"/>
          <w:color w:val="0D0D0D"/>
        </w:rPr>
        <w:t xml:space="preserve">ocurre cuando de manera fundada y motivada, una autoridad la niega o la limita, por alguna de las siguientes razones: </w:t>
      </w:r>
    </w:p>
    <w:p w:rsidR="00337CB1" w:rsidRPr="008E12A5" w:rsidRDefault="00BF5B66" w:rsidP="0014156B">
      <w:pPr>
        <w:numPr>
          <w:ilvl w:val="0"/>
          <w:numId w:val="4"/>
        </w:numPr>
        <w:spacing w:line="276" w:lineRule="auto"/>
        <w:ind w:left="1134" w:right="-284"/>
        <w:jc w:val="both"/>
        <w:rPr>
          <w:rFonts w:ascii="Palatino Linotype" w:eastAsia="Palatino Linotype" w:hAnsi="Palatino Linotype" w:cs="Palatino Linotype"/>
          <w:b/>
          <w:bCs/>
          <w:i/>
          <w:iCs/>
          <w:color w:val="0D0D0D"/>
        </w:rPr>
      </w:pPr>
      <w:r w:rsidRPr="008E12A5">
        <w:rPr>
          <w:rFonts w:ascii="Palatino Linotype" w:eastAsia="Palatino Linotype" w:hAnsi="Palatino Linotype" w:cs="Palatino Linotype"/>
          <w:b/>
          <w:bCs/>
          <w:i/>
          <w:iCs/>
          <w:color w:val="0D0D0D"/>
        </w:rPr>
        <w:t xml:space="preserve">La inexistencia de la información (p. 171): </w:t>
      </w:r>
      <w:r w:rsidRPr="008E12A5">
        <w:rPr>
          <w:rFonts w:ascii="Palatino Linotype" w:eastAsia="Palatino Linotype" w:hAnsi="Palatino Linotype" w:cs="Palatino Linotype"/>
          <w:i/>
          <w:iCs/>
          <w:color w:val="0D0D0D"/>
        </w:rPr>
        <w:t>Sucede cuando la información solicitada no se encuentra en los archivos públicos o clasificados de los entes sujetos a las Leyes de Transparencia.</w:t>
      </w:r>
    </w:p>
    <w:p w:rsidR="00337CB1" w:rsidRPr="008E12A5" w:rsidRDefault="00BF5B66" w:rsidP="0014156B">
      <w:pPr>
        <w:numPr>
          <w:ilvl w:val="0"/>
          <w:numId w:val="4"/>
        </w:numPr>
        <w:spacing w:line="276" w:lineRule="auto"/>
        <w:ind w:left="1134" w:right="-284"/>
        <w:jc w:val="both"/>
        <w:rPr>
          <w:rFonts w:ascii="Palatino Linotype" w:eastAsia="Palatino Linotype" w:hAnsi="Palatino Linotype" w:cs="Palatino Linotype"/>
          <w:b/>
          <w:bCs/>
          <w:i/>
          <w:iCs/>
          <w:color w:val="0D0D0D"/>
        </w:rPr>
      </w:pPr>
      <w:r w:rsidRPr="008E12A5">
        <w:rPr>
          <w:rFonts w:ascii="Palatino Linotype" w:eastAsia="Palatino Linotype" w:hAnsi="Palatino Linotype" w:cs="Palatino Linotype"/>
          <w:b/>
          <w:bCs/>
          <w:i/>
          <w:iCs/>
          <w:color w:val="0D0D0D"/>
        </w:rPr>
        <w:t xml:space="preserve">La incompetencia del Sujeto Obligado (p. 171): </w:t>
      </w:r>
      <w:r w:rsidRPr="008E12A5">
        <w:rPr>
          <w:rFonts w:ascii="Palatino Linotype" w:eastAsia="Palatino Linotype" w:hAnsi="Palatino Linotype" w:cs="Palatino Linotype"/>
          <w:i/>
          <w:iCs/>
          <w:color w:val="0D0D0D"/>
        </w:rPr>
        <w:t>Ocurre cuando el Sujeto Obligado carece de atribuciones para poseer la información peticionada.</w:t>
      </w:r>
    </w:p>
    <w:p w:rsidR="00337CB1" w:rsidRPr="008E12A5" w:rsidRDefault="00BF5B66" w:rsidP="0014156B">
      <w:pPr>
        <w:numPr>
          <w:ilvl w:val="0"/>
          <w:numId w:val="4"/>
        </w:numPr>
        <w:spacing w:line="276" w:lineRule="auto"/>
        <w:ind w:left="1134" w:right="-284"/>
        <w:jc w:val="both"/>
        <w:rPr>
          <w:rFonts w:ascii="Palatino Linotype" w:eastAsia="Palatino Linotype" w:hAnsi="Palatino Linotype" w:cs="Palatino Linotype"/>
          <w:b/>
          <w:bCs/>
          <w:i/>
          <w:iCs/>
          <w:color w:val="0D0D0D"/>
        </w:rPr>
      </w:pPr>
      <w:r w:rsidRPr="008E12A5">
        <w:rPr>
          <w:rFonts w:ascii="Palatino Linotype" w:eastAsia="Palatino Linotype" w:hAnsi="Palatino Linotype" w:cs="Palatino Linotype"/>
          <w:b/>
          <w:bCs/>
          <w:i/>
          <w:iCs/>
          <w:color w:val="0D0D0D"/>
        </w:rPr>
        <w:t xml:space="preserve">La clasificación de la información (p. 70): </w:t>
      </w:r>
      <w:r w:rsidRPr="008E12A5">
        <w:rPr>
          <w:rFonts w:ascii="Palatino Linotype" w:eastAsia="Palatino Linotype" w:hAnsi="Palatino Linotype" w:cs="Palatino Linotype"/>
          <w:i/>
          <w:iCs/>
          <w:color w:val="0D0D0D"/>
        </w:rPr>
        <w:t>Es el proceso o conjunto de acciones que realizan los sujetos obligados para establecer que determinada información se encuentra en alguno de los supuestos de reserva o confidencialidad establecidos en la legislación en materia de transparencia.</w:t>
      </w:r>
    </w:p>
    <w:p w:rsidR="00337CB1" w:rsidRPr="008E12A5" w:rsidRDefault="00BF5B66" w:rsidP="0014156B">
      <w:pPr>
        <w:numPr>
          <w:ilvl w:val="0"/>
          <w:numId w:val="5"/>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En relación con lo anterior, el </w:t>
      </w:r>
      <w:r w:rsidRPr="008E12A5">
        <w:rPr>
          <w:rFonts w:ascii="Palatino Linotype" w:eastAsia="Palatino Linotype" w:hAnsi="Palatino Linotype" w:cs="Palatino Linotype"/>
          <w:b/>
          <w:bCs/>
        </w:rPr>
        <w:t>SUJETO OBLIGADO</w:t>
      </w:r>
      <w:r w:rsidRPr="008E12A5">
        <w:rPr>
          <w:rFonts w:ascii="Palatino Linotype" w:eastAsia="Palatino Linotype" w:hAnsi="Palatino Linotype" w:cs="Palatino Linotype"/>
        </w:rPr>
        <w:t xml:space="preserve"> deberá remitir el documento </w:t>
      </w:r>
      <w:r w:rsidRPr="008E12A5">
        <w:rPr>
          <w:rFonts w:ascii="Palatino Linotype" w:eastAsia="Palatino Linotype" w:hAnsi="Palatino Linotype" w:cs="Palatino Linotype"/>
          <w:color w:val="222222"/>
        </w:rPr>
        <w:t>en términos de lo establecido por el párrafo segundo, artículo 19, de la Ley de Transparencia Local:</w:t>
      </w: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b/>
          <w:bCs/>
          <w:i/>
          <w:iCs/>
        </w:rPr>
        <w:t>Artículo 19.</w:t>
      </w:r>
      <w:r w:rsidRPr="008E12A5">
        <w:rPr>
          <w:rFonts w:ascii="Palatino Linotype" w:eastAsia="Palatino Linotype" w:hAnsi="Palatino Linotype" w:cs="Palatino Linotype"/>
          <w:i/>
          <w:iCs/>
        </w:rPr>
        <w:t xml:space="preserve"> </w:t>
      </w:r>
      <w:r w:rsidRPr="008E12A5">
        <w:rPr>
          <w:rFonts w:ascii="Palatino Linotype" w:eastAsia="Palatino Linotype" w:hAnsi="Palatino Linotype" w:cs="Palatino Linotype"/>
          <w:b/>
          <w:bCs/>
          <w:i/>
          <w:iCs/>
        </w:rPr>
        <w:t>Se presume que la información debe existir si se refiere a las facultades, competencias y funciones que los ordenamientos jurídicos aplicables otorgan a los sujetos obligados.</w:t>
      </w:r>
      <w:r w:rsidRPr="008E12A5">
        <w:rPr>
          <w:rFonts w:ascii="Palatino Linotype" w:eastAsia="Palatino Linotype" w:hAnsi="Palatino Linotype" w:cs="Palatino Linotype"/>
          <w:i/>
          <w:iCs/>
        </w:rPr>
        <w:t xml:space="preserve"> </w:t>
      </w:r>
    </w:p>
    <w:p w:rsidR="00337CB1" w:rsidRPr="008E12A5" w:rsidRDefault="00337CB1" w:rsidP="0014156B">
      <w:pPr>
        <w:ind w:left="1134" w:right="-284"/>
        <w:jc w:val="both"/>
        <w:rPr>
          <w:rFonts w:ascii="Palatino Linotype" w:eastAsia="Palatino Linotype" w:hAnsi="Palatino Linotype" w:cs="Palatino Linotype"/>
          <w:i/>
          <w:iCs/>
        </w:rPr>
      </w:pP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b/>
          <w:bCs/>
          <w:i/>
          <w:iCs/>
        </w:rPr>
        <w:t>En los casos en que ciertas facultades, competencias o funciones no se hayan ejercido, se debe motivar la respuesta en función de las causas que motiven tal</w:t>
      </w:r>
      <w:r w:rsidRPr="008E12A5">
        <w:rPr>
          <w:rFonts w:ascii="Palatino Linotype" w:eastAsia="Palatino Linotype" w:hAnsi="Palatino Linotype" w:cs="Palatino Linotype"/>
          <w:i/>
          <w:iCs/>
        </w:rPr>
        <w:t xml:space="preserve"> </w:t>
      </w:r>
      <w:r w:rsidRPr="008E12A5">
        <w:rPr>
          <w:rFonts w:ascii="Palatino Linotype" w:eastAsia="Palatino Linotype" w:hAnsi="Palatino Linotype" w:cs="Palatino Linotype"/>
          <w:b/>
          <w:bCs/>
          <w:i/>
          <w:iCs/>
        </w:rPr>
        <w:t>circunstancia</w:t>
      </w:r>
      <w:r w:rsidRPr="008E12A5">
        <w:rPr>
          <w:rFonts w:ascii="Palatino Linotype" w:eastAsia="Palatino Linotype" w:hAnsi="Palatino Linotype" w:cs="Palatino Linotype"/>
          <w:i/>
          <w:iCs/>
        </w:rPr>
        <w:t xml:space="preserve">. </w:t>
      </w:r>
    </w:p>
    <w:p w:rsidR="00337CB1" w:rsidRPr="008E12A5" w:rsidRDefault="00337CB1" w:rsidP="0014156B">
      <w:pPr>
        <w:ind w:left="1134" w:right="-284"/>
        <w:jc w:val="both"/>
        <w:rPr>
          <w:rFonts w:ascii="Palatino Linotype" w:eastAsia="Palatino Linotype" w:hAnsi="Palatino Linotype" w:cs="Palatino Linotype"/>
          <w:i/>
          <w:iCs/>
        </w:rPr>
      </w:pP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rsidR="00337CB1" w:rsidRPr="008E12A5" w:rsidRDefault="00337CB1" w:rsidP="0014156B">
      <w:pPr>
        <w:ind w:left="1134" w:right="-284"/>
        <w:jc w:val="both"/>
        <w:rPr>
          <w:rFonts w:ascii="Palatino Linotype" w:eastAsia="Palatino Linotype" w:hAnsi="Palatino Linotype" w:cs="Palatino Linotype"/>
          <w:i/>
          <w:iCs/>
        </w:rPr>
      </w:pPr>
    </w:p>
    <w:p w:rsidR="00D0097A" w:rsidRPr="008E12A5" w:rsidRDefault="00D0097A" w:rsidP="0014156B">
      <w:pPr>
        <w:numPr>
          <w:ilvl w:val="0"/>
          <w:numId w:val="2"/>
        </w:numPr>
        <w:spacing w:line="360" w:lineRule="auto"/>
        <w:ind w:left="0" w:right="-284" w:firstLine="0"/>
        <w:jc w:val="both"/>
        <w:rPr>
          <w:rFonts w:ascii="Palatino Linotype" w:hAnsi="Palatino Linotype"/>
        </w:rPr>
      </w:pPr>
      <w:r w:rsidRPr="008E12A5">
        <w:rPr>
          <w:rFonts w:ascii="Palatino Linotype" w:hAnsi="Palatino Linotype"/>
        </w:rPr>
        <w:lastRenderedPageBreak/>
        <w:t xml:space="preserve">Ahora bien, de la información requerida por el particular </w:t>
      </w:r>
      <w:r w:rsidR="005A3869" w:rsidRPr="008E12A5">
        <w:rPr>
          <w:rFonts w:ascii="Palatino Linotype" w:hAnsi="Palatino Linotype"/>
        </w:rPr>
        <w:t xml:space="preserve">pudiera obrar información que actualiza </w:t>
      </w:r>
      <w:r w:rsidRPr="008E12A5">
        <w:rPr>
          <w:rFonts w:ascii="Palatino Linotype" w:hAnsi="Palatino Linotype"/>
        </w:rPr>
        <w:t xml:space="preserve">la causal de clasificación prevista en el artículo 140, fracción I, de la Ley de Transparencia y Acceso a la Información Pública del Estado de México y Municipios, </w:t>
      </w:r>
      <w:r w:rsidR="00323266" w:rsidRPr="008E12A5">
        <w:rPr>
          <w:rFonts w:ascii="Palatino Linotype" w:hAnsi="Palatino Linotype"/>
        </w:rPr>
        <w:t>a saber</w:t>
      </w:r>
      <w:r w:rsidRPr="008E12A5">
        <w:rPr>
          <w:rFonts w:ascii="Palatino Linotype" w:hAnsi="Palatino Linotype"/>
        </w:rPr>
        <w:t>:</w:t>
      </w:r>
    </w:p>
    <w:p w:rsidR="00D0097A" w:rsidRPr="008E12A5" w:rsidRDefault="00D0097A" w:rsidP="0014156B">
      <w:pPr>
        <w:spacing w:line="360" w:lineRule="auto"/>
        <w:ind w:left="1134" w:right="-284"/>
        <w:jc w:val="both"/>
        <w:rPr>
          <w:rFonts w:ascii="Palatino Linotype" w:hAnsi="Palatino Linotype"/>
          <w:b/>
          <w:i/>
        </w:rPr>
      </w:pPr>
      <w:r w:rsidRPr="008E12A5">
        <w:rPr>
          <w:rFonts w:ascii="Palatino Linotype" w:hAnsi="Palatino Linotype"/>
          <w:b/>
          <w:i/>
        </w:rPr>
        <w:t>“Artículo 140. El acceso a la información pública será restringido excepcionalmente, cuando por razones de interés público, ésta sea clasificada como reservada, conforme a los criterios siguientes:</w:t>
      </w:r>
    </w:p>
    <w:p w:rsidR="00D0097A" w:rsidRPr="008E12A5" w:rsidRDefault="00D0097A" w:rsidP="0014156B">
      <w:pPr>
        <w:spacing w:line="360" w:lineRule="auto"/>
        <w:ind w:left="1134" w:right="-284"/>
        <w:jc w:val="both"/>
        <w:rPr>
          <w:rFonts w:ascii="Palatino Linotype" w:hAnsi="Palatino Linotype"/>
          <w:b/>
          <w:i/>
        </w:rPr>
      </w:pPr>
    </w:p>
    <w:p w:rsidR="00D0097A" w:rsidRPr="008E12A5" w:rsidRDefault="00D0097A" w:rsidP="0014156B">
      <w:pPr>
        <w:spacing w:line="360" w:lineRule="auto"/>
        <w:ind w:left="1134" w:right="-284"/>
        <w:jc w:val="both"/>
        <w:rPr>
          <w:rFonts w:ascii="Palatino Linotype" w:hAnsi="Palatino Linotype"/>
          <w:b/>
          <w:i/>
        </w:rPr>
      </w:pPr>
      <w:r w:rsidRPr="008E12A5">
        <w:rPr>
          <w:rFonts w:ascii="Palatino Linotype" w:hAnsi="Palatino Linotype"/>
          <w:b/>
          <w:i/>
        </w:rPr>
        <w:t>Comprometa la seguridad pública y cuente con un propósito genuino y un efecto demostrable;</w:t>
      </w:r>
    </w:p>
    <w:p w:rsidR="00D0097A" w:rsidRPr="008E12A5" w:rsidRDefault="00D0097A" w:rsidP="0014156B">
      <w:pPr>
        <w:spacing w:line="360" w:lineRule="auto"/>
        <w:ind w:left="1134" w:right="-284"/>
        <w:jc w:val="both"/>
        <w:rPr>
          <w:rFonts w:ascii="Palatino Linotype" w:hAnsi="Palatino Linotype"/>
          <w:b/>
          <w:i/>
        </w:rPr>
      </w:pPr>
      <w:r w:rsidRPr="008E12A5">
        <w:rPr>
          <w:rFonts w:ascii="Palatino Linotype" w:hAnsi="Palatino Linotype"/>
          <w:b/>
          <w:i/>
        </w:rPr>
        <w:t>…”</w:t>
      </w:r>
    </w:p>
    <w:p w:rsidR="00D0097A" w:rsidRPr="008E12A5" w:rsidRDefault="00D0097A" w:rsidP="0014156B">
      <w:pPr>
        <w:spacing w:line="360" w:lineRule="auto"/>
        <w:ind w:left="1134" w:right="-284"/>
        <w:jc w:val="both"/>
        <w:rPr>
          <w:rFonts w:ascii="Palatino Linotype" w:hAnsi="Palatino Linotype"/>
          <w:i/>
        </w:rPr>
      </w:pPr>
    </w:p>
    <w:p w:rsidR="00D0097A" w:rsidRPr="008E12A5" w:rsidRDefault="00D0097A" w:rsidP="0014156B">
      <w:pPr>
        <w:numPr>
          <w:ilvl w:val="0"/>
          <w:numId w:val="2"/>
        </w:numPr>
        <w:spacing w:line="360" w:lineRule="auto"/>
        <w:ind w:left="0" w:right="-284" w:firstLine="0"/>
        <w:jc w:val="both"/>
        <w:rPr>
          <w:rFonts w:ascii="Palatino Linotype" w:hAnsi="Palatino Linotype"/>
        </w:rPr>
      </w:pPr>
      <w:r w:rsidRPr="008E12A5">
        <w:rPr>
          <w:rFonts w:ascii="Palatino Linotype" w:hAnsi="Palatino Linotype"/>
        </w:rPr>
        <w:t>De dicho precepto normativo se desprende que podrá clasificarse como información reservada aquella cuya publicación comprometa la seguridad pública y cuente con un propósito genuino y un efecto demostrable; por lo que, los Lineamientos Generales disponen:</w:t>
      </w:r>
    </w:p>
    <w:p w:rsidR="00D0097A" w:rsidRPr="008E12A5" w:rsidRDefault="00D0097A" w:rsidP="0014156B">
      <w:pPr>
        <w:spacing w:line="360" w:lineRule="auto"/>
        <w:ind w:left="1134" w:right="-284"/>
        <w:jc w:val="both"/>
        <w:rPr>
          <w:rFonts w:ascii="Palatino Linotype" w:hAnsi="Palatino Linotype"/>
          <w:i/>
        </w:rPr>
      </w:pPr>
      <w:r w:rsidRPr="008E12A5">
        <w:rPr>
          <w:rFonts w:ascii="Palatino Linotype" w:hAnsi="Palatino Linotype"/>
        </w:rPr>
        <w:t>“</w:t>
      </w:r>
      <w:r w:rsidRPr="008E12A5">
        <w:rPr>
          <w:rFonts w:ascii="Palatino Linotype" w:hAnsi="Palatino Linotype"/>
          <w:i/>
        </w:rPr>
        <w:t>Décimo octavo. De conformidad con el artículo 113, fracción I de la Ley General, podrá considerarse como información reservada, aquella que comprometa la seguridad pública, al poner en peligro las funciones a cargo de la Federación, la Ciudad de México, los Estados y los Municipios, tendientes a preservar y resguardar la vida, la salud, la integridad y el ejercicio de los derechos de las personas, así como para el mantenimiento del orden público.</w:t>
      </w:r>
    </w:p>
    <w:p w:rsidR="00D0097A" w:rsidRPr="008E12A5" w:rsidRDefault="00D0097A" w:rsidP="0014156B">
      <w:pPr>
        <w:spacing w:line="360" w:lineRule="auto"/>
        <w:ind w:left="1134" w:right="-284"/>
        <w:jc w:val="both"/>
        <w:rPr>
          <w:rFonts w:ascii="Palatino Linotype" w:hAnsi="Palatino Linotype"/>
          <w:i/>
        </w:rPr>
      </w:pPr>
    </w:p>
    <w:p w:rsidR="00D0097A" w:rsidRPr="008E12A5" w:rsidRDefault="00D0097A" w:rsidP="0014156B">
      <w:pPr>
        <w:spacing w:line="360" w:lineRule="auto"/>
        <w:ind w:left="1134" w:right="-284"/>
        <w:jc w:val="both"/>
        <w:rPr>
          <w:rFonts w:ascii="Palatino Linotype" w:hAnsi="Palatino Linotype"/>
          <w:i/>
        </w:rPr>
      </w:pPr>
      <w:r w:rsidRPr="008E12A5">
        <w:rPr>
          <w:rFonts w:ascii="Palatino Linotype" w:hAnsi="Palatino Linotype"/>
          <w:i/>
        </w:rPr>
        <w:t xml:space="preserve">Se pone en peligro el orden público cuando la difusión de la información pueda entorpecer los sistemas de coordinación interinstitucional en materia de seguridad pública, </w:t>
      </w:r>
      <w:r w:rsidRPr="008E12A5">
        <w:rPr>
          <w:rFonts w:ascii="Palatino Linotype" w:hAnsi="Palatino Linotype"/>
          <w:i/>
        </w:rPr>
        <w:lastRenderedPageBreak/>
        <w:t>menoscabar o dificultar las estrategias contra la evasión de reos; o menoscabar o limitar la capacidad de las autoridades encaminadas a disuadir o prevenir disturbios sociales.</w:t>
      </w:r>
    </w:p>
    <w:p w:rsidR="00D0097A" w:rsidRPr="008E12A5" w:rsidRDefault="00D0097A" w:rsidP="0014156B">
      <w:pPr>
        <w:spacing w:line="360" w:lineRule="auto"/>
        <w:ind w:left="1134" w:right="-284"/>
        <w:jc w:val="both"/>
        <w:rPr>
          <w:rFonts w:ascii="Palatino Linotype" w:hAnsi="Palatino Linotype"/>
          <w:i/>
        </w:rPr>
      </w:pPr>
    </w:p>
    <w:p w:rsidR="00D0097A" w:rsidRPr="008E12A5" w:rsidRDefault="00D0097A" w:rsidP="0014156B">
      <w:pPr>
        <w:spacing w:line="360" w:lineRule="auto"/>
        <w:ind w:left="1134" w:right="-284"/>
        <w:jc w:val="both"/>
        <w:rPr>
          <w:rFonts w:ascii="Palatino Linotype" w:hAnsi="Palatino Linotype"/>
          <w:i/>
        </w:rPr>
      </w:pPr>
      <w:r w:rsidRPr="008E12A5">
        <w:rPr>
          <w:rFonts w:ascii="Palatino Linotype" w:hAnsi="Palatino Linotype"/>
          <w:i/>
        </w:rPr>
        <w:t>Asimismo, podrá considerarse como reservada aquella que revele datos que pudieran ser aprovechados para conocer la capacidad de reacción de las instituciones encargadas de la seguridad pública, sus planes, estrategias, tecnología, información, sistemas de comunicaciones.”</w:t>
      </w:r>
    </w:p>
    <w:p w:rsidR="00D0097A" w:rsidRPr="008E12A5" w:rsidRDefault="00D0097A" w:rsidP="0014156B">
      <w:pPr>
        <w:spacing w:line="360" w:lineRule="auto"/>
        <w:ind w:left="1134" w:right="-284"/>
        <w:jc w:val="both"/>
        <w:rPr>
          <w:rFonts w:ascii="Palatino Linotype" w:hAnsi="Palatino Linotype"/>
          <w:i/>
        </w:rPr>
      </w:pPr>
      <w:r w:rsidRPr="008E12A5">
        <w:rPr>
          <w:rFonts w:ascii="Palatino Linotype" w:hAnsi="Palatino Linotype"/>
          <w:i/>
        </w:rPr>
        <w:t xml:space="preserve"> </w:t>
      </w:r>
    </w:p>
    <w:p w:rsidR="00D0097A" w:rsidRPr="008E12A5" w:rsidRDefault="005A3869" w:rsidP="0014156B">
      <w:pPr>
        <w:numPr>
          <w:ilvl w:val="0"/>
          <w:numId w:val="2"/>
        </w:numPr>
        <w:spacing w:line="360" w:lineRule="auto"/>
        <w:ind w:left="0" w:right="-284" w:firstLine="0"/>
        <w:jc w:val="both"/>
        <w:rPr>
          <w:rFonts w:ascii="Palatino Linotype" w:hAnsi="Palatino Linotype"/>
        </w:rPr>
      </w:pPr>
      <w:r w:rsidRPr="008E12A5">
        <w:rPr>
          <w:rFonts w:ascii="Palatino Linotype" w:hAnsi="Palatino Linotype"/>
        </w:rPr>
        <w:t>Por lo que se concluye</w:t>
      </w:r>
      <w:r w:rsidR="00D0097A" w:rsidRPr="008E12A5">
        <w:rPr>
          <w:rFonts w:ascii="Palatino Linotype" w:hAnsi="Palatino Linotype"/>
        </w:rPr>
        <w:t xml:space="preserve"> que podrá clasificarse como información reservada, aquélla que comprometa la seguridad pública o bien, entorpezca los sistemas de coordinación interinstitucional en materia de seguridad pública, menoscabe o dificulte las estrategias contra la evasión de reos o la capacidad de las autoridades para disuadir o prevenir disturbios sociales.</w:t>
      </w:r>
    </w:p>
    <w:p w:rsidR="00D0097A" w:rsidRPr="008E12A5" w:rsidRDefault="00D0097A" w:rsidP="0014156B">
      <w:pPr>
        <w:spacing w:line="360" w:lineRule="auto"/>
        <w:ind w:right="-284"/>
        <w:jc w:val="both"/>
        <w:rPr>
          <w:rFonts w:ascii="Palatino Linotype" w:hAnsi="Palatino Linotype"/>
        </w:rPr>
      </w:pPr>
    </w:p>
    <w:p w:rsidR="00D0097A" w:rsidRPr="008E12A5" w:rsidRDefault="005A3869" w:rsidP="0014156B">
      <w:pPr>
        <w:numPr>
          <w:ilvl w:val="0"/>
          <w:numId w:val="2"/>
        </w:numPr>
        <w:spacing w:line="360" w:lineRule="auto"/>
        <w:ind w:left="0" w:right="-284" w:firstLine="0"/>
        <w:jc w:val="both"/>
        <w:rPr>
          <w:rFonts w:ascii="Palatino Linotype" w:hAnsi="Palatino Linotype"/>
        </w:rPr>
      </w:pPr>
      <w:r w:rsidRPr="008E12A5">
        <w:rPr>
          <w:rFonts w:ascii="Palatino Linotype" w:hAnsi="Palatino Linotype"/>
        </w:rPr>
        <w:t>Así mismo</w:t>
      </w:r>
      <w:r w:rsidR="00D0097A" w:rsidRPr="008E12A5">
        <w:rPr>
          <w:rFonts w:ascii="Palatino Linotype" w:hAnsi="Palatino Linotype"/>
        </w:rPr>
        <w:t xml:space="preserve">, será información clasificada aquella que revele datos que pudieran ser aprovechados para conocer la capacidad de reacción de las instituciones encargadas de la seguridad pública, sus planes, </w:t>
      </w:r>
      <w:r w:rsidR="00D0097A" w:rsidRPr="008E12A5">
        <w:rPr>
          <w:rFonts w:ascii="Palatino Linotype" w:hAnsi="Palatino Linotype"/>
          <w:b/>
        </w:rPr>
        <w:t>estrategias,</w:t>
      </w:r>
      <w:r w:rsidR="00D0097A" w:rsidRPr="008E12A5">
        <w:rPr>
          <w:rFonts w:ascii="Palatino Linotype" w:hAnsi="Palatino Linotype"/>
        </w:rPr>
        <w:t xml:space="preserve"> tecnología, información, sistemas de comunicaciones.</w:t>
      </w:r>
    </w:p>
    <w:p w:rsidR="00D0097A" w:rsidRPr="008E12A5" w:rsidRDefault="00D0097A" w:rsidP="0014156B">
      <w:pPr>
        <w:spacing w:line="360" w:lineRule="auto"/>
        <w:ind w:right="-284"/>
        <w:jc w:val="both"/>
        <w:rPr>
          <w:rFonts w:ascii="Palatino Linotype" w:hAnsi="Palatino Linotype"/>
        </w:rPr>
      </w:pPr>
    </w:p>
    <w:p w:rsidR="00D0097A" w:rsidRPr="008E12A5" w:rsidRDefault="00D0097A" w:rsidP="0014156B">
      <w:pPr>
        <w:numPr>
          <w:ilvl w:val="0"/>
          <w:numId w:val="2"/>
        </w:numPr>
        <w:spacing w:line="360" w:lineRule="auto"/>
        <w:ind w:right="-284"/>
        <w:jc w:val="both"/>
        <w:rPr>
          <w:rFonts w:ascii="Palatino Linotype" w:hAnsi="Palatino Linotype"/>
        </w:rPr>
      </w:pPr>
      <w:r w:rsidRPr="008E12A5">
        <w:rPr>
          <w:rFonts w:ascii="Palatino Linotype" w:hAnsi="Palatino Linotype"/>
        </w:rPr>
        <w:t>En ese orden de ideas, el artículo 81 de la Ley de Seguridad del Estado de México, que establece lo siguiente:</w:t>
      </w:r>
    </w:p>
    <w:p w:rsidR="00D0097A" w:rsidRPr="008E12A5" w:rsidRDefault="00D0097A" w:rsidP="0014156B">
      <w:pPr>
        <w:spacing w:line="360" w:lineRule="auto"/>
        <w:ind w:right="-284"/>
        <w:jc w:val="both"/>
        <w:rPr>
          <w:rFonts w:ascii="Palatino Linotype" w:hAnsi="Palatino Linotype"/>
        </w:rPr>
      </w:pPr>
    </w:p>
    <w:p w:rsidR="00D0097A" w:rsidRPr="008E12A5" w:rsidRDefault="00D0097A" w:rsidP="0014156B">
      <w:pPr>
        <w:spacing w:line="360" w:lineRule="auto"/>
        <w:ind w:left="1134" w:right="-284"/>
        <w:jc w:val="both"/>
        <w:rPr>
          <w:rFonts w:ascii="Palatino Linotype" w:hAnsi="Palatino Linotype"/>
          <w:i/>
        </w:rPr>
      </w:pPr>
      <w:r w:rsidRPr="008E12A5">
        <w:rPr>
          <w:rFonts w:ascii="Palatino Linotype" w:hAnsi="Palatino Linotype"/>
          <w:i/>
        </w:rPr>
        <w:lastRenderedPageBreak/>
        <w:t>“Artículo 81.-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w:t>
      </w:r>
    </w:p>
    <w:p w:rsidR="00D0097A" w:rsidRPr="008E12A5" w:rsidRDefault="00D0097A" w:rsidP="0014156B">
      <w:pPr>
        <w:spacing w:line="360" w:lineRule="auto"/>
        <w:ind w:left="1134" w:right="-284"/>
        <w:jc w:val="both"/>
        <w:rPr>
          <w:rFonts w:ascii="Palatino Linotype" w:hAnsi="Palatino Linotype"/>
          <w:i/>
        </w:rPr>
      </w:pPr>
    </w:p>
    <w:p w:rsidR="00D0097A" w:rsidRPr="008E12A5" w:rsidRDefault="00D0097A" w:rsidP="0014156B">
      <w:pPr>
        <w:spacing w:line="360" w:lineRule="auto"/>
        <w:ind w:left="1134" w:right="-284"/>
        <w:jc w:val="both"/>
        <w:rPr>
          <w:rFonts w:ascii="Palatino Linotype" w:hAnsi="Palatino Linotype"/>
          <w:i/>
        </w:rPr>
      </w:pPr>
      <w:r w:rsidRPr="008E12A5">
        <w:rPr>
          <w:rFonts w:ascii="Palatino Linotype" w:hAnsi="Palatino Linotype"/>
          <w:i/>
        </w:rPr>
        <w:t>Aquella cuya divulgación implique la revelación de normas, procedimientos, métodos, fuentes, especificaciones técnicas, sistemas, tecnología o equipos útiles a la generación de inteligencia para la seguridad pública o el combate a la delincuencia en el Estado de México;</w:t>
      </w:r>
    </w:p>
    <w:p w:rsidR="00D0097A" w:rsidRPr="008E12A5" w:rsidRDefault="00D0097A" w:rsidP="0014156B">
      <w:pPr>
        <w:spacing w:line="360" w:lineRule="auto"/>
        <w:ind w:left="1134" w:right="-284"/>
        <w:jc w:val="both"/>
        <w:rPr>
          <w:rFonts w:ascii="Palatino Linotype" w:hAnsi="Palatino Linotype"/>
          <w:i/>
        </w:rPr>
      </w:pPr>
    </w:p>
    <w:p w:rsidR="00D0097A" w:rsidRPr="008E12A5" w:rsidRDefault="00D0097A" w:rsidP="0014156B">
      <w:pPr>
        <w:spacing w:line="360" w:lineRule="auto"/>
        <w:ind w:left="1134" w:right="-284"/>
        <w:jc w:val="both"/>
        <w:rPr>
          <w:rFonts w:ascii="Palatino Linotype" w:hAnsi="Palatino Linotype"/>
          <w:i/>
        </w:rPr>
      </w:pPr>
      <w:r w:rsidRPr="008E12A5">
        <w:rPr>
          <w:rFonts w:ascii="Palatino Linotype" w:hAnsi="Palatino Linotype"/>
          <w:i/>
        </w:rPr>
        <w:t>Aquella cuya revelación pueda ser utilizada para actualizar o potenciar una amenaza a la seguridad pública o a las instituciones del Estado de México;</w:t>
      </w:r>
    </w:p>
    <w:p w:rsidR="00D0097A" w:rsidRPr="008E12A5" w:rsidRDefault="00D0097A" w:rsidP="0014156B">
      <w:pPr>
        <w:spacing w:line="360" w:lineRule="auto"/>
        <w:ind w:left="1134" w:right="-284"/>
        <w:jc w:val="both"/>
        <w:rPr>
          <w:rFonts w:ascii="Palatino Linotype" w:hAnsi="Palatino Linotype"/>
        </w:rPr>
      </w:pPr>
      <w:r w:rsidRPr="008E12A5">
        <w:rPr>
          <w:rFonts w:ascii="Palatino Linotype" w:hAnsi="Palatino Linotype"/>
        </w:rPr>
        <w:t>…</w:t>
      </w:r>
    </w:p>
    <w:p w:rsidR="00D0097A" w:rsidRPr="008E12A5" w:rsidRDefault="00D0097A" w:rsidP="0014156B">
      <w:pPr>
        <w:spacing w:line="360" w:lineRule="auto"/>
        <w:ind w:left="1134" w:right="-284"/>
        <w:jc w:val="both"/>
        <w:rPr>
          <w:rFonts w:ascii="Palatino Linotype" w:hAnsi="Palatino Linotype"/>
        </w:rPr>
      </w:pPr>
      <w:r w:rsidRPr="008E12A5">
        <w:rPr>
          <w:rFonts w:ascii="Palatino Linotype" w:hAnsi="Palatino Linotype"/>
        </w:rPr>
        <w:t xml:space="preserve"> </w:t>
      </w:r>
    </w:p>
    <w:p w:rsidR="00D0097A" w:rsidRPr="008E12A5" w:rsidRDefault="00D0097A" w:rsidP="0014156B">
      <w:pPr>
        <w:spacing w:line="360" w:lineRule="auto"/>
        <w:ind w:left="1134" w:right="-284"/>
        <w:jc w:val="both"/>
        <w:rPr>
          <w:rFonts w:ascii="Palatino Linotype" w:hAnsi="Palatino Linotype"/>
          <w:i/>
        </w:rPr>
      </w:pPr>
      <w:r w:rsidRPr="008E12A5">
        <w:rPr>
          <w:rFonts w:ascii="Palatino Linotype" w:hAnsi="Palatino Linotype"/>
          <w:i/>
        </w:rPr>
        <w:t>La que sea producto de una intervención de comunicaciones privadas autorizadas conforme a la Constitución Federal y las disposiciones legales correspondientes; y</w:t>
      </w:r>
    </w:p>
    <w:p w:rsidR="00D0097A" w:rsidRPr="008E12A5" w:rsidRDefault="00D0097A" w:rsidP="0014156B">
      <w:pPr>
        <w:spacing w:line="360" w:lineRule="auto"/>
        <w:ind w:left="1134" w:right="-284"/>
        <w:jc w:val="both"/>
        <w:rPr>
          <w:rFonts w:ascii="Palatino Linotype" w:hAnsi="Palatino Linotype"/>
          <w:i/>
        </w:rPr>
      </w:pPr>
    </w:p>
    <w:p w:rsidR="00D0097A" w:rsidRPr="008E12A5" w:rsidRDefault="00D0097A" w:rsidP="0014156B">
      <w:pPr>
        <w:spacing w:line="276" w:lineRule="auto"/>
        <w:ind w:left="1134" w:right="-284"/>
        <w:jc w:val="both"/>
        <w:rPr>
          <w:rFonts w:ascii="Palatino Linotype" w:hAnsi="Palatino Linotype"/>
          <w:i/>
        </w:rPr>
      </w:pPr>
      <w:r w:rsidRPr="008E12A5">
        <w:rPr>
          <w:rFonts w:ascii="Palatino Linotype" w:hAnsi="Palatino Linotype"/>
          <w:i/>
        </w:rPr>
        <w:t>La contenida en averiguaciones previas, carpetas de investigación, expedientes y demás archivos relativos a la investigación para la prevención y la investigación de los delitos y faltas administrativas, en términos de las disposiciones aplicables.”</w:t>
      </w:r>
    </w:p>
    <w:p w:rsidR="00D0097A" w:rsidRPr="008E12A5" w:rsidRDefault="00D0097A" w:rsidP="0014156B">
      <w:pPr>
        <w:spacing w:line="360" w:lineRule="auto"/>
        <w:ind w:right="-284"/>
        <w:jc w:val="both"/>
        <w:rPr>
          <w:rFonts w:ascii="Palatino Linotype" w:hAnsi="Palatino Linotype"/>
        </w:rPr>
      </w:pPr>
    </w:p>
    <w:p w:rsidR="00D0097A" w:rsidRPr="008E12A5" w:rsidRDefault="00D0097A" w:rsidP="0014156B">
      <w:pPr>
        <w:numPr>
          <w:ilvl w:val="0"/>
          <w:numId w:val="2"/>
        </w:numPr>
        <w:spacing w:line="360" w:lineRule="auto"/>
        <w:ind w:left="0" w:right="-284" w:firstLine="0"/>
        <w:jc w:val="both"/>
        <w:rPr>
          <w:rFonts w:ascii="Palatino Linotype" w:hAnsi="Palatino Linotype"/>
        </w:rPr>
      </w:pPr>
      <w:r w:rsidRPr="008E12A5">
        <w:rPr>
          <w:rFonts w:ascii="Palatino Linotype" w:hAnsi="Palatino Linotype"/>
        </w:rPr>
        <w:t>De lo anterior, se logra desprender que es información reservada, aquella que pueda revelar las normas, procedimientos, métodos, fuentes, técnicas, sistemas y tecnología, útiles a la generación de inteligencia para la seguridad pública o el combate a la delincuencia, que pueda potenciar o amenazar la seguridad pública o las instituciones del Estad</w:t>
      </w:r>
      <w:r w:rsidR="00AB1A3A" w:rsidRPr="008E12A5">
        <w:rPr>
          <w:rFonts w:ascii="Palatino Linotype" w:hAnsi="Palatino Linotype"/>
        </w:rPr>
        <w:t>o de México</w:t>
      </w:r>
      <w:r w:rsidRPr="008E12A5">
        <w:rPr>
          <w:rFonts w:ascii="Palatino Linotype" w:hAnsi="Palatino Linotype"/>
        </w:rPr>
        <w:t>.</w:t>
      </w:r>
    </w:p>
    <w:p w:rsidR="00323266" w:rsidRPr="008E12A5" w:rsidRDefault="00323266" w:rsidP="0014156B">
      <w:pPr>
        <w:numPr>
          <w:ilvl w:val="0"/>
          <w:numId w:val="15"/>
        </w:numPr>
        <w:pBdr>
          <w:top w:val="nil"/>
          <w:left w:val="nil"/>
          <w:bottom w:val="nil"/>
          <w:right w:val="nil"/>
          <w:between w:val="nil"/>
        </w:pBd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lastRenderedPageBreak/>
        <w:t xml:space="preserve">Sirven de sustento a lo anterior, las tesis jurisprudenciales </w:t>
      </w:r>
      <w:r w:rsidRPr="008E12A5">
        <w:rPr>
          <w:rFonts w:ascii="Palatino Linotype" w:eastAsia="Palatino Linotype" w:hAnsi="Palatino Linotype" w:cs="Palatino Linotype"/>
          <w:i/>
        </w:rPr>
        <w:t xml:space="preserve">P. LX/2000 </w:t>
      </w:r>
      <w:r w:rsidRPr="008E12A5">
        <w:rPr>
          <w:rFonts w:ascii="Palatino Linotype" w:eastAsia="Palatino Linotype" w:hAnsi="Palatino Linotype" w:cs="Palatino Linotype"/>
        </w:rPr>
        <w:t xml:space="preserve">y </w:t>
      </w:r>
      <w:r w:rsidRPr="008E12A5">
        <w:rPr>
          <w:rFonts w:ascii="Palatino Linotype" w:eastAsia="Palatino Linotype" w:hAnsi="Palatino Linotype" w:cs="Palatino Linotype"/>
          <w:i/>
        </w:rPr>
        <w:t>2a. XLIII/2008</w:t>
      </w:r>
      <w:r w:rsidRPr="008E12A5">
        <w:rPr>
          <w:rFonts w:ascii="Palatino Linotype" w:eastAsia="Palatino Linotype" w:hAnsi="Palatino Linotype" w:cs="Palatino Linotype"/>
          <w:b/>
        </w:rPr>
        <w:t xml:space="preserve"> </w:t>
      </w:r>
      <w:r w:rsidRPr="008E12A5">
        <w:rPr>
          <w:rFonts w:ascii="Palatino Linotype" w:eastAsia="Palatino Linotype" w:hAnsi="Palatino Linotype" w:cs="Palatino Linotype"/>
        </w:rPr>
        <w:t>emitidas por el Peno y la Segunda Sala de la Suprema Corte de Justicia de la Nación, respectivamente, que son del tenor literal siguiente:</w:t>
      </w:r>
    </w:p>
    <w:p w:rsidR="00323266" w:rsidRPr="008E12A5" w:rsidRDefault="00323266" w:rsidP="0014156B">
      <w:pPr>
        <w:spacing w:line="276" w:lineRule="auto"/>
        <w:ind w:left="1134" w:right="-284"/>
        <w:jc w:val="both"/>
        <w:rPr>
          <w:rFonts w:ascii="Palatino Linotype" w:eastAsia="Palatino Linotype" w:hAnsi="Palatino Linotype" w:cs="Palatino Linotype"/>
          <w:i/>
        </w:rPr>
      </w:pPr>
      <w:r w:rsidRPr="008E12A5">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8E12A5">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8E12A5">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8E12A5">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8E12A5">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8E12A5">
        <w:rPr>
          <w:rFonts w:ascii="Palatino Linotype" w:eastAsia="Palatino Linotype" w:hAnsi="Palatino Linotype" w:cs="Palatino Linotype"/>
          <w:i/>
        </w:rPr>
        <w:t>.”</w:t>
      </w:r>
    </w:p>
    <w:p w:rsidR="00323266" w:rsidRPr="008E12A5" w:rsidRDefault="00323266" w:rsidP="0014156B">
      <w:pPr>
        <w:spacing w:line="276" w:lineRule="auto"/>
        <w:ind w:left="1134" w:right="-284"/>
        <w:jc w:val="both"/>
        <w:rPr>
          <w:rFonts w:ascii="Palatino Linotype" w:eastAsia="Palatino Linotype" w:hAnsi="Palatino Linotype" w:cs="Palatino Linotype"/>
          <w:i/>
        </w:rPr>
      </w:pPr>
    </w:p>
    <w:p w:rsidR="00323266" w:rsidRPr="008E12A5" w:rsidRDefault="00323266" w:rsidP="0014156B">
      <w:pPr>
        <w:spacing w:line="276" w:lineRule="auto"/>
        <w:ind w:left="1134" w:right="-284"/>
        <w:jc w:val="both"/>
        <w:rPr>
          <w:rFonts w:ascii="Palatino Linotype" w:eastAsia="Palatino Linotype" w:hAnsi="Palatino Linotype" w:cs="Palatino Linotype"/>
          <w:i/>
        </w:rPr>
      </w:pPr>
      <w:r w:rsidRPr="008E12A5">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8E12A5">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w:t>
      </w:r>
      <w:r w:rsidRPr="008E12A5">
        <w:rPr>
          <w:rFonts w:ascii="Palatino Linotype" w:eastAsia="Palatino Linotype" w:hAnsi="Palatino Linotype" w:cs="Palatino Linotype"/>
          <w:i/>
        </w:rPr>
        <w:lastRenderedPageBreak/>
        <w:t xml:space="preserve">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8E12A5">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8E12A5">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323266" w:rsidRPr="008E12A5" w:rsidRDefault="00323266" w:rsidP="0014156B">
      <w:pPr>
        <w:spacing w:line="276" w:lineRule="auto"/>
        <w:ind w:left="1134" w:right="-284"/>
        <w:jc w:val="both"/>
        <w:rPr>
          <w:rFonts w:ascii="Palatino Linotype" w:eastAsia="Palatino Linotype" w:hAnsi="Palatino Linotype" w:cs="Palatino Linotype"/>
          <w:i/>
        </w:rPr>
      </w:pPr>
    </w:p>
    <w:p w:rsidR="00323266" w:rsidRPr="008E12A5" w:rsidRDefault="00323266" w:rsidP="0014156B">
      <w:pPr>
        <w:pStyle w:val="Prrafodelista"/>
        <w:numPr>
          <w:ilvl w:val="0"/>
          <w:numId w:val="15"/>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Por cuanto hace a la reserva y ampliación del plazo de reserva de la información, para motivar la clasificación se deberán de señalar las razones, motivos o circunstancias especiales que llevaron al </w:t>
      </w:r>
      <w:r w:rsidRPr="008E12A5">
        <w:rPr>
          <w:rFonts w:ascii="Palatino Linotype" w:eastAsia="Palatino Linotype" w:hAnsi="Palatino Linotype" w:cs="Palatino Linotype"/>
          <w:b/>
        </w:rPr>
        <w:t>Sujeto Obligado</w:t>
      </w:r>
      <w:r w:rsidRPr="008E12A5">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w:t>
      </w:r>
      <w:r w:rsidRPr="008E12A5">
        <w:rPr>
          <w:rFonts w:ascii="Palatino Linotype" w:eastAsia="Palatino Linotype" w:hAnsi="Palatino Linotype" w:cs="Palatino Linotype"/>
        </w:rPr>
        <w:lastRenderedPageBreak/>
        <w:t>que puede producirse con la publicidad de la información, es mayor que el interés de conocerla; debiendo clasificarse como reservada.</w:t>
      </w:r>
    </w:p>
    <w:p w:rsidR="00323266" w:rsidRPr="008E12A5" w:rsidRDefault="00323266" w:rsidP="0014156B">
      <w:pPr>
        <w:spacing w:line="360" w:lineRule="auto"/>
        <w:ind w:right="-284"/>
        <w:jc w:val="both"/>
        <w:rPr>
          <w:rFonts w:ascii="Palatino Linotype" w:eastAsia="Palatino Linotype" w:hAnsi="Palatino Linotype" w:cs="Palatino Linotype"/>
        </w:rPr>
      </w:pPr>
    </w:p>
    <w:p w:rsidR="00323266" w:rsidRPr="008E12A5" w:rsidRDefault="00323266" w:rsidP="0014156B">
      <w:pPr>
        <w:pStyle w:val="Prrafodelista"/>
        <w:numPr>
          <w:ilvl w:val="0"/>
          <w:numId w:val="15"/>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rsidR="00323266" w:rsidRPr="008E12A5" w:rsidRDefault="00323266" w:rsidP="0014156B">
      <w:pPr>
        <w:numPr>
          <w:ilvl w:val="0"/>
          <w:numId w:val="16"/>
        </w:numPr>
        <w:tabs>
          <w:tab w:val="left" w:pos="851"/>
        </w:tabs>
        <w:spacing w:line="360" w:lineRule="auto"/>
        <w:ind w:left="567" w:right="-284" w:firstLine="1"/>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La divulgación de la información representa un </w:t>
      </w:r>
      <w:r w:rsidRPr="008E12A5">
        <w:rPr>
          <w:rFonts w:ascii="Palatino Linotype" w:eastAsia="Palatino Linotype" w:hAnsi="Palatino Linotype" w:cs="Palatino Linotype"/>
          <w:b/>
        </w:rPr>
        <w:t>riesgo real, demostrable e identificable del perjuicio significativo al interés público o a la seguridad pública</w:t>
      </w:r>
      <w:r w:rsidRPr="008E12A5">
        <w:rPr>
          <w:rFonts w:ascii="Palatino Linotype" w:eastAsia="Palatino Linotype" w:hAnsi="Palatino Linotype" w:cs="Palatino Linotype"/>
        </w:rPr>
        <w:t>;</w:t>
      </w:r>
    </w:p>
    <w:p w:rsidR="00323266" w:rsidRPr="008E12A5" w:rsidRDefault="00323266" w:rsidP="0014156B">
      <w:pPr>
        <w:numPr>
          <w:ilvl w:val="0"/>
          <w:numId w:val="16"/>
        </w:numPr>
        <w:tabs>
          <w:tab w:val="left" w:pos="851"/>
        </w:tabs>
        <w:spacing w:line="360" w:lineRule="auto"/>
        <w:ind w:left="567" w:right="-284" w:firstLine="1"/>
        <w:jc w:val="both"/>
        <w:rPr>
          <w:rFonts w:ascii="Palatino Linotype" w:eastAsia="Palatino Linotype" w:hAnsi="Palatino Linotype" w:cs="Palatino Linotype"/>
        </w:rPr>
      </w:pPr>
      <w:r w:rsidRPr="008E12A5">
        <w:rPr>
          <w:rFonts w:ascii="Palatino Linotype" w:eastAsia="Palatino Linotype" w:hAnsi="Palatino Linotype" w:cs="Palatino Linotype"/>
        </w:rPr>
        <w:t>El riesgo de perjuicio que supondría la divulgación supera el interés público general de que se difunda; y,</w:t>
      </w:r>
    </w:p>
    <w:p w:rsidR="00323266" w:rsidRPr="008E12A5" w:rsidRDefault="00323266" w:rsidP="0014156B">
      <w:pPr>
        <w:numPr>
          <w:ilvl w:val="0"/>
          <w:numId w:val="16"/>
        </w:numPr>
        <w:tabs>
          <w:tab w:val="left" w:pos="851"/>
        </w:tabs>
        <w:spacing w:line="360" w:lineRule="auto"/>
        <w:ind w:left="567" w:right="-284" w:firstLine="1"/>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La limitación se adecua al principio de proporcionalidad y representa el medio menos restrictivo disponible para evitar el perjuicio. </w:t>
      </w:r>
    </w:p>
    <w:p w:rsidR="00323266" w:rsidRPr="008E12A5" w:rsidRDefault="00323266" w:rsidP="0014156B">
      <w:pPr>
        <w:tabs>
          <w:tab w:val="left" w:pos="851"/>
        </w:tabs>
        <w:spacing w:line="360" w:lineRule="auto"/>
        <w:ind w:left="568" w:right="-284"/>
        <w:jc w:val="both"/>
        <w:rPr>
          <w:rFonts w:ascii="Palatino Linotype" w:eastAsia="Palatino Linotype" w:hAnsi="Palatino Linotype" w:cs="Palatino Linotype"/>
        </w:rPr>
      </w:pPr>
    </w:p>
    <w:p w:rsidR="00323266" w:rsidRPr="008E12A5" w:rsidRDefault="00323266" w:rsidP="0014156B">
      <w:pPr>
        <w:pStyle w:val="Prrafodelista"/>
        <w:numPr>
          <w:ilvl w:val="0"/>
          <w:numId w:val="15"/>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Siendo pertinente aclarar que, la información que se clasifica bajo la premisa de reservada, </w:t>
      </w:r>
      <w:r w:rsidRPr="008E12A5">
        <w:rPr>
          <w:rFonts w:ascii="Palatino Linotype" w:eastAsia="Palatino Linotype" w:hAnsi="Palatino Linotype" w:cs="Palatino Linotype"/>
          <w:b/>
        </w:rPr>
        <w:t>no pierde el carácter de pública</w:t>
      </w:r>
      <w:r w:rsidRPr="008E12A5">
        <w:rPr>
          <w:rFonts w:ascii="Palatino Linotype" w:eastAsia="Palatino Linotype" w:hAnsi="Palatino Linotype" w:cs="Palatino Linotype"/>
        </w:rPr>
        <w:t xml:space="preserve">, sino que </w:t>
      </w:r>
      <w:r w:rsidRPr="008E12A5">
        <w:rPr>
          <w:rFonts w:ascii="Palatino Linotype" w:eastAsia="Palatino Linotype" w:hAnsi="Palatino Linotype" w:cs="Palatino Linotype"/>
          <w:b/>
        </w:rPr>
        <w:t>se reserva temporalmente</w:t>
      </w:r>
      <w:r w:rsidRPr="008E12A5">
        <w:rPr>
          <w:rFonts w:ascii="Palatino Linotype" w:eastAsia="Palatino Linotype" w:hAnsi="Palatino Linotype" w:cs="Palatino Linotype"/>
        </w:rPr>
        <w:t xml:space="preserve"> </w:t>
      </w:r>
      <w:r w:rsidRPr="008E12A5">
        <w:rPr>
          <w:rFonts w:ascii="Palatino Linotype" w:eastAsia="Palatino Linotype" w:hAnsi="Palatino Linotype" w:cs="Palatino Linotype"/>
          <w:b/>
        </w:rPr>
        <w:t>del conocimiento público</w:t>
      </w:r>
      <w:r w:rsidRPr="008E12A5">
        <w:rPr>
          <w:rFonts w:ascii="Palatino Linotype" w:eastAsia="Palatino Linotype" w:hAnsi="Palatino Linotype" w:cs="Palatino Linotype"/>
        </w:rPr>
        <w:t xml:space="preserve">, es decir, que, </w:t>
      </w:r>
      <w:r w:rsidRPr="008E12A5">
        <w:rPr>
          <w:rFonts w:ascii="Palatino Linotype" w:eastAsia="Palatino Linotype" w:hAnsi="Palatino Linotype" w:cs="Palatino Linotype"/>
          <w:b/>
        </w:rPr>
        <w:t>por un tiempo determinado</w:t>
      </w:r>
      <w:r w:rsidRPr="008E12A5">
        <w:rPr>
          <w:rFonts w:ascii="Palatino Linotype" w:eastAsia="Palatino Linotype" w:hAnsi="Palatino Linotype" w:cs="Palatino Linotype"/>
        </w:rPr>
        <w:t>, se conservará y custodiará la información de manera especial, y una vez transcurrido el plazo de reserva, el documento podrá divulgarse.</w:t>
      </w:r>
    </w:p>
    <w:p w:rsidR="00323266" w:rsidRPr="008E12A5" w:rsidRDefault="00323266" w:rsidP="0014156B">
      <w:pPr>
        <w:spacing w:line="360" w:lineRule="auto"/>
        <w:ind w:right="-284"/>
        <w:jc w:val="both"/>
        <w:rPr>
          <w:rFonts w:ascii="Palatino Linotype" w:eastAsia="Palatino Linotype" w:hAnsi="Palatino Linotype" w:cs="Palatino Linotype"/>
        </w:rPr>
      </w:pPr>
    </w:p>
    <w:p w:rsidR="00323266" w:rsidRPr="008E12A5" w:rsidRDefault="00323266" w:rsidP="0014156B">
      <w:pPr>
        <w:pStyle w:val="Prrafodelista"/>
        <w:numPr>
          <w:ilvl w:val="0"/>
          <w:numId w:val="15"/>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B1A3A" w:rsidRPr="008E12A5" w:rsidRDefault="00AB1A3A" w:rsidP="0014156B">
      <w:pPr>
        <w:pStyle w:val="Prrafodelista"/>
        <w:ind w:right="-284"/>
        <w:rPr>
          <w:rFonts w:ascii="Palatino Linotype" w:eastAsia="Palatino Linotype" w:hAnsi="Palatino Linotype" w:cs="Palatino Linotype"/>
        </w:rPr>
      </w:pPr>
    </w:p>
    <w:p w:rsidR="00AB1A3A" w:rsidRPr="008E12A5" w:rsidRDefault="007E1A52" w:rsidP="0014156B">
      <w:pPr>
        <w:pStyle w:val="Prrafodelista"/>
        <w:numPr>
          <w:ilvl w:val="0"/>
          <w:numId w:val="17"/>
        </w:numPr>
        <w:spacing w:before="240" w:after="240"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De lo anterior,  deberá atender </w:t>
      </w:r>
      <w:r w:rsidR="00AB1A3A" w:rsidRPr="008E12A5">
        <w:rPr>
          <w:rFonts w:ascii="Palatino Linotype" w:eastAsia="Palatino Linotype" w:hAnsi="Palatino Linotype" w:cs="Palatino Linotype"/>
        </w:rPr>
        <w:t xml:space="preserve">las formalidades que establece el  lineamiento Trigésimo Tercero, de los Lineamientos Generales en Materia de Clasificación y Desclasificación de la Información, que </w:t>
      </w:r>
      <w:r w:rsidRPr="008E12A5">
        <w:rPr>
          <w:rFonts w:ascii="Palatino Linotype" w:eastAsia="Palatino Linotype" w:hAnsi="Palatino Linotype" w:cs="Palatino Linotype"/>
        </w:rPr>
        <w:t xml:space="preserve">de manera orientativa </w:t>
      </w:r>
      <w:r w:rsidR="00AB1A3A" w:rsidRPr="008E12A5">
        <w:rPr>
          <w:rFonts w:ascii="Palatino Linotype" w:eastAsia="Palatino Linotype" w:hAnsi="Palatino Linotype" w:cs="Palatino Linotype"/>
        </w:rPr>
        <w:t>dispone lo siguiente:</w:t>
      </w:r>
    </w:p>
    <w:p w:rsidR="00AB1A3A" w:rsidRPr="008E12A5" w:rsidRDefault="00AB1A3A" w:rsidP="0014156B">
      <w:pPr>
        <w:spacing w:before="240" w:after="240" w:line="276" w:lineRule="auto"/>
        <w:ind w:left="1134" w:right="-284"/>
        <w:jc w:val="both"/>
        <w:rPr>
          <w:rFonts w:ascii="Palatino Linotype" w:eastAsia="Palatino Linotype" w:hAnsi="Palatino Linotype" w:cs="Palatino Linotype"/>
          <w:i/>
        </w:rPr>
      </w:pPr>
      <w:r w:rsidRPr="008E12A5">
        <w:rPr>
          <w:rFonts w:ascii="Palatino Linotype" w:eastAsia="Palatino Linotype" w:hAnsi="Palatino Linotype" w:cs="Palatino Linotype"/>
          <w:i/>
        </w:rPr>
        <w:t>“Trigésimo tercero. Para la aplicación de la prueba de daño a la que hace referencia el artículo 104 de la Ley General, los sujetos obligados atenderán lo siguiente:</w:t>
      </w:r>
    </w:p>
    <w:p w:rsidR="00AB1A3A" w:rsidRPr="008E12A5" w:rsidRDefault="00AB1A3A" w:rsidP="0014156B">
      <w:pPr>
        <w:spacing w:before="240" w:after="240" w:line="276" w:lineRule="auto"/>
        <w:ind w:left="1134" w:right="-284"/>
        <w:jc w:val="both"/>
        <w:rPr>
          <w:rFonts w:ascii="Palatino Linotype" w:eastAsia="Palatino Linotype" w:hAnsi="Palatino Linotype" w:cs="Palatino Linotype"/>
          <w:i/>
        </w:rPr>
      </w:pPr>
      <w:r w:rsidRPr="008E12A5">
        <w:rPr>
          <w:rFonts w:ascii="Palatino Linotype" w:eastAsia="Palatino Linotype" w:hAnsi="Palatino Linotype" w:cs="Palatino Linotype"/>
          <w:i/>
        </w:rPr>
        <w:t>I. 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AB1A3A" w:rsidRPr="008E12A5" w:rsidRDefault="00AB1A3A" w:rsidP="0014156B">
      <w:pPr>
        <w:spacing w:before="240" w:after="240" w:line="276" w:lineRule="auto"/>
        <w:ind w:left="1134" w:right="-284"/>
        <w:jc w:val="both"/>
        <w:rPr>
          <w:rFonts w:ascii="Palatino Linotype" w:eastAsia="Palatino Linotype" w:hAnsi="Palatino Linotype" w:cs="Palatino Linotype"/>
          <w:i/>
        </w:rPr>
      </w:pPr>
      <w:r w:rsidRPr="008E12A5">
        <w:rPr>
          <w:rFonts w:ascii="Palatino Linotype" w:eastAsia="Palatino Linotype" w:hAnsi="Palatino Linotype" w:cs="Palatino Linotype"/>
          <w:i/>
        </w:rPr>
        <w:t>II. Se deberá motivar la clasificación, señalando las circunstancias de modo, tiempo y lugar que acrediten el vínculo entre la difusión de la información y la afectación al interés público o a la seguridad nacional;</w:t>
      </w:r>
    </w:p>
    <w:p w:rsidR="00AB1A3A" w:rsidRPr="008E12A5" w:rsidRDefault="00AB1A3A" w:rsidP="0014156B">
      <w:pPr>
        <w:spacing w:before="240" w:after="240" w:line="276" w:lineRule="auto"/>
        <w:ind w:left="1134" w:right="-284"/>
        <w:jc w:val="both"/>
        <w:rPr>
          <w:rFonts w:ascii="Palatino Linotype" w:eastAsia="Palatino Linotype" w:hAnsi="Palatino Linotype" w:cs="Palatino Linotype"/>
          <w:i/>
        </w:rPr>
      </w:pPr>
      <w:r w:rsidRPr="008E12A5">
        <w:rPr>
          <w:rFonts w:ascii="Palatino Linotype" w:eastAsia="Palatino Linotype" w:hAnsi="Palatino Linotype" w:cs="Palatino Linotype"/>
          <w:i/>
        </w:rPr>
        <w:t>III. Se deberán precisar las razones objetivas por las que la apertura de la información generaría un riesgo de perjuicio real, demostrable e identificable al interés jurídico tutelado de que se trate;</w:t>
      </w:r>
    </w:p>
    <w:p w:rsidR="00AB1A3A" w:rsidRPr="008E12A5" w:rsidRDefault="00AB1A3A" w:rsidP="0014156B">
      <w:pPr>
        <w:spacing w:before="240" w:after="240" w:line="276" w:lineRule="auto"/>
        <w:ind w:left="1134" w:right="-284"/>
        <w:jc w:val="both"/>
        <w:rPr>
          <w:rFonts w:ascii="Palatino Linotype" w:eastAsia="Palatino Linotype" w:hAnsi="Palatino Linotype" w:cs="Palatino Linotype"/>
          <w:i/>
        </w:rPr>
      </w:pPr>
      <w:r w:rsidRPr="008E12A5">
        <w:rPr>
          <w:rFonts w:ascii="Palatino Linotype" w:eastAsia="Palatino Linotype" w:hAnsi="Palatino Linotype" w:cs="Palatino Linotype"/>
          <w:i/>
        </w:rPr>
        <w:t xml:space="preserve">IV. 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 </w:t>
      </w:r>
    </w:p>
    <w:p w:rsidR="00AB1A3A" w:rsidRPr="008E12A5" w:rsidRDefault="00AB1A3A" w:rsidP="0014156B">
      <w:pPr>
        <w:spacing w:before="240" w:after="240" w:line="276" w:lineRule="auto"/>
        <w:ind w:left="1134" w:right="-284"/>
        <w:jc w:val="both"/>
        <w:rPr>
          <w:rFonts w:ascii="Palatino Linotype" w:eastAsia="Palatino Linotype" w:hAnsi="Palatino Linotype" w:cs="Palatino Linotype"/>
          <w:i/>
        </w:rPr>
      </w:pPr>
      <w:r w:rsidRPr="008E12A5">
        <w:rPr>
          <w:rFonts w:ascii="Palatino Linotype" w:eastAsia="Palatino Linotype" w:hAnsi="Palatino Linotype" w:cs="Palatino Linotype"/>
          <w:i/>
        </w:rPr>
        <w:t xml:space="preserve">V. Deberán elegir y justificar la opción de excepción al derecho de acceso a la información que menos lo restrinja y que sea adecuada y proporcional para evitar el perjuicio al interés </w:t>
      </w:r>
      <w:r w:rsidRPr="008E12A5">
        <w:rPr>
          <w:rFonts w:ascii="Palatino Linotype" w:eastAsia="Palatino Linotype" w:hAnsi="Palatino Linotype" w:cs="Palatino Linotype"/>
          <w:i/>
        </w:rPr>
        <w:lastRenderedPageBreak/>
        <w:t xml:space="preserve">público, evitando siempre que sea posible la reserva absoluta de documentos o expedientes; y </w:t>
      </w:r>
    </w:p>
    <w:p w:rsidR="00AB1A3A" w:rsidRPr="008E12A5" w:rsidRDefault="00AB1A3A" w:rsidP="0014156B">
      <w:pPr>
        <w:spacing w:before="240" w:after="240" w:line="276" w:lineRule="auto"/>
        <w:ind w:left="1134" w:right="-284"/>
        <w:jc w:val="both"/>
        <w:rPr>
          <w:rFonts w:ascii="Palatino Linotype" w:eastAsia="Palatino Linotype" w:hAnsi="Palatino Linotype" w:cs="Palatino Linotype"/>
          <w:i/>
        </w:rPr>
      </w:pPr>
      <w:r w:rsidRPr="008E12A5">
        <w:rPr>
          <w:rFonts w:ascii="Palatino Linotype" w:eastAsia="Palatino Linotype" w:hAnsi="Palatino Linotype" w:cs="Palatino Linotype"/>
          <w:i/>
        </w:rPr>
        <w:t>VI. 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323266" w:rsidRPr="008E12A5" w:rsidRDefault="00323266" w:rsidP="0014156B">
      <w:pPr>
        <w:spacing w:line="360" w:lineRule="auto"/>
        <w:ind w:right="-284"/>
        <w:jc w:val="both"/>
      </w:pPr>
    </w:p>
    <w:p w:rsidR="00337CB1" w:rsidRPr="008E12A5" w:rsidRDefault="00BF5B66" w:rsidP="008E12A5">
      <w:pPr>
        <w:pStyle w:val="Prrafodelista"/>
        <w:numPr>
          <w:ilvl w:val="0"/>
          <w:numId w:val="17"/>
        </w:numPr>
        <w:spacing w:line="360" w:lineRule="auto"/>
        <w:ind w:left="0" w:right="-284" w:firstLine="0"/>
        <w:jc w:val="both"/>
      </w:pPr>
      <w:r w:rsidRPr="008E12A5">
        <w:rPr>
          <w:rFonts w:ascii="Palatino Linotype" w:eastAsia="Palatino Linotype" w:hAnsi="Palatino Linotype" w:cs="Palatino Linotype"/>
        </w:rPr>
        <w:t xml:space="preserve">Por cuanto hace al punto dos y cinco de la tabla de referencia se advierte del análisis de las documentales entregadas que en primer término el Sujeto Obligado entregó el acta de cabildo donde se aprueba el nombramiento del Director de Seguridad Pública Municipal; en segundo término se aprecia de la respuesta entregada que el servidor público entregaría al Particular las estadísticas correspondientes a los años 2022, 2023, 2024 y 2025 requeridas, sin embargo fue omiso a tal entrega por lo que para ambos casos se observa que la respuesta del Sujeto Obligado no guarda relación a lo requerido por el particular siendo aplicable el Criterio 02/2017 emitido por el Instituto Nacional de Transparencia, Acceso a la Información  y Protección de Datos Personales se establece que: </w:t>
      </w:r>
    </w:p>
    <w:p w:rsidR="00337CB1" w:rsidRPr="008E12A5" w:rsidRDefault="00BF5B66" w:rsidP="0014156B">
      <w:pPr>
        <w:pBdr>
          <w:top w:val="nil"/>
          <w:left w:val="nil"/>
          <w:bottom w:val="nil"/>
          <w:right w:val="nil"/>
          <w:between w:val="nil"/>
        </w:pBdr>
        <w:spacing w:line="276" w:lineRule="auto"/>
        <w:ind w:left="1134" w:right="-284"/>
        <w:jc w:val="both"/>
        <w:rPr>
          <w:i/>
          <w:iCs/>
          <w:color w:val="000000"/>
          <w:highlight w:val="white"/>
        </w:rPr>
      </w:pPr>
      <w:r w:rsidRPr="008E12A5">
        <w:rPr>
          <w:b/>
          <w:bCs/>
          <w:i/>
          <w:iCs/>
          <w:color w:val="000000"/>
          <w:highlight w:val="white"/>
        </w:rPr>
        <w:t xml:space="preserve">Congruencia y exhaustividad. Sus alcances para garantizar el derecho de acceso a la información. </w:t>
      </w:r>
      <w:r w:rsidRPr="008E12A5">
        <w:rPr>
          <w:i/>
          <w:iCs/>
          <w:color w:val="000000"/>
          <w:highlight w:val="white"/>
        </w:rPr>
        <w:t>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337CB1" w:rsidRPr="008E12A5" w:rsidRDefault="00BF5B66" w:rsidP="008E12A5">
      <w:pPr>
        <w:numPr>
          <w:ilvl w:val="0"/>
          <w:numId w:val="17"/>
        </w:numPr>
        <w:pBdr>
          <w:top w:val="nil"/>
          <w:left w:val="nil"/>
          <w:bottom w:val="nil"/>
          <w:right w:val="nil"/>
          <w:between w:val="nil"/>
        </w:pBdr>
        <w:spacing w:line="360" w:lineRule="auto"/>
        <w:ind w:left="-141" w:right="-284" w:firstLine="0"/>
        <w:jc w:val="both"/>
      </w:pPr>
      <w:r w:rsidRPr="008E12A5">
        <w:rPr>
          <w:rFonts w:ascii="Palatino Linotype" w:eastAsia="Palatino Linotype" w:hAnsi="Palatino Linotype" w:cs="Palatino Linotype"/>
        </w:rPr>
        <w:lastRenderedPageBreak/>
        <w:t>Así mismo referente al punto 5 y 6 de la tabla de referencia el Sujeto Obligado por medio del Director de Seguridad Pública y del Secretario Técnico del Consejo Municipal de Seguridad Pública refirieron para el punto 5 no contar con la información requerida en cuanto al mes de enero de la presente anualidad y para el punto 8 que la información es administrada por Sujeto Obligado Diverso; d</w:t>
      </w:r>
      <w:r w:rsidRPr="008E12A5">
        <w:rPr>
          <w:rFonts w:ascii="Palatino Linotype" w:eastAsia="Palatino Linotype" w:hAnsi="Palatino Linotype" w:cs="Palatino Linotype"/>
          <w:color w:val="000000"/>
        </w:rPr>
        <w:t xml:space="preserve">icho lo anterior, resulta dable contextualizar la información solicitada para ello es oportuno traer a colación los artículos 5, fracciones II, XVII, 7, fracción IX, 19, fracción I, 39, inciso b), fracción VI y XI, 117 y 118 de la Ley General del Sistema Nacional de Seguridad Pública; que disponen lo siguiente: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Ley General del Sistema Nacional de Seguridad Pública</w:t>
      </w:r>
    </w:p>
    <w:p w:rsidR="00337CB1" w:rsidRPr="008E12A5" w:rsidRDefault="00337CB1"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“Artículo 5.- Para los efectos de esta Ley, se entenderá por:</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II. Bases de Datos: Las bases de datos que constituyen subconjuntos sistematizados de la información contenida en Registros Nacionales en materias relativas a detenciones, armamento, equipo y personal de seguridad pública, medidas cautelares, soluciones alternas y formas de terminación anticipada, así como las bases de datos del Ministerio Público y las instituciones policiales de los tres órdenes de gobierno relativas a la información criminalística, huellas dactilares de personas sujetas a un proceso o investigación penal, teléfonos celulares, personas sentenciadas y servicios de seguridad privada, así como las demás necesarias para la prevención, investigación y persecución de los delitos. El conjunto de bases de datos conformará el Sistema Nacional de Información;</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XVII. Sistema Nacional de Información: al Sistema Nacional de Información en Seguridad Pública, el cual constituye el conjunto integrado, organizado y sistematizado de las Bases de Datos. Está integrado por elementos metodológicos y procedimentales que permiten a las Instituciones de Seguridad Pública su consulta e interconexión para el desempeño de sus funciones.</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lastRenderedPageBreak/>
        <w:t>Artículo 7.- Conforme a las bases que establece el artículo 21 de la Constitución Política de los Estados Unidos Mexicanos, las Instituciones de Seguridad Pública de la Federación, las entidades federativas y los Municipios, en el ámbito de su competencia y en los términos de esta Ley, deberán coordinarse para:</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IX. Generar, compartir, intercambiar, ingresar, almacenar y proveer información, archivos y contenidos a las Bases de Datos que integran el Sistema Nacional de Información, de conformidad con lo dispuesto en la legislación en la materia.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Tratándose de manejo de datos que provengan del Registro Nacional de Detenciones se atendrá a lo dispuesto en la Ley Nacional del Registro de Detenciones;</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Artículo 19.- El Centro Nacional de Información será el responsable de regular el Sistema Nacional de Información y tendrá, entre otras, las siguientes atribuciones: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I. Determinar los criterios técnicos y de homologación de las Bases de Datos que conforman el Sistema Nacional de Información;</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Artículo 39.- La concurrencia de facultades entre la Federación, las entidades federativas y los Municipios, quedará distribuida conforme a lo siguiente:</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B. Corresponde a la Federación, a las entidades federativas y a los Municipios, en el ámbito de sus respectivas competencias:</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VI. Designar a un responsable del control, suministro y adecuado manejo de la información a que se refiere esta Ley;</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XI. Integrar y consultar la información relativa a la operación y Desarrollo Policial para el registro y seguimiento en el Sistema Nacional de Información;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“Artículo 117.- La Federación, las entidades federativas y los Municipios serán responsables de integrar y actualizar el Sistema Nacional de Información, con la </w:t>
      </w:r>
      <w:r w:rsidRPr="008E12A5">
        <w:rPr>
          <w:rFonts w:ascii="Palatino Linotype" w:eastAsia="Palatino Linotype" w:hAnsi="Palatino Linotype" w:cs="Palatino Linotype"/>
          <w:i/>
          <w:iCs/>
          <w:color w:val="000000"/>
        </w:rPr>
        <w:lastRenderedPageBreak/>
        <w:t>información que generen las Instituciones de Procuración de Justicia e Instituciones Policiales, que coadyuve a salvaguardar la integridad y derechos de las personas, así como preservar las libertades, el orden y la paz públicos, mediante la prevención, persecución y sanción de las infracciones y delitos, así como la reinserción social.</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Artículo 118.- </w:t>
      </w:r>
      <w:r w:rsidRPr="008E12A5">
        <w:rPr>
          <w:rFonts w:ascii="Palatino Linotype" w:eastAsia="Palatino Linotype" w:hAnsi="Palatino Linotype" w:cs="Palatino Linotype"/>
          <w:b/>
          <w:bCs/>
          <w:i/>
          <w:iCs/>
          <w:color w:val="000000"/>
        </w:rPr>
        <w:t>Las Bases de Datos que integran el Sistema Nacional de Información se actualizarán permanentemente</w:t>
      </w:r>
      <w:r w:rsidRPr="008E12A5">
        <w:rPr>
          <w:rFonts w:ascii="Palatino Linotype" w:eastAsia="Palatino Linotype" w:hAnsi="Palatino Linotype" w:cs="Palatino Linotype"/>
          <w:i/>
          <w:iCs/>
          <w:color w:val="000000"/>
        </w:rPr>
        <w:t xml:space="preserve"> y serán de consulta obligatoria para garantizar la efectividad en las actividades de Seguridad Pública.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Las Bases de Datos criminalísticas se conformarán de la información que aporten las instituciones de procuración de justicia y del sistema penitenciario, relativa a las investigaciones, órdenes de detención y aprehensión, procesos penales, sentencias o ejecución de penas.</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El Registro Nacional de Detenciones se vinculará con las Bases de Datos a que se refiere el presente artículo, mediante el número de identificación al que hace referencia la ley de la materia.” </w:t>
      </w:r>
    </w:p>
    <w:p w:rsidR="00337CB1" w:rsidRPr="008E12A5" w:rsidRDefault="00337CB1"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Ley de Seguridad del Estado de México</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Decreto número 360 publicado en el Periódico Oficial “Gaceta del Gobierno” del Estado de México, el diecinueve de octubre de dos mil once.</w:t>
      </w:r>
    </w:p>
    <w:p w:rsidR="00337CB1" w:rsidRPr="008E12A5" w:rsidRDefault="00337CB1"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Artículo 22.- Son atribuciones del Director de Seguridad Pública Municipal:</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I. Proponer al Presidente Municipal el Programa Municipal de Seguridad Pública Preventiva;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II. Organizar, operar, supervisar y controlar el cuerpo preventivo de seguri dad pública municipal;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III. Aplicar las directrices que conforme a sus atribuciones expresas dicten las autoridades competentes para la prestación del servicio, coordinación, funcionamiento, normatividad técnica y disciplina del cuerpo preventivo de seguridad pública;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IV. Proponer programas para mejorar y ampliar la cobertura del servicio de policía preventiva;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lastRenderedPageBreak/>
        <w:t xml:space="preserve">V. Contar con las estadísticas delictivas y efectuar la supervisión de las acciones de seguridad pública municipal;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VI. Promover la capacitación técnica y práctica de los integrantes del cuerpo preventivo de seguridad pública municipal;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VII. Informar a las autoridades competentes sobre los movimientos de altas y bajas de los miembros del cuerpo preventivo de seguridad pública municipal, así como de sus vehículos, armamento, municiones y equipo;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VIII. Denunciar oportunamente ante las autoridades competentes el extravío o robo de armamento a su cargo para los efectos legales correspondientes;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IX. Proporcionar a la Secretaría los informes que le sean solicitados;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X. Auxiliar a las autoridades estatales cuando sea requerido para ello; y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XI. Las demás que les confieran otras leyes.</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Por otra parte, los numerales 125, fracción VIII y 142 de la Ley Orgánica Municipal del Estado de México, señalan lo siguiente: </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 “Artículo 125.- Los municipios tendrán a su cargo la prestación, explotación, administración y conservación de los servicios públicos municipales, considerándose enunciativa y no limitativamente, los siguientes:</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VIII. Seguridad pública y tránsito;</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Artículo 142.-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rsidR="00337CB1" w:rsidRPr="008E12A5" w:rsidRDefault="00337CB1"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i/>
          <w:iCs/>
          <w:color w:val="000000"/>
        </w:rPr>
      </w:pP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lastRenderedPageBreak/>
        <w:t xml:space="preserve"> En cada municipio se deberán integrar cuerpos de seguridad pública, de bomberos y, en su caso, de tránsito, estos servidores públicos preferentemente serán vecinos del municipio, de los cuales el presidente municipal será el jefe inmediato”  </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8E12A5">
      <w:pPr>
        <w:numPr>
          <w:ilvl w:val="0"/>
          <w:numId w:val="17"/>
        </w:numPr>
        <w:pBdr>
          <w:top w:val="nil"/>
          <w:left w:val="nil"/>
          <w:bottom w:val="nil"/>
          <w:right w:val="nil"/>
          <w:between w:val="nil"/>
        </w:pBdr>
        <w:spacing w:line="360" w:lineRule="auto"/>
        <w:ind w:right="-284"/>
        <w:jc w:val="both"/>
        <w:rPr>
          <w:color w:val="000000"/>
        </w:rPr>
      </w:pPr>
      <w:r w:rsidRPr="008E12A5">
        <w:rPr>
          <w:rFonts w:ascii="Palatino Linotype" w:eastAsia="Palatino Linotype" w:hAnsi="Palatino Linotype" w:cs="Palatino Linotype"/>
          <w:color w:val="000000"/>
        </w:rPr>
        <w:t>Además, cabe aclarar que la Ley General del Sistema Nacional de Seguridad Pública, se creó desde el año 2009, como se advierte a continuación:</w:t>
      </w:r>
    </w:p>
    <w:p w:rsidR="00337CB1" w:rsidRPr="008E12A5" w:rsidRDefault="00BF5B66"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noProof/>
        </w:rPr>
        <w:drawing>
          <wp:inline distT="0" distB="0" distL="0" distR="0">
            <wp:extent cx="5441950" cy="11112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25910" t="18716" r="29734" b="60153"/>
                    <a:stretch>
                      <a:fillRect/>
                    </a:stretch>
                  </pic:blipFill>
                  <pic:spPr>
                    <a:xfrm>
                      <a:off x="0" y="0"/>
                      <a:ext cx="5441950" cy="1111250"/>
                    </a:xfrm>
                    <a:prstGeom prst="rect">
                      <a:avLst/>
                    </a:prstGeom>
                    <a:ln/>
                  </pic:spPr>
                </pic:pic>
              </a:graphicData>
            </a:graphic>
          </wp:inline>
        </w:drawing>
      </w:r>
    </w:p>
    <w:p w:rsidR="00337CB1" w:rsidRPr="008E12A5" w:rsidRDefault="00BF5B66"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color w:val="000000"/>
        </w:rPr>
        <w:t xml:space="preserve"> </w:t>
      </w: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Es decir, desde esa fecha se estableció en su artículo 9 fracción IV que los municipios deberían de contar con una base de datos criminalísticas, como se advierte: </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“Artículo 9. El presidente de la república, los gobernadores, el jefe de gobierno del Distrito Federal, los procuradores de Justicia y los secretarios de Seguridad Pública de la federación, los estados, el Distrito Federal y los municipios, integrarán el Sistema Nacional de Seguridad Pública, para implantar, en los términos de esta ley y de la leyes locales, los procesos para:</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14156B">
      <w:pPr>
        <w:pBdr>
          <w:top w:val="nil"/>
          <w:left w:val="nil"/>
          <w:bottom w:val="nil"/>
          <w:right w:val="nil"/>
          <w:between w:val="nil"/>
        </w:pBdr>
        <w:spacing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IV. El establecimiento de las bases de datos criminalísticos, de personal y equipamiento para las instituciones de seguridad pública;” </w:t>
      </w:r>
    </w:p>
    <w:p w:rsidR="00337CB1" w:rsidRPr="008E12A5" w:rsidRDefault="00337CB1"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i/>
          <w:iCs/>
          <w:color w:val="000000"/>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De forma complementaria, resulta de nuestro particular interés el criterio 008/2023 emitido por el Instituto Nacional de Transparencia, Acceso a la Información y Protección de Datos Personales, que a la letra dispone lo siguiente:</w:t>
      </w:r>
    </w:p>
    <w:p w:rsidR="00337CB1" w:rsidRPr="008E12A5" w:rsidRDefault="00BF5B66" w:rsidP="0014156B">
      <w:pPr>
        <w:spacing w:line="276"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i/>
          <w:iCs/>
          <w:color w:val="000000"/>
        </w:rPr>
        <w:lastRenderedPageBreak/>
        <w:t>“</w:t>
      </w:r>
      <w:r w:rsidRPr="008E12A5">
        <w:rPr>
          <w:rFonts w:ascii="Palatino Linotype" w:eastAsia="Palatino Linotype" w:hAnsi="Palatino Linotype" w:cs="Palatino Linotype"/>
          <w:b/>
          <w:bCs/>
          <w:i/>
          <w:iCs/>
          <w:color w:val="000000"/>
        </w:rPr>
        <w:t xml:space="preserve">Ejercicio del derecho de Acceso a la Información Pública. La información estadística es de naturaleza pública, independientemente de la materia con la que se encuentre vinculada. </w:t>
      </w:r>
      <w:r w:rsidRPr="008E12A5">
        <w:rPr>
          <w:rFonts w:ascii="Palatino Linotype" w:eastAsia="Palatino Linotype" w:hAnsi="Palatino Linotype" w:cs="Palatino Linotype"/>
          <w:i/>
          <w:iCs/>
          <w:color w:val="000000"/>
        </w:rPr>
        <w:t>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r w:rsidRPr="008E12A5">
        <w:rPr>
          <w:rFonts w:ascii="Palatino Linotype" w:eastAsia="Palatino Linotype" w:hAnsi="Palatino Linotype" w:cs="Palatino Linotype"/>
          <w:b/>
          <w:bCs/>
          <w:i/>
          <w:iCs/>
          <w:color w:val="000000"/>
        </w:rPr>
        <w:t>.</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pPr>
      <w:r w:rsidRPr="008E12A5">
        <w:rPr>
          <w:rFonts w:ascii="Palatino Linotype" w:eastAsia="Palatino Linotype" w:hAnsi="Palatino Linotype" w:cs="Palatino Linotype"/>
          <w:color w:val="000000"/>
        </w:rPr>
        <w:t xml:space="preserve">De ahí que deba </w:t>
      </w:r>
      <w:r w:rsidRPr="008E12A5">
        <w:rPr>
          <w:rFonts w:ascii="Palatino Linotype" w:eastAsia="Palatino Linotype" w:hAnsi="Palatino Linotype" w:cs="Palatino Linotype"/>
        </w:rPr>
        <w:t>arribar a</w:t>
      </w:r>
      <w:r w:rsidRPr="008E12A5">
        <w:rPr>
          <w:rFonts w:ascii="Palatino Linotype" w:eastAsia="Palatino Linotype" w:hAnsi="Palatino Linotype" w:cs="Palatino Linotype"/>
          <w:color w:val="000000"/>
        </w:rPr>
        <w:t xml:space="preserve"> la premisa de que la Ley General del Sistema Nacional de Seguridad Pública prevé un esquema de distribución de competencias entre la Federación, los Estados y los Municipios, a fin de que, estos últimos, realicen la integración y actualización de diversas Bases de Datos que integran información de incidencia delictiva; máxime que, desde la entrada en vigor de la Ley de Seguridad del Estado de México -el 20 de octubre de 2011- se desprende la atribución expresa para que, el Director de Seguridad Pública Municipal y el propio </w:t>
      </w:r>
      <w:r w:rsidRPr="008E12A5">
        <w:rPr>
          <w:rFonts w:ascii="Palatino Linotype" w:eastAsia="Palatino Linotype" w:hAnsi="Palatino Linotype" w:cs="Palatino Linotype"/>
        </w:rPr>
        <w:t>Secretario Técnico del Consejo Municipal de Seguridad Pública</w:t>
      </w:r>
      <w:r w:rsidRPr="008E12A5">
        <w:rPr>
          <w:rFonts w:ascii="Palatino Linotype" w:eastAsia="Palatino Linotype" w:hAnsi="Palatino Linotype" w:cs="Palatino Linotype"/>
          <w:color w:val="000000"/>
        </w:rPr>
        <w:t xml:space="preserve">,  entre otras cosas, genere, posean o administren la  estadística delictiva, siendo dable </w:t>
      </w:r>
      <w:r w:rsidRPr="008E12A5">
        <w:rPr>
          <w:rFonts w:ascii="Palatino Linotype" w:eastAsia="Palatino Linotype" w:hAnsi="Palatino Linotype" w:cs="Palatino Linotype"/>
          <w:b/>
          <w:bCs/>
          <w:color w:val="000000"/>
        </w:rPr>
        <w:t>ordenar las documentales que den cuenta de la información requerida por el Particular en cuanto a éstos puntos</w:t>
      </w:r>
      <w:r w:rsidRPr="008E12A5">
        <w:rPr>
          <w:rFonts w:ascii="Palatino Linotype" w:eastAsia="Palatino Linotype" w:hAnsi="Palatino Linotype" w:cs="Palatino Linotype"/>
          <w:color w:val="000000"/>
        </w:rPr>
        <w:t>.</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color w:val="000000"/>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lastRenderedPageBreak/>
        <w:t>Ahora bien en referencia a los putos 4 y 8 de la tabla de referencia se observa que el Sujeto Obligado proporcionó ligas para la consulta de la información requerida como se observa de las siguientes capturas de pantalla de la documental entregada:</w:t>
      </w:r>
    </w:p>
    <w:p w:rsidR="00337CB1" w:rsidRPr="008E12A5" w:rsidRDefault="00BF5B66" w:rsidP="0014156B">
      <w:pPr>
        <w:spacing w:line="360" w:lineRule="auto"/>
        <w:ind w:right="-284"/>
        <w:jc w:val="both"/>
        <w:rPr>
          <w:rFonts w:ascii="Palatino Linotype" w:eastAsia="Palatino Linotype" w:hAnsi="Palatino Linotype" w:cs="Palatino Linotype"/>
        </w:rPr>
      </w:pPr>
      <w:r w:rsidRPr="008E12A5">
        <w:rPr>
          <w:rFonts w:ascii="Palatino Linotype" w:eastAsia="Palatino Linotype" w:hAnsi="Palatino Linotype" w:cs="Palatino Linotype"/>
          <w:noProof/>
        </w:rPr>
        <w:drawing>
          <wp:inline distT="0" distB="0" distL="0" distR="0">
            <wp:extent cx="5760720" cy="60579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760720" cy="605790"/>
                    </a:xfrm>
                    <a:prstGeom prst="rect">
                      <a:avLst/>
                    </a:prstGeom>
                    <a:ln/>
                  </pic:spPr>
                </pic:pic>
              </a:graphicData>
            </a:graphic>
          </wp:inline>
        </w:drawing>
      </w:r>
    </w:p>
    <w:p w:rsidR="00337CB1" w:rsidRPr="008E12A5" w:rsidRDefault="00BF5B66" w:rsidP="0014156B">
      <w:pPr>
        <w:spacing w:line="360" w:lineRule="auto"/>
        <w:ind w:right="-284"/>
        <w:jc w:val="both"/>
        <w:rPr>
          <w:rFonts w:ascii="Palatino Linotype" w:eastAsia="Palatino Linotype" w:hAnsi="Palatino Linotype" w:cs="Palatino Linotype"/>
        </w:rPr>
      </w:pPr>
      <w:r w:rsidRPr="008E12A5">
        <w:rPr>
          <w:rFonts w:ascii="Palatino Linotype" w:eastAsia="Palatino Linotype" w:hAnsi="Palatino Linotype" w:cs="Palatino Linotype"/>
          <w:noProof/>
        </w:rPr>
        <w:drawing>
          <wp:inline distT="0" distB="0" distL="0" distR="0">
            <wp:extent cx="5760720" cy="652145"/>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760720" cy="652145"/>
                    </a:xfrm>
                    <a:prstGeom prst="rect">
                      <a:avLst/>
                    </a:prstGeom>
                    <a:ln/>
                  </pic:spPr>
                </pic:pic>
              </a:graphicData>
            </a:graphic>
          </wp:inline>
        </w:drawing>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De donde se aprecia que el </w:t>
      </w:r>
      <w:r w:rsidRPr="008E12A5">
        <w:rPr>
          <w:rFonts w:ascii="Palatino Linotype" w:eastAsia="Palatino Linotype" w:hAnsi="Palatino Linotype" w:cs="Palatino Linotype"/>
          <w:b/>
          <w:bCs/>
          <w:color w:val="000000"/>
        </w:rPr>
        <w:t xml:space="preserve"> SUJETO OBLIGADO,  </w:t>
      </w:r>
      <w:r w:rsidRPr="008E12A5">
        <w:rPr>
          <w:rFonts w:ascii="Palatino Linotype" w:eastAsia="Palatino Linotype" w:hAnsi="Palatino Linotype" w:cs="Palatino Linotype"/>
          <w:color w:val="000000"/>
        </w:rPr>
        <w:t xml:space="preserve">proporcionó las ligas electrónicas para obtener la información relativa a conocer el Reglamento de Seguridad Pública y el Organigrama de la Dirección de Seguridad Pública  en </w:t>
      </w:r>
      <w:r w:rsidRPr="008E12A5">
        <w:rPr>
          <w:rFonts w:ascii="Palatino Linotype" w:eastAsia="Palatino Linotype" w:hAnsi="Palatino Linotype" w:cs="Palatino Linotype"/>
          <w:b/>
          <w:bCs/>
          <w:color w:val="000000"/>
          <w:u w:val="single"/>
        </w:rPr>
        <w:t>formato cerrado</w:t>
      </w:r>
      <w:r w:rsidRPr="008E12A5">
        <w:rPr>
          <w:rFonts w:ascii="Palatino Linotype" w:eastAsia="Palatino Linotype" w:hAnsi="Palatino Linotype" w:cs="Palatino Linotype"/>
          <w:color w:val="000000"/>
        </w:rPr>
        <w:t xml:space="preserve">; es decir, que 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w:t>
      </w:r>
      <w:r w:rsidRPr="008E12A5">
        <w:rPr>
          <w:rFonts w:ascii="Palatino Linotype" w:eastAsia="Palatino Linotype" w:hAnsi="Palatino Linotype" w:cs="Palatino Linotype"/>
          <w:b/>
          <w:bCs/>
          <w:color w:val="000000"/>
        </w:rPr>
        <w:t>entrega</w:t>
      </w:r>
      <w:r w:rsidRPr="008E12A5">
        <w:rPr>
          <w:rFonts w:ascii="Palatino Linotype" w:eastAsia="Palatino Linotype" w:hAnsi="Palatino Linotype" w:cs="Palatino Linotype"/>
          <w:color w:val="000000"/>
        </w:rPr>
        <w:t xml:space="preserve"> de la información a los Particulares </w:t>
      </w:r>
      <w:r w:rsidRPr="008E12A5">
        <w:rPr>
          <w:rFonts w:ascii="Palatino Linotype" w:eastAsia="Palatino Linotype" w:hAnsi="Palatino Linotype" w:cs="Palatino Linotype"/>
          <w:b/>
          <w:bCs/>
          <w:color w:val="000000"/>
        </w:rPr>
        <w:t>en formatos abiertos, con los efectos de facilitar la reutilización de la información.</w:t>
      </w:r>
    </w:p>
    <w:p w:rsidR="00337CB1" w:rsidRPr="008E12A5" w:rsidRDefault="00337CB1" w:rsidP="0014156B">
      <w:pPr>
        <w:spacing w:line="360" w:lineRule="auto"/>
        <w:ind w:right="-284"/>
        <w:jc w:val="both"/>
        <w:rPr>
          <w:rFonts w:ascii="Palatino Linotype" w:eastAsia="Palatino Linotype" w:hAnsi="Palatino Linotype" w:cs="Palatino Linotype"/>
          <w:b/>
          <w:bCs/>
          <w:color w:val="000000"/>
        </w:rPr>
      </w:pPr>
    </w:p>
    <w:p w:rsidR="00337CB1" w:rsidRPr="008E12A5" w:rsidRDefault="00BF5B66" w:rsidP="008E12A5">
      <w:pPr>
        <w:numPr>
          <w:ilvl w:val="0"/>
          <w:numId w:val="17"/>
        </w:numP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Lo anterior,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8E12A5">
        <w:rPr>
          <w:rFonts w:ascii="Palatino Linotype" w:eastAsia="Palatino Linotype" w:hAnsi="Palatino Linotype" w:cs="Palatino Linotype"/>
          <w:b/>
          <w:bCs/>
          <w:color w:val="000000"/>
          <w:u w:val="single"/>
        </w:rPr>
        <w:t xml:space="preserve">se le hará saber por el medio requerido por el solicitante la fuente, el lugar y la forma en que puede consultar, </w:t>
      </w:r>
      <w:r w:rsidRPr="008E12A5">
        <w:rPr>
          <w:rFonts w:ascii="Palatino Linotype" w:eastAsia="Palatino Linotype" w:hAnsi="Palatino Linotype" w:cs="Palatino Linotype"/>
          <w:b/>
          <w:bCs/>
          <w:color w:val="000000"/>
          <w:u w:val="single"/>
        </w:rPr>
        <w:lastRenderedPageBreak/>
        <w:t>reproducir o adquirir dicha información en un plazo no mayor a cinco días hábiles. La fuente deberá ser precisa y concreta y no debe implicar que el solicitante realice la búsqueda en toda la información que se encuentre disponible.</w:t>
      </w:r>
    </w:p>
    <w:p w:rsidR="00337CB1" w:rsidRPr="008E12A5" w:rsidRDefault="00337CB1" w:rsidP="0014156B">
      <w:pPr>
        <w:spacing w:line="360" w:lineRule="auto"/>
        <w:ind w:right="-284"/>
        <w:jc w:val="both"/>
        <w:rPr>
          <w:rFonts w:ascii="Palatino Linotype" w:eastAsia="Palatino Linotype" w:hAnsi="Palatino Linotype" w:cs="Palatino Linotype"/>
          <w:color w:val="000000"/>
        </w:rPr>
      </w:pPr>
    </w:p>
    <w:p w:rsidR="00337CB1" w:rsidRPr="008E12A5" w:rsidRDefault="00BF5B66" w:rsidP="008E12A5">
      <w:pPr>
        <w:numPr>
          <w:ilvl w:val="0"/>
          <w:numId w:val="17"/>
        </w:numPr>
        <w:spacing w:line="360" w:lineRule="auto"/>
        <w:ind w:right="-284"/>
        <w:rPr>
          <w:color w:val="000000"/>
        </w:rPr>
      </w:pPr>
      <w:r w:rsidRPr="008E12A5">
        <w:rPr>
          <w:rFonts w:ascii="Palatino Linotype" w:eastAsia="Palatino Linotype" w:hAnsi="Palatino Linotype" w:cs="Palatino Linotype"/>
          <w:color w:val="000000"/>
        </w:rPr>
        <w:t xml:space="preserve">Ahora bien al digitar manualmente en el buscador las ligas electrónicas:  </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892437" w:rsidP="0014156B">
      <w:pPr>
        <w:spacing w:line="360" w:lineRule="auto"/>
        <w:ind w:right="-284"/>
        <w:jc w:val="center"/>
        <w:rPr>
          <w:rFonts w:ascii="Palatino Linotype" w:eastAsia="Palatino Linotype" w:hAnsi="Palatino Linotype" w:cs="Palatino Linotype"/>
          <w:i/>
          <w:iCs/>
        </w:rPr>
      </w:pPr>
      <w:hyperlink r:id="rId12">
        <w:r w:rsidR="00BF5B66" w:rsidRPr="008E12A5">
          <w:rPr>
            <w:rFonts w:ascii="Palatino Linotype" w:eastAsia="Palatino Linotype" w:hAnsi="Palatino Linotype" w:cs="Palatino Linotype"/>
            <w:i/>
            <w:iCs/>
            <w:color w:val="0563C1"/>
            <w:u w:val="single"/>
          </w:rPr>
          <w:t>https://aculco.edomex.gob.mx/sites/aculco.edomex.gob.mx/files/files/Anteproyecto-del-Reglamento-Interno-de-la-Direccion-de-Seguridad-Publica.pdf</w:t>
        </w:r>
      </w:hyperlink>
    </w:p>
    <w:p w:rsidR="00337CB1" w:rsidRPr="008E12A5" w:rsidRDefault="00337CB1" w:rsidP="0014156B">
      <w:pPr>
        <w:spacing w:line="360" w:lineRule="auto"/>
        <w:ind w:right="-284"/>
        <w:jc w:val="both"/>
        <w:rPr>
          <w:rFonts w:ascii="Palatino Linotype" w:eastAsia="Palatino Linotype" w:hAnsi="Palatino Linotype" w:cs="Palatino Linotype"/>
          <w:i/>
          <w:iCs/>
        </w:rPr>
      </w:pPr>
    </w:p>
    <w:p w:rsidR="00337CB1" w:rsidRPr="008E12A5" w:rsidRDefault="00892437" w:rsidP="0014156B">
      <w:pPr>
        <w:spacing w:line="360" w:lineRule="auto"/>
        <w:ind w:right="-284"/>
        <w:jc w:val="center"/>
        <w:rPr>
          <w:rFonts w:ascii="Palatino Linotype" w:eastAsia="Palatino Linotype" w:hAnsi="Palatino Linotype" w:cs="Palatino Linotype"/>
          <w:i/>
          <w:iCs/>
        </w:rPr>
      </w:pPr>
      <w:hyperlink r:id="rId13">
        <w:r w:rsidR="00BF5B66" w:rsidRPr="008E12A5">
          <w:rPr>
            <w:rFonts w:ascii="Palatino Linotype" w:eastAsia="Palatino Linotype" w:hAnsi="Palatino Linotype" w:cs="Palatino Linotype"/>
            <w:i/>
            <w:iCs/>
            <w:color w:val="0563C1"/>
            <w:u w:val="single"/>
          </w:rPr>
          <w:t>https://aculco.edomex.gob.mx/sites/aculco.edomex.gob.mx/files/files/Anteproyecto-del-Manual-de-Organizacion-de-Seguridad-Publica-Municipal.pdf</w:t>
        </w:r>
      </w:hyperlink>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8E12A5" w:rsidP="0014156B">
      <w:pPr>
        <w:spacing w:line="360" w:lineRule="auto"/>
        <w:ind w:right="-284"/>
        <w:jc w:val="both"/>
        <w:rPr>
          <w:rFonts w:ascii="Palatino Linotype" w:eastAsia="Palatino Linotype" w:hAnsi="Palatino Linotype" w:cs="Palatino Linotype"/>
        </w:rPr>
      </w:pPr>
      <w:r w:rsidRPr="008E12A5">
        <w:rPr>
          <w:rFonts w:ascii="Palatino Linotype" w:eastAsia="Palatino Linotype" w:hAnsi="Palatino Linotype" w:cs="Palatino Linotype"/>
        </w:rPr>
        <w:t>Se</w:t>
      </w:r>
      <w:r w:rsidR="00BF5B66" w:rsidRPr="008E12A5">
        <w:rPr>
          <w:rFonts w:ascii="Palatino Linotype" w:eastAsia="Palatino Linotype" w:hAnsi="Palatino Linotype" w:cs="Palatino Linotype"/>
        </w:rPr>
        <w:t xml:space="preserve"> despliegan los siguientes documentos respectivamente:</w:t>
      </w:r>
    </w:p>
    <w:p w:rsidR="00337CB1" w:rsidRPr="008E12A5" w:rsidRDefault="00BF5B66" w:rsidP="0014156B">
      <w:pPr>
        <w:tabs>
          <w:tab w:val="left" w:pos="1198"/>
        </w:tabs>
        <w:spacing w:line="360" w:lineRule="auto"/>
        <w:ind w:right="-284"/>
        <w:jc w:val="center"/>
        <w:rPr>
          <w:rFonts w:ascii="Palatino Linotype" w:eastAsia="Palatino Linotype" w:hAnsi="Palatino Linotype" w:cs="Palatino Linotype"/>
        </w:rPr>
      </w:pPr>
      <w:r w:rsidRPr="008E12A5">
        <w:rPr>
          <w:rFonts w:ascii="Palatino Linotype" w:eastAsia="Palatino Linotype" w:hAnsi="Palatino Linotype" w:cs="Palatino Linotype"/>
          <w:noProof/>
        </w:rPr>
        <w:lastRenderedPageBreak/>
        <w:drawing>
          <wp:inline distT="0" distB="0" distL="0" distR="0">
            <wp:extent cx="2560391" cy="3429336"/>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560391" cy="3429336"/>
                    </a:xfrm>
                    <a:prstGeom prst="rect">
                      <a:avLst/>
                    </a:prstGeom>
                    <a:ln/>
                  </pic:spPr>
                </pic:pic>
              </a:graphicData>
            </a:graphic>
          </wp:inline>
        </w:drawing>
      </w:r>
    </w:p>
    <w:p w:rsidR="00337CB1" w:rsidRPr="008E12A5" w:rsidRDefault="00BF5B66" w:rsidP="0014156B">
      <w:pPr>
        <w:tabs>
          <w:tab w:val="left" w:pos="1198"/>
        </w:tabs>
        <w:spacing w:line="360" w:lineRule="auto"/>
        <w:ind w:right="-284"/>
        <w:jc w:val="center"/>
        <w:rPr>
          <w:rFonts w:ascii="Palatino Linotype" w:eastAsia="Palatino Linotype" w:hAnsi="Palatino Linotype" w:cs="Palatino Linotype"/>
        </w:rPr>
      </w:pPr>
      <w:r w:rsidRPr="008E12A5">
        <w:rPr>
          <w:rFonts w:ascii="Palatino Linotype" w:eastAsia="Palatino Linotype" w:hAnsi="Palatino Linotype" w:cs="Palatino Linotype"/>
          <w:noProof/>
        </w:rPr>
        <w:drawing>
          <wp:inline distT="0" distB="0" distL="0" distR="0">
            <wp:extent cx="2558333" cy="327518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2558333" cy="3275180"/>
                    </a:xfrm>
                    <a:prstGeom prst="rect">
                      <a:avLst/>
                    </a:prstGeom>
                    <a:ln/>
                  </pic:spPr>
                </pic:pic>
              </a:graphicData>
            </a:graphic>
          </wp:inline>
        </w:drawing>
      </w:r>
    </w:p>
    <w:p w:rsidR="00337CB1" w:rsidRPr="008E12A5" w:rsidRDefault="00BF5B66" w:rsidP="0014156B">
      <w:pPr>
        <w:spacing w:line="360" w:lineRule="auto"/>
        <w:ind w:right="-284"/>
        <w:jc w:val="center"/>
        <w:rPr>
          <w:rFonts w:ascii="Palatino Linotype" w:eastAsia="Palatino Linotype" w:hAnsi="Palatino Linotype" w:cs="Palatino Linotype"/>
        </w:rPr>
      </w:pPr>
      <w:r w:rsidRPr="008E12A5">
        <w:rPr>
          <w:rFonts w:ascii="Palatino Linotype" w:eastAsia="Palatino Linotype" w:hAnsi="Palatino Linotype" w:cs="Palatino Linotype"/>
          <w:noProof/>
        </w:rPr>
        <w:lastRenderedPageBreak/>
        <w:drawing>
          <wp:inline distT="0" distB="0" distL="0" distR="0">
            <wp:extent cx="4972744" cy="4448796"/>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4972744" cy="4448796"/>
                    </a:xfrm>
                    <a:prstGeom prst="rect">
                      <a:avLst/>
                    </a:prstGeom>
                    <a:ln/>
                  </pic:spPr>
                </pic:pic>
              </a:graphicData>
            </a:graphic>
          </wp:inline>
        </w:drawing>
      </w: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Al respecto es necesario precisar que la Ley de Transparencia y Acceso a la Información Pública del Estado de México y Municipios establece en su artículo 11 que en </w:t>
      </w:r>
      <w:r w:rsidRPr="008E12A5">
        <w:rPr>
          <w:rFonts w:ascii="Palatino Linotype" w:eastAsia="Palatino Linotype" w:hAnsi="Palatino Linotype" w:cs="Palatino Linotype"/>
          <w:i/>
          <w:iCs/>
          <w:color w:val="000000"/>
        </w:rPr>
        <w:t xml:space="preserve">la entrega de la información se deberá garantizar que ésta sea </w:t>
      </w:r>
      <w:r w:rsidRPr="008E12A5">
        <w:rPr>
          <w:rFonts w:ascii="Palatino Linotype" w:eastAsia="Palatino Linotype" w:hAnsi="Palatino Linotype" w:cs="Palatino Linotype"/>
          <w:b/>
          <w:bCs/>
          <w:i/>
          <w:iCs/>
          <w:color w:val="000000"/>
        </w:rPr>
        <w:t>accesible</w:t>
      </w:r>
      <w:r w:rsidRPr="008E12A5">
        <w:rPr>
          <w:rFonts w:ascii="Palatino Linotype" w:eastAsia="Palatino Linotype" w:hAnsi="Palatino Linotype" w:cs="Palatino Linotype"/>
          <w:i/>
          <w:iCs/>
          <w:color w:val="000000"/>
        </w:rPr>
        <w:t xml:space="preserve">, </w:t>
      </w:r>
      <w:r w:rsidRPr="008E12A5">
        <w:rPr>
          <w:rFonts w:ascii="Palatino Linotype" w:eastAsia="Palatino Linotype" w:hAnsi="Palatino Linotype" w:cs="Palatino Linotype"/>
          <w:b/>
          <w:bCs/>
          <w:i/>
          <w:iCs/>
          <w:color w:val="000000"/>
        </w:rPr>
        <w:t>actualizada, completa,</w:t>
      </w:r>
      <w:r w:rsidRPr="008E12A5">
        <w:rPr>
          <w:rFonts w:ascii="Palatino Linotype" w:eastAsia="Palatino Linotype" w:hAnsi="Palatino Linotype" w:cs="Palatino Linotype"/>
          <w:i/>
          <w:iCs/>
          <w:color w:val="000000"/>
        </w:rPr>
        <w:t xml:space="preserve"> congruente, confiable, </w:t>
      </w:r>
      <w:r w:rsidRPr="008E12A5">
        <w:rPr>
          <w:rFonts w:ascii="Palatino Linotype" w:eastAsia="Palatino Linotype" w:hAnsi="Palatino Linotype" w:cs="Palatino Linotype"/>
          <w:b/>
          <w:bCs/>
          <w:i/>
          <w:iCs/>
          <w:color w:val="000000"/>
        </w:rPr>
        <w:t>verificable</w:t>
      </w:r>
      <w:r w:rsidRPr="008E12A5">
        <w:rPr>
          <w:rFonts w:ascii="Palatino Linotype" w:eastAsia="Palatino Linotype" w:hAnsi="Palatino Linotype" w:cs="Palatino Linotype"/>
          <w:i/>
          <w:iCs/>
          <w:color w:val="000000"/>
        </w:rPr>
        <w:t xml:space="preserve">, veraz, integral, oportuna y expedita. </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i/>
          <w:iCs/>
          <w:color w:val="000000"/>
        </w:rPr>
      </w:pPr>
    </w:p>
    <w:p w:rsidR="00337CB1" w:rsidRPr="008E12A5" w:rsidRDefault="00BF5B66" w:rsidP="008E12A5">
      <w:pPr>
        <w:numPr>
          <w:ilvl w:val="0"/>
          <w:numId w:val="17"/>
        </w:numPr>
        <w:pBdr>
          <w:top w:val="nil"/>
          <w:left w:val="nil"/>
          <w:bottom w:val="nil"/>
          <w:right w:val="nil"/>
          <w:between w:val="nil"/>
        </w:pBdr>
        <w:spacing w:line="360" w:lineRule="auto"/>
        <w:ind w:right="-284"/>
        <w:jc w:val="both"/>
        <w:rPr>
          <w:color w:val="000000"/>
        </w:rPr>
      </w:pPr>
      <w:r w:rsidRPr="008E12A5">
        <w:rPr>
          <w:rFonts w:ascii="Palatino Linotype" w:eastAsia="Palatino Linotype" w:hAnsi="Palatino Linotype" w:cs="Palatino Linotype"/>
          <w:color w:val="000000"/>
        </w:rPr>
        <w:t>Asimismo, el artículo 161 de la Ley en comento, refiere lo siguiente:</w:t>
      </w:r>
    </w:p>
    <w:p w:rsidR="00337CB1" w:rsidRPr="008E12A5" w:rsidRDefault="00BF5B66" w:rsidP="0014156B">
      <w:pPr>
        <w:spacing w:line="276" w:lineRule="auto"/>
        <w:ind w:left="1134" w:right="-284"/>
        <w:jc w:val="both"/>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 xml:space="preserve">Artículo 161. Cuando la información requerida por el solicitante ya esté disponible al público </w:t>
      </w:r>
      <w:r w:rsidRPr="008E12A5">
        <w:rPr>
          <w:rFonts w:ascii="Palatino Linotype" w:eastAsia="Palatino Linotype" w:hAnsi="Palatino Linotype" w:cs="Palatino Linotype"/>
          <w:i/>
          <w:iCs/>
        </w:rPr>
        <w:t xml:space="preserve">en medios impresos, tales como libros, compendios, trípticos, registros públicos, </w:t>
      </w:r>
      <w:r w:rsidRPr="008E12A5">
        <w:rPr>
          <w:rFonts w:ascii="Palatino Linotype" w:eastAsia="Palatino Linotype" w:hAnsi="Palatino Linotype" w:cs="Palatino Linotype"/>
          <w:b/>
          <w:bCs/>
          <w:i/>
          <w:iCs/>
        </w:rPr>
        <w:t>en formatos electrónicos</w:t>
      </w:r>
      <w:r w:rsidRPr="008E12A5">
        <w:rPr>
          <w:rFonts w:ascii="Palatino Linotype" w:eastAsia="Palatino Linotype" w:hAnsi="Palatino Linotype" w:cs="Palatino Linotype"/>
          <w:i/>
          <w:iCs/>
        </w:rPr>
        <w:t xml:space="preserve"> disponibles en Internet o en cualquier otro </w:t>
      </w:r>
      <w:r w:rsidRPr="008E12A5">
        <w:rPr>
          <w:rFonts w:ascii="Palatino Linotype" w:eastAsia="Palatino Linotype" w:hAnsi="Palatino Linotype" w:cs="Palatino Linotype"/>
          <w:i/>
          <w:iCs/>
        </w:rPr>
        <w:lastRenderedPageBreak/>
        <w:t xml:space="preserve">medio, </w:t>
      </w:r>
      <w:r w:rsidRPr="008E12A5">
        <w:rPr>
          <w:rFonts w:ascii="Palatino Linotype" w:eastAsia="Palatino Linotype" w:hAnsi="Palatino Linotype" w:cs="Palatino Linotype"/>
          <w:b/>
          <w:bCs/>
          <w:i/>
          <w:iC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337CB1" w:rsidRPr="008E12A5" w:rsidRDefault="00BF5B66" w:rsidP="0014156B">
      <w:pPr>
        <w:spacing w:line="276" w:lineRule="auto"/>
        <w:ind w:left="1134" w:right="-284"/>
        <w:jc w:val="both"/>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(Énfasis añadido)</w:t>
      </w:r>
    </w:p>
    <w:p w:rsidR="00337CB1" w:rsidRPr="008E12A5" w:rsidRDefault="00337CB1" w:rsidP="0014156B">
      <w:pPr>
        <w:spacing w:line="360" w:lineRule="auto"/>
        <w:ind w:left="567" w:right="-284"/>
        <w:jc w:val="both"/>
        <w:rPr>
          <w:rFonts w:ascii="Palatino Linotype" w:eastAsia="Palatino Linotype" w:hAnsi="Palatino Linotype" w:cs="Palatino Linotype"/>
          <w:b/>
          <w:bCs/>
          <w:i/>
          <w:iCs/>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Es así que, toda aquella información que sea requerida por los particulares que, previamente se encuentre disponible en sitios electrónicos, como puede ser de manera enunciativa más no limitativa, el sitio oficial del Sujeto Obligado o el portal IPOMEX o las páginas institucionales. Los Sujetos Obligado deben indicar la dirección electrónica donde obra la información solicitada. </w:t>
      </w:r>
      <w:r w:rsidRPr="008E12A5">
        <w:rPr>
          <w:rFonts w:ascii="Palatino Linotype" w:eastAsia="Palatino Linotype" w:hAnsi="Palatino Linotype" w:cs="Palatino Linotype"/>
          <w:b/>
          <w:bCs/>
          <w:color w:val="000000"/>
        </w:rPr>
        <w:t>Esta dirección electrónica debe ser precisa, de tal modo que no implique realizar una búsqueda en toda la información que ahí se encuentre, debiendo cumplir</w:t>
      </w:r>
      <w:r w:rsidRPr="008E12A5">
        <w:rPr>
          <w:rFonts w:ascii="Palatino Linotype" w:eastAsia="Palatino Linotype" w:hAnsi="Palatino Linotype" w:cs="Palatino Linotype"/>
          <w:color w:val="000000"/>
        </w:rPr>
        <w:t xml:space="preserve"> una serie de requisitos, a saber:</w:t>
      </w:r>
    </w:p>
    <w:p w:rsidR="00337CB1" w:rsidRPr="008E12A5" w:rsidRDefault="00BF5B66" w:rsidP="0014156B">
      <w:pPr>
        <w:numPr>
          <w:ilvl w:val="0"/>
          <w:numId w:val="10"/>
        </w:numPr>
        <w:pBdr>
          <w:top w:val="nil"/>
          <w:left w:val="nil"/>
          <w:bottom w:val="nil"/>
          <w:right w:val="nil"/>
          <w:between w:val="nil"/>
        </w:pBdr>
        <w:spacing w:line="360" w:lineRule="auto"/>
        <w:ind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La dirección electrónica debe señalarse en un plazo no mayor a cinco días hábiles;</w:t>
      </w:r>
    </w:p>
    <w:p w:rsidR="00337CB1" w:rsidRPr="008E12A5" w:rsidRDefault="00BF5B66" w:rsidP="0014156B">
      <w:pPr>
        <w:numPr>
          <w:ilvl w:val="0"/>
          <w:numId w:val="10"/>
        </w:numPr>
        <w:pBdr>
          <w:top w:val="nil"/>
          <w:left w:val="nil"/>
          <w:bottom w:val="nil"/>
          <w:right w:val="nil"/>
          <w:between w:val="nil"/>
        </w:pBdr>
        <w:spacing w:line="360" w:lineRule="auto"/>
        <w:ind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La dirección electrónica debe ser precisa, de tal modo que no implique realizar una búsqueda en toda la información que ahí se encuentre; y,</w:t>
      </w:r>
    </w:p>
    <w:p w:rsidR="00337CB1" w:rsidRPr="008E12A5" w:rsidRDefault="00BF5B66" w:rsidP="0014156B">
      <w:pPr>
        <w:numPr>
          <w:ilvl w:val="0"/>
          <w:numId w:val="10"/>
        </w:numPr>
        <w:pBdr>
          <w:top w:val="nil"/>
          <w:left w:val="nil"/>
          <w:bottom w:val="nil"/>
          <w:right w:val="nil"/>
          <w:between w:val="nil"/>
        </w:pBdr>
        <w:spacing w:line="360" w:lineRule="auto"/>
        <w:ind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b/>
          <w:bCs/>
          <w:i/>
          <w:iCs/>
          <w:color w:val="000000"/>
        </w:rPr>
        <w:t>La dirección electrónica debe ir acompañada del procedimiento a seguir, en caso de que la información se encuentre en distintos puntos del sitio electrónico referido; y,</w:t>
      </w:r>
    </w:p>
    <w:p w:rsidR="00337CB1" w:rsidRPr="008E12A5" w:rsidRDefault="00BF5B66" w:rsidP="0014156B">
      <w:pPr>
        <w:numPr>
          <w:ilvl w:val="0"/>
          <w:numId w:val="10"/>
        </w:numPr>
        <w:pBdr>
          <w:top w:val="nil"/>
          <w:left w:val="nil"/>
          <w:bottom w:val="nil"/>
          <w:right w:val="nil"/>
          <w:between w:val="nil"/>
        </w:pBdr>
        <w:spacing w:line="360" w:lineRule="auto"/>
        <w:ind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b/>
          <w:bCs/>
          <w:i/>
          <w:iCs/>
          <w:color w:val="000000"/>
          <w:u w:val="single"/>
        </w:rPr>
        <w:t>La dirección electrónica se debe entregar en formato abierto,</w:t>
      </w:r>
      <w:r w:rsidRPr="008E12A5">
        <w:rPr>
          <w:rFonts w:ascii="Palatino Linotype" w:eastAsia="Palatino Linotype" w:hAnsi="Palatino Linotype" w:cs="Palatino Linotype"/>
          <w:b/>
          <w:bCs/>
          <w:i/>
          <w:iCs/>
          <w:color w:val="000000"/>
        </w:rPr>
        <w:t xml:space="preserve"> para que el Recurrente pueda copiar y pegar sin la necesidad de transcribir la liga electrónica.</w:t>
      </w:r>
    </w:p>
    <w:p w:rsidR="00337CB1" w:rsidRPr="008E12A5" w:rsidRDefault="00337CB1" w:rsidP="0014156B">
      <w:pPr>
        <w:pBdr>
          <w:top w:val="nil"/>
          <w:left w:val="nil"/>
          <w:bottom w:val="nil"/>
          <w:right w:val="nil"/>
          <w:between w:val="nil"/>
        </w:pBdr>
        <w:spacing w:line="360" w:lineRule="auto"/>
        <w:ind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Ahora bien, de la revisión de esta, se logra vislumbrar que en encuentran en un formato cerrado, es decir, que no se puede copiar y pegar para tener acceso; sobre el tema, </w:t>
      </w:r>
      <w:r w:rsidRPr="008E12A5">
        <w:rPr>
          <w:rFonts w:ascii="Palatino Linotype" w:eastAsia="Palatino Linotype" w:hAnsi="Palatino Linotype" w:cs="Palatino Linotype"/>
          <w:color w:val="000000"/>
        </w:rPr>
        <w:lastRenderedPageBreak/>
        <w:t xml:space="preserve">Trujillo, Humberto (2019), en el “Diccionario de Transparencia y Acceso a la Información Pública” (p. 136 y 137), precisa que cuando un Sujeto Obligado </w:t>
      </w:r>
      <w:r w:rsidRPr="008E12A5">
        <w:rPr>
          <w:rFonts w:ascii="Palatino Linotype" w:eastAsia="Palatino Linotype" w:hAnsi="Palatino Linotype" w:cs="Palatino Linotype"/>
        </w:rPr>
        <w:t>proporcionó</w:t>
      </w:r>
      <w:r w:rsidRPr="008E12A5">
        <w:rPr>
          <w:rFonts w:ascii="Palatino Linotype" w:eastAsia="Palatino Linotype" w:hAnsi="Palatino Linotype" w:cs="Palatino Linotype"/>
          <w:color w:val="000000"/>
        </w:rPr>
        <w:t xml:space="preserve">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En ese contexto, el artículo 3°, fracciones VIII y XVI de la Ley de Transparencia y Acceso a la Información Pública del Estado de México y Municipios, precisan lo siguiente:</w:t>
      </w:r>
    </w:p>
    <w:p w:rsidR="00337CB1" w:rsidRPr="008E12A5" w:rsidRDefault="00BF5B66" w:rsidP="0014156B">
      <w:pPr>
        <w:numPr>
          <w:ilvl w:val="0"/>
          <w:numId w:val="9"/>
        </w:numPr>
        <w:pBdr>
          <w:top w:val="nil"/>
          <w:left w:val="nil"/>
          <w:bottom w:val="nil"/>
          <w:right w:val="nil"/>
          <w:between w:val="nil"/>
        </w:pBdr>
        <w:spacing w:line="276"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 xml:space="preserve">Dato abierto: </w:t>
      </w:r>
      <w:r w:rsidRPr="008E12A5">
        <w:rPr>
          <w:rFonts w:ascii="Palatino Linotype" w:eastAsia="Palatino Linotype" w:hAnsi="Palatino Linotype" w:cs="Palatino Linotype"/>
          <w:i/>
          <w:iCs/>
          <w:color w:val="000000"/>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rsidR="00337CB1" w:rsidRPr="008E12A5" w:rsidRDefault="00BF5B66" w:rsidP="0014156B">
      <w:pPr>
        <w:numPr>
          <w:ilvl w:val="0"/>
          <w:numId w:val="9"/>
        </w:numPr>
        <w:pBdr>
          <w:top w:val="nil"/>
          <w:left w:val="nil"/>
          <w:bottom w:val="nil"/>
          <w:right w:val="nil"/>
          <w:between w:val="nil"/>
        </w:pBdr>
        <w:spacing w:line="276"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 xml:space="preserve">Formato accesible: </w:t>
      </w:r>
      <w:r w:rsidRPr="008E12A5">
        <w:rPr>
          <w:rFonts w:ascii="Palatino Linotype" w:eastAsia="Palatino Linotype" w:hAnsi="Palatino Linotype" w:cs="Palatino Linotype"/>
          <w:i/>
          <w:iCs/>
          <w:color w:val="000000"/>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pPr>
      <w:r w:rsidRPr="008E12A5">
        <w:rPr>
          <w:rFonts w:ascii="Palatino Linotype" w:eastAsia="Palatino Linotype" w:hAnsi="Palatino Linotype" w:cs="Palatino Linotype"/>
        </w:rPr>
        <w:t xml:space="preserve">Conforme a lo anterior, se considera que en el caso de que la información peticionada obre en ligas electrónicas, el Sujeto Obligado deberá privilegiar la entrega de estas, en datos </w:t>
      </w:r>
      <w:r w:rsidRPr="008E12A5">
        <w:rPr>
          <w:rFonts w:ascii="Palatino Linotype" w:eastAsia="Palatino Linotype" w:hAnsi="Palatino Linotype" w:cs="Palatino Linotype"/>
        </w:rPr>
        <w:lastRenderedPageBreak/>
        <w:t>abiertos, es decir, en un formato que permita la accesibilidad y facilidad a los Particulares, para obtener la información contenida estas.</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pPr>
      <w:r w:rsidRPr="008E12A5">
        <w:rPr>
          <w:rFonts w:ascii="Palatino Linotype" w:eastAsia="Palatino Linotype" w:hAnsi="Palatino Linotype" w:cs="Palatino Linotype"/>
          <w:color w:val="000000"/>
        </w:rPr>
        <w:t xml:space="preserve">En el presente asunto, el Director de Seguridad Pública Municipal entregó la dirección electrónica en formato cerrado, lo que propicia que el Recurrente deba transcribir cada uno de los caracteres, lo que facilita a errores y con ello la imposibilidad o dificultad para acceder a la información. </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pPr>
      <w:r w:rsidRPr="008E12A5">
        <w:rPr>
          <w:rFonts w:ascii="Palatino Linotype" w:eastAsia="Palatino Linotype" w:hAnsi="Palatino Linotype" w:cs="Palatino Linotype"/>
          <w:color w:val="000000"/>
        </w:rPr>
        <w:t>Tal y como se aprecia, la dirección electrónica incumple lo que estipula el artículo 161 antes citado, en razón de lo siguiente:</w:t>
      </w:r>
    </w:p>
    <w:p w:rsidR="00337CB1" w:rsidRPr="008E12A5" w:rsidRDefault="00BF5B66" w:rsidP="0014156B">
      <w:pPr>
        <w:numPr>
          <w:ilvl w:val="0"/>
          <w:numId w:val="11"/>
        </w:numPr>
        <w:pBdr>
          <w:top w:val="nil"/>
          <w:left w:val="nil"/>
          <w:bottom w:val="nil"/>
          <w:right w:val="nil"/>
          <w:between w:val="nil"/>
        </w:pBdr>
        <w:spacing w:line="360" w:lineRule="auto"/>
        <w:ind w:right="-284" w:hanging="10"/>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color w:val="000000"/>
        </w:rPr>
        <w:t>La dirección electrónica se encuentra en formato cerrado, por lo que no resulta accesible para el Recurrente; y,</w:t>
      </w:r>
    </w:p>
    <w:p w:rsidR="00337CB1" w:rsidRPr="008E12A5" w:rsidRDefault="00BF5B66" w:rsidP="0014156B">
      <w:pPr>
        <w:numPr>
          <w:ilvl w:val="0"/>
          <w:numId w:val="11"/>
        </w:numPr>
        <w:pBdr>
          <w:top w:val="nil"/>
          <w:left w:val="nil"/>
          <w:bottom w:val="nil"/>
          <w:right w:val="nil"/>
          <w:between w:val="nil"/>
        </w:pBdr>
        <w:spacing w:line="360" w:lineRule="auto"/>
        <w:ind w:right="-284" w:hanging="10"/>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color w:val="000000"/>
        </w:rPr>
        <w:t>Se encuentra fuera del plazo de cinco días establecidos para tal efecto.</w:t>
      </w:r>
    </w:p>
    <w:p w:rsidR="00337CB1" w:rsidRPr="008E12A5" w:rsidRDefault="00337CB1" w:rsidP="0014156B">
      <w:pPr>
        <w:spacing w:line="360" w:lineRule="auto"/>
        <w:ind w:right="-284" w:hanging="11"/>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pPr>
      <w:r w:rsidRPr="008E12A5">
        <w:rPr>
          <w:rFonts w:ascii="Palatino Linotype" w:eastAsia="Palatino Linotype" w:hAnsi="Palatino Linotype" w:cs="Palatino Linotype"/>
        </w:rPr>
        <w:t>Por lo que el Sujeto Obligado deberá entonces entregar las documentales que den cuenta con lo requerido en los puntos 4 y 8 de la tabla de referencia.</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pPr>
      <w:r w:rsidRPr="008E12A5">
        <w:rPr>
          <w:rFonts w:ascii="Palatino Linotype" w:eastAsia="Palatino Linotype" w:hAnsi="Palatino Linotype" w:cs="Palatino Linotype"/>
          <w:color w:val="000000"/>
        </w:rPr>
        <w:t xml:space="preserve">Ahora bien, en relación al punto 7 de la citada tabla, donde el Sujeto Obligado refiere no contar con personal que integre la información y por ende tampoco posee las documentales que den cuenta de su perfil académico y laboral por lo que nos encontramos ante un hecho negativo, destacando entonces que el Pleno de este Organismo Garante, ha sostenido que ante la presencia de un hecho negativo, resultaría innecesaria una declaratoria de inexistencia en términos de los artículos 19, 169 y 170 de la Ley de Transparencia y Acceso </w:t>
      </w:r>
      <w:r w:rsidRPr="008E12A5">
        <w:rPr>
          <w:rFonts w:ascii="Palatino Linotype" w:eastAsia="Palatino Linotype" w:hAnsi="Palatino Linotype" w:cs="Palatino Linotype"/>
          <w:color w:val="000000"/>
        </w:rPr>
        <w:lastRenderedPageBreak/>
        <w:t>a la Información Pública del Estado de México y Municipios, y ante una hecho negativo resulta aplicable la siguiente tesis:</w:t>
      </w:r>
    </w:p>
    <w:p w:rsidR="00337CB1" w:rsidRPr="008E12A5" w:rsidRDefault="00BF5B66" w:rsidP="0014156B">
      <w:pPr>
        <w:spacing w:line="276" w:lineRule="auto"/>
        <w:ind w:left="1134" w:right="-284"/>
        <w:jc w:val="both"/>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HECHOS NEGATIVOS, NO SON SUSCEPTIBLES DE DEMOSTRACIÓN.</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Tratándose de un hecho negativo, el Juez no tiene por que invocar prueba alguna de la que se desprenda, ya que es bien sabido que esta clase de hechos no son susceptibles de demostración.</w:t>
      </w:r>
    </w:p>
    <w:p w:rsidR="00337CB1" w:rsidRPr="008E12A5" w:rsidRDefault="00BF5B66" w:rsidP="0014156B">
      <w:pPr>
        <w:spacing w:line="276" w:lineRule="auto"/>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Amparo en revisión 2022/61. José García Florín (Menor). 9 de octubre de 1961. Cinco votos. Ponente: José Rivera Pérez Campos.”</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pPr>
      <w:r w:rsidRPr="008E12A5">
        <w:rPr>
          <w:rFonts w:ascii="Palatino Linotype" w:eastAsia="Palatino Linotype" w:hAnsi="Palatino Linotype" w:cs="Palatino Linotype"/>
        </w:rPr>
        <w:t xml:space="preserve">Además, y de conformidad con lo establecido en el artículo 12 de la Ley de Transparencia y Acceso a la Información Pública del Estado de México y Municipios, anteriormente invocado el </w:t>
      </w:r>
      <w:r w:rsidRPr="008E12A5">
        <w:rPr>
          <w:rFonts w:ascii="Palatino Linotype" w:eastAsia="Palatino Linotype" w:hAnsi="Palatino Linotype" w:cs="Palatino Linotype"/>
          <w:b/>
          <w:bCs/>
        </w:rPr>
        <w:t>Sujeto Obligado</w:t>
      </w:r>
      <w:r w:rsidRPr="008E12A5">
        <w:rPr>
          <w:rFonts w:ascii="Palatino Linotype" w:eastAsia="Palatino Linotype" w:hAnsi="Palatino Linotype" w:cs="Palatino Linotype"/>
        </w:rPr>
        <w:t xml:space="preserve"> sólo proporcionará la información que obra en sus archivos, lo que a</w:t>
      </w:r>
      <w:r w:rsidRPr="008E12A5">
        <w:rPr>
          <w:rFonts w:ascii="Palatino Linotype" w:eastAsia="Palatino Linotype" w:hAnsi="Palatino Linotype" w:cs="Palatino Linotype"/>
          <w:i/>
          <w:iCs/>
        </w:rPr>
        <w:t xml:space="preserve"> contrario sensu</w:t>
      </w:r>
      <w:r w:rsidRPr="008E12A5">
        <w:rPr>
          <w:rFonts w:ascii="Palatino Linotype" w:eastAsia="Palatino Linotype" w:hAnsi="Palatino Linotype" w:cs="Palatino Linotype"/>
        </w:rPr>
        <w:t xml:space="preserve"> significa que no se está obligado a proporcionar lo que no obre en sus archivos; por ende, las razones o motivos de inconformidad al respecto devienen infundados.</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Aunado a lo anterior, este Pleno considera necesario dejar claro que, al haber existido un pronunciamiento por parte del </w:t>
      </w:r>
      <w:r w:rsidRPr="008E12A5">
        <w:rPr>
          <w:rFonts w:ascii="Palatino Linotype" w:eastAsia="Palatino Linotype" w:hAnsi="Palatino Linotype" w:cs="Palatino Linotype"/>
          <w:b/>
          <w:bCs/>
          <w:color w:val="000000"/>
        </w:rPr>
        <w:t>Sujeto Obligado</w:t>
      </w:r>
      <w:r w:rsidRPr="008E12A5">
        <w:rPr>
          <w:rFonts w:ascii="Palatino Linotype" w:eastAsia="Palatino Linotype" w:hAnsi="Palatino Linotype" w:cs="Palatino Linotype"/>
          <w:color w:val="000000"/>
        </w:rPr>
        <w:t>, a fin de dar respuesta a la solicitud planteada, éste no está facultado para manifestarse sobre la veracidad de la información proporcionada, pues no existe precepto legal alguno en la Ley de la Materia que permita que, vía recurso de revisión, se pronuncie al respecto, por lo que con respecto a éste punto se tiene por colmado el derecho del Recurrente.</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Así mismo por cuanto hace a los puntos 9 y 10 de la tabla en cita, referentes al interés del particular por conocer en primer término el </w:t>
      </w:r>
      <w:r w:rsidRPr="008E12A5">
        <w:rPr>
          <w:rFonts w:ascii="Palatino Linotype" w:eastAsia="Palatino Linotype" w:hAnsi="Palatino Linotype" w:cs="Palatino Linotype"/>
          <w:i/>
          <w:iCs/>
          <w:color w:val="000000"/>
        </w:rPr>
        <w:t xml:space="preserve">Perfil académico, laboral, certificaciones vigentes, </w:t>
      </w:r>
      <w:r w:rsidRPr="008E12A5">
        <w:rPr>
          <w:rFonts w:ascii="Palatino Linotype" w:eastAsia="Palatino Linotype" w:hAnsi="Palatino Linotype" w:cs="Palatino Linotype"/>
          <w:i/>
          <w:iCs/>
          <w:color w:val="000000"/>
        </w:rPr>
        <w:lastRenderedPageBreak/>
        <w:t xml:space="preserve">experiencia policial del Titular de Seguridad Pública, de los Directores de Área, Subdirectores, Jefes de Departamento, Jefes de turno según corresponda </w:t>
      </w:r>
      <w:r w:rsidRPr="008E12A5">
        <w:rPr>
          <w:rFonts w:ascii="Palatino Linotype" w:eastAsia="Palatino Linotype" w:hAnsi="Palatino Linotype" w:cs="Palatino Linotype"/>
          <w:color w:val="000000"/>
        </w:rPr>
        <w:t xml:space="preserve"> y en segundo término el </w:t>
      </w:r>
      <w:r w:rsidRPr="008E12A5">
        <w:rPr>
          <w:rFonts w:ascii="Palatino Linotype" w:eastAsia="Palatino Linotype" w:hAnsi="Palatino Linotype" w:cs="Palatino Linotype"/>
          <w:i/>
          <w:iCs/>
          <w:color w:val="000000"/>
        </w:rPr>
        <w:t xml:space="preserve">Perfil académico, laboral, certificaciones vigentes, experiencia policial del Titular de Seguridad Pública, de los Directores de Área, Subdirectores, Jefes de Departamento, Jefes de turno, </w:t>
      </w:r>
      <w:r w:rsidRPr="008E12A5">
        <w:rPr>
          <w:rFonts w:ascii="Palatino Linotype" w:eastAsia="Palatino Linotype" w:hAnsi="Palatino Linotype" w:cs="Palatino Linotype"/>
          <w:color w:val="000000"/>
        </w:rPr>
        <w:t>se advierte de las documentales vertidas en respuesta que el Sujeto Obligado entregó en ambos puntos lo relativo al Director de Seguridad Pública siendo omiso en entregar las de los demás servidores públicos referidos en la solicitud, por lo que deberá remitir tales nombramientos a fin de colmar en sendos puntos peticionados por el ahora Recurrente en atención a la legislación</w:t>
      </w:r>
      <w:r w:rsidRPr="008E12A5">
        <w:rPr>
          <w:rFonts w:ascii="Palatino Linotype" w:eastAsia="Palatino Linotype" w:hAnsi="Palatino Linotype" w:cs="Palatino Linotype"/>
          <w:color w:val="000000"/>
          <w:vertAlign w:val="superscript"/>
        </w:rPr>
        <w:footnoteReference w:id="11"/>
      </w:r>
      <w:r w:rsidRPr="008E12A5">
        <w:rPr>
          <w:rFonts w:ascii="Palatino Linotype" w:eastAsia="Palatino Linotype" w:hAnsi="Palatino Linotype" w:cs="Palatino Linotype"/>
          <w:color w:val="000000"/>
        </w:rPr>
        <w:t xml:space="preserve"> respectiva.</w:t>
      </w:r>
    </w:p>
    <w:p w:rsidR="00337CB1" w:rsidRPr="008E12A5" w:rsidRDefault="00337CB1" w:rsidP="0014156B">
      <w:pPr>
        <w:pBdr>
          <w:top w:val="nil"/>
          <w:left w:val="nil"/>
          <w:bottom w:val="nil"/>
          <w:right w:val="nil"/>
          <w:between w:val="nil"/>
        </w:pBd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t xml:space="preserve">Finalmente para el punto 11 de la tabla en referencia, donde el particular requiere conocer, de ser procedente que extitulares de la Dirección de Seguridad hayan ejercido tal titularidad durante 2025, la información relativa a su perfil académico y laboral así como su experiencia en la materia en diversos ámbitos institucionales, a lo que el Sujeto Obligado refirió la </w:t>
      </w:r>
      <w:r w:rsidRPr="008E12A5">
        <w:rPr>
          <w:rFonts w:ascii="Palatino Linotype" w:eastAsia="Palatino Linotype" w:hAnsi="Palatino Linotype" w:cs="Palatino Linotype"/>
          <w:b/>
          <w:color w:val="000000"/>
        </w:rPr>
        <w:t>reserva</w:t>
      </w:r>
      <w:r w:rsidRPr="008E12A5">
        <w:rPr>
          <w:rFonts w:ascii="Palatino Linotype" w:eastAsia="Palatino Linotype" w:hAnsi="Palatino Linotype" w:cs="Palatino Linotype"/>
          <w:color w:val="000000"/>
        </w:rPr>
        <w:t xml:space="preserve"> de la misma.</w:t>
      </w:r>
    </w:p>
    <w:p w:rsidR="00337CB1" w:rsidRPr="008E12A5" w:rsidRDefault="00337CB1" w:rsidP="0014156B">
      <w:pPr>
        <w:pBdr>
          <w:top w:val="nil"/>
          <w:left w:val="nil"/>
          <w:bottom w:val="nil"/>
          <w:right w:val="nil"/>
          <w:between w:val="nil"/>
        </w:pBd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color w:val="000000"/>
        </w:rPr>
        <w:lastRenderedPageBreak/>
        <w:t xml:space="preserve">En ese orden de ideas si bien por regla general los nombres de los trabajadores gubernamentales son información pública de oficio, existe una excepción relativa a aquellos que realicen </w:t>
      </w:r>
      <w:r w:rsidRPr="008E12A5">
        <w:rPr>
          <w:rFonts w:ascii="Palatino Linotype" w:eastAsia="Palatino Linotype" w:hAnsi="Palatino Linotype" w:cs="Palatino Linotype"/>
          <w:b/>
          <w:bCs/>
          <w:color w:val="000000"/>
        </w:rPr>
        <w:t>actividades operativas en materia de seguridad</w:t>
      </w:r>
      <w:r w:rsidRPr="008E12A5">
        <w:rPr>
          <w:rFonts w:ascii="Palatino Linotype" w:eastAsia="Palatino Linotype" w:hAnsi="Palatino Linotype" w:cs="Palatino Linotype"/>
          <w:color w:val="000000"/>
        </w:rPr>
        <w:t xml:space="preserve">, como es el caso de los </w:t>
      </w:r>
      <w:r w:rsidRPr="008E12A5">
        <w:rPr>
          <w:rFonts w:ascii="Palatino Linotype" w:eastAsia="Palatino Linotype" w:hAnsi="Palatino Linotype" w:cs="Palatino Linotype"/>
          <w:b/>
          <w:color w:val="000000"/>
        </w:rPr>
        <w:t>elementos operativos y la policía municipal</w:t>
      </w:r>
      <w:r w:rsidRPr="008E12A5">
        <w:rPr>
          <w:rFonts w:ascii="Palatino Linotype" w:eastAsia="Palatino Linotype" w:hAnsi="Palatino Linotype" w:cs="Palatino Linotype"/>
          <w:color w:val="000000"/>
        </w:rPr>
        <w:t>.</w:t>
      </w:r>
    </w:p>
    <w:p w:rsidR="00337CB1" w:rsidRPr="008E12A5" w:rsidRDefault="00337CB1" w:rsidP="0014156B">
      <w:pPr>
        <w:pBdr>
          <w:top w:val="nil"/>
          <w:left w:val="nil"/>
          <w:bottom w:val="nil"/>
          <w:right w:val="nil"/>
          <w:between w:val="nil"/>
        </w:pBd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spacing w:line="360" w:lineRule="auto"/>
        <w:ind w:left="0" w:right="-284" w:firstLine="0"/>
        <w:jc w:val="both"/>
        <w:rPr>
          <w:color w:val="000000"/>
        </w:rPr>
      </w:pPr>
      <w:r w:rsidRPr="008E12A5">
        <w:rPr>
          <w:rFonts w:ascii="Palatino Linotype" w:eastAsia="Palatino Linotype" w:hAnsi="Palatino Linotype" w:cs="Palatino Linotype"/>
        </w:rPr>
        <w:t xml:space="preserve">No obstante, de lo anterior y del análisis de la solicitud es que se observa que </w:t>
      </w:r>
      <w:r w:rsidRPr="008E12A5">
        <w:rPr>
          <w:rFonts w:ascii="Palatino Linotype" w:eastAsia="Palatino Linotype" w:hAnsi="Palatino Linotype" w:cs="Palatino Linotype"/>
          <w:b/>
          <w:bCs/>
        </w:rPr>
        <w:t>lo peticionado por el particular</w:t>
      </w:r>
      <w:r w:rsidRPr="008E12A5">
        <w:rPr>
          <w:rFonts w:ascii="Palatino Linotype" w:eastAsia="Palatino Linotype" w:hAnsi="Palatino Linotype" w:cs="Palatino Linotype"/>
        </w:rPr>
        <w:t xml:space="preserve"> </w:t>
      </w:r>
      <w:r w:rsidRPr="008E12A5">
        <w:rPr>
          <w:rFonts w:ascii="Palatino Linotype" w:eastAsia="Palatino Linotype" w:hAnsi="Palatino Linotype" w:cs="Palatino Linotype"/>
          <w:b/>
          <w:bCs/>
        </w:rPr>
        <w:t>excluye a los elementos operativos</w:t>
      </w:r>
      <w:r w:rsidRPr="008E12A5">
        <w:rPr>
          <w:rFonts w:ascii="Palatino Linotype" w:eastAsia="Palatino Linotype" w:hAnsi="Palatino Linotype" w:cs="Palatino Linotype"/>
        </w:rPr>
        <w:t xml:space="preserve"> </w:t>
      </w:r>
      <w:r w:rsidRPr="008E12A5">
        <w:rPr>
          <w:rFonts w:ascii="Palatino Linotype" w:eastAsia="Palatino Linotype" w:hAnsi="Palatino Linotype" w:cs="Palatino Linotype"/>
          <w:b/>
        </w:rPr>
        <w:t xml:space="preserve">por lo que debe ordenarse la entrega de la información solicitada; </w:t>
      </w:r>
      <w:r w:rsidRPr="008E12A5">
        <w:rPr>
          <w:rFonts w:ascii="Palatino Linotype" w:eastAsia="Palatino Linotype" w:hAnsi="Palatino Linotype" w:cs="Palatino Linotype"/>
        </w:rPr>
        <w:t xml:space="preserve">misma que se advierte pudiera enunciativamente estar contenida en </w:t>
      </w:r>
      <w:r w:rsidRPr="008E12A5">
        <w:rPr>
          <w:rFonts w:ascii="Palatino Linotype" w:eastAsia="Palatino Linotype" w:hAnsi="Palatino Linotype" w:cs="Palatino Linotype"/>
          <w:color w:val="000000"/>
        </w:rPr>
        <w:t xml:space="preserve">la </w:t>
      </w:r>
      <w:r w:rsidRPr="008E12A5">
        <w:rPr>
          <w:rFonts w:ascii="Palatino Linotype" w:eastAsia="Palatino Linotype" w:hAnsi="Palatino Linotype" w:cs="Palatino Linotype"/>
          <w:i/>
          <w:iCs/>
          <w:color w:val="000000"/>
        </w:rPr>
        <w:t>ficha curricular o curriculum vitae</w:t>
      </w:r>
      <w:r w:rsidRPr="008E12A5">
        <w:rPr>
          <w:rFonts w:ascii="Palatino Linotype" w:eastAsia="Palatino Linotype" w:hAnsi="Palatino Linotype" w:cs="Palatino Linotype"/>
          <w:color w:val="000000"/>
        </w:rPr>
        <w:t xml:space="preserve"> mismos que contienen entre otra información, </w:t>
      </w:r>
      <w:r w:rsidRPr="008E12A5">
        <w:rPr>
          <w:rFonts w:ascii="Palatino Linotype" w:eastAsia="Palatino Linotype" w:hAnsi="Palatino Linotype" w:cs="Palatino Linotype"/>
          <w:b/>
          <w:bCs/>
          <w:color w:val="000000"/>
        </w:rPr>
        <w:t>la preparación académica, laboral y méritos con los que cuentan los servidores públicos</w:t>
      </w:r>
      <w:r w:rsidRPr="008E12A5">
        <w:rPr>
          <w:rFonts w:ascii="Palatino Linotype" w:eastAsia="Palatino Linotype" w:hAnsi="Palatino Linotype" w:cs="Palatino Linotype"/>
          <w:color w:val="000000"/>
        </w:rPr>
        <w:t xml:space="preserve"> para ocupar un cargo público; de ahí que se cita lo que dispone la Real Academia de la Lengua Española define como currículum vitae: </w:t>
      </w:r>
    </w:p>
    <w:p w:rsidR="00337CB1" w:rsidRPr="008E12A5" w:rsidRDefault="00BF5B66" w:rsidP="0014156B">
      <w:pPr>
        <w:tabs>
          <w:tab w:val="left" w:pos="1134"/>
        </w:tabs>
        <w:spacing w:line="276" w:lineRule="auto"/>
        <w:ind w:left="1134" w:right="-284"/>
        <w:jc w:val="both"/>
        <w:rPr>
          <w:rFonts w:ascii="Palatino Linotype" w:eastAsia="Palatino Linotype" w:hAnsi="Palatino Linotype" w:cs="Palatino Linotype"/>
        </w:rPr>
      </w:pPr>
      <w:r w:rsidRPr="008E12A5">
        <w:rPr>
          <w:rFonts w:ascii="Palatino Linotype" w:eastAsia="Palatino Linotype" w:hAnsi="Palatino Linotype" w:cs="Palatino Linotype"/>
          <w:b/>
          <w:bCs/>
        </w:rPr>
        <w:t>“</w:t>
      </w:r>
      <w:r w:rsidRPr="008E12A5">
        <w:rPr>
          <w:rFonts w:ascii="Palatino Linotype" w:eastAsia="Palatino Linotype" w:hAnsi="Palatino Linotype" w:cs="Palatino Linotype"/>
          <w:b/>
          <w:bCs/>
          <w:i/>
          <w:iCs/>
        </w:rPr>
        <w:t>currículum vítae</w:t>
      </w:r>
      <w:r w:rsidRPr="008E12A5">
        <w:rPr>
          <w:rFonts w:ascii="Palatino Linotype" w:eastAsia="Palatino Linotype" w:hAnsi="Palatino Linotype" w:cs="Palatino Linotype"/>
          <w:i/>
          <w:iCs/>
        </w:rPr>
        <w:t>. </w:t>
      </w:r>
      <w:r w:rsidRPr="008E12A5">
        <w:rPr>
          <w:rFonts w:ascii="Palatino Linotype" w:eastAsia="Palatino Linotype" w:hAnsi="Palatino Linotype" w:cs="Palatino Linotype"/>
          <w:b/>
          <w:bCs/>
          <w:i/>
          <w:iCs/>
        </w:rPr>
        <w:t>1.</w:t>
      </w:r>
      <w:r w:rsidRPr="008E12A5">
        <w:rPr>
          <w:rFonts w:ascii="Palatino Linotype" w:eastAsia="Palatino Linotype" w:hAnsi="Palatino Linotype" w:cs="Palatino Linotype"/>
          <w:i/>
          <w:iCs/>
        </w:rPr>
        <w:t xml:space="preserve"> Loc. lat. que significa literalmente ‘carrera de la vida’. Se usa como locución nominal masculina para designar la relación de los datos personales, </w:t>
      </w:r>
      <w:r w:rsidRPr="008E12A5">
        <w:rPr>
          <w:rFonts w:ascii="Palatino Linotype" w:eastAsia="Palatino Linotype" w:hAnsi="Palatino Linotype" w:cs="Palatino Linotype"/>
          <w:b/>
          <w:bCs/>
          <w:i/>
          <w:iCs/>
        </w:rPr>
        <w:t>formación académica</w:t>
      </w:r>
      <w:r w:rsidRPr="008E12A5">
        <w:rPr>
          <w:rFonts w:ascii="Palatino Linotype" w:eastAsia="Palatino Linotype" w:hAnsi="Palatino Linotype" w:cs="Palatino Linotype"/>
          <w:i/>
          <w:iCs/>
        </w:rPr>
        <w:t>, actividad laboral y méritos de una persona.</w:t>
      </w:r>
      <w:r w:rsidRPr="008E12A5">
        <w:rPr>
          <w:rFonts w:ascii="Palatino Linotype" w:eastAsia="Palatino Linotype" w:hAnsi="Palatino Linotype" w:cs="Palatino Linotype"/>
        </w:rPr>
        <w:t>”</w:t>
      </w:r>
    </w:p>
    <w:p w:rsidR="00337CB1" w:rsidRPr="008E12A5" w:rsidRDefault="00337CB1" w:rsidP="0014156B">
      <w:pPr>
        <w:pBdr>
          <w:top w:val="nil"/>
          <w:left w:val="nil"/>
          <w:bottom w:val="nil"/>
          <w:right w:val="nil"/>
          <w:between w:val="nil"/>
        </w:pBdr>
        <w:tabs>
          <w:tab w:val="left" w:pos="426"/>
        </w:tabs>
        <w:spacing w:line="360" w:lineRule="auto"/>
        <w:ind w:right="-284"/>
        <w:jc w:val="both"/>
        <w:rPr>
          <w:rFonts w:ascii="Palatino Linotype" w:eastAsia="Palatino Linotype" w:hAnsi="Palatino Linotype" w:cs="Palatino Linotype"/>
          <w:color w:val="000000"/>
        </w:rPr>
      </w:pPr>
    </w:p>
    <w:p w:rsidR="00337CB1" w:rsidRPr="008E12A5" w:rsidRDefault="00BF5B66" w:rsidP="008E12A5">
      <w:pPr>
        <w:numPr>
          <w:ilvl w:val="0"/>
          <w:numId w:val="17"/>
        </w:numPr>
        <w:pBdr>
          <w:top w:val="nil"/>
          <w:left w:val="nil"/>
          <w:bottom w:val="nil"/>
          <w:right w:val="nil"/>
          <w:between w:val="nil"/>
        </w:pBdr>
        <w:tabs>
          <w:tab w:val="left" w:pos="-5"/>
        </w:tabs>
        <w:spacing w:line="360" w:lineRule="auto"/>
        <w:ind w:left="0" w:right="-284" w:firstLine="0"/>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color w:val="000000"/>
        </w:rPr>
        <w:t>De la interpretación a esta definición se desprende que tanto la ficha curricular como el currículum vitae están relacionados con la hoja de vida, carrera de vida o currícula de una persona, donde se podría apreciar la preparación académica y laboral que tiene, además de los méritos como bien lo podrían ser cursos o certificaciones.</w:t>
      </w:r>
    </w:p>
    <w:p w:rsidR="00337CB1" w:rsidRPr="008E12A5" w:rsidRDefault="00337CB1" w:rsidP="0014156B">
      <w:pPr>
        <w:pBdr>
          <w:top w:val="nil"/>
          <w:left w:val="nil"/>
          <w:bottom w:val="nil"/>
          <w:right w:val="nil"/>
          <w:between w:val="nil"/>
        </w:pBdr>
        <w:tabs>
          <w:tab w:val="left" w:pos="-5"/>
        </w:tabs>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tabs>
          <w:tab w:val="left" w:pos="-5"/>
        </w:tabs>
        <w:spacing w:line="360" w:lineRule="auto"/>
        <w:ind w:left="0" w:right="-284" w:firstLine="0"/>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color w:val="000000"/>
        </w:rPr>
        <w:t xml:space="preserve">Por ende, la ficha curricular o currículum vítae puede existir información más detallada y relacionada con la </w:t>
      </w:r>
      <w:r w:rsidRPr="008E12A5">
        <w:rPr>
          <w:rFonts w:ascii="Palatino Linotype" w:eastAsia="Palatino Linotype" w:hAnsi="Palatino Linotype" w:cs="Palatino Linotype"/>
          <w:b/>
          <w:bCs/>
          <w:color w:val="000000"/>
        </w:rPr>
        <w:t xml:space="preserve">trayectoria académica o profesional, </w:t>
      </w:r>
      <w:r w:rsidRPr="008E12A5">
        <w:rPr>
          <w:rFonts w:ascii="Palatino Linotype" w:eastAsia="Palatino Linotype" w:hAnsi="Palatino Linotype" w:cs="Palatino Linotype"/>
          <w:color w:val="000000"/>
        </w:rPr>
        <w:t xml:space="preserve">debiendo conservar los documentos soporte como puede ser </w:t>
      </w:r>
      <w:r w:rsidRPr="008E12A5">
        <w:rPr>
          <w:rFonts w:ascii="Palatino Linotype" w:eastAsia="Palatino Linotype" w:hAnsi="Palatino Linotype" w:cs="Palatino Linotype"/>
          <w:b/>
          <w:bCs/>
          <w:color w:val="000000"/>
        </w:rPr>
        <w:t>el título profesional o cédula profesional</w:t>
      </w:r>
      <w:r w:rsidRPr="008E12A5">
        <w:rPr>
          <w:rFonts w:ascii="Palatino Linotype" w:eastAsia="Palatino Linotype" w:hAnsi="Palatino Linotype" w:cs="Palatino Linotype"/>
          <w:color w:val="000000"/>
        </w:rPr>
        <w:t xml:space="preserve"> o el </w:t>
      </w:r>
      <w:r w:rsidRPr="008E12A5">
        <w:rPr>
          <w:rFonts w:ascii="Palatino Linotype" w:eastAsia="Palatino Linotype" w:hAnsi="Palatino Linotype" w:cs="Palatino Linotype"/>
          <w:color w:val="000000"/>
        </w:rPr>
        <w:lastRenderedPageBreak/>
        <w:t>documento que avale el grado académico de los servidores públicos, los cuales son susceptibles de proporcionarse en versión pública.</w:t>
      </w:r>
    </w:p>
    <w:p w:rsidR="00337CB1" w:rsidRPr="008E12A5" w:rsidRDefault="00337CB1" w:rsidP="0014156B">
      <w:pPr>
        <w:pBdr>
          <w:top w:val="nil"/>
          <w:left w:val="nil"/>
          <w:bottom w:val="nil"/>
          <w:right w:val="nil"/>
          <w:between w:val="nil"/>
        </w:pBdr>
        <w:tabs>
          <w:tab w:val="left" w:pos="-5"/>
        </w:tabs>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pBdr>
          <w:top w:val="nil"/>
          <w:left w:val="nil"/>
          <w:bottom w:val="nil"/>
          <w:right w:val="nil"/>
          <w:between w:val="nil"/>
        </w:pBdr>
        <w:tabs>
          <w:tab w:val="left" w:pos="-5"/>
        </w:tabs>
        <w:spacing w:line="360" w:lineRule="auto"/>
        <w:ind w:left="0" w:right="-284" w:firstLine="0"/>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color w:val="000000"/>
        </w:rPr>
        <w:t>Es así que, la información contenida en el currículum vitae permite conocer el perfil profesional del servidor público. Además, el currículum vitae o ficha curricular forman parte de las obligaciones de transparencia común que todos los Sujetos Obligados deben publicar periódicamente en sus portales IPOMEX, según lo dispuesto en el artículo 92, fracción XXI, de la Ley de Transparencia y Acceso a la Información del Estado de México y Municipios, disponen lo siguiente:</w:t>
      </w:r>
    </w:p>
    <w:p w:rsidR="00337CB1" w:rsidRPr="008E12A5" w:rsidRDefault="00BF5B66" w:rsidP="0014156B">
      <w:pPr>
        <w:ind w:left="1134" w:right="-284"/>
        <w:jc w:val="center"/>
        <w:rPr>
          <w:rFonts w:ascii="Palatino Linotype" w:eastAsia="Palatino Linotype" w:hAnsi="Palatino Linotype" w:cs="Palatino Linotype"/>
          <w:b/>
          <w:bCs/>
          <w:i/>
          <w:iCs/>
        </w:rPr>
      </w:pPr>
      <w:r w:rsidRPr="008E12A5">
        <w:rPr>
          <w:rFonts w:ascii="Palatino Linotype" w:eastAsia="Palatino Linotype" w:hAnsi="Palatino Linotype" w:cs="Palatino Linotype"/>
          <w:b/>
          <w:bCs/>
          <w:i/>
          <w:iCs/>
        </w:rPr>
        <w:t>Ley de Transparencia y Acceso a la Información Pública del Estado de México y Municipios</w:t>
      </w: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w:t>
      </w:r>
      <w:r w:rsidRPr="008E12A5">
        <w:rPr>
          <w:rFonts w:ascii="Palatino Linotype" w:eastAsia="Palatino Linotype" w:hAnsi="Palatino Linotype" w:cs="Palatino Linotype"/>
          <w:b/>
          <w:bCs/>
          <w:i/>
          <w:iCs/>
        </w:rPr>
        <w:t>Artículo 92</w:t>
      </w:r>
      <w:r w:rsidRPr="008E12A5">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i/>
          <w:iCs/>
        </w:rPr>
        <w:t>(…)</w:t>
      </w:r>
    </w:p>
    <w:p w:rsidR="00337CB1" w:rsidRPr="008E12A5" w:rsidRDefault="00BF5B66" w:rsidP="0014156B">
      <w:pPr>
        <w:ind w:left="1134" w:right="-284"/>
        <w:jc w:val="both"/>
        <w:rPr>
          <w:rFonts w:ascii="Palatino Linotype" w:eastAsia="Palatino Linotype" w:hAnsi="Palatino Linotype" w:cs="Palatino Linotype"/>
          <w:i/>
          <w:iCs/>
        </w:rPr>
      </w:pPr>
      <w:r w:rsidRPr="008E12A5">
        <w:rPr>
          <w:rFonts w:ascii="Palatino Linotype" w:eastAsia="Palatino Linotype" w:hAnsi="Palatino Linotype" w:cs="Palatino Linotype"/>
          <w:b/>
          <w:bCs/>
          <w:i/>
          <w:iCs/>
        </w:rPr>
        <w:t>XXI.</w:t>
      </w:r>
      <w:r w:rsidRPr="008E12A5">
        <w:rPr>
          <w:rFonts w:ascii="Palatino Linotype" w:eastAsia="Palatino Linotype" w:hAnsi="Palatino Linotype" w:cs="Palatino Linotype"/>
          <w:i/>
          <w:iCs/>
        </w:rPr>
        <w:t xml:space="preserve"> </w:t>
      </w:r>
      <w:r w:rsidRPr="008E12A5">
        <w:rPr>
          <w:rFonts w:ascii="Palatino Linotype" w:eastAsia="Palatino Linotype" w:hAnsi="Palatino Linotype" w:cs="Palatino Linotype"/>
          <w:b/>
          <w:bCs/>
          <w:i/>
          <w:iCs/>
          <w:u w:val="single"/>
        </w:rPr>
        <w:t>La información curricular</w:t>
      </w:r>
      <w:r w:rsidRPr="008E12A5">
        <w:rPr>
          <w:rFonts w:ascii="Palatino Linotype" w:eastAsia="Palatino Linotype" w:hAnsi="Palatino Linotype" w:cs="Palatino Linotype"/>
          <w:i/>
          <w:iCs/>
        </w:rPr>
        <w:t>, desde el nivel de jefe de departamento o equivalente, hasta el titular del sujeto obligado, así como, en su caso, las sanciones administrativas de que haya sido objeto;</w:t>
      </w:r>
    </w:p>
    <w:p w:rsidR="00337CB1" w:rsidRPr="008E12A5" w:rsidRDefault="00BF5B66" w:rsidP="0014156B">
      <w:pPr>
        <w:spacing w:line="360" w:lineRule="auto"/>
        <w:ind w:left="1134" w:right="-284"/>
        <w:jc w:val="both"/>
        <w:rPr>
          <w:rFonts w:ascii="Palatino Linotype" w:eastAsia="Palatino Linotype" w:hAnsi="Palatino Linotype" w:cs="Palatino Linotype"/>
        </w:rPr>
      </w:pPr>
      <w:r w:rsidRPr="008E12A5">
        <w:rPr>
          <w:rFonts w:ascii="Palatino Linotype" w:eastAsia="Palatino Linotype" w:hAnsi="Palatino Linotype" w:cs="Palatino Linotype"/>
        </w:rPr>
        <w:t>(Énfasis añadido)”</w:t>
      </w:r>
    </w:p>
    <w:p w:rsidR="00337CB1" w:rsidRPr="008E12A5" w:rsidRDefault="00337CB1" w:rsidP="0014156B">
      <w:pPr>
        <w:tabs>
          <w:tab w:val="left" w:pos="426"/>
        </w:tabs>
        <w:spacing w:line="360" w:lineRule="auto"/>
        <w:ind w:left="1134" w:right="-284"/>
        <w:jc w:val="both"/>
        <w:rPr>
          <w:rFonts w:ascii="Palatino Linotype" w:eastAsia="Palatino Linotype" w:hAnsi="Palatino Linotype" w:cs="Palatino Linotype"/>
        </w:rPr>
      </w:pPr>
    </w:p>
    <w:p w:rsidR="00337CB1" w:rsidRPr="008E12A5" w:rsidRDefault="00BF5B66" w:rsidP="008E12A5">
      <w:pPr>
        <w:numPr>
          <w:ilvl w:val="0"/>
          <w:numId w:val="17"/>
        </w:numPr>
        <w:tabs>
          <w:tab w:val="left" w:pos="426"/>
        </w:tabs>
        <w:spacing w:after="240"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De lo anterior se colige que, el Sujeto Obligado cuenta con fuente obligacional para generar, administrar y poseer la información requerida por el Particular, además, los </w:t>
      </w:r>
      <w:r w:rsidRPr="008E12A5">
        <w:rPr>
          <w:rFonts w:ascii="Palatino Linotype" w:eastAsia="Palatino Linotype" w:hAnsi="Palatino Linotype" w:cs="Palatino Linotype"/>
          <w:i/>
          <w:iCs/>
        </w:rPr>
        <w:t xml:space="preserve">Lineamientos Técnicos Generales para la publicación, homologación y estandarización de la información de las obligaciones establecidas en el Título Quinto y en la fracción IV del artículo 31 de </w:t>
      </w:r>
      <w:r w:rsidRPr="008E12A5">
        <w:rPr>
          <w:rFonts w:ascii="Palatino Linotype" w:eastAsia="Palatino Linotype" w:hAnsi="Palatino Linotype" w:cs="Palatino Linotype"/>
          <w:i/>
          <w:iCs/>
        </w:rPr>
        <w:lastRenderedPageBreak/>
        <w:t>la Ley General de Transparencia y Acceso a la Información Pública, que deben de difundir los sujetos obligados en los portales de Internet y en la Plataforma Nacional de Transparencia:</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XVII. La información curricular desde el nivel de jefe de departamento o equivalente    hasta el titular del sujeto obligado, así como, en su caso, las sanciones administrativas de que haya sido objeto  </w:t>
      </w:r>
    </w:p>
    <w:p w:rsidR="00337CB1" w:rsidRPr="008E12A5" w:rsidRDefault="00337CB1"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La información que los sujetos obligados deberán publicar en cumplimiento a la presente fracción es la curricular no confidencial relacionada con todos los(as) servidores(as) públicos(as) y/o personas que desempeñen actualmente un empleo, cargo o comisión y/o ejerzan actos de autoridad en el sujeto obligado –desde nivel de jefe de departamento o equivalente y hasta el titular del sujeto obligado–, que permita conocer su trayectoria en el ámbito laboral y escolar. Por cada servidor(a) público(a) se deberá especificar si ha sido acreedor a sanciones administrativas definitivas y que hayan sido aplicadas por autoridad u organismo competente.</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Criterios sustantivos de contenido </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Criterio 1 Ejercicio </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Criterio 2 Periodo que se informa (fecha de inicio y fecha de término con el formato día/mes/año) </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Criterio 3 Denominación del puesto (de acuerdo con el catálogo que en su caso regule la actividad del sujeto obligado) </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Criterio 4 Denominación del cargo (de conformidad con nombramiento otorgado) </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 xml:space="preserve">Criterio 5 Nombre del servidor(a) público(a), integrante y/o, miembro del sujeto obligado, y/o persona que desempeñe un empleo, cargo o comisión y/o ejerza actos de autoridad (nombre[s], primer apellido, segundo apellido) </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lastRenderedPageBreak/>
        <w:t xml:space="preserve">Criterio 6 Área de adscripción (de acuerdo con el catálogo que en su caso regule la actividad del sujeto obligado) Respecto a la información curricular del (la) servidor(a) público(a) y/o persona que desempeñe un empleo, cargo o comisión en el sujeto obligado se deberá publicar: </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Criterio 7 Escolaridad, nivel máximo de estudios concluido y comprobable (catálogo): Ninguno/Primaria/Secundaria/Bachillerato/Carrera técnica/Licenciatura/Maestría/Doctorado/Posdoctorado/Especialización </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Criterio 8 Carrera genérica, en su caso</w:t>
      </w:r>
    </w:p>
    <w:p w:rsidR="00337CB1" w:rsidRPr="008E12A5" w:rsidRDefault="00BF5B66" w:rsidP="0014156B">
      <w:pPr>
        <w:pBdr>
          <w:top w:val="nil"/>
          <w:left w:val="nil"/>
          <w:bottom w:val="nil"/>
          <w:right w:val="nil"/>
          <w:between w:val="nil"/>
        </w:pBdr>
        <w:spacing w:before="240" w:after="240" w:line="276" w:lineRule="auto"/>
        <w:ind w:left="1134" w:right="-284"/>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w:t>
      </w: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De este modo, es de referir que es de interés público de la ciudadanía, conocer que los trabajadores gubernamentales cumplen con todos los requisitos establecidos en la  normatividad respectiva, pues solo así, se puede saber, si los empleados, son aptos para ocupar determinados puestos; por otra parte, la publicidad de la información ayuda a rendir cuentas a la población, respecto a que las dependencias gubernamentales cumplen con lo establecido en los ordenamientos jurídicos, ya que permite a las personas verificar que una Dependencia o Ayuntamiento, contrata a servidores públicos capaces e idóneos para cumplir con sus funciones y cumplen con los requisitos respectivos por lo que para colmar el derecho de acceso a la información del </w:t>
      </w:r>
      <w:r w:rsidRPr="008E12A5">
        <w:rPr>
          <w:rFonts w:ascii="Palatino Linotype" w:eastAsia="Palatino Linotype" w:hAnsi="Palatino Linotype" w:cs="Palatino Linotype"/>
          <w:b/>
          <w:bCs/>
        </w:rPr>
        <w:t xml:space="preserve">RECURRENTE </w:t>
      </w:r>
      <w:r w:rsidRPr="008E12A5">
        <w:rPr>
          <w:rFonts w:ascii="Palatino Linotype" w:eastAsia="Palatino Linotype" w:hAnsi="Palatino Linotype" w:cs="Palatino Linotype"/>
        </w:rPr>
        <w:t>se deberá hacer entrega en versión pública de los curriculum de los servidores públicos referidos en este punto de la solicitud.</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Ahora bien, 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w:t>
      </w:r>
      <w:r w:rsidRPr="008E12A5">
        <w:rPr>
          <w:rFonts w:ascii="Palatino Linotype" w:eastAsia="Palatino Linotype" w:hAnsi="Palatino Linotype" w:cs="Palatino Linotype"/>
        </w:rPr>
        <w:lastRenderedPageBreak/>
        <w:t>divulgada por diversos medios, desde volantes impresos de la forma más rudimentaria, hasta filmaciones y fotografías transmitidas por televisión cine, video, correo electrónico o Internet.</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acreditará e identificaría a una persona como servidor público, por lo que es posible advertir que existe cierto interés público, cuando la fotografía obra en documentos de servidores públicos vinculados con el cumplimiento de disposiciones legales.</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8E12A5">
        <w:rPr>
          <w:rFonts w:ascii="Palatino Linotype" w:eastAsia="Palatino Linotype" w:hAnsi="Palatino Linotype" w:cs="Palatino Linotype"/>
          <w:i/>
          <w:iCs/>
        </w:rPr>
        <w:t>con excepción del personal operativo en materia de seguridad, respecto del cual el Pleno de este Instituto ya se ha pronunciado en el sentido de que la información que los haga identificados o identificables debe clasificarse como reservada).</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w:t>
      </w:r>
      <w:r w:rsidRPr="008E12A5">
        <w:rPr>
          <w:rFonts w:ascii="Palatino Linotype" w:eastAsia="Palatino Linotype" w:hAnsi="Palatino Linotype" w:cs="Palatino Linotype"/>
        </w:rPr>
        <w:lastRenderedPageBreak/>
        <w:t xml:space="preserve">específica a fotografías de servidores públicos, sí establecen un criterio para que este dato personal pueda ser considerado como público, cuando se pretende acreditar que una persona es servidor público, </w:t>
      </w:r>
      <w:r w:rsidRPr="008E12A5">
        <w:rPr>
          <w:rFonts w:ascii="Palatino Linotype" w:eastAsia="Palatino Linotype" w:hAnsi="Palatino Linotype" w:cs="Palatino Linotype"/>
          <w:b/>
          <w:bCs/>
        </w:rPr>
        <w:t>criterios que se refieren de manera orientadora ya que la a fecha de la solicitud se encontraban vigentes</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lastRenderedPageBreak/>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Conforme a lo anterior, </w:t>
      </w:r>
      <w:r w:rsidRPr="008E12A5">
        <w:rPr>
          <w:rFonts w:ascii="Palatino Linotype" w:eastAsia="Palatino Linotype" w:hAnsi="Palatino Linotype" w:cs="Palatino Linotype"/>
          <w:b/>
          <w:bCs/>
        </w:rPr>
        <w:t>las fotografías de servidores públicos sin importar el nivel o rango guardan la naturaleza de públicas y no procede su clasificación</w:t>
      </w:r>
      <w:r w:rsidRPr="008E12A5">
        <w:rPr>
          <w:rFonts w:ascii="Palatino Linotype" w:eastAsia="Palatino Linotype" w:hAnsi="Palatino Linotype" w:cs="Palatino Linotype"/>
        </w:rPr>
        <w:t xml:space="preserve">, en términos del artículo 143, fracción I, de la Ley de Transparencia y Acceso a la Información Pública del Estado de México y Municipios, por lo que en las versiones públicas que se ordenen, no podrá clasificarse esa información. </w:t>
      </w:r>
    </w:p>
    <w:p w:rsidR="00337CB1" w:rsidRPr="008E12A5" w:rsidRDefault="00337CB1" w:rsidP="0014156B">
      <w:pPr>
        <w:spacing w:line="360" w:lineRule="auto"/>
        <w:ind w:left="360" w:right="-284"/>
        <w:jc w:val="both"/>
        <w:rPr>
          <w:rFonts w:ascii="Palatino Linotype" w:eastAsia="Palatino Linotype" w:hAnsi="Palatino Linotype" w:cs="Palatino Linotype"/>
          <w:b/>
          <w:bCs/>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color w:val="000000"/>
        </w:rPr>
        <w:t xml:space="preserve">El </w:t>
      </w:r>
      <w:r w:rsidRPr="008E12A5">
        <w:rPr>
          <w:rFonts w:ascii="Palatino Linotype" w:eastAsia="Palatino Linotype" w:hAnsi="Palatino Linotype" w:cs="Palatino Linotype"/>
          <w:b/>
          <w:bCs/>
          <w:color w:val="000000"/>
        </w:rPr>
        <w:t>correo electrónico</w:t>
      </w:r>
      <w:r w:rsidRPr="008E12A5">
        <w:rPr>
          <w:rFonts w:ascii="Palatino Linotype" w:eastAsia="Palatino Linotype" w:hAnsi="Palatino Linotype" w:cs="Palatino Linotype"/>
          <w:color w:val="000000"/>
        </w:rPr>
        <w:t xml:space="preserve"> es un sistema de transmisión de mensajes a través de internet.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lastRenderedPageBreak/>
        <w:t>En ese sentido; por lo que corresponde a un dato personal que actualiza la causal de clasificación establecida en el artículo 143, fracción I de la Ley de Transparencia y Acceso a la Información Pública del Estado de México y Municipios.</w:t>
      </w:r>
    </w:p>
    <w:p w:rsidR="00337CB1" w:rsidRPr="008E12A5" w:rsidRDefault="00337CB1" w:rsidP="0014156B">
      <w:pPr>
        <w:spacing w:line="360" w:lineRule="auto"/>
        <w:ind w:left="360" w:right="-284"/>
        <w:jc w:val="both"/>
        <w:rPr>
          <w:rFonts w:ascii="Palatino Linotype" w:eastAsia="Palatino Linotype" w:hAnsi="Palatino Linotype" w:cs="Palatino Linotype"/>
        </w:rPr>
      </w:pPr>
    </w:p>
    <w:p w:rsidR="00337CB1" w:rsidRPr="008E12A5" w:rsidRDefault="00BF5B66" w:rsidP="008E12A5">
      <w:pPr>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 xml:space="preserve">El número asignado a un </w:t>
      </w:r>
      <w:r w:rsidRPr="008E12A5">
        <w:rPr>
          <w:rFonts w:ascii="Palatino Linotype" w:eastAsia="Palatino Linotype" w:hAnsi="Palatino Linotype" w:cs="Palatino Linotype"/>
          <w:b/>
          <w:bCs/>
        </w:rPr>
        <w:t>teléfono particular o celular</w:t>
      </w:r>
      <w:r w:rsidRPr="008E12A5">
        <w:rPr>
          <w:rFonts w:ascii="Palatino Linotype" w:eastAsia="Palatino Linotype" w:hAnsi="Palatino Linotype" w:cs="Palatino Linotype"/>
        </w:rPr>
        <w:t xml:space="preserve"> permite localizar a una persona física identificada o identificable, ya sea a través de un dispositivo móvil o bien, en un lugar como el domicilio, en tales consideraciones, dicho dato personal es susceptible de ser clasificado como confidencial, con fundamento en el artículo 143, fracción I de la Ley de Transparencia y Acceso a la Información Pública.</w:t>
      </w:r>
    </w:p>
    <w:p w:rsidR="00337CB1" w:rsidRPr="008E12A5" w:rsidRDefault="00337CB1" w:rsidP="0014156B">
      <w:pPr>
        <w:pBdr>
          <w:top w:val="nil"/>
          <w:left w:val="nil"/>
          <w:bottom w:val="nil"/>
          <w:right w:val="nil"/>
          <w:between w:val="nil"/>
        </w:pBdr>
        <w:ind w:left="720" w:right="-284"/>
        <w:rPr>
          <w:rFonts w:ascii="Palatino Linotype" w:eastAsia="Palatino Linotype" w:hAnsi="Palatino Linotype" w:cs="Palatino Linotype"/>
          <w:color w:val="000000"/>
          <w:highlight w:val="yellow"/>
        </w:rPr>
      </w:pPr>
    </w:p>
    <w:p w:rsidR="00337CB1" w:rsidRPr="008E12A5" w:rsidRDefault="00337CB1" w:rsidP="0014156B">
      <w:pPr>
        <w:pBdr>
          <w:top w:val="nil"/>
          <w:left w:val="nil"/>
          <w:bottom w:val="nil"/>
          <w:right w:val="nil"/>
          <w:between w:val="nil"/>
        </w:pBdr>
        <w:ind w:left="720" w:right="-284"/>
        <w:rPr>
          <w:rFonts w:ascii="Palatino Linotype" w:eastAsia="Palatino Linotype" w:hAnsi="Palatino Linotype" w:cs="Palatino Linotype"/>
          <w:color w:val="000000"/>
          <w:highlight w:val="yellow"/>
        </w:rPr>
      </w:pPr>
    </w:p>
    <w:p w:rsidR="00337CB1" w:rsidRPr="008E12A5" w:rsidRDefault="00BF5B66" w:rsidP="0014156B">
      <w:pPr>
        <w:keepNext/>
        <w:keepLines/>
        <w:spacing w:after="160"/>
        <w:ind w:right="-284"/>
        <w:rPr>
          <w:rFonts w:ascii="Palatino Linotype" w:eastAsia="Palatino Linotype" w:hAnsi="Palatino Linotype" w:cs="Palatino Linotype"/>
          <w:b/>
          <w:bCs/>
          <w:color w:val="000000"/>
        </w:rPr>
      </w:pPr>
      <w:r w:rsidRPr="008E12A5">
        <w:rPr>
          <w:rFonts w:ascii="Palatino Linotype" w:eastAsia="Palatino Linotype" w:hAnsi="Palatino Linotype" w:cs="Palatino Linotype"/>
          <w:b/>
          <w:bCs/>
          <w:color w:val="000000"/>
        </w:rPr>
        <w:t>QUINTO. De la versión pública.</w:t>
      </w:r>
    </w:p>
    <w:p w:rsidR="00337CB1" w:rsidRPr="008E12A5" w:rsidRDefault="00BF5B66" w:rsidP="0014156B">
      <w:pPr>
        <w:keepNext/>
        <w:keepLines/>
        <w:numPr>
          <w:ilvl w:val="0"/>
          <w:numId w:val="8"/>
        </w:numPr>
        <w:tabs>
          <w:tab w:val="left" w:pos="284"/>
        </w:tabs>
        <w:spacing w:after="160"/>
        <w:ind w:left="0" w:right="-284" w:firstLine="0"/>
        <w:rPr>
          <w:rFonts w:ascii="Palatino Linotype" w:eastAsia="Palatino Linotype" w:hAnsi="Palatino Linotype" w:cs="Palatino Linotype"/>
          <w:b/>
          <w:bCs/>
          <w:color w:val="000000"/>
        </w:rPr>
      </w:pPr>
      <w:r w:rsidRPr="008E12A5">
        <w:rPr>
          <w:rFonts w:ascii="Palatino Linotype" w:eastAsia="Palatino Linotype" w:hAnsi="Palatino Linotype" w:cs="Palatino Linotype"/>
          <w:b/>
          <w:bCs/>
          <w:color w:val="000000"/>
        </w:rPr>
        <w:t xml:space="preserve">Nociones generales. </w:t>
      </w:r>
    </w:p>
    <w:p w:rsidR="00337CB1" w:rsidRPr="008E12A5" w:rsidRDefault="00BF5B66" w:rsidP="008E12A5">
      <w:pPr>
        <w:pStyle w:val="Prrafodelista"/>
        <w:numPr>
          <w:ilvl w:val="0"/>
          <w:numId w:val="17"/>
        </w:numPr>
        <w:spacing w:line="360" w:lineRule="auto"/>
        <w:ind w:left="0" w:right="-284" w:firstLine="0"/>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color w:val="000000"/>
        </w:rPr>
        <w:t xml:space="preserve">Debe destacarse, que debido a la información solicitada por el </w:t>
      </w:r>
      <w:r w:rsidRPr="008E12A5">
        <w:rPr>
          <w:rFonts w:ascii="Palatino Linotype" w:eastAsia="Palatino Linotype" w:hAnsi="Palatino Linotype" w:cs="Palatino Linotype"/>
          <w:b/>
          <w:bCs/>
          <w:color w:val="000000"/>
        </w:rPr>
        <w:t xml:space="preserve">RECURRENTE, pueden obrar </w:t>
      </w:r>
      <w:r w:rsidRPr="008E12A5">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8E12A5">
        <w:rPr>
          <w:rFonts w:ascii="Palatino Linotype" w:eastAsia="Palatino Linotype" w:hAnsi="Palatino Linotype" w:cs="Palatino Linotype"/>
          <w:b/>
          <w:bCs/>
          <w:color w:val="000000"/>
        </w:rPr>
        <w:t xml:space="preserve">SUJETO OBLIGADO </w:t>
      </w:r>
      <w:r w:rsidRPr="008E12A5">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337CB1" w:rsidRPr="008E12A5" w:rsidRDefault="00337CB1" w:rsidP="0014156B">
      <w:pPr>
        <w:tabs>
          <w:tab w:val="left" w:pos="0"/>
          <w:tab w:val="left" w:pos="284"/>
        </w:tabs>
        <w:spacing w:line="360" w:lineRule="auto"/>
        <w:ind w:right="-284"/>
        <w:jc w:val="both"/>
        <w:rPr>
          <w:rFonts w:ascii="Palatino Linotype" w:eastAsia="Palatino Linotype" w:hAnsi="Palatino Linotype" w:cs="Palatino Linotype"/>
          <w:highlight w:val="yellow"/>
        </w:rPr>
      </w:pPr>
    </w:p>
    <w:p w:rsidR="00337CB1" w:rsidRPr="008E12A5" w:rsidRDefault="008E12A5" w:rsidP="0014156B">
      <w:pPr>
        <w:spacing w:line="360" w:lineRule="auto"/>
        <w:ind w:right="-284"/>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105. </w:t>
      </w:r>
      <w:r w:rsidR="00BF5B66" w:rsidRPr="008E12A5">
        <w:rPr>
          <w:rFonts w:ascii="Palatino Linotype" w:eastAsia="Palatino Linotype" w:hAnsi="Palatino Linotype" w:cs="Palatino Linotype"/>
          <w:color w:val="000000"/>
        </w:rPr>
        <w:t>No pasa desapercibido para este Órgano Garante que los sujetos obligados</w:t>
      </w:r>
      <w:r w:rsidR="00BF5B66" w:rsidRPr="008E12A5">
        <w:rPr>
          <w:rFonts w:ascii="Palatino Linotype" w:eastAsia="Palatino Linotype" w:hAnsi="Palatino Linotype" w:cs="Palatino Linotype"/>
          <w:b/>
          <w:bCs/>
          <w:color w:val="000000"/>
        </w:rPr>
        <w:t xml:space="preserve"> </w:t>
      </w:r>
      <w:r w:rsidR="00BF5B66" w:rsidRPr="008E12A5">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0"/>
        <w:tblW w:w="987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99"/>
        <w:gridCol w:w="7071"/>
      </w:tblGrid>
      <w:tr w:rsidR="00337CB1" w:rsidRPr="008E12A5">
        <w:tc>
          <w:tcPr>
            <w:tcW w:w="2799" w:type="dxa"/>
          </w:tcPr>
          <w:p w:rsidR="00337CB1" w:rsidRPr="008E12A5" w:rsidRDefault="00BF5B66" w:rsidP="008E12A5">
            <w:pPr>
              <w:spacing w:line="360" w:lineRule="auto"/>
              <w:jc w:val="both"/>
              <w:rPr>
                <w:rFonts w:ascii="Palatino Linotype" w:eastAsia="Palatino Linotype" w:hAnsi="Palatino Linotype" w:cs="Palatino Linotype"/>
                <w:b/>
                <w:bCs/>
              </w:rPr>
            </w:pPr>
            <w:r w:rsidRPr="008E12A5">
              <w:rPr>
                <w:rFonts w:ascii="Palatino Linotype" w:eastAsia="Palatino Linotype" w:hAnsi="Palatino Linotype" w:cs="Palatino Linotype"/>
                <w:b/>
                <w:bCs/>
              </w:rPr>
              <w:lastRenderedPageBreak/>
              <w:t>a)</w:t>
            </w:r>
            <w:r w:rsidR="008E12A5">
              <w:rPr>
                <w:rFonts w:ascii="Palatino Linotype" w:eastAsia="Palatino Linotype" w:hAnsi="Palatino Linotype" w:cs="Palatino Linotype"/>
                <w:b/>
                <w:bCs/>
              </w:rPr>
              <w:t xml:space="preserve"> </w:t>
            </w:r>
            <w:r w:rsidRPr="008E12A5">
              <w:rPr>
                <w:rFonts w:ascii="Palatino Linotype" w:eastAsia="Palatino Linotype" w:hAnsi="Palatino Linotype" w:cs="Palatino Linotype"/>
                <w:b/>
                <w:bCs/>
              </w:rPr>
              <w:t>Requisitos previos.</w:t>
            </w:r>
          </w:p>
        </w:tc>
        <w:tc>
          <w:tcPr>
            <w:tcW w:w="7071" w:type="dxa"/>
          </w:tcPr>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Además, se debe señalar el procedimiento, de los tres que establecen el artículo 132 de la Ley Estatal.</w:t>
            </w:r>
          </w:p>
          <w:p w:rsidR="00337CB1" w:rsidRPr="008E12A5" w:rsidRDefault="00BF5B66" w:rsidP="008E12A5">
            <w:pPr>
              <w:spacing w:line="276" w:lineRule="auto"/>
              <w:jc w:val="both"/>
              <w:rPr>
                <w:rFonts w:ascii="Palatino Linotype" w:eastAsia="Palatino Linotype" w:hAnsi="Palatino Linotype" w:cs="Palatino Linotype"/>
                <w:i/>
                <w:iCs/>
              </w:rPr>
            </w:pPr>
            <w:r w:rsidRPr="008E12A5">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sidRPr="008E12A5">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sidRPr="008E12A5">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337CB1" w:rsidRPr="008E12A5">
        <w:tc>
          <w:tcPr>
            <w:tcW w:w="2799" w:type="dxa"/>
            <w:shd w:val="clear" w:color="auto" w:fill="D9D9D9"/>
          </w:tcPr>
          <w:p w:rsidR="00337CB1" w:rsidRPr="008E12A5" w:rsidRDefault="00BF5B66" w:rsidP="008E12A5">
            <w:pPr>
              <w:tabs>
                <w:tab w:val="left" w:pos="284"/>
              </w:tabs>
              <w:spacing w:line="360" w:lineRule="auto"/>
              <w:rPr>
                <w:rFonts w:ascii="Palatino Linotype" w:eastAsia="Palatino Linotype" w:hAnsi="Palatino Linotype" w:cs="Palatino Linotype"/>
                <w:b/>
                <w:bCs/>
              </w:rPr>
            </w:pPr>
            <w:r w:rsidRPr="008E12A5">
              <w:rPr>
                <w:rFonts w:ascii="Palatino Linotype" w:eastAsia="Palatino Linotype" w:hAnsi="Palatino Linotype" w:cs="Palatino Linotype"/>
                <w:b/>
                <w:bCs/>
              </w:rPr>
              <w:t>b) Supuestos de clasificación.</w:t>
            </w:r>
          </w:p>
        </w:tc>
        <w:tc>
          <w:tcPr>
            <w:tcW w:w="7071" w:type="dxa"/>
            <w:shd w:val="clear" w:color="auto" w:fill="D9D9D9"/>
          </w:tcPr>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37CB1" w:rsidRPr="008E12A5" w:rsidRDefault="00BF5B66" w:rsidP="008E12A5">
            <w:pPr>
              <w:spacing w:line="276" w:lineRule="auto"/>
              <w:jc w:val="both"/>
              <w:rPr>
                <w:rFonts w:ascii="Palatino Linotype" w:eastAsia="Palatino Linotype" w:hAnsi="Palatino Linotype" w:cs="Palatino Linotype"/>
                <w:i/>
                <w:iCs/>
              </w:rPr>
            </w:pPr>
            <w:r w:rsidRPr="008E12A5">
              <w:rPr>
                <w:rFonts w:ascii="Palatino Linotype" w:eastAsia="Palatino Linotype" w:hAnsi="Palatino Linotype" w:cs="Palatino Linotype"/>
                <w:i/>
                <w:iCs/>
                <w:color w:val="000000"/>
              </w:rPr>
              <w:t xml:space="preserve">El </w:t>
            </w:r>
            <w:r w:rsidRPr="008E12A5">
              <w:rPr>
                <w:rFonts w:ascii="Palatino Linotype" w:eastAsia="Palatino Linotype" w:hAnsi="Palatino Linotype" w:cs="Palatino Linotype"/>
                <w:b/>
                <w:bCs/>
                <w:i/>
                <w:iCs/>
                <w:color w:val="000000"/>
              </w:rPr>
              <w:t>Sujeto Obligado</w:t>
            </w:r>
            <w:r w:rsidRPr="008E12A5">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37CB1" w:rsidRPr="008E12A5">
        <w:tc>
          <w:tcPr>
            <w:tcW w:w="2799" w:type="dxa"/>
          </w:tcPr>
          <w:p w:rsidR="00337CB1" w:rsidRPr="008E12A5" w:rsidRDefault="00BF5B66" w:rsidP="008E12A5">
            <w:pPr>
              <w:tabs>
                <w:tab w:val="left" w:pos="284"/>
              </w:tabs>
              <w:spacing w:line="360" w:lineRule="auto"/>
              <w:rPr>
                <w:rFonts w:ascii="Palatino Linotype" w:eastAsia="Palatino Linotype" w:hAnsi="Palatino Linotype" w:cs="Palatino Linotype"/>
                <w:b/>
                <w:bCs/>
              </w:rPr>
            </w:pPr>
            <w:r w:rsidRPr="008E12A5">
              <w:rPr>
                <w:rFonts w:ascii="Palatino Linotype" w:eastAsia="Palatino Linotype" w:hAnsi="Palatino Linotype" w:cs="Palatino Linotype"/>
                <w:b/>
                <w:bCs/>
              </w:rPr>
              <w:lastRenderedPageBreak/>
              <w:t>c) Formalidades para emitir el acuerdo de clasificación.</w:t>
            </w:r>
          </w:p>
        </w:tc>
        <w:tc>
          <w:tcPr>
            <w:tcW w:w="7071" w:type="dxa"/>
          </w:tcPr>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Es necesario que </w:t>
            </w:r>
            <w:r w:rsidRPr="008E12A5">
              <w:rPr>
                <w:rFonts w:ascii="Palatino Linotype" w:eastAsia="Palatino Linotype" w:hAnsi="Palatino Linotype" w:cs="Palatino Linotype"/>
                <w:b/>
                <w:bCs/>
                <w:i/>
                <w:iCs/>
                <w:color w:val="000000"/>
                <w:u w:val="single"/>
              </w:rPr>
              <w:t>el acto reúna con los requisitos elementales</w:t>
            </w:r>
            <w:r w:rsidRPr="008E12A5">
              <w:rPr>
                <w:rFonts w:ascii="Palatino Linotype" w:eastAsia="Palatino Linotype" w:hAnsi="Palatino Linotype" w:cs="Palatino Linotype"/>
                <w:i/>
                <w:iCs/>
                <w:color w:val="000000"/>
              </w:rPr>
              <w:t>, entre ellos, que la autoridad que va a emitir el acto de autoridad sea la legalmente facultada para ello.</w:t>
            </w:r>
          </w:p>
          <w:p w:rsidR="00337CB1" w:rsidRPr="008E12A5" w:rsidRDefault="00BF5B66" w:rsidP="008E12A5">
            <w:pPr>
              <w:spacing w:line="276" w:lineRule="auto"/>
              <w:jc w:val="both"/>
              <w:rPr>
                <w:rFonts w:ascii="Palatino Linotype" w:eastAsia="Palatino Linotype" w:hAnsi="Palatino Linotype" w:cs="Palatino Linotype"/>
                <w:i/>
                <w:iCs/>
              </w:rPr>
            </w:pPr>
            <w:r w:rsidRPr="008E12A5">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8E12A5">
              <w:rPr>
                <w:rFonts w:ascii="Palatino Linotype" w:eastAsia="Palatino Linotype" w:hAnsi="Palatino Linotype" w:cs="Palatino Linotype"/>
                <w:i/>
                <w:iCs/>
              </w:rPr>
              <w:t>El área</w:t>
            </w:r>
            <w:r w:rsidRPr="008E12A5">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37CB1" w:rsidRPr="008E12A5">
        <w:tc>
          <w:tcPr>
            <w:tcW w:w="2799" w:type="dxa"/>
            <w:shd w:val="clear" w:color="auto" w:fill="D9D9D9"/>
          </w:tcPr>
          <w:p w:rsidR="00337CB1" w:rsidRPr="008E12A5" w:rsidRDefault="00337CB1" w:rsidP="008E12A5">
            <w:pPr>
              <w:tabs>
                <w:tab w:val="left" w:pos="284"/>
              </w:tabs>
              <w:spacing w:line="360" w:lineRule="auto"/>
              <w:rPr>
                <w:rFonts w:ascii="Palatino Linotype" w:eastAsia="Palatino Linotype" w:hAnsi="Palatino Linotype" w:cs="Palatino Linotype"/>
                <w:b/>
                <w:bCs/>
              </w:rPr>
            </w:pPr>
          </w:p>
          <w:p w:rsidR="00337CB1" w:rsidRPr="008E12A5" w:rsidRDefault="00BF5B66" w:rsidP="008E12A5">
            <w:pPr>
              <w:tabs>
                <w:tab w:val="left" w:pos="284"/>
              </w:tabs>
              <w:spacing w:line="360" w:lineRule="auto"/>
              <w:jc w:val="both"/>
              <w:rPr>
                <w:rFonts w:ascii="Palatino Linotype" w:eastAsia="Palatino Linotype" w:hAnsi="Palatino Linotype" w:cs="Palatino Linotype"/>
                <w:b/>
                <w:bCs/>
              </w:rPr>
            </w:pPr>
            <w:r w:rsidRPr="008E12A5">
              <w:rPr>
                <w:rFonts w:ascii="Palatino Linotype" w:eastAsia="Palatino Linotype" w:hAnsi="Palatino Linotype" w:cs="Palatino Linotype"/>
                <w:b/>
                <w:bCs/>
                <w:color w:val="000000"/>
              </w:rPr>
              <w:t xml:space="preserve">d) Requisitos de fondo del acuerdo de clasificación. </w:t>
            </w:r>
          </w:p>
        </w:tc>
        <w:tc>
          <w:tcPr>
            <w:tcW w:w="7071" w:type="dxa"/>
            <w:shd w:val="clear" w:color="auto" w:fill="D9D9D9"/>
          </w:tcPr>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8E12A5">
              <w:rPr>
                <w:rFonts w:ascii="Palatino Linotype" w:eastAsia="Palatino Linotype" w:hAnsi="Palatino Linotype" w:cs="Palatino Linotype"/>
                <w:b/>
                <w:bCs/>
                <w:i/>
                <w:iCs/>
                <w:color w:val="000000"/>
              </w:rPr>
              <w:t>Sujetos Obligados</w:t>
            </w:r>
            <w:r w:rsidRPr="008E12A5">
              <w:rPr>
                <w:rFonts w:ascii="Palatino Linotype" w:eastAsia="Palatino Linotype" w:hAnsi="Palatino Linotype" w:cs="Palatino Linotype"/>
                <w:i/>
                <w:iCs/>
                <w:color w:val="000000"/>
              </w:rPr>
              <w:t xml:space="preserve">, por lo que deberán fundar y motivar debidamente la clasificación. </w:t>
            </w:r>
          </w:p>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De lo anterior, se desprende que para una correcta </w:t>
            </w:r>
            <w:r w:rsidRPr="008E12A5">
              <w:rPr>
                <w:rFonts w:ascii="Palatino Linotype" w:eastAsia="Palatino Linotype" w:hAnsi="Palatino Linotype" w:cs="Palatino Linotype"/>
                <w:b/>
                <w:bCs/>
                <w:i/>
                <w:iCs/>
                <w:color w:val="000000"/>
              </w:rPr>
              <w:t>clasificación total o parcial</w:t>
            </w:r>
            <w:r w:rsidRPr="008E12A5">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Así, en un acto de autoridad se cumple con la debida fundamentación cuando se cita el precepto legal aplicable al caso concreto y la debida </w:t>
            </w:r>
            <w:r w:rsidRPr="008E12A5">
              <w:rPr>
                <w:rFonts w:ascii="Palatino Linotype" w:eastAsia="Palatino Linotype" w:hAnsi="Palatino Linotype" w:cs="Palatino Linotype"/>
                <w:i/>
                <w:iCs/>
                <w:color w:val="000000"/>
              </w:rPr>
              <w:lastRenderedPageBreak/>
              <w:t>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Ahora bien, </w:t>
            </w:r>
            <w:r w:rsidRPr="008E12A5">
              <w:rPr>
                <w:rFonts w:ascii="Palatino Linotype" w:eastAsia="Palatino Linotype" w:hAnsi="Palatino Linotype" w:cs="Palatino Linotype"/>
                <w:b/>
                <w:bCs/>
                <w:i/>
                <w:iCs/>
                <w:color w:val="000000"/>
                <w:u w:val="single"/>
              </w:rPr>
              <w:t>para cada caso además de fundar y motivar</w:t>
            </w:r>
            <w:r w:rsidRPr="008E12A5">
              <w:rPr>
                <w:rFonts w:ascii="Palatino Linotype" w:eastAsia="Palatino Linotype" w:hAnsi="Palatino Linotype" w:cs="Palatino Linotype"/>
                <w:i/>
                <w:iCs/>
                <w:color w:val="000000"/>
              </w:rPr>
              <w:t xml:space="preserve">, se debe identificar con claridad </w:t>
            </w:r>
            <w:r w:rsidRPr="008E12A5">
              <w:rPr>
                <w:rFonts w:ascii="Palatino Linotype" w:eastAsia="Palatino Linotype" w:hAnsi="Palatino Linotype" w:cs="Palatino Linotype"/>
                <w:i/>
                <w:iCs/>
              </w:rPr>
              <w:t>qué</w:t>
            </w:r>
            <w:r w:rsidRPr="008E12A5">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37CB1" w:rsidRPr="008E12A5">
        <w:tc>
          <w:tcPr>
            <w:tcW w:w="2799" w:type="dxa"/>
          </w:tcPr>
          <w:p w:rsidR="00337CB1" w:rsidRPr="008E12A5" w:rsidRDefault="00BF5B66" w:rsidP="008E12A5">
            <w:pPr>
              <w:tabs>
                <w:tab w:val="left" w:pos="284"/>
              </w:tabs>
              <w:spacing w:line="360" w:lineRule="auto"/>
              <w:jc w:val="both"/>
              <w:rPr>
                <w:rFonts w:ascii="Palatino Linotype" w:eastAsia="Palatino Linotype" w:hAnsi="Palatino Linotype" w:cs="Palatino Linotype"/>
                <w:b/>
                <w:bCs/>
              </w:rPr>
            </w:pPr>
            <w:r w:rsidRPr="008E12A5">
              <w:rPr>
                <w:rFonts w:ascii="Palatino Linotype" w:eastAsia="Palatino Linotype" w:hAnsi="Palatino Linotype" w:cs="Palatino Linotype"/>
                <w:b/>
                <w:bCs/>
              </w:rPr>
              <w:lastRenderedPageBreak/>
              <w:t xml:space="preserve">e) Condiciones especiales de la clasificación de la información como confidencial. </w:t>
            </w:r>
          </w:p>
        </w:tc>
        <w:tc>
          <w:tcPr>
            <w:tcW w:w="7071" w:type="dxa"/>
          </w:tcPr>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rsidR="00337CB1" w:rsidRPr="008E12A5" w:rsidRDefault="00BF5B66" w:rsidP="008E12A5">
            <w:pPr>
              <w:spacing w:line="276" w:lineRule="auto"/>
              <w:jc w:val="both"/>
              <w:rPr>
                <w:rFonts w:ascii="Palatino Linotype" w:eastAsia="Palatino Linotype" w:hAnsi="Palatino Linotype" w:cs="Palatino Linotype"/>
                <w:i/>
                <w:iCs/>
                <w:color w:val="000000"/>
              </w:rPr>
            </w:pPr>
            <w:r w:rsidRPr="008E12A5">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337CB1" w:rsidRPr="008E12A5" w:rsidRDefault="00BF5B66" w:rsidP="008E12A5">
            <w:pPr>
              <w:spacing w:line="276" w:lineRule="auto"/>
              <w:rPr>
                <w:rFonts w:ascii="Palatino Linotype" w:eastAsia="Palatino Linotype" w:hAnsi="Palatino Linotype" w:cs="Palatino Linotype"/>
                <w:i/>
                <w:iCs/>
              </w:rPr>
            </w:pPr>
            <w:r w:rsidRPr="008E12A5">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337CB1" w:rsidRPr="008E12A5" w:rsidRDefault="00337CB1" w:rsidP="0014156B">
      <w:pPr>
        <w:tabs>
          <w:tab w:val="left" w:pos="284"/>
        </w:tabs>
        <w:spacing w:line="360" w:lineRule="auto"/>
        <w:ind w:right="-284"/>
        <w:jc w:val="both"/>
        <w:rPr>
          <w:rFonts w:ascii="Palatino Linotype" w:eastAsia="Palatino Linotype" w:hAnsi="Palatino Linotype" w:cs="Palatino Linotype"/>
          <w:color w:val="000000"/>
        </w:rPr>
      </w:pPr>
    </w:p>
    <w:p w:rsidR="00337CB1" w:rsidRPr="008E12A5" w:rsidRDefault="00BF5B66" w:rsidP="008E12A5">
      <w:pPr>
        <w:pStyle w:val="Prrafodelista"/>
        <w:numPr>
          <w:ilvl w:val="0"/>
          <w:numId w:val="17"/>
        </w:numPr>
        <w:pBdr>
          <w:top w:val="nil"/>
          <w:left w:val="nil"/>
          <w:bottom w:val="nil"/>
          <w:right w:val="nil"/>
          <w:between w:val="nil"/>
        </w:pBdr>
        <w:spacing w:line="360" w:lineRule="auto"/>
        <w:ind w:left="0" w:right="-284" w:firstLine="0"/>
        <w:jc w:val="both"/>
        <w:rPr>
          <w:rFonts w:ascii="Palatino Linotype" w:eastAsia="Palatino Linotype" w:hAnsi="Palatino Linotype" w:cs="Palatino Linotype"/>
          <w:color w:val="000000"/>
        </w:rPr>
      </w:pPr>
      <w:r w:rsidRPr="008E12A5">
        <w:rPr>
          <w:rFonts w:ascii="Palatino Linotype" w:eastAsia="Palatino Linotype" w:hAnsi="Palatino Linotype" w:cs="Palatino Linotype"/>
          <w:color w:val="000000"/>
        </w:rPr>
        <w:t xml:space="preserve">Para tal situación, el Sujeto Obligado deberá seguir el procedimiento establecido en el artículo 168 de la Ley de Transparencia y Acceso a la Información Pública del Estado de </w:t>
      </w:r>
      <w:r w:rsidRPr="008E12A5">
        <w:rPr>
          <w:rFonts w:ascii="Palatino Linotype" w:eastAsia="Palatino Linotype" w:hAnsi="Palatino Linotype" w:cs="Palatino Linotype"/>
          <w:color w:val="000000"/>
        </w:rPr>
        <w:lastRenderedPageBreak/>
        <w:t>México y Municipios; esto es, que el área competente deberá elaborar la versión pública, así como emitir el Acuerdo, por parte del Comité de Transparencia, donde confirme la clasificación de los datos o documentos, fundando y motivando la clasificación.</w:t>
      </w:r>
    </w:p>
    <w:p w:rsidR="00337CB1" w:rsidRPr="008E12A5" w:rsidRDefault="00337CB1" w:rsidP="0014156B">
      <w:pPr>
        <w:spacing w:line="360" w:lineRule="auto"/>
        <w:ind w:right="-284"/>
        <w:jc w:val="both"/>
        <w:rPr>
          <w:rFonts w:ascii="Palatino Linotype" w:eastAsia="Palatino Linotype" w:hAnsi="Palatino Linotype" w:cs="Palatino Linotype"/>
          <w:b/>
          <w:bCs/>
        </w:rPr>
      </w:pPr>
    </w:p>
    <w:p w:rsidR="00337CB1" w:rsidRPr="008E12A5" w:rsidRDefault="00BF5B66" w:rsidP="008E12A5">
      <w:pPr>
        <w:pStyle w:val="Prrafodelista"/>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337CB1" w:rsidRPr="008E12A5" w:rsidRDefault="00337CB1" w:rsidP="008E12A5">
      <w:pPr>
        <w:pBdr>
          <w:top w:val="nil"/>
          <w:left w:val="nil"/>
          <w:bottom w:val="nil"/>
          <w:right w:val="nil"/>
          <w:between w:val="nil"/>
        </w:pBdr>
        <w:ind w:right="-284"/>
        <w:rPr>
          <w:rFonts w:ascii="Palatino Linotype" w:eastAsia="Palatino Linotype" w:hAnsi="Palatino Linotype" w:cs="Palatino Linotype"/>
          <w:color w:val="000000"/>
        </w:rPr>
      </w:pPr>
    </w:p>
    <w:p w:rsidR="00337CB1" w:rsidRPr="008E12A5" w:rsidRDefault="00BF5B66" w:rsidP="008E12A5">
      <w:pPr>
        <w:pStyle w:val="Prrafodelista"/>
        <w:numPr>
          <w:ilvl w:val="0"/>
          <w:numId w:val="17"/>
        </w:numPr>
        <w:spacing w:line="360" w:lineRule="auto"/>
        <w:ind w:left="0" w:right="-284" w:firstLine="0"/>
        <w:jc w:val="both"/>
        <w:rPr>
          <w:rFonts w:ascii="Palatino Linotype" w:eastAsia="Palatino Linotype" w:hAnsi="Palatino Linotype" w:cs="Palatino Linotype"/>
        </w:rPr>
      </w:pPr>
      <w:r w:rsidRPr="008E12A5">
        <w:rPr>
          <w:rFonts w:ascii="Palatino Linotype" w:eastAsia="Palatino Linotype" w:hAnsi="Palatino Linotype" w:cs="Palatino Linotype"/>
        </w:rPr>
        <w:t>Por lo anteriormente expuesto, este Órgano Garante considera fundadas las razones o motivos de inconformidad que plantea el</w:t>
      </w:r>
      <w:r w:rsidRPr="008E12A5">
        <w:rPr>
          <w:rFonts w:ascii="Palatino Linotype" w:eastAsia="Palatino Linotype" w:hAnsi="Palatino Linotype" w:cs="Palatino Linotype"/>
          <w:b/>
          <w:bCs/>
        </w:rPr>
        <w:t xml:space="preserve"> RECURRENTE</w:t>
      </w:r>
      <w:r w:rsidRPr="008E12A5">
        <w:rPr>
          <w:rFonts w:ascii="Palatino Linotype" w:eastAsia="Palatino Linotype" w:hAnsi="Palatino Linotype" w:cs="Palatino Linotype"/>
        </w:rPr>
        <w:t xml:space="preserve">, determinando </w:t>
      </w:r>
      <w:r w:rsidRPr="008E12A5">
        <w:rPr>
          <w:rFonts w:ascii="Palatino Linotype" w:eastAsia="Palatino Linotype" w:hAnsi="Palatino Linotype" w:cs="Palatino Linotype"/>
          <w:b/>
          <w:bCs/>
          <w:smallCaps/>
        </w:rPr>
        <w:t xml:space="preserve">MODIFICAR  </w:t>
      </w:r>
      <w:r w:rsidRPr="008E12A5">
        <w:rPr>
          <w:rFonts w:ascii="Palatino Linotype" w:eastAsia="Palatino Linotype" w:hAnsi="Palatino Linotype" w:cs="Palatino Linotype"/>
        </w:rPr>
        <w:t xml:space="preserve">la respuesta del </w:t>
      </w:r>
      <w:r w:rsidRPr="008E12A5">
        <w:rPr>
          <w:rFonts w:ascii="Palatino Linotype" w:eastAsia="Palatino Linotype" w:hAnsi="Palatino Linotype" w:cs="Palatino Linotype"/>
          <w:b/>
          <w:bCs/>
        </w:rPr>
        <w:t>SUJETO OBLIGADO</w:t>
      </w:r>
      <w:r w:rsidRPr="008E12A5">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8E12A5">
        <w:rPr>
          <w:rFonts w:ascii="Palatino Linotype" w:eastAsia="Palatino Linotype" w:hAnsi="Palatino Linotype" w:cs="Palatino Linotype"/>
          <w:color w:val="000000"/>
        </w:rPr>
        <w:t xml:space="preserve">este </w:t>
      </w:r>
      <w:r w:rsidRPr="008E12A5">
        <w:rPr>
          <w:rFonts w:ascii="Palatino Linotype" w:eastAsia="Palatino Linotype" w:hAnsi="Palatino Linotype" w:cs="Palatino Linotype"/>
          <w:b/>
          <w:bCs/>
          <w:color w:val="000000"/>
        </w:rPr>
        <w:t>ÓRGANO GARANTE</w:t>
      </w:r>
      <w:r w:rsidRPr="008E12A5">
        <w:rPr>
          <w:rFonts w:ascii="Palatino Linotype" w:eastAsia="Palatino Linotype" w:hAnsi="Palatino Linotype" w:cs="Palatino Linotype"/>
          <w:color w:val="000000"/>
        </w:rPr>
        <w:t xml:space="preserve"> emite los siguientes. </w:t>
      </w:r>
    </w:p>
    <w:p w:rsidR="0014156B" w:rsidRPr="008E12A5" w:rsidRDefault="0014156B" w:rsidP="0014156B">
      <w:pPr>
        <w:pStyle w:val="Prrafodelista"/>
        <w:spacing w:line="360" w:lineRule="auto"/>
        <w:ind w:left="360" w:right="-284"/>
        <w:jc w:val="both"/>
        <w:rPr>
          <w:color w:val="000000"/>
        </w:rPr>
      </w:pPr>
    </w:p>
    <w:p w:rsidR="00337CB1" w:rsidRPr="008E12A5" w:rsidRDefault="00BF5B66" w:rsidP="0014156B">
      <w:pPr>
        <w:pStyle w:val="Ttulo1"/>
        <w:spacing w:before="0" w:line="360" w:lineRule="auto"/>
        <w:ind w:right="-284"/>
        <w:jc w:val="center"/>
        <w:rPr>
          <w:rFonts w:ascii="Palatino Linotype" w:eastAsia="Palatino Linotype" w:hAnsi="Palatino Linotype" w:cs="Palatino Linotype"/>
          <w:b/>
          <w:bCs/>
          <w:color w:val="000000"/>
          <w:sz w:val="24"/>
          <w:szCs w:val="24"/>
        </w:rPr>
      </w:pPr>
      <w:r w:rsidRPr="008E12A5">
        <w:rPr>
          <w:rFonts w:ascii="Palatino Linotype" w:eastAsia="Palatino Linotype" w:hAnsi="Palatino Linotype" w:cs="Palatino Linotype"/>
          <w:b/>
          <w:bCs/>
          <w:color w:val="000000"/>
          <w:sz w:val="24"/>
          <w:szCs w:val="24"/>
        </w:rPr>
        <w:t>R E S O L U T I V O S</w:t>
      </w:r>
    </w:p>
    <w:p w:rsidR="00337CB1" w:rsidRPr="008E12A5" w:rsidRDefault="00337CB1" w:rsidP="0014156B">
      <w:pPr>
        <w:ind w:right="-284"/>
      </w:pPr>
    </w:p>
    <w:p w:rsidR="00337CB1" w:rsidRPr="008E12A5" w:rsidRDefault="00BF5B66" w:rsidP="0014156B">
      <w:pPr>
        <w:spacing w:line="360" w:lineRule="auto"/>
        <w:ind w:right="-284"/>
        <w:jc w:val="both"/>
        <w:rPr>
          <w:rFonts w:ascii="Palatino Linotype" w:eastAsia="Palatino Linotype" w:hAnsi="Palatino Linotype" w:cs="Palatino Linotype"/>
          <w:b/>
          <w:bCs/>
        </w:rPr>
      </w:pPr>
      <w:r w:rsidRPr="008E12A5">
        <w:rPr>
          <w:rFonts w:ascii="Palatino Linotype" w:eastAsia="Palatino Linotype" w:hAnsi="Palatino Linotype" w:cs="Palatino Linotype"/>
          <w:b/>
          <w:bCs/>
        </w:rPr>
        <w:t>PRIMERO</w:t>
      </w:r>
      <w:r w:rsidRPr="008E12A5">
        <w:rPr>
          <w:rFonts w:ascii="Palatino Linotype" w:eastAsia="Palatino Linotype" w:hAnsi="Palatino Linotype" w:cs="Palatino Linotype"/>
        </w:rPr>
        <w:t xml:space="preserve">. Resultan fundadas las razones o motivos de inconformidad hechos valer en el Recurso de Revisión </w:t>
      </w:r>
      <w:r w:rsidRPr="008E12A5">
        <w:rPr>
          <w:rFonts w:ascii="Palatino Linotype" w:eastAsia="Palatino Linotype" w:hAnsi="Palatino Linotype" w:cs="Palatino Linotype"/>
          <w:b/>
          <w:bCs/>
        </w:rPr>
        <w:t xml:space="preserve">03833/INFOEM/IP/RR/2026, </w:t>
      </w:r>
      <w:r w:rsidRPr="008E12A5">
        <w:rPr>
          <w:rFonts w:ascii="Palatino Linotype" w:eastAsia="Palatino Linotype" w:hAnsi="Palatino Linotype" w:cs="Palatino Linotype"/>
        </w:rPr>
        <w:t xml:space="preserve">en términos del Considerando </w:t>
      </w:r>
      <w:r w:rsidRPr="008E12A5">
        <w:rPr>
          <w:rFonts w:ascii="Palatino Linotype" w:eastAsia="Palatino Linotype" w:hAnsi="Palatino Linotype" w:cs="Palatino Linotype"/>
          <w:b/>
          <w:bCs/>
        </w:rPr>
        <w:t xml:space="preserve">Cuarto y Quinto </w:t>
      </w:r>
      <w:r w:rsidRPr="008E12A5">
        <w:rPr>
          <w:rFonts w:ascii="Palatino Linotype" w:eastAsia="Palatino Linotype" w:hAnsi="Palatino Linotype" w:cs="Palatino Linotype"/>
        </w:rPr>
        <w:t xml:space="preserve">de la presente resolución. </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pBdr>
          <w:top w:val="nil"/>
          <w:left w:val="nil"/>
          <w:bottom w:val="nil"/>
          <w:right w:val="nil"/>
          <w:between w:val="nil"/>
        </w:pBdr>
        <w:spacing w:line="360" w:lineRule="auto"/>
        <w:ind w:right="-284"/>
        <w:jc w:val="both"/>
        <w:rPr>
          <w:rFonts w:ascii="Palatino Linotype" w:eastAsia="Palatino Linotype" w:hAnsi="Palatino Linotype" w:cs="Palatino Linotype"/>
        </w:rPr>
      </w:pPr>
      <w:bookmarkStart w:id="12" w:name="_heading=h.1ksv4uv" w:colFirst="0" w:colLast="0"/>
      <w:bookmarkEnd w:id="12"/>
      <w:r w:rsidRPr="008E12A5">
        <w:rPr>
          <w:rFonts w:ascii="Palatino Linotype" w:eastAsia="Palatino Linotype" w:hAnsi="Palatino Linotype" w:cs="Palatino Linotype"/>
          <w:b/>
          <w:bCs/>
        </w:rPr>
        <w:t xml:space="preserve">SEGUNDO. </w:t>
      </w:r>
      <w:r w:rsidRPr="008E12A5">
        <w:rPr>
          <w:rFonts w:ascii="Palatino Linotype" w:eastAsia="Palatino Linotype" w:hAnsi="Palatino Linotype" w:cs="Palatino Linotype"/>
          <w:color w:val="000000"/>
        </w:rPr>
        <w:t xml:space="preserve">Se </w:t>
      </w:r>
      <w:r w:rsidRPr="008E12A5">
        <w:rPr>
          <w:rFonts w:ascii="Palatino Linotype" w:eastAsia="Palatino Linotype" w:hAnsi="Palatino Linotype" w:cs="Palatino Linotype"/>
          <w:b/>
          <w:bCs/>
          <w:color w:val="000000"/>
        </w:rPr>
        <w:t xml:space="preserve">MODIFICA </w:t>
      </w:r>
      <w:r w:rsidRPr="008E12A5">
        <w:rPr>
          <w:rFonts w:ascii="Palatino Linotype" w:eastAsia="Palatino Linotype" w:hAnsi="Palatino Linotype" w:cs="Palatino Linotype"/>
          <w:color w:val="000000"/>
        </w:rPr>
        <w:t xml:space="preserve">la respuesta emitida por el </w:t>
      </w:r>
      <w:r w:rsidRPr="008E12A5">
        <w:rPr>
          <w:rFonts w:ascii="Palatino Linotype" w:eastAsia="Palatino Linotype" w:hAnsi="Palatino Linotype" w:cs="Palatino Linotype"/>
          <w:b/>
          <w:bCs/>
          <w:color w:val="000000"/>
        </w:rPr>
        <w:t xml:space="preserve">Ayuntamiento de Aculco </w:t>
      </w:r>
      <w:r w:rsidRPr="008E12A5">
        <w:rPr>
          <w:rFonts w:ascii="Palatino Linotype" w:eastAsia="Palatino Linotype" w:hAnsi="Palatino Linotype" w:cs="Palatino Linotype"/>
          <w:color w:val="000000"/>
        </w:rPr>
        <w:t xml:space="preserve">y se </w:t>
      </w:r>
      <w:r w:rsidRPr="008E12A5">
        <w:rPr>
          <w:rFonts w:ascii="Palatino Linotype" w:eastAsia="Palatino Linotype" w:hAnsi="Palatino Linotype" w:cs="Palatino Linotype"/>
          <w:b/>
          <w:bCs/>
          <w:color w:val="000000"/>
        </w:rPr>
        <w:t>ORDENA</w:t>
      </w:r>
      <w:r w:rsidRPr="008E12A5">
        <w:rPr>
          <w:rFonts w:ascii="Palatino Linotype" w:eastAsia="Palatino Linotype" w:hAnsi="Palatino Linotype" w:cs="Palatino Linotype"/>
          <w:color w:val="000000"/>
        </w:rPr>
        <w:t xml:space="preserve"> entregar vía Sistema de Acceso a la Información,</w:t>
      </w:r>
      <w:r w:rsidRPr="008E12A5">
        <w:rPr>
          <w:rFonts w:ascii="Palatino Linotype" w:eastAsia="Palatino Linotype" w:hAnsi="Palatino Linotype" w:cs="Palatino Linotype"/>
        </w:rPr>
        <w:t xml:space="preserve"> después de una búsqueda </w:t>
      </w:r>
      <w:r w:rsidRPr="008E12A5">
        <w:rPr>
          <w:rFonts w:ascii="Palatino Linotype" w:eastAsia="Palatino Linotype" w:hAnsi="Palatino Linotype" w:cs="Palatino Linotype"/>
        </w:rPr>
        <w:lastRenderedPageBreak/>
        <w:t>exhaustiva los documentos en los que conste la siguiente información de ser procedente en versión pública:</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bookmarkStart w:id="13" w:name="_heading=h.lnxbz9" w:colFirst="0" w:colLast="0"/>
      <w:bookmarkEnd w:id="13"/>
      <w:r w:rsidRPr="008E12A5">
        <w:rPr>
          <w:rFonts w:ascii="Palatino Linotype" w:eastAsia="Palatino Linotype" w:hAnsi="Palatino Linotype" w:cs="Palatino Linotype"/>
          <w:b/>
          <w:bCs/>
          <w:i/>
          <w:iCs/>
          <w:color w:val="000000"/>
        </w:rPr>
        <w:t xml:space="preserve">1. El Programa Municipal de Seguridad Pública </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2. Acta de sesión de cabildo en el que fue aprobado el Programa Municipal de Seguridad Pública vigente al cinco de febrero de dos mil veintiséis.</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 xml:space="preserve">3. Validación del Programa Municipal de Seguridad Pública vigente a la fecha de la solicitud por las instancias Estatales correspondientes. </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4. El Reglamento de Seguridad Pública vigente a la fecha de la solicitud.</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5. Diagnóstico y Estadística Municipal de Seguridad Pública a la máxima desagregación posible de los años 2022, 2023, 2024, 2025, y del mes de enero de 2026.</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 xml:space="preserve">6. Área encargada de la integración de la información referida en el punto 5. </w:t>
      </w:r>
    </w:p>
    <w:p w:rsidR="00BF5B66"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7. Organigrama de la Dirección Municipal de Seguridad Pública;</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8. Certificaciones vigentes del Director de Seguridad Pública Municipal</w:t>
      </w:r>
      <w:r w:rsidR="00AB1A3A" w:rsidRPr="008E12A5">
        <w:rPr>
          <w:rFonts w:ascii="Palatino Linotype" w:eastAsia="Palatino Linotype" w:hAnsi="Palatino Linotype" w:cs="Palatino Linotype"/>
          <w:b/>
          <w:bCs/>
          <w:i/>
          <w:iCs/>
          <w:color w:val="000000"/>
        </w:rPr>
        <w:t xml:space="preserve"> vigentes al cinco de febrero de dos mil veintiséis</w:t>
      </w:r>
      <w:r w:rsidRPr="008E12A5">
        <w:rPr>
          <w:rFonts w:ascii="Palatino Linotype" w:eastAsia="Palatino Linotype" w:hAnsi="Palatino Linotype" w:cs="Palatino Linotype"/>
          <w:b/>
          <w:bCs/>
          <w:i/>
          <w:iCs/>
          <w:color w:val="000000"/>
        </w:rPr>
        <w:t xml:space="preserve">; </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9. Perfil académico, laboral, certificaciones, experiencia policial de los Directores de Área, Subdirectores, Jefes de Departamento, Jefes de turno de la Dirección de Seguridad Pública Municipal</w:t>
      </w:r>
      <w:r w:rsidR="00AB1A3A" w:rsidRPr="008E12A5">
        <w:rPr>
          <w:rFonts w:ascii="Palatino Linotype" w:eastAsia="Palatino Linotype" w:hAnsi="Palatino Linotype" w:cs="Palatino Linotype"/>
          <w:b/>
          <w:bCs/>
          <w:i/>
          <w:iCs/>
          <w:color w:val="000000"/>
        </w:rPr>
        <w:t xml:space="preserve"> vigentes al cinco de febrero de dos mil veintiséis. </w:t>
      </w:r>
      <w:r w:rsidRPr="008E12A5">
        <w:rPr>
          <w:rFonts w:ascii="Palatino Linotype" w:eastAsia="Palatino Linotype" w:hAnsi="Palatino Linotype" w:cs="Palatino Linotype"/>
          <w:b/>
          <w:bCs/>
          <w:i/>
          <w:iCs/>
          <w:color w:val="000000"/>
        </w:rPr>
        <w:t>;</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t xml:space="preserve">10. Nombramiento de los Directores de Área, Subdirectores y Jefes de Departamento, Jefes de turno de la Dirección de Seguridad Pública Municipal; </w:t>
      </w:r>
    </w:p>
    <w:p w:rsidR="00337CB1" w:rsidRPr="008E12A5" w:rsidRDefault="00BF5B66" w:rsidP="0014156B">
      <w:pPr>
        <w:pBdr>
          <w:top w:val="nil"/>
          <w:left w:val="nil"/>
          <w:bottom w:val="nil"/>
          <w:right w:val="nil"/>
          <w:between w:val="nil"/>
        </w:pBdr>
        <w:spacing w:line="360" w:lineRule="auto"/>
        <w:ind w:left="1134" w:right="-284"/>
        <w:jc w:val="both"/>
        <w:rPr>
          <w:rFonts w:ascii="Palatino Linotype" w:eastAsia="Palatino Linotype" w:hAnsi="Palatino Linotype" w:cs="Palatino Linotype"/>
          <w:b/>
          <w:bCs/>
          <w:i/>
          <w:iCs/>
          <w:color w:val="000000"/>
        </w:rPr>
      </w:pPr>
      <w:r w:rsidRPr="008E12A5">
        <w:rPr>
          <w:rFonts w:ascii="Palatino Linotype" w:eastAsia="Palatino Linotype" w:hAnsi="Palatino Linotype" w:cs="Palatino Linotype"/>
          <w:b/>
          <w:bCs/>
          <w:i/>
          <w:iCs/>
          <w:color w:val="000000"/>
        </w:rPr>
        <w:lastRenderedPageBreak/>
        <w:t>11. Perfil académico, laboral y experiencia policial  de extitulares que hayan laborado en el periodo 2025 como Subdirectores, Jefes de Departamento, Jefes de turno.</w:t>
      </w:r>
    </w:p>
    <w:p w:rsidR="00337CB1" w:rsidRPr="008E12A5" w:rsidRDefault="00BF5B66" w:rsidP="0014156B">
      <w:pPr>
        <w:spacing w:line="276" w:lineRule="auto"/>
        <w:ind w:left="1134" w:right="-284"/>
        <w:jc w:val="both"/>
        <w:rPr>
          <w:rFonts w:ascii="Palatino Linotype" w:eastAsia="Palatino Linotype" w:hAnsi="Palatino Linotype" w:cs="Palatino Linotype"/>
          <w:b/>
          <w:bCs/>
          <w:i/>
          <w:iCs/>
        </w:rPr>
      </w:pPr>
      <w:r w:rsidRPr="008E12A5">
        <w:rPr>
          <w:rFonts w:ascii="Palatino Linotype" w:eastAsia="Palatino Linotype" w:hAnsi="Palatino Linotype" w:cs="Palatino Linotype"/>
          <w:i/>
          <w:iCs/>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8E12A5">
        <w:rPr>
          <w:rFonts w:ascii="Palatino Linotype" w:eastAsia="Palatino Linotype" w:hAnsi="Palatino Linotype" w:cs="Palatino Linotype"/>
          <w:b/>
          <w:bCs/>
          <w:i/>
          <w:iCs/>
        </w:rPr>
        <w:t>RECURRENTE.</w:t>
      </w:r>
    </w:p>
    <w:p w:rsidR="00A702B1" w:rsidRPr="008E12A5" w:rsidRDefault="00A702B1" w:rsidP="0014156B">
      <w:pPr>
        <w:spacing w:line="276" w:lineRule="auto"/>
        <w:ind w:left="1134" w:right="-284"/>
        <w:jc w:val="both"/>
        <w:rPr>
          <w:rFonts w:ascii="Palatino Linotype" w:eastAsia="Palatino Linotype" w:hAnsi="Palatino Linotype" w:cs="Palatino Linotype"/>
          <w:b/>
          <w:bCs/>
          <w:i/>
          <w:iCs/>
        </w:rPr>
      </w:pPr>
      <w:r w:rsidRPr="008E12A5">
        <w:rPr>
          <w:rFonts w:ascii="Palatino Linotype" w:eastAsia="Palatino Linotype" w:hAnsi="Palatino Linotype" w:cs="Palatino Linotype"/>
          <w:i/>
          <w:iCs/>
        </w:rPr>
        <w:t xml:space="preserve">Para el punto 1, de ser el caso que contenga </w:t>
      </w:r>
      <w:r w:rsidR="00AB1A3A" w:rsidRPr="008E12A5">
        <w:rPr>
          <w:rFonts w:ascii="Palatino Linotype" w:eastAsia="Palatino Linotype" w:hAnsi="Palatino Linotype" w:cs="Palatino Linotype"/>
          <w:i/>
          <w:iCs/>
        </w:rPr>
        <w:t xml:space="preserve">estrategias de seguridad </w:t>
      </w:r>
      <w:r w:rsidRPr="008E12A5">
        <w:rPr>
          <w:rFonts w:ascii="Palatino Linotype" w:eastAsia="Palatino Linotype" w:hAnsi="Palatino Linotype" w:cs="Palatino Linotype"/>
          <w:i/>
          <w:iCs/>
        </w:rPr>
        <w:t xml:space="preserve"> susceptible</w:t>
      </w:r>
      <w:r w:rsidR="00AB1A3A" w:rsidRPr="008E12A5">
        <w:rPr>
          <w:rFonts w:ascii="Palatino Linotype" w:eastAsia="Palatino Linotype" w:hAnsi="Palatino Linotype" w:cs="Palatino Linotype"/>
          <w:i/>
          <w:iCs/>
        </w:rPr>
        <w:t>s</w:t>
      </w:r>
      <w:r w:rsidRPr="008E12A5">
        <w:rPr>
          <w:rFonts w:ascii="Palatino Linotype" w:eastAsia="Palatino Linotype" w:hAnsi="Palatino Linotype" w:cs="Palatino Linotype"/>
          <w:i/>
          <w:iCs/>
        </w:rPr>
        <w:t xml:space="preserve"> de ser reservada</w:t>
      </w:r>
      <w:r w:rsidR="00AB1A3A" w:rsidRPr="008E12A5">
        <w:rPr>
          <w:rFonts w:ascii="Palatino Linotype" w:eastAsia="Palatino Linotype" w:hAnsi="Palatino Linotype" w:cs="Palatino Linotype"/>
          <w:i/>
          <w:iCs/>
        </w:rPr>
        <w:t>s</w:t>
      </w:r>
      <w:r w:rsidRPr="008E12A5">
        <w:rPr>
          <w:rFonts w:ascii="Palatino Linotype" w:eastAsia="Palatino Linotype" w:hAnsi="Palatino Linotype" w:cs="Palatino Linotype"/>
          <w:i/>
          <w:iCs/>
        </w:rPr>
        <w:t>, deberá</w:t>
      </w:r>
      <w:r w:rsidRPr="008E12A5">
        <w:rPr>
          <w:i/>
        </w:rPr>
        <w:t xml:space="preserve"> </w:t>
      </w:r>
      <w:r w:rsidRPr="008E12A5">
        <w:rPr>
          <w:rFonts w:ascii="Palatino Linotype" w:eastAsia="Palatino Linotype" w:hAnsi="Palatino Linotype" w:cs="Palatino Linotype"/>
          <w:i/>
          <w:iCs/>
        </w:rPr>
        <w:t>se debe observar el procedimiento de clasificación establecido en la norma jurídica y</w:t>
      </w:r>
      <w:r w:rsidR="00AB1A3A" w:rsidRPr="008E12A5">
        <w:rPr>
          <w:rFonts w:ascii="Palatino Linotype" w:eastAsia="Palatino Linotype" w:hAnsi="Palatino Linotype" w:cs="Palatino Linotype"/>
          <w:i/>
          <w:iCs/>
        </w:rPr>
        <w:t xml:space="preserve"> consecuentemente</w:t>
      </w:r>
      <w:r w:rsidRPr="008E12A5">
        <w:rPr>
          <w:rFonts w:ascii="Palatino Linotype" w:eastAsia="Palatino Linotype" w:hAnsi="Palatino Linotype" w:cs="Palatino Linotype"/>
          <w:i/>
          <w:iCs/>
        </w:rPr>
        <w:t xml:space="preserve"> </w:t>
      </w:r>
      <w:r w:rsidRPr="008E12A5">
        <w:rPr>
          <w:i/>
        </w:rPr>
        <w:t>emitir el Acuerdo del Comité de Transparencia que sustente tal</w:t>
      </w:r>
      <w:r w:rsidR="00AB1A3A" w:rsidRPr="008E12A5">
        <w:rPr>
          <w:i/>
        </w:rPr>
        <w:t xml:space="preserve"> carácter</w:t>
      </w:r>
      <w:r w:rsidRPr="008E12A5">
        <w:rPr>
          <w:rFonts w:ascii="Palatino Linotype" w:eastAsia="Palatino Linotype" w:hAnsi="Palatino Linotype" w:cs="Palatino Linotype"/>
          <w:i/>
          <w:iCs/>
        </w:rPr>
        <w:t xml:space="preserve">, debiendo elaborar la prueba de daño correspondiente.  </w:t>
      </w:r>
    </w:p>
    <w:p w:rsidR="00337CB1" w:rsidRPr="008E12A5" w:rsidRDefault="00BF5B66" w:rsidP="0014156B">
      <w:pPr>
        <w:tabs>
          <w:tab w:val="left" w:pos="8364"/>
        </w:tabs>
        <w:spacing w:line="276" w:lineRule="auto"/>
        <w:ind w:left="1134" w:right="-284"/>
        <w:jc w:val="both"/>
        <w:rPr>
          <w:rFonts w:ascii="Palatino Linotype" w:eastAsia="Palatino Linotype" w:hAnsi="Palatino Linotype" w:cs="Palatino Linotype"/>
          <w:i/>
          <w:iCs/>
        </w:rPr>
      </w:pPr>
      <w:bookmarkStart w:id="14" w:name="_heading=h.pjih9etg5i0h" w:colFirst="0" w:colLast="0"/>
      <w:bookmarkEnd w:id="14"/>
      <w:r w:rsidRPr="008E12A5">
        <w:rPr>
          <w:rFonts w:ascii="Palatino Linotype" w:eastAsia="Palatino Linotype" w:hAnsi="Palatino Linotype" w:cs="Palatino Linotype"/>
          <w:i/>
          <w:iCs/>
        </w:rPr>
        <w:t>Para los puntos 1, 3 y 5 éste último respecto al mes de enero 2026, para el caso de no contar con la información, resulta procedente la entrega del acuerdo de inexistencia, en términos del artículo 19 párrafo tercero, 169 y 170 de la Ley de Transparencia y Acceso a la Información Pública del Estado de México y Municipios.</w:t>
      </w:r>
    </w:p>
    <w:p w:rsidR="00337CB1" w:rsidRPr="008E12A5" w:rsidRDefault="00337CB1" w:rsidP="0014156B">
      <w:pPr>
        <w:tabs>
          <w:tab w:val="left" w:pos="8080"/>
        </w:tabs>
        <w:spacing w:line="276" w:lineRule="auto"/>
        <w:ind w:left="1134" w:right="-284"/>
        <w:jc w:val="both"/>
        <w:rPr>
          <w:rFonts w:ascii="Palatino Linotype" w:eastAsia="Palatino Linotype" w:hAnsi="Palatino Linotype" w:cs="Palatino Linotype"/>
          <w:i/>
          <w:iCs/>
        </w:rPr>
      </w:pPr>
    </w:p>
    <w:p w:rsidR="00337CB1" w:rsidRPr="008E12A5" w:rsidRDefault="00BF5B66" w:rsidP="0014156B">
      <w:pPr>
        <w:tabs>
          <w:tab w:val="left" w:pos="8080"/>
        </w:tabs>
        <w:spacing w:line="360" w:lineRule="auto"/>
        <w:ind w:right="-284"/>
        <w:jc w:val="both"/>
        <w:rPr>
          <w:rFonts w:ascii="Palatino Linotype" w:eastAsia="Palatino Linotype" w:hAnsi="Palatino Linotype" w:cs="Palatino Linotype"/>
          <w:color w:val="222222"/>
        </w:rPr>
      </w:pPr>
      <w:r w:rsidRPr="008E12A5">
        <w:rPr>
          <w:rFonts w:ascii="Palatino Linotype" w:eastAsia="Palatino Linotype" w:hAnsi="Palatino Linotype" w:cs="Palatino Linotype"/>
          <w:b/>
          <w:bCs/>
        </w:rPr>
        <w:t xml:space="preserve">TERCERO. </w:t>
      </w:r>
      <w:r w:rsidRPr="008E12A5">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8E12A5">
        <w:rPr>
          <w:rFonts w:ascii="Palatino Linotype" w:eastAsia="Palatino Linotype" w:hAnsi="Palatino Linotype" w:cs="Palatino Linotype"/>
          <w:b/>
          <w:bCs/>
          <w:color w:val="222222"/>
        </w:rPr>
        <w:t xml:space="preserve">dé cumplimiento a lo ordenado dentro del plazo de diez días hábiles, </w:t>
      </w:r>
      <w:r w:rsidRPr="008E12A5">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337CB1" w:rsidRPr="008E12A5" w:rsidRDefault="00BF5B66" w:rsidP="0014156B">
      <w:pPr>
        <w:spacing w:line="360" w:lineRule="auto"/>
        <w:ind w:right="-284"/>
        <w:jc w:val="both"/>
        <w:rPr>
          <w:rFonts w:ascii="Palatino Linotype" w:eastAsia="Palatino Linotype" w:hAnsi="Palatino Linotype" w:cs="Palatino Linotype"/>
        </w:rPr>
      </w:pPr>
      <w:r w:rsidRPr="008E12A5">
        <w:rPr>
          <w:rFonts w:ascii="Palatino Linotype" w:eastAsia="Palatino Linotype" w:hAnsi="Palatino Linotype" w:cs="Palatino Linotype"/>
          <w:b/>
          <w:bCs/>
        </w:rPr>
        <w:lastRenderedPageBreak/>
        <w:t xml:space="preserve">CUARTO. </w:t>
      </w:r>
      <w:r w:rsidRPr="008E12A5">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8E12A5">
        <w:rPr>
          <w:rFonts w:ascii="Palatino Linotype" w:eastAsia="Palatino Linotype" w:hAnsi="Palatino Linotype" w:cs="Palatino Linotype"/>
          <w:b/>
          <w:bCs/>
        </w:rPr>
        <w:t>SUJETO OBLIGADO</w:t>
      </w:r>
      <w:r w:rsidRPr="008E12A5">
        <w:rPr>
          <w:rFonts w:ascii="Palatino Linotype" w:eastAsia="Palatino Linotype" w:hAnsi="Palatino Linotype" w:cs="Palatino Linotype"/>
        </w:rPr>
        <w:t xml:space="preserve"> de manera fundada y motivada, podrá solicitar una ampliación de plazo para el cumplimiento de la presente resolución.</w:t>
      </w:r>
    </w:p>
    <w:p w:rsidR="00337CB1" w:rsidRPr="008E12A5" w:rsidRDefault="00337CB1" w:rsidP="0014156B">
      <w:pPr>
        <w:spacing w:line="360" w:lineRule="auto"/>
        <w:ind w:right="-284"/>
        <w:jc w:val="both"/>
        <w:rPr>
          <w:rFonts w:ascii="Palatino Linotype" w:eastAsia="Palatino Linotype" w:hAnsi="Palatino Linotype" w:cs="Palatino Linotype"/>
        </w:rPr>
      </w:pPr>
    </w:p>
    <w:p w:rsidR="00337CB1" w:rsidRPr="008E12A5" w:rsidRDefault="00BF5B66" w:rsidP="0014156B">
      <w:pPr>
        <w:spacing w:line="360" w:lineRule="auto"/>
        <w:ind w:right="-284"/>
        <w:jc w:val="both"/>
        <w:rPr>
          <w:rFonts w:ascii="Palatino Linotype" w:eastAsia="Palatino Linotype" w:hAnsi="Palatino Linotype" w:cs="Palatino Linotype"/>
        </w:rPr>
      </w:pPr>
      <w:bookmarkStart w:id="15" w:name="_heading=h.2jxsxqh" w:colFirst="0" w:colLast="0"/>
      <w:bookmarkEnd w:id="15"/>
      <w:r w:rsidRPr="008E12A5">
        <w:rPr>
          <w:rFonts w:ascii="Palatino Linotype" w:eastAsia="Palatino Linotype" w:hAnsi="Palatino Linotype" w:cs="Palatino Linotype"/>
          <w:b/>
          <w:bCs/>
        </w:rPr>
        <w:t xml:space="preserve">QUINTO. </w:t>
      </w:r>
      <w:r w:rsidRPr="008E12A5">
        <w:rPr>
          <w:rFonts w:ascii="Palatino Linotype" w:eastAsia="Palatino Linotype" w:hAnsi="Palatino Linotype" w:cs="Palatino Linotype"/>
        </w:rPr>
        <w:t xml:space="preserve">Notifíquese a </w:t>
      </w:r>
      <w:r w:rsidRPr="008E12A5">
        <w:rPr>
          <w:rFonts w:ascii="Palatino Linotype" w:eastAsia="Palatino Linotype" w:hAnsi="Palatino Linotype" w:cs="Palatino Linotype"/>
          <w:b/>
          <w:bCs/>
        </w:rPr>
        <w:t>EL RECURRENTE</w:t>
      </w:r>
      <w:r w:rsidRPr="008E12A5">
        <w:rPr>
          <w:rFonts w:ascii="Palatino Linotype" w:eastAsia="Palatino Linotype" w:hAnsi="Palatino Linotype" w:cs="Palatino Linotype"/>
        </w:rPr>
        <w:t xml:space="preserve"> la presente resolución, vía SAIMEX.</w:t>
      </w:r>
    </w:p>
    <w:p w:rsidR="00337CB1" w:rsidRPr="008E12A5" w:rsidRDefault="00337CB1" w:rsidP="0014156B">
      <w:pPr>
        <w:shd w:val="clear" w:color="auto" w:fill="FFFFFF"/>
        <w:spacing w:line="360" w:lineRule="auto"/>
        <w:ind w:right="-284"/>
        <w:jc w:val="both"/>
        <w:rPr>
          <w:rFonts w:ascii="Palatino Linotype" w:eastAsia="Palatino Linotype" w:hAnsi="Palatino Linotype" w:cs="Palatino Linotype"/>
          <w:b/>
          <w:bCs/>
        </w:rPr>
      </w:pPr>
    </w:p>
    <w:p w:rsidR="00337CB1" w:rsidRPr="008E12A5" w:rsidRDefault="00BF5B66" w:rsidP="0014156B">
      <w:pPr>
        <w:spacing w:line="360" w:lineRule="auto"/>
        <w:ind w:right="-284"/>
        <w:jc w:val="both"/>
        <w:rPr>
          <w:rFonts w:ascii="Palatino Linotype" w:eastAsia="Palatino Linotype" w:hAnsi="Palatino Linotype" w:cs="Palatino Linotype"/>
        </w:rPr>
      </w:pPr>
      <w:r w:rsidRPr="008E12A5">
        <w:rPr>
          <w:rFonts w:ascii="Palatino Linotype" w:eastAsia="Palatino Linotype" w:hAnsi="Palatino Linotype" w:cs="Palatino Linotype"/>
          <w:b/>
          <w:bCs/>
        </w:rPr>
        <w:t xml:space="preserve">SEXTO. </w:t>
      </w:r>
      <w:r w:rsidRPr="008E12A5">
        <w:rPr>
          <w:rFonts w:ascii="Palatino Linotype" w:eastAsia="Palatino Linotype" w:hAnsi="Palatino Linotype" w:cs="Palatino Linotype"/>
        </w:rPr>
        <w:t xml:space="preserve">Se hace del conocimiento del </w:t>
      </w:r>
      <w:r w:rsidRPr="008E12A5">
        <w:rPr>
          <w:rFonts w:ascii="Palatino Linotype" w:eastAsia="Palatino Linotype" w:hAnsi="Palatino Linotype" w:cs="Palatino Linotype"/>
          <w:b/>
          <w:bCs/>
        </w:rPr>
        <w:t>RECURRENTE</w:t>
      </w:r>
      <w:r w:rsidRPr="008E12A5">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337CB1" w:rsidRPr="008E12A5" w:rsidRDefault="00337CB1" w:rsidP="0014156B">
      <w:pPr>
        <w:shd w:val="clear" w:color="auto" w:fill="FFFFFF"/>
        <w:spacing w:line="360" w:lineRule="auto"/>
        <w:ind w:right="-284"/>
        <w:jc w:val="both"/>
        <w:rPr>
          <w:rFonts w:ascii="Palatino Linotype" w:eastAsia="Palatino Linotype" w:hAnsi="Palatino Linotype" w:cs="Palatino Linotype"/>
        </w:rPr>
      </w:pPr>
    </w:p>
    <w:p w:rsidR="0014156B" w:rsidRPr="008E12A5" w:rsidRDefault="0014156B" w:rsidP="0014156B">
      <w:pPr>
        <w:spacing w:before="240" w:after="240" w:line="360" w:lineRule="auto"/>
        <w:ind w:right="-284" w:firstLine="1"/>
        <w:jc w:val="both"/>
        <w:rPr>
          <w:rFonts w:ascii="Palatino Linotype" w:hAnsi="Palatino Linotype"/>
        </w:rPr>
      </w:pPr>
      <w:bookmarkStart w:id="16" w:name="_Hlk99014733"/>
      <w:r w:rsidRPr="008E12A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C30F80" w:rsidRPr="008E12A5">
        <w:rPr>
          <w:rFonts w:ascii="Palatino Linotype" w:hAnsi="Palatino Linotype" w:cs="Palatino Linotype"/>
        </w:rPr>
        <w:t xml:space="preserve">EMITIENDO VOTO PARTICULAR </w:t>
      </w:r>
      <w:r w:rsidRPr="008E12A5">
        <w:rPr>
          <w:rFonts w:ascii="Palatino Linotype" w:hAnsi="Palatino Linotype" w:cs="Palatino Linotype"/>
        </w:rPr>
        <w:t>Y GUADALUPE RAMÍREZ PEÑA</w:t>
      </w:r>
      <w:r w:rsidR="00C30F80" w:rsidRPr="008E12A5">
        <w:rPr>
          <w:rFonts w:ascii="Palatino Linotype" w:hAnsi="Palatino Linotype" w:cs="Palatino Linotype"/>
        </w:rPr>
        <w:t xml:space="preserve"> EMITIENDO VOTO PARTICULAR</w:t>
      </w:r>
      <w:r w:rsidRPr="008E12A5">
        <w:rPr>
          <w:rFonts w:ascii="Palatino Linotype" w:hAnsi="Palatino Linotype" w:cs="Palatino Linotype"/>
        </w:rPr>
        <w:t xml:space="preserve">; EN LA VIGÉSIMA CUARTA SESIÓN ORDINARIA, CELEBRADA EL UNO (01) DE JULIO DE DOS MIL VEINTISÉIS, ANTE EL SECRETARIO TÉCNICO DEL PLENO </w:t>
      </w:r>
      <w:r w:rsidRPr="008E12A5">
        <w:rPr>
          <w:rFonts w:ascii="Palatino Linotype" w:hAnsi="Palatino Linotype" w:cs="Palatino Linotype"/>
          <w:color w:val="000000" w:themeColor="text1"/>
        </w:rPr>
        <w:t>ALEXIS TAPIA RAMÍREZ.</w:t>
      </w:r>
    </w:p>
    <w:bookmarkEnd w:id="16"/>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spacing w:before="240" w:after="240" w:line="360" w:lineRule="auto"/>
        <w:ind w:right="-284"/>
        <w:jc w:val="both"/>
        <w:rPr>
          <w:rFonts w:ascii="Palatino Linotype" w:eastAsia="Palatino Linotype" w:hAnsi="Palatino Linotype" w:cs="Palatino Linotype"/>
        </w:rPr>
      </w:pPr>
    </w:p>
    <w:p w:rsidR="00337CB1" w:rsidRPr="008E12A5" w:rsidRDefault="00337CB1" w:rsidP="0014156B">
      <w:pPr>
        <w:ind w:right="-284"/>
        <w:rPr>
          <w:rFonts w:ascii="Palatino Linotype" w:eastAsia="Palatino Linotype" w:hAnsi="Palatino Linotype" w:cs="Palatino Linotype"/>
        </w:rPr>
      </w:pPr>
    </w:p>
    <w:p w:rsidR="00337CB1" w:rsidRPr="008E12A5" w:rsidRDefault="00337CB1" w:rsidP="0014156B">
      <w:pPr>
        <w:ind w:right="-284"/>
        <w:rPr>
          <w:rFonts w:ascii="Palatino Linotype" w:eastAsia="Palatino Linotype" w:hAnsi="Palatino Linotype" w:cs="Palatino Linotype"/>
        </w:rPr>
      </w:pPr>
    </w:p>
    <w:p w:rsidR="00337CB1" w:rsidRPr="008E12A5" w:rsidRDefault="00337CB1" w:rsidP="0014156B">
      <w:pPr>
        <w:ind w:right="-284"/>
        <w:rPr>
          <w:rFonts w:ascii="Palatino Linotype" w:eastAsia="Palatino Linotype" w:hAnsi="Palatino Linotype" w:cs="Palatino Linotype"/>
        </w:rPr>
      </w:pPr>
    </w:p>
    <w:p w:rsidR="00337CB1" w:rsidRPr="008E12A5" w:rsidRDefault="00337CB1" w:rsidP="0014156B">
      <w:pPr>
        <w:ind w:right="-284"/>
        <w:rPr>
          <w:rFonts w:ascii="Palatino Linotype" w:eastAsia="Palatino Linotype" w:hAnsi="Palatino Linotype" w:cs="Palatino Linotype"/>
        </w:rPr>
      </w:pPr>
    </w:p>
    <w:p w:rsidR="00337CB1" w:rsidRPr="008E12A5" w:rsidRDefault="00337CB1" w:rsidP="0014156B">
      <w:pPr>
        <w:ind w:right="-284"/>
        <w:rPr>
          <w:rFonts w:ascii="Palatino Linotype" w:eastAsia="Palatino Linotype" w:hAnsi="Palatino Linotype" w:cs="Palatino Linotype"/>
        </w:rPr>
      </w:pPr>
    </w:p>
    <w:p w:rsidR="00337CB1" w:rsidRPr="008E12A5" w:rsidRDefault="00337CB1" w:rsidP="0014156B">
      <w:pPr>
        <w:ind w:right="-284"/>
        <w:rPr>
          <w:rFonts w:ascii="Palatino Linotype" w:eastAsia="Palatino Linotype" w:hAnsi="Palatino Linotype" w:cs="Palatino Linotype"/>
        </w:rPr>
      </w:pPr>
    </w:p>
    <w:p w:rsidR="00337CB1" w:rsidRPr="008E12A5" w:rsidRDefault="00337CB1" w:rsidP="0014156B">
      <w:pPr>
        <w:ind w:right="-284"/>
        <w:rPr>
          <w:rFonts w:ascii="Palatino Linotype" w:eastAsia="Palatino Linotype" w:hAnsi="Palatino Linotype" w:cs="Palatino Linotype"/>
        </w:rPr>
      </w:pPr>
    </w:p>
    <w:p w:rsidR="0014156B" w:rsidRPr="008E12A5" w:rsidRDefault="0014156B">
      <w:pPr>
        <w:ind w:right="-284"/>
        <w:rPr>
          <w:rFonts w:ascii="Palatino Linotype" w:eastAsia="Palatino Linotype" w:hAnsi="Palatino Linotype" w:cs="Palatino Linotype"/>
        </w:rPr>
      </w:pPr>
    </w:p>
    <w:sectPr w:rsidR="0014156B" w:rsidRPr="008E12A5" w:rsidSect="008E12A5">
      <w:headerReference w:type="default" r:id="rId17"/>
      <w:footerReference w:type="default" r:id="rId18"/>
      <w:headerReference w:type="first" r:id="rId19"/>
      <w:footerReference w:type="first" r:id="rId20"/>
      <w:pgSz w:w="12240" w:h="15840"/>
      <w:pgMar w:top="2410" w:right="104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437" w:rsidRDefault="00892437">
      <w:r>
        <w:separator/>
      </w:r>
    </w:p>
  </w:endnote>
  <w:endnote w:type="continuationSeparator" w:id="0">
    <w:p w:rsidR="00892437" w:rsidRDefault="00892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0E5207CC-0EB1-45CC-9D5C-21E391BA427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3519A4D5-CC55-4428-BA3D-FF1046803240}"/>
    <w:embedBold r:id="rId3" w:fontKey="{F7887670-19A2-4788-8D99-17A947A26676}"/>
    <w:embedItalic r:id="rId4" w:fontKey="{3232498F-5B05-4966-ADE4-6FC88733BBA7}"/>
    <w:embedBoldItalic r:id="rId5" w:fontKey="{B33F07B9-EE92-4F3F-99FC-F67C9D3DE2FA}"/>
  </w:font>
  <w:font w:name="Calibri">
    <w:panose1 w:val="020F0502020204030204"/>
    <w:charset w:val="00"/>
    <w:family w:val="swiss"/>
    <w:pitch w:val="variable"/>
    <w:sig w:usb0="E4002EFF" w:usb1="C200247B" w:usb2="00000009" w:usb3="00000000" w:csb0="000001FF" w:csb1="00000000"/>
    <w:embedRegular r:id="rId6" w:fontKey="{7E1E911B-468D-4739-85B0-004F71F73224}"/>
  </w:font>
  <w:font w:name="Georgia">
    <w:panose1 w:val="02040502050405020303"/>
    <w:charset w:val="00"/>
    <w:family w:val="roman"/>
    <w:pitch w:val="variable"/>
    <w:sig w:usb0="00000287" w:usb1="00000000" w:usb2="00000000" w:usb3="00000000" w:csb0="0000009F" w:csb1="00000000"/>
    <w:embedItalic r:id="rId7" w:fontKey="{8FD73B84-2BCE-4F42-9F01-A4723B66E6F2}"/>
  </w:font>
  <w:font w:name="Cambria">
    <w:panose1 w:val="02040503050406030204"/>
    <w:charset w:val="00"/>
    <w:family w:val="roman"/>
    <w:pitch w:val="variable"/>
    <w:sig w:usb0="E00006FF" w:usb1="420024FF" w:usb2="02000000" w:usb3="00000000" w:csb0="0000019F" w:csb1="00000000"/>
    <w:embedRegular r:id="rId8" w:fontKey="{F5E7DC25-2442-4F4D-8970-EB34A77C33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B66" w:rsidRDefault="00BF5B6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890BCB">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890BCB">
      <w:rPr>
        <w:rFonts w:ascii="Palatino Linotype" w:eastAsia="Palatino Linotype" w:hAnsi="Palatino Linotype" w:cs="Palatino Linotype"/>
        <w:b/>
        <w:bCs/>
        <w:noProof/>
        <w:color w:val="000000"/>
        <w:sz w:val="22"/>
        <w:szCs w:val="22"/>
      </w:rPr>
      <w:t>61</w:t>
    </w:r>
    <w:r>
      <w:rPr>
        <w:rFonts w:ascii="Palatino Linotype" w:eastAsia="Palatino Linotype" w:hAnsi="Palatino Linotype" w:cs="Palatino Linotype"/>
        <w:b/>
        <w:bCs/>
        <w:color w:val="000000"/>
        <w:sz w:val="22"/>
        <w:szCs w:val="22"/>
      </w:rPr>
      <w:fldChar w:fldCharType="end"/>
    </w:r>
  </w:p>
  <w:p w:rsidR="00BF5B66" w:rsidRDefault="00BF5B66">
    <w:pPr>
      <w:pBdr>
        <w:top w:val="nil"/>
        <w:left w:val="nil"/>
        <w:bottom w:val="nil"/>
        <w:right w:val="nil"/>
        <w:between w:val="nil"/>
      </w:pBdr>
      <w:tabs>
        <w:tab w:val="center" w:pos="4252"/>
        <w:tab w:val="right" w:pos="8504"/>
      </w:tabs>
      <w:rPr>
        <w:color w:val="000000"/>
      </w:rPr>
    </w:pPr>
  </w:p>
  <w:p w:rsidR="00BF5B66" w:rsidRDefault="00BF5B66">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B66" w:rsidRDefault="00BF5B6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890BCB">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890BCB">
      <w:rPr>
        <w:rFonts w:ascii="Palatino Linotype" w:eastAsia="Palatino Linotype" w:hAnsi="Palatino Linotype" w:cs="Palatino Linotype"/>
        <w:b/>
        <w:bCs/>
        <w:noProof/>
        <w:color w:val="000000"/>
        <w:sz w:val="22"/>
        <w:szCs w:val="22"/>
      </w:rPr>
      <w:t>61</w:t>
    </w:r>
    <w:r>
      <w:rPr>
        <w:rFonts w:ascii="Palatino Linotype" w:eastAsia="Palatino Linotype" w:hAnsi="Palatino Linotype" w:cs="Palatino Linotype"/>
        <w:b/>
        <w:bCs/>
        <w:color w:val="000000"/>
        <w:sz w:val="22"/>
        <w:szCs w:val="22"/>
      </w:rPr>
      <w:fldChar w:fldCharType="end"/>
    </w:r>
  </w:p>
  <w:p w:rsidR="00BF5B66" w:rsidRDefault="00BF5B66">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437" w:rsidRDefault="00892437">
      <w:r>
        <w:separator/>
      </w:r>
    </w:p>
  </w:footnote>
  <w:footnote w:type="continuationSeparator" w:id="0">
    <w:p w:rsidR="00892437" w:rsidRDefault="00892437">
      <w:r>
        <w:continuationSeparator/>
      </w:r>
    </w:p>
  </w:footnote>
  <w:footnote w:id="1">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21 fr.IX.</w:t>
      </w:r>
    </w:p>
  </w:footnote>
  <w:footnote w:id="6">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Ley Orgánica Municipal del estado de México. Art. 119.</w:t>
      </w:r>
    </w:p>
  </w:footnote>
  <w:footnote w:id="7">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Ley Orgánica Municipal del estado de México. Art. 122</w:t>
      </w:r>
    </w:p>
  </w:footnote>
  <w:footnote w:id="8">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Ley de Seguridad del Estado de México. Art. 35 fr.XVIII</w:t>
      </w:r>
    </w:p>
  </w:footnote>
  <w:footnote w:id="9">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Ley Orgánica Municipal del estado de México. Articulo 21 fracciones I, II, XXI.</w:t>
      </w:r>
    </w:p>
  </w:footnote>
  <w:footnote w:id="10">
    <w:p w:rsid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Ley Orgánica Municipal del estado de México. Articulo 91 fr.I</w:t>
      </w:r>
    </w:p>
    <w:p w:rsidR="00BF5B66" w:rsidRDefault="00BF5B66">
      <w:pPr>
        <w:pBdr>
          <w:top w:val="nil"/>
          <w:left w:val="nil"/>
          <w:bottom w:val="nil"/>
          <w:right w:val="nil"/>
          <w:between w:val="nil"/>
        </w:pBdr>
        <w:rPr>
          <w:color w:val="000000"/>
          <w:sz w:val="20"/>
          <w:szCs w:val="20"/>
        </w:rPr>
      </w:pPr>
    </w:p>
  </w:footnote>
  <w:footnote w:id="11">
    <w:p w:rsidR="00BF5B66" w:rsidRPr="00BF5B66" w:rsidRDefault="00BF5B6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sidRPr="00BF5B66">
        <w:rPr>
          <w:color w:val="000000"/>
          <w:sz w:val="20"/>
          <w:szCs w:val="20"/>
        </w:rPr>
        <w:t>Ley del Trabajo de los Servidores Públicos del Estado de México y Municipios. Artículo 5, 8, 9, 45,48, 49, 50</w:t>
      </w:r>
    </w:p>
    <w:p w:rsidR="00BF5B66" w:rsidRPr="00BF5B66" w:rsidRDefault="00BF5B66">
      <w:pPr>
        <w:pBdr>
          <w:top w:val="nil"/>
          <w:left w:val="nil"/>
          <w:bottom w:val="nil"/>
          <w:right w:val="nil"/>
          <w:between w:val="nil"/>
        </w:pBdr>
        <w:rPr>
          <w:color w:val="000000"/>
          <w:sz w:val="20"/>
          <w:szCs w:val="20"/>
        </w:rPr>
      </w:pPr>
      <w:r w:rsidRPr="00BF5B66">
        <w:rPr>
          <w:color w:val="000000"/>
          <w:sz w:val="20"/>
          <w:szCs w:val="20"/>
        </w:rPr>
        <w:t>Ley Orgánica Municipal del Estado de México. Artículo 48 fr.VI</w:t>
      </w:r>
    </w:p>
    <w:p w:rsidR="00BF5B66" w:rsidRPr="00BF5B66" w:rsidRDefault="00BF5B66">
      <w:pPr>
        <w:pBdr>
          <w:top w:val="nil"/>
          <w:left w:val="nil"/>
          <w:bottom w:val="nil"/>
          <w:right w:val="nil"/>
          <w:between w:val="nil"/>
        </w:pBdr>
        <w:rPr>
          <w:rFonts w:ascii="Palatino Linotype" w:eastAsia="Palatino Linotype" w:hAnsi="Palatino Linotype" w:cs="Palatino Linotype"/>
          <w:color w:val="000000"/>
          <w:sz w:val="20"/>
          <w:szCs w:val="20"/>
        </w:rPr>
      </w:pPr>
      <w:r w:rsidRPr="00BF5B66">
        <w:rPr>
          <w:rFonts w:ascii="Palatino Linotype" w:eastAsia="Palatino Linotype" w:hAnsi="Palatino Linotype" w:cs="Palatino Linotype"/>
          <w:color w:val="000000"/>
          <w:sz w:val="20"/>
          <w:szCs w:val="20"/>
        </w:rPr>
        <w:t>Ley de Responsabilidades Administrativas del Estado de México y Municipios. Artículo 62</w:t>
      </w:r>
    </w:p>
    <w:p w:rsidR="00BF5B66" w:rsidRPr="00BF5B66" w:rsidRDefault="00BF5B66">
      <w:pPr>
        <w:ind w:right="27"/>
        <w:jc w:val="both"/>
        <w:rPr>
          <w:rFonts w:ascii="Palatino Linotype" w:eastAsia="Palatino Linotype" w:hAnsi="Palatino Linotype" w:cs="Palatino Linotype"/>
          <w:sz w:val="20"/>
          <w:szCs w:val="20"/>
        </w:rPr>
      </w:pPr>
      <w:r w:rsidRPr="00BF5B66">
        <w:rPr>
          <w:rFonts w:ascii="Palatino Linotype" w:eastAsia="Palatino Linotype" w:hAnsi="Palatino Linotype" w:cs="Palatino Linotype"/>
          <w:sz w:val="20"/>
          <w:szCs w:val="20"/>
        </w:rPr>
        <w:t xml:space="preserve">Sobre el tema, los artículos 5°, 45, 48, 49 y 50 de la Ley del Trabajo de los Servidores Públicos del Estado de México y Municipios, establece que la relación laboral, entre las instituciones y sus servidores públicos, se entiende por establecida mediante nombramiento, formato único de personal o contrato, documentos que obligan al servidor público a cumplir con los deberes inherentes al puesto especificado en los mismos. Lo cual se robustece, con la Guía Técnica 9 “La Administración del Personal Municipal”, emitida por el Instituto Nacional para el Federalismo y el Desarrollo Municipal, que precisa que la formalización de la relación laboral se realiza por medio del Contrato, nombramiento o Formato Único de Movimiento de Personal. </w:t>
      </w:r>
    </w:p>
    <w:p w:rsidR="00BF5B66" w:rsidRDefault="00BF5B66">
      <w:pPr>
        <w:pBdr>
          <w:top w:val="nil"/>
          <w:left w:val="nil"/>
          <w:bottom w:val="nil"/>
          <w:right w:val="nil"/>
          <w:between w:val="nil"/>
        </w:pBdr>
        <w:rPr>
          <w:color w:val="000000"/>
          <w:sz w:val="20"/>
          <w:szCs w:val="20"/>
        </w:rPr>
      </w:pPr>
    </w:p>
    <w:p w:rsidR="00BF5B66" w:rsidRDefault="00BF5B66">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995" w:type="dxa"/>
      <w:tblInd w:w="3119" w:type="dxa"/>
      <w:tblLayout w:type="fixed"/>
      <w:tblLook w:val="0400" w:firstRow="0" w:lastRow="0" w:firstColumn="0" w:lastColumn="0" w:noHBand="0" w:noVBand="1"/>
    </w:tblPr>
    <w:tblGrid>
      <w:gridCol w:w="3084"/>
      <w:gridCol w:w="4911"/>
    </w:tblGrid>
    <w:tr w:rsidR="00BF5B66" w:rsidTr="008E12A5">
      <w:tc>
        <w:tcPr>
          <w:tcW w:w="3084" w:type="dxa"/>
          <w:vAlign w:val="center"/>
        </w:tcPr>
        <w:p w:rsidR="00BF5B66" w:rsidRDefault="00BF5B66">
          <w:pPr>
            <w:ind w:left="377"/>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11" w:type="dxa"/>
          <w:vAlign w:val="center"/>
        </w:tcPr>
        <w:p w:rsidR="00BF5B66" w:rsidRDefault="00BF5B66">
          <w:pPr>
            <w:ind w:right="-1093"/>
            <w:jc w:val="both"/>
            <w:rPr>
              <w:rFonts w:ascii="Palatino Linotype" w:eastAsia="Palatino Linotype" w:hAnsi="Palatino Linotype" w:cs="Palatino Linotype"/>
            </w:rPr>
          </w:pPr>
          <w:r>
            <w:rPr>
              <w:rFonts w:ascii="Palatino Linotype" w:eastAsia="Palatino Linotype" w:hAnsi="Palatino Linotype" w:cs="Palatino Linotype"/>
            </w:rPr>
            <w:t>03833/INFOEM/IP/RR/2026</w:t>
          </w:r>
        </w:p>
      </w:tc>
    </w:tr>
    <w:tr w:rsidR="00BF5B66" w:rsidTr="008E12A5">
      <w:trPr>
        <w:trHeight w:val="228"/>
      </w:trPr>
      <w:tc>
        <w:tcPr>
          <w:tcW w:w="3084" w:type="dxa"/>
          <w:vAlign w:val="center"/>
        </w:tcPr>
        <w:p w:rsidR="00BF5B66" w:rsidRDefault="00BF5B66">
          <w:pPr>
            <w:ind w:left="377"/>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11" w:type="dxa"/>
          <w:shd w:val="clear" w:color="auto" w:fill="auto"/>
          <w:vAlign w:val="center"/>
        </w:tcPr>
        <w:p w:rsidR="00BF5B66" w:rsidRDefault="00BF5B66">
          <w:pPr>
            <w:ind w:right="-108"/>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Aculco</w:t>
          </w:r>
        </w:p>
      </w:tc>
    </w:tr>
    <w:tr w:rsidR="00BF5B66" w:rsidTr="008E12A5">
      <w:tc>
        <w:tcPr>
          <w:tcW w:w="3084" w:type="dxa"/>
          <w:vAlign w:val="center"/>
        </w:tcPr>
        <w:p w:rsidR="00BF5B66" w:rsidRDefault="00BF5B66">
          <w:pPr>
            <w:ind w:left="377"/>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911" w:type="dxa"/>
          <w:vAlign w:val="center"/>
        </w:tcPr>
        <w:p w:rsidR="00BF5B66" w:rsidRDefault="00BF5B66">
          <w:pPr>
            <w:ind w:right="-109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BF5B66" w:rsidRDefault="008E12A5">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margin">
            <wp:align>center</wp:align>
          </wp:positionH>
          <wp:positionV relativeFrom="paragraph">
            <wp:posOffset>-1211424</wp:posOffset>
          </wp:positionV>
          <wp:extent cx="7813085" cy="10170000"/>
          <wp:effectExtent l="0" t="0" r="0" b="3175"/>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BF5B66">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660" w:type="dxa"/>
      <w:tblInd w:w="3402" w:type="dxa"/>
      <w:tblLayout w:type="fixed"/>
      <w:tblLook w:val="0400" w:firstRow="0" w:lastRow="0" w:firstColumn="0" w:lastColumn="0" w:noHBand="0" w:noVBand="1"/>
    </w:tblPr>
    <w:tblGrid>
      <w:gridCol w:w="2977"/>
      <w:gridCol w:w="3683"/>
    </w:tblGrid>
    <w:tr w:rsidR="00BF5B66" w:rsidTr="008E12A5">
      <w:trPr>
        <w:trHeight w:val="227"/>
      </w:trPr>
      <w:tc>
        <w:tcPr>
          <w:tcW w:w="2977" w:type="dxa"/>
          <w:vAlign w:val="center"/>
        </w:tcPr>
        <w:p w:rsidR="00BF5B66" w:rsidRDefault="00BF5B66" w:rsidP="008E12A5">
          <w:pPr>
            <w:spacing w:after="100" w:afterAutospacing="1"/>
            <w:jc w:val="right"/>
            <w:rPr>
              <w:rFonts w:ascii="Palatino Linotype" w:eastAsia="Palatino Linotype" w:hAnsi="Palatino Linotype" w:cs="Palatino Linotype"/>
              <w:b/>
              <w:bCs/>
            </w:rPr>
          </w:pPr>
          <w:r>
            <w:rPr>
              <w:rFonts w:ascii="Calibri" w:eastAsia="Calibri" w:hAnsi="Calibri" w:cs="Calibri"/>
              <w:color w:val="000000"/>
            </w:rPr>
            <w:t xml:space="preserve">   </w:t>
          </w:r>
          <w:r w:rsidR="008E12A5">
            <w:rPr>
              <w:rFonts w:ascii="Calibri" w:eastAsia="Calibri" w:hAnsi="Calibri" w:cs="Calibri"/>
              <w:color w:val="000000"/>
            </w:rPr>
            <w:t xml:space="preserve">    </w:t>
          </w:r>
          <w:r>
            <w:rPr>
              <w:rFonts w:ascii="Palatino Linotype" w:eastAsia="Palatino Linotype" w:hAnsi="Palatino Linotype" w:cs="Palatino Linotype"/>
              <w:b/>
              <w:bCs/>
            </w:rPr>
            <w:t>Recurso de Revisión:</w:t>
          </w:r>
        </w:p>
      </w:tc>
      <w:tc>
        <w:tcPr>
          <w:tcW w:w="3683" w:type="dxa"/>
          <w:vAlign w:val="center"/>
        </w:tcPr>
        <w:p w:rsidR="00BF5B66" w:rsidRDefault="00BF5B66" w:rsidP="008E12A5">
          <w:pPr>
            <w:pBdr>
              <w:top w:val="nil"/>
              <w:left w:val="nil"/>
              <w:bottom w:val="nil"/>
              <w:right w:val="nil"/>
              <w:between w:val="nil"/>
            </w:pBdr>
            <w:tabs>
              <w:tab w:val="center" w:pos="4419"/>
              <w:tab w:val="right" w:pos="8838"/>
            </w:tabs>
            <w:spacing w:after="100" w:afterAutospacing="1"/>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03833/INFOEM/IP/RR/2026</w:t>
          </w:r>
        </w:p>
      </w:tc>
    </w:tr>
    <w:tr w:rsidR="00BF5B66" w:rsidTr="008E12A5">
      <w:trPr>
        <w:trHeight w:val="242"/>
      </w:trPr>
      <w:tc>
        <w:tcPr>
          <w:tcW w:w="2977" w:type="dxa"/>
          <w:vAlign w:val="center"/>
        </w:tcPr>
        <w:p w:rsidR="00BF5B66" w:rsidRDefault="00BF5B66" w:rsidP="008E12A5">
          <w:pPr>
            <w:spacing w:after="100" w:afterAutospacing="1"/>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rsidR="00BF5B66" w:rsidRDefault="00890BCB" w:rsidP="008E12A5">
          <w:pPr>
            <w:pBdr>
              <w:top w:val="nil"/>
              <w:left w:val="nil"/>
              <w:bottom w:val="nil"/>
              <w:right w:val="nil"/>
              <w:between w:val="nil"/>
            </w:pBdr>
            <w:tabs>
              <w:tab w:val="center" w:pos="4419"/>
              <w:tab w:val="right" w:pos="8838"/>
              <w:tab w:val="left" w:pos="521"/>
            </w:tabs>
            <w:spacing w:after="100" w:afterAutospacing="1"/>
            <w:rPr>
              <w:rFonts w:ascii="Palatino Linotype" w:eastAsia="Palatino Linotype" w:hAnsi="Palatino Linotype" w:cs="Palatino Linotype"/>
              <w:highlight w:val="green"/>
            </w:rPr>
          </w:pPr>
          <w:r>
            <w:rPr>
              <w:rFonts w:ascii="Palatino Linotype" w:eastAsia="Palatino Linotype" w:hAnsi="Palatino Linotype" w:cs="Palatino Linotype"/>
            </w:rPr>
            <w:t>XXXX</w:t>
          </w:r>
        </w:p>
      </w:tc>
    </w:tr>
    <w:tr w:rsidR="00BF5B66" w:rsidTr="008E12A5">
      <w:trPr>
        <w:trHeight w:val="342"/>
      </w:trPr>
      <w:tc>
        <w:tcPr>
          <w:tcW w:w="2977" w:type="dxa"/>
          <w:vAlign w:val="center"/>
        </w:tcPr>
        <w:p w:rsidR="00BF5B66" w:rsidRDefault="00BF5B66" w:rsidP="008E12A5">
          <w:pPr>
            <w:spacing w:after="100" w:afterAutospacing="1"/>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rsidR="00BF5B66" w:rsidRDefault="00BF5B66" w:rsidP="008E12A5">
          <w:pPr>
            <w:pBdr>
              <w:top w:val="nil"/>
              <w:left w:val="nil"/>
              <w:bottom w:val="nil"/>
              <w:right w:val="nil"/>
              <w:between w:val="nil"/>
            </w:pBdr>
            <w:tabs>
              <w:tab w:val="center" w:pos="4419"/>
              <w:tab w:val="right" w:pos="8838"/>
            </w:tabs>
            <w:spacing w:after="100" w:afterAutospacing="1"/>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Aculco</w:t>
          </w:r>
        </w:p>
      </w:tc>
    </w:tr>
    <w:tr w:rsidR="00BF5B66" w:rsidTr="008E12A5">
      <w:trPr>
        <w:trHeight w:val="342"/>
      </w:trPr>
      <w:tc>
        <w:tcPr>
          <w:tcW w:w="2977" w:type="dxa"/>
          <w:vAlign w:val="center"/>
        </w:tcPr>
        <w:p w:rsidR="00BF5B66" w:rsidRDefault="00BF5B66" w:rsidP="008E12A5">
          <w:pPr>
            <w:spacing w:after="100" w:afterAutospacing="1"/>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rsidR="00BF5B66" w:rsidRDefault="00BF5B66" w:rsidP="008E12A5">
          <w:pPr>
            <w:pBdr>
              <w:top w:val="nil"/>
              <w:left w:val="nil"/>
              <w:bottom w:val="nil"/>
              <w:right w:val="nil"/>
              <w:between w:val="nil"/>
            </w:pBdr>
            <w:tabs>
              <w:tab w:val="center" w:pos="4419"/>
              <w:tab w:val="right" w:pos="8838"/>
            </w:tabs>
            <w:spacing w:after="100" w:afterAutospacing="1"/>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BF5B66" w:rsidRDefault="008E12A5">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margin">
            <wp:align>center</wp:align>
          </wp:positionH>
          <wp:positionV relativeFrom="paragraph">
            <wp:posOffset>-1299797</wp:posOffset>
          </wp:positionV>
          <wp:extent cx="7813085" cy="10170000"/>
          <wp:effectExtent l="0" t="0" r="0" b="3175"/>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46BF2"/>
    <w:multiLevelType w:val="multilevel"/>
    <w:tmpl w:val="062ADF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041575"/>
    <w:multiLevelType w:val="multilevel"/>
    <w:tmpl w:val="A48C1596"/>
    <w:lvl w:ilvl="0">
      <w:start w:val="47"/>
      <w:numFmt w:val="decimal"/>
      <w:lvlText w:val="%1."/>
      <w:lvlJc w:val="left"/>
      <w:pPr>
        <w:ind w:left="36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B216A6"/>
    <w:multiLevelType w:val="multilevel"/>
    <w:tmpl w:val="7062FDF6"/>
    <w:lvl w:ilvl="0">
      <w:start w:val="53"/>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E6536C"/>
    <w:multiLevelType w:val="multilevel"/>
    <w:tmpl w:val="FA4A81C6"/>
    <w:lvl w:ilvl="0">
      <w:start w:val="58"/>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A4739E1"/>
    <w:multiLevelType w:val="multilevel"/>
    <w:tmpl w:val="603C7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F2595D"/>
    <w:multiLevelType w:val="multilevel"/>
    <w:tmpl w:val="1AA23C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2B767A"/>
    <w:multiLevelType w:val="multilevel"/>
    <w:tmpl w:val="080E794E"/>
    <w:lvl w:ilvl="0">
      <w:start w:val="8"/>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C53AD2"/>
    <w:multiLevelType w:val="multilevel"/>
    <w:tmpl w:val="7DD285FA"/>
    <w:lvl w:ilvl="0">
      <w:start w:val="1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482268"/>
    <w:multiLevelType w:val="multilevel"/>
    <w:tmpl w:val="348424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9B4401"/>
    <w:multiLevelType w:val="multilevel"/>
    <w:tmpl w:val="4AC6F014"/>
    <w:lvl w:ilvl="0">
      <w:start w:val="46"/>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C552D0"/>
    <w:multiLevelType w:val="multilevel"/>
    <w:tmpl w:val="62A605C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2" w15:restartNumberingAfterBreak="0">
    <w:nsid w:val="57E40B76"/>
    <w:multiLevelType w:val="multilevel"/>
    <w:tmpl w:val="A20660C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B15FDA"/>
    <w:multiLevelType w:val="multilevel"/>
    <w:tmpl w:val="F3C46776"/>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B610A6"/>
    <w:multiLevelType w:val="multilevel"/>
    <w:tmpl w:val="BF0A9CA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5" w15:restartNumberingAfterBreak="0">
    <w:nsid w:val="720A4444"/>
    <w:multiLevelType w:val="multilevel"/>
    <w:tmpl w:val="4B568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7EB3C5D"/>
    <w:multiLevelType w:val="multilevel"/>
    <w:tmpl w:val="0B96F9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4"/>
  </w:num>
  <w:num w:numId="2">
    <w:abstractNumId w:val="2"/>
  </w:num>
  <w:num w:numId="3">
    <w:abstractNumId w:val="8"/>
  </w:num>
  <w:num w:numId="4">
    <w:abstractNumId w:val="9"/>
  </w:num>
  <w:num w:numId="5">
    <w:abstractNumId w:val="10"/>
  </w:num>
  <w:num w:numId="6">
    <w:abstractNumId w:val="13"/>
  </w:num>
  <w:num w:numId="7">
    <w:abstractNumId w:val="11"/>
  </w:num>
  <w:num w:numId="8">
    <w:abstractNumId w:val="12"/>
  </w:num>
  <w:num w:numId="9">
    <w:abstractNumId w:val="5"/>
  </w:num>
  <w:num w:numId="10">
    <w:abstractNumId w:val="6"/>
  </w:num>
  <w:num w:numId="11">
    <w:abstractNumId w:val="15"/>
  </w:num>
  <w:num w:numId="12">
    <w:abstractNumId w:val="7"/>
  </w:num>
  <w:num w:numId="13">
    <w:abstractNumId w:val="0"/>
  </w:num>
  <w:num w:numId="14">
    <w:abstractNumId w:val="16"/>
  </w:num>
  <w:num w:numId="15">
    <w:abstractNumId w:val="3"/>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CB1"/>
    <w:rsid w:val="00036F82"/>
    <w:rsid w:val="0014156B"/>
    <w:rsid w:val="002E5C79"/>
    <w:rsid w:val="00323266"/>
    <w:rsid w:val="00337CB1"/>
    <w:rsid w:val="005A3869"/>
    <w:rsid w:val="00621630"/>
    <w:rsid w:val="00642A15"/>
    <w:rsid w:val="007D11F6"/>
    <w:rsid w:val="007E1A52"/>
    <w:rsid w:val="0088431D"/>
    <w:rsid w:val="00884BA5"/>
    <w:rsid w:val="00890BCB"/>
    <w:rsid w:val="00892437"/>
    <w:rsid w:val="008E12A5"/>
    <w:rsid w:val="00A702B1"/>
    <w:rsid w:val="00AB1A3A"/>
    <w:rsid w:val="00BF5B66"/>
    <w:rsid w:val="00C30F80"/>
    <w:rsid w:val="00D0097A"/>
    <w:rsid w:val="00E573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676221-FCE9-4823-8005-37ACB72FC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ind w:left="567" w:right="567" w:hanging="567"/>
      <w:jc w:val="both"/>
    </w:pPr>
    <w:rPr>
      <w:rFonts w:ascii="Palatino Linotype" w:eastAsia="Palatino Linotype" w:hAnsi="Palatino Linotype" w:cs="Palatino Linotype"/>
      <w:i/>
      <w:iCs/>
      <w:color w:val="000000"/>
      <w:sz w:val="22"/>
      <w:szCs w:val="2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2326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B1A3A"/>
  </w:style>
  <w:style w:type="paragraph" w:styleId="Encabezado">
    <w:name w:val="header"/>
    <w:basedOn w:val="Normal"/>
    <w:link w:val="EncabezadoCar"/>
    <w:uiPriority w:val="99"/>
    <w:unhideWhenUsed/>
    <w:rsid w:val="008E12A5"/>
    <w:pPr>
      <w:tabs>
        <w:tab w:val="center" w:pos="4419"/>
        <w:tab w:val="right" w:pos="8838"/>
      </w:tabs>
    </w:pPr>
  </w:style>
  <w:style w:type="character" w:customStyle="1" w:styleId="EncabezadoCar">
    <w:name w:val="Encabezado Car"/>
    <w:basedOn w:val="Fuentedeprrafopredeter"/>
    <w:link w:val="Encabezado"/>
    <w:uiPriority w:val="99"/>
    <w:rsid w:val="008E12A5"/>
  </w:style>
  <w:style w:type="paragraph" w:styleId="Piedepgina">
    <w:name w:val="footer"/>
    <w:basedOn w:val="Normal"/>
    <w:link w:val="PiedepginaCar"/>
    <w:uiPriority w:val="99"/>
    <w:unhideWhenUsed/>
    <w:rsid w:val="008E12A5"/>
    <w:pPr>
      <w:tabs>
        <w:tab w:val="center" w:pos="4419"/>
        <w:tab w:val="right" w:pos="8838"/>
      </w:tabs>
    </w:pPr>
  </w:style>
  <w:style w:type="character" w:customStyle="1" w:styleId="PiedepginaCar">
    <w:name w:val="Pie de página Car"/>
    <w:basedOn w:val="Fuentedeprrafopredeter"/>
    <w:link w:val="Piedepgina"/>
    <w:uiPriority w:val="99"/>
    <w:rsid w:val="008E1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ulco.edomex.gob.mx/sites/aculco.edomex.gob.mx/files/files/Anteproyecto-del-Manual-de-Organizacion-de-Seguridad-Publica-Municipal.pdf"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aculco.edomex.gob.mx/sites/aculco.edomex.gob.mx/files/files/Anteproyecto-del-Reglamento-Interno-de-la-Direccion-de-Seguridad-Publica.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h/w5p9InXx8jPYi00/Xve8CnZQ==">CgMxLjAyCGguZ2pkZ3hzMgloLjFmb2I5dGUyCWguM3pueXNoNzIJaC4yZXQ5MnAwMghoLnR5amN3dDIJaC4zZHk2dmttMgloLjF0M2g1c2YyCWguNGQzNG9nODIJaC4yczhleW8xMgloLjE3ZHA4dnUyCWguMjZpbjFyZzIJaC4xa3N2NHV2MghoLmxueGJ6OTIOaC5wamloOWV0ZzVpMGgyCWguMmp4c3hxaDgAciExOGRDN2dQN0lzMU52ZDJiUkgxWkR2bzEyQXVWNHF2ZV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41872C-C61E-4692-B955-280FE8311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61</Pages>
  <Words>14876</Words>
  <Characters>81824</Characters>
  <Application>Microsoft Office Word</Application>
  <DocSecurity>0</DocSecurity>
  <Lines>681</Lines>
  <Paragraphs>193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9</cp:revision>
  <cp:lastPrinted>2026-07-03T16:04:00Z</cp:lastPrinted>
  <dcterms:created xsi:type="dcterms:W3CDTF">2026-06-29T18:05:00Z</dcterms:created>
  <dcterms:modified xsi:type="dcterms:W3CDTF">2026-07-08T18:33:00Z</dcterms:modified>
</cp:coreProperties>
</file>