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A702E"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1832A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veintiuno de enero de dos mil veintiséis. </w:t>
      </w:r>
    </w:p>
    <w:p w14:paraId="23EE8747" w14:textId="78D744AD" w:rsidR="0070461B" w:rsidRPr="001832AD" w:rsidRDefault="0012708D">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1832AD">
        <w:rPr>
          <w:rFonts w:ascii="Palatino Linotype" w:eastAsia="Palatino Linotype" w:hAnsi="Palatino Linotype" w:cs="Palatino Linotype"/>
          <w:b/>
          <w:bCs/>
          <w:sz w:val="22"/>
          <w:szCs w:val="22"/>
        </w:rPr>
        <w:t>VISTO</w:t>
      </w:r>
      <w:r w:rsidRPr="001832AD">
        <w:rPr>
          <w:rFonts w:ascii="Palatino Linotype" w:eastAsia="Palatino Linotype" w:hAnsi="Palatino Linotype" w:cs="Palatino Linotype"/>
          <w:sz w:val="22"/>
          <w:szCs w:val="22"/>
        </w:rPr>
        <w:t xml:space="preserve"> el expediente formado con motivo del recurso de revisión </w:t>
      </w:r>
      <w:r w:rsidRPr="001832AD">
        <w:rPr>
          <w:rFonts w:ascii="Palatino Linotype" w:eastAsia="Palatino Linotype" w:hAnsi="Palatino Linotype" w:cs="Palatino Linotype"/>
          <w:b/>
          <w:bCs/>
          <w:sz w:val="22"/>
          <w:szCs w:val="22"/>
        </w:rPr>
        <w:t>09959/INFOEM/IP/RR/2025</w:t>
      </w:r>
      <w:r w:rsidRPr="001832AD">
        <w:rPr>
          <w:rFonts w:ascii="Palatino Linotype" w:eastAsia="Palatino Linotype" w:hAnsi="Palatino Linotype" w:cs="Palatino Linotype"/>
          <w:sz w:val="22"/>
          <w:szCs w:val="22"/>
        </w:rPr>
        <w:t xml:space="preserve">, interpuesto </w:t>
      </w:r>
      <w:r w:rsidR="00354208" w:rsidRPr="00354208">
        <w:rPr>
          <w:rFonts w:ascii="Palatino Linotype" w:eastAsia="Palatino Linotype" w:hAnsi="Palatino Linotype" w:cs="Palatino Linotype"/>
          <w:b/>
          <w:bCs/>
          <w:sz w:val="22"/>
          <w:szCs w:val="22"/>
        </w:rPr>
        <w:t>XXXXX XXXXXX XXXXX XXXX</w:t>
      </w:r>
      <w:bookmarkStart w:id="2" w:name="_GoBack"/>
      <w:bookmarkEnd w:id="2"/>
      <w:r w:rsidRPr="001832AD">
        <w:rPr>
          <w:rFonts w:ascii="Palatino Linotype" w:eastAsia="Palatino Linotype" w:hAnsi="Palatino Linotype" w:cs="Palatino Linotype"/>
          <w:b/>
          <w:bCs/>
          <w:sz w:val="22"/>
          <w:szCs w:val="22"/>
        </w:rPr>
        <w:t>,</w:t>
      </w:r>
      <w:r w:rsidRPr="001832AD">
        <w:rPr>
          <w:rFonts w:ascii="Palatino Linotype" w:eastAsia="Palatino Linotype" w:hAnsi="Palatino Linotype" w:cs="Palatino Linotype"/>
          <w:sz w:val="22"/>
          <w:szCs w:val="22"/>
        </w:rPr>
        <w:t xml:space="preserve"> en lo sucesivo</w:t>
      </w:r>
      <w:r w:rsidRPr="001832AD">
        <w:rPr>
          <w:rFonts w:ascii="Palatino Linotype" w:eastAsia="Palatino Linotype" w:hAnsi="Palatino Linotype" w:cs="Palatino Linotype"/>
          <w:b/>
          <w:bCs/>
          <w:sz w:val="22"/>
          <w:szCs w:val="22"/>
        </w:rPr>
        <w:t xml:space="preserve"> </w:t>
      </w:r>
      <w:r w:rsidRPr="001832AD">
        <w:rPr>
          <w:rFonts w:ascii="Palatino Linotype" w:eastAsia="Palatino Linotype" w:hAnsi="Palatino Linotype" w:cs="Palatino Linotype"/>
          <w:sz w:val="22"/>
          <w:szCs w:val="22"/>
        </w:rPr>
        <w:t xml:space="preserve">la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xml:space="preserve"> en contra de la respuesta a la solicitud de información con número de folio</w:t>
      </w:r>
      <w:r w:rsidRPr="001832AD">
        <w:t xml:space="preserve"> </w:t>
      </w:r>
      <w:r w:rsidRPr="001832AD">
        <w:rPr>
          <w:rFonts w:ascii="Palatino Linotype" w:eastAsia="Palatino Linotype" w:hAnsi="Palatino Linotype" w:cs="Palatino Linotype"/>
          <w:b/>
          <w:bCs/>
          <w:sz w:val="22"/>
          <w:szCs w:val="22"/>
        </w:rPr>
        <w:t xml:space="preserve">00592/SF/IP/2025, </w:t>
      </w:r>
      <w:r w:rsidRPr="001832AD">
        <w:rPr>
          <w:rFonts w:ascii="Palatino Linotype" w:eastAsia="Palatino Linotype" w:hAnsi="Palatino Linotype" w:cs="Palatino Linotype"/>
          <w:sz w:val="22"/>
          <w:szCs w:val="22"/>
        </w:rPr>
        <w:t xml:space="preserve">por parte del </w:t>
      </w:r>
      <w:r w:rsidRPr="001832AD">
        <w:rPr>
          <w:rFonts w:ascii="Palatino Linotype" w:eastAsia="Palatino Linotype" w:hAnsi="Palatino Linotype" w:cs="Palatino Linotype"/>
          <w:b/>
          <w:bCs/>
          <w:sz w:val="22"/>
          <w:szCs w:val="22"/>
        </w:rPr>
        <w:t xml:space="preserve">Secretaría de Finanzas, </w:t>
      </w:r>
      <w:r w:rsidRPr="001832AD">
        <w:rPr>
          <w:rFonts w:ascii="Palatino Linotype" w:eastAsia="Palatino Linotype" w:hAnsi="Palatino Linotype" w:cs="Palatino Linotype"/>
          <w:sz w:val="22"/>
          <w:szCs w:val="22"/>
        </w:rPr>
        <w:t xml:space="preserve">en lo sucesivo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 xml:space="preserve">se procede a dictar la presente resolución con base en los siguientes: </w:t>
      </w:r>
    </w:p>
    <w:p w14:paraId="10C87E4C" w14:textId="77777777" w:rsidR="0070461B" w:rsidRPr="001832AD" w:rsidRDefault="0012708D">
      <w:pPr>
        <w:spacing w:before="240" w:after="240" w:line="360" w:lineRule="auto"/>
        <w:jc w:val="center"/>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b/>
          <w:bCs/>
          <w:sz w:val="22"/>
          <w:szCs w:val="22"/>
        </w:rPr>
        <w:t>I. A N T E C E D E N T E S</w:t>
      </w:r>
    </w:p>
    <w:p w14:paraId="76A1D25E"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1832AD">
        <w:rPr>
          <w:rFonts w:ascii="Palatino Linotype" w:eastAsia="Palatino Linotype" w:hAnsi="Palatino Linotype" w:cs="Palatino Linotype"/>
          <w:b/>
          <w:bCs/>
          <w:sz w:val="22"/>
          <w:szCs w:val="22"/>
        </w:rPr>
        <w:t>1. Solicitud de acceso a la información.</w:t>
      </w:r>
      <w:r w:rsidRPr="001832AD">
        <w:rPr>
          <w:rFonts w:ascii="Palatino Linotype" w:eastAsia="Palatino Linotype" w:hAnsi="Palatino Linotype" w:cs="Palatino Linotype"/>
          <w:sz w:val="22"/>
          <w:szCs w:val="22"/>
        </w:rPr>
        <w:t xml:space="preserve"> El </w:t>
      </w:r>
      <w:r w:rsidRPr="001832AD">
        <w:rPr>
          <w:rFonts w:ascii="Palatino Linotype" w:eastAsia="Palatino Linotype" w:hAnsi="Palatino Linotype" w:cs="Palatino Linotype"/>
          <w:b/>
          <w:bCs/>
          <w:sz w:val="22"/>
          <w:szCs w:val="22"/>
        </w:rPr>
        <w:t>diecisiete de julio dos mil veinticinco,</w:t>
      </w:r>
      <w:r w:rsidRPr="001832AD">
        <w:rPr>
          <w:rFonts w:ascii="Palatino Linotype" w:eastAsia="Palatino Linotype" w:hAnsi="Palatino Linotype" w:cs="Palatino Linotype"/>
          <w:sz w:val="22"/>
          <w:szCs w:val="22"/>
        </w:rPr>
        <w:t xml:space="preserve"> la parte </w:t>
      </w:r>
      <w:r w:rsidRPr="001832AD">
        <w:rPr>
          <w:rFonts w:ascii="Palatino Linotype" w:eastAsia="Palatino Linotype" w:hAnsi="Palatino Linotype" w:cs="Palatino Linotype"/>
          <w:b/>
          <w:bCs/>
          <w:sz w:val="22"/>
          <w:szCs w:val="22"/>
        </w:rPr>
        <w:t xml:space="preserve">Recurrente </w:t>
      </w:r>
      <w:r w:rsidRPr="001832AD">
        <w:rPr>
          <w:rFonts w:ascii="Palatino Linotype" w:eastAsia="Palatino Linotype" w:hAnsi="Palatino Linotype" w:cs="Palatino Linotype"/>
          <w:sz w:val="22"/>
          <w:szCs w:val="22"/>
        </w:rPr>
        <w:t xml:space="preserve">presentó la solicitud de acceso a la información pública ante el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 xml:space="preserve">, a través del Sistema de Acceso a la Información Mexiquense, en lo subsecuente el </w:t>
      </w:r>
      <w:r w:rsidRPr="001832AD">
        <w:rPr>
          <w:rFonts w:ascii="Palatino Linotype" w:eastAsia="Palatino Linotype" w:hAnsi="Palatino Linotype" w:cs="Palatino Linotype"/>
          <w:b/>
          <w:bCs/>
          <w:sz w:val="22"/>
          <w:szCs w:val="22"/>
        </w:rPr>
        <w:t>SAIMEX,</w:t>
      </w:r>
      <w:r w:rsidRPr="001832AD">
        <w:rPr>
          <w:rFonts w:ascii="Palatino Linotype" w:eastAsia="Palatino Linotype" w:hAnsi="Palatino Linotype" w:cs="Palatino Linotype"/>
          <w:sz w:val="22"/>
          <w:szCs w:val="22"/>
        </w:rPr>
        <w:t xml:space="preserve"> mediante la cual requirió lo siguiente:</w:t>
      </w:r>
    </w:p>
    <w:p w14:paraId="39105929" w14:textId="77777777" w:rsidR="0070461B" w:rsidRPr="001832AD" w:rsidRDefault="0012708D">
      <w:pPr>
        <w:tabs>
          <w:tab w:val="left" w:pos="4678"/>
        </w:tabs>
        <w:spacing w:before="120" w:after="120"/>
        <w:ind w:left="851" w:right="902"/>
        <w:jc w:val="both"/>
        <w:rPr>
          <w:rFonts w:ascii="Palatino Linotype" w:eastAsia="Palatino Linotype" w:hAnsi="Palatino Linotype" w:cs="Palatino Linotype"/>
          <w:b/>
          <w:bCs/>
          <w:i/>
          <w:iCs/>
          <w:sz w:val="22"/>
          <w:szCs w:val="22"/>
        </w:rPr>
      </w:pPr>
      <w:r w:rsidRPr="001832AD">
        <w:rPr>
          <w:rFonts w:ascii="Palatino Linotype" w:eastAsia="Palatino Linotype" w:hAnsi="Palatino Linotype" w:cs="Palatino Linotype"/>
          <w:i/>
          <w:iCs/>
          <w:sz w:val="22"/>
          <w:szCs w:val="22"/>
        </w:rPr>
        <w:t xml:space="preserve"> “SOLICITO EN COPIA SIMPLE DIGITALIZADA, RELACION DE EMPRESAS QUE RENTARON VEHICULOS AL GOBIERNO DEL ESTADO DE MEXICO DURA NTE 2024 QUE SE MUESTREN LOS MONTOS PAGADOS</w:t>
      </w:r>
      <w:r w:rsidRPr="001832AD">
        <w:rPr>
          <w:rFonts w:ascii="Palatino Linotype" w:eastAsia="Palatino Linotype" w:hAnsi="Palatino Linotype" w:cs="Palatino Linotype"/>
          <w:b/>
          <w:bCs/>
          <w:i/>
          <w:iCs/>
          <w:sz w:val="22"/>
          <w:szCs w:val="22"/>
        </w:rPr>
        <w:t>”</w:t>
      </w:r>
      <w:r w:rsidRPr="001832AD">
        <w:rPr>
          <w:rFonts w:ascii="Palatino Linotype" w:eastAsia="Palatino Linotype" w:hAnsi="Palatino Linotype" w:cs="Palatino Linotype"/>
          <w:i/>
          <w:iCs/>
          <w:sz w:val="22"/>
          <w:szCs w:val="22"/>
        </w:rPr>
        <w:t xml:space="preserve"> (sic) </w:t>
      </w:r>
    </w:p>
    <w:p w14:paraId="43393ADC"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1832AD">
        <w:rPr>
          <w:rFonts w:ascii="Palatino Linotype" w:eastAsia="Palatino Linotype" w:hAnsi="Palatino Linotype" w:cs="Palatino Linotype"/>
          <w:b/>
          <w:bCs/>
          <w:sz w:val="22"/>
          <w:szCs w:val="22"/>
        </w:rPr>
        <w:t>Modalidad de Entrega:</w:t>
      </w:r>
      <w:r w:rsidRPr="001832AD">
        <w:rPr>
          <w:rFonts w:ascii="Palatino Linotype" w:eastAsia="Palatino Linotype" w:hAnsi="Palatino Linotype" w:cs="Palatino Linotype"/>
          <w:sz w:val="22"/>
          <w:szCs w:val="22"/>
        </w:rPr>
        <w:t xml:space="preserve"> a través del</w:t>
      </w:r>
      <w:r w:rsidRPr="001832AD">
        <w:rPr>
          <w:rFonts w:ascii="Palatino Linotype" w:eastAsia="Palatino Linotype" w:hAnsi="Palatino Linotype" w:cs="Palatino Linotype"/>
          <w:b/>
          <w:bCs/>
          <w:sz w:val="22"/>
          <w:szCs w:val="22"/>
        </w:rPr>
        <w:t xml:space="preserve"> SAIMEX.</w:t>
      </w:r>
    </w:p>
    <w:p w14:paraId="0593CFE9"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2.</w:t>
      </w:r>
      <w:r w:rsidRPr="001832AD">
        <w:t xml:space="preserve"> </w:t>
      </w:r>
      <w:hyperlink r:id="rId8">
        <w:r w:rsidRPr="001832AD">
          <w:rPr>
            <w:rFonts w:ascii="Palatino Linotype" w:eastAsia="Palatino Linotype" w:hAnsi="Palatino Linotype" w:cs="Palatino Linotype"/>
            <w:b/>
            <w:bCs/>
            <w:sz w:val="22"/>
            <w:szCs w:val="22"/>
          </w:rPr>
          <w:t>Información que Puede estar en Poder de Otro Sujeto Obligado</w:t>
        </w:r>
      </w:hyperlink>
      <w:r w:rsidRPr="001832AD">
        <w:rPr>
          <w:rFonts w:ascii="Palatino Linotype" w:eastAsia="Palatino Linotype" w:hAnsi="Palatino Linotype" w:cs="Palatino Linotype"/>
          <w:b/>
          <w:bCs/>
          <w:sz w:val="22"/>
          <w:szCs w:val="22"/>
        </w:rPr>
        <w:t xml:space="preserve">. </w:t>
      </w:r>
      <w:r w:rsidRPr="001832AD">
        <w:rPr>
          <w:rFonts w:ascii="Palatino Linotype" w:eastAsia="Palatino Linotype" w:hAnsi="Palatino Linotype" w:cs="Palatino Linotype"/>
          <w:sz w:val="22"/>
          <w:szCs w:val="22"/>
        </w:rPr>
        <w:t xml:space="preserve">El </w:t>
      </w:r>
      <w:r w:rsidRPr="001832AD">
        <w:rPr>
          <w:rFonts w:ascii="Palatino Linotype" w:eastAsia="Palatino Linotype" w:hAnsi="Palatino Linotype" w:cs="Palatino Linotype"/>
          <w:b/>
          <w:bCs/>
          <w:sz w:val="22"/>
          <w:szCs w:val="22"/>
        </w:rPr>
        <w:t>dieciocho de julio de dos mil veinticinco,</w:t>
      </w:r>
      <w:r w:rsidRPr="001832AD">
        <w:rPr>
          <w:rFonts w:ascii="Palatino Linotype" w:eastAsia="Palatino Linotype" w:hAnsi="Palatino Linotype" w:cs="Palatino Linotype"/>
          <w:sz w:val="22"/>
          <w:szCs w:val="22"/>
        </w:rPr>
        <w:t xml:space="preserve">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129BC3C9" w14:textId="77777777" w:rsidR="0070461B" w:rsidRPr="001832AD" w:rsidRDefault="0012708D">
      <w:pPr>
        <w:spacing w:before="240" w:after="24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“…Sobre el particular, sírvase encontrar en archivo adjunto copia del Acuerdo de Incompetencia de fecha 18 de julio de 2025, mediante el cual se detalla incompetencia de este Sujeto Obligado....” (sic)</w:t>
      </w:r>
    </w:p>
    <w:p w14:paraId="7CB2BAF3" w14:textId="77777777" w:rsidR="0070461B" w:rsidRPr="001832AD" w:rsidRDefault="0012708D">
      <w:pPr>
        <w:spacing w:before="240" w:after="240" w:line="360" w:lineRule="auto"/>
        <w:ind w:right="49"/>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lastRenderedPageBreak/>
        <w:t xml:space="preserve">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adjuntó los siguientes documentos:</w:t>
      </w:r>
    </w:p>
    <w:p w14:paraId="6FBB00AC" w14:textId="77777777" w:rsidR="0070461B" w:rsidRPr="001832AD" w:rsidRDefault="0012708D">
      <w:pPr>
        <w:numPr>
          <w:ilvl w:val="0"/>
          <w:numId w:val="1"/>
        </w:numPr>
        <w:pBdr>
          <w:top w:val="nil"/>
          <w:left w:val="nil"/>
          <w:bottom w:val="nil"/>
          <w:right w:val="nil"/>
          <w:between w:val="nil"/>
        </w:pBdr>
        <w:spacing w:before="240" w:line="276" w:lineRule="auto"/>
        <w:ind w:right="49"/>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Acuerdo de incompetencia del 18 de julio de 2025, a través del cual la Jefe de la UIPPE y Titular de la Unidad de Transparencia, informa que la información requerida no es generada por la Secretaría de Finanzas y que la competente puede ser la Oficialía Mayor, pues mediante Acuerdo por el que se transfieren los recursos de la Subsecretaría de Administración de la Secretaría de Finanzas a la Oficialía Mayor, publicado el 27 de septiembre de 2023 en el periódico oficial Gaceta del Gobierno del Estado de México, se transfirieron a la Oficialía Mayor los recursos humanos, materiales, presupuestales y financieros de la Dirección General de Recursos Materiales, la Dirección General de Personal, la Dirección General de Innovación, que anteriormente formaban parte de la Secretaría de Finanzas.</w:t>
      </w:r>
    </w:p>
    <w:p w14:paraId="7415C52F" w14:textId="77777777" w:rsidR="0070461B" w:rsidRPr="001832AD" w:rsidRDefault="0070461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23AA246" w14:textId="77777777" w:rsidR="0070461B" w:rsidRPr="001832AD" w:rsidRDefault="0012708D">
      <w:pPr>
        <w:pBdr>
          <w:top w:val="nil"/>
          <w:left w:val="nil"/>
          <w:bottom w:val="nil"/>
          <w:right w:val="nil"/>
          <w:between w:val="nil"/>
        </w:pBdr>
        <w:spacing w:after="240" w:line="276" w:lineRule="auto"/>
        <w:ind w:left="360" w:right="49"/>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Asimismo, que de conformidad con el artículo 11 fracción I y XI del Reglamento Interior de la Oficialía Mayor, publicado el 20 de diciembre de 2023 en el periódico oficial Gaceta del Gobierno del Estado de México, y de los artículos 58 y 59 fracción XII de la Ley Orgánica de la Administración Pública del Estado de México, a la Oficialía Mayor por conducto de la Dirección General de Recursos Materiales le corresponde lo relativo a la planeación, programación, presupuestación y ejecución de los procedimientos de contratación y arrendamiento; y, por ello, la información es competencia de la Oficialía Mayor.</w:t>
      </w:r>
    </w:p>
    <w:p w14:paraId="1E701732" w14:textId="77777777" w:rsidR="0070461B" w:rsidRPr="001832AD" w:rsidRDefault="0012708D">
      <w:pPr>
        <w:spacing w:before="240" w:after="240" w:line="360" w:lineRule="auto"/>
        <w:ind w:right="49"/>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 xml:space="preserve">3. Interposición del recurso de revisión. </w:t>
      </w:r>
      <w:r w:rsidRPr="001832AD">
        <w:rPr>
          <w:rFonts w:ascii="Palatino Linotype" w:eastAsia="Palatino Linotype" w:hAnsi="Palatino Linotype" w:cs="Palatino Linotype"/>
          <w:sz w:val="22"/>
          <w:szCs w:val="22"/>
        </w:rPr>
        <w:t xml:space="preserve">Inconforme con los términos de la respuesta emitida por parte del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 xml:space="preserve">, el </w:t>
      </w:r>
      <w:r w:rsidRPr="001832AD">
        <w:rPr>
          <w:rFonts w:ascii="Palatino Linotype" w:eastAsia="Palatino Linotype" w:hAnsi="Palatino Linotype" w:cs="Palatino Linotype"/>
          <w:b/>
          <w:bCs/>
          <w:sz w:val="22"/>
          <w:szCs w:val="22"/>
        </w:rPr>
        <w:t>veintidós de agosto de dos mil veinticinco,</w:t>
      </w:r>
      <w:r w:rsidRPr="001832AD">
        <w:rPr>
          <w:rFonts w:ascii="Palatino Linotype" w:eastAsia="Palatino Linotype" w:hAnsi="Palatino Linotype" w:cs="Palatino Linotype"/>
          <w:sz w:val="22"/>
          <w:szCs w:val="22"/>
        </w:rPr>
        <w:t xml:space="preserve"> la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xml:space="preserve"> interpuso el recurso de revisión a través de </w:t>
      </w:r>
      <w:r w:rsidRPr="001832AD">
        <w:rPr>
          <w:rFonts w:ascii="Palatino Linotype" w:eastAsia="Palatino Linotype" w:hAnsi="Palatino Linotype" w:cs="Palatino Linotype"/>
          <w:b/>
          <w:bCs/>
          <w:sz w:val="22"/>
          <w:szCs w:val="22"/>
        </w:rPr>
        <w:t xml:space="preserve">SAIMEX, </w:t>
      </w:r>
      <w:r w:rsidRPr="001832AD">
        <w:rPr>
          <w:rFonts w:ascii="Palatino Linotype" w:eastAsia="Palatino Linotype" w:hAnsi="Palatino Linotype" w:cs="Palatino Linotype"/>
          <w:sz w:val="22"/>
          <w:szCs w:val="22"/>
        </w:rPr>
        <w:t>en donde se manifestó de la siguiente manera:</w:t>
      </w:r>
    </w:p>
    <w:p w14:paraId="4D36A2BF" w14:textId="77777777" w:rsidR="0070461B" w:rsidRPr="001832AD" w:rsidRDefault="0012708D">
      <w:pPr>
        <w:spacing w:before="240" w:after="240" w:line="360" w:lineRule="auto"/>
        <w:ind w:right="49"/>
        <w:jc w:val="both"/>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b/>
          <w:bCs/>
          <w:sz w:val="22"/>
          <w:szCs w:val="22"/>
        </w:rPr>
        <w:t xml:space="preserve">Acto impugnado: </w:t>
      </w:r>
    </w:p>
    <w:p w14:paraId="440E521A" w14:textId="77777777" w:rsidR="0070461B" w:rsidRPr="001832AD" w:rsidRDefault="0012708D">
      <w:pPr>
        <w:tabs>
          <w:tab w:val="left" w:pos="2745"/>
        </w:tabs>
        <w:spacing w:before="240" w:after="240"/>
        <w:ind w:left="851" w:right="900"/>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"SOLICITO EN COPIA SIMPLE DIGITALIZADA, RELACION DE EMPRESAS QUE RENTARON VEHICULOS AL GOBIERNO DEL ESTADO DE MEXICO DURA NTE 2024 QUE SE MUESTREN LOS MONTOS PAGADOS " (sic)</w:t>
      </w:r>
    </w:p>
    <w:p w14:paraId="74708BAE" w14:textId="77777777" w:rsidR="0070461B" w:rsidRPr="001832AD" w:rsidRDefault="0012708D">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1832AD">
        <w:rPr>
          <w:rFonts w:ascii="Palatino Linotype" w:eastAsia="Palatino Linotype" w:hAnsi="Palatino Linotype" w:cs="Palatino Linotype"/>
          <w:b/>
          <w:bCs/>
          <w:sz w:val="22"/>
          <w:szCs w:val="22"/>
        </w:rPr>
        <w:t>Y, Razones o motivos de inconformidad</w:t>
      </w:r>
      <w:r w:rsidRPr="001832AD">
        <w:rPr>
          <w:rFonts w:ascii="Palatino Linotype" w:eastAsia="Palatino Linotype" w:hAnsi="Palatino Linotype" w:cs="Palatino Linotype"/>
          <w:sz w:val="22"/>
          <w:szCs w:val="22"/>
        </w:rPr>
        <w:t>:</w:t>
      </w:r>
    </w:p>
    <w:p w14:paraId="1CAB830E" w14:textId="77777777" w:rsidR="0070461B" w:rsidRPr="001832AD" w:rsidRDefault="0012708D">
      <w:pPr>
        <w:tabs>
          <w:tab w:val="left" w:pos="2745"/>
        </w:tabs>
        <w:spacing w:before="240" w:after="240"/>
        <w:ind w:left="851" w:right="900"/>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lastRenderedPageBreak/>
        <w:t>“NO DIO RESPUESTA EN PLAZOS ESTABLECIDOS” (sic)</w:t>
      </w:r>
    </w:p>
    <w:p w14:paraId="7ACF78D7"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 xml:space="preserve">4. Turno. </w:t>
      </w:r>
      <w:r w:rsidRPr="001832A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832AD">
        <w:rPr>
          <w:rFonts w:ascii="Palatino Linotype" w:eastAsia="Palatino Linotype" w:hAnsi="Palatino Linotype" w:cs="Palatino Linotype"/>
          <w:b/>
          <w:bCs/>
          <w:sz w:val="22"/>
          <w:szCs w:val="22"/>
        </w:rPr>
        <w:t xml:space="preserve">Guadalupe Ramírez Peña, </w:t>
      </w:r>
      <w:r w:rsidRPr="001832AD">
        <w:rPr>
          <w:rFonts w:ascii="Palatino Linotype" w:eastAsia="Palatino Linotype" w:hAnsi="Palatino Linotype" w:cs="Palatino Linotype"/>
          <w:sz w:val="22"/>
          <w:szCs w:val="22"/>
        </w:rPr>
        <w:t xml:space="preserve">a efecto de que analizara sobre su admisión o su </w:t>
      </w:r>
      <w:proofErr w:type="spellStart"/>
      <w:r w:rsidRPr="001832AD">
        <w:rPr>
          <w:rFonts w:ascii="Palatino Linotype" w:eastAsia="Palatino Linotype" w:hAnsi="Palatino Linotype" w:cs="Palatino Linotype"/>
          <w:sz w:val="22"/>
          <w:szCs w:val="22"/>
        </w:rPr>
        <w:t>desechamiento</w:t>
      </w:r>
      <w:proofErr w:type="spellEnd"/>
      <w:r w:rsidRPr="001832AD">
        <w:rPr>
          <w:rFonts w:ascii="Palatino Linotype" w:eastAsia="Palatino Linotype" w:hAnsi="Palatino Linotype" w:cs="Palatino Linotype"/>
          <w:sz w:val="22"/>
          <w:szCs w:val="22"/>
        </w:rPr>
        <w:t>.</w:t>
      </w:r>
    </w:p>
    <w:p w14:paraId="045BB843" w14:textId="77777777" w:rsidR="0070461B" w:rsidRPr="001832AD" w:rsidRDefault="0012708D">
      <w:pPr>
        <w:spacing w:before="240" w:after="240" w:line="360" w:lineRule="auto"/>
        <w:jc w:val="both"/>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b/>
          <w:bCs/>
          <w:sz w:val="22"/>
          <w:szCs w:val="22"/>
        </w:rPr>
        <w:t>5. Admisión del Recurso de revisión.</w:t>
      </w:r>
      <w:r w:rsidRPr="001832AD">
        <w:rPr>
          <w:rFonts w:ascii="Palatino Linotype" w:eastAsia="Palatino Linotype" w:hAnsi="Palatino Linotype" w:cs="Palatino Linotype"/>
          <w:sz w:val="22"/>
          <w:szCs w:val="22"/>
        </w:rPr>
        <w:t xml:space="preserve"> El</w:t>
      </w:r>
      <w:r w:rsidRPr="001832AD">
        <w:rPr>
          <w:rFonts w:ascii="Palatino Linotype" w:eastAsia="Palatino Linotype" w:hAnsi="Palatino Linotype" w:cs="Palatino Linotype"/>
          <w:b/>
          <w:bCs/>
          <w:sz w:val="22"/>
          <w:szCs w:val="22"/>
        </w:rPr>
        <w:t xml:space="preserve"> veintisiete de agosto de dos mil veinticinco, </w:t>
      </w:r>
      <w:r w:rsidRPr="001832A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presentara su informe justificado.</w:t>
      </w:r>
    </w:p>
    <w:p w14:paraId="4DB88209"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1832AD">
        <w:rPr>
          <w:rFonts w:ascii="Palatino Linotype" w:eastAsia="Palatino Linotype" w:hAnsi="Palatino Linotype" w:cs="Palatino Linotype"/>
          <w:b/>
          <w:bCs/>
          <w:sz w:val="22"/>
          <w:szCs w:val="22"/>
        </w:rPr>
        <w:t>6. Manifestaciones</w:t>
      </w:r>
      <w:r w:rsidRPr="001832AD">
        <w:rPr>
          <w:rFonts w:ascii="Palatino Linotype" w:eastAsia="Palatino Linotype" w:hAnsi="Palatino Linotype" w:cs="Palatino Linotype"/>
          <w:sz w:val="22"/>
          <w:szCs w:val="22"/>
        </w:rPr>
        <w:t xml:space="preserve">. El </w:t>
      </w:r>
      <w:r w:rsidRPr="001832AD">
        <w:rPr>
          <w:rFonts w:ascii="Palatino Linotype" w:eastAsia="Palatino Linotype" w:hAnsi="Palatino Linotype" w:cs="Palatino Linotype"/>
          <w:b/>
          <w:bCs/>
          <w:sz w:val="22"/>
          <w:szCs w:val="22"/>
        </w:rPr>
        <w:t>dos de septiembre de dos mil veinticinco</w:t>
      </w:r>
      <w:r w:rsidRPr="001832AD">
        <w:rPr>
          <w:rFonts w:ascii="Palatino Linotype" w:eastAsia="Palatino Linotype" w:hAnsi="Palatino Linotype" w:cs="Palatino Linotype"/>
          <w:sz w:val="22"/>
          <w:szCs w:val="22"/>
        </w:rPr>
        <w:t xml:space="preserve">, el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 xml:space="preserve"> remitió, a través del SAIMEX, su informe justificado, a través del archivo electrónico “</w:t>
      </w:r>
      <w:r w:rsidRPr="001832AD">
        <w:rPr>
          <w:rFonts w:ascii="Palatino Linotype" w:eastAsia="Palatino Linotype" w:hAnsi="Palatino Linotype" w:cs="Palatino Linotype"/>
          <w:b/>
          <w:bCs/>
          <w:i/>
          <w:iCs/>
          <w:sz w:val="22"/>
          <w:szCs w:val="22"/>
        </w:rPr>
        <w:t>RR 09959-2025 INFORME JUSTIFICADO.pdf</w:t>
      </w:r>
      <w:r w:rsidRPr="001832AD">
        <w:rPr>
          <w:rFonts w:ascii="Palatino Linotype" w:eastAsia="Palatino Linotype" w:hAnsi="Palatino Linotype" w:cs="Palatino Linotype"/>
          <w:sz w:val="22"/>
          <w:szCs w:val="22"/>
        </w:rPr>
        <w:t>” donde ratificó en lo sustancial la respuesta emitida en primera instancia.</w:t>
      </w:r>
    </w:p>
    <w:p w14:paraId="3A6166BE"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Una vez analizada la información, se hizo del conocimiento de la persona solicitante a efecto de que manifestara lo que a su derecho estimara conveniente, siendo omisa en ejercer dicha prerrogativa. </w:t>
      </w:r>
    </w:p>
    <w:p w14:paraId="45AF47D6" w14:textId="77777777" w:rsidR="0070461B" w:rsidRPr="001832AD" w:rsidRDefault="001270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 xml:space="preserve">7. Ampliación del término para resolver. </w:t>
      </w:r>
      <w:r w:rsidRPr="001832AD">
        <w:rPr>
          <w:rFonts w:ascii="Palatino Linotype" w:eastAsia="Palatino Linotype" w:hAnsi="Palatino Linotype" w:cs="Palatino Linotype"/>
          <w:sz w:val="22"/>
          <w:szCs w:val="22"/>
        </w:rPr>
        <w:t xml:space="preserve">Mediante acuerdo del </w:t>
      </w:r>
      <w:r w:rsidRPr="001832AD">
        <w:rPr>
          <w:rFonts w:ascii="Palatino Linotype" w:eastAsia="Palatino Linotype" w:hAnsi="Palatino Linotype" w:cs="Palatino Linotype"/>
          <w:b/>
          <w:bCs/>
          <w:sz w:val="22"/>
          <w:szCs w:val="22"/>
        </w:rPr>
        <w:t>catorce de enero de dos mil veintiséis</w:t>
      </w:r>
      <w:r w:rsidRPr="001832A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063BB26" w14:textId="77777777" w:rsidR="0070461B" w:rsidRPr="001832AD" w:rsidRDefault="0070461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3D0F9BEA"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ADD2445"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30C530C0"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17EC0CBF"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55B1AA71"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E48D97"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2A1899D9"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D2D1F5"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0ECD595B"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6E9B81F" w14:textId="77777777" w:rsidR="0070461B" w:rsidRPr="001832AD" w:rsidRDefault="0070461B">
      <w:pPr>
        <w:spacing w:line="360" w:lineRule="auto"/>
        <w:jc w:val="both"/>
        <w:rPr>
          <w:rFonts w:ascii="Palatino Linotype" w:eastAsia="Palatino Linotype" w:hAnsi="Palatino Linotype" w:cs="Palatino Linotype"/>
          <w:strike/>
          <w:sz w:val="22"/>
          <w:szCs w:val="22"/>
        </w:rPr>
      </w:pPr>
    </w:p>
    <w:p w14:paraId="7F4962B6" w14:textId="77777777" w:rsidR="0070461B" w:rsidRPr="001832AD" w:rsidRDefault="0012708D">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Complejidad del Asunto:</w:t>
      </w:r>
      <w:r w:rsidRPr="001832A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D5CDE39" w14:textId="77777777" w:rsidR="0070461B" w:rsidRPr="001832AD" w:rsidRDefault="0012708D">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Actividad Procesal del interesado</w:t>
      </w:r>
      <w:r w:rsidRPr="001832AD">
        <w:rPr>
          <w:rFonts w:ascii="Palatino Linotype" w:eastAsia="Palatino Linotype" w:hAnsi="Palatino Linotype" w:cs="Palatino Linotype"/>
          <w:sz w:val="22"/>
          <w:szCs w:val="22"/>
        </w:rPr>
        <w:t>. Acciones u omisiones del interesado.</w:t>
      </w:r>
    </w:p>
    <w:p w14:paraId="2EC5FF29" w14:textId="77777777" w:rsidR="0070461B" w:rsidRPr="001832AD" w:rsidRDefault="0012708D">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Conducta de la Autoridad:</w:t>
      </w:r>
      <w:r w:rsidRPr="001832A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CDA822F" w14:textId="77777777" w:rsidR="0070461B" w:rsidRPr="001832AD" w:rsidRDefault="0012708D">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La afectación generada en la situación jurídica de la persona involucrada en el proceso:</w:t>
      </w:r>
      <w:r w:rsidRPr="001832AD">
        <w:rPr>
          <w:rFonts w:ascii="Palatino Linotype" w:eastAsia="Palatino Linotype" w:hAnsi="Palatino Linotype" w:cs="Palatino Linotype"/>
          <w:sz w:val="22"/>
          <w:szCs w:val="22"/>
        </w:rPr>
        <w:t xml:space="preserve"> Violación a sus derechos humanos.</w:t>
      </w:r>
    </w:p>
    <w:p w14:paraId="65C1516A" w14:textId="77777777" w:rsidR="0070461B" w:rsidRPr="001832AD" w:rsidRDefault="0070461B">
      <w:pPr>
        <w:tabs>
          <w:tab w:val="left" w:pos="993"/>
        </w:tabs>
        <w:spacing w:line="360" w:lineRule="auto"/>
        <w:ind w:left="567" w:right="900"/>
        <w:jc w:val="both"/>
        <w:rPr>
          <w:rFonts w:ascii="Palatino Linotype" w:eastAsia="Palatino Linotype" w:hAnsi="Palatino Linotype" w:cs="Palatino Linotype"/>
          <w:sz w:val="22"/>
          <w:szCs w:val="22"/>
        </w:rPr>
      </w:pPr>
    </w:p>
    <w:p w14:paraId="445D3197"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443EC7"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432938BA"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1832AD">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1832AD">
        <w:rPr>
          <w:rFonts w:ascii="Palatino Linotype" w:eastAsia="Palatino Linotype" w:hAnsi="Palatino Linotype" w:cs="Palatino Linotype"/>
          <w:sz w:val="22"/>
          <w:szCs w:val="22"/>
        </w:rPr>
        <w:t>, visible en la Gaceta del Seminario Judicial de la Federación con el registro digital 205635.</w:t>
      </w:r>
    </w:p>
    <w:p w14:paraId="1F7208A5" w14:textId="77777777" w:rsidR="0070461B" w:rsidRPr="001832AD" w:rsidRDefault="0070461B">
      <w:pPr>
        <w:spacing w:line="360" w:lineRule="auto"/>
        <w:jc w:val="both"/>
        <w:rPr>
          <w:rFonts w:ascii="Palatino Linotype" w:eastAsia="Palatino Linotype" w:hAnsi="Palatino Linotype" w:cs="Palatino Linotype"/>
          <w:b/>
          <w:bCs/>
          <w:sz w:val="22"/>
          <w:szCs w:val="22"/>
        </w:rPr>
      </w:pPr>
    </w:p>
    <w:p w14:paraId="74C269F2"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67581B"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54ABF2ED"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393563F"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26609B29" w14:textId="77777777" w:rsidR="0070461B" w:rsidRPr="001832AD" w:rsidRDefault="0012708D">
      <w:pPr>
        <w:spacing w:line="360" w:lineRule="auto"/>
        <w:ind w:left="851" w:right="900"/>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 </w:t>
      </w:r>
      <w:r w:rsidRPr="001832AD">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1832AD">
        <w:rPr>
          <w:rFonts w:ascii="Palatino Linotype" w:eastAsia="Palatino Linotype" w:hAnsi="Palatino Linotype" w:cs="Palatino Linotype"/>
          <w:i/>
          <w:iCs/>
          <w:sz w:val="22"/>
          <w:szCs w:val="22"/>
        </w:rPr>
        <w:t>.”</w:t>
      </w:r>
      <w:r w:rsidRPr="001832AD">
        <w:rPr>
          <w:rFonts w:ascii="Palatino Linotype" w:eastAsia="Palatino Linotype" w:hAnsi="Palatino Linotype" w:cs="Palatino Linotype"/>
          <w:sz w:val="22"/>
          <w:szCs w:val="22"/>
        </w:rPr>
        <w:t xml:space="preserve"> consultable en el Seminario Judicial de la Federación y su gaceta, con el registro digital 2002351.</w:t>
      </w:r>
    </w:p>
    <w:p w14:paraId="632D396D" w14:textId="77777777" w:rsidR="0070461B" w:rsidRPr="001832AD" w:rsidRDefault="0012708D">
      <w:pPr>
        <w:spacing w:line="360" w:lineRule="auto"/>
        <w:ind w:left="851" w:right="900"/>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1832AD">
        <w:rPr>
          <w:rFonts w:ascii="Palatino Linotype" w:eastAsia="Palatino Linotype" w:hAnsi="Palatino Linotype" w:cs="Palatino Linotype"/>
          <w:sz w:val="22"/>
          <w:szCs w:val="22"/>
        </w:rPr>
        <w:t>, visible en el Seminario Judicial de la Federación y su gaceta, con el registro digital 2002350.</w:t>
      </w:r>
    </w:p>
    <w:p w14:paraId="5900FA04" w14:textId="77777777" w:rsidR="0070461B" w:rsidRPr="001832AD" w:rsidRDefault="0070461B">
      <w:pPr>
        <w:spacing w:line="360" w:lineRule="auto"/>
        <w:ind w:left="851" w:right="900"/>
        <w:jc w:val="both"/>
        <w:rPr>
          <w:rFonts w:ascii="Palatino Linotype" w:eastAsia="Palatino Linotype" w:hAnsi="Palatino Linotype" w:cs="Palatino Linotype"/>
          <w:sz w:val="22"/>
          <w:szCs w:val="22"/>
        </w:rPr>
      </w:pPr>
    </w:p>
    <w:p w14:paraId="1584491E" w14:textId="77777777" w:rsidR="0070461B" w:rsidRPr="001832AD" w:rsidRDefault="001270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EF5B953"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7" w:name="_heading=h.rlablwh5xn4f" w:colFirst="0" w:colLast="0"/>
      <w:bookmarkEnd w:id="7"/>
      <w:r w:rsidRPr="001832AD">
        <w:rPr>
          <w:rFonts w:ascii="Palatino Linotype" w:eastAsia="Palatino Linotype" w:hAnsi="Palatino Linotype" w:cs="Palatino Linotype"/>
          <w:b/>
          <w:bCs/>
          <w:sz w:val="22"/>
          <w:szCs w:val="22"/>
        </w:rPr>
        <w:t xml:space="preserve">8. Cierre de instrucción. </w:t>
      </w:r>
      <w:r w:rsidRPr="001832A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1832AD">
        <w:rPr>
          <w:rFonts w:ascii="Palatino Linotype" w:eastAsia="Palatino Linotype" w:hAnsi="Palatino Linotype" w:cs="Palatino Linotype"/>
          <w:b/>
          <w:bCs/>
          <w:sz w:val="22"/>
          <w:szCs w:val="22"/>
        </w:rPr>
        <w:t>veinte de enero de dos mil veintiséis</w:t>
      </w:r>
      <w:r w:rsidRPr="001832A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3D36C30"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0EA2868" w14:textId="77777777" w:rsidR="0070461B" w:rsidRPr="001832AD" w:rsidRDefault="0012708D">
      <w:pPr>
        <w:widowControl w:val="0"/>
        <w:spacing w:before="240" w:after="240" w:line="360" w:lineRule="auto"/>
        <w:jc w:val="center"/>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b/>
          <w:bCs/>
          <w:sz w:val="22"/>
          <w:szCs w:val="22"/>
        </w:rPr>
        <w:t>II. C O N S I D E R A N D O S</w:t>
      </w:r>
    </w:p>
    <w:p w14:paraId="121CF5C0"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Primero. Competencia.</w:t>
      </w:r>
      <w:r w:rsidRPr="001832A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C0C83AA"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8" w:name="_heading=h.tyjcwt" w:colFirst="0" w:colLast="0"/>
      <w:bookmarkEnd w:id="8"/>
      <w:r w:rsidRPr="001832AD">
        <w:rPr>
          <w:rFonts w:ascii="Palatino Linotype" w:eastAsia="Palatino Linotype" w:hAnsi="Palatino Linotype" w:cs="Palatino Linotype"/>
          <w:b/>
          <w:bCs/>
          <w:sz w:val="22"/>
          <w:szCs w:val="22"/>
        </w:rPr>
        <w:t>Segundo. Oportunidad y Procedibilidad del Recurso de Revisión</w:t>
      </w:r>
      <w:r w:rsidRPr="001832A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7240473"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 xml:space="preserve">remitió la respuesta a la solicitud de información el día </w:t>
      </w:r>
      <w:r w:rsidRPr="001832AD">
        <w:rPr>
          <w:rFonts w:ascii="Palatino Linotype" w:eastAsia="Palatino Linotype" w:hAnsi="Palatino Linotype" w:cs="Palatino Linotype"/>
          <w:b/>
          <w:bCs/>
          <w:sz w:val="22"/>
          <w:szCs w:val="22"/>
        </w:rPr>
        <w:t xml:space="preserve">dieciocho de julio de dos mil veinticinco, </w:t>
      </w:r>
      <w:r w:rsidRPr="001832AD">
        <w:rPr>
          <w:rFonts w:ascii="Palatino Linotype" w:eastAsia="Palatino Linotype" w:hAnsi="Palatino Linotype" w:cs="Palatino Linotype"/>
          <w:sz w:val="22"/>
          <w:szCs w:val="22"/>
        </w:rPr>
        <w:t xml:space="preserve">mientras que el recurso de revisión interpuesto por la parte </w:t>
      </w:r>
      <w:r w:rsidRPr="001832AD">
        <w:rPr>
          <w:rFonts w:ascii="Palatino Linotype" w:eastAsia="Palatino Linotype" w:hAnsi="Palatino Linotype" w:cs="Palatino Linotype"/>
          <w:b/>
          <w:bCs/>
          <w:sz w:val="22"/>
          <w:szCs w:val="22"/>
        </w:rPr>
        <w:t xml:space="preserve">Recurrente, </w:t>
      </w:r>
      <w:r w:rsidRPr="001832AD">
        <w:rPr>
          <w:rFonts w:ascii="Palatino Linotype" w:eastAsia="Palatino Linotype" w:hAnsi="Palatino Linotype" w:cs="Palatino Linotype"/>
          <w:sz w:val="22"/>
          <w:szCs w:val="22"/>
        </w:rPr>
        <w:t>se tuvo por presentado el día</w:t>
      </w:r>
      <w:r w:rsidRPr="001832AD">
        <w:rPr>
          <w:rFonts w:ascii="Palatino Linotype" w:eastAsia="Palatino Linotype" w:hAnsi="Palatino Linotype" w:cs="Palatino Linotype"/>
          <w:b/>
          <w:bCs/>
          <w:sz w:val="22"/>
          <w:szCs w:val="22"/>
        </w:rPr>
        <w:t xml:space="preserve"> veintidós de agosto de dos mil veinticinco, </w:t>
      </w:r>
      <w:r w:rsidRPr="001832AD">
        <w:rPr>
          <w:rFonts w:ascii="Palatino Linotype" w:eastAsia="Palatino Linotype" w:hAnsi="Palatino Linotype" w:cs="Palatino Linotype"/>
          <w:sz w:val="22"/>
          <w:szCs w:val="22"/>
        </w:rPr>
        <w:t xml:space="preserve">esto es, al </w:t>
      </w:r>
      <w:r w:rsidRPr="001832AD">
        <w:rPr>
          <w:rFonts w:ascii="Palatino Linotype" w:eastAsia="Palatino Linotype" w:hAnsi="Palatino Linotype" w:cs="Palatino Linotype"/>
          <w:b/>
          <w:bCs/>
          <w:sz w:val="22"/>
          <w:szCs w:val="22"/>
          <w:u w:val="single"/>
        </w:rPr>
        <w:t>décimo quinto</w:t>
      </w:r>
      <w:r w:rsidRPr="001832AD">
        <w:rPr>
          <w:rFonts w:ascii="Palatino Linotype" w:eastAsia="Palatino Linotype" w:hAnsi="Palatino Linotype" w:cs="Palatino Linotype"/>
          <w:sz w:val="22"/>
          <w:szCs w:val="22"/>
        </w:rPr>
        <w:t xml:space="preserve"> día hábil posterior a aquel en el que tuvo conocimiento de la respuesta impugnada. En este sentido, se concluye que el presente recurso de revisión se encuentra dentro de los márgenes temporales previstos en las disposiciones legales referidas.</w:t>
      </w:r>
    </w:p>
    <w:p w14:paraId="0BCB74A4" w14:textId="77777777" w:rsidR="0070461B" w:rsidRPr="001832AD" w:rsidRDefault="0012708D">
      <w:pPr>
        <w:spacing w:before="240" w:after="240" w:line="360" w:lineRule="auto"/>
        <w:jc w:val="both"/>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1832AD">
        <w:rPr>
          <w:rFonts w:ascii="Palatino Linotype" w:eastAsia="Palatino Linotype" w:hAnsi="Palatino Linotype" w:cs="Palatino Linotype"/>
          <w:b/>
          <w:bCs/>
          <w:sz w:val="22"/>
          <w:szCs w:val="22"/>
        </w:rPr>
        <w:t xml:space="preserve"> SAIMEX.</w:t>
      </w:r>
    </w:p>
    <w:p w14:paraId="17466849"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031B6E8C" w14:textId="77777777" w:rsidR="0070461B" w:rsidRPr="001832AD" w:rsidRDefault="0012708D">
      <w:pPr>
        <w:tabs>
          <w:tab w:val="left" w:pos="7938"/>
        </w:tabs>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w:t>
      </w:r>
      <w:r w:rsidRPr="001832AD">
        <w:rPr>
          <w:rFonts w:ascii="Palatino Linotype" w:eastAsia="Palatino Linotype" w:hAnsi="Palatino Linotype" w:cs="Palatino Linotype"/>
          <w:b/>
          <w:bCs/>
          <w:i/>
          <w:iCs/>
          <w:sz w:val="22"/>
          <w:szCs w:val="22"/>
        </w:rPr>
        <w:t>Artículo 179.</w:t>
      </w:r>
      <w:r w:rsidRPr="001832AD">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4E6CA2E9" w14:textId="77777777" w:rsidR="0070461B" w:rsidRPr="001832AD" w:rsidRDefault="0012708D">
      <w:pPr>
        <w:spacing w:before="120" w:after="120"/>
        <w:ind w:left="1134"/>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i/>
          <w:iCs/>
          <w:sz w:val="22"/>
          <w:szCs w:val="22"/>
        </w:rPr>
        <w:t>I.</w:t>
      </w:r>
      <w:r w:rsidRPr="001832AD">
        <w:rPr>
          <w:rFonts w:ascii="Palatino Linotype" w:eastAsia="Palatino Linotype" w:hAnsi="Palatino Linotype" w:cs="Palatino Linotype"/>
          <w:i/>
          <w:iCs/>
          <w:sz w:val="22"/>
          <w:szCs w:val="22"/>
        </w:rPr>
        <w:t xml:space="preserve"> La negativa a la información solicitada;</w:t>
      </w:r>
    </w:p>
    <w:p w14:paraId="38B2AB60" w14:textId="77777777" w:rsidR="0070461B" w:rsidRPr="001832AD" w:rsidRDefault="0012708D">
      <w:pPr>
        <w:spacing w:before="120" w:after="120"/>
        <w:ind w:left="1134"/>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w:t>
      </w:r>
    </w:p>
    <w:p w14:paraId="39654D7A" w14:textId="77777777" w:rsidR="0070461B" w:rsidRPr="001832AD" w:rsidRDefault="0012708D">
      <w:pPr>
        <w:spacing w:before="240" w:after="240" w:line="360" w:lineRule="auto"/>
        <w:jc w:val="both"/>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b/>
          <w:bCs/>
          <w:sz w:val="22"/>
          <w:szCs w:val="22"/>
        </w:rPr>
        <w:t xml:space="preserve">Tercero. Materia de la revisión. </w:t>
      </w:r>
      <w:r w:rsidRPr="001832A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832AD">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1832AD">
        <w:rPr>
          <w:rFonts w:ascii="Palatino Linotype" w:eastAsia="Palatino Linotype" w:hAnsi="Palatino Linotype" w:cs="Palatino Linotype"/>
          <w:sz w:val="22"/>
          <w:szCs w:val="22"/>
        </w:rPr>
        <w:t xml:space="preserve">de la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o en su defecto, en caso de ser procedente, ordenar la entrega de información.</w:t>
      </w:r>
    </w:p>
    <w:p w14:paraId="7E5A25B9"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1832AD">
        <w:rPr>
          <w:rFonts w:ascii="Palatino Linotype" w:eastAsia="Palatino Linotype" w:hAnsi="Palatino Linotype" w:cs="Palatino Linotype"/>
          <w:b/>
          <w:bCs/>
          <w:sz w:val="22"/>
          <w:szCs w:val="22"/>
        </w:rPr>
        <w:t xml:space="preserve">Cuarto. Estudio del asunto. </w:t>
      </w:r>
      <w:r w:rsidRPr="001832AD">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661354" w14:textId="77777777" w:rsidR="0070461B" w:rsidRPr="001832AD" w:rsidRDefault="0012708D">
      <w:pPr>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w:t>
      </w:r>
      <w:r w:rsidRPr="001832AD">
        <w:rPr>
          <w:rFonts w:ascii="Palatino Linotype" w:eastAsia="Palatino Linotype" w:hAnsi="Palatino Linotype" w:cs="Palatino Linotype"/>
          <w:b/>
          <w:bCs/>
          <w:i/>
          <w:iCs/>
          <w:sz w:val="22"/>
          <w:szCs w:val="22"/>
        </w:rPr>
        <w:t>Artículo 4</w:t>
      </w:r>
      <w:r w:rsidRPr="001832AD">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0077B9" w14:textId="77777777" w:rsidR="0070461B" w:rsidRPr="001832AD" w:rsidRDefault="0012708D">
      <w:pPr>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1832AD">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FDD7DC" w14:textId="77777777" w:rsidR="0070461B" w:rsidRPr="001832AD" w:rsidRDefault="0012708D">
      <w:pPr>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1832AD">
        <w:rPr>
          <w:rFonts w:ascii="Palatino Linotype" w:eastAsia="Palatino Linotype" w:hAnsi="Palatino Linotype" w:cs="Palatino Linotype"/>
          <w:i/>
          <w:iCs/>
          <w:sz w:val="22"/>
          <w:szCs w:val="22"/>
        </w:rPr>
        <w:t>.”</w:t>
      </w:r>
    </w:p>
    <w:p w14:paraId="6F4F0316"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5365FF9" w14:textId="77777777" w:rsidR="0070461B" w:rsidRPr="001832AD" w:rsidRDefault="0012708D">
      <w:pPr>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i/>
          <w:iCs/>
          <w:sz w:val="22"/>
          <w:szCs w:val="22"/>
        </w:rPr>
        <w:t>“Artículo 12.-</w:t>
      </w:r>
      <w:r w:rsidRPr="001832AD">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520CAC65" w14:textId="77777777" w:rsidR="0070461B" w:rsidRPr="001832AD" w:rsidRDefault="0012708D">
      <w:pPr>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1832AD">
        <w:rPr>
          <w:rFonts w:ascii="Palatino Linotype" w:eastAsia="Palatino Linotype" w:hAnsi="Palatino Linotype" w:cs="Palatino Linotype"/>
          <w:i/>
          <w:iCs/>
          <w:sz w:val="22"/>
          <w:szCs w:val="22"/>
        </w:rPr>
        <w:t xml:space="preserve">. </w:t>
      </w:r>
      <w:r w:rsidRPr="001832AD">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B3E8FD5" w14:textId="77777777" w:rsidR="0070461B" w:rsidRPr="001832AD" w:rsidRDefault="0012708D">
      <w:pPr>
        <w:spacing w:before="240" w:after="240" w:line="360" w:lineRule="auto"/>
        <w:ind w:right="-93"/>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A20C2DC" w14:textId="77777777" w:rsidR="0070461B" w:rsidRPr="001832AD" w:rsidRDefault="0012708D">
      <w:pPr>
        <w:spacing w:before="240" w:after="240" w:line="360" w:lineRule="auto"/>
        <w:jc w:val="both"/>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1832AD">
        <w:rPr>
          <w:rFonts w:ascii="Palatino Linotype" w:eastAsia="Palatino Linotype" w:hAnsi="Palatino Linotype" w:cs="Palatino Linotype"/>
          <w:b/>
          <w:bCs/>
          <w:sz w:val="22"/>
          <w:szCs w:val="22"/>
        </w:rPr>
        <w:t xml:space="preserve"> </w:t>
      </w:r>
    </w:p>
    <w:p w14:paraId="15E03BA7" w14:textId="77777777" w:rsidR="0070461B" w:rsidRPr="001832AD" w:rsidRDefault="0012708D">
      <w:pPr>
        <w:spacing w:before="120" w:after="120"/>
        <w:ind w:left="1134"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 xml:space="preserve"> “</w:t>
      </w:r>
      <w:r w:rsidRPr="001832AD">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1832AD">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65D4551" w14:textId="77777777" w:rsidR="0070461B" w:rsidRPr="001832AD" w:rsidRDefault="0012708D">
      <w:pPr>
        <w:spacing w:before="120" w:after="12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339117C" w14:textId="77777777" w:rsidR="0070461B" w:rsidRPr="001832AD" w:rsidRDefault="0012708D">
      <w:pPr>
        <w:spacing w:before="120" w:after="12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F60B2D0" w14:textId="77777777" w:rsidR="0070461B" w:rsidRPr="001832AD" w:rsidRDefault="0012708D">
      <w:pPr>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w:t>
      </w:r>
      <w:r w:rsidRPr="001832AD">
        <w:rPr>
          <w:rFonts w:ascii="Palatino Linotype" w:eastAsia="Palatino Linotype" w:hAnsi="Palatino Linotype" w:cs="Palatino Linotype"/>
          <w:b/>
          <w:bCs/>
          <w:i/>
          <w:iCs/>
          <w:sz w:val="22"/>
          <w:szCs w:val="22"/>
        </w:rPr>
        <w:t xml:space="preserve">Artículo 3. </w:t>
      </w:r>
      <w:r w:rsidRPr="001832AD">
        <w:rPr>
          <w:rFonts w:ascii="Palatino Linotype" w:eastAsia="Palatino Linotype" w:hAnsi="Palatino Linotype" w:cs="Palatino Linotype"/>
          <w:i/>
          <w:iCs/>
          <w:sz w:val="22"/>
          <w:szCs w:val="22"/>
        </w:rPr>
        <w:t>Para los efectos de la presente Ley se entenderá por:</w:t>
      </w:r>
    </w:p>
    <w:p w14:paraId="4BB8BD90" w14:textId="77777777" w:rsidR="0070461B" w:rsidRPr="001832AD" w:rsidRDefault="0012708D">
      <w:pPr>
        <w:spacing w:before="120" w:after="120"/>
        <w:ind w:left="1134"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w:t>
      </w:r>
    </w:p>
    <w:p w14:paraId="094D1BA7" w14:textId="77777777" w:rsidR="0070461B" w:rsidRPr="001832AD" w:rsidRDefault="0012708D">
      <w:pPr>
        <w:spacing w:before="120" w:after="120"/>
        <w:ind w:left="1134"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i/>
          <w:iCs/>
          <w:sz w:val="22"/>
          <w:szCs w:val="22"/>
        </w:rPr>
        <w:t>XI. Documento:</w:t>
      </w:r>
      <w:r w:rsidRPr="001832AD">
        <w:rPr>
          <w:rFonts w:ascii="Palatino Linotype" w:eastAsia="Palatino Linotype" w:hAnsi="Palatino Linotype" w:cs="Palatino Linotype"/>
          <w:i/>
          <w:iCs/>
          <w:sz w:val="22"/>
          <w:szCs w:val="22"/>
        </w:rPr>
        <w:t xml:space="preserve"> Los expedientes, reportes, estudios, actas</w:t>
      </w:r>
      <w:r w:rsidRPr="001832AD">
        <w:rPr>
          <w:rFonts w:ascii="Palatino Linotype" w:eastAsia="Palatino Linotype" w:hAnsi="Palatino Linotype" w:cs="Palatino Linotype"/>
          <w:b/>
          <w:bCs/>
          <w:i/>
          <w:iCs/>
          <w:sz w:val="22"/>
          <w:szCs w:val="22"/>
        </w:rPr>
        <w:t>,</w:t>
      </w:r>
      <w:r w:rsidRPr="001832AD">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E2A7D14"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F0D56EF" w14:textId="77777777" w:rsidR="0070461B" w:rsidRPr="001832AD" w:rsidRDefault="0012708D">
      <w:pPr>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sz w:val="22"/>
          <w:szCs w:val="22"/>
        </w:rPr>
        <w:t>“</w:t>
      </w:r>
      <w:r w:rsidRPr="001832AD">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1832AD">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DCCF39A" w14:textId="77777777" w:rsidR="0070461B" w:rsidRPr="001832AD" w:rsidRDefault="0012708D">
      <w:pPr>
        <w:spacing w:before="120" w:after="120"/>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6AAA409F" w14:textId="77777777" w:rsidR="0070461B" w:rsidRPr="001832AD" w:rsidRDefault="0012708D">
      <w:pPr>
        <w:spacing w:before="120" w:after="120"/>
        <w:ind w:left="1134"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207E0056" w14:textId="77777777" w:rsidR="0070461B" w:rsidRPr="001832AD" w:rsidRDefault="0012708D">
      <w:pPr>
        <w:spacing w:before="120" w:after="120"/>
        <w:ind w:left="1134"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1CDF9E4A" w14:textId="77777777" w:rsidR="0070461B" w:rsidRPr="001832AD" w:rsidRDefault="0012708D">
      <w:pPr>
        <w:spacing w:before="120" w:after="120"/>
        <w:ind w:left="1134"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49C83574" w14:textId="77777777" w:rsidR="0070461B" w:rsidRPr="001832AD" w:rsidRDefault="0012708D">
      <w:pPr>
        <w:spacing w:before="240" w:after="240" w:line="360" w:lineRule="auto"/>
        <w:ind w:right="51"/>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0B7824D"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B0E91AD" w14:textId="77777777" w:rsidR="0070461B" w:rsidRPr="001832AD" w:rsidRDefault="0012708D">
      <w:pPr>
        <w:spacing w:before="240" w:after="240" w:line="360" w:lineRule="auto"/>
        <w:ind w:right="51"/>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xml:space="preserve"> requirió al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le proporcione, información consistente en lo siguiente:</w:t>
      </w:r>
    </w:p>
    <w:p w14:paraId="38F75B30" w14:textId="77777777" w:rsidR="0070461B" w:rsidRPr="001832AD" w:rsidRDefault="0012708D">
      <w:pPr>
        <w:numPr>
          <w:ilvl w:val="0"/>
          <w:numId w:val="1"/>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En copia simple digitalizada, la relación de empresas que rentaron vehículos al Gobierno del Estado de México durante el ejercicio 2024, con los montos pagados.</w:t>
      </w:r>
    </w:p>
    <w:p w14:paraId="047202E7" w14:textId="77777777" w:rsidR="0070461B" w:rsidRPr="001832AD" w:rsidRDefault="0012708D">
      <w:pPr>
        <w:spacing w:before="240" w:after="240" w:line="360" w:lineRule="auto"/>
        <w:ind w:right="49"/>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respuesta, la Unidad de Transparencia hizo del conocimiento de la persona solicitante que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 xml:space="preserve">es incompetente para atender lo solicitado, por lo que se sugirió enviar la solicitud a la Oficialía Mayor, remitiendo para tal efecto un acuerdo de incompetencia del 18 de julio de 2025, a través del cual la Jefe de la UIPPE y Titular de la Unidad de Transparencia, informa que la información requerida no es generada por la Secretaría de Finanzas y que la competente puede ser la Oficialía Mayor, pues mediante Acuerdo por el que se transfieren los recursos de la Subsecretaría de Administración de la Secretaría de Finanzas a la Oficialía Mayor, publicado el 27 de septiembre de 2023 en el periódico oficial Gaceta del Gobierno del Estado de México, se transfirieron a la Oficialía Mayor los recursos humanos, materiales, presupuestales y financieros de la Dirección General de Recursos Materiales, la Dirección General de Personal, la Dirección General de Innovación, que anteriormente formaban parte de la Secretaría de Finanzas.  </w:t>
      </w:r>
    </w:p>
    <w:p w14:paraId="24E60FD1" w14:textId="77777777" w:rsidR="0070461B" w:rsidRPr="001832AD" w:rsidRDefault="0012708D">
      <w:pPr>
        <w:spacing w:before="240" w:after="240" w:line="360" w:lineRule="auto"/>
        <w:ind w:right="49"/>
        <w:jc w:val="both"/>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sz w:val="22"/>
          <w:szCs w:val="22"/>
        </w:rPr>
        <w:t xml:space="preserve">Consecuentemente, al no estar conforme con los términos de la respuesta emitida, la parte </w:t>
      </w:r>
      <w:r w:rsidRPr="001832AD">
        <w:rPr>
          <w:rFonts w:ascii="Palatino Linotype" w:eastAsia="Palatino Linotype" w:hAnsi="Palatino Linotype" w:cs="Palatino Linotype"/>
          <w:b/>
          <w:bCs/>
          <w:sz w:val="22"/>
          <w:szCs w:val="22"/>
        </w:rPr>
        <w:t xml:space="preserve">Recurrente </w:t>
      </w:r>
      <w:r w:rsidRPr="001832AD">
        <w:rPr>
          <w:rFonts w:ascii="Palatino Linotype" w:eastAsia="Palatino Linotype" w:hAnsi="Palatino Linotype" w:cs="Palatino Linotype"/>
          <w:sz w:val="22"/>
          <w:szCs w:val="22"/>
        </w:rPr>
        <w:t>interpuso el recurso de revisión que nos ocupa, donde señaló como motivo de inconformidad que le fue negada información</w:t>
      </w:r>
      <w:r w:rsidRPr="001832AD">
        <w:rPr>
          <w:rFonts w:ascii="Palatino Linotype" w:eastAsia="Palatino Linotype" w:hAnsi="Palatino Linotype" w:cs="Palatino Linotype"/>
          <w:b/>
          <w:bCs/>
          <w:sz w:val="22"/>
          <w:szCs w:val="22"/>
        </w:rPr>
        <w:t>.</w:t>
      </w:r>
    </w:p>
    <w:p w14:paraId="28F98BBC" w14:textId="77777777" w:rsidR="0070461B" w:rsidRPr="001832AD" w:rsidRDefault="0012708D">
      <w:pPr>
        <w:spacing w:before="240" w:after="240" w:line="360" w:lineRule="auto"/>
        <w:ind w:right="49"/>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la etapa de manifestaciones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 xml:space="preserve">ratificó en lo sustancial la respuesta proporcionada en primera instancia, y la parte </w:t>
      </w:r>
      <w:r w:rsidRPr="001832AD">
        <w:rPr>
          <w:rFonts w:ascii="Palatino Linotype" w:eastAsia="Palatino Linotype" w:hAnsi="Palatino Linotype" w:cs="Palatino Linotype"/>
          <w:b/>
          <w:bCs/>
          <w:sz w:val="22"/>
          <w:szCs w:val="22"/>
        </w:rPr>
        <w:t xml:space="preserve">Recurrente </w:t>
      </w:r>
      <w:r w:rsidRPr="001832AD">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087277BA"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Una vez establecidas las posturas de las partes, atendiendo la naturaleza de la información requerida, es de mencionar que de la normatividad que regula a la </w:t>
      </w:r>
      <w:r w:rsidRPr="001832AD">
        <w:rPr>
          <w:rFonts w:ascii="Palatino Linotype" w:eastAsia="Palatino Linotype" w:hAnsi="Palatino Linotype" w:cs="Palatino Linotype"/>
          <w:b/>
          <w:bCs/>
          <w:sz w:val="22"/>
          <w:szCs w:val="22"/>
        </w:rPr>
        <w:t>Secretaría de Finanzas</w:t>
      </w:r>
      <w:r w:rsidRPr="001832AD">
        <w:rPr>
          <w:rFonts w:ascii="Palatino Linotype" w:eastAsia="Palatino Linotype" w:hAnsi="Palatino Linotype" w:cs="Palatino Linotype"/>
          <w:sz w:val="22"/>
          <w:szCs w:val="22"/>
        </w:rPr>
        <w:t xml:space="preserve">, se advierte que este </w:t>
      </w:r>
      <w:r w:rsidRPr="001832AD">
        <w:rPr>
          <w:rFonts w:ascii="Palatino Linotype" w:eastAsia="Palatino Linotype" w:hAnsi="Palatino Linotype" w:cs="Palatino Linotype"/>
          <w:b/>
          <w:bCs/>
          <w:sz w:val="22"/>
          <w:szCs w:val="22"/>
        </w:rPr>
        <w:t xml:space="preserve">no </w:t>
      </w:r>
      <w:r w:rsidRPr="001832AD">
        <w:rPr>
          <w:rFonts w:ascii="Palatino Linotype" w:eastAsia="Palatino Linotype" w:hAnsi="Palatino Linotype" w:cs="Palatino Linotype"/>
          <w:sz w:val="22"/>
          <w:szCs w:val="22"/>
        </w:rPr>
        <w:t>es competente para conocer de la información requerida.</w:t>
      </w:r>
    </w:p>
    <w:p w14:paraId="2A67D88A"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6CEAE1EC" w14:textId="77777777" w:rsidR="0070461B" w:rsidRPr="001832AD" w:rsidRDefault="0012708D">
      <w:pPr>
        <w:spacing w:line="360" w:lineRule="auto"/>
        <w:ind w:right="134"/>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tal contexto, debido a que el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 xml:space="preserve"> es una dependencia adscrita al sector central del Poder Ejecutivo del Estado, es oportuno hacer las siguientes precisiones:</w:t>
      </w:r>
    </w:p>
    <w:p w14:paraId="09EA18FE" w14:textId="77777777" w:rsidR="0070461B" w:rsidRPr="001832AD" w:rsidRDefault="0070461B">
      <w:pPr>
        <w:spacing w:line="360" w:lineRule="auto"/>
        <w:ind w:right="134"/>
        <w:jc w:val="both"/>
        <w:rPr>
          <w:rFonts w:ascii="Palatino Linotype" w:eastAsia="Palatino Linotype" w:hAnsi="Palatino Linotype" w:cs="Palatino Linotype"/>
          <w:sz w:val="22"/>
          <w:szCs w:val="22"/>
        </w:rPr>
      </w:pPr>
    </w:p>
    <w:p w14:paraId="74CD7E4B" w14:textId="77777777" w:rsidR="0070461B" w:rsidRPr="001832AD" w:rsidRDefault="0012708D">
      <w:pPr>
        <w:spacing w:line="360" w:lineRule="auto"/>
        <w:ind w:right="134"/>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Como parte de la reestructuración de las dependencias del Poder Ejecutivo del Estado, que estableció el Decreto número 182 publicado en el Periódico Oficial “Gaceta del  Gobierno” del Estado de México, el once de septiembre de dos mil veintitrés, por medio del cual se expidió la Ley Orgánica de la Administración Pública del Estado de México vigente, se determinó la creación de la Oficialía Mayor, para atender los temas administrativos a cargo de la Secretaría de Finanzas, con la finalidad de permitir, a través de una dependencia especializada, una mejor aplicación de los recursos fiscales, que le dé prioridad al manejo de los recursos humanos, materiales y técnicos que fortalezcan el desempeño de todas las áreas del Poder Ejecutivo, por consiguiente, las áreas existentes en la Secretaría de Finanzas que tenían a su cargo los temas administrativos, se integraron a la Oficialía Mayor.</w:t>
      </w:r>
    </w:p>
    <w:p w14:paraId="0A730207" w14:textId="77777777" w:rsidR="0070461B" w:rsidRPr="001832AD" w:rsidRDefault="0070461B">
      <w:pPr>
        <w:spacing w:line="360" w:lineRule="auto"/>
        <w:ind w:right="134"/>
        <w:jc w:val="both"/>
        <w:rPr>
          <w:rFonts w:ascii="Palatino Linotype" w:eastAsia="Palatino Linotype" w:hAnsi="Palatino Linotype" w:cs="Palatino Linotype"/>
          <w:sz w:val="22"/>
          <w:szCs w:val="22"/>
        </w:rPr>
      </w:pPr>
    </w:p>
    <w:p w14:paraId="792186E7" w14:textId="77777777" w:rsidR="0070461B" w:rsidRPr="001832AD" w:rsidRDefault="0012708D">
      <w:pPr>
        <w:spacing w:line="360" w:lineRule="auto"/>
        <w:ind w:right="134"/>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tal sentido, mediante el Acuerdo por el que se transfieren los recursos de la Subsecretaría de Administración de la Secretaría de Finanzas a la Oficialía Mayor, publicado en el Periódico Oficial “Gaceta del Gobierno” del Estado de México, el veintisiete de septiembre de dos mil veintitrés, se transfirieron </w:t>
      </w:r>
      <w:r w:rsidRPr="001832AD">
        <w:rPr>
          <w:rFonts w:ascii="Palatino Linotype" w:eastAsia="Palatino Linotype" w:hAnsi="Palatino Linotype" w:cs="Palatino Linotype"/>
          <w:b/>
          <w:bCs/>
          <w:sz w:val="22"/>
          <w:szCs w:val="22"/>
        </w:rPr>
        <w:t xml:space="preserve">los recursos  humanos, materiales, presupuestales y financieros de la Subsecretaría de Administración de la Secretaría de Finanzas, a la Oficialía Mayor,  </w:t>
      </w:r>
      <w:r w:rsidRPr="001832AD">
        <w:rPr>
          <w:rFonts w:ascii="Palatino Linotype" w:eastAsia="Palatino Linotype" w:hAnsi="Palatino Linotype" w:cs="Palatino Linotype"/>
          <w:b/>
          <w:bCs/>
          <w:sz w:val="22"/>
          <w:szCs w:val="22"/>
          <w:u w:val="single"/>
        </w:rPr>
        <w:t>con excepción de los relativos a la Dirección General del Sistema Estatal de Informática</w:t>
      </w:r>
      <w:r w:rsidRPr="001832AD">
        <w:rPr>
          <w:rFonts w:ascii="Palatino Linotype" w:eastAsia="Palatino Linotype" w:hAnsi="Palatino Linotype" w:cs="Palatino Linotype"/>
          <w:b/>
          <w:bCs/>
          <w:sz w:val="22"/>
          <w:szCs w:val="22"/>
        </w:rPr>
        <w:t xml:space="preserve">, </w:t>
      </w:r>
      <w:r w:rsidRPr="001832AD">
        <w:rPr>
          <w:rFonts w:ascii="Palatino Linotype" w:eastAsia="Palatino Linotype" w:hAnsi="Palatino Linotype" w:cs="Palatino Linotype"/>
          <w:sz w:val="22"/>
          <w:szCs w:val="22"/>
        </w:rPr>
        <w:t>la cual continuaría adscrita a la Secretaría de Finanzas; en consecuencia, las referencias realizadas en disposiciones jurídicas, legales, reglamentarias, administrativas, y en cualquier tipo de documentación a la Subsecretaría de Administración o a la Secretaría de Finanzas en materia de planeación, organización, normatividad y dirección de la administración y desarrollo de los recursos humanos, materiales y servicios para el apoyo administrativo y tecnológico que requieran las dependencias del Poder Ejecutivo del Estado, con excepción de las que correspondan a la Dirección General del Sistema Estatal de Informática, se entenderán hechas a la Oficialía Mayor, de conformidad con los artículos Segundo y Tercero del Acuerdo:</w:t>
      </w:r>
    </w:p>
    <w:p w14:paraId="16414D3F" w14:textId="77777777" w:rsidR="0070461B" w:rsidRPr="001832AD" w:rsidRDefault="0070461B">
      <w:pPr>
        <w:spacing w:line="360" w:lineRule="auto"/>
        <w:ind w:right="134"/>
        <w:jc w:val="both"/>
        <w:rPr>
          <w:rFonts w:ascii="Palatino Linotype" w:eastAsia="Palatino Linotype" w:hAnsi="Palatino Linotype" w:cs="Palatino Linotype"/>
          <w:sz w:val="22"/>
          <w:szCs w:val="22"/>
        </w:rPr>
      </w:pPr>
    </w:p>
    <w:p w14:paraId="623D3124" w14:textId="77777777" w:rsidR="0070461B" w:rsidRPr="001832AD" w:rsidRDefault="0012708D">
      <w:pPr>
        <w:ind w:left="851" w:right="902"/>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w:t>
      </w:r>
      <w:r w:rsidRPr="001832AD">
        <w:rPr>
          <w:rFonts w:ascii="Palatino Linotype" w:eastAsia="Palatino Linotype" w:hAnsi="Palatino Linotype" w:cs="Palatino Linotype"/>
          <w:b/>
          <w:bCs/>
          <w:i/>
          <w:iCs/>
          <w:sz w:val="22"/>
          <w:szCs w:val="22"/>
        </w:rPr>
        <w:t>ARTÍCULO SEGUNDO</w:t>
      </w:r>
      <w:r w:rsidRPr="001832AD">
        <w:rPr>
          <w:rFonts w:ascii="Palatino Linotype" w:eastAsia="Palatino Linotype" w:hAnsi="Palatino Linotype" w:cs="Palatino Linotype"/>
          <w:i/>
          <w:iCs/>
          <w:sz w:val="22"/>
          <w:szCs w:val="22"/>
        </w:rPr>
        <w:t xml:space="preserve">. </w:t>
      </w:r>
      <w:r w:rsidRPr="001832AD">
        <w:rPr>
          <w:rFonts w:ascii="Palatino Linotype" w:eastAsia="Palatino Linotype" w:hAnsi="Palatino Linotype" w:cs="Palatino Linotype"/>
          <w:b/>
          <w:bCs/>
          <w:i/>
          <w:iCs/>
          <w:sz w:val="22"/>
          <w:szCs w:val="22"/>
        </w:rPr>
        <w:t xml:space="preserve">Los recursos humanos, materiales, presupuestales y financieros de la </w:t>
      </w:r>
      <w:r w:rsidRPr="001832AD">
        <w:rPr>
          <w:rFonts w:ascii="Palatino Linotype" w:eastAsia="Palatino Linotype" w:hAnsi="Palatino Linotype" w:cs="Palatino Linotype"/>
          <w:b/>
          <w:bCs/>
          <w:i/>
          <w:iCs/>
          <w:sz w:val="22"/>
          <w:szCs w:val="22"/>
          <w:u w:val="single"/>
        </w:rPr>
        <w:t>Subsecretaría de Administración de la Secretaría de Finanzas</w:t>
      </w:r>
      <w:r w:rsidRPr="001832AD">
        <w:rPr>
          <w:rFonts w:ascii="Palatino Linotype" w:eastAsia="Palatino Linotype" w:hAnsi="Palatino Linotype" w:cs="Palatino Linotype"/>
          <w:i/>
          <w:iCs/>
          <w:sz w:val="22"/>
          <w:szCs w:val="22"/>
        </w:rPr>
        <w:t xml:space="preserve">, </w:t>
      </w:r>
      <w:r w:rsidRPr="001832AD">
        <w:rPr>
          <w:rFonts w:ascii="Palatino Linotype" w:eastAsia="Palatino Linotype" w:hAnsi="Palatino Linotype" w:cs="Palatino Linotype"/>
          <w:b/>
          <w:bCs/>
          <w:i/>
          <w:iCs/>
          <w:sz w:val="22"/>
          <w:szCs w:val="22"/>
          <w:u w:val="single"/>
        </w:rPr>
        <w:t>con excepción de los relativos a la Dirección General del Sistema Estatal de Informática, que continuará adscrita a la Secretaría de Finanzas</w:t>
      </w:r>
      <w:r w:rsidRPr="001832AD">
        <w:rPr>
          <w:rFonts w:ascii="Palatino Linotype" w:eastAsia="Palatino Linotype" w:hAnsi="Palatino Linotype" w:cs="Palatino Linotype"/>
          <w:b/>
          <w:bCs/>
          <w:i/>
          <w:iCs/>
          <w:sz w:val="22"/>
          <w:szCs w:val="22"/>
        </w:rPr>
        <w:t xml:space="preserve">, serán transferidos </w:t>
      </w:r>
      <w:r w:rsidRPr="001832AD">
        <w:rPr>
          <w:rFonts w:ascii="Palatino Linotype" w:eastAsia="Palatino Linotype" w:hAnsi="Palatino Linotype" w:cs="Palatino Linotype"/>
          <w:i/>
          <w:iCs/>
          <w:sz w:val="22"/>
          <w:szCs w:val="22"/>
        </w:rPr>
        <w:t xml:space="preserve">a partir de la entrada en vigor del presente Acuerdo </w:t>
      </w:r>
      <w:r w:rsidRPr="001832AD">
        <w:rPr>
          <w:rFonts w:ascii="Palatino Linotype" w:eastAsia="Palatino Linotype" w:hAnsi="Palatino Linotype" w:cs="Palatino Linotype"/>
          <w:b/>
          <w:bCs/>
          <w:i/>
          <w:iCs/>
          <w:sz w:val="22"/>
          <w:szCs w:val="22"/>
        </w:rPr>
        <w:t xml:space="preserve">a la Oficialía Mayor. </w:t>
      </w:r>
      <w:r w:rsidRPr="001832AD">
        <w:rPr>
          <w:rFonts w:ascii="Palatino Linotype" w:eastAsia="Palatino Linotype" w:hAnsi="Palatino Linotype" w:cs="Palatino Linotype"/>
          <w:i/>
          <w:iCs/>
          <w:sz w:val="22"/>
          <w:szCs w:val="22"/>
        </w:rPr>
        <w:t>La Secretaría de Finanzas deberá llevar a cabo las acciones necesarias que permitan a la Oficialía Mayor ejercer sus atribuciones y cumplir con sus obligaciones relativas al pago de las prestaciones económicas de los recursos humanos, materiales y financieros, así como las derivadas de los contratos de arrendamiento de bienes muebles e inmuebles, de ejecución de obra pública y los correspondientes a la adquisición de los bienes y servicios.</w:t>
      </w:r>
    </w:p>
    <w:p w14:paraId="60932850" w14:textId="77777777" w:rsidR="0070461B" w:rsidRPr="001832AD" w:rsidRDefault="0012708D">
      <w:pPr>
        <w:ind w:left="851" w:right="902"/>
        <w:jc w:val="both"/>
        <w:rPr>
          <w:rFonts w:ascii="Palatino Linotype" w:eastAsia="Palatino Linotype" w:hAnsi="Palatino Linotype" w:cs="Palatino Linotype"/>
          <w:b/>
          <w:bCs/>
          <w:i/>
          <w:iCs/>
          <w:sz w:val="22"/>
          <w:szCs w:val="22"/>
        </w:rPr>
      </w:pPr>
      <w:r w:rsidRPr="001832AD">
        <w:rPr>
          <w:rFonts w:ascii="Palatino Linotype" w:eastAsia="Palatino Linotype" w:hAnsi="Palatino Linotype" w:cs="Palatino Linotype"/>
          <w:i/>
          <w:iCs/>
          <w:sz w:val="22"/>
          <w:szCs w:val="22"/>
        </w:rPr>
        <w:t>“</w:t>
      </w:r>
      <w:r w:rsidRPr="001832AD">
        <w:rPr>
          <w:rFonts w:ascii="Palatino Linotype" w:eastAsia="Palatino Linotype" w:hAnsi="Palatino Linotype" w:cs="Palatino Linotype"/>
          <w:b/>
          <w:bCs/>
          <w:i/>
          <w:iCs/>
          <w:sz w:val="22"/>
          <w:szCs w:val="22"/>
        </w:rPr>
        <w:t>ARTÍCULO TERCERO</w:t>
      </w:r>
      <w:r w:rsidRPr="001832AD">
        <w:rPr>
          <w:rFonts w:ascii="Palatino Linotype" w:eastAsia="Palatino Linotype" w:hAnsi="Palatino Linotype" w:cs="Palatino Linotype"/>
          <w:i/>
          <w:iCs/>
          <w:sz w:val="22"/>
          <w:szCs w:val="22"/>
        </w:rPr>
        <w:t xml:space="preserve">. </w:t>
      </w:r>
      <w:r w:rsidRPr="001832AD">
        <w:rPr>
          <w:rFonts w:ascii="Palatino Linotype" w:eastAsia="Palatino Linotype" w:hAnsi="Palatino Linotype" w:cs="Palatino Linotype"/>
          <w:b/>
          <w:bCs/>
          <w:i/>
          <w:iCs/>
          <w:sz w:val="22"/>
          <w:szCs w:val="22"/>
        </w:rPr>
        <w:t xml:space="preserve">Las referencias realizadas en disposiciones jurídicas, legales, reglamentarias, administrativas, y en cualquier tipo de documentación a la Subsecretaría de Administración o a la Secretaría de Finanzas en materia de planeación, organización, normatividad y dirección de la administración y desarrollo de los recursos humanos, materiales y servicios para el apoyo administrativo y tecnológico </w:t>
      </w:r>
      <w:r w:rsidRPr="001832AD">
        <w:rPr>
          <w:rFonts w:ascii="Palatino Linotype" w:eastAsia="Palatino Linotype" w:hAnsi="Palatino Linotype" w:cs="Palatino Linotype"/>
          <w:i/>
          <w:iCs/>
          <w:sz w:val="22"/>
          <w:szCs w:val="22"/>
        </w:rPr>
        <w:t xml:space="preserve">que requieran las dependencias del Poder Ejecutivo del Estado, con excepción de las que correspondan a la Dirección General del Sistema Estatal de Informática, </w:t>
      </w:r>
      <w:r w:rsidRPr="001832AD">
        <w:rPr>
          <w:rFonts w:ascii="Palatino Linotype" w:eastAsia="Palatino Linotype" w:hAnsi="Palatino Linotype" w:cs="Palatino Linotype"/>
          <w:b/>
          <w:bCs/>
          <w:i/>
          <w:iCs/>
          <w:sz w:val="22"/>
          <w:szCs w:val="22"/>
        </w:rPr>
        <w:t>se entenderán hechas a la Oficialía Mayor.”</w:t>
      </w:r>
    </w:p>
    <w:p w14:paraId="087E7708" w14:textId="77777777" w:rsidR="0070461B" w:rsidRPr="001832AD" w:rsidRDefault="0070461B">
      <w:pPr>
        <w:tabs>
          <w:tab w:val="left" w:pos="2820"/>
        </w:tabs>
        <w:spacing w:line="360" w:lineRule="auto"/>
        <w:ind w:right="134"/>
        <w:jc w:val="both"/>
        <w:rPr>
          <w:rFonts w:ascii="Palatino Linotype" w:eastAsia="Palatino Linotype" w:hAnsi="Palatino Linotype" w:cs="Palatino Linotype"/>
          <w:sz w:val="22"/>
          <w:szCs w:val="22"/>
        </w:rPr>
      </w:pPr>
    </w:p>
    <w:p w14:paraId="76A92BF2" w14:textId="77777777" w:rsidR="0070461B" w:rsidRPr="001832AD" w:rsidRDefault="0012708D">
      <w:pPr>
        <w:tabs>
          <w:tab w:val="left" w:pos="2820"/>
        </w:tabs>
        <w:spacing w:line="360" w:lineRule="auto"/>
        <w:ind w:right="134"/>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Con base en lo anterior, tomando como referencia el Manual General de Organización de la Secretaría de Finanzas, se precisa que, entre otras, la Dirección General de Recursos Materiales, que anteriormente formaba parte de la estructura orgánica de la Subsecretaría de Administración de la Secretaría de Fianzas, fue transferidas a la Oficialía Mayor, derivado de los acuerdos a los que se ha hecho alusión.</w:t>
      </w:r>
    </w:p>
    <w:p w14:paraId="5307CC0A" w14:textId="77777777" w:rsidR="0070461B" w:rsidRPr="001832AD" w:rsidRDefault="0012708D">
      <w:pPr>
        <w:spacing w:before="280" w:after="28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Consecuentemente, es de agregar que conforme el Manual General de Organización de la Oficialía Mayor, publicado el 28 de mayo de 2024 en el Periódico Oficial “Gaceta del  Gobierno” del Estado de México, se desprende que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dentro de su estructura orgánica cuenta con la Dirección General de Recursos Materiales, la cual tiene dentro de sus atribuciones las siguientes:</w:t>
      </w:r>
    </w:p>
    <w:p w14:paraId="6D2B6F7A" w14:textId="77777777" w:rsidR="0070461B" w:rsidRPr="001832AD" w:rsidRDefault="0012708D">
      <w:pPr>
        <w:spacing w:before="280" w:after="280" w:line="276" w:lineRule="auto"/>
        <w:ind w:left="567" w:right="616"/>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 xml:space="preserve">“23400005000000L DIRECCIÓN GENERAL DE RECURSOS MATERIALES </w:t>
      </w:r>
    </w:p>
    <w:p w14:paraId="36607EFA" w14:textId="77777777" w:rsidR="0070461B" w:rsidRPr="001832AD" w:rsidRDefault="0012708D">
      <w:pPr>
        <w:spacing w:before="280" w:after="280" w:line="276" w:lineRule="auto"/>
        <w:ind w:left="567" w:right="616"/>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 xml:space="preserve">OBJETIVO: Establecer políticas, bases, lineamientos, normas técnicas y administrativas en materia adquisitiva y de control patrimonial; coordinar, controlar y ejecutar los procedimientos de adquisiciones con recursos federales y estatales de bienes y contratación de servicios; intervenir en la sustanciación de los procedimientos de contratación de arrendamiento y adquisición de bienes que requieran las dependencias del Poder Ejecutivo y en lo relacionado con la enajenación de bienes del patrimonio estatal; así como ejecutar las acciones pertinentes para el control y registro de la asignación, uso, aseguramiento, protección, conservación, mantenimiento, rehabilitación y disposición final de los mismos. </w:t>
      </w:r>
    </w:p>
    <w:p w14:paraId="2EF406C7" w14:textId="77777777" w:rsidR="0070461B" w:rsidRPr="001832AD" w:rsidRDefault="0012708D">
      <w:pPr>
        <w:spacing w:before="280" w:after="280" w:line="276" w:lineRule="auto"/>
        <w:ind w:left="567" w:right="616"/>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 xml:space="preserve">FUNCIONES: </w:t>
      </w:r>
    </w:p>
    <w:p w14:paraId="62B4BE7B" w14:textId="77777777" w:rsidR="0070461B" w:rsidRPr="001832AD" w:rsidRDefault="0012708D">
      <w:pPr>
        <w:spacing w:before="280" w:after="280" w:line="276" w:lineRule="auto"/>
        <w:ind w:left="567" w:right="616"/>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 xml:space="preserve">1. Coordinar, evaluar y ejecutar las acciones y procedimientos relacionados con la adquisición de bienes o la contratación de servicios con recursos federales y estatales. </w:t>
      </w:r>
    </w:p>
    <w:p w14:paraId="4AFC6BBF" w14:textId="77777777" w:rsidR="0070461B" w:rsidRPr="001832AD" w:rsidRDefault="0012708D">
      <w:pPr>
        <w:spacing w:before="280" w:after="280" w:line="276" w:lineRule="auto"/>
        <w:ind w:left="567" w:right="616"/>
        <w:jc w:val="both"/>
        <w:rPr>
          <w:rFonts w:ascii="Palatino Linotype" w:eastAsia="Palatino Linotype" w:hAnsi="Palatino Linotype" w:cs="Palatino Linotype"/>
          <w:i/>
          <w:iCs/>
        </w:rPr>
      </w:pPr>
      <w:r w:rsidRPr="001832AD">
        <w:rPr>
          <w:rFonts w:ascii="Palatino Linotype" w:eastAsia="Palatino Linotype" w:hAnsi="Palatino Linotype" w:cs="Palatino Linotype"/>
          <w:i/>
          <w:iCs/>
          <w:sz w:val="22"/>
          <w:szCs w:val="22"/>
        </w:rPr>
        <w:t>2. Establecer y someter a consideración de la persona titular de la Oficialía Mayor, las políticas, bases, lineamientos, normas técnicas y administrativas que deberán observar, tanto el sector central como el sector auxiliar del Poder Ejecutivo Estatal, en materia adquisitiva, de control patrimonial y servicios generales.</w:t>
      </w:r>
      <w:r w:rsidRPr="001832AD">
        <w:rPr>
          <w:rFonts w:ascii="Palatino Linotype" w:eastAsia="Palatino Linotype" w:hAnsi="Palatino Linotype" w:cs="Palatino Linotype"/>
          <w:i/>
          <w:iCs/>
        </w:rPr>
        <w:t xml:space="preserve"> </w:t>
      </w:r>
    </w:p>
    <w:p w14:paraId="50BE49EA" w14:textId="77777777" w:rsidR="0070461B" w:rsidRPr="001832AD" w:rsidRDefault="0012708D">
      <w:pPr>
        <w:spacing w:before="280" w:after="280" w:line="276" w:lineRule="auto"/>
        <w:ind w:left="567" w:right="616"/>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w:t>
      </w:r>
    </w:p>
    <w:p w14:paraId="2F267372" w14:textId="77777777" w:rsidR="0070461B" w:rsidRPr="001832AD" w:rsidRDefault="0012708D">
      <w:pPr>
        <w:spacing w:before="280" w:after="280" w:line="276" w:lineRule="auto"/>
        <w:ind w:left="567" w:right="616"/>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i/>
          <w:iCs/>
          <w:sz w:val="22"/>
          <w:szCs w:val="22"/>
          <w:u w:val="single"/>
        </w:rPr>
        <w:t>10. Suscribir a nombre del Poder Ejecutivo del Gobierno del Estado los contratos que se deriven de los procedimientos de arrendamientos</w:t>
      </w:r>
      <w:r w:rsidRPr="001832AD">
        <w:rPr>
          <w:rFonts w:ascii="Palatino Linotype" w:eastAsia="Palatino Linotype" w:hAnsi="Palatino Linotype" w:cs="Palatino Linotype"/>
          <w:i/>
          <w:iCs/>
          <w:sz w:val="22"/>
          <w:szCs w:val="22"/>
        </w:rPr>
        <w:t>, de bienes muebles e inmuebles, en el carácter de arrendador o de arrendatario.”</w:t>
      </w:r>
    </w:p>
    <w:p w14:paraId="7127A34B" w14:textId="77777777" w:rsidR="0070461B" w:rsidRPr="001832AD" w:rsidRDefault="0012708D">
      <w:pPr>
        <w:spacing w:before="280" w:after="28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Como se desprende de lo anterior, la Dirección General de Recursos Materiales dependiente de la Oficialía Mayor, es la encargada de coordinar, evaluar y ejecutar las acciones y procedimientos relacionados con la adquisición de bienes o la contratación de servicios con recursos federales y estatales; </w:t>
      </w:r>
      <w:r w:rsidRPr="001832AD">
        <w:rPr>
          <w:rFonts w:ascii="Palatino Linotype" w:eastAsia="Palatino Linotype" w:hAnsi="Palatino Linotype" w:cs="Palatino Linotype"/>
          <w:b/>
          <w:bCs/>
          <w:sz w:val="22"/>
          <w:szCs w:val="22"/>
        </w:rPr>
        <w:t>así como, de suscribir a nombre del Poder Ejecutivo del Gobierno del Estado los contratos que se deriven de los procedimientos de arrendamientos,</w:t>
      </w:r>
      <w:r w:rsidRPr="001832AD">
        <w:rPr>
          <w:rFonts w:ascii="Palatino Linotype" w:eastAsia="Palatino Linotype" w:hAnsi="Palatino Linotype" w:cs="Palatino Linotype"/>
          <w:sz w:val="22"/>
          <w:szCs w:val="22"/>
        </w:rPr>
        <w:t xml:space="preserve"> </w:t>
      </w:r>
      <w:r w:rsidRPr="001832AD">
        <w:rPr>
          <w:rFonts w:ascii="Palatino Linotype" w:eastAsia="Palatino Linotype" w:hAnsi="Palatino Linotype" w:cs="Palatino Linotype"/>
          <w:b/>
          <w:bCs/>
          <w:sz w:val="22"/>
          <w:szCs w:val="22"/>
        </w:rPr>
        <w:t>de bienes muebles e inmuebles, en el carácter de arrendador o de arrendatario.</w:t>
      </w:r>
    </w:p>
    <w:p w14:paraId="18B06E02"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De lo anterior, se colige que la información a la que pretende acceder la hoy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xml:space="preserve"> se relaciona con atribuciones de la </w:t>
      </w:r>
      <w:r w:rsidRPr="001832AD">
        <w:rPr>
          <w:rFonts w:ascii="Palatino Linotype" w:eastAsia="Palatino Linotype" w:hAnsi="Palatino Linotype" w:cs="Palatino Linotype"/>
          <w:b/>
          <w:bCs/>
          <w:sz w:val="22"/>
          <w:szCs w:val="22"/>
        </w:rPr>
        <w:t>Dirección General de Recursos Materiales dependiente de la Oficialía Mayor</w:t>
      </w:r>
      <w:r w:rsidRPr="001832AD">
        <w:rPr>
          <w:rFonts w:ascii="Palatino Linotype" w:eastAsia="Palatino Linotype" w:hAnsi="Palatino Linotype" w:cs="Palatino Linotype"/>
          <w:sz w:val="22"/>
          <w:szCs w:val="22"/>
        </w:rPr>
        <w:t>, que resulta ser un Sujeto Obligado diferente.</w:t>
      </w:r>
    </w:p>
    <w:p w14:paraId="4378FCA5"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13812F72" w14:textId="77777777" w:rsidR="0070461B" w:rsidRPr="001832AD" w:rsidRDefault="0012708D">
      <w:pPr>
        <w:pBdr>
          <w:top w:val="nil"/>
          <w:left w:val="nil"/>
          <w:bottom w:val="nil"/>
          <w:right w:val="nil"/>
          <w:between w:val="nil"/>
        </w:pBdr>
        <w:spacing w:line="360" w:lineRule="auto"/>
        <w:jc w:val="both"/>
        <w:rPr>
          <w:rFonts w:ascii="Calibri" w:eastAsia="Calibri" w:hAnsi="Calibri" w:cs="Calibri"/>
          <w:sz w:val="22"/>
          <w:szCs w:val="22"/>
        </w:rPr>
      </w:pPr>
      <w:r w:rsidRPr="001832AD">
        <w:rPr>
          <w:rFonts w:ascii="Palatino Linotype" w:eastAsia="Palatino Linotype" w:hAnsi="Palatino Linotype" w:cs="Palatino Linotype"/>
          <w:sz w:val="22"/>
          <w:szCs w:val="22"/>
        </w:rPr>
        <w:t>En cuanto hace a nuestra materia, en el Padrón de Sujetos Obligados en Materia de Transparencia y Acceso a la Información Pública del Estado de México y Municipios vigente (mismo que se puede consultar en el siguiente enlace:</w:t>
      </w:r>
      <w:r w:rsidRPr="001832AD">
        <w:rPr>
          <w:rFonts w:ascii="Calibri" w:eastAsia="Calibri" w:hAnsi="Calibri" w:cs="Calibri"/>
          <w:sz w:val="22"/>
          <w:szCs w:val="22"/>
        </w:rPr>
        <w:t xml:space="preserve"> </w:t>
      </w:r>
    </w:p>
    <w:p w14:paraId="5E05D24C" w14:textId="77777777" w:rsidR="0070461B" w:rsidRPr="001832AD" w:rsidRDefault="0070461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619C0E" w14:textId="77777777" w:rsidR="0070461B" w:rsidRPr="001832AD" w:rsidRDefault="001270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https://pub:blic@repositorio.ipomex.org.mx:8443/OpenKM/Download?uuid=77ff3a7e-a011-4226-a86e-0e65e9f395c1) prevé como Sujetos Obligados distintos a la Secretaría de Finanzas y a la Oficialía Mayor, dentro del rubro “III. PODER EJECUTIVO ESTATAL”, en el apartado A) Administración Pública Centralizada, como se muestra:</w:t>
      </w:r>
    </w:p>
    <w:p w14:paraId="5BAC94E2"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noProof/>
          <w:sz w:val="22"/>
          <w:szCs w:val="22"/>
        </w:rPr>
        <w:drawing>
          <wp:inline distT="0" distB="0" distL="0" distR="0" wp14:anchorId="2464DD20" wp14:editId="4C83CF38">
            <wp:extent cx="5612130" cy="3810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381000"/>
                    </a:xfrm>
                    <a:prstGeom prst="rect">
                      <a:avLst/>
                    </a:prstGeom>
                    <a:ln/>
                  </pic:spPr>
                </pic:pic>
              </a:graphicData>
            </a:graphic>
          </wp:inline>
        </w:drawing>
      </w:r>
    </w:p>
    <w:p w14:paraId="06D88D1A" w14:textId="77777777" w:rsidR="0070461B" w:rsidRPr="001832AD" w:rsidRDefault="0012708D">
      <w:pPr>
        <w:spacing w:line="360" w:lineRule="auto"/>
        <w:jc w:val="center"/>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w:t>
      </w:r>
    </w:p>
    <w:p w14:paraId="3CA9E09C"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noProof/>
          <w:sz w:val="22"/>
          <w:szCs w:val="22"/>
        </w:rPr>
        <w:drawing>
          <wp:inline distT="0" distB="0" distL="0" distR="0" wp14:anchorId="77B172D4" wp14:editId="6D8F26E6">
            <wp:extent cx="5612130" cy="31559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315595"/>
                    </a:xfrm>
                    <a:prstGeom prst="rect">
                      <a:avLst/>
                    </a:prstGeom>
                    <a:ln/>
                  </pic:spPr>
                </pic:pic>
              </a:graphicData>
            </a:graphic>
          </wp:inline>
        </w:drawing>
      </w:r>
    </w:p>
    <w:p w14:paraId="5C1A830F"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En este sentido, resulta aplicable el criterio orientador 13/17 emitido por el entonces Pleno del Instituto Nacional de Transparencia, Acceso a la Información y Protección de Datos Personales, el cual, para pronta referencia se reproduce a continuación:</w:t>
      </w:r>
    </w:p>
    <w:p w14:paraId="0022ADBF" w14:textId="77777777" w:rsidR="0070461B" w:rsidRPr="001832AD" w:rsidRDefault="0012708D">
      <w:pPr>
        <w:spacing w:line="259" w:lineRule="auto"/>
        <w:ind w:left="851" w:right="851"/>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b/>
          <w:bCs/>
          <w:i/>
          <w:iCs/>
          <w:sz w:val="22"/>
          <w:szCs w:val="22"/>
        </w:rPr>
        <w:t>“Incompetencia. La incompetencia implica la ausencia de atribuciones del sujeto obligado para poseer la información solicitada</w:t>
      </w:r>
      <w:r w:rsidRPr="001832AD">
        <w:rPr>
          <w:rFonts w:ascii="Palatino Linotype" w:eastAsia="Palatino Linotype" w:hAnsi="Palatino Linotype" w:cs="Palatino Linotype"/>
          <w:i/>
          <w:iCs/>
          <w:sz w:val="22"/>
          <w:szCs w:val="22"/>
        </w:rPr>
        <w:t xml:space="preserve">; es decir, se trata de una cuestión de derecho, </w:t>
      </w:r>
      <w:r w:rsidRPr="001832AD">
        <w:rPr>
          <w:rFonts w:ascii="Palatino Linotype" w:eastAsia="Palatino Linotype" w:hAnsi="Palatino Linotype" w:cs="Palatino Linotype"/>
          <w:b/>
          <w:bCs/>
          <w:i/>
          <w:iCs/>
          <w:sz w:val="22"/>
          <w:szCs w:val="22"/>
        </w:rPr>
        <w:t>en tanto que no existan facultades para contar con lo requerido</w:t>
      </w:r>
      <w:r w:rsidRPr="001832AD">
        <w:rPr>
          <w:rFonts w:ascii="Palatino Linotype" w:eastAsia="Palatino Linotype" w:hAnsi="Palatino Linotype" w:cs="Palatino Linotype"/>
          <w:i/>
          <w:iCs/>
          <w:sz w:val="22"/>
          <w:szCs w:val="22"/>
        </w:rPr>
        <w:t>; por lo que la incompetencia es una cualidad atribuida al sujeto obligado que la declara.”</w:t>
      </w:r>
    </w:p>
    <w:p w14:paraId="4D701CF4" w14:textId="77777777" w:rsidR="0070461B" w:rsidRPr="001832AD" w:rsidRDefault="0070461B">
      <w:pPr>
        <w:spacing w:line="259" w:lineRule="auto"/>
        <w:ind w:left="851" w:right="851"/>
        <w:jc w:val="both"/>
        <w:rPr>
          <w:rFonts w:ascii="Palatino Linotype" w:eastAsia="Palatino Linotype" w:hAnsi="Palatino Linotype" w:cs="Palatino Linotype"/>
          <w:i/>
          <w:iCs/>
          <w:sz w:val="22"/>
          <w:szCs w:val="22"/>
        </w:rPr>
      </w:pPr>
    </w:p>
    <w:p w14:paraId="611388B1"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Derivado de lo expuesto, es claro que existe una notoria incompetencia por parte del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 xml:space="preserve">para dar respuesta al requerimiento de información, pues la autoridad competente para conocer respecto de la información es la </w:t>
      </w:r>
      <w:r w:rsidRPr="001832AD">
        <w:rPr>
          <w:rFonts w:ascii="Palatino Linotype" w:eastAsia="Palatino Linotype" w:hAnsi="Palatino Linotype" w:cs="Palatino Linotype"/>
          <w:b/>
          <w:bCs/>
          <w:sz w:val="22"/>
          <w:szCs w:val="22"/>
        </w:rPr>
        <w:t>Oficialía Mayor</w:t>
      </w:r>
      <w:r w:rsidRPr="001832AD">
        <w:rPr>
          <w:rFonts w:ascii="Palatino Linotype" w:eastAsia="Palatino Linotype" w:hAnsi="Palatino Linotype" w:cs="Palatino Linotype"/>
          <w:sz w:val="22"/>
          <w:szCs w:val="22"/>
        </w:rPr>
        <w:t xml:space="preserve">. </w:t>
      </w:r>
    </w:p>
    <w:p w14:paraId="456FE48A"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709F4DBC"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Por lo que, con el Acuerdo de Incompetencia remitido por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 xml:space="preserve">en respuesta, a través del cual el Titular de la Unidad de Transparencia, con fundamento, entre otros preceptos, el artículo 167 de la Ley de Transparencia Local, declara la incompetencia del Sujeto Obligado para atender la solicitud de información que nos ocupa, es suficiente para tener por atendido el requerimiento de información, ya que es claro que existe una notoria incompetencia por parte del </w:t>
      </w:r>
      <w:r w:rsidRPr="001832AD">
        <w:rPr>
          <w:rFonts w:ascii="Palatino Linotype" w:eastAsia="Palatino Linotype" w:hAnsi="Palatino Linotype" w:cs="Palatino Linotype"/>
          <w:b/>
          <w:bCs/>
          <w:sz w:val="22"/>
          <w:szCs w:val="22"/>
        </w:rPr>
        <w:t xml:space="preserve">ente público </w:t>
      </w:r>
      <w:r w:rsidRPr="001832AD">
        <w:rPr>
          <w:rFonts w:ascii="Palatino Linotype" w:eastAsia="Palatino Linotype" w:hAnsi="Palatino Linotype" w:cs="Palatino Linotype"/>
          <w:sz w:val="22"/>
          <w:szCs w:val="22"/>
        </w:rPr>
        <w:t>para atender lo peticionado.</w:t>
      </w:r>
    </w:p>
    <w:p w14:paraId="2A7609B4"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0D5F0128"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Por lo que, se dejan a salvo los derechos de la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xml:space="preserve"> para presentar una nueva solicitud de información ante ese sujeto obligado, con la finalidad de allegarse de la información de su interés. </w:t>
      </w:r>
    </w:p>
    <w:p w14:paraId="10BC08F1"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18AFBBE0" w14:textId="77777777" w:rsidR="0070461B" w:rsidRPr="001832AD" w:rsidRDefault="0012708D">
      <w:pPr>
        <w:numPr>
          <w:ilvl w:val="0"/>
          <w:numId w:val="4"/>
        </w:numPr>
        <w:spacing w:line="360" w:lineRule="auto"/>
        <w:jc w:val="both"/>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b/>
          <w:bCs/>
          <w:sz w:val="22"/>
          <w:szCs w:val="22"/>
        </w:rPr>
        <w:t xml:space="preserve">De la declaratoria de incompetencia del Sujeto Obligado. </w:t>
      </w:r>
    </w:p>
    <w:p w14:paraId="28C74E4D" w14:textId="77777777" w:rsidR="0070461B" w:rsidRPr="001832AD" w:rsidRDefault="0070461B">
      <w:pPr>
        <w:spacing w:line="360" w:lineRule="auto"/>
        <w:ind w:left="720"/>
        <w:jc w:val="both"/>
        <w:rPr>
          <w:rFonts w:ascii="Palatino Linotype" w:eastAsia="Palatino Linotype" w:hAnsi="Palatino Linotype" w:cs="Palatino Linotype"/>
          <w:b/>
          <w:bCs/>
          <w:sz w:val="22"/>
          <w:szCs w:val="22"/>
        </w:rPr>
      </w:pPr>
    </w:p>
    <w:p w14:paraId="0113B638" w14:textId="77777777" w:rsidR="0070461B" w:rsidRPr="001832AD" w:rsidRDefault="0012708D">
      <w:pPr>
        <w:tabs>
          <w:tab w:val="left" w:pos="142"/>
          <w:tab w:val="left" w:pos="284"/>
        </w:tabs>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Respecto a la Declaración de Incompetencia la Ley de Transparencia y Acceso a la Información Pública del Estado de México, establece, en los artículos 49, fracción II y 167, lo siguiente: </w:t>
      </w:r>
    </w:p>
    <w:p w14:paraId="6C423871" w14:textId="77777777" w:rsidR="0070461B" w:rsidRPr="001832AD" w:rsidRDefault="0070461B">
      <w:pPr>
        <w:tabs>
          <w:tab w:val="left" w:pos="142"/>
          <w:tab w:val="left" w:pos="284"/>
        </w:tabs>
        <w:spacing w:line="360" w:lineRule="auto"/>
        <w:ind w:left="851" w:right="902"/>
        <w:jc w:val="both"/>
        <w:rPr>
          <w:rFonts w:ascii="Palatino Linotype" w:eastAsia="Palatino Linotype" w:hAnsi="Palatino Linotype" w:cs="Palatino Linotype"/>
          <w:i/>
          <w:iCs/>
          <w:sz w:val="22"/>
          <w:szCs w:val="22"/>
        </w:rPr>
      </w:pPr>
    </w:p>
    <w:p w14:paraId="437C2670" w14:textId="77777777" w:rsidR="0070461B" w:rsidRPr="001832AD" w:rsidRDefault="0012708D">
      <w:pPr>
        <w:tabs>
          <w:tab w:val="left" w:pos="142"/>
          <w:tab w:val="left" w:pos="284"/>
        </w:tabs>
        <w:spacing w:line="276" w:lineRule="auto"/>
        <w:ind w:left="567" w:right="990"/>
        <w:jc w:val="both"/>
        <w:rPr>
          <w:rFonts w:ascii="Palatino Linotype" w:eastAsia="Palatino Linotype" w:hAnsi="Palatino Linotype" w:cs="Palatino Linotype"/>
          <w:i/>
          <w:iCs/>
          <w:sz w:val="22"/>
          <w:szCs w:val="22"/>
        </w:rPr>
      </w:pPr>
      <w:r w:rsidRPr="001832AD">
        <w:rPr>
          <w:rFonts w:ascii="Palatino Linotype" w:eastAsia="Palatino Linotype" w:hAnsi="Palatino Linotype" w:cs="Palatino Linotype"/>
          <w:i/>
          <w:iCs/>
          <w:sz w:val="22"/>
          <w:szCs w:val="22"/>
        </w:rPr>
        <w:t>“</w:t>
      </w:r>
      <w:r w:rsidRPr="001832AD">
        <w:rPr>
          <w:rFonts w:ascii="Palatino Linotype" w:eastAsia="Palatino Linotype" w:hAnsi="Palatino Linotype" w:cs="Palatino Linotype"/>
          <w:b/>
          <w:bCs/>
          <w:i/>
          <w:iCs/>
          <w:sz w:val="22"/>
          <w:szCs w:val="22"/>
        </w:rPr>
        <w:t>Artículo 49.</w:t>
      </w:r>
      <w:r w:rsidRPr="001832AD">
        <w:rPr>
          <w:rFonts w:ascii="Palatino Linotype" w:eastAsia="Palatino Linotype" w:hAnsi="Palatino Linotype" w:cs="Palatino Linotype"/>
          <w:i/>
          <w:iCs/>
          <w:sz w:val="22"/>
          <w:szCs w:val="22"/>
        </w:rPr>
        <w:t xml:space="preserve"> </w:t>
      </w:r>
      <w:r w:rsidRPr="001832AD">
        <w:rPr>
          <w:rFonts w:ascii="Palatino Linotype" w:eastAsia="Palatino Linotype" w:hAnsi="Palatino Linotype" w:cs="Palatino Linotype"/>
          <w:b/>
          <w:bCs/>
          <w:i/>
          <w:iCs/>
          <w:sz w:val="22"/>
          <w:szCs w:val="22"/>
        </w:rPr>
        <w:t>Los Comités de Transparencia</w:t>
      </w:r>
      <w:r w:rsidRPr="001832AD">
        <w:rPr>
          <w:rFonts w:ascii="Palatino Linotype" w:eastAsia="Palatino Linotype" w:hAnsi="Palatino Linotype" w:cs="Palatino Linotype"/>
          <w:i/>
          <w:iCs/>
          <w:sz w:val="22"/>
          <w:szCs w:val="22"/>
        </w:rPr>
        <w:t xml:space="preserve"> tendrán las siguientes atribuciones:</w:t>
      </w:r>
    </w:p>
    <w:p w14:paraId="0CDB5E8C" w14:textId="77777777" w:rsidR="0070461B" w:rsidRPr="001832AD" w:rsidRDefault="0012708D">
      <w:pPr>
        <w:tabs>
          <w:tab w:val="left" w:pos="142"/>
          <w:tab w:val="left" w:pos="284"/>
        </w:tabs>
        <w:spacing w:line="276" w:lineRule="auto"/>
        <w:ind w:left="567" w:right="990"/>
        <w:jc w:val="both"/>
        <w:rPr>
          <w:rFonts w:ascii="Palatino Linotype" w:eastAsia="Palatino Linotype" w:hAnsi="Palatino Linotype" w:cs="Palatino Linotype"/>
          <w:b/>
          <w:bCs/>
          <w:i/>
          <w:iCs/>
          <w:sz w:val="22"/>
          <w:szCs w:val="22"/>
        </w:rPr>
      </w:pPr>
      <w:r w:rsidRPr="001832AD">
        <w:rPr>
          <w:rFonts w:ascii="Palatino Linotype" w:eastAsia="Palatino Linotype" w:hAnsi="Palatino Linotype" w:cs="Palatino Linotype"/>
          <w:b/>
          <w:bCs/>
          <w:i/>
          <w:iCs/>
          <w:sz w:val="22"/>
          <w:szCs w:val="22"/>
        </w:rPr>
        <w:t>...</w:t>
      </w:r>
    </w:p>
    <w:p w14:paraId="56C6DBC0" w14:textId="77777777" w:rsidR="0070461B" w:rsidRPr="001832AD" w:rsidRDefault="0012708D">
      <w:pPr>
        <w:tabs>
          <w:tab w:val="left" w:pos="142"/>
          <w:tab w:val="left" w:pos="284"/>
        </w:tabs>
        <w:spacing w:line="276" w:lineRule="auto"/>
        <w:ind w:left="567" w:right="990"/>
        <w:jc w:val="both"/>
        <w:rPr>
          <w:rFonts w:ascii="Palatino Linotype" w:eastAsia="Palatino Linotype" w:hAnsi="Palatino Linotype" w:cs="Palatino Linotype"/>
          <w:b/>
          <w:bCs/>
          <w:i/>
          <w:iCs/>
          <w:sz w:val="22"/>
          <w:szCs w:val="22"/>
          <w:u w:val="single"/>
        </w:rPr>
      </w:pPr>
      <w:r w:rsidRPr="001832AD">
        <w:rPr>
          <w:rFonts w:ascii="Palatino Linotype" w:eastAsia="Palatino Linotype" w:hAnsi="Palatino Linotype" w:cs="Palatino Linotype"/>
          <w:b/>
          <w:bCs/>
          <w:i/>
          <w:iCs/>
          <w:sz w:val="22"/>
          <w:szCs w:val="22"/>
        </w:rPr>
        <w:t>II.</w:t>
      </w:r>
      <w:r w:rsidRPr="001832AD">
        <w:rPr>
          <w:rFonts w:ascii="Calibri" w:eastAsia="Calibri" w:hAnsi="Calibri" w:cs="Calibri"/>
          <w:sz w:val="22"/>
          <w:szCs w:val="22"/>
        </w:rPr>
        <w:t xml:space="preserve"> </w:t>
      </w:r>
      <w:r w:rsidRPr="001832AD">
        <w:rPr>
          <w:rFonts w:ascii="Palatino Linotype" w:eastAsia="Palatino Linotype" w:hAnsi="Palatino Linotype" w:cs="Palatino Linotype"/>
          <w:b/>
          <w:bCs/>
          <w:i/>
          <w:iCs/>
          <w:sz w:val="22"/>
          <w:szCs w:val="22"/>
        </w:rPr>
        <w:t>Confirmar, modificar o revocar</w:t>
      </w:r>
      <w:r w:rsidRPr="001832AD">
        <w:rPr>
          <w:rFonts w:ascii="Palatino Linotype" w:eastAsia="Palatino Linotype" w:hAnsi="Palatino Linotype" w:cs="Palatino Linotype"/>
          <w:i/>
          <w:iCs/>
          <w:sz w:val="22"/>
          <w:szCs w:val="22"/>
        </w:rPr>
        <w:t xml:space="preserve"> las determinaciones que en materia de ampliación del plazo de respuesta, clasificación de la información </w:t>
      </w:r>
      <w:r w:rsidRPr="001832AD">
        <w:rPr>
          <w:rFonts w:ascii="Palatino Linotype" w:eastAsia="Palatino Linotype" w:hAnsi="Palatino Linotype" w:cs="Palatino Linotype"/>
          <w:b/>
          <w:bCs/>
          <w:i/>
          <w:iCs/>
          <w:sz w:val="22"/>
          <w:szCs w:val="22"/>
        </w:rPr>
        <w:t>y declaración</w:t>
      </w:r>
      <w:r w:rsidRPr="001832AD">
        <w:rPr>
          <w:rFonts w:ascii="Palatino Linotype" w:eastAsia="Palatino Linotype" w:hAnsi="Palatino Linotype" w:cs="Palatino Linotype"/>
          <w:i/>
          <w:iCs/>
          <w:sz w:val="22"/>
          <w:szCs w:val="22"/>
        </w:rPr>
        <w:t xml:space="preserve"> de inexistencia o </w:t>
      </w:r>
      <w:r w:rsidRPr="001832AD">
        <w:rPr>
          <w:rFonts w:ascii="Palatino Linotype" w:eastAsia="Palatino Linotype" w:hAnsi="Palatino Linotype" w:cs="Palatino Linotype"/>
          <w:b/>
          <w:bCs/>
          <w:i/>
          <w:iCs/>
          <w:sz w:val="22"/>
          <w:szCs w:val="22"/>
        </w:rPr>
        <w:t>de incompetencia realicen los titulares de las áreas de los sujetos obligados;</w:t>
      </w:r>
    </w:p>
    <w:p w14:paraId="25E94C1D" w14:textId="77777777" w:rsidR="0070461B" w:rsidRPr="001832AD" w:rsidRDefault="0012708D">
      <w:pPr>
        <w:tabs>
          <w:tab w:val="left" w:pos="142"/>
          <w:tab w:val="left" w:pos="284"/>
        </w:tabs>
        <w:spacing w:line="276" w:lineRule="auto"/>
        <w:ind w:left="567" w:right="990"/>
        <w:jc w:val="both"/>
        <w:rPr>
          <w:rFonts w:ascii="Palatino Linotype" w:eastAsia="Palatino Linotype" w:hAnsi="Palatino Linotype" w:cs="Palatino Linotype"/>
          <w:b/>
          <w:bCs/>
          <w:i/>
          <w:iCs/>
          <w:sz w:val="22"/>
          <w:szCs w:val="22"/>
        </w:rPr>
      </w:pPr>
      <w:r w:rsidRPr="001832AD">
        <w:rPr>
          <w:rFonts w:ascii="Palatino Linotype" w:eastAsia="Palatino Linotype" w:hAnsi="Palatino Linotype" w:cs="Palatino Linotype"/>
          <w:b/>
          <w:bCs/>
          <w:i/>
          <w:iCs/>
          <w:sz w:val="22"/>
          <w:szCs w:val="22"/>
        </w:rPr>
        <w:t>...</w:t>
      </w:r>
    </w:p>
    <w:p w14:paraId="0219B594" w14:textId="77777777" w:rsidR="0070461B" w:rsidRPr="001832AD" w:rsidRDefault="0012708D">
      <w:pPr>
        <w:tabs>
          <w:tab w:val="left" w:pos="142"/>
          <w:tab w:val="left" w:pos="284"/>
        </w:tabs>
        <w:spacing w:line="276" w:lineRule="auto"/>
        <w:ind w:left="567" w:right="990"/>
        <w:jc w:val="both"/>
        <w:rPr>
          <w:rFonts w:ascii="Palatino Linotype" w:eastAsia="Palatino Linotype" w:hAnsi="Palatino Linotype" w:cs="Palatino Linotype"/>
          <w:b/>
          <w:bCs/>
          <w:i/>
          <w:iCs/>
          <w:sz w:val="22"/>
          <w:szCs w:val="22"/>
        </w:rPr>
      </w:pPr>
      <w:r w:rsidRPr="001832AD">
        <w:rPr>
          <w:rFonts w:ascii="Palatino Linotype" w:eastAsia="Palatino Linotype" w:hAnsi="Palatino Linotype" w:cs="Palatino Linotype"/>
          <w:b/>
          <w:bCs/>
          <w:i/>
          <w:iCs/>
          <w:sz w:val="22"/>
          <w:szCs w:val="22"/>
        </w:rPr>
        <w:t>Artículo 167</w:t>
      </w:r>
      <w:r w:rsidRPr="001832AD">
        <w:rPr>
          <w:rFonts w:ascii="Palatino Linotype" w:eastAsia="Palatino Linotype" w:hAnsi="Palatino Linotype" w:cs="Palatino Linotype"/>
          <w:i/>
          <w:iCs/>
          <w:sz w:val="22"/>
          <w:szCs w:val="22"/>
        </w:rPr>
        <w:t xml:space="preserve">. </w:t>
      </w:r>
      <w:r w:rsidRPr="001832AD">
        <w:rPr>
          <w:rFonts w:ascii="Palatino Linotype" w:eastAsia="Palatino Linotype" w:hAnsi="Palatino Linotype" w:cs="Palatino Linotype"/>
          <w:b/>
          <w:bCs/>
          <w:i/>
          <w:iCs/>
          <w:sz w:val="22"/>
          <w:szCs w:val="22"/>
        </w:rPr>
        <w:t>Cuando las unidades de transparencia determinen la notoria incompetencia</w:t>
      </w:r>
      <w:r w:rsidRPr="001832AD">
        <w:rPr>
          <w:rFonts w:ascii="Palatino Linotype" w:eastAsia="Palatino Linotype" w:hAnsi="Palatino Linotype" w:cs="Palatino Linotype"/>
          <w:i/>
          <w:iCs/>
          <w:sz w:val="22"/>
          <w:szCs w:val="22"/>
        </w:rPr>
        <w:t xml:space="preserve"> por parte de los sujetos obligados, dentro del ámbito de aplicación, para atender la solicitud de acceso a la información, </w:t>
      </w:r>
      <w:r w:rsidRPr="001832AD">
        <w:rPr>
          <w:rFonts w:ascii="Palatino Linotype" w:eastAsia="Palatino Linotype" w:hAnsi="Palatino Linotype" w:cs="Palatino Linotype"/>
          <w:b/>
          <w:bCs/>
          <w:i/>
          <w:iCs/>
          <w:sz w:val="22"/>
          <w:szCs w:val="22"/>
        </w:rPr>
        <w:t>deberán comunicarlo al solicitante, dentro de los tres días hábiles posteriores a la recepción de la solicitud</w:t>
      </w:r>
      <w:r w:rsidRPr="001832AD">
        <w:rPr>
          <w:rFonts w:ascii="Palatino Linotype" w:eastAsia="Palatino Linotype" w:hAnsi="Palatino Linotype" w:cs="Palatino Linotype"/>
          <w:i/>
          <w:iCs/>
          <w:sz w:val="22"/>
          <w:szCs w:val="22"/>
        </w:rPr>
        <w:t xml:space="preserve"> y, </w:t>
      </w:r>
      <w:r w:rsidRPr="001832AD">
        <w:rPr>
          <w:rFonts w:ascii="Palatino Linotype" w:eastAsia="Palatino Linotype" w:hAnsi="Palatino Linotype" w:cs="Palatino Linotype"/>
          <w:b/>
          <w:bCs/>
          <w:i/>
          <w:iCs/>
          <w:sz w:val="22"/>
          <w:szCs w:val="22"/>
        </w:rPr>
        <w:t>en su caso orientar al solicitante, el o los sujetos obligados competentes.</w:t>
      </w:r>
    </w:p>
    <w:p w14:paraId="2F57955B" w14:textId="77777777" w:rsidR="0070461B" w:rsidRPr="001832AD" w:rsidRDefault="0070461B">
      <w:pPr>
        <w:spacing w:line="360" w:lineRule="auto"/>
        <w:ind w:left="851" w:right="902"/>
        <w:jc w:val="both"/>
        <w:rPr>
          <w:rFonts w:ascii="Palatino Linotype" w:eastAsia="Palatino Linotype" w:hAnsi="Palatino Linotype" w:cs="Palatino Linotype"/>
          <w:sz w:val="22"/>
          <w:szCs w:val="22"/>
        </w:rPr>
      </w:pPr>
    </w:p>
    <w:p w14:paraId="4E098C71" w14:textId="77777777" w:rsidR="0070461B" w:rsidRPr="001832AD" w:rsidRDefault="0012708D">
      <w:pPr>
        <w:tabs>
          <w:tab w:val="left" w:pos="142"/>
          <w:tab w:val="left" w:pos="284"/>
        </w:tabs>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 en aquellos casos en los que no se trate de una notoria incompetencia.</w:t>
      </w:r>
    </w:p>
    <w:p w14:paraId="5F5DA75C" w14:textId="77777777" w:rsidR="0070461B" w:rsidRPr="001832AD" w:rsidRDefault="0070461B">
      <w:pPr>
        <w:tabs>
          <w:tab w:val="left" w:pos="142"/>
          <w:tab w:val="left" w:pos="284"/>
        </w:tabs>
        <w:spacing w:line="360" w:lineRule="auto"/>
        <w:jc w:val="both"/>
        <w:rPr>
          <w:rFonts w:ascii="Palatino Linotype" w:eastAsia="Palatino Linotype" w:hAnsi="Palatino Linotype" w:cs="Palatino Linotype"/>
          <w:sz w:val="22"/>
          <w:szCs w:val="22"/>
        </w:rPr>
      </w:pPr>
    </w:p>
    <w:p w14:paraId="26EA6C3C"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Asimismo, del artículo 167 de la Ley de Transparencia anteriormente citado, se desprende que cuando las Unidades de Transparencia, determinen una notoria incompetencia por parte de los entes públicos, deben realizar lo siguiente:</w:t>
      </w:r>
    </w:p>
    <w:p w14:paraId="0A46FE49" w14:textId="77777777" w:rsidR="0070461B" w:rsidRPr="001832AD" w:rsidRDefault="0070461B">
      <w:pPr>
        <w:spacing w:line="360" w:lineRule="auto"/>
        <w:jc w:val="both"/>
        <w:rPr>
          <w:rFonts w:ascii="Palatino Linotype" w:eastAsia="Palatino Linotype" w:hAnsi="Palatino Linotype" w:cs="Palatino Linotype"/>
          <w:sz w:val="22"/>
          <w:szCs w:val="22"/>
        </w:rPr>
      </w:pPr>
    </w:p>
    <w:p w14:paraId="6095EABE" w14:textId="77777777" w:rsidR="0070461B" w:rsidRPr="001832AD" w:rsidRDefault="0012708D">
      <w:pPr>
        <w:numPr>
          <w:ilvl w:val="0"/>
          <w:numId w:val="3"/>
        </w:numPr>
        <w:pBdr>
          <w:top w:val="nil"/>
          <w:left w:val="nil"/>
          <w:bottom w:val="nil"/>
          <w:right w:val="nil"/>
          <w:between w:val="nil"/>
        </w:pBdr>
        <w:tabs>
          <w:tab w:val="left" w:pos="709"/>
        </w:tabs>
        <w:spacing w:before="12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Hacerlo del conocimiento de la persona solicitante, dentro de los tres días hábiles, posteriores a la presentación de la solicitud de información, y</w:t>
      </w:r>
    </w:p>
    <w:p w14:paraId="725B6C03" w14:textId="77777777" w:rsidR="0070461B" w:rsidRPr="001832AD" w:rsidRDefault="0070461B">
      <w:pPr>
        <w:pBdr>
          <w:top w:val="nil"/>
          <w:left w:val="nil"/>
          <w:bottom w:val="nil"/>
          <w:right w:val="nil"/>
          <w:between w:val="nil"/>
        </w:pBdr>
        <w:tabs>
          <w:tab w:val="left" w:pos="709"/>
        </w:tabs>
        <w:spacing w:line="360" w:lineRule="auto"/>
        <w:ind w:left="360"/>
        <w:jc w:val="both"/>
        <w:rPr>
          <w:rFonts w:ascii="Palatino Linotype" w:eastAsia="Palatino Linotype" w:hAnsi="Palatino Linotype" w:cs="Palatino Linotype"/>
          <w:sz w:val="22"/>
          <w:szCs w:val="22"/>
        </w:rPr>
      </w:pPr>
    </w:p>
    <w:p w14:paraId="384BABFF" w14:textId="77777777" w:rsidR="0070461B" w:rsidRPr="001832AD" w:rsidRDefault="0012708D">
      <w:pPr>
        <w:numPr>
          <w:ilvl w:val="0"/>
          <w:numId w:val="3"/>
        </w:numPr>
        <w:pBdr>
          <w:top w:val="nil"/>
          <w:left w:val="nil"/>
          <w:bottom w:val="nil"/>
          <w:right w:val="nil"/>
          <w:between w:val="nil"/>
        </w:pBdr>
        <w:tabs>
          <w:tab w:val="left" w:pos="709"/>
        </w:tabs>
        <w:spacing w:after="12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En caso de conocer el Sujeto Obligado competente, orientarle a presentar la solicitud ante el mismo.</w:t>
      </w:r>
    </w:p>
    <w:p w14:paraId="4A1227AF" w14:textId="77777777" w:rsidR="0070461B" w:rsidRPr="001832AD" w:rsidRDefault="0070461B">
      <w:pPr>
        <w:pBdr>
          <w:top w:val="nil"/>
          <w:left w:val="nil"/>
          <w:bottom w:val="nil"/>
          <w:right w:val="nil"/>
          <w:between w:val="nil"/>
        </w:pBdr>
        <w:ind w:left="851" w:right="851"/>
        <w:jc w:val="both"/>
        <w:rPr>
          <w:rFonts w:ascii="Palatino Linotype" w:eastAsia="Palatino Linotype" w:hAnsi="Palatino Linotype" w:cs="Palatino Linotype"/>
          <w:i/>
          <w:iCs/>
          <w:sz w:val="22"/>
          <w:szCs w:val="22"/>
        </w:rPr>
      </w:pPr>
    </w:p>
    <w:p w14:paraId="35893A71" w14:textId="77777777" w:rsidR="0070461B" w:rsidRPr="001832AD" w:rsidRDefault="0012708D">
      <w:pPr>
        <w:tabs>
          <w:tab w:val="left" w:pos="709"/>
        </w:tabs>
        <w:spacing w:line="360" w:lineRule="auto"/>
        <w:ind w:right="51"/>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tal virtud, la incompetencia implica que, de conformidad con las atribuciones conferidas al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 no habría razón por la cual éste deba contar con la información solicitada, en cuyo caso, tendría que orientar al particular para que acuda a la instancia competente.</w:t>
      </w:r>
    </w:p>
    <w:p w14:paraId="6C93E108" w14:textId="77777777" w:rsidR="0070461B" w:rsidRPr="001832AD" w:rsidRDefault="0070461B">
      <w:pPr>
        <w:tabs>
          <w:tab w:val="left" w:pos="142"/>
          <w:tab w:val="left" w:pos="284"/>
        </w:tabs>
        <w:spacing w:line="360" w:lineRule="auto"/>
        <w:jc w:val="both"/>
        <w:rPr>
          <w:rFonts w:ascii="Palatino Linotype" w:eastAsia="Palatino Linotype" w:hAnsi="Palatino Linotype" w:cs="Palatino Linotype"/>
          <w:sz w:val="22"/>
          <w:szCs w:val="22"/>
        </w:rPr>
      </w:pPr>
    </w:p>
    <w:p w14:paraId="002CE3E6" w14:textId="77777777" w:rsidR="0070461B" w:rsidRPr="001832AD" w:rsidRDefault="0012708D">
      <w:pPr>
        <w:tabs>
          <w:tab w:val="left" w:pos="142"/>
          <w:tab w:val="left" w:pos="284"/>
        </w:tabs>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En el presente caso, la solicitud de información fue registrada en fecha </w:t>
      </w:r>
      <w:r w:rsidRPr="001832AD">
        <w:rPr>
          <w:rFonts w:ascii="Palatino Linotype" w:eastAsia="Palatino Linotype" w:hAnsi="Palatino Linotype" w:cs="Palatino Linotype"/>
          <w:b/>
          <w:bCs/>
          <w:sz w:val="22"/>
          <w:szCs w:val="22"/>
        </w:rPr>
        <w:t>diecisiete de julio dos mil veinticinco</w:t>
      </w:r>
      <w:r w:rsidRPr="001832AD">
        <w:rPr>
          <w:rFonts w:ascii="Palatino Linotype" w:eastAsia="Palatino Linotype" w:hAnsi="Palatino Linotype" w:cs="Palatino Linotype"/>
          <w:sz w:val="22"/>
          <w:szCs w:val="22"/>
        </w:rPr>
        <w:t xml:space="preserve"> y la declinación de competencia fue hecha por el </w:t>
      </w:r>
      <w:r w:rsidRPr="001832AD">
        <w:rPr>
          <w:rFonts w:ascii="Palatino Linotype" w:eastAsia="Palatino Linotype" w:hAnsi="Palatino Linotype" w:cs="Palatino Linotype"/>
          <w:b/>
          <w:bCs/>
          <w:sz w:val="22"/>
          <w:szCs w:val="22"/>
        </w:rPr>
        <w:t xml:space="preserve">Sujeto Obligado </w:t>
      </w:r>
      <w:r w:rsidRPr="001832AD">
        <w:rPr>
          <w:rFonts w:ascii="Palatino Linotype" w:eastAsia="Palatino Linotype" w:hAnsi="Palatino Linotype" w:cs="Palatino Linotype"/>
          <w:sz w:val="22"/>
          <w:szCs w:val="22"/>
        </w:rPr>
        <w:t xml:space="preserve">el </w:t>
      </w:r>
      <w:r w:rsidRPr="001832AD">
        <w:rPr>
          <w:rFonts w:ascii="Palatino Linotype" w:eastAsia="Palatino Linotype" w:hAnsi="Palatino Linotype" w:cs="Palatino Linotype"/>
          <w:b/>
          <w:bCs/>
          <w:sz w:val="22"/>
          <w:szCs w:val="22"/>
        </w:rPr>
        <w:t>dieciocho de julio de dos mil veinticinco</w:t>
      </w:r>
      <w:r w:rsidRPr="001832AD">
        <w:rPr>
          <w:rFonts w:ascii="Palatino Linotype" w:eastAsia="Palatino Linotype" w:hAnsi="Palatino Linotype" w:cs="Palatino Linotype"/>
          <w:sz w:val="22"/>
          <w:szCs w:val="22"/>
        </w:rPr>
        <w:t xml:space="preserve">, esto es, el primer día hábil siguiente a aquel en que se tuvo conocimiento de la solicitud, lo que indica que la </w:t>
      </w:r>
      <w:r w:rsidRPr="001832AD">
        <w:rPr>
          <w:rFonts w:ascii="Palatino Linotype" w:eastAsia="Palatino Linotype" w:hAnsi="Palatino Linotype" w:cs="Palatino Linotype"/>
          <w:b/>
          <w:bCs/>
          <w:sz w:val="22"/>
          <w:szCs w:val="22"/>
          <w:u w:val="single"/>
        </w:rPr>
        <w:t>declinación de competencia se presentó dentro del plazo de los tres días establecidos en la Ley</w:t>
      </w:r>
      <w:r w:rsidRPr="001832AD">
        <w:rPr>
          <w:rFonts w:ascii="Palatino Linotype" w:eastAsia="Palatino Linotype" w:hAnsi="Palatino Linotype" w:cs="Palatino Linotype"/>
          <w:sz w:val="22"/>
          <w:szCs w:val="22"/>
        </w:rPr>
        <w:t xml:space="preserve">, situación que nos conduce a señalar que el Sujeto Obligado dio cabal cumplimiento a las formalidades que se establecen para declarar su incompetencia. </w:t>
      </w:r>
    </w:p>
    <w:p w14:paraId="552FA8EC" w14:textId="77777777" w:rsidR="0070461B" w:rsidRPr="001832AD" w:rsidRDefault="0070461B">
      <w:pPr>
        <w:tabs>
          <w:tab w:val="left" w:pos="142"/>
          <w:tab w:val="left" w:pos="284"/>
        </w:tabs>
        <w:spacing w:line="360" w:lineRule="auto"/>
        <w:jc w:val="both"/>
        <w:rPr>
          <w:rFonts w:ascii="Palatino Linotype" w:eastAsia="Palatino Linotype" w:hAnsi="Palatino Linotype" w:cs="Palatino Linotype"/>
          <w:sz w:val="22"/>
          <w:szCs w:val="22"/>
        </w:rPr>
      </w:pPr>
    </w:p>
    <w:p w14:paraId="207052AF" w14:textId="77777777" w:rsidR="0070461B" w:rsidRPr="001832AD" w:rsidRDefault="0012708D">
      <w:pPr>
        <w:tabs>
          <w:tab w:val="left" w:pos="142"/>
          <w:tab w:val="left" w:pos="284"/>
        </w:tabs>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Aunado a que de la respuesta emitida por el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 xml:space="preserve"> se advierte que este emitió orientación a la persona solicitante para que presentara su solicitud a la </w:t>
      </w:r>
      <w:r w:rsidRPr="001832AD">
        <w:rPr>
          <w:rFonts w:ascii="Palatino Linotype" w:eastAsia="Palatino Linotype" w:hAnsi="Palatino Linotype" w:cs="Palatino Linotype"/>
          <w:b/>
          <w:bCs/>
          <w:sz w:val="22"/>
          <w:szCs w:val="22"/>
          <w:u w:val="single"/>
        </w:rPr>
        <w:t>Oficialía Mayor</w:t>
      </w:r>
      <w:r w:rsidRPr="001832AD">
        <w:rPr>
          <w:rFonts w:ascii="Palatino Linotype" w:eastAsia="Palatino Linotype" w:hAnsi="Palatino Linotype" w:cs="Palatino Linotype"/>
          <w:sz w:val="22"/>
          <w:szCs w:val="22"/>
        </w:rPr>
        <w:t>.</w:t>
      </w:r>
    </w:p>
    <w:p w14:paraId="1020C97C" w14:textId="77777777" w:rsidR="0070461B" w:rsidRPr="001832AD" w:rsidRDefault="0070461B">
      <w:pPr>
        <w:spacing w:line="360" w:lineRule="auto"/>
        <w:ind w:right="49"/>
        <w:jc w:val="both"/>
        <w:rPr>
          <w:rFonts w:ascii="Palatino Linotype" w:eastAsia="Palatino Linotype" w:hAnsi="Palatino Linotype" w:cs="Palatino Linotype"/>
          <w:sz w:val="22"/>
          <w:szCs w:val="22"/>
        </w:rPr>
      </w:pPr>
    </w:p>
    <w:p w14:paraId="54DE5F94" w14:textId="77777777" w:rsidR="0070461B" w:rsidRPr="001832AD" w:rsidRDefault="0012708D">
      <w:pPr>
        <w:spacing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Por lo anterior, toda vez que, se demostró que el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 xml:space="preserve"> no es competente para generar, administrar y poseer la información solicitada, este declinó su competencia dentro del plazo establecido por la Ley en la materia, y emitió orientación a la persona solicitante sobre el sujeto obligado que tiene competencia para conocer sobre lo requerido, se determina que, los agravios hechos valer por la parte </w:t>
      </w:r>
      <w:r w:rsidRPr="001832AD">
        <w:rPr>
          <w:rFonts w:ascii="Palatino Linotype" w:eastAsia="Palatino Linotype" w:hAnsi="Palatino Linotype" w:cs="Palatino Linotype"/>
          <w:b/>
          <w:bCs/>
          <w:sz w:val="22"/>
          <w:szCs w:val="22"/>
        </w:rPr>
        <w:t xml:space="preserve">Recurrente </w:t>
      </w:r>
      <w:r w:rsidRPr="001832AD">
        <w:rPr>
          <w:rFonts w:ascii="Palatino Linotype" w:eastAsia="Palatino Linotype" w:hAnsi="Palatino Linotype" w:cs="Palatino Linotype"/>
          <w:sz w:val="22"/>
          <w:szCs w:val="22"/>
        </w:rPr>
        <w:t xml:space="preserve">devienen </w:t>
      </w:r>
      <w:r w:rsidRPr="001832AD">
        <w:rPr>
          <w:rFonts w:ascii="Palatino Linotype" w:eastAsia="Palatino Linotype" w:hAnsi="Palatino Linotype" w:cs="Palatino Linotype"/>
          <w:b/>
          <w:bCs/>
          <w:sz w:val="22"/>
          <w:szCs w:val="22"/>
        </w:rPr>
        <w:t xml:space="preserve">infundados </w:t>
      </w:r>
      <w:r w:rsidRPr="001832AD">
        <w:rPr>
          <w:rFonts w:ascii="Palatino Linotype" w:eastAsia="Palatino Linotype" w:hAnsi="Palatino Linotype" w:cs="Palatino Linotype"/>
          <w:sz w:val="22"/>
          <w:szCs w:val="22"/>
        </w:rPr>
        <w:t xml:space="preserve">y, por lo tanto, resulta procedente </w:t>
      </w:r>
      <w:r w:rsidRPr="001832AD">
        <w:rPr>
          <w:rFonts w:ascii="Palatino Linotype" w:eastAsia="Palatino Linotype" w:hAnsi="Palatino Linotype" w:cs="Palatino Linotype"/>
          <w:b/>
          <w:bCs/>
          <w:sz w:val="22"/>
          <w:szCs w:val="22"/>
        </w:rPr>
        <w:t xml:space="preserve">confirmar </w:t>
      </w:r>
      <w:r w:rsidRPr="001832AD">
        <w:rPr>
          <w:rFonts w:ascii="Palatino Linotype" w:eastAsia="Palatino Linotype" w:hAnsi="Palatino Linotype" w:cs="Palatino Linotype"/>
          <w:sz w:val="22"/>
          <w:szCs w:val="22"/>
        </w:rPr>
        <w:t>la respuesta emitida por el Sujeto Obligado, en términos de la fracción II del artículo 186 de la Ley de Transparencia y Acceso a la Información Pública del Estado de México y Municipios.</w:t>
      </w:r>
    </w:p>
    <w:p w14:paraId="7205A02E" w14:textId="77777777" w:rsidR="0070461B" w:rsidRPr="001832AD" w:rsidRDefault="0012708D">
      <w:pPr>
        <w:spacing w:before="240" w:after="240" w:line="360" w:lineRule="auto"/>
        <w:ind w:right="51"/>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 xml:space="preserve">No obstante, se dejan a salvo sus derechos, para que, en caso de así considerarlo conveniente a sus intereses, pueda formular una solicitud ante el Sujeto Obligado competente, es decir, la </w:t>
      </w:r>
      <w:r w:rsidRPr="001832AD">
        <w:rPr>
          <w:rFonts w:ascii="Palatino Linotype" w:eastAsia="Palatino Linotype" w:hAnsi="Palatino Linotype" w:cs="Palatino Linotype"/>
          <w:b/>
          <w:bCs/>
          <w:sz w:val="22"/>
          <w:szCs w:val="22"/>
          <w:u w:val="single"/>
        </w:rPr>
        <w:t>Oficialía Mayor</w:t>
      </w:r>
      <w:r w:rsidRPr="001832AD">
        <w:rPr>
          <w:rFonts w:ascii="Palatino Linotype" w:eastAsia="Palatino Linotype" w:hAnsi="Palatino Linotype" w:cs="Palatino Linotype"/>
          <w:sz w:val="22"/>
          <w:szCs w:val="22"/>
        </w:rPr>
        <w:t>.</w:t>
      </w:r>
    </w:p>
    <w:p w14:paraId="5CDF08BC"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35EF03B" w14:textId="77777777" w:rsidR="0070461B" w:rsidRPr="001832AD" w:rsidRDefault="0012708D">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1832AD">
        <w:rPr>
          <w:rFonts w:ascii="Palatino Linotype" w:eastAsia="Palatino Linotype" w:hAnsi="Palatino Linotype" w:cs="Palatino Linotype"/>
          <w:b/>
          <w:bCs/>
          <w:sz w:val="22"/>
          <w:szCs w:val="22"/>
        </w:rPr>
        <w:t>III. R E S U E L V E</w:t>
      </w:r>
    </w:p>
    <w:p w14:paraId="1C3302C5"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10" w:name="_heading=h.1t3h5sf" w:colFirst="0" w:colLast="0"/>
      <w:bookmarkEnd w:id="10"/>
      <w:r w:rsidRPr="001832AD">
        <w:rPr>
          <w:rFonts w:ascii="Palatino Linotype" w:eastAsia="Palatino Linotype" w:hAnsi="Palatino Linotype" w:cs="Palatino Linotype"/>
          <w:b/>
          <w:bCs/>
          <w:sz w:val="22"/>
          <w:szCs w:val="22"/>
        </w:rPr>
        <w:t xml:space="preserve">Primero. </w:t>
      </w:r>
      <w:r w:rsidRPr="001832AD">
        <w:rPr>
          <w:rFonts w:ascii="Palatino Linotype" w:eastAsia="Palatino Linotype" w:hAnsi="Palatino Linotype" w:cs="Palatino Linotype"/>
          <w:sz w:val="22"/>
          <w:szCs w:val="22"/>
        </w:rPr>
        <w:t xml:space="preserve">Son </w:t>
      </w:r>
      <w:r w:rsidRPr="001832AD">
        <w:rPr>
          <w:rFonts w:ascii="Palatino Linotype" w:eastAsia="Palatino Linotype" w:hAnsi="Palatino Linotype" w:cs="Palatino Linotype"/>
          <w:b/>
          <w:bCs/>
          <w:sz w:val="22"/>
          <w:szCs w:val="22"/>
        </w:rPr>
        <w:t>infundadas</w:t>
      </w:r>
      <w:r w:rsidRPr="001832AD">
        <w:rPr>
          <w:rFonts w:ascii="Palatino Linotype" w:eastAsia="Palatino Linotype" w:hAnsi="Palatino Linotype" w:cs="Palatino Linotype"/>
          <w:sz w:val="22"/>
          <w:szCs w:val="22"/>
        </w:rPr>
        <w:t xml:space="preserve"> las razones o motivos de inconformidad hechos valer por la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xml:space="preserve"> en el recurso de revisión </w:t>
      </w:r>
      <w:r w:rsidRPr="001832AD">
        <w:rPr>
          <w:rFonts w:ascii="Palatino Linotype" w:eastAsia="Palatino Linotype" w:hAnsi="Palatino Linotype" w:cs="Palatino Linotype"/>
          <w:b/>
          <w:bCs/>
          <w:sz w:val="22"/>
          <w:szCs w:val="22"/>
        </w:rPr>
        <w:t>09959/INFOEM/IP/RR/2025</w:t>
      </w:r>
      <w:r w:rsidRPr="001832AD">
        <w:rPr>
          <w:rFonts w:ascii="Palatino Linotype" w:eastAsia="Palatino Linotype" w:hAnsi="Palatino Linotype" w:cs="Palatino Linotype"/>
          <w:sz w:val="22"/>
          <w:szCs w:val="22"/>
        </w:rPr>
        <w:t xml:space="preserve">, por lo que, en términos de los argumentos de derecho señalados en el considerando </w:t>
      </w:r>
      <w:r w:rsidRPr="001832AD">
        <w:rPr>
          <w:rFonts w:ascii="Palatino Linotype" w:eastAsia="Palatino Linotype" w:hAnsi="Palatino Linotype" w:cs="Palatino Linotype"/>
          <w:b/>
          <w:bCs/>
          <w:sz w:val="22"/>
          <w:szCs w:val="22"/>
        </w:rPr>
        <w:t>Cuarto</w:t>
      </w:r>
      <w:r w:rsidRPr="001832AD">
        <w:rPr>
          <w:rFonts w:ascii="Palatino Linotype" w:eastAsia="Palatino Linotype" w:hAnsi="Palatino Linotype" w:cs="Palatino Linotype"/>
          <w:sz w:val="22"/>
          <w:szCs w:val="22"/>
        </w:rPr>
        <w:t>, se</w:t>
      </w:r>
      <w:r w:rsidRPr="001832AD">
        <w:rPr>
          <w:rFonts w:ascii="Palatino Linotype" w:eastAsia="Palatino Linotype" w:hAnsi="Palatino Linotype" w:cs="Palatino Linotype"/>
          <w:b/>
          <w:bCs/>
          <w:sz w:val="22"/>
          <w:szCs w:val="22"/>
        </w:rPr>
        <w:t xml:space="preserve"> Confirma </w:t>
      </w:r>
      <w:r w:rsidRPr="001832AD">
        <w:rPr>
          <w:rFonts w:ascii="Palatino Linotype" w:eastAsia="Palatino Linotype" w:hAnsi="Palatino Linotype" w:cs="Palatino Linotype"/>
          <w:sz w:val="22"/>
          <w:szCs w:val="22"/>
        </w:rPr>
        <w:t xml:space="preserve">la respuesta del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w:t>
      </w:r>
    </w:p>
    <w:p w14:paraId="6BFDF271"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bookmarkStart w:id="11" w:name="_heading=h.lnxbz9" w:colFirst="0" w:colLast="0"/>
      <w:bookmarkEnd w:id="11"/>
      <w:r w:rsidRPr="001832AD">
        <w:rPr>
          <w:rFonts w:ascii="Palatino Linotype" w:eastAsia="Palatino Linotype" w:hAnsi="Palatino Linotype" w:cs="Palatino Linotype"/>
          <w:b/>
          <w:bCs/>
          <w:sz w:val="22"/>
          <w:szCs w:val="22"/>
        </w:rPr>
        <w:t xml:space="preserve">Segundo. Notifíquese, </w:t>
      </w:r>
      <w:r w:rsidRPr="001832AD">
        <w:rPr>
          <w:rFonts w:ascii="Palatino Linotype" w:eastAsia="Palatino Linotype" w:hAnsi="Palatino Linotype" w:cs="Palatino Linotype"/>
          <w:sz w:val="22"/>
          <w:szCs w:val="22"/>
        </w:rPr>
        <w:t xml:space="preserve">vía </w:t>
      </w:r>
      <w:r w:rsidRPr="001832AD">
        <w:rPr>
          <w:rFonts w:ascii="Palatino Linotype" w:eastAsia="Palatino Linotype" w:hAnsi="Palatino Linotype" w:cs="Palatino Linotype"/>
          <w:b/>
          <w:bCs/>
          <w:sz w:val="22"/>
          <w:szCs w:val="22"/>
        </w:rPr>
        <w:t xml:space="preserve">SAIMEX, </w:t>
      </w:r>
      <w:r w:rsidRPr="001832AD">
        <w:rPr>
          <w:rFonts w:ascii="Palatino Linotype" w:eastAsia="Palatino Linotype" w:hAnsi="Palatino Linotype" w:cs="Palatino Linotype"/>
          <w:sz w:val="22"/>
          <w:szCs w:val="22"/>
        </w:rPr>
        <w:t xml:space="preserve">al Titular de la Unidad de Transparencia del </w:t>
      </w:r>
      <w:r w:rsidRPr="001832AD">
        <w:rPr>
          <w:rFonts w:ascii="Palatino Linotype" w:eastAsia="Palatino Linotype" w:hAnsi="Palatino Linotype" w:cs="Palatino Linotype"/>
          <w:b/>
          <w:bCs/>
          <w:sz w:val="22"/>
          <w:szCs w:val="22"/>
        </w:rPr>
        <w:t>Sujeto Obligado</w:t>
      </w:r>
      <w:r w:rsidRPr="001832AD">
        <w:rPr>
          <w:rFonts w:ascii="Palatino Linotype" w:eastAsia="Palatino Linotype" w:hAnsi="Palatino Linotype" w:cs="Palatino Linotype"/>
          <w:sz w:val="22"/>
          <w:szCs w:val="22"/>
        </w:rPr>
        <w:t xml:space="preserve"> para su conocimiento, la presente resolución.</w:t>
      </w:r>
    </w:p>
    <w:p w14:paraId="084ABFB5" w14:textId="77777777" w:rsidR="0070461B" w:rsidRPr="001832AD" w:rsidRDefault="0012708D">
      <w:pPr>
        <w:spacing w:before="240" w:after="240" w:line="360" w:lineRule="auto"/>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b/>
          <w:bCs/>
          <w:sz w:val="22"/>
          <w:szCs w:val="22"/>
        </w:rPr>
        <w:t xml:space="preserve">Tercero.  Notifíquese, </w:t>
      </w:r>
      <w:r w:rsidRPr="001832AD">
        <w:rPr>
          <w:rFonts w:ascii="Palatino Linotype" w:eastAsia="Palatino Linotype" w:hAnsi="Palatino Linotype" w:cs="Palatino Linotype"/>
          <w:sz w:val="22"/>
          <w:szCs w:val="22"/>
        </w:rPr>
        <w:t xml:space="preserve">vía </w:t>
      </w:r>
      <w:r w:rsidRPr="001832AD">
        <w:rPr>
          <w:rFonts w:ascii="Palatino Linotype" w:eastAsia="Palatino Linotype" w:hAnsi="Palatino Linotype" w:cs="Palatino Linotype"/>
          <w:b/>
          <w:bCs/>
          <w:sz w:val="22"/>
          <w:szCs w:val="22"/>
        </w:rPr>
        <w:t xml:space="preserve">SAIMEX, </w:t>
      </w:r>
      <w:r w:rsidRPr="001832AD">
        <w:rPr>
          <w:rFonts w:ascii="Palatino Linotype" w:eastAsia="Palatino Linotype" w:hAnsi="Palatino Linotype" w:cs="Palatino Linotype"/>
          <w:sz w:val="22"/>
          <w:szCs w:val="22"/>
        </w:rPr>
        <w:t xml:space="preserve">a la parte </w:t>
      </w:r>
      <w:r w:rsidRPr="001832AD">
        <w:rPr>
          <w:rFonts w:ascii="Palatino Linotype" w:eastAsia="Palatino Linotype" w:hAnsi="Palatino Linotype" w:cs="Palatino Linotype"/>
          <w:b/>
          <w:bCs/>
          <w:sz w:val="22"/>
          <w:szCs w:val="22"/>
        </w:rPr>
        <w:t>Recurrente</w:t>
      </w:r>
      <w:r w:rsidRPr="001832AD">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6A93089" w14:textId="74391D20" w:rsidR="0070461B" w:rsidRPr="00D15F5C" w:rsidRDefault="0012708D">
      <w:pPr>
        <w:tabs>
          <w:tab w:val="left" w:pos="8647"/>
        </w:tabs>
        <w:spacing w:before="240" w:after="240" w:line="360" w:lineRule="auto"/>
        <w:ind w:right="51"/>
        <w:jc w:val="both"/>
        <w:rPr>
          <w:rFonts w:ascii="Palatino Linotype" w:eastAsia="Palatino Linotype" w:hAnsi="Palatino Linotype" w:cs="Palatino Linotype"/>
          <w:sz w:val="22"/>
          <w:szCs w:val="22"/>
        </w:rPr>
      </w:pPr>
      <w:r w:rsidRPr="001832A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w:t>
      </w:r>
      <w:r w:rsidR="00D15F5C" w:rsidRPr="001832AD">
        <w:rPr>
          <w:rFonts w:ascii="Palatino Linotype" w:eastAsia="Palatino Linotype" w:hAnsi="Palatino Linotype" w:cs="Palatino Linotype"/>
          <w:sz w:val="22"/>
          <w:szCs w:val="22"/>
        </w:rPr>
        <w:t>É</w:t>
      </w:r>
      <w:r w:rsidRPr="001832AD">
        <w:rPr>
          <w:rFonts w:ascii="Palatino Linotype" w:eastAsia="Palatino Linotype" w:hAnsi="Palatino Linotype" w:cs="Palatino Linotype"/>
          <w:sz w:val="22"/>
          <w:szCs w:val="22"/>
        </w:rPr>
        <w:t>IS, ANTE EL SECRETARIO TÉCNICO DEL PLENO ALEXIS TAPIA RAMÍREZ.</w:t>
      </w:r>
    </w:p>
    <w:p w14:paraId="13B7D0F0"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0DD74083" w14:textId="77777777" w:rsidR="0070461B" w:rsidRPr="00D15F5C" w:rsidRDefault="0070461B">
      <w:pPr>
        <w:spacing w:line="360" w:lineRule="auto"/>
        <w:jc w:val="center"/>
        <w:rPr>
          <w:rFonts w:ascii="Palatino Linotype" w:eastAsia="Palatino Linotype" w:hAnsi="Palatino Linotype" w:cs="Palatino Linotype"/>
          <w:sz w:val="22"/>
          <w:szCs w:val="22"/>
        </w:rPr>
      </w:pPr>
    </w:p>
    <w:p w14:paraId="15D29358"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4A6B61D2"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1494A0BD"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24E73845"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55667F17"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58266EE5"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5579235A"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234E1D92"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06D136C5"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232ED70B"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56FC92AB"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32938383"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602906D0"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20F74BAE"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4A1F1E30"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26D5F852"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79A4364E" w14:textId="77777777" w:rsidR="0070461B" w:rsidRPr="00D15F5C" w:rsidRDefault="0070461B">
      <w:pPr>
        <w:spacing w:line="360" w:lineRule="auto"/>
        <w:jc w:val="both"/>
        <w:rPr>
          <w:rFonts w:ascii="Palatino Linotype" w:eastAsia="Palatino Linotype" w:hAnsi="Palatino Linotype" w:cs="Palatino Linotype"/>
          <w:sz w:val="22"/>
          <w:szCs w:val="22"/>
        </w:rPr>
      </w:pPr>
    </w:p>
    <w:p w14:paraId="2BC44A58" w14:textId="77777777" w:rsidR="0070461B" w:rsidRPr="00D15F5C" w:rsidRDefault="0070461B">
      <w:pPr>
        <w:spacing w:line="360" w:lineRule="auto"/>
        <w:jc w:val="both"/>
        <w:rPr>
          <w:rFonts w:ascii="Palatino Linotype" w:eastAsia="Palatino Linotype" w:hAnsi="Palatino Linotype" w:cs="Palatino Linotype"/>
          <w:sz w:val="22"/>
          <w:szCs w:val="22"/>
        </w:rPr>
      </w:pPr>
    </w:p>
    <w:sectPr w:rsidR="0070461B" w:rsidRPr="00D15F5C">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23815" w14:textId="77777777" w:rsidR="007A013C" w:rsidRDefault="007A013C">
      <w:r>
        <w:separator/>
      </w:r>
    </w:p>
  </w:endnote>
  <w:endnote w:type="continuationSeparator" w:id="0">
    <w:p w14:paraId="76C743F0" w14:textId="77777777" w:rsidR="007A013C" w:rsidRDefault="007A0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8BEC51B6-7D87-493B-80F8-84B997613D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36BCD7-69F6-4ACA-A337-4071B9E92F83}"/>
    <w:embedBold r:id="rId3" w:fontKey="{F3B6A3B6-80CB-436A-B745-B18BB965DBF3}"/>
  </w:font>
  <w:font w:name="Cambria">
    <w:panose1 w:val="02040503050406030204"/>
    <w:charset w:val="00"/>
    <w:family w:val="roman"/>
    <w:pitch w:val="variable"/>
    <w:sig w:usb0="E00006FF" w:usb1="420024FF" w:usb2="02000000" w:usb3="00000000" w:csb0="0000019F" w:csb1="00000000"/>
    <w:embedRegular r:id="rId4" w:fontKey="{863AAFA3-960B-4C4C-B60A-FA43A2BAD59F}"/>
    <w:embedBold r:id="rId5" w:fontKey="{96864AAE-D1CB-4DC5-8D4F-7E47738126D6}"/>
    <w:embedBoldItalic r:id="rId6" w:fontKey="{D5917112-A3A2-4DBF-BB1E-5D12CFF2C33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EAE8BFF5-B2CB-49B0-8CEE-C8924E8834AB}"/>
  </w:font>
  <w:font w:name="Georgia">
    <w:panose1 w:val="02040502050405020303"/>
    <w:charset w:val="00"/>
    <w:family w:val="roman"/>
    <w:pitch w:val="variable"/>
    <w:sig w:usb0="00000287" w:usb1="00000000" w:usb2="00000000" w:usb3="00000000" w:csb0="0000009F" w:csb1="00000000"/>
    <w:embedItalic r:id="rId8" w:fontKey="{C81B35B6-EC8B-496E-BF9D-D73CF50CC876}"/>
  </w:font>
  <w:font w:name="Palatino Linotype">
    <w:panose1 w:val="02040502050505030304"/>
    <w:charset w:val="00"/>
    <w:family w:val="roman"/>
    <w:pitch w:val="variable"/>
    <w:sig w:usb0="E0000287" w:usb1="40000013" w:usb2="00000000" w:usb3="00000000" w:csb0="0000019F" w:csb1="00000000"/>
    <w:embedRegular r:id="rId9" w:fontKey="{5381E645-5EEC-42CC-993D-1171C5263140}"/>
    <w:embedBold r:id="rId10" w:fontKey="{69972E9D-CB45-41BE-8EB4-96B5843C0823}"/>
    <w:embedItalic r:id="rId11" w:fontKey="{34DBA6E1-9979-41ED-AE6F-1FAB9CAA51F9}"/>
    <w:embedBoldItalic r:id="rId12" w:fontKey="{E2E2513D-2DF0-4242-8339-18B2AD81F73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7B5A" w14:textId="319E05A4" w:rsidR="0070461B" w:rsidRDefault="001270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54208">
      <w:rPr>
        <w:rFonts w:ascii="Palatino Linotype" w:eastAsia="Palatino Linotype" w:hAnsi="Palatino Linotype" w:cs="Palatino Linotype"/>
        <w:b/>
        <w:bCs/>
        <w:noProof/>
        <w:color w:val="000000"/>
        <w:sz w:val="20"/>
        <w:szCs w:val="20"/>
      </w:rPr>
      <w:t>21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54208">
      <w:rPr>
        <w:rFonts w:ascii="Palatino Linotype" w:eastAsia="Palatino Linotype" w:hAnsi="Palatino Linotype" w:cs="Palatino Linotype"/>
        <w:b/>
        <w:bCs/>
        <w:noProof/>
        <w:color w:val="000000"/>
        <w:sz w:val="20"/>
        <w:szCs w:val="20"/>
      </w:rPr>
      <w:t>23</w:t>
    </w:r>
    <w:r>
      <w:rPr>
        <w:rFonts w:ascii="Palatino Linotype" w:eastAsia="Palatino Linotype" w:hAnsi="Palatino Linotype" w:cs="Palatino Linotype"/>
        <w:b/>
        <w:bCs/>
        <w:color w:val="000000"/>
        <w:sz w:val="20"/>
        <w:szCs w:val="20"/>
      </w:rPr>
      <w:fldChar w:fldCharType="end"/>
    </w:r>
  </w:p>
  <w:p w14:paraId="0BADDB34" w14:textId="77777777" w:rsidR="0070461B" w:rsidRDefault="0070461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FDEF8" w14:textId="4EC480EF" w:rsidR="0070461B" w:rsidRDefault="001270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54208">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54208">
      <w:rPr>
        <w:rFonts w:ascii="Palatino Linotype" w:eastAsia="Palatino Linotype" w:hAnsi="Palatino Linotype" w:cs="Palatino Linotype"/>
        <w:b/>
        <w:bCs/>
        <w:noProof/>
        <w:color w:val="000000"/>
        <w:sz w:val="20"/>
        <w:szCs w:val="20"/>
      </w:rPr>
      <w:t>23</w:t>
    </w:r>
    <w:r>
      <w:rPr>
        <w:rFonts w:ascii="Palatino Linotype" w:eastAsia="Palatino Linotype" w:hAnsi="Palatino Linotype" w:cs="Palatino Linotype"/>
        <w:b/>
        <w:bCs/>
        <w:color w:val="000000"/>
        <w:sz w:val="20"/>
        <w:szCs w:val="20"/>
      </w:rPr>
      <w:fldChar w:fldCharType="end"/>
    </w:r>
  </w:p>
  <w:p w14:paraId="41598392" w14:textId="77777777" w:rsidR="0070461B" w:rsidRDefault="0070461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2C58A" w14:textId="77777777" w:rsidR="007A013C" w:rsidRDefault="007A013C">
      <w:r>
        <w:separator/>
      </w:r>
    </w:p>
  </w:footnote>
  <w:footnote w:type="continuationSeparator" w:id="0">
    <w:p w14:paraId="0FF96713" w14:textId="77777777" w:rsidR="007A013C" w:rsidRDefault="007A01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8CEBE" w14:textId="77777777" w:rsidR="0070461B" w:rsidRDefault="0012708D">
    <w:pPr>
      <w:rPr>
        <w:rFonts w:ascii="Cambria" w:eastAsia="Cambria" w:hAnsi="Cambria" w:cs="Cambria"/>
        <w:color w:val="000000"/>
      </w:rPr>
    </w:pPr>
    <w:r>
      <w:rPr>
        <w:noProof/>
      </w:rPr>
      <w:drawing>
        <wp:anchor distT="0" distB="0" distL="0" distR="0" simplePos="0" relativeHeight="251658240" behindDoc="1" locked="0" layoutInCell="1" hidden="0" allowOverlap="1" wp14:anchorId="550CDD73" wp14:editId="699876E4">
          <wp:simplePos x="0" y="0"/>
          <wp:positionH relativeFrom="column">
            <wp:posOffset>-1080090</wp:posOffset>
          </wp:positionH>
          <wp:positionV relativeFrom="paragraph">
            <wp:posOffset>-488261</wp:posOffset>
          </wp:positionV>
          <wp:extent cx="7809865" cy="10165715"/>
          <wp:effectExtent l="0" t="0" r="0" b="0"/>
          <wp:wrapNone/>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70461B" w14:paraId="5208F78F" w14:textId="77777777">
      <w:tc>
        <w:tcPr>
          <w:tcW w:w="2489" w:type="dxa"/>
        </w:tcPr>
        <w:p w14:paraId="2F903933" w14:textId="77777777" w:rsidR="0070461B" w:rsidRDefault="001270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4AEF1BC3" w14:textId="77777777" w:rsidR="0070461B" w:rsidRDefault="0012708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09959/INFOEM/IP/RR/2025</w:t>
          </w:r>
        </w:p>
      </w:tc>
    </w:tr>
    <w:tr w:rsidR="0070461B" w14:paraId="4E1F0F35" w14:textId="77777777">
      <w:trPr>
        <w:trHeight w:val="228"/>
      </w:trPr>
      <w:tc>
        <w:tcPr>
          <w:tcW w:w="2489" w:type="dxa"/>
          <w:vAlign w:val="center"/>
        </w:tcPr>
        <w:p w14:paraId="3D0DFC1F" w14:textId="77777777" w:rsidR="0070461B" w:rsidRDefault="001270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5C8DFC90" w14:textId="77777777" w:rsidR="0070461B" w:rsidRDefault="0012708D">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Secretaría de Finanzas</w:t>
          </w:r>
        </w:p>
      </w:tc>
    </w:tr>
    <w:tr w:rsidR="0070461B" w14:paraId="311F9F57" w14:textId="77777777">
      <w:tc>
        <w:tcPr>
          <w:tcW w:w="2489" w:type="dxa"/>
          <w:vAlign w:val="center"/>
        </w:tcPr>
        <w:p w14:paraId="18973781" w14:textId="77777777" w:rsidR="0070461B" w:rsidRDefault="0012708D">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7C38FBC5" w14:textId="77777777" w:rsidR="0070461B" w:rsidRDefault="0012708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530A04D" w14:textId="77777777" w:rsidR="0070461B" w:rsidRDefault="0012708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5637" w14:textId="77777777" w:rsidR="0070461B" w:rsidRDefault="0012708D">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r>
      <w:rPr>
        <w:noProof/>
      </w:rPr>
      <w:drawing>
        <wp:anchor distT="0" distB="0" distL="0" distR="0" simplePos="0" relativeHeight="251659264" behindDoc="1" locked="0" layoutInCell="1" hidden="0" allowOverlap="1" wp14:anchorId="1915FB2C" wp14:editId="7B518180">
          <wp:simplePos x="0" y="0"/>
          <wp:positionH relativeFrom="column">
            <wp:posOffset>-1080132</wp:posOffset>
          </wp:positionH>
          <wp:positionV relativeFrom="paragraph">
            <wp:posOffset>-369891</wp:posOffset>
          </wp:positionV>
          <wp:extent cx="7809865" cy="10165715"/>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70461B" w14:paraId="3BF406B3" w14:textId="77777777">
      <w:tc>
        <w:tcPr>
          <w:tcW w:w="2489" w:type="dxa"/>
        </w:tcPr>
        <w:p w14:paraId="39645CB7" w14:textId="77777777" w:rsidR="0070461B" w:rsidRDefault="001270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5A459F10" w14:textId="77777777" w:rsidR="0070461B" w:rsidRDefault="0012708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09959/INFOEM/IP/RR/2025</w:t>
          </w:r>
        </w:p>
      </w:tc>
    </w:tr>
    <w:tr w:rsidR="0070461B" w14:paraId="59C1ABCF" w14:textId="77777777">
      <w:tc>
        <w:tcPr>
          <w:tcW w:w="2489" w:type="dxa"/>
        </w:tcPr>
        <w:p w14:paraId="1BB1CB5C" w14:textId="77777777" w:rsidR="0070461B" w:rsidRDefault="001270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0ED34318" w14:textId="3C5D02B6" w:rsidR="0070461B" w:rsidRDefault="00354208" w:rsidP="00354208">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XXXXX XXXXXX XXXXX XXXX</w:t>
          </w:r>
        </w:p>
      </w:tc>
    </w:tr>
    <w:tr w:rsidR="0070461B" w14:paraId="33F282E5" w14:textId="77777777">
      <w:trPr>
        <w:trHeight w:val="228"/>
      </w:trPr>
      <w:tc>
        <w:tcPr>
          <w:tcW w:w="2489" w:type="dxa"/>
          <w:vAlign w:val="center"/>
        </w:tcPr>
        <w:p w14:paraId="75E917F6" w14:textId="77777777" w:rsidR="0070461B" w:rsidRDefault="0012708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A492A90" w14:textId="77777777" w:rsidR="0070461B" w:rsidRDefault="0012708D">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Secretaría de Finanzas</w:t>
          </w:r>
        </w:p>
      </w:tc>
    </w:tr>
    <w:tr w:rsidR="0070461B" w14:paraId="2FA0E9F8" w14:textId="77777777">
      <w:tc>
        <w:tcPr>
          <w:tcW w:w="2489" w:type="dxa"/>
          <w:vAlign w:val="center"/>
        </w:tcPr>
        <w:p w14:paraId="799467F3" w14:textId="77777777" w:rsidR="0070461B" w:rsidRDefault="0012708D">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4D64D089" w14:textId="77777777" w:rsidR="0070461B" w:rsidRDefault="0012708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B3C8C89" w14:textId="77777777" w:rsidR="0070461B" w:rsidRDefault="0070461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F46DC"/>
    <w:multiLevelType w:val="multilevel"/>
    <w:tmpl w:val="40AECBFA"/>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BA04DE9"/>
    <w:multiLevelType w:val="multilevel"/>
    <w:tmpl w:val="7248D3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BF47127"/>
    <w:multiLevelType w:val="multilevel"/>
    <w:tmpl w:val="5608D03C"/>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FB564BC"/>
    <w:multiLevelType w:val="multilevel"/>
    <w:tmpl w:val="9B6CF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61B"/>
    <w:rsid w:val="0012708D"/>
    <w:rsid w:val="001832AD"/>
    <w:rsid w:val="00354208"/>
    <w:rsid w:val="0070461B"/>
    <w:rsid w:val="007A013C"/>
    <w:rsid w:val="00D15F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BB33E"/>
  <w15:docId w15:val="{A174A499-AF31-431F-9B6E-4475995BB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8SkyrM6cuoFYr4PgdV10/IIMbw==">CgMxLjAyCWguM3JkY3JqbjIOaC5kYWozajJ4bzZxNjYyCGguZ2pkZ3hzMgloLjNkeTZ2a20yCWguMzBqMHpsbDIJaC4yczhleW8xMg5oLnJsYWJsd2g1eG40ZjIIaC50eWpjd3QyCWguMmV0OTJwMDIJaC4xdDNoNXNmMghoLmxueGJ6OTgAciExNTMza0JOd19JczVpR2RhRkJfaTNVNlhFNlNpRHFIVFY=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6198</Words>
  <Characters>34095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2026-01-23T18:41:00Z</cp:lastPrinted>
  <dcterms:created xsi:type="dcterms:W3CDTF">2026-03-19T20:51:00Z</dcterms:created>
  <dcterms:modified xsi:type="dcterms:W3CDTF">2026-03-19T20:51:00Z</dcterms:modified>
</cp:coreProperties>
</file>