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28FA6" w14:textId="77777777" w:rsidR="00651688" w:rsidRDefault="00651688">
      <w:pPr>
        <w:widowControl w:val="0"/>
        <w:pBdr>
          <w:top w:val="nil"/>
          <w:left w:val="nil"/>
          <w:bottom w:val="nil"/>
          <w:right w:val="nil"/>
          <w:between w:val="nil"/>
        </w:pBdr>
        <w:spacing w:line="276" w:lineRule="auto"/>
      </w:pPr>
    </w:p>
    <w:p w14:paraId="33FDBF81" w14:textId="77777777" w:rsidR="00651688" w:rsidRPr="0024349D" w:rsidRDefault="00651688">
      <w:pPr>
        <w:widowControl w:val="0"/>
        <w:pBdr>
          <w:top w:val="nil"/>
          <w:left w:val="nil"/>
          <w:bottom w:val="nil"/>
          <w:right w:val="nil"/>
          <w:between w:val="nil"/>
        </w:pBdr>
        <w:spacing w:line="360" w:lineRule="auto"/>
        <w:rPr>
          <w:rFonts w:ascii="Palatino Linotype" w:eastAsia="Palatino Linotype" w:hAnsi="Palatino Linotype" w:cs="Palatino Linotype"/>
          <w:sz w:val="24"/>
          <w:szCs w:val="24"/>
        </w:rPr>
      </w:pPr>
    </w:p>
    <w:sdt>
      <w:sdtPr>
        <w:rPr>
          <w:rFonts w:ascii="Palatino Linotype" w:hAnsi="Palatino Linotype"/>
          <w:sz w:val="22"/>
          <w:szCs w:val="22"/>
          <w:lang w:val="es-ES"/>
        </w:rPr>
        <w:id w:val="992226658"/>
        <w:docPartObj>
          <w:docPartGallery w:val="Table of Contents"/>
          <w:docPartUnique/>
        </w:docPartObj>
      </w:sdtPr>
      <w:sdtEndPr>
        <w:rPr>
          <w:rFonts w:ascii="Times New Roman" w:hAnsi="Times New Roman"/>
          <w:b/>
          <w:bCs/>
          <w:sz w:val="20"/>
          <w:szCs w:val="20"/>
        </w:rPr>
      </w:sdtEndPr>
      <w:sdtContent>
        <w:p w14:paraId="1551284E" w14:textId="1CE879B9" w:rsidR="0024349D" w:rsidRPr="0024349D" w:rsidRDefault="0024349D">
          <w:pPr>
            <w:pStyle w:val="TtuloTDC"/>
            <w:rPr>
              <w:rFonts w:ascii="Palatino Linotype" w:hAnsi="Palatino Linotype"/>
              <w:sz w:val="22"/>
              <w:szCs w:val="22"/>
            </w:rPr>
          </w:pPr>
          <w:r w:rsidRPr="0024349D">
            <w:rPr>
              <w:rFonts w:ascii="Palatino Linotype" w:hAnsi="Palatino Linotype"/>
              <w:sz w:val="22"/>
              <w:szCs w:val="22"/>
              <w:lang w:val="es-ES"/>
            </w:rPr>
            <w:t>Tabla de contenido</w:t>
          </w:r>
        </w:p>
        <w:p w14:paraId="45B27481" w14:textId="1F0BE411" w:rsidR="0024349D" w:rsidRPr="0024349D" w:rsidRDefault="0024349D">
          <w:pPr>
            <w:pStyle w:val="TDC1"/>
            <w:rPr>
              <w:rFonts w:ascii="Palatino Linotype" w:eastAsiaTheme="minorEastAsia" w:hAnsi="Palatino Linotype" w:cstheme="minorBidi"/>
              <w:noProof/>
              <w:kern w:val="2"/>
              <w:sz w:val="28"/>
              <w:szCs w:val="28"/>
              <w14:ligatures w14:val="standardContextual"/>
            </w:rPr>
          </w:pPr>
          <w:r w:rsidRPr="0024349D">
            <w:rPr>
              <w:rFonts w:ascii="Palatino Linotype" w:hAnsi="Palatino Linotype"/>
              <w:sz w:val="22"/>
              <w:szCs w:val="22"/>
            </w:rPr>
            <w:fldChar w:fldCharType="begin"/>
          </w:r>
          <w:r w:rsidRPr="0024349D">
            <w:rPr>
              <w:rFonts w:ascii="Palatino Linotype" w:hAnsi="Palatino Linotype"/>
              <w:sz w:val="22"/>
              <w:szCs w:val="22"/>
            </w:rPr>
            <w:instrText xml:space="preserve"> TOC \o "1-3" \h \z \u </w:instrText>
          </w:r>
          <w:r w:rsidRPr="0024349D">
            <w:rPr>
              <w:rFonts w:ascii="Palatino Linotype" w:hAnsi="Palatino Linotype"/>
              <w:sz w:val="22"/>
              <w:szCs w:val="22"/>
            </w:rPr>
            <w:fldChar w:fldCharType="separate"/>
          </w:r>
          <w:hyperlink w:anchor="_Toc222410683" w:history="1">
            <w:r w:rsidRPr="0024349D">
              <w:rPr>
                <w:rStyle w:val="Hipervnculo"/>
                <w:rFonts w:ascii="Palatino Linotype" w:hAnsi="Palatino Linotype"/>
                <w:noProof/>
                <w:sz w:val="22"/>
                <w:szCs w:val="22"/>
              </w:rPr>
              <w:t>A N T E C E D E N T E S</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_Toc222410683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2</w:t>
            </w:r>
            <w:r w:rsidRPr="0024349D">
              <w:rPr>
                <w:rFonts w:ascii="Palatino Linotype" w:hAnsi="Palatino Linotype"/>
                <w:noProof/>
                <w:webHidden/>
                <w:sz w:val="22"/>
                <w:szCs w:val="22"/>
              </w:rPr>
              <w:fldChar w:fldCharType="end"/>
            </w:r>
          </w:hyperlink>
        </w:p>
        <w:p w14:paraId="6A2C5C71" w14:textId="7865CBCF"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84" w:history="1">
            <w:r w:rsidRPr="0024349D">
              <w:rPr>
                <w:rStyle w:val="Hipervnculo"/>
                <w:rFonts w:ascii="Palatino Linotype" w:hAnsi="Palatino Linotype"/>
                <w:noProof/>
                <w:sz w:val="22"/>
                <w:szCs w:val="22"/>
              </w:rPr>
              <w:t>I. Presentación de la solicitud de información</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_Toc222410684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2</w:t>
            </w:r>
            <w:r w:rsidRPr="0024349D">
              <w:rPr>
                <w:rFonts w:ascii="Palatino Linotype" w:hAnsi="Palatino Linotype"/>
                <w:noProof/>
                <w:webHidden/>
                <w:sz w:val="22"/>
                <w:szCs w:val="22"/>
              </w:rPr>
              <w:fldChar w:fldCharType="end"/>
            </w:r>
          </w:hyperlink>
        </w:p>
        <w:p w14:paraId="42E34440" w14:textId="254D647B"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85" w:history="1">
            <w:r w:rsidRPr="0024349D">
              <w:rPr>
                <w:rStyle w:val="Hipervnculo"/>
                <w:rFonts w:ascii="Palatino Linotype" w:hAnsi="Palatino Linotype"/>
                <w:noProof/>
                <w:sz w:val="22"/>
                <w:szCs w:val="22"/>
              </w:rPr>
              <w:t>II.  Respuesta del Sujeto Obligado</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_Toc222410685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3</w:t>
            </w:r>
            <w:r w:rsidRPr="0024349D">
              <w:rPr>
                <w:rFonts w:ascii="Palatino Linotype" w:hAnsi="Palatino Linotype"/>
                <w:noProof/>
                <w:webHidden/>
                <w:sz w:val="22"/>
                <w:szCs w:val="22"/>
              </w:rPr>
              <w:fldChar w:fldCharType="end"/>
            </w:r>
          </w:hyperlink>
        </w:p>
        <w:p w14:paraId="23BE25FD" w14:textId="2178215B"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86" w:history="1">
            <w:r w:rsidRPr="0024349D">
              <w:rPr>
                <w:rStyle w:val="Hipervnculo"/>
                <w:rFonts w:ascii="Palatino Linotype" w:hAnsi="Palatino Linotype"/>
                <w:noProof/>
                <w:sz w:val="22"/>
                <w:szCs w:val="22"/>
              </w:rPr>
              <w:t>III. Interposición del Recurso de Revisión</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_Toc222410686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5</w:t>
            </w:r>
            <w:r w:rsidRPr="0024349D">
              <w:rPr>
                <w:rFonts w:ascii="Palatino Linotype" w:hAnsi="Palatino Linotype"/>
                <w:noProof/>
                <w:webHidden/>
                <w:sz w:val="22"/>
                <w:szCs w:val="22"/>
              </w:rPr>
              <w:fldChar w:fldCharType="end"/>
            </w:r>
          </w:hyperlink>
        </w:p>
        <w:p w14:paraId="50C4337A" w14:textId="75BAA2B2"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87" w:history="1">
            <w:r w:rsidRPr="0024349D">
              <w:rPr>
                <w:rStyle w:val="Hipervnculo"/>
                <w:rFonts w:ascii="Palatino Linotype" w:hAnsi="Palatino Linotype"/>
                <w:noProof/>
                <w:sz w:val="22"/>
                <w:szCs w:val="22"/>
              </w:rPr>
              <w:t>IV. Trámite del Recurso de Revisión ante el Instituto</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_Toc222410687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6</w:t>
            </w:r>
            <w:r w:rsidRPr="0024349D">
              <w:rPr>
                <w:rFonts w:ascii="Palatino Linotype" w:hAnsi="Palatino Linotype"/>
                <w:noProof/>
                <w:webHidden/>
                <w:sz w:val="22"/>
                <w:szCs w:val="22"/>
              </w:rPr>
              <w:fldChar w:fldCharType="end"/>
            </w:r>
          </w:hyperlink>
        </w:p>
        <w:p w14:paraId="11F79DA0" w14:textId="6F20F3FC" w:rsidR="0024349D" w:rsidRPr="0024349D" w:rsidRDefault="0024349D">
          <w:pPr>
            <w:pStyle w:val="TDC1"/>
            <w:rPr>
              <w:rFonts w:ascii="Palatino Linotype" w:eastAsiaTheme="minorEastAsia" w:hAnsi="Palatino Linotype" w:cstheme="minorBidi"/>
              <w:noProof/>
              <w:kern w:val="2"/>
              <w:sz w:val="28"/>
              <w:szCs w:val="28"/>
              <w14:ligatures w14:val="standardContextual"/>
            </w:rPr>
          </w:pPr>
          <w:hyperlink w:anchor="_Toc222410688" w:history="1">
            <w:r w:rsidRPr="0024349D">
              <w:rPr>
                <w:rStyle w:val="Hipervnculo"/>
                <w:rFonts w:ascii="Palatino Linotype" w:hAnsi="Palatino Linotype"/>
                <w:noProof/>
                <w:sz w:val="22"/>
                <w:szCs w:val="22"/>
              </w:rPr>
              <w:t>C O N S I D E R A N D O S</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_Toc222410688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9</w:t>
            </w:r>
            <w:r w:rsidRPr="0024349D">
              <w:rPr>
                <w:rFonts w:ascii="Palatino Linotype" w:hAnsi="Palatino Linotype"/>
                <w:noProof/>
                <w:webHidden/>
                <w:sz w:val="22"/>
                <w:szCs w:val="22"/>
              </w:rPr>
              <w:fldChar w:fldCharType="end"/>
            </w:r>
          </w:hyperlink>
        </w:p>
        <w:p w14:paraId="6366AF7B" w14:textId="651A6D5B"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89" w:history="1">
            <w:r w:rsidRPr="0024349D">
              <w:rPr>
                <w:rStyle w:val="Hipervnculo"/>
                <w:rFonts w:ascii="Palatino Linotype" w:hAnsi="Palatino Linotype"/>
                <w:noProof/>
                <w:sz w:val="22"/>
                <w:szCs w:val="22"/>
              </w:rPr>
              <w:t>PRIMERO. Competencia</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_Toc222410689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9</w:t>
            </w:r>
            <w:r w:rsidRPr="0024349D">
              <w:rPr>
                <w:rFonts w:ascii="Palatino Linotype" w:hAnsi="Palatino Linotype"/>
                <w:noProof/>
                <w:webHidden/>
                <w:sz w:val="22"/>
                <w:szCs w:val="22"/>
              </w:rPr>
              <w:fldChar w:fldCharType="end"/>
            </w:r>
          </w:hyperlink>
        </w:p>
        <w:p w14:paraId="7566EFE6" w14:textId="1DF5561C"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90" w:history="1">
            <w:r w:rsidRPr="0024349D">
              <w:rPr>
                <w:rStyle w:val="Hipervnculo"/>
                <w:rFonts w:ascii="Palatino Linotype" w:hAnsi="Palatino Linotype"/>
                <w:noProof/>
                <w:sz w:val="22"/>
                <w:szCs w:val="22"/>
              </w:rPr>
              <w:t>SEGUNDO. Causales de improcedencia</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_Toc222410690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10</w:t>
            </w:r>
            <w:r w:rsidRPr="0024349D">
              <w:rPr>
                <w:rFonts w:ascii="Palatino Linotype" w:hAnsi="Palatino Linotype"/>
                <w:noProof/>
                <w:webHidden/>
                <w:sz w:val="22"/>
                <w:szCs w:val="22"/>
              </w:rPr>
              <w:fldChar w:fldCharType="end"/>
            </w:r>
          </w:hyperlink>
        </w:p>
        <w:p w14:paraId="090E522E" w14:textId="46679ACF"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91" w:history="1">
            <w:r w:rsidRPr="0024349D">
              <w:rPr>
                <w:rStyle w:val="Hipervnculo"/>
                <w:rFonts w:ascii="Palatino Linotype" w:hAnsi="Palatino Linotype"/>
                <w:noProof/>
                <w:sz w:val="22"/>
                <w:szCs w:val="22"/>
              </w:rPr>
              <w:t>TERCERO. Causales de sobreseimiento</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_Toc222410691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11</w:t>
            </w:r>
            <w:r w:rsidRPr="0024349D">
              <w:rPr>
                <w:rFonts w:ascii="Palatino Linotype" w:hAnsi="Palatino Linotype"/>
                <w:noProof/>
                <w:webHidden/>
                <w:sz w:val="22"/>
                <w:szCs w:val="22"/>
              </w:rPr>
              <w:fldChar w:fldCharType="end"/>
            </w:r>
          </w:hyperlink>
        </w:p>
        <w:p w14:paraId="05735980" w14:textId="250E763B" w:rsidR="0024349D" w:rsidRPr="0024349D" w:rsidRDefault="0024349D">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22410692" w:history="1">
            <w:r w:rsidRPr="0024349D">
              <w:rPr>
                <w:rStyle w:val="Hipervnculo"/>
                <w:rFonts w:ascii="Palatino Linotype" w:hAnsi="Palatino Linotype"/>
                <w:noProof/>
                <w:sz w:val="22"/>
                <w:szCs w:val="22"/>
              </w:rPr>
              <w:t>CUARTO. Decisión</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_Toc222410692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29</w:t>
            </w:r>
            <w:r w:rsidRPr="0024349D">
              <w:rPr>
                <w:rFonts w:ascii="Palatino Linotype" w:hAnsi="Palatino Linotype"/>
                <w:noProof/>
                <w:webHidden/>
                <w:sz w:val="22"/>
                <w:szCs w:val="22"/>
              </w:rPr>
              <w:fldChar w:fldCharType="end"/>
            </w:r>
          </w:hyperlink>
        </w:p>
        <w:p w14:paraId="353D2C1D" w14:textId="78EB2B48" w:rsidR="0024349D" w:rsidRPr="0024349D" w:rsidRDefault="0024349D">
          <w:pPr>
            <w:pStyle w:val="TDC1"/>
            <w:rPr>
              <w:rFonts w:ascii="Palatino Linotype" w:eastAsiaTheme="minorEastAsia" w:hAnsi="Palatino Linotype" w:cstheme="minorBidi"/>
              <w:noProof/>
              <w:kern w:val="2"/>
              <w:sz w:val="28"/>
              <w:szCs w:val="28"/>
              <w14:ligatures w14:val="standardContextual"/>
            </w:rPr>
          </w:pPr>
          <w:hyperlink w:anchor="_Toc222410693" w:history="1">
            <w:r w:rsidRPr="0024349D">
              <w:rPr>
                <w:rStyle w:val="Hipervnculo"/>
                <w:rFonts w:ascii="Palatino Linotype" w:hAnsi="Palatino Linotype"/>
                <w:noProof/>
                <w:sz w:val="22"/>
                <w:szCs w:val="22"/>
              </w:rPr>
              <w:t>R E S U E L V E</w:t>
            </w:r>
            <w:r w:rsidRPr="0024349D">
              <w:rPr>
                <w:rFonts w:ascii="Palatino Linotype" w:hAnsi="Palatino Linotype"/>
                <w:noProof/>
                <w:webHidden/>
                <w:sz w:val="22"/>
                <w:szCs w:val="22"/>
              </w:rPr>
              <w:tab/>
            </w:r>
            <w:r w:rsidRPr="0024349D">
              <w:rPr>
                <w:rFonts w:ascii="Palatino Linotype" w:hAnsi="Palatino Linotype"/>
                <w:noProof/>
                <w:webHidden/>
                <w:sz w:val="22"/>
                <w:szCs w:val="22"/>
              </w:rPr>
              <w:fldChar w:fldCharType="begin"/>
            </w:r>
            <w:r w:rsidRPr="0024349D">
              <w:rPr>
                <w:rFonts w:ascii="Palatino Linotype" w:hAnsi="Palatino Linotype"/>
                <w:noProof/>
                <w:webHidden/>
                <w:sz w:val="22"/>
                <w:szCs w:val="22"/>
              </w:rPr>
              <w:instrText xml:space="preserve"> PAGEREF _Toc222410693 \h </w:instrText>
            </w:r>
            <w:r w:rsidRPr="0024349D">
              <w:rPr>
                <w:rFonts w:ascii="Palatino Linotype" w:hAnsi="Palatino Linotype"/>
                <w:noProof/>
                <w:webHidden/>
                <w:sz w:val="22"/>
                <w:szCs w:val="22"/>
              </w:rPr>
            </w:r>
            <w:r w:rsidRPr="0024349D">
              <w:rPr>
                <w:rFonts w:ascii="Palatino Linotype" w:hAnsi="Palatino Linotype"/>
                <w:noProof/>
                <w:webHidden/>
                <w:sz w:val="22"/>
                <w:szCs w:val="22"/>
              </w:rPr>
              <w:fldChar w:fldCharType="separate"/>
            </w:r>
            <w:r w:rsidR="00C3034A">
              <w:rPr>
                <w:rFonts w:ascii="Palatino Linotype" w:hAnsi="Palatino Linotype"/>
                <w:noProof/>
                <w:webHidden/>
                <w:sz w:val="22"/>
                <w:szCs w:val="22"/>
              </w:rPr>
              <w:t>30</w:t>
            </w:r>
            <w:r w:rsidRPr="0024349D">
              <w:rPr>
                <w:rFonts w:ascii="Palatino Linotype" w:hAnsi="Palatino Linotype"/>
                <w:noProof/>
                <w:webHidden/>
                <w:sz w:val="22"/>
                <w:szCs w:val="22"/>
              </w:rPr>
              <w:fldChar w:fldCharType="end"/>
            </w:r>
          </w:hyperlink>
        </w:p>
        <w:p w14:paraId="6583E5BE" w14:textId="70E85A98" w:rsidR="0024349D" w:rsidRDefault="0024349D">
          <w:r w:rsidRPr="0024349D">
            <w:rPr>
              <w:rFonts w:ascii="Palatino Linotype" w:hAnsi="Palatino Linotype"/>
              <w:b/>
              <w:bCs/>
              <w:sz w:val="22"/>
              <w:szCs w:val="22"/>
              <w:lang w:val="es-ES"/>
            </w:rPr>
            <w:fldChar w:fldCharType="end"/>
          </w:r>
        </w:p>
      </w:sdtContent>
    </w:sdt>
    <w:p w14:paraId="4DAB9B96" w14:textId="2C27E96F"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br w:type="column"/>
      </w:r>
      <w:r w:rsidRPr="0024349D">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24349D">
        <w:rPr>
          <w:rFonts w:ascii="Palatino Linotype" w:eastAsia="Palatino Linotype" w:hAnsi="Palatino Linotype" w:cs="Palatino Linotype"/>
          <w:sz w:val="22"/>
          <w:szCs w:val="22"/>
        </w:rPr>
        <w:t xml:space="preserve">Protección de Datos Personales del Estado de México y Municipios, con domicilio en Metepec, Estado de México, de fecha dieciocho de febrero de dos mil veintiséis. </w:t>
      </w:r>
    </w:p>
    <w:p w14:paraId="4B7C9EE9" w14:textId="77777777" w:rsidR="00651688" w:rsidRPr="0024349D" w:rsidRDefault="00651688">
      <w:pPr>
        <w:spacing w:line="360" w:lineRule="auto"/>
        <w:ind w:left="708" w:hanging="708"/>
        <w:jc w:val="both"/>
        <w:rPr>
          <w:rFonts w:ascii="Palatino Linotype" w:eastAsia="Palatino Linotype" w:hAnsi="Palatino Linotype" w:cs="Palatino Linotype"/>
          <w:color w:val="000000"/>
          <w:sz w:val="22"/>
          <w:szCs w:val="22"/>
        </w:rPr>
      </w:pPr>
    </w:p>
    <w:p w14:paraId="06E92D2F" w14:textId="0443E54E"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b/>
          <w:bCs/>
          <w:color w:val="000000"/>
          <w:sz w:val="22"/>
          <w:szCs w:val="22"/>
        </w:rPr>
        <w:t xml:space="preserve">VISTO </w:t>
      </w:r>
      <w:r w:rsidRPr="0024349D">
        <w:rPr>
          <w:rFonts w:ascii="Palatino Linotype" w:eastAsia="Palatino Linotype" w:hAnsi="Palatino Linotype" w:cs="Palatino Linotype"/>
          <w:color w:val="000000"/>
          <w:sz w:val="22"/>
          <w:szCs w:val="22"/>
        </w:rPr>
        <w:t xml:space="preserve">el expediente conformado con motivo del Recurso de Revisión </w:t>
      </w:r>
      <w:r w:rsidRPr="006931A5">
        <w:rPr>
          <w:rFonts w:ascii="Palatino Linotype" w:eastAsia="Palatino Linotype" w:hAnsi="Palatino Linotype" w:cs="Palatino Linotype"/>
          <w:b/>
          <w:color w:val="000000"/>
          <w:sz w:val="22"/>
          <w:szCs w:val="22"/>
        </w:rPr>
        <w:t>12396/INFOEM/IP/RR/2025</w:t>
      </w:r>
      <w:r w:rsidRPr="0024349D">
        <w:rPr>
          <w:rFonts w:ascii="Palatino Linotype" w:eastAsia="Palatino Linotype" w:hAnsi="Palatino Linotype" w:cs="Palatino Linotype"/>
          <w:color w:val="000000"/>
          <w:sz w:val="22"/>
          <w:szCs w:val="22"/>
        </w:rPr>
        <w:t xml:space="preserve">, interpuesto por </w:t>
      </w:r>
      <w:r w:rsidR="009637A5" w:rsidRPr="009637A5">
        <w:rPr>
          <w:rFonts w:ascii="Palatino Linotype" w:eastAsia="Palatino Linotype" w:hAnsi="Palatino Linotype" w:cs="Palatino Linotype"/>
          <w:b/>
          <w:bCs/>
          <w:sz w:val="22"/>
          <w:szCs w:val="22"/>
          <w:highlight w:val="black"/>
        </w:rPr>
        <w:t>XXXXXXXXXXXXXXX</w:t>
      </w:r>
      <w:r w:rsidRPr="0024349D">
        <w:rPr>
          <w:rFonts w:ascii="Palatino Linotype" w:eastAsia="Palatino Linotype" w:hAnsi="Palatino Linotype" w:cs="Palatino Linotype"/>
          <w:color w:val="000000"/>
          <w:sz w:val="22"/>
          <w:szCs w:val="22"/>
        </w:rPr>
        <w:t xml:space="preserve">, en lo sucesivo persona </w:t>
      </w:r>
      <w:r w:rsidRPr="0024349D">
        <w:rPr>
          <w:rFonts w:ascii="Palatino Linotype" w:eastAsia="Palatino Linotype" w:hAnsi="Palatino Linotype" w:cs="Palatino Linotype"/>
          <w:color w:val="0D0D0D"/>
          <w:sz w:val="22"/>
          <w:szCs w:val="22"/>
        </w:rPr>
        <w:t>Recurrente o Particular</w:t>
      </w:r>
      <w:r w:rsidRPr="0024349D">
        <w:rPr>
          <w:rFonts w:ascii="Palatino Linotype" w:eastAsia="Palatino Linotype" w:hAnsi="Palatino Linotype" w:cs="Palatino Linotype"/>
          <w:color w:val="000000"/>
          <w:sz w:val="22"/>
          <w:szCs w:val="22"/>
        </w:rPr>
        <w:t xml:space="preserve">, en contra de la respuesta del Sujeto Obligado, </w:t>
      </w:r>
      <w:r w:rsidRPr="006931A5">
        <w:rPr>
          <w:rFonts w:ascii="Palatino Linotype" w:eastAsia="Palatino Linotype" w:hAnsi="Palatino Linotype" w:cs="Palatino Linotype"/>
          <w:b/>
          <w:sz w:val="22"/>
          <w:szCs w:val="22"/>
        </w:rPr>
        <w:t>Ayuntamiento de Naucalpan de Juárez</w:t>
      </w:r>
      <w:r w:rsidRPr="0024349D">
        <w:rPr>
          <w:rFonts w:ascii="Palatino Linotype" w:eastAsia="Palatino Linotype" w:hAnsi="Palatino Linotype" w:cs="Palatino Linotype"/>
          <w:b/>
          <w:bCs/>
          <w:sz w:val="22"/>
          <w:szCs w:val="22"/>
        </w:rPr>
        <w:t>,</w:t>
      </w:r>
      <w:r w:rsidRPr="0024349D">
        <w:rPr>
          <w:rFonts w:ascii="Palatino Linotype" w:eastAsia="Palatino Linotype" w:hAnsi="Palatino Linotype" w:cs="Palatino Linotype"/>
          <w:sz w:val="22"/>
          <w:szCs w:val="22"/>
        </w:rPr>
        <w:t xml:space="preserve"> </w:t>
      </w:r>
      <w:r w:rsidRPr="0024349D">
        <w:rPr>
          <w:rFonts w:ascii="Palatino Linotype" w:eastAsia="Palatino Linotype" w:hAnsi="Palatino Linotype" w:cs="Palatino Linotype"/>
          <w:color w:val="000000"/>
          <w:sz w:val="22"/>
          <w:szCs w:val="22"/>
        </w:rPr>
        <w:t>se emite la presente Resolución, con base en los antecedentes y considerandos que se exponen a continuación:</w:t>
      </w:r>
    </w:p>
    <w:p w14:paraId="3A772410" w14:textId="77777777" w:rsidR="00651688" w:rsidRPr="0024349D" w:rsidRDefault="00651688">
      <w:pPr>
        <w:pStyle w:val="Subttulo"/>
        <w:spacing w:after="0" w:line="360" w:lineRule="auto"/>
        <w:rPr>
          <w:rFonts w:ascii="Palatino Linotype" w:eastAsia="Palatino Linotype" w:hAnsi="Palatino Linotype" w:cs="Palatino Linotype"/>
        </w:rPr>
      </w:pPr>
    </w:p>
    <w:p w14:paraId="07AF584D" w14:textId="77777777" w:rsidR="00651688" w:rsidRPr="0024349D" w:rsidRDefault="00BD2DE1">
      <w:pPr>
        <w:pStyle w:val="Ttulo1"/>
      </w:pPr>
      <w:bookmarkStart w:id="0" w:name="_heading=h.y3kfckyveln1" w:colFirst="0" w:colLast="0"/>
      <w:bookmarkStart w:id="1" w:name="_Toc222410683"/>
      <w:bookmarkEnd w:id="0"/>
      <w:r w:rsidRPr="0024349D">
        <w:t>A N T E C E D E N T E S</w:t>
      </w:r>
      <w:bookmarkEnd w:id="1"/>
    </w:p>
    <w:p w14:paraId="6CDB3752" w14:textId="77777777" w:rsidR="00651688" w:rsidRPr="0024349D" w:rsidRDefault="00651688">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30E62B38" w14:textId="77777777" w:rsidR="00651688" w:rsidRPr="0024349D" w:rsidRDefault="00BD2DE1">
      <w:pPr>
        <w:pStyle w:val="Ttulo2"/>
      </w:pPr>
      <w:bookmarkStart w:id="2" w:name="_heading=h.cyhvqn6k18dr" w:colFirst="0" w:colLast="0"/>
      <w:bookmarkStart w:id="3" w:name="_Toc222410684"/>
      <w:bookmarkEnd w:id="2"/>
      <w:r w:rsidRPr="0024349D">
        <w:t>I. Presentación de la solicitud de información</w:t>
      </w:r>
      <w:bookmarkEnd w:id="3"/>
    </w:p>
    <w:p w14:paraId="0914C283" w14:textId="77777777" w:rsidR="00651688" w:rsidRPr="0024349D" w:rsidRDefault="00651688">
      <w:pPr>
        <w:tabs>
          <w:tab w:val="left" w:pos="567"/>
        </w:tabs>
        <w:spacing w:line="360" w:lineRule="auto"/>
        <w:jc w:val="both"/>
        <w:rPr>
          <w:rFonts w:ascii="Palatino Linotype" w:eastAsia="Palatino Linotype" w:hAnsi="Palatino Linotype" w:cs="Palatino Linotype"/>
          <w:sz w:val="22"/>
          <w:szCs w:val="22"/>
        </w:rPr>
      </w:pPr>
    </w:p>
    <w:p w14:paraId="7C76D3C8"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color w:val="000000"/>
          <w:sz w:val="22"/>
          <w:szCs w:val="22"/>
        </w:rPr>
        <w:t>El dos de octubre de dos mil veinticinco</w:t>
      </w:r>
      <w:r w:rsidRPr="0024349D">
        <w:rPr>
          <w:rFonts w:ascii="Palatino Linotype" w:eastAsia="Palatino Linotype" w:hAnsi="Palatino Linotype" w:cs="Palatino Linotype"/>
          <w:sz w:val="22"/>
          <w:szCs w:val="22"/>
        </w:rPr>
        <w:t>, la persona Particular presentó una solicitud de acceso a la información pública, a través del Sistema de Acceso a la Información Mexiquense, en lo sucesivo el SAIMEX, ante el Ayuntamiento de Naucalpan de Juárez, en los siguientes términos:</w:t>
      </w:r>
    </w:p>
    <w:p w14:paraId="75A7A8B2"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3BFFBD69" w14:textId="77777777" w:rsidR="00651688" w:rsidRPr="0024349D" w:rsidRDefault="00BD2DE1">
      <w:pPr>
        <w:spacing w:line="360" w:lineRule="auto"/>
        <w:ind w:left="567"/>
        <w:jc w:val="both"/>
        <w:rPr>
          <w:rFonts w:ascii="Palatino Linotype" w:eastAsia="Palatino Linotype" w:hAnsi="Palatino Linotype" w:cs="Palatino Linotype"/>
          <w:b/>
          <w:bCs/>
        </w:rPr>
      </w:pPr>
      <w:r w:rsidRPr="0024349D">
        <w:rPr>
          <w:rFonts w:ascii="Palatino Linotype" w:eastAsia="Palatino Linotype" w:hAnsi="Palatino Linotype" w:cs="Palatino Linotype"/>
          <w:b/>
          <w:bCs/>
        </w:rPr>
        <w:t>Folio de la solicitud: 00697/NAUCALPA/IP/2025</w:t>
      </w:r>
    </w:p>
    <w:p w14:paraId="5D122BA7" w14:textId="77777777" w:rsidR="00651688" w:rsidRPr="0024349D" w:rsidRDefault="00BD2DE1">
      <w:pPr>
        <w:tabs>
          <w:tab w:val="left" w:pos="567"/>
        </w:tabs>
        <w:spacing w:line="360" w:lineRule="auto"/>
        <w:ind w:left="567" w:right="709"/>
        <w:jc w:val="both"/>
        <w:rPr>
          <w:rFonts w:ascii="Palatino Linotype" w:eastAsia="Palatino Linotype" w:hAnsi="Palatino Linotype" w:cs="Palatino Linotype"/>
          <w:b/>
          <w:bCs/>
        </w:rPr>
      </w:pPr>
      <w:r w:rsidRPr="0024349D">
        <w:rPr>
          <w:rFonts w:ascii="Palatino Linotype" w:eastAsia="Palatino Linotype" w:hAnsi="Palatino Linotype" w:cs="Palatino Linotype"/>
          <w:b/>
          <w:bCs/>
        </w:rPr>
        <w:t>DESCRIPCIÓN CLARA Y PRECISA DE LA INFORMACIÓN SOLICITADA</w:t>
      </w:r>
    </w:p>
    <w:p w14:paraId="1D217C96" w14:textId="77777777" w:rsidR="00651688" w:rsidRPr="0024349D" w:rsidRDefault="00BD2DE1">
      <w:pPr>
        <w:tabs>
          <w:tab w:val="left" w:pos="4667"/>
        </w:tabs>
        <w:spacing w:line="360" w:lineRule="auto"/>
        <w:ind w:left="567" w:right="70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 xml:space="preserve">“¿Cuánto presupuesto dieron a Naucalpan de Juárez? ¿Cuánto presupuesto se dio a los panteones de Naucalpan de Juárez?” </w:t>
      </w:r>
    </w:p>
    <w:p w14:paraId="28B554F2" w14:textId="77777777" w:rsidR="00651688" w:rsidRPr="0024349D" w:rsidRDefault="00651688">
      <w:pPr>
        <w:tabs>
          <w:tab w:val="left" w:pos="4667"/>
        </w:tabs>
        <w:spacing w:line="360" w:lineRule="auto"/>
        <w:ind w:left="567" w:right="709"/>
        <w:jc w:val="both"/>
        <w:rPr>
          <w:rFonts w:ascii="Palatino Linotype" w:eastAsia="Palatino Linotype" w:hAnsi="Palatino Linotype" w:cs="Palatino Linotype"/>
          <w:b/>
          <w:bCs/>
        </w:rPr>
      </w:pPr>
    </w:p>
    <w:p w14:paraId="4F888235" w14:textId="77777777" w:rsidR="00651688" w:rsidRPr="0024349D" w:rsidRDefault="00BD2DE1">
      <w:pPr>
        <w:tabs>
          <w:tab w:val="left" w:pos="4667"/>
        </w:tabs>
        <w:spacing w:line="360" w:lineRule="auto"/>
        <w:ind w:left="567" w:right="709"/>
        <w:jc w:val="both"/>
        <w:rPr>
          <w:rFonts w:ascii="Palatino Linotype" w:eastAsia="Palatino Linotype" w:hAnsi="Palatino Linotype" w:cs="Palatino Linotype"/>
          <w:i/>
          <w:iCs/>
        </w:rPr>
      </w:pPr>
      <w:r w:rsidRPr="0024349D">
        <w:rPr>
          <w:rFonts w:ascii="Palatino Linotype" w:eastAsia="Palatino Linotype" w:hAnsi="Palatino Linotype" w:cs="Palatino Linotype"/>
          <w:b/>
          <w:bCs/>
        </w:rPr>
        <w:t xml:space="preserve">MODALIDAD DE ENTREGA </w:t>
      </w:r>
      <w:r w:rsidRPr="0024349D">
        <w:rPr>
          <w:rFonts w:ascii="Palatino Linotype" w:eastAsia="Palatino Linotype" w:hAnsi="Palatino Linotype" w:cs="Palatino Linotype"/>
          <w:i/>
          <w:iCs/>
        </w:rPr>
        <w:t>“A través del SAIMEX.”</w:t>
      </w:r>
    </w:p>
    <w:p w14:paraId="42F8113B" w14:textId="77777777" w:rsidR="00651688" w:rsidRPr="0024349D" w:rsidRDefault="00651688">
      <w:pPr>
        <w:tabs>
          <w:tab w:val="left" w:pos="4667"/>
        </w:tabs>
        <w:spacing w:line="360" w:lineRule="auto"/>
        <w:ind w:left="567" w:right="709"/>
        <w:jc w:val="both"/>
        <w:rPr>
          <w:rFonts w:ascii="Palatino Linotype" w:eastAsia="Palatino Linotype" w:hAnsi="Palatino Linotype" w:cs="Palatino Linotype"/>
          <w:b/>
          <w:bCs/>
        </w:rPr>
      </w:pPr>
    </w:p>
    <w:p w14:paraId="41B9E671" w14:textId="77777777" w:rsidR="00651688" w:rsidRPr="0024349D" w:rsidRDefault="00BD2DE1">
      <w:pPr>
        <w:pStyle w:val="Ttulo2"/>
      </w:pPr>
      <w:bookmarkStart w:id="4" w:name="_heading=h.rceuyua14hln" w:colFirst="0" w:colLast="0"/>
      <w:bookmarkStart w:id="5" w:name="_Toc222410685"/>
      <w:bookmarkEnd w:id="4"/>
      <w:r w:rsidRPr="0024349D">
        <w:lastRenderedPageBreak/>
        <w:t>II.  Respuesta del Sujeto Obligado</w:t>
      </w:r>
      <w:bookmarkEnd w:id="5"/>
    </w:p>
    <w:p w14:paraId="13CA4702"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5212D5EB"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El veintiuno de octubre de dos mil veinticinco, el Sujeto Obligado a través de SAIMEX, dio respuesta, en los siguientes términos:</w:t>
      </w:r>
    </w:p>
    <w:p w14:paraId="37A56912"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5FBCA311" w14:textId="77777777" w:rsidR="00651688" w:rsidRPr="0024349D" w:rsidRDefault="00BD2DE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2"/>
          <w:szCs w:val="22"/>
        </w:rPr>
      </w:pPr>
      <w:r w:rsidRPr="0024349D">
        <w:rPr>
          <w:rFonts w:ascii="Palatino Linotype" w:eastAsia="Palatino Linotype" w:hAnsi="Palatino Linotype" w:cs="Palatino Linotype"/>
          <w:b/>
          <w:bCs/>
          <w:i/>
          <w:iCs/>
          <w:color w:val="000000"/>
          <w:sz w:val="22"/>
          <w:szCs w:val="22"/>
        </w:rPr>
        <w:t xml:space="preserve">No00697_NAUCALPA_IP_2025.pdf; </w:t>
      </w:r>
      <w:r w:rsidRPr="0024349D">
        <w:rPr>
          <w:rFonts w:ascii="Palatino Linotype" w:eastAsia="Palatino Linotype" w:hAnsi="Palatino Linotype" w:cs="Palatino Linotype"/>
          <w:color w:val="000000"/>
          <w:sz w:val="22"/>
          <w:szCs w:val="22"/>
        </w:rPr>
        <w:t>del que se desprende un oficio suscrito por el Director de Servicios Públicos, en el que informó lo siguiente:</w:t>
      </w:r>
    </w:p>
    <w:p w14:paraId="62C8A09C" w14:textId="77777777" w:rsidR="00651688" w:rsidRPr="0024349D" w:rsidRDefault="00651688">
      <w:pPr>
        <w:spacing w:line="360" w:lineRule="auto"/>
        <w:jc w:val="both"/>
        <w:rPr>
          <w:rFonts w:ascii="Palatino Linotype" w:eastAsia="Palatino Linotype" w:hAnsi="Palatino Linotype" w:cs="Palatino Linotype"/>
          <w:b/>
          <w:bCs/>
          <w:i/>
          <w:iCs/>
          <w:sz w:val="22"/>
          <w:szCs w:val="22"/>
        </w:rPr>
      </w:pPr>
    </w:p>
    <w:p w14:paraId="45C66DEB" w14:textId="77777777" w:rsidR="00651688" w:rsidRPr="0024349D" w:rsidRDefault="00BD2DE1">
      <w:pPr>
        <w:spacing w:line="360" w:lineRule="auto"/>
        <w:ind w:left="567" w:right="539"/>
        <w:jc w:val="both"/>
        <w:rPr>
          <w:rFonts w:ascii="Palatino Linotype" w:eastAsia="Palatino Linotype" w:hAnsi="Palatino Linotype" w:cs="Palatino Linotype"/>
          <w:b/>
          <w:bCs/>
          <w:i/>
          <w:iCs/>
        </w:rPr>
      </w:pPr>
      <w:r w:rsidRPr="0024349D">
        <w:rPr>
          <w:rFonts w:ascii="Palatino Linotype" w:eastAsia="Palatino Linotype" w:hAnsi="Palatino Linotype" w:cs="Palatino Linotype"/>
          <w:b/>
          <w:bCs/>
          <w:i/>
          <w:iCs/>
        </w:rPr>
        <w:t>“…</w:t>
      </w:r>
    </w:p>
    <w:p w14:paraId="6873A3C4" w14:textId="77777777" w:rsidR="00651688" w:rsidRPr="0024349D" w:rsidRDefault="00BD2DE1">
      <w:pPr>
        <w:spacing w:line="360" w:lineRule="auto"/>
        <w:ind w:left="567" w:right="539"/>
        <w:jc w:val="both"/>
        <w:rPr>
          <w:rFonts w:ascii="Palatino Linotype" w:eastAsia="Palatino Linotype" w:hAnsi="Palatino Linotype" w:cs="Palatino Linotype"/>
          <w:b/>
          <w:bCs/>
          <w:i/>
          <w:iCs/>
        </w:rPr>
      </w:pPr>
      <w:r w:rsidRPr="0024349D">
        <w:rPr>
          <w:rFonts w:ascii="Palatino Linotype" w:eastAsia="Palatino Linotype" w:hAnsi="Palatino Linotype" w:cs="Palatino Linotype"/>
          <w:i/>
          <w:iCs/>
        </w:rPr>
        <w:t xml:space="preserve">Sin Embargo, en función del principio de máxima publicidad y así dar solvencia a la Solicitud de Información le informo que después de realizar una </w:t>
      </w:r>
      <w:r w:rsidRPr="0024349D">
        <w:rPr>
          <w:rFonts w:ascii="Palatino Linotype" w:eastAsia="Palatino Linotype" w:hAnsi="Palatino Linotype" w:cs="Palatino Linotype"/>
          <w:b/>
          <w:bCs/>
          <w:i/>
          <w:iCs/>
        </w:rPr>
        <w:t>BÚSQUEDA EXHAUSTIVA</w:t>
      </w:r>
      <w:r w:rsidRPr="0024349D">
        <w:rPr>
          <w:rFonts w:ascii="Palatino Linotype" w:eastAsia="Palatino Linotype" w:hAnsi="Palatino Linotype" w:cs="Palatino Linotype"/>
          <w:i/>
          <w:iCs/>
        </w:rPr>
        <w:t xml:space="preserve"> en los </w:t>
      </w:r>
      <w:r w:rsidRPr="0024349D">
        <w:rPr>
          <w:rFonts w:ascii="Palatino Linotype" w:eastAsia="Palatino Linotype" w:hAnsi="Palatino Linotype" w:cs="Palatino Linotype"/>
          <w:b/>
          <w:bCs/>
          <w:i/>
          <w:iCs/>
        </w:rPr>
        <w:t xml:space="preserve">ARCHIVOS DE ESTA DIRECCIÓN DE SERVICIOS PÚBLICOS; </w:t>
      </w:r>
      <w:r w:rsidRPr="0024349D">
        <w:rPr>
          <w:rFonts w:ascii="Palatino Linotype" w:eastAsia="Palatino Linotype" w:hAnsi="Palatino Linotype" w:cs="Palatino Linotype"/>
          <w:b/>
          <w:bCs/>
          <w:i/>
          <w:iCs/>
          <w:u w:val="single"/>
        </w:rPr>
        <w:t>NO HAY EXISTENCIA NI SE ENCONTRARON CONTRATOS, CONVENIOS, REGISTROS, COPIAS, EVIDENCIA FOTOGRAFICA O DOCUMENTOS</w:t>
      </w:r>
      <w:r w:rsidRPr="0024349D">
        <w:rPr>
          <w:rFonts w:ascii="Palatino Linotype" w:eastAsia="Palatino Linotype" w:hAnsi="Palatino Linotype" w:cs="Palatino Linotype"/>
          <w:i/>
          <w:iCs/>
        </w:rPr>
        <w:t xml:space="preserve"> que acredita la información solicitada en el expediente de solicitud de folio de Turno </w:t>
      </w:r>
      <w:r w:rsidRPr="0024349D">
        <w:rPr>
          <w:rFonts w:ascii="Palatino Linotype" w:eastAsia="Palatino Linotype" w:hAnsi="Palatino Linotype" w:cs="Palatino Linotype"/>
          <w:b/>
          <w:bCs/>
          <w:i/>
          <w:iCs/>
        </w:rPr>
        <w:t>00697/NAUCALPA/IP/2025/TSP/0002.</w:t>
      </w:r>
    </w:p>
    <w:p w14:paraId="375E7669" w14:textId="77777777" w:rsidR="00651688" w:rsidRPr="0024349D" w:rsidRDefault="00BD2DE1">
      <w:pPr>
        <w:spacing w:line="360" w:lineRule="auto"/>
        <w:ind w:left="567"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b/>
          <w:bCs/>
          <w:i/>
          <w:iCs/>
        </w:rPr>
        <w:t>…”</w:t>
      </w:r>
    </w:p>
    <w:p w14:paraId="3DF17CAD" w14:textId="77777777" w:rsidR="00651688" w:rsidRPr="0024349D" w:rsidRDefault="00651688">
      <w:pPr>
        <w:spacing w:line="360" w:lineRule="auto"/>
        <w:jc w:val="both"/>
        <w:rPr>
          <w:rFonts w:ascii="Palatino Linotype" w:eastAsia="Palatino Linotype" w:hAnsi="Palatino Linotype" w:cs="Palatino Linotype"/>
          <w:b/>
          <w:bCs/>
          <w:i/>
          <w:iCs/>
        </w:rPr>
      </w:pPr>
    </w:p>
    <w:p w14:paraId="7448CD37" w14:textId="77777777" w:rsidR="00651688" w:rsidRPr="0024349D" w:rsidRDefault="00BD2DE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2"/>
          <w:szCs w:val="22"/>
        </w:rPr>
      </w:pPr>
      <w:r w:rsidRPr="0024349D">
        <w:rPr>
          <w:rFonts w:ascii="Palatino Linotype" w:eastAsia="Palatino Linotype" w:hAnsi="Palatino Linotype" w:cs="Palatino Linotype"/>
          <w:b/>
          <w:bCs/>
          <w:i/>
          <w:iCs/>
          <w:color w:val="000000"/>
          <w:sz w:val="22"/>
          <w:szCs w:val="22"/>
        </w:rPr>
        <w:t xml:space="preserve">TM;3529;2025 SAIMEX 00697.pdf; </w:t>
      </w:r>
      <w:r w:rsidRPr="0024349D">
        <w:rPr>
          <w:rFonts w:ascii="Palatino Linotype" w:eastAsia="Palatino Linotype" w:hAnsi="Palatino Linotype" w:cs="Palatino Linotype"/>
          <w:color w:val="000000"/>
          <w:sz w:val="22"/>
          <w:szCs w:val="22"/>
        </w:rPr>
        <w:t>del que se desprende lo siguiente:</w:t>
      </w:r>
    </w:p>
    <w:p w14:paraId="27F5A50D" w14:textId="77777777" w:rsidR="00651688" w:rsidRPr="0024349D" w:rsidRDefault="00651688">
      <w:pPr>
        <w:pBdr>
          <w:top w:val="nil"/>
          <w:left w:val="nil"/>
          <w:bottom w:val="nil"/>
          <w:right w:val="nil"/>
          <w:between w:val="nil"/>
        </w:pBdr>
        <w:spacing w:line="360" w:lineRule="auto"/>
        <w:ind w:left="720"/>
        <w:jc w:val="both"/>
        <w:rPr>
          <w:rFonts w:ascii="Palatino Linotype" w:eastAsia="Palatino Linotype" w:hAnsi="Palatino Linotype" w:cs="Palatino Linotype"/>
          <w:b/>
          <w:bCs/>
          <w:i/>
          <w:iCs/>
          <w:color w:val="000000"/>
          <w:sz w:val="22"/>
          <w:szCs w:val="22"/>
        </w:rPr>
      </w:pPr>
    </w:p>
    <w:p w14:paraId="15C9B71F" w14:textId="77777777" w:rsidR="00651688" w:rsidRPr="0024349D" w:rsidRDefault="00BD2DE1">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2"/>
          <w:szCs w:val="22"/>
        </w:rPr>
      </w:pPr>
      <w:r w:rsidRPr="0024349D">
        <w:rPr>
          <w:rFonts w:ascii="Palatino Linotype" w:eastAsia="Palatino Linotype" w:hAnsi="Palatino Linotype" w:cs="Palatino Linotype"/>
          <w:color w:val="000000"/>
          <w:sz w:val="22"/>
          <w:szCs w:val="22"/>
        </w:rPr>
        <w:t>Oficio suscrito por la Tesorera Municipal en el que informó:</w:t>
      </w:r>
    </w:p>
    <w:p w14:paraId="7682DA1A" w14:textId="77777777" w:rsidR="00651688" w:rsidRPr="0024349D" w:rsidRDefault="00651688">
      <w:pPr>
        <w:spacing w:line="360" w:lineRule="auto"/>
        <w:jc w:val="both"/>
        <w:rPr>
          <w:rFonts w:ascii="Palatino Linotype" w:eastAsia="Palatino Linotype" w:hAnsi="Palatino Linotype" w:cs="Palatino Linotype"/>
          <w:b/>
          <w:bCs/>
          <w:i/>
          <w:iCs/>
          <w:sz w:val="22"/>
          <w:szCs w:val="22"/>
        </w:rPr>
      </w:pPr>
    </w:p>
    <w:p w14:paraId="14F62058" w14:textId="77777777" w:rsidR="00651688" w:rsidRPr="0024349D" w:rsidRDefault="00BD2DE1">
      <w:pPr>
        <w:spacing w:line="360" w:lineRule="auto"/>
        <w:ind w:left="567"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“Al respecto, con fundamento en lo dispuesto por el artículo 23 fracción IV y demás preceptos relativos, vigentes y aplicables de la Ley de Transparencia y Acceso a la Información Pública del Estado de México y Municipio; se informa que el presupuesto es información de carácter público y se encuentra disponible para consulta en la página web del Municipio de Naucalpan de Juárez, México,</w:t>
      </w:r>
      <w:r w:rsidRPr="0024349D">
        <w:rPr>
          <w:rFonts w:ascii="Palatino Linotype" w:eastAsia="Palatino Linotype" w:hAnsi="Palatino Linotype" w:cs="Palatino Linotype"/>
        </w:rPr>
        <w:t xml:space="preserve"> </w:t>
      </w:r>
      <w:r w:rsidRPr="0024349D">
        <w:rPr>
          <w:rFonts w:ascii="Palatino Linotype" w:eastAsia="Palatino Linotype" w:hAnsi="Palatino Linotype" w:cs="Palatino Linotype"/>
          <w:i/>
          <w:iCs/>
        </w:rPr>
        <w:t xml:space="preserve">ingresando mediante el siguiente link </w:t>
      </w:r>
      <w:r w:rsidRPr="0024349D">
        <w:rPr>
          <w:rFonts w:ascii="Palatino Linotype" w:eastAsia="Palatino Linotype" w:hAnsi="Palatino Linotype" w:cs="Palatino Linotype"/>
          <w:noProof/>
        </w:rPr>
        <w:drawing>
          <wp:inline distT="0" distB="0" distL="0" distR="0" wp14:anchorId="6AD3D709" wp14:editId="5BED5C7E">
            <wp:extent cx="1543050" cy="180975"/>
            <wp:effectExtent l="0" t="0" r="0" b="0"/>
            <wp:docPr id="21287870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543050" cy="180975"/>
                    </a:xfrm>
                    <a:prstGeom prst="rect">
                      <a:avLst/>
                    </a:prstGeom>
                    <a:ln/>
                  </pic:spPr>
                </pic:pic>
              </a:graphicData>
            </a:graphic>
          </wp:inline>
        </w:drawing>
      </w:r>
      <w:r w:rsidRPr="0024349D">
        <w:rPr>
          <w:rFonts w:ascii="Palatino Linotype" w:eastAsia="Palatino Linotype" w:hAnsi="Palatino Linotype" w:cs="Palatino Linotype"/>
          <w:i/>
          <w:iCs/>
        </w:rPr>
        <w:t>en el apartado:</w:t>
      </w:r>
    </w:p>
    <w:p w14:paraId="41437E0D" w14:textId="77777777" w:rsidR="00651688" w:rsidRPr="0024349D" w:rsidRDefault="00651688">
      <w:pPr>
        <w:spacing w:line="360" w:lineRule="auto"/>
        <w:ind w:left="567" w:right="539"/>
        <w:jc w:val="both"/>
        <w:rPr>
          <w:rFonts w:ascii="Palatino Linotype" w:eastAsia="Palatino Linotype" w:hAnsi="Palatino Linotype" w:cs="Palatino Linotype"/>
          <w:b/>
          <w:bCs/>
          <w:i/>
          <w:iCs/>
        </w:rPr>
      </w:pPr>
    </w:p>
    <w:p w14:paraId="55478765" w14:textId="77777777" w:rsidR="00651688" w:rsidRPr="0024349D" w:rsidRDefault="00BD2DE1">
      <w:pPr>
        <w:spacing w:line="360" w:lineRule="auto"/>
        <w:ind w:left="567" w:right="539"/>
        <w:jc w:val="center"/>
        <w:rPr>
          <w:rFonts w:ascii="Palatino Linotype" w:eastAsia="Palatino Linotype" w:hAnsi="Palatino Linotype" w:cs="Palatino Linotype"/>
          <w:color w:val="000000"/>
        </w:rPr>
      </w:pPr>
      <w:r w:rsidRPr="0024349D">
        <w:rPr>
          <w:rFonts w:ascii="Palatino Linotype" w:eastAsia="Palatino Linotype" w:hAnsi="Palatino Linotype" w:cs="Palatino Linotype"/>
          <w:noProof/>
        </w:rPr>
        <w:drawing>
          <wp:inline distT="0" distB="0" distL="0" distR="0" wp14:anchorId="3C024117" wp14:editId="6BF08D9B">
            <wp:extent cx="4742121" cy="3030279"/>
            <wp:effectExtent l="0" t="0" r="0" b="5080"/>
            <wp:docPr id="21287870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766081" cy="3045590"/>
                    </a:xfrm>
                    <a:prstGeom prst="rect">
                      <a:avLst/>
                    </a:prstGeom>
                    <a:ln/>
                  </pic:spPr>
                </pic:pic>
              </a:graphicData>
            </a:graphic>
          </wp:inline>
        </w:drawing>
      </w:r>
    </w:p>
    <w:p w14:paraId="34222341" w14:textId="77777777" w:rsidR="00651688" w:rsidRPr="0024349D" w:rsidRDefault="00BD2DE1">
      <w:pPr>
        <w:spacing w:line="360" w:lineRule="auto"/>
        <w:ind w:left="567" w:right="539"/>
        <w:jc w:val="center"/>
        <w:rPr>
          <w:rFonts w:ascii="Palatino Linotype" w:eastAsia="Palatino Linotype" w:hAnsi="Palatino Linotype" w:cs="Palatino Linotype"/>
          <w:color w:val="000000"/>
        </w:rPr>
      </w:pPr>
      <w:r w:rsidRPr="0024349D">
        <w:rPr>
          <w:rFonts w:ascii="Palatino Linotype" w:eastAsia="Palatino Linotype" w:hAnsi="Palatino Linotype" w:cs="Palatino Linotype"/>
          <w:noProof/>
        </w:rPr>
        <w:drawing>
          <wp:inline distT="0" distB="0" distL="0" distR="0" wp14:anchorId="1F6C32F9" wp14:editId="7BCC694C">
            <wp:extent cx="4561367" cy="2232837"/>
            <wp:effectExtent l="0" t="0" r="0" b="2540"/>
            <wp:docPr id="21287870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4585630" cy="2244714"/>
                    </a:xfrm>
                    <a:prstGeom prst="rect">
                      <a:avLst/>
                    </a:prstGeom>
                    <a:ln/>
                  </pic:spPr>
                </pic:pic>
              </a:graphicData>
            </a:graphic>
          </wp:inline>
        </w:drawing>
      </w:r>
    </w:p>
    <w:p w14:paraId="0A108B84" w14:textId="77777777" w:rsidR="00A51A68" w:rsidRPr="0024349D" w:rsidRDefault="00A51A68">
      <w:pPr>
        <w:spacing w:line="360" w:lineRule="auto"/>
        <w:ind w:left="567" w:right="539"/>
        <w:jc w:val="center"/>
        <w:rPr>
          <w:rFonts w:ascii="Palatino Linotype" w:eastAsia="Palatino Linotype" w:hAnsi="Palatino Linotype" w:cs="Palatino Linotype"/>
          <w:color w:val="000000"/>
        </w:rPr>
      </w:pPr>
    </w:p>
    <w:p w14:paraId="1CAF4E3B" w14:textId="77777777" w:rsidR="00651688" w:rsidRPr="0024349D" w:rsidRDefault="00BD2DE1">
      <w:pPr>
        <w:spacing w:line="360" w:lineRule="auto"/>
        <w:ind w:left="567" w:right="539"/>
        <w:jc w:val="both"/>
        <w:rPr>
          <w:rFonts w:ascii="Palatino Linotype" w:eastAsia="Palatino Linotype" w:hAnsi="Palatino Linotype" w:cs="Palatino Linotype"/>
          <w:b/>
          <w:bCs/>
          <w:i/>
          <w:iCs/>
          <w:color w:val="000000"/>
        </w:rPr>
      </w:pPr>
      <w:r w:rsidRPr="0024349D">
        <w:rPr>
          <w:rFonts w:ascii="Palatino Linotype" w:eastAsia="Palatino Linotype" w:hAnsi="Palatino Linotype" w:cs="Palatino Linotype"/>
          <w:b/>
          <w:bCs/>
          <w:i/>
          <w:iCs/>
          <w:color w:val="000000"/>
        </w:rPr>
        <w:t>Respecto al presupuesto asignado a panteones</w:t>
      </w:r>
      <w:r w:rsidRPr="0024349D">
        <w:rPr>
          <w:rFonts w:ascii="Palatino Linotype" w:eastAsia="Palatino Linotype" w:hAnsi="Palatino Linotype" w:cs="Palatino Linotype"/>
          <w:i/>
          <w:iCs/>
          <w:color w:val="000000"/>
        </w:rPr>
        <w:t xml:space="preserve">, se informa que se encuentra disponible para consulta en la página web del Municipio de Naucalpan de Juárez, el Estado Analítico del Ejercicio del Presupuesto de Egresos, Clasificación Administrativa; el cual permite identificar los sectores, subsectores y unidades institucionales a las cuales se realiza la asignación de recursos financieros </w:t>
      </w:r>
      <w:r w:rsidRPr="0024349D">
        <w:rPr>
          <w:rFonts w:ascii="Palatino Linotype" w:eastAsia="Palatino Linotype" w:hAnsi="Palatino Linotype" w:cs="Palatino Linotype"/>
          <w:i/>
          <w:iCs/>
          <w:color w:val="000000"/>
        </w:rPr>
        <w:lastRenderedPageBreak/>
        <w:t xml:space="preserve">públicos, mediante el presupuesto; de esta manera se expresa que </w:t>
      </w:r>
      <w:r w:rsidRPr="0024349D">
        <w:rPr>
          <w:rFonts w:ascii="Palatino Linotype" w:eastAsia="Palatino Linotype" w:hAnsi="Palatino Linotype" w:cs="Palatino Linotype"/>
          <w:b/>
          <w:bCs/>
          <w:i/>
          <w:iCs/>
          <w:color w:val="000000"/>
        </w:rPr>
        <w:t>el Presupuesto asignado a la Dirección de Servicios Públicos para el ejercicio fiscal 2025 fue de $1,346,881,219.72 dentro del cual se encuentra el Departamento de Panteones.</w:t>
      </w:r>
    </w:p>
    <w:p w14:paraId="0C58EA34" w14:textId="77777777" w:rsidR="00651688" w:rsidRPr="0024349D" w:rsidRDefault="00651688">
      <w:pPr>
        <w:spacing w:line="360" w:lineRule="auto"/>
        <w:ind w:left="567" w:right="539"/>
        <w:jc w:val="both"/>
        <w:rPr>
          <w:rFonts w:ascii="Palatino Linotype" w:eastAsia="Palatino Linotype" w:hAnsi="Palatino Linotype" w:cs="Palatino Linotype"/>
          <w:color w:val="000000"/>
        </w:rPr>
      </w:pPr>
    </w:p>
    <w:p w14:paraId="4A1D8C48" w14:textId="77777777" w:rsidR="00651688" w:rsidRPr="0024349D" w:rsidRDefault="00BD2DE1">
      <w:pPr>
        <w:spacing w:line="360" w:lineRule="auto"/>
        <w:ind w:left="567" w:right="539"/>
        <w:jc w:val="both"/>
        <w:rPr>
          <w:rFonts w:ascii="Palatino Linotype" w:eastAsia="Palatino Linotype" w:hAnsi="Palatino Linotype" w:cs="Palatino Linotype"/>
          <w:color w:val="000000"/>
        </w:rPr>
      </w:pPr>
      <w:r w:rsidRPr="0024349D">
        <w:rPr>
          <w:rFonts w:ascii="Palatino Linotype" w:eastAsia="Palatino Linotype" w:hAnsi="Palatino Linotype" w:cs="Palatino Linotype"/>
          <w:noProof/>
        </w:rPr>
        <w:drawing>
          <wp:inline distT="0" distB="0" distL="0" distR="0" wp14:anchorId="43C4DA55" wp14:editId="71F8C98A">
            <wp:extent cx="5086350" cy="2095500"/>
            <wp:effectExtent l="0" t="0" r="0" b="0"/>
            <wp:docPr id="21287870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86350" cy="2095500"/>
                    </a:xfrm>
                    <a:prstGeom prst="rect">
                      <a:avLst/>
                    </a:prstGeom>
                    <a:ln/>
                  </pic:spPr>
                </pic:pic>
              </a:graphicData>
            </a:graphic>
          </wp:inline>
        </w:drawing>
      </w:r>
    </w:p>
    <w:p w14:paraId="6A9B7341" w14:textId="77777777" w:rsidR="00651688" w:rsidRPr="0024349D" w:rsidRDefault="00BD2DE1">
      <w:pPr>
        <w:spacing w:line="360" w:lineRule="auto"/>
        <w:ind w:left="567" w:right="539"/>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w:t>
      </w:r>
    </w:p>
    <w:p w14:paraId="68A1814B" w14:textId="77777777" w:rsidR="00651688" w:rsidRPr="0024349D" w:rsidRDefault="00BD2DE1">
      <w:pPr>
        <w:spacing w:line="360" w:lineRule="auto"/>
        <w:ind w:left="567" w:right="539"/>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 xml:space="preserve">Finalmente, para proporcionar atención oportuna a la solicitud, se anexa a la presente: </w:t>
      </w:r>
    </w:p>
    <w:p w14:paraId="16E9FDAE" w14:textId="77777777" w:rsidR="00651688" w:rsidRPr="0024349D" w:rsidRDefault="00BD2DE1">
      <w:pPr>
        <w:spacing w:line="360" w:lineRule="auto"/>
        <w:ind w:left="567" w:right="539"/>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 xml:space="preserve">* Caratula del Presupuesto de Egresos del 01 de enero al 31 de diciembre de 2025 </w:t>
      </w:r>
    </w:p>
    <w:p w14:paraId="29B5B11D" w14:textId="77777777" w:rsidR="00651688" w:rsidRPr="0024349D" w:rsidRDefault="00BD2DE1">
      <w:pPr>
        <w:spacing w:line="360" w:lineRule="auto"/>
        <w:ind w:left="567" w:right="539"/>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 Estado Analítico del Ejercicio del Presupuesto de Egresos, Clasificación Administrativa al 30 de junio de 2025</w:t>
      </w:r>
    </w:p>
    <w:p w14:paraId="3A586227" w14:textId="77777777" w:rsidR="00651688" w:rsidRPr="0024349D" w:rsidRDefault="00BD2DE1">
      <w:pPr>
        <w:spacing w:line="360" w:lineRule="auto"/>
        <w:ind w:left="567" w:right="539"/>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 (Énfasis añadido)</w:t>
      </w:r>
    </w:p>
    <w:p w14:paraId="6BBA49FB" w14:textId="77777777" w:rsidR="00651688" w:rsidRPr="0024349D" w:rsidRDefault="00651688">
      <w:pPr>
        <w:spacing w:line="360" w:lineRule="auto"/>
        <w:jc w:val="both"/>
        <w:rPr>
          <w:rFonts w:ascii="Palatino Linotype" w:eastAsia="Palatino Linotype" w:hAnsi="Palatino Linotype" w:cs="Palatino Linotype"/>
          <w:i/>
          <w:iCs/>
          <w:color w:val="000000"/>
          <w:sz w:val="22"/>
          <w:szCs w:val="22"/>
        </w:rPr>
      </w:pPr>
    </w:p>
    <w:p w14:paraId="64B51DE3" w14:textId="77777777" w:rsidR="00651688" w:rsidRPr="0024349D" w:rsidRDefault="00BD2DE1">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Caratula del Presupuesto de Egresos del 01 de enero al 31 de diciembre de 2025</w:t>
      </w:r>
    </w:p>
    <w:p w14:paraId="13488979" w14:textId="77777777" w:rsidR="00651688" w:rsidRPr="0024349D" w:rsidRDefault="00BD2DE1">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Estado Analítico del Ejercicio del Presupuesto de Egresos, Clasificación Administrativa por Dependencia General del 01 de Enero al 30 de junio de 2025.</w:t>
      </w:r>
    </w:p>
    <w:p w14:paraId="60CEB209"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7490DD41" w14:textId="77777777" w:rsidR="00651688" w:rsidRPr="0024349D" w:rsidRDefault="00BD2DE1">
      <w:pPr>
        <w:pStyle w:val="Ttulo2"/>
      </w:pPr>
      <w:bookmarkStart w:id="6" w:name="_heading=h.8gmgp9f1hzuf" w:colFirst="0" w:colLast="0"/>
      <w:bookmarkStart w:id="7" w:name="_Toc222410686"/>
      <w:bookmarkEnd w:id="6"/>
      <w:r w:rsidRPr="0024349D">
        <w:t>III. Interposición del Recurso de Revisión</w:t>
      </w:r>
      <w:bookmarkEnd w:id="7"/>
    </w:p>
    <w:p w14:paraId="74850C95" w14:textId="77777777" w:rsidR="00651688" w:rsidRPr="0024349D" w:rsidRDefault="00651688">
      <w:pPr>
        <w:spacing w:line="360" w:lineRule="auto"/>
        <w:jc w:val="both"/>
        <w:rPr>
          <w:rFonts w:ascii="Palatino Linotype" w:eastAsia="Palatino Linotype" w:hAnsi="Palatino Linotype" w:cs="Palatino Linotype"/>
          <w:b/>
          <w:bCs/>
          <w:color w:val="000000"/>
          <w:sz w:val="22"/>
          <w:szCs w:val="22"/>
        </w:rPr>
      </w:pPr>
    </w:p>
    <w:p w14:paraId="2F40A7A4"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color w:val="000000"/>
          <w:sz w:val="22"/>
          <w:szCs w:val="22"/>
        </w:rPr>
        <w:lastRenderedPageBreak/>
        <w:t xml:space="preserve">El treinta de octubre de dos mil veinticinco, la parte Recurrente interpuso un Recurso de Revisión ante este Instituto, a través del Sistema de Acceso a la Información Mexiquense (SAIMEX), en los siguientes términos: </w:t>
      </w:r>
    </w:p>
    <w:p w14:paraId="5E6C0DA0"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7253A52A" w14:textId="77777777" w:rsidR="00651688" w:rsidRPr="0024349D" w:rsidRDefault="00BD2DE1">
      <w:pPr>
        <w:spacing w:line="360" w:lineRule="auto"/>
        <w:ind w:left="567" w:right="567"/>
        <w:jc w:val="both"/>
        <w:rPr>
          <w:rFonts w:ascii="Palatino Linotype" w:eastAsia="Palatino Linotype" w:hAnsi="Palatino Linotype" w:cs="Palatino Linotype"/>
          <w:color w:val="000000"/>
        </w:rPr>
      </w:pPr>
      <w:r w:rsidRPr="0024349D">
        <w:rPr>
          <w:rFonts w:ascii="Palatino Linotype" w:eastAsia="Palatino Linotype" w:hAnsi="Palatino Linotype" w:cs="Palatino Linotype"/>
          <w:b/>
          <w:bCs/>
          <w:color w:val="000000"/>
        </w:rPr>
        <w:t>ACTO IMPUGNADO</w:t>
      </w:r>
    </w:p>
    <w:p w14:paraId="0DF427A2" w14:textId="77777777" w:rsidR="00651688" w:rsidRPr="0024349D" w:rsidRDefault="00BD2DE1">
      <w:pPr>
        <w:spacing w:line="360" w:lineRule="auto"/>
        <w:ind w:left="567" w:right="567"/>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“No se entrega la información solicitada informando</w:t>
      </w:r>
      <w:r w:rsidRPr="0024349D">
        <w:rPr>
          <w:rFonts w:ascii="Palatino Linotype" w:eastAsia="Palatino Linotype" w:hAnsi="Palatino Linotype" w:cs="Palatino Linotype"/>
          <w:b/>
          <w:bCs/>
          <w:i/>
          <w:iCs/>
          <w:color w:val="000000"/>
        </w:rPr>
        <w:t xml:space="preserve"> los motivos por lo cual no se da presupuesto de cada panteón</w:t>
      </w:r>
      <w:r w:rsidRPr="0024349D">
        <w:rPr>
          <w:rFonts w:ascii="Palatino Linotype" w:eastAsia="Palatino Linotype" w:hAnsi="Palatino Linotype" w:cs="Palatino Linotype"/>
          <w:i/>
          <w:iCs/>
          <w:color w:val="000000"/>
        </w:rPr>
        <w:t xml:space="preserve"> que hay en Naucalpan de Juarez Estado de México. No Indica la ruta precisa en la página web, en la cual debería ver </w:t>
      </w:r>
      <w:r w:rsidRPr="0024349D">
        <w:rPr>
          <w:rFonts w:ascii="Palatino Linotype" w:eastAsia="Palatino Linotype" w:hAnsi="Palatino Linotype" w:cs="Palatino Linotype"/>
          <w:b/>
          <w:bCs/>
          <w:i/>
          <w:iCs/>
          <w:color w:val="000000"/>
        </w:rPr>
        <w:t>los montos asignados de cada panteón</w:t>
      </w:r>
      <w:r w:rsidRPr="0024349D">
        <w:rPr>
          <w:rFonts w:ascii="Palatino Linotype" w:eastAsia="Palatino Linotype" w:hAnsi="Palatino Linotype" w:cs="Palatino Linotype"/>
          <w:i/>
          <w:iCs/>
          <w:color w:val="000000"/>
        </w:rPr>
        <w:t xml:space="preserve"> y </w:t>
      </w:r>
      <w:r w:rsidRPr="0024349D">
        <w:rPr>
          <w:rFonts w:ascii="Palatino Linotype" w:eastAsia="Palatino Linotype" w:hAnsi="Palatino Linotype" w:cs="Palatino Linotype"/>
          <w:b/>
          <w:bCs/>
          <w:i/>
          <w:iCs/>
          <w:color w:val="000000"/>
        </w:rPr>
        <w:t>argumentar las cantidades de presupuesto</w:t>
      </w:r>
      <w:r w:rsidRPr="0024349D">
        <w:rPr>
          <w:rFonts w:ascii="Palatino Linotype" w:eastAsia="Palatino Linotype" w:hAnsi="Palatino Linotype" w:cs="Palatino Linotype"/>
          <w:i/>
          <w:iCs/>
          <w:color w:val="000000"/>
        </w:rPr>
        <w:t>”</w:t>
      </w:r>
    </w:p>
    <w:p w14:paraId="6AA13090" w14:textId="77777777" w:rsidR="00651688" w:rsidRPr="0024349D" w:rsidRDefault="00651688">
      <w:pPr>
        <w:spacing w:line="360" w:lineRule="auto"/>
        <w:ind w:right="567"/>
        <w:jc w:val="both"/>
        <w:rPr>
          <w:rFonts w:ascii="Palatino Linotype" w:eastAsia="Palatino Linotype" w:hAnsi="Palatino Linotype" w:cs="Palatino Linotype"/>
          <w:i/>
          <w:iCs/>
          <w:color w:val="000000"/>
        </w:rPr>
      </w:pPr>
    </w:p>
    <w:p w14:paraId="44D105CA" w14:textId="77777777" w:rsidR="00651688" w:rsidRPr="0024349D" w:rsidRDefault="00BD2DE1">
      <w:pPr>
        <w:spacing w:line="360" w:lineRule="auto"/>
        <w:ind w:left="567" w:right="567"/>
        <w:rPr>
          <w:rFonts w:ascii="Palatino Linotype" w:eastAsia="Palatino Linotype" w:hAnsi="Palatino Linotype" w:cs="Palatino Linotype"/>
          <w:b/>
          <w:bCs/>
          <w:i/>
          <w:iCs/>
        </w:rPr>
      </w:pPr>
      <w:r w:rsidRPr="0024349D">
        <w:rPr>
          <w:rFonts w:ascii="Palatino Linotype" w:eastAsia="Palatino Linotype" w:hAnsi="Palatino Linotype" w:cs="Palatino Linotype"/>
          <w:b/>
          <w:bCs/>
        </w:rPr>
        <w:t>RAZONES O MOTIVOS DE LA INCONFORMIDAD</w:t>
      </w:r>
    </w:p>
    <w:p w14:paraId="21D7EB6E" w14:textId="77777777" w:rsidR="00651688" w:rsidRPr="0024349D" w:rsidRDefault="00BD2DE1">
      <w:pPr>
        <w:spacing w:line="360" w:lineRule="auto"/>
        <w:ind w:left="567" w:right="567"/>
        <w:jc w:val="both"/>
        <w:rPr>
          <w:rFonts w:ascii="Palatino Linotype" w:eastAsia="Palatino Linotype" w:hAnsi="Palatino Linotype" w:cs="Palatino Linotype"/>
          <w:i/>
          <w:iCs/>
          <w:color w:val="000000"/>
        </w:rPr>
      </w:pPr>
      <w:r w:rsidRPr="0024349D">
        <w:rPr>
          <w:rFonts w:ascii="Palatino Linotype" w:eastAsia="Palatino Linotype" w:hAnsi="Palatino Linotype" w:cs="Palatino Linotype"/>
          <w:i/>
          <w:iCs/>
          <w:color w:val="000000"/>
        </w:rPr>
        <w:t>“</w:t>
      </w:r>
      <w:r w:rsidRPr="0024349D">
        <w:rPr>
          <w:rFonts w:ascii="Palatino Linotype" w:eastAsia="Palatino Linotype" w:hAnsi="Palatino Linotype" w:cs="Palatino Linotype"/>
          <w:b/>
          <w:bCs/>
          <w:i/>
          <w:iCs/>
          <w:color w:val="000000"/>
        </w:rPr>
        <w:t>No enviaron desglose de presupuesto de cada panteón</w:t>
      </w:r>
      <w:r w:rsidRPr="0024349D">
        <w:rPr>
          <w:rFonts w:ascii="Palatino Linotype" w:eastAsia="Palatino Linotype" w:hAnsi="Palatino Linotype" w:cs="Palatino Linotype"/>
          <w:i/>
          <w:iCs/>
          <w:color w:val="000000"/>
        </w:rPr>
        <w:t xml:space="preserve">. No </w:t>
      </w:r>
      <w:r w:rsidRPr="0024349D">
        <w:rPr>
          <w:rFonts w:ascii="Palatino Linotype" w:eastAsia="Palatino Linotype" w:hAnsi="Palatino Linotype" w:cs="Palatino Linotype"/>
          <w:b/>
          <w:bCs/>
          <w:i/>
          <w:iCs/>
          <w:color w:val="000000"/>
        </w:rPr>
        <w:t>veo los años solicitados con el desglose del Panteón de San Francisco Chimalpa. Justiciar porque no se da presupuesto</w:t>
      </w:r>
      <w:r w:rsidRPr="0024349D">
        <w:rPr>
          <w:rFonts w:ascii="Palatino Linotype" w:eastAsia="Palatino Linotype" w:hAnsi="Palatino Linotype" w:cs="Palatino Linotype"/>
          <w:i/>
          <w:iCs/>
          <w:color w:val="000000"/>
        </w:rPr>
        <w:t xml:space="preserve"> con argumentos Justificar cantidad que se dio </w:t>
      </w:r>
      <w:r w:rsidRPr="0024349D">
        <w:rPr>
          <w:rFonts w:ascii="Palatino Linotype" w:eastAsia="Palatino Linotype" w:hAnsi="Palatino Linotype" w:cs="Palatino Linotype"/>
          <w:b/>
          <w:bCs/>
          <w:i/>
          <w:iCs/>
          <w:color w:val="000000"/>
        </w:rPr>
        <w:t>a cada panteón con argumentos</w:t>
      </w:r>
      <w:r w:rsidRPr="0024349D">
        <w:rPr>
          <w:rFonts w:ascii="Palatino Linotype" w:eastAsia="Palatino Linotype" w:hAnsi="Palatino Linotype" w:cs="Palatino Linotype"/>
          <w:i/>
          <w:iCs/>
          <w:color w:val="000000"/>
        </w:rPr>
        <w:t xml:space="preserve"> </w:t>
      </w:r>
      <w:r w:rsidRPr="0024349D">
        <w:rPr>
          <w:rFonts w:ascii="Palatino Linotype" w:eastAsia="Palatino Linotype" w:hAnsi="Palatino Linotype" w:cs="Palatino Linotype"/>
          <w:b/>
          <w:bCs/>
          <w:i/>
          <w:iCs/>
          <w:color w:val="000000"/>
        </w:rPr>
        <w:t>Argumentas los años anteriores el por que no dan presupuesto</w:t>
      </w:r>
      <w:r w:rsidRPr="0024349D">
        <w:rPr>
          <w:rFonts w:ascii="Palatino Linotype" w:eastAsia="Palatino Linotype" w:hAnsi="Palatino Linotype" w:cs="Palatino Linotype"/>
          <w:i/>
          <w:iCs/>
          <w:color w:val="000000"/>
        </w:rPr>
        <w:t>, si hay un monto destinado al Municipio de Naucalpan de Juárez, no solo a una parte.” (Sic.)</w:t>
      </w:r>
    </w:p>
    <w:p w14:paraId="736F94A7" w14:textId="77777777" w:rsidR="00651688" w:rsidRPr="0024349D" w:rsidRDefault="00651688">
      <w:pPr>
        <w:spacing w:line="360" w:lineRule="auto"/>
        <w:ind w:right="567"/>
        <w:rPr>
          <w:rFonts w:ascii="Palatino Linotype" w:eastAsia="Palatino Linotype" w:hAnsi="Palatino Linotype" w:cs="Palatino Linotype"/>
          <w:i/>
          <w:iCs/>
          <w:color w:val="000000"/>
          <w:sz w:val="22"/>
          <w:szCs w:val="22"/>
        </w:rPr>
      </w:pPr>
    </w:p>
    <w:p w14:paraId="1AA6C5A1" w14:textId="77777777" w:rsidR="00651688" w:rsidRPr="0024349D" w:rsidRDefault="00BD2DE1">
      <w:pPr>
        <w:pStyle w:val="Ttulo2"/>
      </w:pPr>
      <w:bookmarkStart w:id="8" w:name="_heading=h.yeqb2dt71x84" w:colFirst="0" w:colLast="0"/>
      <w:bookmarkStart w:id="9" w:name="_Toc222410687"/>
      <w:bookmarkEnd w:id="8"/>
      <w:r w:rsidRPr="0024349D">
        <w:t>IV. Trámite del Recurso de Revisión ante el Instituto</w:t>
      </w:r>
      <w:bookmarkEnd w:id="9"/>
    </w:p>
    <w:p w14:paraId="0AF867D1" w14:textId="77777777" w:rsidR="00651688" w:rsidRPr="0024349D" w:rsidRDefault="00651688">
      <w:pPr>
        <w:spacing w:line="360" w:lineRule="auto"/>
        <w:jc w:val="both"/>
        <w:rPr>
          <w:rFonts w:ascii="Palatino Linotype" w:eastAsia="Palatino Linotype" w:hAnsi="Palatino Linotype" w:cs="Palatino Linotype"/>
          <w:b/>
          <w:bCs/>
          <w:color w:val="000000"/>
          <w:sz w:val="22"/>
          <w:szCs w:val="22"/>
        </w:rPr>
      </w:pPr>
    </w:p>
    <w:p w14:paraId="76B3647C" w14:textId="77777777"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b/>
          <w:bCs/>
          <w:color w:val="000000"/>
          <w:sz w:val="22"/>
          <w:szCs w:val="22"/>
        </w:rPr>
        <w:t xml:space="preserve">a) Turno del Recurso de Revisión. </w:t>
      </w:r>
      <w:r w:rsidRPr="0024349D">
        <w:rPr>
          <w:rFonts w:ascii="Palatino Linotype" w:eastAsia="Palatino Linotype" w:hAnsi="Palatino Linotype" w:cs="Palatino Linotype"/>
          <w:color w:val="000000"/>
          <w:sz w:val="22"/>
          <w:szCs w:val="22"/>
        </w:rPr>
        <w:t xml:space="preserve">El treinta de octubre de dos mil veinticinco, el Sistema de Acceso a la Información Mexiquense (SAIMEX), asignó el número de expediente </w:t>
      </w:r>
      <w:r w:rsidRPr="0024349D">
        <w:rPr>
          <w:rFonts w:ascii="Palatino Linotype" w:eastAsia="Palatino Linotype" w:hAnsi="Palatino Linotype" w:cs="Palatino Linotype"/>
          <w:b/>
          <w:bCs/>
          <w:color w:val="000000"/>
          <w:sz w:val="22"/>
          <w:szCs w:val="22"/>
        </w:rPr>
        <w:t>12396/INFOEM/IP/RR/2025</w:t>
      </w:r>
      <w:r w:rsidRPr="0024349D">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B22E5A7" w14:textId="77777777" w:rsidR="00651688" w:rsidRPr="0024349D" w:rsidRDefault="00651688">
      <w:pPr>
        <w:spacing w:line="360" w:lineRule="auto"/>
        <w:jc w:val="both"/>
        <w:rPr>
          <w:rFonts w:ascii="Palatino Linotype" w:eastAsia="Palatino Linotype" w:hAnsi="Palatino Linotype" w:cs="Palatino Linotype"/>
          <w:b/>
          <w:bCs/>
          <w:color w:val="000000"/>
          <w:sz w:val="22"/>
          <w:szCs w:val="22"/>
        </w:rPr>
      </w:pPr>
    </w:p>
    <w:p w14:paraId="64D11434" w14:textId="77777777"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b/>
          <w:bCs/>
          <w:color w:val="000000"/>
          <w:sz w:val="22"/>
          <w:szCs w:val="22"/>
        </w:rPr>
        <w:lastRenderedPageBreak/>
        <w:t xml:space="preserve">b) Admisión del Recurso de Revisión. </w:t>
      </w:r>
      <w:r w:rsidRPr="0024349D">
        <w:rPr>
          <w:rFonts w:ascii="Palatino Linotype" w:eastAsia="Palatino Linotype" w:hAnsi="Palatino Linotype" w:cs="Palatino Linotype"/>
          <w:color w:val="000000"/>
          <w:sz w:val="22"/>
          <w:szCs w:val="22"/>
        </w:rPr>
        <w:t xml:space="preserve">El cuatro de noviembre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24349D">
        <w:rPr>
          <w:rFonts w:ascii="Palatino Linotype" w:eastAsia="Palatino Linotype" w:hAnsi="Palatino Linotype" w:cs="Palatino Linotype"/>
          <w:sz w:val="22"/>
          <w:szCs w:val="22"/>
        </w:rPr>
        <w:t>manifestara</w:t>
      </w:r>
      <w:r w:rsidRPr="0024349D">
        <w:rPr>
          <w:rFonts w:ascii="Palatino Linotype" w:eastAsia="Palatino Linotype" w:hAnsi="Palatino Linotype" w:cs="Palatino Linotype"/>
          <w:color w:val="000000"/>
          <w:sz w:val="22"/>
          <w:szCs w:val="22"/>
        </w:rPr>
        <w:t xml:space="preserve"> lo que a su derecho conviniera y </w:t>
      </w:r>
      <w:r w:rsidRPr="0024349D">
        <w:rPr>
          <w:rFonts w:ascii="Palatino Linotype" w:eastAsia="Palatino Linotype" w:hAnsi="Palatino Linotype" w:cs="Palatino Linotype"/>
          <w:sz w:val="22"/>
          <w:szCs w:val="22"/>
        </w:rPr>
        <w:t>formularán</w:t>
      </w:r>
      <w:r w:rsidRPr="0024349D">
        <w:rPr>
          <w:rFonts w:ascii="Palatino Linotype" w:eastAsia="Palatino Linotype" w:hAnsi="Palatino Linotype" w:cs="Palatino Linotype"/>
          <w:color w:val="000000"/>
          <w:sz w:val="22"/>
          <w:szCs w:val="22"/>
        </w:rPr>
        <w:t xml:space="preserve"> alegatos.</w:t>
      </w:r>
    </w:p>
    <w:p w14:paraId="4400F53E"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73CD2A01"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b/>
          <w:bCs/>
          <w:color w:val="000000"/>
          <w:sz w:val="22"/>
          <w:szCs w:val="22"/>
        </w:rPr>
        <w:t>c)</w:t>
      </w:r>
      <w:r w:rsidRPr="0024349D">
        <w:rPr>
          <w:rFonts w:ascii="Palatino Linotype" w:eastAsia="Palatino Linotype" w:hAnsi="Palatino Linotype" w:cs="Palatino Linotype"/>
          <w:color w:val="000000"/>
          <w:sz w:val="22"/>
          <w:szCs w:val="22"/>
        </w:rPr>
        <w:t xml:space="preserve"> </w:t>
      </w:r>
      <w:r w:rsidRPr="0024349D">
        <w:rPr>
          <w:rFonts w:ascii="Palatino Linotype" w:eastAsia="Palatino Linotype" w:hAnsi="Palatino Linotype" w:cs="Palatino Linotype"/>
          <w:b/>
          <w:bCs/>
          <w:sz w:val="22"/>
          <w:szCs w:val="22"/>
        </w:rPr>
        <w:t xml:space="preserve">Informe Justificado. </w:t>
      </w:r>
      <w:r w:rsidRPr="0024349D">
        <w:rPr>
          <w:rFonts w:ascii="Palatino Linotype" w:eastAsia="Palatino Linotype" w:hAnsi="Palatino Linotype" w:cs="Palatino Linotype"/>
          <w:sz w:val="22"/>
          <w:szCs w:val="22"/>
        </w:rPr>
        <w:t>El siete y diez de noviembre de dos mil veinticinco, se recibió, a través del SAIMEX, el Informe Justificado del Sujeto Obligado, en los siguientes términos:</w:t>
      </w:r>
    </w:p>
    <w:p w14:paraId="20D16A71"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1CED311E" w14:textId="77777777" w:rsidR="00651688" w:rsidRPr="0024349D" w:rsidRDefault="00BD2DE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2"/>
          <w:szCs w:val="22"/>
        </w:rPr>
      </w:pPr>
      <w:r w:rsidRPr="0024349D">
        <w:rPr>
          <w:rFonts w:ascii="Palatino Linotype" w:eastAsia="Palatino Linotype" w:hAnsi="Palatino Linotype" w:cs="Palatino Linotype"/>
          <w:b/>
          <w:bCs/>
          <w:i/>
          <w:iCs/>
          <w:color w:val="000000"/>
          <w:sz w:val="22"/>
          <w:szCs w:val="22"/>
        </w:rPr>
        <w:t xml:space="preserve">DSP_1117_2025.pdf; </w:t>
      </w:r>
      <w:r w:rsidRPr="0024349D">
        <w:rPr>
          <w:rFonts w:ascii="Palatino Linotype" w:eastAsia="Palatino Linotype" w:hAnsi="Palatino Linotype" w:cs="Palatino Linotype"/>
          <w:color w:val="000000"/>
          <w:sz w:val="22"/>
          <w:szCs w:val="22"/>
        </w:rPr>
        <w:t>del que se observa un oficio suscrito por el Director de Servicios Públicos, en el que medularmente ratificó la respuesta inicial y añadió:</w:t>
      </w:r>
    </w:p>
    <w:p w14:paraId="52820AFD" w14:textId="77777777" w:rsidR="00651688" w:rsidRPr="0024349D" w:rsidRDefault="00651688">
      <w:pPr>
        <w:pBdr>
          <w:top w:val="nil"/>
          <w:left w:val="nil"/>
          <w:bottom w:val="nil"/>
          <w:right w:val="nil"/>
          <w:between w:val="nil"/>
        </w:pBdr>
        <w:spacing w:line="360" w:lineRule="auto"/>
        <w:ind w:left="720"/>
        <w:jc w:val="both"/>
        <w:rPr>
          <w:rFonts w:ascii="Palatino Linotype" w:eastAsia="Palatino Linotype" w:hAnsi="Palatino Linotype" w:cs="Palatino Linotype"/>
          <w:b/>
          <w:bCs/>
          <w:i/>
          <w:iCs/>
          <w:color w:val="000000"/>
          <w:sz w:val="22"/>
          <w:szCs w:val="22"/>
        </w:rPr>
      </w:pPr>
    </w:p>
    <w:p w14:paraId="61EC6380" w14:textId="77777777" w:rsidR="00651688" w:rsidRPr="0024349D" w:rsidRDefault="00BD2DE1">
      <w:pPr>
        <w:spacing w:line="360" w:lineRule="auto"/>
        <w:ind w:left="567"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“Derivado de esto, hago de su conocimiento que los recursos materiales son destinados para dar atención de las necesidades y/o peticiones de la ciudadanía o bien dándole el debido mantenimiento a las calles y avenidas del Ayuntamiento por parte de la Dirección de Servicios Públicos.”</w:t>
      </w:r>
    </w:p>
    <w:p w14:paraId="44B20C4D" w14:textId="77777777" w:rsidR="00651688" w:rsidRPr="0024349D" w:rsidRDefault="00651688">
      <w:pPr>
        <w:spacing w:line="360" w:lineRule="auto"/>
        <w:jc w:val="both"/>
        <w:rPr>
          <w:rFonts w:ascii="Palatino Linotype" w:eastAsia="Palatino Linotype" w:hAnsi="Palatino Linotype" w:cs="Palatino Linotype"/>
          <w:b/>
          <w:bCs/>
          <w:i/>
          <w:iCs/>
          <w:sz w:val="22"/>
          <w:szCs w:val="22"/>
        </w:rPr>
      </w:pPr>
    </w:p>
    <w:p w14:paraId="7D8EC7E7" w14:textId="77777777" w:rsidR="00651688" w:rsidRPr="0024349D" w:rsidRDefault="00BD2DE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2"/>
          <w:szCs w:val="22"/>
        </w:rPr>
      </w:pPr>
      <w:r w:rsidRPr="0024349D">
        <w:rPr>
          <w:rFonts w:ascii="Palatino Linotype" w:eastAsia="Palatino Linotype" w:hAnsi="Palatino Linotype" w:cs="Palatino Linotype"/>
          <w:b/>
          <w:bCs/>
          <w:i/>
          <w:iCs/>
          <w:color w:val="000000"/>
          <w:sz w:val="22"/>
          <w:szCs w:val="22"/>
        </w:rPr>
        <w:t xml:space="preserve">TM_3701_2025.pdf; </w:t>
      </w:r>
      <w:r w:rsidRPr="0024349D">
        <w:rPr>
          <w:rFonts w:ascii="Palatino Linotype" w:eastAsia="Palatino Linotype" w:hAnsi="Palatino Linotype" w:cs="Palatino Linotype"/>
          <w:color w:val="000000"/>
          <w:sz w:val="22"/>
          <w:szCs w:val="22"/>
        </w:rPr>
        <w:t>del que se advierte un oficio suscrito por la Tesorera Municipal en el que informó lo siguiente:</w:t>
      </w:r>
    </w:p>
    <w:p w14:paraId="6997D244" w14:textId="77777777" w:rsidR="00651688" w:rsidRPr="0024349D" w:rsidRDefault="00651688">
      <w:pPr>
        <w:spacing w:line="360" w:lineRule="auto"/>
        <w:jc w:val="both"/>
        <w:rPr>
          <w:rFonts w:ascii="Palatino Linotype" w:eastAsia="Palatino Linotype" w:hAnsi="Palatino Linotype" w:cs="Palatino Linotype"/>
          <w:b/>
          <w:bCs/>
          <w:i/>
          <w:iCs/>
          <w:sz w:val="22"/>
          <w:szCs w:val="22"/>
        </w:rPr>
      </w:pPr>
    </w:p>
    <w:p w14:paraId="006A6362" w14:textId="77777777" w:rsidR="00651688" w:rsidRPr="0024349D" w:rsidRDefault="00BD2DE1">
      <w:pPr>
        <w:spacing w:line="360" w:lineRule="auto"/>
        <w:ind w:left="709"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 xml:space="preserve">“Derivado de lo anterior, y en el tenor del acto impugnado, me permito hacer de su conocimiento que </w:t>
      </w:r>
      <w:r w:rsidRPr="0024349D">
        <w:rPr>
          <w:rFonts w:ascii="Palatino Linotype" w:eastAsia="Palatino Linotype" w:hAnsi="Palatino Linotype" w:cs="Palatino Linotype"/>
          <w:b/>
          <w:bCs/>
          <w:i/>
          <w:iCs/>
        </w:rPr>
        <w:t>no existe un presupuesto asignado directamente al área de panteones,</w:t>
      </w:r>
      <w:r w:rsidRPr="0024349D">
        <w:rPr>
          <w:rFonts w:ascii="Palatino Linotype" w:eastAsia="Palatino Linotype" w:hAnsi="Palatino Linotype" w:cs="Palatino Linotype"/>
          <w:i/>
          <w:iCs/>
        </w:rPr>
        <w:t xml:space="preserve"> toda vez que el presupuesto </w:t>
      </w:r>
      <w:r w:rsidRPr="0024349D">
        <w:rPr>
          <w:rFonts w:ascii="Palatino Linotype" w:eastAsia="Palatino Linotype" w:hAnsi="Palatino Linotype" w:cs="Palatino Linotype"/>
          <w:b/>
          <w:bCs/>
          <w:i/>
          <w:iCs/>
        </w:rPr>
        <w:t>se asigna de manera general a cada una de las Direcciones de este H. Ayuntamiento</w:t>
      </w:r>
      <w:r w:rsidRPr="0024349D">
        <w:rPr>
          <w:rFonts w:ascii="Palatino Linotype" w:eastAsia="Palatino Linotype" w:hAnsi="Palatino Linotype" w:cs="Palatino Linotype"/>
          <w:i/>
          <w:iCs/>
        </w:rPr>
        <w:t>, y cada una de estas es la encargada de decidir el uso y destino de su presupuesto de acuerdo a las necesidades operativas que se vayan presentando en el ámbito de competencia de</w:t>
      </w:r>
      <w:r w:rsidRPr="0024349D">
        <w:rPr>
          <w:rFonts w:ascii="Palatino Linotype" w:eastAsia="Palatino Linotype" w:hAnsi="Palatino Linotype" w:cs="Palatino Linotype"/>
        </w:rPr>
        <w:t xml:space="preserve"> </w:t>
      </w:r>
      <w:r w:rsidRPr="0024349D">
        <w:rPr>
          <w:rFonts w:ascii="Palatino Linotype" w:eastAsia="Palatino Linotype" w:hAnsi="Palatino Linotype" w:cs="Palatino Linotype"/>
          <w:i/>
          <w:iCs/>
        </w:rPr>
        <w:t>cada una de las Subdirecciones, Coordinaciones y Departamentos, adscritos a las Direcciones.</w:t>
      </w:r>
    </w:p>
    <w:p w14:paraId="0C735091" w14:textId="77777777" w:rsidR="00651688" w:rsidRPr="0024349D" w:rsidRDefault="00651688">
      <w:pPr>
        <w:spacing w:line="360" w:lineRule="auto"/>
        <w:ind w:left="709" w:right="539"/>
        <w:jc w:val="both"/>
        <w:rPr>
          <w:rFonts w:ascii="Palatino Linotype" w:eastAsia="Palatino Linotype" w:hAnsi="Palatino Linotype" w:cs="Palatino Linotype"/>
          <w:i/>
          <w:iCs/>
        </w:rPr>
      </w:pPr>
    </w:p>
    <w:p w14:paraId="3EE6735D" w14:textId="77777777" w:rsidR="00651688" w:rsidRPr="0024349D" w:rsidRDefault="00BD2DE1">
      <w:pPr>
        <w:spacing w:line="360" w:lineRule="auto"/>
        <w:ind w:left="709"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Es por lo anterior que, en mi similar TM/3529/2025, se citó el presupuesto global de la Dirección de Servicios Públicos, a la cual se encuentra adscrito el Departamento de Panteones.</w:t>
      </w:r>
    </w:p>
    <w:p w14:paraId="29E48DF7" w14:textId="77777777" w:rsidR="00651688" w:rsidRPr="0024349D" w:rsidRDefault="00651688">
      <w:pPr>
        <w:spacing w:line="360" w:lineRule="auto"/>
        <w:ind w:left="709" w:right="539"/>
        <w:jc w:val="both"/>
        <w:rPr>
          <w:rFonts w:ascii="Palatino Linotype" w:eastAsia="Palatino Linotype" w:hAnsi="Palatino Linotype" w:cs="Palatino Linotype"/>
          <w:i/>
          <w:iCs/>
        </w:rPr>
      </w:pPr>
    </w:p>
    <w:p w14:paraId="4027106D" w14:textId="77777777" w:rsidR="00651688" w:rsidRPr="0024349D" w:rsidRDefault="00BD2DE1">
      <w:pPr>
        <w:spacing w:line="360" w:lineRule="auto"/>
        <w:ind w:left="709"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 xml:space="preserve">Ahora bien, continuando con el acto impugnado y motivo de inconformidad es necesario precisar que </w:t>
      </w:r>
      <w:r w:rsidRPr="0024349D">
        <w:rPr>
          <w:rFonts w:ascii="Palatino Linotype" w:eastAsia="Palatino Linotype" w:hAnsi="Palatino Linotype" w:cs="Palatino Linotype"/>
          <w:b/>
          <w:bCs/>
          <w:i/>
          <w:iCs/>
        </w:rPr>
        <w:t>estos puntos no fueron requeridos en un principio</w:t>
      </w:r>
      <w:r w:rsidRPr="0024349D">
        <w:rPr>
          <w:rFonts w:ascii="Palatino Linotype" w:eastAsia="Palatino Linotype" w:hAnsi="Palatino Linotype" w:cs="Palatino Linotype"/>
          <w:i/>
          <w:iCs/>
        </w:rPr>
        <w:t>, así de tales manifestaciones vertidas por el Recurrente, se advierte que amplió su solicitud, por lo que se configura una plus petitio,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únicamente respecto de los nuevos contenidos.</w:t>
      </w:r>
    </w:p>
    <w:p w14:paraId="35ADFB51" w14:textId="77777777" w:rsidR="00651688" w:rsidRPr="0024349D" w:rsidRDefault="00651688">
      <w:pPr>
        <w:spacing w:line="360" w:lineRule="auto"/>
        <w:ind w:left="709" w:right="539"/>
        <w:jc w:val="both"/>
        <w:rPr>
          <w:rFonts w:ascii="Palatino Linotype" w:eastAsia="Palatino Linotype" w:hAnsi="Palatino Linotype" w:cs="Palatino Linotype"/>
          <w:i/>
          <w:iCs/>
        </w:rPr>
      </w:pPr>
    </w:p>
    <w:p w14:paraId="6E8F2478" w14:textId="77777777" w:rsidR="00651688" w:rsidRPr="0024349D" w:rsidRDefault="00BD2DE1">
      <w:pPr>
        <w:spacing w:line="360" w:lineRule="auto"/>
        <w:ind w:left="709"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Así como también, se manifiesta que, en la solicitud de acceso a información pública que nos ocupa no menciona temporalidad para la consulta del presupuesto, por lo que se señaló la consulta de información del año 2025, lo anterior en estricto apego al criterio de interpretación 3/19 emitido por el Instituto Nacional de Transparencia, Acceso a la Información y Protección de Datos (INAI), mismo que a continuación se cita:</w:t>
      </w:r>
    </w:p>
    <w:p w14:paraId="04770BD4" w14:textId="77777777" w:rsidR="00651688" w:rsidRPr="0024349D" w:rsidRDefault="00BD2DE1">
      <w:pPr>
        <w:spacing w:line="360" w:lineRule="auto"/>
        <w:ind w:left="709" w:right="539"/>
        <w:jc w:val="both"/>
        <w:rPr>
          <w:rFonts w:ascii="Palatino Linotype" w:eastAsia="Palatino Linotype" w:hAnsi="Palatino Linotype" w:cs="Palatino Linotype"/>
          <w:i/>
          <w:iCs/>
        </w:rPr>
      </w:pPr>
      <w:r w:rsidRPr="0024349D">
        <w:rPr>
          <w:rFonts w:ascii="Palatino Linotype" w:eastAsia="Palatino Linotype" w:hAnsi="Palatino Linotype" w:cs="Palatino Linotype"/>
          <w:i/>
          <w:iCs/>
        </w:rPr>
        <w:t>…”</w:t>
      </w:r>
    </w:p>
    <w:p w14:paraId="660D7DA2"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2E99A3D8"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b/>
          <w:bCs/>
          <w:sz w:val="22"/>
          <w:szCs w:val="22"/>
        </w:rPr>
        <w:t xml:space="preserve">d) Vista del Informe Justificado. </w:t>
      </w:r>
      <w:r w:rsidRPr="0024349D">
        <w:rPr>
          <w:rFonts w:ascii="Palatino Linotype" w:eastAsia="Palatino Linotype" w:hAnsi="Palatino Linotype" w:cs="Palatino Linotype"/>
          <w:sz w:val="22"/>
          <w:szCs w:val="22"/>
        </w:rPr>
        <w:t>El diez de febrero de dos mil veintiséis, se dictó acuerdo mediante el cual se puso a la vista del Particular el Informe Justificado, entregado por el Sujeto Obligado, el cual fue notificado a las partes, a través del SAIMEX.</w:t>
      </w:r>
    </w:p>
    <w:p w14:paraId="572F4FD6"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4D16B1B0"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b/>
          <w:bCs/>
          <w:sz w:val="22"/>
          <w:szCs w:val="22"/>
        </w:rPr>
        <w:t xml:space="preserve">e) Manifestaciones de la parte Recurrente. </w:t>
      </w:r>
      <w:r w:rsidRPr="0024349D">
        <w:rPr>
          <w:rFonts w:ascii="Palatino Linotype" w:eastAsia="Palatino Linotype" w:hAnsi="Palatino Linotype" w:cs="Palatino Linotype"/>
          <w:sz w:val="22"/>
          <w:szCs w:val="22"/>
        </w:rPr>
        <w:t xml:space="preserve">De las constancias que obran en el SAIMEX, se advierte que la parte Recurrente no añadió manifestaciones. </w:t>
      </w:r>
    </w:p>
    <w:p w14:paraId="7AAB8AD2"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21F98AFC" w14:textId="77777777" w:rsidR="00651688" w:rsidRPr="0024349D" w:rsidRDefault="00BD2DE1">
      <w:pPr>
        <w:spacing w:line="360" w:lineRule="auto"/>
        <w:jc w:val="both"/>
        <w:rPr>
          <w:rFonts w:ascii="Palatino Linotype" w:eastAsia="Palatino Linotype" w:hAnsi="Palatino Linotype" w:cs="Palatino Linotype"/>
          <w:b/>
          <w:bCs/>
          <w:sz w:val="22"/>
          <w:szCs w:val="22"/>
        </w:rPr>
      </w:pPr>
      <w:r w:rsidRPr="0024349D">
        <w:rPr>
          <w:rFonts w:ascii="Palatino Linotype" w:eastAsia="Palatino Linotype" w:hAnsi="Palatino Linotype" w:cs="Palatino Linotype"/>
          <w:b/>
          <w:bCs/>
          <w:sz w:val="22"/>
          <w:szCs w:val="22"/>
        </w:rPr>
        <w:lastRenderedPageBreak/>
        <w:t xml:space="preserve">f) Ampliación de plazo para resolver. </w:t>
      </w:r>
      <w:r w:rsidRPr="0024349D">
        <w:rPr>
          <w:rFonts w:ascii="Palatino Linotype" w:eastAsia="Palatino Linotype" w:hAnsi="Palatino Linotype" w:cs="Palatino Linotype"/>
          <w:sz w:val="22"/>
          <w:szCs w:val="22"/>
        </w:rPr>
        <w:t>El diez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7D55A036"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58F0406F" w14:textId="77777777" w:rsidR="00651688" w:rsidRPr="0024349D" w:rsidRDefault="00BD2DE1">
      <w:pPr>
        <w:spacing w:line="360" w:lineRule="auto"/>
        <w:jc w:val="both"/>
        <w:rPr>
          <w:rFonts w:ascii="Palatino Linotype" w:eastAsia="Palatino Linotype" w:hAnsi="Palatino Linotype" w:cs="Palatino Linotype"/>
          <w:b/>
          <w:bCs/>
          <w:sz w:val="22"/>
          <w:szCs w:val="22"/>
        </w:rPr>
      </w:pPr>
      <w:r w:rsidRPr="0024349D">
        <w:rPr>
          <w:rFonts w:ascii="Palatino Linotype" w:eastAsia="Palatino Linotype" w:hAnsi="Palatino Linotype" w:cs="Palatino Linotype"/>
          <w:b/>
          <w:bCs/>
          <w:sz w:val="22"/>
          <w:szCs w:val="22"/>
        </w:rPr>
        <w:t xml:space="preserve">g) Cierre de instrucción. </w:t>
      </w:r>
      <w:r w:rsidRPr="0024349D">
        <w:rPr>
          <w:rFonts w:ascii="Palatino Linotype" w:eastAsia="Palatino Linotype" w:hAnsi="Palatino Linotype" w:cs="Palatino Linotype"/>
          <w:sz w:val="22"/>
          <w:szCs w:val="22"/>
        </w:rPr>
        <w:t xml:space="preserve">El diecisiete de febrero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13E4D617"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4CF5FC2F" w14:textId="77777777"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13D86A06"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70681E93" w14:textId="77777777" w:rsidR="00651688" w:rsidRPr="0024349D" w:rsidRDefault="00BD2DE1">
      <w:pPr>
        <w:pStyle w:val="Ttulo1"/>
      </w:pPr>
      <w:bookmarkStart w:id="10" w:name="_heading=h.7y03x2604na3" w:colFirst="0" w:colLast="0"/>
      <w:bookmarkStart w:id="11" w:name="_Toc222410688"/>
      <w:bookmarkEnd w:id="10"/>
      <w:r w:rsidRPr="0024349D">
        <w:t>C O N S I D E R A N D O S</w:t>
      </w:r>
      <w:bookmarkEnd w:id="11"/>
    </w:p>
    <w:p w14:paraId="6569E8A8"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2B0F6D98" w14:textId="77777777" w:rsidR="00651688" w:rsidRPr="0024349D" w:rsidRDefault="00BD2DE1">
      <w:pPr>
        <w:pStyle w:val="Ttulo2"/>
      </w:pPr>
      <w:bookmarkStart w:id="12" w:name="_heading=h.hxeqw7ty5d1f" w:colFirst="0" w:colLast="0"/>
      <w:bookmarkStart w:id="13" w:name="_Toc222410689"/>
      <w:bookmarkEnd w:id="12"/>
      <w:r w:rsidRPr="0024349D">
        <w:t>PRIMERO. Competencia</w:t>
      </w:r>
      <w:bookmarkEnd w:id="13"/>
    </w:p>
    <w:p w14:paraId="09EC1DAA"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423AB423" w14:textId="23D0C78F" w:rsidR="00651688" w:rsidRPr="0024349D" w:rsidRDefault="0024349D">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w:t>
      </w:r>
      <w:r w:rsidRPr="0024349D">
        <w:rPr>
          <w:rFonts w:ascii="Palatino Linotype" w:eastAsia="Palatino Linotype" w:hAnsi="Palatino Linotype" w:cs="Palatino Linotype"/>
          <w:sz w:val="22"/>
          <w:szCs w:val="22"/>
        </w:rPr>
        <w:lastRenderedPageBreak/>
        <w:t>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11D7117"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4188590B" w14:textId="77777777" w:rsidR="00651688" w:rsidRPr="0024349D" w:rsidRDefault="00BD2DE1">
      <w:pPr>
        <w:pStyle w:val="Ttulo2"/>
      </w:pPr>
      <w:bookmarkStart w:id="14" w:name="_heading=h.z4gohk5mejwx" w:colFirst="0" w:colLast="0"/>
      <w:bookmarkStart w:id="15" w:name="_Toc222410690"/>
      <w:bookmarkEnd w:id="14"/>
      <w:r w:rsidRPr="0024349D">
        <w:t>SEGUNDO. Causales de improcedencia</w:t>
      </w:r>
      <w:bookmarkEnd w:id="15"/>
      <w:r w:rsidRPr="0024349D">
        <w:t xml:space="preserve"> </w:t>
      </w:r>
    </w:p>
    <w:p w14:paraId="26CCE519"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1D7DAB5A"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 xml:space="preserve">De las constancias que forman parte del Recurso de Revisión que se analiza, se advierte que previo al estudio del fondo de la </w:t>
      </w:r>
      <w:r w:rsidRPr="0024349D">
        <w:rPr>
          <w:rFonts w:ascii="Palatino Linotype" w:eastAsia="Palatino Linotype" w:hAnsi="Palatino Linotype" w:cs="Palatino Linotype"/>
          <w:i/>
          <w:iCs/>
          <w:sz w:val="22"/>
          <w:szCs w:val="22"/>
        </w:rPr>
        <w:t>litis</w:t>
      </w:r>
      <w:r w:rsidRPr="0024349D">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7923692B"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5E868FC7" w14:textId="77777777" w:rsidR="00651688" w:rsidRPr="0024349D" w:rsidRDefault="00BD2DE1">
      <w:pPr>
        <w:spacing w:line="360" w:lineRule="auto"/>
        <w:jc w:val="both"/>
        <w:rPr>
          <w:rFonts w:ascii="Palatino Linotype" w:eastAsia="Palatino Linotype" w:hAnsi="Palatino Linotype" w:cs="Palatino Linotype"/>
          <w:b/>
          <w:bCs/>
          <w:sz w:val="22"/>
          <w:szCs w:val="22"/>
        </w:rPr>
      </w:pPr>
      <w:r w:rsidRPr="0024349D">
        <w:rPr>
          <w:rFonts w:ascii="Palatino Linotype" w:eastAsia="Palatino Linotype" w:hAnsi="Palatino Linotype" w:cs="Palatino Linotype"/>
          <w:b/>
          <w:bCs/>
          <w:sz w:val="22"/>
          <w:szCs w:val="22"/>
        </w:rPr>
        <w:t>Causales de improcedencia</w:t>
      </w:r>
    </w:p>
    <w:p w14:paraId="6B46BA8E"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136FBDB1"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0CCFC8D"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1301917B"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lastRenderedPageBreak/>
        <w:t>En el presente caso, </w:t>
      </w:r>
      <w:r w:rsidRPr="0024349D">
        <w:rPr>
          <w:rFonts w:ascii="Palatino Linotype" w:eastAsia="Palatino Linotype" w:hAnsi="Palatino Linotype" w:cs="Palatino Linotype"/>
          <w:b/>
          <w:bCs/>
          <w:sz w:val="22"/>
          <w:szCs w:val="22"/>
        </w:rPr>
        <w:t>no se actualiza ninguna de las causales de improcedencia</w:t>
      </w:r>
      <w:r w:rsidRPr="0024349D">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 Además, de que el Medios de Impugnación fue presentado en tiempo.</w:t>
      </w:r>
    </w:p>
    <w:p w14:paraId="3E36D082"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57E9E73D" w14:textId="77777777" w:rsidR="00651688" w:rsidRPr="0024349D" w:rsidRDefault="00BD2DE1">
      <w:pPr>
        <w:pStyle w:val="Ttulo2"/>
        <w:jc w:val="both"/>
      </w:pPr>
      <w:bookmarkStart w:id="16" w:name="_heading=h.939xeeuwrbs1" w:colFirst="0" w:colLast="0"/>
      <w:bookmarkStart w:id="17" w:name="_Toc222410691"/>
      <w:bookmarkEnd w:id="16"/>
      <w:r w:rsidRPr="0024349D">
        <w:t>TERCERO. Causales de sobreseimiento</w:t>
      </w:r>
      <w:bookmarkEnd w:id="17"/>
    </w:p>
    <w:p w14:paraId="4358EB19" w14:textId="77777777" w:rsidR="00651688" w:rsidRPr="0024349D" w:rsidRDefault="00651688">
      <w:pPr>
        <w:spacing w:line="360" w:lineRule="auto"/>
        <w:jc w:val="both"/>
        <w:rPr>
          <w:rFonts w:ascii="Palatino Linotype" w:eastAsia="Palatino Linotype" w:hAnsi="Palatino Linotype" w:cs="Palatino Linotype"/>
          <w:color w:val="0D0D0D"/>
          <w:sz w:val="22"/>
          <w:szCs w:val="22"/>
        </w:rPr>
      </w:pPr>
    </w:p>
    <w:p w14:paraId="453FF30D" w14:textId="77777777" w:rsidR="00651688" w:rsidRPr="0024349D" w:rsidRDefault="00BD2DE1">
      <w:pPr>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415C12D0" w14:textId="77777777" w:rsidR="00651688" w:rsidRPr="0024349D" w:rsidRDefault="00651688">
      <w:pPr>
        <w:spacing w:line="360" w:lineRule="auto"/>
        <w:jc w:val="both"/>
        <w:rPr>
          <w:rFonts w:ascii="Palatino Linotype" w:eastAsia="Palatino Linotype" w:hAnsi="Palatino Linotype" w:cs="Palatino Linotype"/>
          <w:color w:val="0D0D0D"/>
          <w:sz w:val="22"/>
          <w:szCs w:val="22"/>
        </w:rPr>
      </w:pPr>
    </w:p>
    <w:p w14:paraId="044A8E48" w14:textId="77777777" w:rsidR="00651688" w:rsidRPr="0024349D" w:rsidRDefault="00BD2DE1">
      <w:pPr>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V del artículo en comento, lo anterior, en virtud de que no hay constancias en el expediente en que se actúa, de que el Recurrente se haya desistido del recurso, haya fallecido, sobreviene alguna causal de improcedencia, o bien, por cualquier motivo quede sin materia el Recurso de Revisión. </w:t>
      </w:r>
    </w:p>
    <w:p w14:paraId="3B411608" w14:textId="77777777" w:rsidR="00651688" w:rsidRPr="0024349D" w:rsidRDefault="00651688">
      <w:pPr>
        <w:spacing w:line="360" w:lineRule="auto"/>
        <w:jc w:val="both"/>
        <w:rPr>
          <w:rFonts w:ascii="Palatino Linotype" w:eastAsia="Palatino Linotype" w:hAnsi="Palatino Linotype" w:cs="Palatino Linotype"/>
          <w:color w:val="0D0D0D"/>
          <w:sz w:val="22"/>
          <w:szCs w:val="22"/>
        </w:rPr>
      </w:pPr>
    </w:p>
    <w:p w14:paraId="4AF6FB62" w14:textId="77777777" w:rsidR="00651688" w:rsidRPr="0024349D" w:rsidRDefault="00BD2DE1">
      <w:pPr>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Ahora bien, por lo que hace a la fracción III, del artículo 192, de la Ley de la materia, que tiene lugar cuando el Sujeto Obligado haya modificado o revocado su respuesta y el Recurso de Revisión quede sin materia, este Organismo Garante advierte elementos suficientes para analizar dicho supuesto.</w:t>
      </w:r>
    </w:p>
    <w:p w14:paraId="0016CD93" w14:textId="77777777" w:rsidR="00651688" w:rsidRPr="0024349D" w:rsidRDefault="00651688">
      <w:pPr>
        <w:spacing w:line="360" w:lineRule="auto"/>
        <w:jc w:val="both"/>
        <w:rPr>
          <w:rFonts w:ascii="Palatino Linotype" w:eastAsia="Palatino Linotype" w:hAnsi="Palatino Linotype" w:cs="Palatino Linotype"/>
          <w:color w:val="0D0D0D"/>
          <w:sz w:val="22"/>
          <w:szCs w:val="22"/>
        </w:rPr>
      </w:pPr>
    </w:p>
    <w:p w14:paraId="05D93442"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color w:val="0D0D0D"/>
          <w:sz w:val="22"/>
          <w:szCs w:val="22"/>
        </w:rPr>
        <w:t xml:space="preserve">Por principio de cuentas, se advierte que la parte Solicitante, requirió la entrega de información y formuló su solicitud a manera de cuestionamientos </w:t>
      </w:r>
      <w:r w:rsidRPr="0024349D">
        <w:rPr>
          <w:rFonts w:ascii="Palatino Linotype" w:eastAsia="Palatino Linotype" w:hAnsi="Palatino Linotype" w:cs="Palatino Linotype"/>
          <w:sz w:val="22"/>
          <w:szCs w:val="22"/>
        </w:rPr>
        <w:t>al respecto, se debe tener en consideración que conforme al criterio de interpretación emitido por el entonces Instituto Nacional de Transparencia, Acceso a la Información y Protección de Datos Personales (INAI), bajo la clave de control SO/028/2010; que se titula, “</w:t>
      </w:r>
      <w:r w:rsidRPr="0024349D">
        <w:rPr>
          <w:rFonts w:ascii="Palatino Linotype" w:eastAsia="Palatino Linotype" w:hAnsi="Palatino Linotype" w:cs="Palatino Linotype"/>
          <w:b/>
          <w:bCs/>
          <w:i/>
          <w:iCs/>
          <w:sz w:val="22"/>
          <w:szCs w:val="22"/>
        </w:rPr>
        <w:t xml:space="preserve">Cuando en una solicitud de información no se identifique un documento en específico, si ésta tiene una expresión documental, el sujeto obligado deberá entregar al particular el documento en específico”, </w:t>
      </w:r>
      <w:r w:rsidRPr="0024349D">
        <w:rPr>
          <w:rFonts w:ascii="Palatino Linotype" w:eastAsia="Palatino Linotype" w:hAnsi="Palatino Linotype" w:cs="Palatino Linotype"/>
          <w:sz w:val="22"/>
          <w:szCs w:val="22"/>
        </w:rPr>
        <w:t>en el que se señala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78B66FC3"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09EA84A6"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En este sentido, es dable considerar que la solicitud de información se puede entender en los siguientes términos:</w:t>
      </w:r>
    </w:p>
    <w:p w14:paraId="04EF7880"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71EE6FB5" w14:textId="77777777" w:rsidR="00651688" w:rsidRPr="0024349D" w:rsidRDefault="00BD2DE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Cantidad de presupuesto que se dio al Sujeto Obligado</w:t>
      </w:r>
    </w:p>
    <w:p w14:paraId="63406F35" w14:textId="77777777" w:rsidR="00651688" w:rsidRPr="0024349D" w:rsidRDefault="00BD2DE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Cantidad de presupuesto que se dio a los panteones del Municipio de Naucalpan de </w:t>
      </w:r>
      <w:r w:rsidRPr="0024349D">
        <w:rPr>
          <w:rFonts w:ascii="Palatino Linotype" w:eastAsia="Palatino Linotype" w:hAnsi="Palatino Linotype" w:cs="Palatino Linotype"/>
          <w:sz w:val="22"/>
          <w:szCs w:val="22"/>
        </w:rPr>
        <w:t>Juárez</w:t>
      </w:r>
      <w:r w:rsidRPr="0024349D">
        <w:rPr>
          <w:rFonts w:ascii="Palatino Linotype" w:eastAsia="Palatino Linotype" w:hAnsi="Palatino Linotype" w:cs="Palatino Linotype"/>
          <w:color w:val="000000"/>
          <w:sz w:val="22"/>
          <w:szCs w:val="22"/>
        </w:rPr>
        <w:t xml:space="preserve">. </w:t>
      </w:r>
    </w:p>
    <w:p w14:paraId="39F73938"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5C5AE193" w14:textId="77777777" w:rsidR="00651688" w:rsidRPr="0024349D" w:rsidRDefault="00BD2DE1">
      <w:pPr>
        <w:spacing w:line="360" w:lineRule="auto"/>
        <w:ind w:right="142"/>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Cabe resaltar que la persona Recurrente omitió definir la temporalidad por la que requiere la información; sin embargo, de la interpretación a la solicitud de información es dable </w:t>
      </w:r>
      <w:r w:rsidRPr="0024349D">
        <w:rPr>
          <w:rFonts w:ascii="Palatino Linotype" w:eastAsia="Palatino Linotype" w:hAnsi="Palatino Linotype" w:cs="Palatino Linotype"/>
          <w:color w:val="000000"/>
          <w:sz w:val="22"/>
          <w:szCs w:val="22"/>
        </w:rPr>
        <w:lastRenderedPageBreak/>
        <w:t xml:space="preserve">considerar que requirió la información correspondiente al año 2025; es decir, del </w:t>
      </w:r>
      <w:r w:rsidRPr="0024349D">
        <w:rPr>
          <w:rFonts w:ascii="Palatino Linotype" w:eastAsia="Palatino Linotype" w:hAnsi="Palatino Linotype" w:cs="Palatino Linotype"/>
          <w:b/>
          <w:bCs/>
          <w:color w:val="000000"/>
          <w:sz w:val="22"/>
          <w:szCs w:val="22"/>
        </w:rPr>
        <w:t>primero de enero al dos de octubre de dos mil veinticinco.</w:t>
      </w:r>
    </w:p>
    <w:p w14:paraId="258CA224" w14:textId="77777777" w:rsidR="00651688" w:rsidRPr="0024349D" w:rsidRDefault="00651688">
      <w:pPr>
        <w:spacing w:line="360" w:lineRule="auto"/>
        <w:rPr>
          <w:rFonts w:ascii="Palatino Linotype" w:eastAsia="Palatino Linotype" w:hAnsi="Palatino Linotype" w:cs="Palatino Linotype"/>
          <w:sz w:val="22"/>
          <w:szCs w:val="22"/>
        </w:rPr>
      </w:pPr>
    </w:p>
    <w:p w14:paraId="1F34FB79" w14:textId="77777777" w:rsidR="00651688" w:rsidRPr="0024349D" w:rsidRDefault="00BD2DE1">
      <w:pPr>
        <w:spacing w:line="360" w:lineRule="auto"/>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Al respecto el Código Financiero del Estado de México y Municipios que en su artículo 351</w:t>
      </w:r>
    </w:p>
    <w:p w14:paraId="4EA013DE" w14:textId="77777777" w:rsidR="00651688" w:rsidRPr="0024349D" w:rsidRDefault="00BD2DE1">
      <w:pPr>
        <w:spacing w:line="360" w:lineRule="auto"/>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señala que los Ayuntamientos al aprobar en forma definitiva su presupuesto de egresos,</w:t>
      </w:r>
    </w:p>
    <w:p w14:paraId="6E270D5A" w14:textId="77777777" w:rsidR="00651688" w:rsidRPr="0024349D" w:rsidRDefault="00BD2DE1">
      <w:pPr>
        <w:spacing w:line="360" w:lineRule="auto"/>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deberán publicar en la "Gaceta Municipal" de manera clara y entendible, todas y cada una de</w:t>
      </w:r>
    </w:p>
    <w:p w14:paraId="6B383080" w14:textId="77777777" w:rsidR="00651688" w:rsidRPr="0024349D" w:rsidRDefault="00BD2DE1">
      <w:pPr>
        <w:spacing w:line="360" w:lineRule="auto"/>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las partidas que lo integran, a más tardar el veinticinco de febrero del año para el cual habrá de aplicar dicho presupuesto.</w:t>
      </w:r>
    </w:p>
    <w:p w14:paraId="65A9939C"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3590C447"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Derivado de lo anterior, es necesario señalar que el Manual para la Planeación, Programación y Presupuesto de Egresos Municipal para el ejercicio fiscal dos mil veinticinco que, en su apartado de Introducción, precisa que tiene como propósito dicho manual, apoyar a los Ayuntamientos y entidades públicas municipales, para integrar el Anteproyecto y Proyecto de Presupuesto de Egresos Municipal.</w:t>
      </w:r>
    </w:p>
    <w:p w14:paraId="0DC6B442"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1AFE0100"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Del Manual anteriormente referido, en el punto 3.4 Tercera Etapa: Presupuesto de Egresos Municipal señala que 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p>
    <w:p w14:paraId="1D79193F"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49CA3ADC"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Cabe señalar que de conformidad con lo dispuesto en el artículo 92, fracción XXV de la Ley de Transparencia y Acceso a la Información Pública del Estado de México y Municipios,</w:t>
      </w:r>
      <w:r w:rsidRPr="0024349D">
        <w:rPr>
          <w:rFonts w:ascii="Palatino Linotype" w:eastAsia="Palatino Linotype" w:hAnsi="Palatino Linotype" w:cs="Palatino Linotype"/>
          <w:sz w:val="22"/>
          <w:szCs w:val="22"/>
        </w:rPr>
        <w:t xml:space="preserve"> </w:t>
      </w:r>
      <w:r w:rsidRPr="0024349D">
        <w:rPr>
          <w:rFonts w:ascii="Palatino Linotype" w:eastAsia="Palatino Linotype" w:hAnsi="Palatino Linotype" w:cs="Palatino Linotype"/>
          <w:color w:val="0D0D0D"/>
          <w:sz w:val="22"/>
          <w:szCs w:val="22"/>
        </w:rPr>
        <w:t xml:space="preserve">los Sujetos Obligados deberán poner a distinción del público de manera permanente y actualizada de forma sencilla, precisa y entendible, a través de medios electrónicos, de acuerdo a sus funciones, diversa información, entre ellas, la información financiera sobre el presupuesto asignado, así como los informes del ejercicio trimestral del gasto, en términos de la Ley General de Contabilidad Gubernamental y demás disposiciones jurídicas aplicables; en consecuencia, lo solicitado resulta información pública, aún más porque se trata de documentación que garantiza la debida asignación presupuestal. </w:t>
      </w:r>
    </w:p>
    <w:p w14:paraId="6E40F3DE"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4CD885B5"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 xml:space="preserve">Asimismo, cabe precisar que el artículo 93 y 95 fracción IV de la Ley Orgánica Municipal del Estado de México prevé que la </w:t>
      </w:r>
      <w:r w:rsidRPr="0024349D">
        <w:rPr>
          <w:rFonts w:ascii="Palatino Linotype" w:eastAsia="Palatino Linotype" w:hAnsi="Palatino Linotype" w:cs="Palatino Linotype"/>
          <w:b/>
          <w:bCs/>
          <w:color w:val="0D0D0D"/>
          <w:sz w:val="22"/>
          <w:szCs w:val="22"/>
        </w:rPr>
        <w:t>Tesorería Municipal</w:t>
      </w:r>
      <w:r w:rsidRPr="0024349D">
        <w:rPr>
          <w:rFonts w:ascii="Palatino Linotype" w:eastAsia="Palatino Linotype" w:hAnsi="Palatino Linotype" w:cs="Palatino Linotype"/>
          <w:color w:val="0D0D0D"/>
          <w:sz w:val="22"/>
          <w:szCs w:val="22"/>
        </w:rPr>
        <w:t xml:space="preserve"> es el órgano encargado de la recaudación de los ingresos municipales y de llevar los registros contables, financieros y administrativos de los ingresos, por tanto, se advierte que es el área competente para conocer de la información relacionada con los ingresos, egresos.</w:t>
      </w:r>
    </w:p>
    <w:p w14:paraId="298E468C"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523541E0"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 xml:space="preserve">Por su parte el Bando Municipal del Sujeto Obligado vigente al momento de la solicitud prevé en su artículo 70 que la </w:t>
      </w:r>
      <w:r w:rsidRPr="0024349D">
        <w:rPr>
          <w:rFonts w:ascii="Palatino Linotype" w:eastAsia="Palatino Linotype" w:hAnsi="Palatino Linotype" w:cs="Palatino Linotype"/>
          <w:b/>
          <w:bCs/>
          <w:color w:val="0D0D0D"/>
          <w:sz w:val="22"/>
          <w:szCs w:val="22"/>
        </w:rPr>
        <w:t>Tesorería Municipal</w:t>
      </w:r>
      <w:r w:rsidRPr="0024349D">
        <w:rPr>
          <w:rFonts w:ascii="Palatino Linotype" w:eastAsia="Palatino Linotype" w:hAnsi="Palatino Linotype" w:cs="Palatino Linotype"/>
          <w:color w:val="0D0D0D"/>
          <w:sz w:val="22"/>
          <w:szCs w:val="22"/>
        </w:rPr>
        <w:t xml:space="preserve"> está a cargo de diversas actividades entre ellas, la adecuada implementación de los procesos de planeación y presupuestación del gasto público del Municipio, para la correcta administración de la Hacienda Municipal; por lo que puede conocer de la información solicitada </w:t>
      </w:r>
      <w:r w:rsidRPr="0024349D">
        <w:rPr>
          <w:rFonts w:ascii="Palatino Linotype" w:eastAsia="Palatino Linotype" w:hAnsi="Palatino Linotype" w:cs="Palatino Linotype"/>
          <w:b/>
          <w:bCs/>
          <w:color w:val="0D0D0D"/>
          <w:sz w:val="22"/>
          <w:szCs w:val="22"/>
        </w:rPr>
        <w:t>respecto al presupuesto</w:t>
      </w:r>
      <w:r w:rsidRPr="0024349D">
        <w:rPr>
          <w:rFonts w:ascii="Palatino Linotype" w:eastAsia="Palatino Linotype" w:hAnsi="Palatino Linotype" w:cs="Palatino Linotype"/>
          <w:color w:val="0D0D0D"/>
          <w:sz w:val="22"/>
          <w:szCs w:val="22"/>
        </w:rPr>
        <w:t xml:space="preserve"> </w:t>
      </w:r>
      <w:r w:rsidRPr="0024349D">
        <w:rPr>
          <w:rFonts w:ascii="Palatino Linotype" w:eastAsia="Palatino Linotype" w:hAnsi="Palatino Linotype" w:cs="Palatino Linotype"/>
          <w:b/>
          <w:bCs/>
          <w:color w:val="0D0D0D"/>
          <w:sz w:val="22"/>
          <w:szCs w:val="22"/>
        </w:rPr>
        <w:t xml:space="preserve">general y determinado a cada área. </w:t>
      </w:r>
    </w:p>
    <w:p w14:paraId="602D001F"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396A859F"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lastRenderedPageBreak/>
        <w:t xml:space="preserve">Es menester señalar que, también se solicitó información relacionada con el presupuesto de panteones, al respecto, se debe tener en cuenta que de conformidad con lo dispuesto en el artículo 115, fracción III de la Constitución Política de los Estados Unidos Mexicanos, dentro de las funciones que tiene a su cargo los Municipios de los Estados, corresponde al servicio de panteones. </w:t>
      </w:r>
    </w:p>
    <w:p w14:paraId="4694EEDE"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5A9C86C6"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En esta secuencia, el Bando Municipal del Sujeto Obligado vigente al momento de la solicitud, establecía en su artículo 78; que el servicio público de panteones y crematorios propiedad municipal será prestado por conducto de la Dirección de Servicios Públicos; por tanto, el Sujeto Obligado sí presta el servicio de panteones.</w:t>
      </w:r>
    </w:p>
    <w:p w14:paraId="41EB48C0"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7A52BA06"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 xml:space="preserve">Por su parte, el Reglamento Orgánico de la Administración Pública Municipal del Sujeto Obligado de la administración 2025-2027; establece en sus artículos 9.1, 9.3 y 9.14   que la </w:t>
      </w:r>
      <w:r w:rsidRPr="0024349D">
        <w:rPr>
          <w:rFonts w:ascii="Palatino Linotype" w:eastAsia="Palatino Linotype" w:hAnsi="Palatino Linotype" w:cs="Palatino Linotype"/>
          <w:b/>
          <w:bCs/>
          <w:color w:val="0D0D0D"/>
          <w:sz w:val="22"/>
          <w:szCs w:val="22"/>
        </w:rPr>
        <w:t>Dirección de Servicios Públicos</w:t>
      </w:r>
      <w:r w:rsidRPr="0024349D">
        <w:rPr>
          <w:rFonts w:ascii="Palatino Linotype" w:eastAsia="Palatino Linotype" w:hAnsi="Palatino Linotype" w:cs="Palatino Linotype"/>
          <w:color w:val="0D0D0D"/>
          <w:sz w:val="22"/>
          <w:szCs w:val="22"/>
        </w:rPr>
        <w:t xml:space="preserve"> tendrá a su cargo la prestación de diversos servicios, entre ellos, la de panteones, y cuenta con una Subdirección de Servicios Centralizados, que a su vez, tiene un Departamento de Panteones, el cual es el encargado de prestar el servicio de panteones, atendiendo a la disponibilidad de fosas en los panteones municipales operados por el Ayuntamiento y rendir un informe mensual, por escrito a la Tesorería y Finanzas, sobre los ingresos que genere la prestación del servicio público de panteones y crematorio; por lo que dicha área podría en su caso conocer de la información designada a dicha área. En este contexto, cabe precisar que el Sujeto Obligado resulta competente para conocer de la información solicitada.</w:t>
      </w:r>
    </w:p>
    <w:p w14:paraId="52B774EF"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630DDF4C"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 xml:space="preserve">Ante dicha circunstancia, es necesario precisar que de las constancias que obran en el expediente electrónico en SAIMEX, se logra advertir que el Sujeto Obligado dio respuesta a </w:t>
      </w:r>
      <w:r w:rsidRPr="0024349D">
        <w:rPr>
          <w:rFonts w:ascii="Palatino Linotype" w:eastAsia="Palatino Linotype" w:hAnsi="Palatino Linotype" w:cs="Palatino Linotype"/>
          <w:color w:val="0D0D0D"/>
          <w:sz w:val="22"/>
          <w:szCs w:val="22"/>
        </w:rPr>
        <w:lastRenderedPageBreak/>
        <w:t xml:space="preserve">través de la Tesorería Municipal y la Dirección de Servicios Públicos, por lo que, resulta necesario hacer referencia al </w:t>
      </w:r>
      <w:r w:rsidRPr="0024349D">
        <w:rPr>
          <w:rFonts w:ascii="Palatino Linotype" w:eastAsia="Palatino Linotype" w:hAnsi="Palatino Linotype" w:cs="Palatino Linotype"/>
          <w:b/>
          <w:bCs/>
          <w:color w:val="0D0D0D"/>
          <w:sz w:val="22"/>
          <w:szCs w:val="22"/>
        </w:rPr>
        <w:t>procedimiento de búsqueda que deben seguir los Sujetos Obligados para localizar la información,</w:t>
      </w:r>
      <w:r w:rsidRPr="0024349D">
        <w:rPr>
          <w:rFonts w:ascii="Palatino Linotype" w:eastAsia="Palatino Linotype" w:hAnsi="Palatino Linotype" w:cs="Palatino Linotype"/>
          <w:color w:val="0D0D0D"/>
          <w:sz w:val="22"/>
          <w:szCs w:val="22"/>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63C44B9" w14:textId="77777777" w:rsidR="00651688" w:rsidRPr="0024349D" w:rsidRDefault="00651688">
      <w:pPr>
        <w:tabs>
          <w:tab w:val="left" w:pos="4962"/>
        </w:tabs>
        <w:spacing w:line="360" w:lineRule="auto"/>
        <w:jc w:val="both"/>
        <w:rPr>
          <w:rFonts w:ascii="Palatino Linotype" w:eastAsia="Palatino Linotype" w:hAnsi="Palatino Linotype" w:cs="Palatino Linotype"/>
          <w:color w:val="0D0D0D"/>
          <w:sz w:val="22"/>
          <w:szCs w:val="22"/>
        </w:rPr>
      </w:pPr>
    </w:p>
    <w:p w14:paraId="71252613" w14:textId="77777777" w:rsidR="00651688" w:rsidRPr="0024349D" w:rsidRDefault="00BD2DE1">
      <w:pPr>
        <w:tabs>
          <w:tab w:val="left" w:pos="4962"/>
        </w:tabs>
        <w:spacing w:line="360" w:lineRule="auto"/>
        <w:jc w:val="both"/>
        <w:rPr>
          <w:rFonts w:ascii="Palatino Linotype" w:eastAsia="Palatino Linotype" w:hAnsi="Palatino Linotype" w:cs="Palatino Linotype"/>
          <w:color w:val="0D0D0D"/>
          <w:sz w:val="22"/>
          <w:szCs w:val="22"/>
        </w:rPr>
      </w:pPr>
      <w:r w:rsidRPr="0024349D">
        <w:rPr>
          <w:rFonts w:ascii="Palatino Linotype" w:eastAsia="Palatino Linotype" w:hAnsi="Palatino Linotype" w:cs="Palatino Linotype"/>
          <w:color w:val="0D0D0D"/>
          <w:sz w:val="22"/>
          <w:szCs w:val="22"/>
        </w:rPr>
        <w:t xml:space="preserve">Así, con la finalidad de determinar si el Sujeto Obligado </w:t>
      </w:r>
      <w:r w:rsidRPr="0024349D">
        <w:rPr>
          <w:rFonts w:ascii="Palatino Linotype" w:eastAsia="Palatino Linotype" w:hAnsi="Palatino Linotype" w:cs="Palatino Linotype"/>
          <w:b/>
          <w:bCs/>
          <w:color w:val="0D0D0D"/>
          <w:sz w:val="22"/>
          <w:szCs w:val="22"/>
        </w:rPr>
        <w:t>cumplió con el procedimiento de búsqueda</w:t>
      </w:r>
      <w:r w:rsidRPr="0024349D">
        <w:rPr>
          <w:rFonts w:ascii="Palatino Linotype" w:eastAsia="Palatino Linotype" w:hAnsi="Palatino Linotype" w:cs="Palatino Linotype"/>
          <w:color w:val="0D0D0D"/>
          <w:sz w:val="22"/>
          <w:szCs w:val="22"/>
        </w:rPr>
        <w:t xml:space="preserve"> previsto en el artículo 162 de la Ley de Transparencia y Acceso a la Información Pública del Estado de México y Municipios, dado que, turnó la solicitud a las áreas competentes para conocer de la información. </w:t>
      </w:r>
    </w:p>
    <w:p w14:paraId="3932A1EF"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667B3167"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En este sentido, vale la pena señalar </w:t>
      </w:r>
      <w:r w:rsidRPr="0024349D">
        <w:rPr>
          <w:rFonts w:ascii="Palatino Linotype" w:eastAsia="Palatino Linotype" w:hAnsi="Palatino Linotype" w:cs="Palatino Linotype"/>
          <w:b/>
          <w:bCs/>
          <w:color w:val="000000"/>
          <w:sz w:val="22"/>
          <w:szCs w:val="22"/>
        </w:rPr>
        <w:t>que en respuesta la</w:t>
      </w:r>
      <w:r w:rsidRPr="0024349D">
        <w:rPr>
          <w:rFonts w:ascii="Palatino Linotype" w:eastAsia="Palatino Linotype" w:hAnsi="Palatino Linotype" w:cs="Palatino Linotype"/>
          <w:color w:val="000000"/>
          <w:sz w:val="22"/>
          <w:szCs w:val="22"/>
        </w:rPr>
        <w:t xml:space="preserve"> Dirección de Servicios Públicos indicó que buscó la información y no localizó lo requerido y la Tesorería Municipal indicó lo siguiente:</w:t>
      </w:r>
    </w:p>
    <w:p w14:paraId="1F23259F"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266F924" w14:textId="77777777" w:rsidR="00651688" w:rsidRPr="0024349D" w:rsidRDefault="00BD2DE1">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Que, respecto al </w:t>
      </w:r>
      <w:r w:rsidRPr="0024349D">
        <w:rPr>
          <w:rFonts w:ascii="Palatino Linotype" w:eastAsia="Palatino Linotype" w:hAnsi="Palatino Linotype" w:cs="Palatino Linotype"/>
          <w:b/>
          <w:bCs/>
          <w:color w:val="000000"/>
          <w:sz w:val="22"/>
          <w:szCs w:val="22"/>
        </w:rPr>
        <w:t xml:space="preserve">presupuesto del Sujeto Obligado, </w:t>
      </w:r>
      <w:r w:rsidRPr="0024349D">
        <w:rPr>
          <w:rFonts w:ascii="Palatino Linotype" w:eastAsia="Palatino Linotype" w:hAnsi="Palatino Linotype" w:cs="Palatino Linotype"/>
          <w:color w:val="000000"/>
          <w:sz w:val="22"/>
          <w:szCs w:val="22"/>
        </w:rPr>
        <w:t>se encontraba disponible en una liga que proporcionó en datos cerrados, sin embargo, también proporcionó la Caratula del Presupuesto de Egresos del 01 de enero al 31 de diciembre de 2025; en el que consta el presupuesto asignado, en los siguientes términos:</w:t>
      </w:r>
    </w:p>
    <w:p w14:paraId="63708C47"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6FC27474" w14:textId="77777777" w:rsidR="00651688" w:rsidRPr="0024349D" w:rsidRDefault="00BD2DE1">
      <w:pPr>
        <w:tabs>
          <w:tab w:val="left" w:pos="4962"/>
        </w:tabs>
        <w:spacing w:line="360" w:lineRule="auto"/>
        <w:jc w:val="center"/>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noProof/>
          <w:sz w:val="22"/>
          <w:szCs w:val="22"/>
        </w:rPr>
        <w:lastRenderedPageBreak/>
        <w:drawing>
          <wp:inline distT="0" distB="0" distL="0" distR="0" wp14:anchorId="7058AB17" wp14:editId="6F110A7E">
            <wp:extent cx="5720635" cy="2371061"/>
            <wp:effectExtent l="0" t="0" r="0" b="4445"/>
            <wp:docPr id="21287870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cstate="email">
                      <a:extLst>
                        <a:ext uri="{28A0092B-C50C-407E-A947-70E740481C1C}">
                          <a14:useLocalDpi xmlns:a14="http://schemas.microsoft.com/office/drawing/2010/main"/>
                        </a:ext>
                      </a:extLst>
                    </a:blip>
                    <a:srcRect/>
                    <a:stretch/>
                  </pic:blipFill>
                  <pic:spPr bwMode="auto">
                    <a:xfrm>
                      <a:off x="0" y="0"/>
                      <a:ext cx="5720818" cy="2371137"/>
                    </a:xfrm>
                    <a:prstGeom prst="rect">
                      <a:avLst/>
                    </a:prstGeom>
                    <a:ln>
                      <a:noFill/>
                    </a:ln>
                    <a:extLst>
                      <a:ext uri="{53640926-AAD7-44D8-BBD7-CCE9431645EC}">
                        <a14:shadowObscured xmlns:a14="http://schemas.microsoft.com/office/drawing/2010/main"/>
                      </a:ext>
                    </a:extLst>
                  </pic:spPr>
                </pic:pic>
              </a:graphicData>
            </a:graphic>
          </wp:inline>
        </w:drawing>
      </w:r>
    </w:p>
    <w:p w14:paraId="11FA7F3A"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51EF9BED" w14:textId="77777777" w:rsidR="00651688" w:rsidRPr="0024349D" w:rsidRDefault="00BD2DE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Sobre el </w:t>
      </w:r>
      <w:r w:rsidRPr="0024349D">
        <w:rPr>
          <w:rFonts w:ascii="Palatino Linotype" w:eastAsia="Palatino Linotype" w:hAnsi="Palatino Linotype" w:cs="Palatino Linotype"/>
          <w:b/>
          <w:bCs/>
          <w:color w:val="000000"/>
          <w:sz w:val="22"/>
          <w:szCs w:val="22"/>
        </w:rPr>
        <w:t>presupuesto asignado a panteones</w:t>
      </w:r>
      <w:r w:rsidRPr="0024349D">
        <w:rPr>
          <w:rFonts w:ascii="Palatino Linotype" w:eastAsia="Palatino Linotype" w:hAnsi="Palatino Linotype" w:cs="Palatino Linotype"/>
          <w:color w:val="000000"/>
          <w:sz w:val="22"/>
          <w:szCs w:val="22"/>
        </w:rPr>
        <w:t>, que, en el Estado Analítico del Ejercicio del Presupuesto de Egresos, Clasificación Administrativa; se puede apreciar las áreas a las que se asigna el presupuesto y que a la Dirección de Servicios Públicos se le asignó para el ejercicio fiscal 2025 un presupuesto de $1,346,881,219.72 dentro del cual se encuentra el Departamento de Panteones. Y dio liga en datos cerrados para consultar la información y adjuntó el Estado Analítico del Ejercicio del Presupuesto de Egresos, Clasificación Administrativa por Dependencia General del 01 de Enero al 30 de junio de 2025.</w:t>
      </w:r>
    </w:p>
    <w:p w14:paraId="703DB45A"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0A3CD80F"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En este sentido, es preciso señalar que la parte Recurrente indicó como motivo de agravio la </w:t>
      </w:r>
      <w:r w:rsidRPr="0024349D">
        <w:rPr>
          <w:rFonts w:ascii="Palatino Linotype" w:eastAsia="Palatino Linotype" w:hAnsi="Palatino Linotype" w:cs="Palatino Linotype"/>
          <w:b/>
          <w:bCs/>
          <w:color w:val="000000"/>
          <w:sz w:val="22"/>
          <w:szCs w:val="22"/>
        </w:rPr>
        <w:t>entrega de la información incompleta y centró su motivo de agravió a que no es posible advertir el presupuesto asignado a los panteones.</w:t>
      </w:r>
      <w:r w:rsidRPr="0024349D">
        <w:rPr>
          <w:rFonts w:ascii="Palatino Linotype" w:eastAsia="Palatino Linotype" w:hAnsi="Palatino Linotype" w:cs="Palatino Linotype"/>
          <w:color w:val="000000"/>
          <w:sz w:val="22"/>
          <w:szCs w:val="22"/>
        </w:rPr>
        <w:t xml:space="preserve"> </w:t>
      </w:r>
    </w:p>
    <w:p w14:paraId="5B397890"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46D3003B" w14:textId="77777777"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Así pues, se advierte que medularmente </w:t>
      </w:r>
      <w:r w:rsidRPr="0024349D">
        <w:rPr>
          <w:rFonts w:ascii="Palatino Linotype" w:eastAsia="Palatino Linotype" w:hAnsi="Palatino Linotype" w:cs="Palatino Linotype"/>
          <w:b/>
          <w:bCs/>
          <w:color w:val="000000"/>
          <w:sz w:val="22"/>
          <w:szCs w:val="22"/>
        </w:rPr>
        <w:t>se inconformó</w:t>
      </w:r>
      <w:r w:rsidRPr="0024349D">
        <w:rPr>
          <w:rFonts w:ascii="Palatino Linotype" w:eastAsia="Palatino Linotype" w:hAnsi="Palatino Linotype" w:cs="Palatino Linotype"/>
          <w:color w:val="000000"/>
          <w:sz w:val="22"/>
          <w:szCs w:val="22"/>
        </w:rPr>
        <w:t xml:space="preserve"> </w:t>
      </w:r>
      <w:r w:rsidRPr="0024349D">
        <w:rPr>
          <w:rFonts w:ascii="Palatino Linotype" w:eastAsia="Palatino Linotype" w:hAnsi="Palatino Linotype" w:cs="Palatino Linotype"/>
          <w:b/>
          <w:bCs/>
          <w:color w:val="000000"/>
          <w:sz w:val="22"/>
          <w:szCs w:val="22"/>
        </w:rPr>
        <w:t>únicamente por lo referente al presupuesto asignado a los panteones;</w:t>
      </w:r>
      <w:r w:rsidRPr="0024349D">
        <w:rPr>
          <w:rFonts w:ascii="Palatino Linotype" w:eastAsia="Palatino Linotype" w:hAnsi="Palatino Linotype" w:cs="Palatino Linotype"/>
          <w:color w:val="000000"/>
          <w:sz w:val="22"/>
          <w:szCs w:val="22"/>
        </w:rPr>
        <w:t xml:space="preserve"> </w:t>
      </w:r>
      <w:r w:rsidRPr="0024349D">
        <w:rPr>
          <w:rFonts w:ascii="Palatino Linotype" w:eastAsia="Palatino Linotype" w:hAnsi="Palatino Linotype" w:cs="Palatino Linotype"/>
          <w:b/>
          <w:bCs/>
          <w:color w:val="000000"/>
          <w:sz w:val="22"/>
          <w:szCs w:val="22"/>
        </w:rPr>
        <w:t>dándose por satisfecho</w:t>
      </w:r>
      <w:r w:rsidRPr="0024349D">
        <w:rPr>
          <w:rFonts w:ascii="Palatino Linotype" w:eastAsia="Palatino Linotype" w:hAnsi="Palatino Linotype" w:cs="Palatino Linotype"/>
          <w:color w:val="000000"/>
          <w:sz w:val="22"/>
          <w:szCs w:val="22"/>
        </w:rPr>
        <w:t xml:space="preserve"> respecto de la información </w:t>
      </w:r>
      <w:r w:rsidRPr="0024349D">
        <w:rPr>
          <w:rFonts w:ascii="Palatino Linotype" w:eastAsia="Palatino Linotype" w:hAnsi="Palatino Linotype" w:cs="Palatino Linotype"/>
          <w:color w:val="000000"/>
          <w:sz w:val="22"/>
          <w:szCs w:val="22"/>
        </w:rPr>
        <w:lastRenderedPageBreak/>
        <w:t xml:space="preserve">proporcionada sobre </w:t>
      </w:r>
      <w:r w:rsidRPr="0024349D">
        <w:rPr>
          <w:rFonts w:ascii="Palatino Linotype" w:eastAsia="Palatino Linotype" w:hAnsi="Palatino Linotype" w:cs="Palatino Linotype"/>
          <w:b/>
          <w:bCs/>
          <w:color w:val="000000"/>
          <w:sz w:val="22"/>
          <w:szCs w:val="22"/>
        </w:rPr>
        <w:t>el presupuesto general; cabe señalar que dicho requerimiento sí fue atendido conforme a lo entregado en respuesta;</w:t>
      </w:r>
      <w:r w:rsidRPr="0024349D">
        <w:rPr>
          <w:rFonts w:ascii="Palatino Linotype" w:eastAsia="Palatino Linotype" w:hAnsi="Palatino Linotype" w:cs="Palatino Linotype"/>
          <w:color w:val="000000"/>
          <w:sz w:val="22"/>
          <w:szCs w:val="22"/>
        </w:rPr>
        <w:t xml:space="preserve"> y en atención a que se dio por satisfecho, no se hará pronunciamiento alguno; lo anterior de conformidad con lo dispuesto en el artículo 195 de la Ley de Transparencia y Acceso a la Información Pública del Estado de México y Municipios, con relación con el diverso 195, fracción IV, </w:t>
      </w:r>
      <w:r w:rsidRPr="0024349D">
        <w:rPr>
          <w:rFonts w:ascii="Palatino Linotype" w:eastAsia="Palatino Linotype" w:hAnsi="Palatino Linotype" w:cs="Palatino Linotype"/>
          <w:sz w:val="22"/>
          <w:szCs w:val="22"/>
        </w:rPr>
        <w:t>del Código</w:t>
      </w:r>
      <w:r w:rsidRPr="0024349D">
        <w:rPr>
          <w:rFonts w:ascii="Palatino Linotype" w:eastAsia="Palatino Linotype" w:hAnsi="Palatino Linotype" w:cs="Palatino Linotype"/>
          <w:color w:val="000000"/>
          <w:sz w:val="22"/>
          <w:szCs w:val="22"/>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27BCC20F"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0F6D7F23" w14:textId="77777777"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De la misma manera resulta aplicable el criterio sostenido por el Poder Judicial de la Federación de rubro </w:t>
      </w:r>
      <w:r w:rsidRPr="0024349D">
        <w:rPr>
          <w:rFonts w:ascii="Palatino Linotype" w:eastAsia="Palatino Linotype" w:hAnsi="Palatino Linotype" w:cs="Palatino Linotype"/>
          <w:b/>
          <w:bCs/>
          <w:color w:val="000000"/>
          <w:sz w:val="22"/>
          <w:szCs w:val="22"/>
        </w:rPr>
        <w:t>ACTOS CONSENTIDOS TÁCITAMENTE, Tesis VI.2o. J/21</w:t>
      </w:r>
      <w:r w:rsidRPr="0024349D">
        <w:rPr>
          <w:rFonts w:ascii="Palatino Linotype" w:eastAsia="Palatino Linotype" w:hAnsi="Palatino Linotype" w:cs="Palatino Linotype"/>
          <w:color w:val="000000"/>
          <w:sz w:val="22"/>
          <w:szCs w:val="22"/>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76B31257"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4ED38F63" w14:textId="77777777" w:rsidR="00651688" w:rsidRPr="0024349D" w:rsidRDefault="00BD2DE1">
      <w:pPr>
        <w:spacing w:line="360" w:lineRule="auto"/>
        <w:jc w:val="both"/>
        <w:rPr>
          <w:rFonts w:ascii="Palatino Linotype" w:eastAsia="Palatino Linotype" w:hAnsi="Palatino Linotype" w:cs="Palatino Linotype"/>
          <w:b/>
          <w:bCs/>
          <w:color w:val="000000"/>
          <w:sz w:val="22"/>
          <w:szCs w:val="22"/>
        </w:rPr>
      </w:pPr>
      <w:r w:rsidRPr="0024349D">
        <w:rPr>
          <w:rFonts w:ascii="Palatino Linotype" w:eastAsia="Palatino Linotype" w:hAnsi="Palatino Linotype" w:cs="Palatino Linotype"/>
          <w:color w:val="000000"/>
          <w:sz w:val="22"/>
          <w:szCs w:val="22"/>
        </w:rPr>
        <w:t xml:space="preserve">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w:t>
      </w:r>
      <w:r w:rsidRPr="0024349D">
        <w:rPr>
          <w:rFonts w:ascii="Palatino Linotype" w:eastAsia="Palatino Linotype" w:hAnsi="Palatino Linotype" w:cs="Palatino Linotype"/>
          <w:b/>
          <w:bCs/>
          <w:color w:val="000000"/>
          <w:sz w:val="22"/>
          <w:szCs w:val="22"/>
        </w:rPr>
        <w:t>Así pues, subsiste su motivo de inconformidad únicamente por cuanto hace a la entrega del presupuesto asignado a los panteones.</w:t>
      </w:r>
    </w:p>
    <w:p w14:paraId="2530A581" w14:textId="77777777" w:rsidR="00651688" w:rsidRPr="0024349D" w:rsidRDefault="00651688">
      <w:pPr>
        <w:spacing w:line="360" w:lineRule="auto"/>
        <w:jc w:val="both"/>
        <w:rPr>
          <w:rFonts w:ascii="Palatino Linotype" w:eastAsia="Palatino Linotype" w:hAnsi="Palatino Linotype" w:cs="Palatino Linotype"/>
          <w:b/>
          <w:bCs/>
          <w:color w:val="000000"/>
          <w:sz w:val="22"/>
          <w:szCs w:val="22"/>
        </w:rPr>
      </w:pPr>
    </w:p>
    <w:p w14:paraId="564A05DA" w14:textId="77777777" w:rsidR="00651688" w:rsidRPr="0024349D" w:rsidRDefault="00BD2DE1">
      <w:pPr>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En este sentido, vale la pena señalar que en los motivos de agravio la parte Recurrente también indicó lo siguiente:</w:t>
      </w:r>
    </w:p>
    <w:p w14:paraId="70CF5AAD"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5DD6A0EC" w14:textId="77777777" w:rsidR="00651688" w:rsidRPr="0024349D" w:rsidRDefault="00BD2DE1">
      <w:pPr>
        <w:spacing w:line="360" w:lineRule="auto"/>
        <w:ind w:left="567" w:right="567"/>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b/>
          <w:bCs/>
          <w:color w:val="000000"/>
          <w:sz w:val="22"/>
          <w:szCs w:val="22"/>
        </w:rPr>
        <w:t>ACTO IMPUGNADO</w:t>
      </w:r>
    </w:p>
    <w:p w14:paraId="0DE8642A" w14:textId="77777777" w:rsidR="00651688" w:rsidRPr="0024349D" w:rsidRDefault="00BD2DE1">
      <w:pPr>
        <w:spacing w:line="360" w:lineRule="auto"/>
        <w:ind w:left="567" w:right="567"/>
        <w:jc w:val="both"/>
        <w:rPr>
          <w:rFonts w:ascii="Palatino Linotype" w:eastAsia="Palatino Linotype" w:hAnsi="Palatino Linotype" w:cs="Palatino Linotype"/>
          <w:i/>
          <w:iCs/>
          <w:color w:val="000000"/>
          <w:sz w:val="22"/>
          <w:szCs w:val="22"/>
        </w:rPr>
      </w:pPr>
      <w:r w:rsidRPr="0024349D">
        <w:rPr>
          <w:rFonts w:ascii="Palatino Linotype" w:eastAsia="Palatino Linotype" w:hAnsi="Palatino Linotype" w:cs="Palatino Linotype"/>
          <w:i/>
          <w:iCs/>
          <w:color w:val="000000"/>
          <w:sz w:val="22"/>
          <w:szCs w:val="22"/>
        </w:rPr>
        <w:t>“No se entrega la información solicitada informando</w:t>
      </w:r>
      <w:r w:rsidRPr="0024349D">
        <w:rPr>
          <w:rFonts w:ascii="Palatino Linotype" w:eastAsia="Palatino Linotype" w:hAnsi="Palatino Linotype" w:cs="Palatino Linotype"/>
          <w:b/>
          <w:bCs/>
          <w:i/>
          <w:iCs/>
          <w:color w:val="000000"/>
          <w:sz w:val="22"/>
          <w:szCs w:val="22"/>
        </w:rPr>
        <w:t xml:space="preserve"> los motivos por lo cual no se da presupuesto de cada panteón</w:t>
      </w:r>
      <w:r w:rsidRPr="0024349D">
        <w:rPr>
          <w:rFonts w:ascii="Palatino Linotype" w:eastAsia="Palatino Linotype" w:hAnsi="Palatino Linotype" w:cs="Palatino Linotype"/>
          <w:i/>
          <w:iCs/>
          <w:color w:val="000000"/>
          <w:sz w:val="22"/>
          <w:szCs w:val="22"/>
        </w:rPr>
        <w:t xml:space="preserve"> que hay en Naucalpan de Juarez Estado de México… y </w:t>
      </w:r>
      <w:r w:rsidRPr="0024349D">
        <w:rPr>
          <w:rFonts w:ascii="Palatino Linotype" w:eastAsia="Palatino Linotype" w:hAnsi="Palatino Linotype" w:cs="Palatino Linotype"/>
          <w:b/>
          <w:bCs/>
          <w:i/>
          <w:iCs/>
          <w:color w:val="000000"/>
          <w:sz w:val="22"/>
          <w:szCs w:val="22"/>
        </w:rPr>
        <w:t>argumentar las cantidades de presupuesto</w:t>
      </w:r>
      <w:r w:rsidRPr="0024349D">
        <w:rPr>
          <w:rFonts w:ascii="Palatino Linotype" w:eastAsia="Palatino Linotype" w:hAnsi="Palatino Linotype" w:cs="Palatino Linotype"/>
          <w:i/>
          <w:iCs/>
          <w:color w:val="000000"/>
          <w:sz w:val="22"/>
          <w:szCs w:val="22"/>
        </w:rPr>
        <w:t>”</w:t>
      </w:r>
    </w:p>
    <w:p w14:paraId="276F85E0" w14:textId="77777777" w:rsidR="00A51A68" w:rsidRPr="0024349D" w:rsidRDefault="00A51A68">
      <w:pPr>
        <w:spacing w:line="360" w:lineRule="auto"/>
        <w:ind w:left="567" w:right="567"/>
        <w:jc w:val="both"/>
        <w:rPr>
          <w:rFonts w:ascii="Palatino Linotype" w:eastAsia="Palatino Linotype" w:hAnsi="Palatino Linotype" w:cs="Palatino Linotype"/>
          <w:i/>
          <w:iCs/>
          <w:color w:val="000000"/>
          <w:sz w:val="22"/>
          <w:szCs w:val="22"/>
        </w:rPr>
      </w:pPr>
    </w:p>
    <w:p w14:paraId="27575E59" w14:textId="77777777" w:rsidR="00651688" w:rsidRPr="0024349D" w:rsidRDefault="00BD2DE1">
      <w:pPr>
        <w:spacing w:line="360" w:lineRule="auto"/>
        <w:ind w:left="567" w:right="567"/>
        <w:rPr>
          <w:rFonts w:ascii="Palatino Linotype" w:eastAsia="Palatino Linotype" w:hAnsi="Palatino Linotype" w:cs="Palatino Linotype"/>
          <w:b/>
          <w:bCs/>
          <w:i/>
          <w:iCs/>
          <w:sz w:val="22"/>
          <w:szCs w:val="22"/>
        </w:rPr>
      </w:pPr>
      <w:r w:rsidRPr="0024349D">
        <w:rPr>
          <w:rFonts w:ascii="Palatino Linotype" w:eastAsia="Palatino Linotype" w:hAnsi="Palatino Linotype" w:cs="Palatino Linotype"/>
          <w:b/>
          <w:bCs/>
          <w:sz w:val="22"/>
          <w:szCs w:val="22"/>
        </w:rPr>
        <w:t>RAZONES O MOTIVOS DE LA INCONFORMIDAD</w:t>
      </w:r>
    </w:p>
    <w:p w14:paraId="5DCB53EC" w14:textId="77777777" w:rsidR="00651688" w:rsidRPr="0024349D" w:rsidRDefault="00BD2DE1">
      <w:pPr>
        <w:spacing w:line="360" w:lineRule="auto"/>
        <w:ind w:left="567" w:right="567"/>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w:t>
      </w:r>
      <w:r w:rsidRPr="0024349D">
        <w:rPr>
          <w:rFonts w:ascii="Palatino Linotype" w:eastAsia="Palatino Linotype" w:hAnsi="Palatino Linotype" w:cs="Palatino Linotype"/>
          <w:i/>
          <w:iCs/>
          <w:color w:val="000000"/>
          <w:sz w:val="22"/>
          <w:szCs w:val="22"/>
        </w:rPr>
        <w:t xml:space="preserve">No </w:t>
      </w:r>
      <w:r w:rsidRPr="0024349D">
        <w:rPr>
          <w:rFonts w:ascii="Palatino Linotype" w:eastAsia="Palatino Linotype" w:hAnsi="Palatino Linotype" w:cs="Palatino Linotype"/>
          <w:b/>
          <w:bCs/>
          <w:i/>
          <w:iCs/>
          <w:color w:val="000000"/>
          <w:sz w:val="22"/>
          <w:szCs w:val="22"/>
        </w:rPr>
        <w:t>veo los años solicitados con el desglose del Panteón de San Francisco Chimalpa. Justiciar porque no se da presupuesto</w:t>
      </w:r>
      <w:r w:rsidRPr="0024349D">
        <w:rPr>
          <w:rFonts w:ascii="Palatino Linotype" w:eastAsia="Palatino Linotype" w:hAnsi="Palatino Linotype" w:cs="Palatino Linotype"/>
          <w:i/>
          <w:iCs/>
          <w:color w:val="000000"/>
          <w:sz w:val="22"/>
          <w:szCs w:val="22"/>
        </w:rPr>
        <w:t xml:space="preserve"> con argumentos Justificar cantidad que se dio </w:t>
      </w:r>
      <w:r w:rsidRPr="0024349D">
        <w:rPr>
          <w:rFonts w:ascii="Palatino Linotype" w:eastAsia="Palatino Linotype" w:hAnsi="Palatino Linotype" w:cs="Palatino Linotype"/>
          <w:b/>
          <w:bCs/>
          <w:i/>
          <w:iCs/>
          <w:color w:val="000000"/>
          <w:sz w:val="22"/>
          <w:szCs w:val="22"/>
        </w:rPr>
        <w:t>a cada panteón con argumentos</w:t>
      </w:r>
      <w:r w:rsidRPr="0024349D">
        <w:rPr>
          <w:rFonts w:ascii="Palatino Linotype" w:eastAsia="Palatino Linotype" w:hAnsi="Palatino Linotype" w:cs="Palatino Linotype"/>
          <w:i/>
          <w:iCs/>
          <w:color w:val="000000"/>
          <w:sz w:val="22"/>
          <w:szCs w:val="22"/>
        </w:rPr>
        <w:t xml:space="preserve"> </w:t>
      </w:r>
      <w:r w:rsidRPr="0024349D">
        <w:rPr>
          <w:rFonts w:ascii="Palatino Linotype" w:eastAsia="Palatino Linotype" w:hAnsi="Palatino Linotype" w:cs="Palatino Linotype"/>
          <w:b/>
          <w:bCs/>
          <w:i/>
          <w:iCs/>
          <w:color w:val="000000"/>
          <w:sz w:val="22"/>
          <w:szCs w:val="22"/>
        </w:rPr>
        <w:t>Argumentas los años anteriores el por que no dan presupuesto</w:t>
      </w:r>
      <w:r w:rsidRPr="0024349D">
        <w:rPr>
          <w:rFonts w:ascii="Palatino Linotype" w:eastAsia="Palatino Linotype" w:hAnsi="Palatino Linotype" w:cs="Palatino Linotype"/>
          <w:i/>
          <w:iCs/>
          <w:color w:val="000000"/>
          <w:sz w:val="22"/>
          <w:szCs w:val="22"/>
        </w:rPr>
        <w:t>, …”</w:t>
      </w:r>
    </w:p>
    <w:p w14:paraId="5C5F6B89" w14:textId="77777777" w:rsidR="00651688" w:rsidRPr="0024349D" w:rsidRDefault="00651688">
      <w:pPr>
        <w:spacing w:line="360" w:lineRule="auto"/>
        <w:rPr>
          <w:rFonts w:ascii="Palatino Linotype" w:eastAsia="Palatino Linotype" w:hAnsi="Palatino Linotype" w:cs="Palatino Linotype"/>
          <w:sz w:val="22"/>
          <w:szCs w:val="22"/>
        </w:rPr>
      </w:pPr>
    </w:p>
    <w:p w14:paraId="53AD48B3"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39CAE461"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Cabe precisar que la parte Recurrente, señaló en sus motivos de agravio y acto impugnado, la solicitud de justificaciones y argumentos, así como información de diversos años; al respecto, tanto la temporalidad como las razones o justificaciones requeridas no fueron solicitadas en un primer momento, </w:t>
      </w:r>
      <w:r w:rsidRPr="0024349D">
        <w:rPr>
          <w:rFonts w:ascii="Palatino Linotype" w:eastAsia="Palatino Linotype" w:hAnsi="Palatino Linotype" w:cs="Palatino Linotype"/>
          <w:sz w:val="22"/>
          <w:szCs w:val="22"/>
        </w:rPr>
        <w:t xml:space="preserve">por lo que se configura lo que se conoce como </w:t>
      </w:r>
      <w:r w:rsidRPr="0024349D">
        <w:rPr>
          <w:rFonts w:ascii="Palatino Linotype" w:eastAsia="Palatino Linotype" w:hAnsi="Palatino Linotype" w:cs="Palatino Linotype"/>
          <w:b/>
          <w:bCs/>
          <w:i/>
          <w:iCs/>
          <w:sz w:val="22"/>
          <w:szCs w:val="22"/>
        </w:rPr>
        <w:t>plus petitio</w:t>
      </w:r>
      <w:r w:rsidRPr="0024349D">
        <w:rPr>
          <w:rFonts w:ascii="Palatino Linotype" w:eastAsia="Palatino Linotype" w:hAnsi="Palatino Linotype" w:cs="Palatino Linotype"/>
          <w:i/>
          <w:iCs/>
          <w:sz w:val="22"/>
          <w:szCs w:val="22"/>
        </w:rPr>
        <w:t xml:space="preserve">, </w:t>
      </w:r>
      <w:r w:rsidRPr="0024349D">
        <w:rPr>
          <w:rFonts w:ascii="Palatino Linotype" w:eastAsia="Palatino Linotype" w:hAnsi="Palatino Linotype" w:cs="Palatino Linotype"/>
          <w:sz w:val="22"/>
          <w:szCs w:val="22"/>
        </w:rPr>
        <w:t xml:space="preserve">que consiste en una ampliación a su requerimiento informativo, argumentos que no son susceptibles de ser valorados en términos de la fracción VII del Artículo 191 de la </w:t>
      </w:r>
      <w:r w:rsidRPr="0024349D">
        <w:rPr>
          <w:rFonts w:ascii="Palatino Linotype" w:eastAsia="Palatino Linotype" w:hAnsi="Palatino Linotype" w:cs="Palatino Linotype"/>
          <w:color w:val="000000"/>
          <w:sz w:val="22"/>
          <w:szCs w:val="22"/>
        </w:rPr>
        <w:t xml:space="preserve">Ley de Transparencia y Acceso a la Información Pública del Estado de México y Municipios, el cual señala la improcedencia cuando la persona Recurrente amplíe su solicitud en el recurso de revisión, </w:t>
      </w:r>
      <w:r w:rsidRPr="0024349D">
        <w:rPr>
          <w:rFonts w:ascii="Palatino Linotype" w:eastAsia="Palatino Linotype" w:hAnsi="Palatino Linotype" w:cs="Palatino Linotype"/>
          <w:b/>
          <w:bCs/>
          <w:color w:val="000000"/>
          <w:sz w:val="22"/>
          <w:szCs w:val="22"/>
          <w:u w:val="single"/>
        </w:rPr>
        <w:t>únicamente respecto de los nuevos contenidos</w:t>
      </w:r>
      <w:r w:rsidRPr="0024349D">
        <w:rPr>
          <w:rFonts w:ascii="Palatino Linotype" w:eastAsia="Palatino Linotype" w:hAnsi="Palatino Linotype" w:cs="Palatino Linotype"/>
          <w:color w:val="000000"/>
          <w:sz w:val="22"/>
          <w:szCs w:val="22"/>
        </w:rPr>
        <w:t>. Por lo cual el requerimiento realizado a través del medio de impugnación configura un nuevo contenido que pretende ampliar la solicitud, situación que no será sujeta de análisis por resultar improcedente.</w:t>
      </w:r>
    </w:p>
    <w:p w14:paraId="37A81F8D"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47CF348C" w14:textId="77777777" w:rsidR="00651688" w:rsidRPr="0024349D" w:rsidRDefault="00BD2DE1">
      <w:pPr>
        <w:tabs>
          <w:tab w:val="left" w:pos="4962"/>
        </w:tabs>
        <w:spacing w:line="360" w:lineRule="auto"/>
        <w:jc w:val="both"/>
        <w:rPr>
          <w:rFonts w:ascii="Palatino Linotype" w:eastAsia="Palatino Linotype" w:hAnsi="Palatino Linotype" w:cs="Palatino Linotype"/>
          <w:b/>
          <w:bCs/>
          <w:color w:val="000000"/>
          <w:sz w:val="22"/>
          <w:szCs w:val="22"/>
        </w:rPr>
      </w:pPr>
      <w:r w:rsidRPr="0024349D">
        <w:rPr>
          <w:rFonts w:ascii="Palatino Linotype" w:eastAsia="Palatino Linotype" w:hAnsi="Palatino Linotype" w:cs="Palatino Linotype"/>
          <w:color w:val="000000"/>
          <w:sz w:val="22"/>
          <w:szCs w:val="22"/>
        </w:rPr>
        <w:lastRenderedPageBreak/>
        <w:t>Además se requieren justificaciones, argumentos, razones o motivos, los cuales no  son procedentes en el ejercicio del derecho que nos ocupa, dado que se tratan de peticiones,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731FADE8"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15F8F53"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De tales circunstancias, se colige que los sujetos obligados únicamente están constreñidos a proporcionar </w:t>
      </w:r>
      <w:r w:rsidRPr="0024349D">
        <w:rPr>
          <w:rFonts w:ascii="Palatino Linotype" w:eastAsia="Palatino Linotype" w:hAnsi="Palatino Linotype" w:cs="Palatino Linotype"/>
          <w:b/>
          <w:bCs/>
          <w:color w:val="000000"/>
          <w:sz w:val="22"/>
          <w:szCs w:val="22"/>
        </w:rPr>
        <w:t>la documentación que obre en sus archivos</w:t>
      </w:r>
      <w:r w:rsidRPr="0024349D">
        <w:rPr>
          <w:rFonts w:ascii="Palatino Linotype" w:eastAsia="Palatino Linotype" w:hAnsi="Palatino Linotype" w:cs="Palatino Linotype"/>
          <w:color w:val="000000"/>
          <w:sz w:val="22"/>
          <w:szCs w:val="22"/>
        </w:rPr>
        <w:t>; por lo que, no están obligados a generar o elaborar documentos </w:t>
      </w:r>
      <w:r w:rsidRPr="0024349D">
        <w:rPr>
          <w:rFonts w:ascii="Palatino Linotype" w:eastAsia="Palatino Linotype" w:hAnsi="Palatino Linotype" w:cs="Palatino Linotype"/>
          <w:i/>
          <w:iCs/>
          <w:color w:val="000000"/>
          <w:sz w:val="22"/>
          <w:szCs w:val="22"/>
        </w:rPr>
        <w:t>ad hoc, </w:t>
      </w:r>
      <w:r w:rsidRPr="0024349D">
        <w:rPr>
          <w:rFonts w:ascii="Palatino Linotype" w:eastAsia="Palatino Linotype" w:hAnsi="Palatino Linotype" w:cs="Palatino Linotype"/>
          <w:color w:val="000000"/>
          <w:sz w:val="22"/>
          <w:szCs w:val="22"/>
        </w:rPr>
        <w:t>como es el caso de proporcionar respuesta a un cuestionamiento. Robustece lo anterior el Criterio de Interpretación, con clave de control SO/013/2017, de la Segunda Época, emitido por el entonces Instituto Nacional de Transparencia, Acceso a la Información y Protección de Datos Personales, que a continuación se cita:</w:t>
      </w:r>
    </w:p>
    <w:p w14:paraId="6A0A2829"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2B391E6" w14:textId="77777777" w:rsidR="00651688" w:rsidRPr="0024349D" w:rsidRDefault="00BD2DE1">
      <w:pPr>
        <w:tabs>
          <w:tab w:val="left" w:pos="4962"/>
        </w:tabs>
        <w:spacing w:line="360" w:lineRule="auto"/>
        <w:ind w:left="567" w:right="539"/>
        <w:jc w:val="both"/>
        <w:rPr>
          <w:rFonts w:ascii="Palatino Linotype" w:eastAsia="Palatino Linotype" w:hAnsi="Palatino Linotype" w:cs="Palatino Linotype"/>
          <w:i/>
          <w:iCs/>
          <w:color w:val="000000"/>
          <w:sz w:val="22"/>
          <w:szCs w:val="22"/>
        </w:rPr>
      </w:pPr>
      <w:r w:rsidRPr="0024349D">
        <w:rPr>
          <w:rFonts w:ascii="Palatino Linotype" w:eastAsia="Palatino Linotype" w:hAnsi="Palatino Linotype" w:cs="Palatino Linotype"/>
          <w:b/>
          <w:bCs/>
          <w:i/>
          <w:iCs/>
          <w:color w:val="000000"/>
          <w:sz w:val="22"/>
          <w:szCs w:val="22"/>
        </w:rPr>
        <w:t xml:space="preserve">“No existe obligación de elaborar documentos ad hoc para atender las solicitudes de acceso a la información. </w:t>
      </w:r>
      <w:r w:rsidRPr="0024349D">
        <w:rPr>
          <w:rFonts w:ascii="Palatino Linotype" w:eastAsia="Palatino Linotype" w:hAnsi="Palatino Linotype" w:cs="Palatino Linotype"/>
          <w:i/>
          <w:iCs/>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5DF0F8B3"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0081C432"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Conforme a lo anterior, </w:t>
      </w:r>
      <w:r w:rsidRPr="0024349D">
        <w:rPr>
          <w:rFonts w:ascii="Palatino Linotype" w:eastAsia="Palatino Linotype" w:hAnsi="Palatino Linotype" w:cs="Palatino Linotype"/>
          <w:b/>
          <w:bCs/>
          <w:color w:val="000000"/>
          <w:sz w:val="22"/>
          <w:szCs w:val="22"/>
        </w:rPr>
        <w:t>se advierte que lo adicionado a la solicitud en el Recurso de Revisión respecto a motivos o justificaciones prevé una consulta</w:t>
      </w:r>
      <w:r w:rsidRPr="0024349D">
        <w:rPr>
          <w:rFonts w:ascii="Palatino Linotype" w:eastAsia="Palatino Linotype" w:hAnsi="Palatino Linotype" w:cs="Palatino Linotype"/>
          <w:color w:val="000000"/>
          <w:sz w:val="22"/>
          <w:szCs w:val="22"/>
        </w:rPr>
        <w:t xml:space="preserve"> y no así una solicitud de acceso a información pública que pueda ser atendida mediante una expresión documental; pues corresponde a una pregunta que implicaría elaborar un documento </w:t>
      </w:r>
      <w:r w:rsidRPr="0024349D">
        <w:rPr>
          <w:rFonts w:ascii="Palatino Linotype" w:eastAsia="Palatino Linotype" w:hAnsi="Palatino Linotype" w:cs="Palatino Linotype"/>
          <w:i/>
          <w:iCs/>
          <w:color w:val="000000"/>
          <w:sz w:val="22"/>
          <w:szCs w:val="22"/>
        </w:rPr>
        <w:t>ad hoc</w:t>
      </w:r>
      <w:r w:rsidRPr="0024349D">
        <w:rPr>
          <w:rFonts w:ascii="Palatino Linotype" w:eastAsia="Palatino Linotype" w:hAnsi="Palatino Linotype" w:cs="Palatino Linotype"/>
          <w:color w:val="000000"/>
          <w:sz w:val="22"/>
          <w:szCs w:val="22"/>
        </w:rPr>
        <w:t xml:space="preserve">, pues el Recurrente requiere que el Sujeto Obligado realice una opinión subjetiva, por tanto, </w:t>
      </w:r>
      <w:r w:rsidRPr="0024349D">
        <w:rPr>
          <w:rFonts w:ascii="Palatino Linotype" w:eastAsia="Palatino Linotype" w:hAnsi="Palatino Linotype" w:cs="Palatino Linotype"/>
          <w:b/>
          <w:bCs/>
          <w:color w:val="000000"/>
          <w:sz w:val="22"/>
          <w:szCs w:val="22"/>
        </w:rPr>
        <w:t xml:space="preserve">resultan improcedentes. </w:t>
      </w:r>
    </w:p>
    <w:p w14:paraId="0D506B7D"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61384C29"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Así pues, subsiste únicamente motivo de </w:t>
      </w:r>
      <w:r w:rsidRPr="0024349D">
        <w:rPr>
          <w:rFonts w:ascii="Palatino Linotype" w:eastAsia="Palatino Linotype" w:hAnsi="Palatino Linotype" w:cs="Palatino Linotype"/>
          <w:b/>
          <w:bCs/>
          <w:color w:val="000000"/>
          <w:sz w:val="22"/>
          <w:szCs w:val="22"/>
          <w:u w:val="single"/>
        </w:rPr>
        <w:t xml:space="preserve">agravio en contra de la respuesta del Sujeto Obligado sobre el presupuesto asignado </w:t>
      </w:r>
      <w:r w:rsidRPr="0024349D">
        <w:rPr>
          <w:rFonts w:ascii="Palatino Linotype" w:eastAsia="Palatino Linotype" w:hAnsi="Palatino Linotype" w:cs="Palatino Linotype"/>
          <w:b/>
          <w:bCs/>
          <w:sz w:val="22"/>
          <w:szCs w:val="22"/>
          <w:u w:val="single"/>
        </w:rPr>
        <w:t>a los panteones</w:t>
      </w:r>
      <w:r w:rsidRPr="0024349D">
        <w:rPr>
          <w:rFonts w:ascii="Palatino Linotype" w:eastAsia="Palatino Linotype" w:hAnsi="Palatino Linotype" w:cs="Palatino Linotype"/>
          <w:b/>
          <w:bCs/>
          <w:color w:val="000000"/>
          <w:sz w:val="22"/>
          <w:szCs w:val="22"/>
          <w:u w:val="single"/>
        </w:rPr>
        <w:t>.</w:t>
      </w:r>
      <w:r w:rsidRPr="0024349D">
        <w:rPr>
          <w:rFonts w:ascii="Palatino Linotype" w:eastAsia="Palatino Linotype" w:hAnsi="Palatino Linotype" w:cs="Palatino Linotype"/>
          <w:color w:val="000000"/>
          <w:sz w:val="22"/>
          <w:szCs w:val="22"/>
        </w:rPr>
        <w:t xml:space="preserve"> </w:t>
      </w:r>
    </w:p>
    <w:p w14:paraId="47CEBD9D"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614D03CE"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Cabe señalar que la parte Recurrente </w:t>
      </w:r>
      <w:r w:rsidRPr="0024349D">
        <w:rPr>
          <w:rFonts w:ascii="Palatino Linotype" w:eastAsia="Palatino Linotype" w:hAnsi="Palatino Linotype" w:cs="Palatino Linotype"/>
          <w:b/>
          <w:bCs/>
          <w:color w:val="000000"/>
          <w:sz w:val="22"/>
          <w:szCs w:val="22"/>
        </w:rPr>
        <w:t xml:space="preserve">también señaló que no se señaló correctamente </w:t>
      </w:r>
      <w:r w:rsidRPr="0024349D">
        <w:rPr>
          <w:rFonts w:ascii="Palatino Linotype" w:eastAsia="Palatino Linotype" w:hAnsi="Palatino Linotype" w:cs="Palatino Linotype"/>
          <w:b/>
          <w:bCs/>
          <w:sz w:val="22"/>
          <w:szCs w:val="22"/>
        </w:rPr>
        <w:t>cómo</w:t>
      </w:r>
      <w:r w:rsidRPr="0024349D">
        <w:rPr>
          <w:rFonts w:ascii="Palatino Linotype" w:eastAsia="Palatino Linotype" w:hAnsi="Palatino Linotype" w:cs="Palatino Linotype"/>
          <w:b/>
          <w:bCs/>
          <w:color w:val="000000"/>
          <w:sz w:val="22"/>
          <w:szCs w:val="22"/>
        </w:rPr>
        <w:t xml:space="preserve"> seguir la ruta para llegar a la información del presupuesto asignado a panteones</w:t>
      </w:r>
      <w:r w:rsidRPr="0024349D">
        <w:rPr>
          <w:rFonts w:ascii="Palatino Linotype" w:eastAsia="Palatino Linotype" w:hAnsi="Palatino Linotype" w:cs="Palatino Linotype"/>
          <w:color w:val="000000"/>
          <w:sz w:val="22"/>
          <w:szCs w:val="22"/>
        </w:rPr>
        <w:t>, en este tenor, 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297D285"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w:t>
      </w:r>
    </w:p>
    <w:p w14:paraId="75742C9A"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4E00C8E"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w:t>
      </w:r>
    </w:p>
    <w:p w14:paraId="224E59C3" w14:textId="77777777" w:rsidR="00651688" w:rsidRPr="0024349D" w:rsidRDefault="00BD2DE1">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b/>
          <w:bCs/>
          <w:color w:val="000000"/>
          <w:sz w:val="22"/>
          <w:szCs w:val="22"/>
        </w:rPr>
        <w:t>Dato abierto:</w:t>
      </w:r>
      <w:r w:rsidRPr="0024349D">
        <w:rPr>
          <w:rFonts w:ascii="Palatino Linotype" w:eastAsia="Palatino Linotype" w:hAnsi="Palatino Linotype" w:cs="Palatino Linotype"/>
          <w:color w:val="000000"/>
          <w:sz w:val="22"/>
          <w:szCs w:val="22"/>
        </w:rPr>
        <w:t xml:space="preserve"> Datos digitales de carácter público que son accesibles en línea que pueden ser usados, reutilizados y redistribuidos por cualquier persona, mismos que </w:t>
      </w:r>
      <w:r w:rsidRPr="0024349D">
        <w:rPr>
          <w:rFonts w:ascii="Palatino Linotype" w:eastAsia="Palatino Linotype" w:hAnsi="Palatino Linotype" w:cs="Palatino Linotype"/>
          <w:color w:val="000000"/>
          <w:sz w:val="22"/>
          <w:szCs w:val="22"/>
        </w:rPr>
        <w:lastRenderedPageBreak/>
        <w:t>se conforman de diversas características, entre las cuales se encuentra que se encuentren en formatos abiertos.</w:t>
      </w:r>
    </w:p>
    <w:p w14:paraId="32D64DD4"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w:t>
      </w:r>
    </w:p>
    <w:p w14:paraId="62749C80" w14:textId="77777777" w:rsidR="00651688" w:rsidRPr="0024349D" w:rsidRDefault="00BD2DE1">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b/>
          <w:bCs/>
          <w:color w:val="000000"/>
          <w:sz w:val="22"/>
          <w:szCs w:val="22"/>
        </w:rPr>
        <w:t>Formato accesible:</w:t>
      </w:r>
      <w:r w:rsidRPr="0024349D">
        <w:rPr>
          <w:rFonts w:ascii="Palatino Linotype" w:eastAsia="Palatino Linotype" w:hAnsi="Palatino Linotype" w:cs="Palatino Linotype"/>
          <w:color w:val="000000"/>
          <w:sz w:val="22"/>
          <w:szCs w:val="22"/>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EA4B637"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w:t>
      </w:r>
    </w:p>
    <w:p w14:paraId="7FEF1C0A"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1313B774"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w:t>
      </w:r>
    </w:p>
    <w:p w14:paraId="76718E5E"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D6F92F2"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7024947D" w14:textId="30E43C04"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Cómo se logra observar, el Sujeto Obligado si bien señaló una página electrónica lo cierto es que se entregó en formato cerrado, lo cual implica la dificultad de acceder a la misma, pues se traduce al hecho de que la parte Recurrente tendría que colocar cada dígito alfanumérico, y cuya equivocación implicaría no acceder a la información contenida en las mismas. </w:t>
      </w:r>
    </w:p>
    <w:p w14:paraId="466171FA"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35E5352"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En este sentido, es preciso reiterar que el Sujeto Obligado en respuesta refirió que la información presupuestal de panteones consta en cuanto hace a que se asigna parte del Presupuesto a la Dirección de Servicios Públicos que tiene a su cargo el Departamento de Panteones y la liga proporcionada se remite con la intención de observar Estado Analítico del Ejercicio del Presupuesto de Egresos, Clasificación Administrativa; documento que se adjuntó en respuesta y del que se refleja únicamente la asignación a las diversas áreas que integran la estructura del Sujeto Obligado en los siguientes términos:</w:t>
      </w:r>
    </w:p>
    <w:p w14:paraId="74AF3FE9"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0233C6A8"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noProof/>
          <w:sz w:val="22"/>
          <w:szCs w:val="22"/>
        </w:rPr>
        <w:drawing>
          <wp:inline distT="0" distB="0" distL="0" distR="0" wp14:anchorId="20CB395F" wp14:editId="54342234">
            <wp:extent cx="5591291" cy="2328102"/>
            <wp:effectExtent l="0" t="0" r="0" b="0"/>
            <wp:docPr id="21287870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4" cstate="email">
                      <a:extLst>
                        <a:ext uri="{28A0092B-C50C-407E-A947-70E740481C1C}">
                          <a14:useLocalDpi xmlns:a14="http://schemas.microsoft.com/office/drawing/2010/main"/>
                        </a:ext>
                      </a:extLst>
                    </a:blip>
                    <a:srcRect/>
                    <a:stretch/>
                  </pic:blipFill>
                  <pic:spPr bwMode="auto">
                    <a:xfrm>
                      <a:off x="0" y="0"/>
                      <a:ext cx="5695967" cy="2371687"/>
                    </a:xfrm>
                    <a:prstGeom prst="rect">
                      <a:avLst/>
                    </a:prstGeom>
                    <a:ln>
                      <a:noFill/>
                    </a:ln>
                    <a:extLst>
                      <a:ext uri="{53640926-AAD7-44D8-BBD7-CCE9431645EC}">
                        <a14:shadowObscured xmlns:a14="http://schemas.microsoft.com/office/drawing/2010/main"/>
                      </a:ext>
                    </a:extLst>
                  </pic:spPr>
                </pic:pic>
              </a:graphicData>
            </a:graphic>
          </wp:inline>
        </w:drawing>
      </w:r>
    </w:p>
    <w:p w14:paraId="1758DBFF"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46FC8B9F"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Así pues, efectivamente el Sujeto Obligado no dio la liga electrónica en formato abierto, pero sí adjuntó el documento al que pretendía que el Recurrente llegará con la liga electrónica.</w:t>
      </w:r>
    </w:p>
    <w:p w14:paraId="4E7FB0EF"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En este sentido, cabe señalar que </w:t>
      </w:r>
      <w:r w:rsidRPr="0024349D">
        <w:rPr>
          <w:rFonts w:ascii="Palatino Linotype" w:eastAsia="Palatino Linotype" w:hAnsi="Palatino Linotype" w:cs="Palatino Linotype"/>
          <w:b/>
          <w:bCs/>
          <w:color w:val="000000"/>
          <w:sz w:val="22"/>
          <w:szCs w:val="22"/>
        </w:rPr>
        <w:t>durante la sustanciación del Recurso de Revisión el Sujeto Obligado modificó su respuesta inicial</w:t>
      </w:r>
      <w:r w:rsidRPr="0024349D">
        <w:rPr>
          <w:rFonts w:ascii="Palatino Linotype" w:eastAsia="Palatino Linotype" w:hAnsi="Palatino Linotype" w:cs="Palatino Linotype"/>
          <w:color w:val="000000"/>
          <w:sz w:val="22"/>
          <w:szCs w:val="22"/>
        </w:rPr>
        <w:t>; y si bien la Dirección de Servicios Públicos ratificó su contestación, la Tesorería Municipal indicó lo siguiente:</w:t>
      </w:r>
    </w:p>
    <w:p w14:paraId="13B39FB0"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6D01D4C3" w14:textId="77777777" w:rsidR="00651688" w:rsidRPr="0024349D" w:rsidRDefault="00BD2DE1">
      <w:pPr>
        <w:spacing w:line="360" w:lineRule="auto"/>
        <w:ind w:left="709" w:right="539"/>
        <w:jc w:val="both"/>
        <w:rPr>
          <w:rFonts w:ascii="Palatino Linotype" w:eastAsia="Palatino Linotype" w:hAnsi="Palatino Linotype" w:cs="Palatino Linotype"/>
          <w:i/>
          <w:iCs/>
          <w:sz w:val="22"/>
          <w:szCs w:val="22"/>
        </w:rPr>
      </w:pPr>
      <w:r w:rsidRPr="0024349D">
        <w:rPr>
          <w:rFonts w:ascii="Palatino Linotype" w:eastAsia="Palatino Linotype" w:hAnsi="Palatino Linotype" w:cs="Palatino Linotype"/>
          <w:i/>
          <w:iCs/>
          <w:sz w:val="22"/>
          <w:szCs w:val="22"/>
        </w:rPr>
        <w:lastRenderedPageBreak/>
        <w:t xml:space="preserve">“Derivado de lo anterior, y en el tenor del acto impugnado, me permito hacer de su conocimiento que </w:t>
      </w:r>
      <w:r w:rsidRPr="0024349D">
        <w:rPr>
          <w:rFonts w:ascii="Palatino Linotype" w:eastAsia="Palatino Linotype" w:hAnsi="Palatino Linotype" w:cs="Palatino Linotype"/>
          <w:b/>
          <w:bCs/>
          <w:i/>
          <w:iCs/>
          <w:sz w:val="22"/>
          <w:szCs w:val="22"/>
        </w:rPr>
        <w:t>no existe un presupuesto asignado directamente al área de panteones,</w:t>
      </w:r>
      <w:r w:rsidRPr="0024349D">
        <w:rPr>
          <w:rFonts w:ascii="Palatino Linotype" w:eastAsia="Palatino Linotype" w:hAnsi="Palatino Linotype" w:cs="Palatino Linotype"/>
          <w:i/>
          <w:iCs/>
          <w:sz w:val="22"/>
          <w:szCs w:val="22"/>
        </w:rPr>
        <w:t xml:space="preserve"> toda vez que el presupuesto </w:t>
      </w:r>
      <w:r w:rsidRPr="0024349D">
        <w:rPr>
          <w:rFonts w:ascii="Palatino Linotype" w:eastAsia="Palatino Linotype" w:hAnsi="Palatino Linotype" w:cs="Palatino Linotype"/>
          <w:b/>
          <w:bCs/>
          <w:i/>
          <w:iCs/>
          <w:sz w:val="22"/>
          <w:szCs w:val="22"/>
        </w:rPr>
        <w:t>se asigna de manera general a cada una de las Direcciones de este H. Ayuntamiento</w:t>
      </w:r>
      <w:r w:rsidRPr="0024349D">
        <w:rPr>
          <w:rFonts w:ascii="Palatino Linotype" w:eastAsia="Palatino Linotype" w:hAnsi="Palatino Linotype" w:cs="Palatino Linotype"/>
          <w:i/>
          <w:iCs/>
          <w:sz w:val="22"/>
          <w:szCs w:val="22"/>
        </w:rPr>
        <w:t>, y cada una de estas es la encargada de decidir el uso y destino de su presupuesto de acuerdo a las necesidades operativas que se vayan presentando en el ámbito de competencia de</w:t>
      </w:r>
      <w:r w:rsidRPr="0024349D">
        <w:rPr>
          <w:rFonts w:ascii="Palatino Linotype" w:eastAsia="Palatino Linotype" w:hAnsi="Palatino Linotype" w:cs="Palatino Linotype"/>
          <w:sz w:val="22"/>
          <w:szCs w:val="22"/>
        </w:rPr>
        <w:t xml:space="preserve"> </w:t>
      </w:r>
      <w:r w:rsidRPr="0024349D">
        <w:rPr>
          <w:rFonts w:ascii="Palatino Linotype" w:eastAsia="Palatino Linotype" w:hAnsi="Palatino Linotype" w:cs="Palatino Linotype"/>
          <w:i/>
          <w:iCs/>
          <w:sz w:val="22"/>
          <w:szCs w:val="22"/>
        </w:rPr>
        <w:t>cada una de las Subdirecciones, Coordinaciones y Departamentos, adscritos a las Direcciones.</w:t>
      </w:r>
    </w:p>
    <w:p w14:paraId="7A4C3506"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589B0E81"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 Así pues, mediante informe justificado, el área competente para conocer de la información señaló que no existe un presupuesto asignado directamente al área de panteones, sino que se asigna a las Direcciones; sobre el tema, el Criterio orientador, con clave de control SO/014/2017, emitido por el entonces Instituto Nacional de Transparencia, Acceso a la Información Pública y Protección de Datos Personales en el Estado de México y Municipios, se desprende que la inexistencia de la información, es una cuestión de hecho que se le atribuye a la misma, cuando ésta no se encuentra en los archivos del sujeto obligado. </w:t>
      </w:r>
    </w:p>
    <w:p w14:paraId="4F885749"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3C895EFD"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D0DF715"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1BCCE568"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Así, es posible concluir que la inexistencia presupone la competencia del sujeto obligado para conocer de la información, pero por alguna circunstancia, la documentación solicitada no obra en sus archivos; para tal situación, no basta con que los sujetos obligados precisen dicha </w:t>
      </w:r>
      <w:r w:rsidRPr="0024349D">
        <w:rPr>
          <w:rFonts w:ascii="Palatino Linotype" w:eastAsia="Palatino Linotype" w:hAnsi="Palatino Linotype" w:cs="Palatino Linotype"/>
          <w:color w:val="000000"/>
          <w:sz w:val="22"/>
          <w:szCs w:val="22"/>
        </w:rPr>
        <w:lastRenderedPageBreak/>
        <w:t>circunstancia, sino que también debe de señalar las razones por las cuales no cuentan con lo peticionado, es decir, las circunstancias que dan lugar a la inexistencia.</w:t>
      </w:r>
    </w:p>
    <w:p w14:paraId="1E89752A"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1A609072"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05922422"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5280E11A"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w:t>
      </w:r>
      <w:r w:rsidRPr="0024349D">
        <w:rPr>
          <w:rFonts w:ascii="Palatino Linotype" w:eastAsia="Palatino Linotype" w:hAnsi="Palatino Linotype" w:cs="Palatino Linotype"/>
          <w:sz w:val="22"/>
          <w:szCs w:val="22"/>
        </w:rPr>
        <w:t>apuntó</w:t>
      </w:r>
      <w:r w:rsidRPr="0024349D">
        <w:rPr>
          <w:rFonts w:ascii="Palatino Linotype" w:eastAsia="Palatino Linotype" w:hAnsi="Palatino Linotype" w:cs="Palatino Linotype"/>
          <w:color w:val="000000"/>
          <w:sz w:val="22"/>
          <w:szCs w:val="22"/>
        </w:rPr>
        <w:t xml:space="preserve"> a su existencia.</w:t>
      </w:r>
    </w:p>
    <w:p w14:paraId="3548777D"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381CD678"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Al respecto, dicho criterio aplica al caso en concreto, ya que, no se localizó algún indicio de que el Sujeto Obligado cuente con la información requerida; asimismo, destaca que este Organismo Garante realizó una búsqueda de información en el sitio del Sujeto Obligado, en su apartado de CONAC, en cada uno de los documentos que se encuentran accesibles en el apartado de 2025,  INFORMACIÓN ANUAL y del Tercer Trimestre y no se localizó ninguna información respecto a presupuesto asignado a panteones, a saber, se consultaron cada uno de los documentos enumerados en los siguientes:</w:t>
      </w:r>
    </w:p>
    <w:p w14:paraId="455C8E30"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0AC7A40D" w14:textId="77777777" w:rsidR="00651688" w:rsidRPr="0024349D" w:rsidRDefault="00651688">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hyperlink r:id="rId15">
        <w:r w:rsidRPr="0024349D">
          <w:rPr>
            <w:rFonts w:ascii="Palatino Linotype" w:eastAsia="Palatino Linotype" w:hAnsi="Palatino Linotype" w:cs="Palatino Linotype"/>
            <w:color w:val="0563C1"/>
            <w:sz w:val="22"/>
            <w:szCs w:val="22"/>
            <w:u w:val="single"/>
          </w:rPr>
          <w:t>https://naucalpan.gob.mx/conac/</w:t>
        </w:r>
      </w:hyperlink>
      <w:r w:rsidRPr="0024349D">
        <w:rPr>
          <w:rFonts w:ascii="Palatino Linotype" w:eastAsia="Palatino Linotype" w:hAnsi="Palatino Linotype" w:cs="Palatino Linotype"/>
          <w:color w:val="000000"/>
          <w:sz w:val="22"/>
          <w:szCs w:val="22"/>
        </w:rPr>
        <w:t xml:space="preserve"> </w:t>
      </w:r>
    </w:p>
    <w:p w14:paraId="27ED4DAE" w14:textId="77777777" w:rsidR="00651688" w:rsidRPr="0024349D" w:rsidRDefault="00BD2DE1">
      <w:pPr>
        <w:tabs>
          <w:tab w:val="left" w:pos="4962"/>
        </w:tabs>
        <w:spacing w:line="360" w:lineRule="auto"/>
        <w:jc w:val="center"/>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noProof/>
          <w:sz w:val="22"/>
          <w:szCs w:val="22"/>
        </w:rPr>
        <w:drawing>
          <wp:inline distT="0" distB="0" distL="0" distR="0" wp14:anchorId="471C816A" wp14:editId="6661E251">
            <wp:extent cx="4554652" cy="5201287"/>
            <wp:effectExtent l="0" t="0" r="0" b="0"/>
            <wp:docPr id="21287870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4554652" cy="5201287"/>
                    </a:xfrm>
                    <a:prstGeom prst="rect">
                      <a:avLst/>
                    </a:prstGeom>
                    <a:ln/>
                  </pic:spPr>
                </pic:pic>
              </a:graphicData>
            </a:graphic>
          </wp:inline>
        </w:drawing>
      </w:r>
    </w:p>
    <w:p w14:paraId="55C9E693" w14:textId="77777777" w:rsidR="00651688" w:rsidRPr="0024349D" w:rsidRDefault="00651688">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hyperlink r:id="rId17">
        <w:r w:rsidRPr="0024349D">
          <w:rPr>
            <w:rFonts w:ascii="Palatino Linotype" w:eastAsia="Palatino Linotype" w:hAnsi="Palatino Linotype" w:cs="Palatino Linotype"/>
            <w:color w:val="0563C1"/>
            <w:sz w:val="22"/>
            <w:szCs w:val="22"/>
            <w:u w:val="single"/>
          </w:rPr>
          <w:t>https://naucalpan.gob.mx/conac/</w:t>
        </w:r>
      </w:hyperlink>
      <w:r w:rsidRPr="0024349D">
        <w:rPr>
          <w:rFonts w:ascii="Palatino Linotype" w:eastAsia="Palatino Linotype" w:hAnsi="Palatino Linotype" w:cs="Palatino Linotype"/>
          <w:color w:val="000000"/>
          <w:sz w:val="22"/>
          <w:szCs w:val="22"/>
        </w:rPr>
        <w:t xml:space="preserve"> </w:t>
      </w:r>
    </w:p>
    <w:p w14:paraId="3D9F717D"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8D1AB51" w14:textId="77777777" w:rsidR="00651688" w:rsidRPr="0024349D" w:rsidRDefault="00BD2DE1">
      <w:pPr>
        <w:tabs>
          <w:tab w:val="left" w:pos="4962"/>
        </w:tabs>
        <w:spacing w:line="360" w:lineRule="auto"/>
        <w:jc w:val="center"/>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noProof/>
          <w:sz w:val="22"/>
          <w:szCs w:val="22"/>
        </w:rPr>
        <w:lastRenderedPageBreak/>
        <w:drawing>
          <wp:inline distT="0" distB="0" distL="0" distR="0" wp14:anchorId="55FCF4EE" wp14:editId="08B36CCE">
            <wp:extent cx="3953444" cy="5930167"/>
            <wp:effectExtent l="0" t="0" r="0" b="0"/>
            <wp:docPr id="21287870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3953444" cy="5930167"/>
                    </a:xfrm>
                    <a:prstGeom prst="rect">
                      <a:avLst/>
                    </a:prstGeom>
                    <a:ln/>
                  </pic:spPr>
                </pic:pic>
              </a:graphicData>
            </a:graphic>
          </wp:inline>
        </w:drawing>
      </w:r>
    </w:p>
    <w:p w14:paraId="0EA61347"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143E3DE6"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De igual forma, se revisó la información que obra en el Sitio de información Publica de Oficio Mexiquense, en lo sucesivo IPOMEX del Sujeto Obligado, del año 2025, en el apartado e Presupuesto y Seguimiento, en cada uno de los siguientes:</w:t>
      </w:r>
    </w:p>
    <w:p w14:paraId="32D94F63"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55C75098" w14:textId="77777777" w:rsidR="00651688" w:rsidRPr="0024349D" w:rsidRDefault="00651688">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hyperlink r:id="rId19" w:anchor="/obligaciones/149">
        <w:r w:rsidRPr="0024349D">
          <w:rPr>
            <w:rFonts w:ascii="Palatino Linotype" w:eastAsia="Palatino Linotype" w:hAnsi="Palatino Linotype" w:cs="Palatino Linotype"/>
            <w:color w:val="0563C1"/>
            <w:sz w:val="22"/>
            <w:szCs w:val="22"/>
            <w:u w:val="single"/>
          </w:rPr>
          <w:t>https://ipomex.org.mx/ipomex/#/obligaciones/149</w:t>
        </w:r>
      </w:hyperlink>
      <w:r w:rsidRPr="0024349D">
        <w:rPr>
          <w:rFonts w:ascii="Palatino Linotype" w:eastAsia="Palatino Linotype" w:hAnsi="Palatino Linotype" w:cs="Palatino Linotype"/>
          <w:color w:val="000000"/>
          <w:sz w:val="22"/>
          <w:szCs w:val="22"/>
        </w:rPr>
        <w:t xml:space="preserve"> </w:t>
      </w:r>
    </w:p>
    <w:p w14:paraId="5A6BC9EF" w14:textId="77777777" w:rsidR="00651688" w:rsidRPr="0024349D" w:rsidRDefault="00BD2DE1">
      <w:pPr>
        <w:tabs>
          <w:tab w:val="left" w:pos="4962"/>
        </w:tabs>
        <w:spacing w:line="360" w:lineRule="auto"/>
        <w:jc w:val="center"/>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noProof/>
          <w:sz w:val="22"/>
          <w:szCs w:val="22"/>
        </w:rPr>
        <w:drawing>
          <wp:inline distT="0" distB="0" distL="0" distR="0" wp14:anchorId="7E43CCD3" wp14:editId="06755D09">
            <wp:extent cx="4671060" cy="4316819"/>
            <wp:effectExtent l="0" t="0" r="2540" b="1270"/>
            <wp:docPr id="21287870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0" cstate="email">
                      <a:extLst>
                        <a:ext uri="{28A0092B-C50C-407E-A947-70E740481C1C}">
                          <a14:useLocalDpi xmlns:a14="http://schemas.microsoft.com/office/drawing/2010/main"/>
                        </a:ext>
                      </a:extLst>
                    </a:blip>
                    <a:srcRect/>
                    <a:stretch/>
                  </pic:blipFill>
                  <pic:spPr bwMode="auto">
                    <a:xfrm>
                      <a:off x="0" y="0"/>
                      <a:ext cx="4671491" cy="4317217"/>
                    </a:xfrm>
                    <a:prstGeom prst="rect">
                      <a:avLst/>
                    </a:prstGeom>
                    <a:ln>
                      <a:noFill/>
                    </a:ln>
                    <a:extLst>
                      <a:ext uri="{53640926-AAD7-44D8-BBD7-CCE9431645EC}">
                        <a14:shadowObscured xmlns:a14="http://schemas.microsoft.com/office/drawing/2010/main"/>
                      </a:ext>
                    </a:extLst>
                  </pic:spPr>
                </pic:pic>
              </a:graphicData>
            </a:graphic>
          </wp:inline>
        </w:drawing>
      </w:r>
    </w:p>
    <w:p w14:paraId="2EF383ED" w14:textId="77777777" w:rsidR="00A51A68" w:rsidRPr="0024349D" w:rsidRDefault="00A51A68">
      <w:pPr>
        <w:tabs>
          <w:tab w:val="left" w:pos="4962"/>
        </w:tabs>
        <w:spacing w:line="360" w:lineRule="auto"/>
        <w:jc w:val="both"/>
        <w:rPr>
          <w:rFonts w:ascii="Palatino Linotype" w:eastAsia="Palatino Linotype" w:hAnsi="Palatino Linotype" w:cs="Palatino Linotype"/>
          <w:color w:val="000000"/>
          <w:sz w:val="22"/>
          <w:szCs w:val="22"/>
        </w:rPr>
      </w:pPr>
    </w:p>
    <w:p w14:paraId="742EB32F" w14:textId="574FE43B"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De la revisión de cada uno de los documentos antes señalados no se localizó ningún documento en el que se señale un presupuesto asignado a panteones del Sujeto Obligado.</w:t>
      </w:r>
    </w:p>
    <w:p w14:paraId="3E9CF85A"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6F06C4A"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Aunado a lo anterior, se revisó el Plan de Desarrollo Municipal de Naucalpan de Juarez 2025-2027 y no se advirtió ninguna planeación, proyecto o meta relacionada con los panteones del Municipio.</w:t>
      </w:r>
    </w:p>
    <w:p w14:paraId="70771352"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232D12B9"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Así pues, se advierte que el área competente, es decir, la Tesorería Municipal señaló mediante informe justificado que no se asignó el presupuesto directamente a panteones, y dado que no se localizó ningún indició que permita considerar lo </w:t>
      </w:r>
      <w:r w:rsidRPr="0024349D">
        <w:rPr>
          <w:rFonts w:ascii="Palatino Linotype" w:eastAsia="Palatino Linotype" w:hAnsi="Palatino Linotype" w:cs="Palatino Linotype"/>
          <w:sz w:val="22"/>
          <w:szCs w:val="22"/>
        </w:rPr>
        <w:t>contrario</w:t>
      </w:r>
      <w:r w:rsidRPr="0024349D">
        <w:rPr>
          <w:rFonts w:ascii="Palatino Linotype" w:eastAsia="Palatino Linotype" w:hAnsi="Palatino Linotype" w:cs="Palatino Linotype"/>
          <w:color w:val="000000"/>
          <w:sz w:val="22"/>
          <w:szCs w:val="22"/>
        </w:rPr>
        <w:t>, se determina que, el Sujeto Obligado señaló las razones por las cuales no contaba con lo requerido y cumplió con el segundo párrafo, del artículo 19 de la Ley de Transparencia y Acceso a la Información Pública del Estado de México y Municipios.</w:t>
      </w:r>
    </w:p>
    <w:p w14:paraId="13340645"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4DE14E59" w14:textId="77777777" w:rsidR="00651688" w:rsidRPr="0024349D" w:rsidRDefault="00BD2DE1">
      <w:pPr>
        <w:tabs>
          <w:tab w:val="left" w:pos="4962"/>
        </w:tabs>
        <w:spacing w:line="360" w:lineRule="auto"/>
        <w:jc w:val="both"/>
        <w:rPr>
          <w:rFonts w:ascii="Palatino Linotype" w:eastAsia="Palatino Linotype" w:hAnsi="Palatino Linotype" w:cs="Palatino Linotype"/>
          <w:color w:val="000000"/>
          <w:sz w:val="22"/>
          <w:szCs w:val="22"/>
        </w:rPr>
      </w:pPr>
      <w:r w:rsidRPr="0024349D">
        <w:rPr>
          <w:rFonts w:ascii="Palatino Linotype" w:eastAsia="Palatino Linotype" w:hAnsi="Palatino Linotype" w:cs="Palatino Linotype"/>
          <w:color w:val="000000"/>
          <w:sz w:val="22"/>
          <w:szCs w:val="22"/>
        </w:rPr>
        <w:t xml:space="preserve">En consecuencia, de lo anterior, se aprecia, que si bien, en un primer momento, la respuesta no dio cuenta de lo solicitado, en un acto posterior, el Sujeto Obligado mediante informe justificado, modificó su respuesta inicial y señaló la inexistencia de la documentación dado que no se asignó presupuesto directamente a los panteones, así el Sujeto Obligado al modificar la respuesta y entregar lo solicitado en informe justificado, </w:t>
      </w:r>
      <w:r w:rsidRPr="0024349D">
        <w:rPr>
          <w:rFonts w:ascii="Palatino Linotype" w:eastAsia="Palatino Linotype" w:hAnsi="Palatino Linotype" w:cs="Palatino Linotype"/>
          <w:b/>
          <w:bCs/>
          <w:color w:val="000000"/>
          <w:sz w:val="22"/>
          <w:szCs w:val="22"/>
        </w:rPr>
        <w:t xml:space="preserve">dejó sin materia el Medio de Impugnación, por tanto es procedente SOBRESEER el Recurso de Revisión. </w:t>
      </w:r>
    </w:p>
    <w:p w14:paraId="57877888" w14:textId="77777777" w:rsidR="00651688" w:rsidRPr="0024349D" w:rsidRDefault="00651688">
      <w:pPr>
        <w:tabs>
          <w:tab w:val="left" w:pos="4962"/>
        </w:tabs>
        <w:spacing w:line="360" w:lineRule="auto"/>
        <w:jc w:val="both"/>
        <w:rPr>
          <w:rFonts w:ascii="Palatino Linotype" w:eastAsia="Palatino Linotype" w:hAnsi="Palatino Linotype" w:cs="Palatino Linotype"/>
          <w:color w:val="000000"/>
          <w:sz w:val="22"/>
          <w:szCs w:val="22"/>
        </w:rPr>
      </w:pPr>
    </w:p>
    <w:p w14:paraId="0327EF33" w14:textId="77777777" w:rsidR="00651688" w:rsidRPr="0024349D" w:rsidRDefault="00BD2DE1">
      <w:pPr>
        <w:pStyle w:val="Ttulo2"/>
      </w:pPr>
      <w:bookmarkStart w:id="18" w:name="_heading=h.z1f6jx83tjo0" w:colFirst="0" w:colLast="0"/>
      <w:bookmarkStart w:id="19" w:name="_Toc222410692"/>
      <w:bookmarkEnd w:id="18"/>
      <w:r w:rsidRPr="0024349D">
        <w:t>CUARTO. Decisión</w:t>
      </w:r>
      <w:bookmarkEnd w:id="19"/>
    </w:p>
    <w:p w14:paraId="2E101952"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3AA8358F"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 xml:space="preserve">Con fundamento en lo dispuesto en el artículo 186, fracción I, de la Ley de Transparencia y Acceso a la Información Pública del Estado de México y Municipios, se considera procedente </w:t>
      </w:r>
      <w:r w:rsidRPr="0024349D">
        <w:rPr>
          <w:rFonts w:ascii="Palatino Linotype" w:eastAsia="Palatino Linotype" w:hAnsi="Palatino Linotype" w:cs="Palatino Linotype"/>
          <w:b/>
          <w:bCs/>
          <w:sz w:val="22"/>
          <w:szCs w:val="22"/>
        </w:rPr>
        <w:t xml:space="preserve">SOBRESEER </w:t>
      </w:r>
      <w:r w:rsidRPr="0024349D">
        <w:rPr>
          <w:rFonts w:ascii="Palatino Linotype" w:eastAsia="Palatino Linotype" w:hAnsi="Palatino Linotype" w:cs="Palatino Linotype"/>
          <w:sz w:val="22"/>
          <w:szCs w:val="22"/>
        </w:rPr>
        <w:t xml:space="preserve">el Recurso de Revisión </w:t>
      </w:r>
      <w:r w:rsidRPr="0024349D">
        <w:rPr>
          <w:rFonts w:ascii="Palatino Linotype" w:eastAsia="Palatino Linotype" w:hAnsi="Palatino Linotype" w:cs="Palatino Linotype"/>
          <w:b/>
          <w:bCs/>
          <w:sz w:val="22"/>
          <w:szCs w:val="22"/>
        </w:rPr>
        <w:t>12396/INFOEM/IP/RR/2025</w:t>
      </w:r>
      <w:r w:rsidRPr="0024349D">
        <w:rPr>
          <w:rFonts w:ascii="Palatino Linotype" w:eastAsia="Palatino Linotype" w:hAnsi="Palatino Linotype" w:cs="Palatino Linotype"/>
          <w:sz w:val="22"/>
          <w:szCs w:val="22"/>
        </w:rPr>
        <w:t>, en virtud de que se actualiza la hipótesis normativa prevista en la fracción III, del artículo 192, del citado ordenamiento legal.</w:t>
      </w:r>
    </w:p>
    <w:p w14:paraId="621B8677"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55026310" w14:textId="77777777" w:rsidR="00651688" w:rsidRPr="0024349D" w:rsidRDefault="00BD2DE1">
      <w:pPr>
        <w:spacing w:line="360" w:lineRule="auto"/>
        <w:jc w:val="both"/>
        <w:rPr>
          <w:rFonts w:ascii="Palatino Linotype" w:eastAsia="Palatino Linotype" w:hAnsi="Palatino Linotype" w:cs="Palatino Linotype"/>
          <w:b/>
          <w:bCs/>
          <w:sz w:val="22"/>
          <w:szCs w:val="22"/>
          <w:u w:val="single"/>
        </w:rPr>
      </w:pPr>
      <w:r w:rsidRPr="0024349D">
        <w:rPr>
          <w:rFonts w:ascii="Palatino Linotype" w:eastAsia="Palatino Linotype" w:hAnsi="Palatino Linotype" w:cs="Palatino Linotype"/>
          <w:b/>
          <w:bCs/>
          <w:sz w:val="22"/>
          <w:szCs w:val="22"/>
          <w:u w:val="single"/>
        </w:rPr>
        <w:t>Términos de la Resolución para conocimiento de la parte Recurrente.</w:t>
      </w:r>
    </w:p>
    <w:p w14:paraId="579F42DD" w14:textId="77777777" w:rsidR="00651688" w:rsidRPr="0024349D" w:rsidRDefault="00651688">
      <w:pPr>
        <w:spacing w:line="360" w:lineRule="auto"/>
        <w:jc w:val="both"/>
        <w:rPr>
          <w:rFonts w:ascii="Palatino Linotype" w:eastAsia="Palatino Linotype" w:hAnsi="Palatino Linotype" w:cs="Palatino Linotype"/>
          <w:sz w:val="22"/>
          <w:szCs w:val="22"/>
          <w:u w:val="single"/>
        </w:rPr>
      </w:pPr>
    </w:p>
    <w:p w14:paraId="13D50143" w14:textId="77777777" w:rsidR="00651688" w:rsidRPr="0024349D" w:rsidRDefault="00BD2DE1">
      <w:pPr>
        <w:spacing w:line="360" w:lineRule="auto"/>
        <w:jc w:val="both"/>
        <w:rPr>
          <w:rFonts w:ascii="Palatino Linotype" w:eastAsia="Palatino Linotype" w:hAnsi="Palatino Linotype" w:cs="Palatino Linotype"/>
          <w:sz w:val="22"/>
          <w:szCs w:val="22"/>
          <w:u w:val="single"/>
        </w:rPr>
      </w:pPr>
      <w:r w:rsidRPr="0024349D">
        <w:rPr>
          <w:rFonts w:ascii="Palatino Linotype" w:eastAsia="Palatino Linotype" w:hAnsi="Palatino Linotype" w:cs="Palatino Linotype"/>
          <w:sz w:val="22"/>
          <w:szCs w:val="22"/>
          <w:u w:val="single"/>
        </w:rPr>
        <w:lastRenderedPageBreak/>
        <w:t xml:space="preserve">Se le hace del conocimiento a la parte Recurrente, que, en el presente caso, en un primer momento se le concedió la razón, pues en respuesta el Sujeto Obligado no daba cuenta de lo solicitado respecto a los panteones, sin embargo, durante la sustanciación del Medio de Impugnación, modificó su respuesta inicial y señaló que no existe un presupuesto asignado directamente a los panteones , lo cual dejó sin materia el presente Recurso de Revisión. </w:t>
      </w:r>
    </w:p>
    <w:p w14:paraId="6D9E2D2C" w14:textId="77777777" w:rsidR="00651688" w:rsidRPr="0024349D" w:rsidRDefault="00651688">
      <w:pPr>
        <w:spacing w:line="360" w:lineRule="auto"/>
        <w:jc w:val="both"/>
        <w:rPr>
          <w:rFonts w:ascii="Palatino Linotype" w:eastAsia="Palatino Linotype" w:hAnsi="Palatino Linotype" w:cs="Palatino Linotype"/>
          <w:sz w:val="22"/>
          <w:szCs w:val="22"/>
          <w:u w:val="single"/>
        </w:rPr>
      </w:pPr>
    </w:p>
    <w:p w14:paraId="6837D5E9" w14:textId="77777777" w:rsidR="00651688" w:rsidRPr="0024349D" w:rsidRDefault="00BD2DE1">
      <w:pPr>
        <w:spacing w:line="360" w:lineRule="auto"/>
        <w:jc w:val="both"/>
        <w:rPr>
          <w:rFonts w:ascii="Palatino Linotype" w:eastAsia="Palatino Linotype" w:hAnsi="Palatino Linotype" w:cs="Palatino Linotype"/>
          <w:sz w:val="22"/>
          <w:szCs w:val="22"/>
          <w:u w:val="single"/>
        </w:rPr>
      </w:pPr>
      <w:r w:rsidRPr="0024349D">
        <w:rPr>
          <w:rFonts w:ascii="Palatino Linotype" w:eastAsia="Palatino Linotype" w:hAnsi="Palatino Linotype" w:cs="Palatino Linotype"/>
          <w:sz w:val="22"/>
          <w:szCs w:val="22"/>
          <w:u w:val="single"/>
        </w:rPr>
        <w:t xml:space="preserve"> Finalmente, la labor de este Instituto, es apoyar a la población a acceder a la información pública y garantizar la protección de sus datos personales.</w:t>
      </w:r>
    </w:p>
    <w:p w14:paraId="41163F42" w14:textId="77777777" w:rsidR="00651688" w:rsidRPr="0024349D" w:rsidRDefault="00651688">
      <w:pPr>
        <w:spacing w:line="360" w:lineRule="auto"/>
        <w:jc w:val="both"/>
        <w:rPr>
          <w:rFonts w:ascii="Palatino Linotype" w:eastAsia="Palatino Linotype" w:hAnsi="Palatino Linotype" w:cs="Palatino Linotype"/>
          <w:color w:val="000000"/>
          <w:sz w:val="22"/>
          <w:szCs w:val="22"/>
        </w:rPr>
      </w:pPr>
    </w:p>
    <w:p w14:paraId="0D85AB3C"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Por lo expuesto y fundado, este Pleno:</w:t>
      </w:r>
    </w:p>
    <w:p w14:paraId="5C06D19F"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0CA49CC7" w14:textId="77777777" w:rsidR="00651688" w:rsidRPr="0024349D" w:rsidRDefault="00BD2DE1">
      <w:pPr>
        <w:pStyle w:val="Ttulo1"/>
      </w:pPr>
      <w:bookmarkStart w:id="20" w:name="_heading=h.u56ijrds1lw7" w:colFirst="0" w:colLast="0"/>
      <w:bookmarkStart w:id="21" w:name="_Toc222410693"/>
      <w:bookmarkEnd w:id="20"/>
      <w:r w:rsidRPr="0024349D">
        <w:t>R E S U E L V E</w:t>
      </w:r>
      <w:bookmarkEnd w:id="21"/>
    </w:p>
    <w:p w14:paraId="221F33DE"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2215A09F"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b/>
          <w:bCs/>
          <w:sz w:val="22"/>
          <w:szCs w:val="22"/>
        </w:rPr>
        <w:t>PRIMERO</w:t>
      </w:r>
      <w:r w:rsidRPr="0024349D">
        <w:rPr>
          <w:rFonts w:ascii="Palatino Linotype" w:eastAsia="Palatino Linotype" w:hAnsi="Palatino Linotype" w:cs="Palatino Linotype"/>
          <w:sz w:val="22"/>
          <w:szCs w:val="22"/>
        </w:rPr>
        <w:t xml:space="preserve">. Se </w:t>
      </w:r>
      <w:r w:rsidRPr="0024349D">
        <w:rPr>
          <w:rFonts w:ascii="Palatino Linotype" w:eastAsia="Palatino Linotype" w:hAnsi="Palatino Linotype" w:cs="Palatino Linotype"/>
          <w:b/>
          <w:bCs/>
          <w:sz w:val="22"/>
          <w:szCs w:val="22"/>
        </w:rPr>
        <w:t xml:space="preserve">SOBRESEE </w:t>
      </w:r>
      <w:r w:rsidRPr="0024349D">
        <w:rPr>
          <w:rFonts w:ascii="Palatino Linotype" w:eastAsia="Palatino Linotype" w:hAnsi="Palatino Linotype" w:cs="Palatino Linotype"/>
          <w:sz w:val="22"/>
          <w:szCs w:val="22"/>
        </w:rPr>
        <w:t xml:space="preserve">el Recurso de Revisión 12396/INFOEM/IP/RR/2025, en términos del artículo 192, fracción III, de la Ley de Transparencia y Acceso a la Información Pública del Estado de México y Municipios, porque el Sujeto Obligado, al modificar la respuesta inicial, mediante Informe Justificado, el Medio de Impugnación quedó sin materia, de conformidad con los Considerandos TERCERO y CUARTO de la presente Resolución.    </w:t>
      </w:r>
    </w:p>
    <w:p w14:paraId="32BFA67D"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7D62E21F"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b/>
          <w:bCs/>
          <w:sz w:val="22"/>
          <w:szCs w:val="22"/>
        </w:rPr>
        <w:t>SEGUNDO</w:t>
      </w:r>
      <w:r w:rsidRPr="0024349D">
        <w:rPr>
          <w:rFonts w:ascii="Palatino Linotype" w:eastAsia="Palatino Linotype" w:hAnsi="Palatino Linotype" w:cs="Palatino Linotype"/>
          <w:sz w:val="22"/>
          <w:szCs w:val="22"/>
        </w:rPr>
        <w:t xml:space="preserve">. </w:t>
      </w:r>
      <w:r w:rsidRPr="0024349D">
        <w:rPr>
          <w:rFonts w:ascii="Palatino Linotype" w:eastAsia="Palatino Linotype" w:hAnsi="Palatino Linotype" w:cs="Palatino Linotype"/>
          <w:b/>
          <w:bCs/>
          <w:sz w:val="22"/>
          <w:szCs w:val="22"/>
        </w:rPr>
        <w:t>NOTIFÍQUESE POR SAIMEX</w:t>
      </w:r>
      <w:r w:rsidRPr="0024349D">
        <w:rPr>
          <w:rFonts w:ascii="Palatino Linotype" w:eastAsia="Palatino Linotype" w:hAnsi="Palatino Linotype" w:cs="Palatino Linotype"/>
          <w:sz w:val="22"/>
          <w:szCs w:val="22"/>
        </w:rPr>
        <w:t xml:space="preserve"> la presente resolución al Titular de la Unidad de Transparencia del Sujeto Obligado.</w:t>
      </w:r>
    </w:p>
    <w:p w14:paraId="5589C1DC" w14:textId="77777777" w:rsidR="00651688" w:rsidRPr="0024349D" w:rsidRDefault="00651688">
      <w:pPr>
        <w:spacing w:line="360" w:lineRule="auto"/>
        <w:jc w:val="both"/>
        <w:rPr>
          <w:rFonts w:ascii="Palatino Linotype" w:eastAsia="Palatino Linotype" w:hAnsi="Palatino Linotype" w:cs="Palatino Linotype"/>
          <w:sz w:val="22"/>
          <w:szCs w:val="22"/>
        </w:rPr>
      </w:pPr>
    </w:p>
    <w:p w14:paraId="20DF05D7" w14:textId="77777777" w:rsidR="00651688" w:rsidRPr="0024349D"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b/>
          <w:bCs/>
          <w:sz w:val="22"/>
          <w:szCs w:val="22"/>
        </w:rPr>
        <w:t>TERCERO</w:t>
      </w:r>
      <w:r w:rsidRPr="0024349D">
        <w:rPr>
          <w:rFonts w:ascii="Palatino Linotype" w:eastAsia="Palatino Linotype" w:hAnsi="Palatino Linotype" w:cs="Palatino Linotype"/>
          <w:sz w:val="22"/>
          <w:szCs w:val="22"/>
        </w:rPr>
        <w:t xml:space="preserve">. </w:t>
      </w:r>
      <w:r w:rsidRPr="0024349D">
        <w:rPr>
          <w:rFonts w:ascii="Palatino Linotype" w:eastAsia="Palatino Linotype" w:hAnsi="Palatino Linotype" w:cs="Palatino Linotype"/>
          <w:b/>
          <w:bCs/>
          <w:sz w:val="22"/>
          <w:szCs w:val="22"/>
        </w:rPr>
        <w:t>NOTIFÍQUESE POR SAIMEX</w:t>
      </w:r>
      <w:r w:rsidRPr="0024349D">
        <w:rPr>
          <w:rFonts w:ascii="Palatino Linotype" w:eastAsia="Palatino Linotype" w:hAnsi="Palatino Linotype" w:cs="Palatino Linotype"/>
          <w:sz w:val="22"/>
          <w:szCs w:val="22"/>
        </w:rPr>
        <w:t xml:space="preserve"> a la persona Recurrente la presente Resolución, asimismo, se hace de su conocimiento que de conformidad con lo establecido en el artículo </w:t>
      </w:r>
      <w:r w:rsidRPr="0024349D">
        <w:rPr>
          <w:rFonts w:ascii="Palatino Linotype" w:eastAsia="Palatino Linotype" w:hAnsi="Palatino Linotype" w:cs="Palatino Linotype"/>
          <w:sz w:val="22"/>
          <w:szCs w:val="22"/>
        </w:rPr>
        <w:lastRenderedPageBreak/>
        <w:t>196 de la Ley de Transparencia y Acceso a la Información Pública del Estado de México y Municipios podrá promover el Juicio de Amparo en los términos de las leyes aplicables.</w:t>
      </w:r>
    </w:p>
    <w:p w14:paraId="26EFD8AE" w14:textId="77777777" w:rsidR="00651688" w:rsidRPr="0024349D" w:rsidRDefault="00651688">
      <w:pPr>
        <w:spacing w:line="360" w:lineRule="auto"/>
        <w:jc w:val="both"/>
        <w:rPr>
          <w:rFonts w:ascii="Palatino Linotype" w:eastAsia="Palatino Linotype" w:hAnsi="Palatino Linotype" w:cs="Palatino Linotype"/>
          <w:b/>
          <w:bCs/>
          <w:sz w:val="22"/>
          <w:szCs w:val="22"/>
        </w:rPr>
      </w:pPr>
    </w:p>
    <w:p w14:paraId="5A58614D" w14:textId="1B846F80" w:rsidR="00651688" w:rsidRDefault="00BD2DE1">
      <w:pPr>
        <w:spacing w:line="360" w:lineRule="auto"/>
        <w:jc w:val="both"/>
        <w:rPr>
          <w:rFonts w:ascii="Palatino Linotype" w:eastAsia="Palatino Linotype" w:hAnsi="Palatino Linotype" w:cs="Palatino Linotype"/>
          <w:sz w:val="22"/>
          <w:szCs w:val="22"/>
        </w:rPr>
      </w:pPr>
      <w:r w:rsidRPr="0024349D">
        <w:rPr>
          <w:rFonts w:ascii="Palatino Linotype" w:eastAsia="Palatino Linotype" w:hAnsi="Palatino Linotype" w:cs="Palatino Linotype"/>
          <w:sz w:val="22"/>
          <w:szCs w:val="22"/>
        </w:rPr>
        <w:t xml:space="preserve">ASÍ LO RESUELVE, POR </w:t>
      </w:r>
      <w:r w:rsidRPr="0024349D">
        <w:rPr>
          <w:rFonts w:ascii="Palatino Linotype" w:eastAsia="Palatino Linotype" w:hAnsi="Palatino Linotype" w:cs="Palatino Linotype"/>
          <w:b/>
          <w:bCs/>
          <w:sz w:val="22"/>
          <w:szCs w:val="22"/>
        </w:rPr>
        <w:t>UNANIMIDAD</w:t>
      </w:r>
      <w:r w:rsidRPr="0024349D">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14:paraId="0B99BBDD" w14:textId="77777777" w:rsidR="00651688" w:rsidRDefault="00651688">
      <w:pPr>
        <w:spacing w:line="360" w:lineRule="auto"/>
        <w:jc w:val="both"/>
        <w:rPr>
          <w:rFonts w:ascii="Palatino Linotype" w:eastAsia="Palatino Linotype" w:hAnsi="Palatino Linotype" w:cs="Palatino Linotype"/>
          <w:sz w:val="22"/>
          <w:szCs w:val="22"/>
        </w:rPr>
      </w:pPr>
    </w:p>
    <w:p w14:paraId="23C8CE8D" w14:textId="77777777" w:rsidR="00651688" w:rsidRDefault="00651688">
      <w:pPr>
        <w:spacing w:line="360" w:lineRule="auto"/>
        <w:jc w:val="both"/>
        <w:rPr>
          <w:rFonts w:ascii="Palatino Linotype" w:eastAsia="Palatino Linotype" w:hAnsi="Palatino Linotype" w:cs="Palatino Linotype"/>
          <w:sz w:val="22"/>
          <w:szCs w:val="22"/>
        </w:rPr>
      </w:pPr>
    </w:p>
    <w:p w14:paraId="69A8B2B7" w14:textId="77777777" w:rsidR="00651688" w:rsidRDefault="00651688">
      <w:pPr>
        <w:spacing w:line="360" w:lineRule="auto"/>
        <w:jc w:val="both"/>
        <w:rPr>
          <w:rFonts w:ascii="Palatino Linotype" w:eastAsia="Palatino Linotype" w:hAnsi="Palatino Linotype" w:cs="Palatino Linotype"/>
          <w:sz w:val="22"/>
          <w:szCs w:val="22"/>
        </w:rPr>
      </w:pPr>
    </w:p>
    <w:p w14:paraId="07DCF8DD" w14:textId="77777777" w:rsidR="00651688" w:rsidRDefault="00651688">
      <w:pPr>
        <w:spacing w:line="360" w:lineRule="auto"/>
        <w:jc w:val="both"/>
        <w:rPr>
          <w:rFonts w:ascii="Palatino Linotype" w:eastAsia="Palatino Linotype" w:hAnsi="Palatino Linotype" w:cs="Palatino Linotype"/>
          <w:sz w:val="22"/>
          <w:szCs w:val="22"/>
        </w:rPr>
      </w:pPr>
    </w:p>
    <w:p w14:paraId="4343FCB8" w14:textId="77777777" w:rsidR="00651688" w:rsidRDefault="00651688">
      <w:pPr>
        <w:spacing w:line="360" w:lineRule="auto"/>
        <w:jc w:val="both"/>
        <w:rPr>
          <w:rFonts w:ascii="Palatino Linotype" w:eastAsia="Palatino Linotype" w:hAnsi="Palatino Linotype" w:cs="Palatino Linotype"/>
          <w:sz w:val="22"/>
          <w:szCs w:val="22"/>
        </w:rPr>
      </w:pPr>
    </w:p>
    <w:p w14:paraId="2242EECB" w14:textId="77777777" w:rsidR="00651688" w:rsidRDefault="00651688">
      <w:pPr>
        <w:spacing w:line="360" w:lineRule="auto"/>
        <w:jc w:val="both"/>
        <w:rPr>
          <w:rFonts w:ascii="Palatino Linotype" w:eastAsia="Palatino Linotype" w:hAnsi="Palatino Linotype" w:cs="Palatino Linotype"/>
          <w:sz w:val="22"/>
          <w:szCs w:val="22"/>
        </w:rPr>
      </w:pPr>
    </w:p>
    <w:p w14:paraId="7CCFB450" w14:textId="77777777" w:rsidR="00651688" w:rsidRDefault="00651688">
      <w:pPr>
        <w:spacing w:line="360" w:lineRule="auto"/>
        <w:jc w:val="both"/>
        <w:rPr>
          <w:rFonts w:ascii="Palatino Linotype" w:eastAsia="Palatino Linotype" w:hAnsi="Palatino Linotype" w:cs="Palatino Linotype"/>
          <w:b/>
          <w:bCs/>
          <w:sz w:val="22"/>
          <w:szCs w:val="22"/>
        </w:rPr>
      </w:pPr>
    </w:p>
    <w:p w14:paraId="474567B5" w14:textId="77777777" w:rsidR="00651688" w:rsidRDefault="00651688">
      <w:pPr>
        <w:spacing w:line="360" w:lineRule="auto"/>
        <w:jc w:val="both"/>
        <w:rPr>
          <w:rFonts w:ascii="Palatino Linotype" w:eastAsia="Palatino Linotype" w:hAnsi="Palatino Linotype" w:cs="Palatino Linotype"/>
          <w:sz w:val="22"/>
          <w:szCs w:val="22"/>
        </w:rPr>
      </w:pPr>
    </w:p>
    <w:p w14:paraId="4CA87454" w14:textId="77777777" w:rsidR="00651688" w:rsidRDefault="00651688">
      <w:pPr>
        <w:spacing w:line="360" w:lineRule="auto"/>
        <w:jc w:val="both"/>
        <w:rPr>
          <w:rFonts w:ascii="Palatino Linotype" w:eastAsia="Palatino Linotype" w:hAnsi="Palatino Linotype" w:cs="Palatino Linotype"/>
          <w:sz w:val="22"/>
          <w:szCs w:val="22"/>
        </w:rPr>
      </w:pPr>
    </w:p>
    <w:p w14:paraId="758391BB" w14:textId="77777777" w:rsidR="00651688" w:rsidRDefault="00651688">
      <w:pPr>
        <w:spacing w:line="360" w:lineRule="auto"/>
        <w:jc w:val="both"/>
        <w:rPr>
          <w:rFonts w:ascii="Palatino Linotype" w:eastAsia="Palatino Linotype" w:hAnsi="Palatino Linotype" w:cs="Palatino Linotype"/>
          <w:sz w:val="22"/>
          <w:szCs w:val="22"/>
        </w:rPr>
      </w:pPr>
    </w:p>
    <w:p w14:paraId="537A9D42" w14:textId="77777777" w:rsidR="00651688" w:rsidRDefault="00651688">
      <w:pPr>
        <w:spacing w:line="360" w:lineRule="auto"/>
        <w:ind w:right="-93"/>
        <w:jc w:val="both"/>
        <w:rPr>
          <w:rFonts w:ascii="Palatino Linotype" w:eastAsia="Palatino Linotype" w:hAnsi="Palatino Linotype" w:cs="Palatino Linotype"/>
          <w:sz w:val="22"/>
          <w:szCs w:val="22"/>
        </w:rPr>
      </w:pPr>
    </w:p>
    <w:p w14:paraId="21EFBD3A" w14:textId="77777777" w:rsidR="00651688" w:rsidRDefault="00651688">
      <w:pPr>
        <w:spacing w:line="360" w:lineRule="auto"/>
        <w:jc w:val="both"/>
        <w:rPr>
          <w:rFonts w:ascii="Palatino Linotype" w:eastAsia="Palatino Linotype" w:hAnsi="Palatino Linotype" w:cs="Palatino Linotype"/>
          <w:sz w:val="22"/>
          <w:szCs w:val="22"/>
        </w:rPr>
      </w:pPr>
    </w:p>
    <w:p w14:paraId="053B2228" w14:textId="77777777" w:rsidR="00651688" w:rsidRDefault="00651688">
      <w:pPr>
        <w:spacing w:line="360" w:lineRule="auto"/>
        <w:jc w:val="both"/>
        <w:rPr>
          <w:rFonts w:ascii="Palatino Linotype" w:eastAsia="Palatino Linotype" w:hAnsi="Palatino Linotype" w:cs="Palatino Linotype"/>
          <w:sz w:val="22"/>
          <w:szCs w:val="22"/>
        </w:rPr>
      </w:pPr>
    </w:p>
    <w:p w14:paraId="489A01F7" w14:textId="77777777" w:rsidR="00651688" w:rsidRDefault="00651688">
      <w:pPr>
        <w:spacing w:line="360" w:lineRule="auto"/>
        <w:rPr>
          <w:rFonts w:ascii="Palatino Linotype" w:eastAsia="Palatino Linotype" w:hAnsi="Palatino Linotype" w:cs="Palatino Linotype"/>
          <w:sz w:val="22"/>
          <w:szCs w:val="22"/>
        </w:rPr>
      </w:pPr>
    </w:p>
    <w:p w14:paraId="574A4BBA" w14:textId="77777777" w:rsidR="00651688" w:rsidRDefault="00651688">
      <w:pPr>
        <w:spacing w:line="360" w:lineRule="auto"/>
        <w:rPr>
          <w:rFonts w:ascii="Palatino Linotype" w:eastAsia="Palatino Linotype" w:hAnsi="Palatino Linotype" w:cs="Palatino Linotype"/>
          <w:sz w:val="22"/>
          <w:szCs w:val="22"/>
        </w:rPr>
      </w:pPr>
    </w:p>
    <w:p w14:paraId="58480718" w14:textId="77777777" w:rsidR="00651688" w:rsidRDefault="00651688">
      <w:pPr>
        <w:spacing w:line="360" w:lineRule="auto"/>
        <w:rPr>
          <w:rFonts w:ascii="Palatino Linotype" w:eastAsia="Palatino Linotype" w:hAnsi="Palatino Linotype" w:cs="Palatino Linotype"/>
          <w:sz w:val="22"/>
          <w:szCs w:val="22"/>
        </w:rPr>
      </w:pPr>
    </w:p>
    <w:p w14:paraId="5E450C78" w14:textId="77777777" w:rsidR="00651688" w:rsidRDefault="00651688">
      <w:pPr>
        <w:spacing w:line="360" w:lineRule="auto"/>
        <w:rPr>
          <w:rFonts w:ascii="Palatino Linotype" w:eastAsia="Palatino Linotype" w:hAnsi="Palatino Linotype" w:cs="Palatino Linotype"/>
          <w:sz w:val="22"/>
          <w:szCs w:val="22"/>
        </w:rPr>
      </w:pPr>
    </w:p>
    <w:p w14:paraId="19FC2EE3" w14:textId="77777777" w:rsidR="00651688" w:rsidRDefault="00651688">
      <w:pPr>
        <w:spacing w:line="360" w:lineRule="auto"/>
        <w:rPr>
          <w:rFonts w:ascii="Palatino Linotype" w:eastAsia="Palatino Linotype" w:hAnsi="Palatino Linotype" w:cs="Palatino Linotype"/>
          <w:sz w:val="22"/>
          <w:szCs w:val="22"/>
        </w:rPr>
      </w:pPr>
    </w:p>
    <w:p w14:paraId="7A9F8564" w14:textId="77777777" w:rsidR="00651688" w:rsidRDefault="00651688">
      <w:pPr>
        <w:spacing w:line="360" w:lineRule="auto"/>
        <w:rPr>
          <w:rFonts w:ascii="Palatino Linotype" w:eastAsia="Palatino Linotype" w:hAnsi="Palatino Linotype" w:cs="Palatino Linotype"/>
          <w:sz w:val="22"/>
          <w:szCs w:val="22"/>
        </w:rPr>
      </w:pPr>
    </w:p>
    <w:p w14:paraId="54CD3FBE" w14:textId="77777777" w:rsidR="00651688" w:rsidRDefault="00651688">
      <w:pPr>
        <w:spacing w:line="360" w:lineRule="auto"/>
        <w:rPr>
          <w:rFonts w:ascii="Palatino Linotype" w:eastAsia="Palatino Linotype" w:hAnsi="Palatino Linotype" w:cs="Palatino Linotype"/>
          <w:sz w:val="22"/>
          <w:szCs w:val="22"/>
        </w:rPr>
      </w:pPr>
    </w:p>
    <w:p w14:paraId="611343F3" w14:textId="77777777" w:rsidR="00651688" w:rsidRDefault="00651688">
      <w:pPr>
        <w:spacing w:line="360" w:lineRule="auto"/>
        <w:rPr>
          <w:rFonts w:ascii="Palatino Linotype" w:eastAsia="Palatino Linotype" w:hAnsi="Palatino Linotype" w:cs="Palatino Linotype"/>
          <w:sz w:val="22"/>
          <w:szCs w:val="22"/>
        </w:rPr>
      </w:pPr>
    </w:p>
    <w:p w14:paraId="3B2298A5" w14:textId="77777777" w:rsidR="00651688" w:rsidRDefault="00651688">
      <w:pPr>
        <w:spacing w:line="360" w:lineRule="auto"/>
        <w:rPr>
          <w:rFonts w:ascii="Palatino Linotype" w:eastAsia="Palatino Linotype" w:hAnsi="Palatino Linotype" w:cs="Palatino Linotype"/>
          <w:sz w:val="22"/>
          <w:szCs w:val="22"/>
        </w:rPr>
      </w:pPr>
    </w:p>
    <w:p w14:paraId="3946C3D7" w14:textId="77777777" w:rsidR="00651688" w:rsidRDefault="00651688">
      <w:pPr>
        <w:spacing w:line="360" w:lineRule="auto"/>
        <w:jc w:val="both"/>
        <w:rPr>
          <w:rFonts w:ascii="Palatino Linotype" w:eastAsia="Palatino Linotype" w:hAnsi="Palatino Linotype" w:cs="Palatino Linotype"/>
          <w:color w:val="000000"/>
          <w:sz w:val="22"/>
          <w:szCs w:val="22"/>
        </w:rPr>
      </w:pPr>
    </w:p>
    <w:sectPr w:rsidR="00651688">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2474C" w14:textId="77777777" w:rsidR="009567CA" w:rsidRDefault="009567CA">
      <w:r>
        <w:separator/>
      </w:r>
    </w:p>
  </w:endnote>
  <w:endnote w:type="continuationSeparator" w:id="0">
    <w:p w14:paraId="7CC0FDAB" w14:textId="77777777" w:rsidR="009567CA" w:rsidRDefault="00956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068FEDC-9623-4417-B4F6-D98D2847DF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D2B0721-7F03-4C25-81AC-349B1CE4FC9B}"/>
    <w:embedBold r:id="rId3" w:fontKey="{8E4FC5D8-0AA3-494F-9A54-345B9FD168D8}"/>
    <w:embedItalic r:id="rId4" w:fontKey="{A31BC458-7584-48E9-B2F2-4E84125759C7}"/>
    <w:embedBoldItalic r:id="rId5" w:fontKey="{F8B1B026-CE2C-4453-A34D-76E43BC2524C}"/>
  </w:font>
  <w:font w:name="Calibri">
    <w:panose1 w:val="020F0502020204030204"/>
    <w:charset w:val="00"/>
    <w:family w:val="swiss"/>
    <w:pitch w:val="variable"/>
    <w:sig w:usb0="E4002EFF" w:usb1="C000247B" w:usb2="00000009" w:usb3="00000000" w:csb0="000001FF" w:csb1="00000000"/>
    <w:embedRegular r:id="rId6" w:fontKey="{C54F5BE6-149E-4E77-BD99-132D10FBE596}"/>
    <w:embedBold r:id="rId7" w:fontKey="{86D79E02-1BC1-4618-9236-1F30A559A120}"/>
  </w:font>
  <w:font w:name="Century Gothic">
    <w:panose1 w:val="020B0502020202020204"/>
    <w:charset w:val="00"/>
    <w:family w:val="swiss"/>
    <w:pitch w:val="variable"/>
    <w:sig w:usb0="00000287" w:usb1="00000000" w:usb2="00000000" w:usb3="00000000" w:csb0="0000009F" w:csb1="00000000"/>
    <w:embedRegular r:id="rId8" w:fontKey="{03CA58CF-10E3-4F5C-AE9F-B3832439F282}"/>
  </w:font>
  <w:font w:name="Segoe UI">
    <w:panose1 w:val="020B0502040204020203"/>
    <w:charset w:val="00"/>
    <w:family w:val="swiss"/>
    <w:pitch w:val="variable"/>
    <w:sig w:usb0="E4002EFF" w:usb1="C000E47F" w:usb2="00000009" w:usb3="00000000" w:csb0="000001FF" w:csb1="00000000"/>
    <w:embedRegular r:id="rId9" w:fontKey="{EB22109C-13DC-47B7-A0FE-B96013B522E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10" w:fontKey="{6656C09A-251B-4EC6-8A0C-3B31C98E5780}"/>
  </w:font>
  <w:font w:name="Tahoma">
    <w:panose1 w:val="020B0604030504040204"/>
    <w:charset w:val="00"/>
    <w:family w:val="swiss"/>
    <w:pitch w:val="variable"/>
    <w:sig w:usb0="E1002EFF" w:usb1="C000605B" w:usb2="00000029" w:usb3="00000000" w:csb0="000101FF" w:csb1="00000000"/>
    <w:embedBold r:id="rId11" w:fontKey="{75777A37-9963-4EDC-92C6-A48744CF7E33}"/>
  </w:font>
  <w:font w:name="Garamond">
    <w:panose1 w:val="02020404030301010803"/>
    <w:charset w:val="00"/>
    <w:family w:val="roman"/>
    <w:pitch w:val="variable"/>
    <w:sig w:usb0="00000287" w:usb1="00000000" w:usb2="00000000" w:usb3="00000000" w:csb0="0000009F" w:csb1="00000000"/>
    <w:embedRegular r:id="rId12" w:fontKey="{53233906-EDE7-4F73-8706-1E7DE45D4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5685" w14:textId="77777777" w:rsidR="00651688" w:rsidRDefault="00651688">
    <w:pPr>
      <w:pBdr>
        <w:top w:val="nil"/>
        <w:left w:val="nil"/>
        <w:bottom w:val="nil"/>
        <w:right w:val="nil"/>
        <w:between w:val="nil"/>
      </w:pBdr>
      <w:tabs>
        <w:tab w:val="center" w:pos="4419"/>
        <w:tab w:val="right" w:pos="8838"/>
      </w:tabs>
      <w:jc w:val="right"/>
      <w:rPr>
        <w:color w:val="000000"/>
        <w:sz w:val="26"/>
        <w:szCs w:val="26"/>
      </w:rPr>
    </w:pPr>
  </w:p>
  <w:p w14:paraId="46F71D75" w14:textId="77777777" w:rsidR="00651688" w:rsidRDefault="00BD2DE1">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3034A">
      <w:rPr>
        <w:b/>
        <w:bCs/>
        <w:noProof/>
        <w:color w:val="000000"/>
        <w:sz w:val="24"/>
        <w:szCs w:val="24"/>
      </w:rPr>
      <w:t>31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3034A">
      <w:rPr>
        <w:b/>
        <w:bCs/>
        <w:noProof/>
        <w:color w:val="000000"/>
        <w:sz w:val="24"/>
        <w:szCs w:val="24"/>
      </w:rPr>
      <w:t>32</w:t>
    </w:r>
    <w:r>
      <w:rPr>
        <w:b/>
        <w:bCs/>
        <w:color w:val="000000"/>
        <w:sz w:val="24"/>
        <w:szCs w:val="24"/>
      </w:rPr>
      <w:fldChar w:fldCharType="end"/>
    </w:r>
  </w:p>
  <w:p w14:paraId="1131F5FC" w14:textId="77777777" w:rsidR="00651688" w:rsidRDefault="0065168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69EE5" w14:textId="77777777" w:rsidR="00651688" w:rsidRDefault="00651688">
    <w:pPr>
      <w:pBdr>
        <w:top w:val="nil"/>
        <w:left w:val="nil"/>
        <w:bottom w:val="nil"/>
        <w:right w:val="nil"/>
        <w:between w:val="nil"/>
      </w:pBdr>
      <w:tabs>
        <w:tab w:val="center" w:pos="4419"/>
        <w:tab w:val="right" w:pos="8838"/>
      </w:tabs>
      <w:jc w:val="right"/>
      <w:rPr>
        <w:color w:val="000000"/>
      </w:rPr>
    </w:pPr>
  </w:p>
  <w:p w14:paraId="156AA424" w14:textId="77777777" w:rsidR="00651688" w:rsidRDefault="00BD2DE1">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3034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3034A">
      <w:rPr>
        <w:b/>
        <w:bCs/>
        <w:noProof/>
        <w:color w:val="000000"/>
        <w:sz w:val="24"/>
        <w:szCs w:val="24"/>
      </w:rPr>
      <w:t>32</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C4B6F" w14:textId="77777777" w:rsidR="009567CA" w:rsidRDefault="009567CA">
      <w:r>
        <w:separator/>
      </w:r>
    </w:p>
  </w:footnote>
  <w:footnote w:type="continuationSeparator" w:id="0">
    <w:p w14:paraId="0BD67900" w14:textId="77777777" w:rsidR="009567CA" w:rsidRDefault="00956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5173" w14:textId="77777777" w:rsidR="00651688" w:rsidRDefault="0065168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5"/>
      <w:tblW w:w="6366" w:type="dxa"/>
      <w:tblInd w:w="2709" w:type="dxa"/>
      <w:tblBorders>
        <w:top w:val="nil"/>
        <w:left w:val="nil"/>
        <w:bottom w:val="nil"/>
        <w:right w:val="nil"/>
        <w:insideH w:val="nil"/>
        <w:insideV w:val="nil"/>
      </w:tblBorders>
      <w:tblLayout w:type="fixed"/>
      <w:tblLook w:val="0400" w:firstRow="0" w:lastRow="0" w:firstColumn="0" w:lastColumn="0" w:noHBand="0" w:noVBand="1"/>
    </w:tblPr>
    <w:tblGrid>
      <w:gridCol w:w="2456"/>
      <w:gridCol w:w="3910"/>
    </w:tblGrid>
    <w:tr w:rsidR="00651688" w14:paraId="601251B1" w14:textId="77777777">
      <w:trPr>
        <w:trHeight w:val="168"/>
      </w:trPr>
      <w:tc>
        <w:tcPr>
          <w:tcW w:w="2456" w:type="dxa"/>
        </w:tcPr>
        <w:p w14:paraId="6D949280"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910" w:type="dxa"/>
        </w:tcPr>
        <w:p w14:paraId="77C51DBA"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12396/INFOEM/IP/RR/2025</w:t>
          </w:r>
        </w:p>
      </w:tc>
    </w:tr>
    <w:tr w:rsidR="00651688" w14:paraId="320BE2E8" w14:textId="77777777">
      <w:trPr>
        <w:trHeight w:val="168"/>
      </w:trPr>
      <w:tc>
        <w:tcPr>
          <w:tcW w:w="2456" w:type="dxa"/>
        </w:tcPr>
        <w:p w14:paraId="39D4ED82"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910" w:type="dxa"/>
        </w:tcPr>
        <w:p w14:paraId="38A877E2"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Naucalpan de Juárez</w:t>
          </w:r>
        </w:p>
      </w:tc>
    </w:tr>
    <w:tr w:rsidR="00651688" w14:paraId="2F00937D" w14:textId="77777777">
      <w:trPr>
        <w:trHeight w:val="161"/>
      </w:trPr>
      <w:tc>
        <w:tcPr>
          <w:tcW w:w="2456" w:type="dxa"/>
        </w:tcPr>
        <w:p w14:paraId="0D0CB4E7"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910" w:type="dxa"/>
        </w:tcPr>
        <w:p w14:paraId="3B84B47F"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6D0D36EA" w14:textId="77777777" w:rsidR="00651688" w:rsidRDefault="00651688">
          <w:pPr>
            <w:tabs>
              <w:tab w:val="left" w:pos="1735"/>
              <w:tab w:val="right" w:pos="8838"/>
            </w:tabs>
            <w:spacing w:line="276" w:lineRule="auto"/>
            <w:ind w:left="-28"/>
            <w:jc w:val="both"/>
            <w:rPr>
              <w:rFonts w:ascii="Palatino Linotype" w:eastAsia="Palatino Linotype" w:hAnsi="Palatino Linotype" w:cs="Palatino Linotype"/>
              <w:sz w:val="22"/>
              <w:szCs w:val="22"/>
            </w:rPr>
          </w:pPr>
        </w:p>
      </w:tc>
    </w:tr>
  </w:tbl>
  <w:p w14:paraId="4426EC37" w14:textId="77777777" w:rsidR="00651688" w:rsidRDefault="009567CA">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352C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0972" w14:textId="77777777" w:rsidR="00651688" w:rsidRDefault="009567CA">
    <w:r>
      <w:rPr>
        <w:rFonts w:ascii="Palatino Linotype" w:eastAsia="Palatino Linotype" w:hAnsi="Palatino Linotype" w:cs="Palatino Linotype"/>
        <w:b/>
        <w:bCs/>
        <w:sz w:val="22"/>
        <w:szCs w:val="22"/>
      </w:rPr>
      <w:pict w14:anchorId="2CD2B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wrap-edited:f;mso-width-percent:0;mso-height-percent:0;mso-position-horizontal:absolute;mso-position-horizontal-relative:margin;mso-position-vertical:absolute;mso-position-vertical-relative:margin;mso-width-percent:0;mso-height-percent:0">
          <v:imagedata r:id="rId1" o:title="image10"/>
          <w10:wrap anchorx="margin" anchory="margin"/>
        </v:shape>
      </w:pict>
    </w:r>
  </w:p>
  <w:tbl>
    <w:tblPr>
      <w:tblStyle w:val="a6"/>
      <w:tblpPr w:leftFromText="141" w:rightFromText="141" w:vertAnchor="page" w:horzAnchor="margin" w:tblpY="55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89"/>
      <w:gridCol w:w="2539"/>
      <w:gridCol w:w="3832"/>
    </w:tblGrid>
    <w:tr w:rsidR="00651688" w14:paraId="132519C6" w14:textId="77777777">
      <w:trPr>
        <w:trHeight w:val="488"/>
      </w:trPr>
      <w:tc>
        <w:tcPr>
          <w:tcW w:w="2689" w:type="dxa"/>
          <w:vAlign w:val="bottom"/>
        </w:tcPr>
        <w:p w14:paraId="19E0111D" w14:textId="77777777" w:rsidR="00651688" w:rsidRDefault="00651688">
          <w:pPr>
            <w:tabs>
              <w:tab w:val="right" w:pos="8838"/>
            </w:tabs>
            <w:ind w:right="-105"/>
            <w:rPr>
              <w:rFonts w:ascii="Palatino Linotype" w:eastAsia="Palatino Linotype" w:hAnsi="Palatino Linotype" w:cs="Palatino Linotype"/>
              <w:b/>
              <w:bCs/>
              <w:sz w:val="22"/>
              <w:szCs w:val="22"/>
            </w:rPr>
          </w:pPr>
        </w:p>
      </w:tc>
      <w:tc>
        <w:tcPr>
          <w:tcW w:w="2539" w:type="dxa"/>
          <w:vAlign w:val="bottom"/>
        </w:tcPr>
        <w:p w14:paraId="43FD4FF0" w14:textId="77777777" w:rsidR="00651688" w:rsidRDefault="00BD2DE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832" w:type="dxa"/>
          <w:vAlign w:val="bottom"/>
        </w:tcPr>
        <w:p w14:paraId="67F09230" w14:textId="77777777" w:rsidR="00651688" w:rsidRPr="00A51A68" w:rsidRDefault="00BD2DE1">
          <w:pPr>
            <w:tabs>
              <w:tab w:val="right" w:pos="8838"/>
            </w:tabs>
            <w:spacing w:line="276" w:lineRule="auto"/>
            <w:ind w:left="-28" w:right="39"/>
            <w:jc w:val="both"/>
            <w:rPr>
              <w:rFonts w:ascii="Palatino Linotype" w:eastAsia="Palatino Linotype" w:hAnsi="Palatino Linotype" w:cs="Palatino Linotype"/>
              <w:sz w:val="22"/>
              <w:szCs w:val="22"/>
            </w:rPr>
          </w:pPr>
          <w:r w:rsidRPr="00A51A68">
            <w:rPr>
              <w:rFonts w:ascii="Palatino Linotype" w:eastAsia="Palatino Linotype" w:hAnsi="Palatino Linotype" w:cs="Palatino Linotype"/>
              <w:sz w:val="22"/>
              <w:szCs w:val="22"/>
            </w:rPr>
            <w:t>12396/INFOEM/IP/RR/2025</w:t>
          </w:r>
        </w:p>
      </w:tc>
    </w:tr>
    <w:tr w:rsidR="00651688" w14:paraId="2F3CB8CE" w14:textId="77777777">
      <w:trPr>
        <w:trHeight w:val="124"/>
      </w:trPr>
      <w:tc>
        <w:tcPr>
          <w:tcW w:w="2689" w:type="dxa"/>
        </w:tcPr>
        <w:p w14:paraId="115A8EB5" w14:textId="77777777" w:rsidR="00651688" w:rsidRDefault="00651688">
          <w:pPr>
            <w:tabs>
              <w:tab w:val="right" w:pos="8838"/>
            </w:tabs>
            <w:ind w:right="-105"/>
            <w:rPr>
              <w:rFonts w:ascii="Palatino Linotype" w:eastAsia="Palatino Linotype" w:hAnsi="Palatino Linotype" w:cs="Palatino Linotype"/>
              <w:b/>
              <w:bCs/>
              <w:sz w:val="22"/>
              <w:szCs w:val="22"/>
            </w:rPr>
          </w:pPr>
        </w:p>
      </w:tc>
      <w:tc>
        <w:tcPr>
          <w:tcW w:w="2539" w:type="dxa"/>
        </w:tcPr>
        <w:p w14:paraId="5A217E0F" w14:textId="77777777" w:rsidR="00651688" w:rsidRDefault="00BD2DE1">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3832" w:type="dxa"/>
        </w:tcPr>
        <w:p w14:paraId="51EDEA27" w14:textId="27C2372B" w:rsidR="00651688" w:rsidRDefault="009637A5">
          <w:pPr>
            <w:tabs>
              <w:tab w:val="right" w:pos="8838"/>
            </w:tabs>
            <w:spacing w:line="276" w:lineRule="auto"/>
            <w:ind w:right="39"/>
            <w:jc w:val="both"/>
            <w:rPr>
              <w:rFonts w:ascii="Palatino Linotype" w:eastAsia="Palatino Linotype" w:hAnsi="Palatino Linotype" w:cs="Palatino Linotype"/>
              <w:sz w:val="22"/>
              <w:szCs w:val="22"/>
            </w:rPr>
          </w:pPr>
          <w:r w:rsidRPr="009637A5">
            <w:rPr>
              <w:rFonts w:ascii="Palatino Linotype" w:eastAsia="Palatino Linotype" w:hAnsi="Palatino Linotype" w:cs="Palatino Linotype"/>
              <w:sz w:val="22"/>
              <w:szCs w:val="22"/>
              <w:highlight w:val="black"/>
            </w:rPr>
            <w:t>X</w:t>
          </w:r>
          <w:r w:rsidRPr="009637A5">
            <w:rPr>
              <w:rFonts w:ascii="Palatino Linotype" w:eastAsia="Palatino Linotype" w:hAnsi="Palatino Linotype" w:cs="Palatino Linotype"/>
              <w:b/>
              <w:bCs/>
              <w:sz w:val="22"/>
              <w:szCs w:val="22"/>
              <w:highlight w:val="black"/>
            </w:rPr>
            <w:t>XXXXXXXXXXXXXXXXXX</w:t>
          </w:r>
        </w:p>
      </w:tc>
    </w:tr>
    <w:tr w:rsidR="00651688" w14:paraId="76C5E9F1" w14:textId="77777777">
      <w:trPr>
        <w:trHeight w:val="245"/>
      </w:trPr>
      <w:tc>
        <w:tcPr>
          <w:tcW w:w="2689" w:type="dxa"/>
        </w:tcPr>
        <w:p w14:paraId="478A7A1F" w14:textId="77777777" w:rsidR="00651688" w:rsidRDefault="00651688">
          <w:pPr>
            <w:tabs>
              <w:tab w:val="right" w:pos="8838"/>
            </w:tabs>
            <w:ind w:right="-105"/>
            <w:rPr>
              <w:rFonts w:ascii="Palatino Linotype" w:eastAsia="Palatino Linotype" w:hAnsi="Palatino Linotype" w:cs="Palatino Linotype"/>
              <w:b/>
              <w:bCs/>
              <w:sz w:val="22"/>
              <w:szCs w:val="22"/>
            </w:rPr>
          </w:pPr>
        </w:p>
      </w:tc>
      <w:tc>
        <w:tcPr>
          <w:tcW w:w="2539" w:type="dxa"/>
        </w:tcPr>
        <w:p w14:paraId="267BD573" w14:textId="77777777" w:rsidR="00651688" w:rsidRDefault="00BD2DE1">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832" w:type="dxa"/>
        </w:tcPr>
        <w:p w14:paraId="77B85C9D" w14:textId="77777777" w:rsidR="00651688" w:rsidRDefault="00BD2DE1">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Naucalpan de Juárez</w:t>
          </w:r>
        </w:p>
      </w:tc>
    </w:tr>
    <w:tr w:rsidR="00651688" w14:paraId="3697D6D6" w14:textId="77777777">
      <w:trPr>
        <w:trHeight w:val="245"/>
      </w:trPr>
      <w:tc>
        <w:tcPr>
          <w:tcW w:w="2689" w:type="dxa"/>
        </w:tcPr>
        <w:p w14:paraId="21ACCCF2" w14:textId="77777777" w:rsidR="00651688" w:rsidRDefault="00651688">
          <w:pPr>
            <w:tabs>
              <w:tab w:val="right" w:pos="8838"/>
            </w:tabs>
            <w:ind w:right="-105"/>
            <w:rPr>
              <w:rFonts w:ascii="Palatino Linotype" w:eastAsia="Palatino Linotype" w:hAnsi="Palatino Linotype" w:cs="Palatino Linotype"/>
              <w:b/>
              <w:bCs/>
              <w:sz w:val="22"/>
              <w:szCs w:val="22"/>
            </w:rPr>
          </w:pPr>
        </w:p>
      </w:tc>
      <w:tc>
        <w:tcPr>
          <w:tcW w:w="2539" w:type="dxa"/>
        </w:tcPr>
        <w:p w14:paraId="7D3F2645" w14:textId="77777777" w:rsidR="00651688" w:rsidRDefault="00BD2DE1">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832" w:type="dxa"/>
        </w:tcPr>
        <w:p w14:paraId="7AAC1468" w14:textId="77777777" w:rsidR="00651688" w:rsidRDefault="00BD2DE1">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A19AFB9" w14:textId="77777777" w:rsidR="00651688" w:rsidRDefault="0065168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94FF0"/>
    <w:multiLevelType w:val="multilevel"/>
    <w:tmpl w:val="F0A2F81E"/>
    <w:lvl w:ilvl="0">
      <w:start w:val="2"/>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8242C1"/>
    <w:multiLevelType w:val="multilevel"/>
    <w:tmpl w:val="52805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7150250">
    <w:abstractNumId w:val="0"/>
  </w:num>
  <w:num w:numId="2" w16cid:durableId="1362511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88"/>
    <w:rsid w:val="00233D17"/>
    <w:rsid w:val="0024349D"/>
    <w:rsid w:val="004A49D5"/>
    <w:rsid w:val="00651688"/>
    <w:rsid w:val="006931A5"/>
    <w:rsid w:val="009567CA"/>
    <w:rsid w:val="009637A5"/>
    <w:rsid w:val="009D1DD9"/>
    <w:rsid w:val="00A51A68"/>
    <w:rsid w:val="00B66DEB"/>
    <w:rsid w:val="00BD2DE1"/>
    <w:rsid w:val="00C3034A"/>
    <w:rsid w:val="00C5739F"/>
    <w:rsid w:val="00FC4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60ACA"/>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Fuerte">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9448CF"/>
    <w:rPr>
      <w:color w:val="605E5C"/>
      <w:shd w:val="clear" w:color="auto" w:fill="E1DFDD"/>
    </w:r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naucalpan.gob.mx/conac/"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naucalpan.gob.mx/conac/"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ipomex.org.mx/ipome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TPY8uMZsAA97GEIYse46BziUg==">CgMxLjAyDmgueTNrZmNreXZlbG4xMg5oLmN5aHZxbjZrMThkcjIOaC5yY2V1eXVhMTRobG4yDmguOGdtZ3A5ZjFoenVmMg5oLnllcWIyZHQ3MXg4NDIOaC43eTAzeDI2MDRuYTMyDmguaHhlcXc3dHk1ZDFmMg5oLno0Z29oazVtZWp3eDIOaC45Mzl4ZWV1d3JiczEyDmguejFmNmp4ODN0am8wMg5oLnU1NmlqcmRzMWx3NzgAciExSW9BdjE2Z0xjbUIyd3c4MXJ2TURpbEFFeUJYUjJ3UlA=</go:docsCustomData>
</go:gDocsCustomXmlDataStorage>
</file>

<file path=customXml/itemProps1.xml><?xml version="1.0" encoding="utf-8"?>
<ds:datastoreItem xmlns:ds="http://schemas.openxmlformats.org/officeDocument/2006/customXml" ds:itemID="{600D8C70-F85E-4B74-AF03-4E1AB461AD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6463</Words>
  <Characters>35547</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2026-02-20T15:23:00Z</cp:lastPrinted>
  <dcterms:created xsi:type="dcterms:W3CDTF">2026-02-20T15:23:00Z</dcterms:created>
  <dcterms:modified xsi:type="dcterms:W3CDTF">2026-04-09T21:43:00Z</dcterms:modified>
</cp:coreProperties>
</file>