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351" w:rsidRPr="00BF277E" w:rsidRDefault="0032429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GoBack"/>
      <w:bookmarkEnd w:id="0"/>
      <w:r w:rsidRPr="00BF277E">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Pr="00BF277E">
        <w:rPr>
          <w:rFonts w:ascii="Palatino Linotype" w:eastAsia="Palatino Linotype" w:hAnsi="Palatino Linotype" w:cs="Palatino Linotype"/>
          <w:b/>
          <w:bCs/>
          <w:color w:val="000000"/>
        </w:rPr>
        <w:t>diecisiete</w:t>
      </w:r>
      <w:r w:rsidR="00E668C1" w:rsidRPr="00BF277E">
        <w:rPr>
          <w:rFonts w:ascii="Palatino Linotype" w:eastAsia="Palatino Linotype" w:hAnsi="Palatino Linotype" w:cs="Palatino Linotype"/>
          <w:b/>
          <w:bCs/>
          <w:color w:val="000000"/>
        </w:rPr>
        <w:t xml:space="preserve"> </w:t>
      </w:r>
      <w:r w:rsidR="00BF277E">
        <w:rPr>
          <w:rFonts w:ascii="Palatino Linotype" w:eastAsia="Palatino Linotype" w:hAnsi="Palatino Linotype" w:cs="Palatino Linotype"/>
          <w:b/>
          <w:bCs/>
          <w:color w:val="000000"/>
        </w:rPr>
        <w:t xml:space="preserve">(17) </w:t>
      </w:r>
      <w:r w:rsidR="00E668C1" w:rsidRPr="00BF277E">
        <w:rPr>
          <w:rFonts w:ascii="Palatino Linotype" w:eastAsia="Palatino Linotype" w:hAnsi="Palatino Linotype" w:cs="Palatino Linotype"/>
          <w:b/>
          <w:bCs/>
          <w:color w:val="000000"/>
        </w:rPr>
        <w:t>de junio de dos mil veintiséis</w:t>
      </w:r>
      <w:r w:rsidRPr="00BF277E">
        <w:rPr>
          <w:rFonts w:ascii="Palatino Linotype" w:eastAsia="Palatino Linotype" w:hAnsi="Palatino Linotype" w:cs="Palatino Linotype"/>
          <w:color w:val="000000"/>
        </w:rPr>
        <w:t>.</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BF277E">
        <w:rPr>
          <w:rFonts w:ascii="Palatino Linotype" w:eastAsia="Palatino Linotype" w:hAnsi="Palatino Linotype" w:cs="Palatino Linotype"/>
          <w:color w:val="000000"/>
        </w:rPr>
        <w:t xml:space="preserve">VISTO el expediente electrónico formado con motivo del Recurso de Revisión </w:t>
      </w:r>
      <w:r w:rsidRPr="00BF277E">
        <w:rPr>
          <w:rFonts w:ascii="Palatino Linotype" w:eastAsia="Palatino Linotype" w:hAnsi="Palatino Linotype" w:cs="Palatino Linotype"/>
          <w:b/>
          <w:bCs/>
          <w:color w:val="000000"/>
        </w:rPr>
        <w:t xml:space="preserve">03363/INFOEM/IP/RR/2026 </w:t>
      </w:r>
      <w:r w:rsidRPr="00BF277E">
        <w:rPr>
          <w:rFonts w:ascii="Palatino Linotype" w:eastAsia="Palatino Linotype" w:hAnsi="Palatino Linotype" w:cs="Palatino Linotype"/>
          <w:color w:val="000000"/>
        </w:rPr>
        <w:t xml:space="preserve">promovido por </w:t>
      </w:r>
      <w:r w:rsidRPr="00BF277E">
        <w:rPr>
          <w:rFonts w:ascii="Palatino Linotype" w:eastAsia="Palatino Linotype" w:hAnsi="Palatino Linotype" w:cs="Palatino Linotype"/>
          <w:b/>
          <w:bCs/>
        </w:rPr>
        <w:t>una persona que no proporciona datos de identificación</w:t>
      </w:r>
      <w:r w:rsidRPr="00BF277E">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BF277E">
        <w:rPr>
          <w:rFonts w:ascii="Palatino Linotype" w:eastAsia="Palatino Linotype" w:hAnsi="Palatino Linotype" w:cs="Palatino Linotype"/>
          <w:b/>
          <w:bCs/>
          <w:color w:val="000000"/>
        </w:rPr>
        <w:t>EL RECURRENTE</w:t>
      </w:r>
      <w:r w:rsidRPr="00BF277E">
        <w:rPr>
          <w:rFonts w:ascii="Palatino Linotype" w:eastAsia="Palatino Linotype" w:hAnsi="Palatino Linotype" w:cs="Palatino Linotype"/>
          <w:color w:val="000000"/>
        </w:rPr>
        <w:t xml:space="preserve">, en contra de la respuesta de la </w:t>
      </w:r>
      <w:r w:rsidRPr="00BF277E">
        <w:rPr>
          <w:rFonts w:ascii="Palatino Linotype" w:eastAsia="Palatino Linotype" w:hAnsi="Palatino Linotype" w:cs="Palatino Linotype"/>
          <w:b/>
          <w:bCs/>
          <w:color w:val="000000"/>
        </w:rPr>
        <w:t>Universidad Digital del Estado de México</w:t>
      </w:r>
      <w:r w:rsidRPr="00BF277E">
        <w:rPr>
          <w:rFonts w:ascii="Palatino Linotype" w:eastAsia="Palatino Linotype" w:hAnsi="Palatino Linotype" w:cs="Palatino Linotype"/>
          <w:color w:val="000000"/>
        </w:rPr>
        <w:t xml:space="preserve">, en </w:t>
      </w:r>
      <w:r w:rsidRPr="00BF277E">
        <w:rPr>
          <w:rFonts w:ascii="Palatino Linotype" w:eastAsia="Palatino Linotype" w:hAnsi="Palatino Linotype" w:cs="Palatino Linotype"/>
        </w:rPr>
        <w:t>adelante</w:t>
      </w:r>
      <w:r w:rsidRPr="00BF277E">
        <w:rPr>
          <w:rFonts w:ascii="Palatino Linotype" w:eastAsia="Palatino Linotype" w:hAnsi="Palatino Linotype" w:cs="Palatino Linotype"/>
          <w:color w:val="000000"/>
        </w:rPr>
        <w:t xml:space="preserve"> </w:t>
      </w:r>
      <w:r w:rsidRPr="00BF277E">
        <w:rPr>
          <w:rFonts w:ascii="Palatino Linotype" w:eastAsia="Palatino Linotype" w:hAnsi="Palatino Linotype" w:cs="Palatino Linotype"/>
          <w:b/>
          <w:bCs/>
          <w:color w:val="000000"/>
        </w:rPr>
        <w:t>EL SUJETO OBLIGADO</w:t>
      </w:r>
      <w:r w:rsidRPr="00BF277E">
        <w:rPr>
          <w:rFonts w:ascii="Palatino Linotype" w:eastAsia="Palatino Linotype" w:hAnsi="Palatino Linotype" w:cs="Palatino Linotype"/>
          <w:color w:val="000000"/>
        </w:rPr>
        <w:t>, se procede a dictar la presente resolución, con base en los siguientes:</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BF277E">
        <w:rPr>
          <w:rFonts w:ascii="Palatino Linotype" w:eastAsia="Palatino Linotype" w:hAnsi="Palatino Linotype" w:cs="Palatino Linotype"/>
          <w:b/>
          <w:bCs/>
          <w:color w:val="000000"/>
        </w:rPr>
        <w:t>A N T E C E D E N T E S</w:t>
      </w:r>
    </w:p>
    <w:p w:rsidR="00AE6351" w:rsidRPr="00BF277E" w:rsidRDefault="00AE6351">
      <w:pPr>
        <w:spacing w:line="360" w:lineRule="auto"/>
        <w:ind w:right="-787"/>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 xml:space="preserve">veintitrés de febrero de dos mil veintiséis, </w:t>
      </w:r>
      <w:r w:rsidRPr="00BF277E">
        <w:rPr>
          <w:rFonts w:ascii="Palatino Linotype" w:eastAsia="Palatino Linotype" w:hAnsi="Palatino Linotype" w:cs="Palatino Linotype"/>
          <w:color w:val="000000"/>
        </w:rPr>
        <w:t xml:space="preserve">el solicitante </w:t>
      </w:r>
      <w:r w:rsidRPr="00BF277E">
        <w:rPr>
          <w:rFonts w:ascii="Palatino Linotype" w:eastAsia="Palatino Linotype" w:hAnsi="Palatino Linotype" w:cs="Palatino Linotype"/>
        </w:rPr>
        <w:t>ingresó</w:t>
      </w:r>
      <w:r w:rsidRPr="00BF277E">
        <w:rPr>
          <w:rFonts w:ascii="Palatino Linotype" w:eastAsia="Palatino Linotype" w:hAnsi="Palatino Linotype" w:cs="Palatino Linotype"/>
          <w:color w:val="000000"/>
        </w:rPr>
        <w:t xml:space="preserve"> la solicitud de información, que quedó registrada con el número </w:t>
      </w:r>
      <w:r w:rsidRPr="00BF277E">
        <w:rPr>
          <w:rFonts w:ascii="Palatino Linotype" w:eastAsia="Palatino Linotype" w:hAnsi="Palatino Linotype" w:cs="Palatino Linotype"/>
          <w:b/>
          <w:bCs/>
          <w:color w:val="000000"/>
        </w:rPr>
        <w:t xml:space="preserve">00001/UDEM/IP/2026, </w:t>
      </w:r>
      <w:r w:rsidRPr="00BF277E">
        <w:rPr>
          <w:rFonts w:ascii="Palatino Linotype" w:eastAsia="Palatino Linotype" w:hAnsi="Palatino Linotype" w:cs="Palatino Linotype"/>
        </w:rPr>
        <w:t xml:space="preserve">en la que </w:t>
      </w:r>
      <w:r w:rsidRPr="00BF277E">
        <w:rPr>
          <w:rFonts w:ascii="Palatino Linotype" w:eastAsia="Palatino Linotype" w:hAnsi="Palatino Linotype" w:cs="Palatino Linotype"/>
          <w:color w:val="000000"/>
        </w:rPr>
        <w:t>se solicitó la siguiente información:</w:t>
      </w:r>
    </w:p>
    <w:p w:rsidR="00AE6351" w:rsidRPr="00BF277E" w:rsidRDefault="00AE6351">
      <w:pPr>
        <w:ind w:right="-787"/>
        <w:jc w:val="both"/>
        <w:rPr>
          <w:rFonts w:ascii="Palatino Linotype" w:eastAsia="Palatino Linotype" w:hAnsi="Palatino Linotype" w:cs="Palatino Linotype"/>
          <w:i/>
          <w:iCs/>
        </w:rPr>
      </w:pP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i/>
          <w:iCs/>
          <w:color w:val="000000"/>
        </w:rPr>
        <w:t>“Requiero que se me proporcionen 5 contratos que llevan a cabo con los maestros que imparten sus clases, agradecería si fueran de diferentes tipos como por honorarios, por trabajo específico, prestación de servicios, etc., que sean recientes por favor.”</w:t>
      </w:r>
    </w:p>
    <w:p w:rsidR="00AE6351" w:rsidRDefault="00AE6351">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rsidR="00BF277E" w:rsidRPr="00BF277E" w:rsidRDefault="00BF277E">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rsidR="00AE6351" w:rsidRPr="00BF277E" w:rsidRDefault="00324290">
      <w:pPr>
        <w:numPr>
          <w:ilvl w:val="0"/>
          <w:numId w:val="1"/>
        </w:num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b/>
          <w:bCs/>
          <w:color w:val="000000"/>
        </w:rPr>
        <w:t>Modalidad de entrega</w:t>
      </w:r>
      <w:r w:rsidRPr="00BF277E">
        <w:rPr>
          <w:rFonts w:ascii="Palatino Linotype" w:eastAsia="Palatino Linotype" w:hAnsi="Palatino Linotype" w:cs="Palatino Linotype"/>
          <w:color w:val="000000"/>
        </w:rPr>
        <w:t>: Sistema de Acceso a la Información (SAIMEX)</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lastRenderedPageBreak/>
        <w:t xml:space="preserve">El </w:t>
      </w:r>
      <w:r w:rsidRPr="00BF277E">
        <w:rPr>
          <w:rFonts w:ascii="Palatino Linotype" w:eastAsia="Palatino Linotype" w:hAnsi="Palatino Linotype" w:cs="Palatino Linotype"/>
          <w:b/>
          <w:bCs/>
          <w:color w:val="000000"/>
        </w:rPr>
        <w:t xml:space="preserve">veinticinco de febrero de dos mil veintiséis, </w:t>
      </w:r>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 xml:space="preserve">SUJETO OBLIGADO </w:t>
      </w:r>
      <w:r w:rsidRPr="00BF277E">
        <w:rPr>
          <w:rFonts w:ascii="Palatino Linotype" w:eastAsia="Palatino Linotype" w:hAnsi="Palatino Linotype" w:cs="Palatino Linotype"/>
          <w:color w:val="000000"/>
        </w:rPr>
        <w:t xml:space="preserve">giro los requerimientos de información para que fuera atendida la solicitud de información </w:t>
      </w:r>
      <w:r w:rsidRPr="00BF277E">
        <w:rPr>
          <w:rFonts w:ascii="Palatino Linotype" w:eastAsia="Palatino Linotype" w:hAnsi="Palatino Linotype" w:cs="Palatino Linotype"/>
          <w:b/>
          <w:bCs/>
          <w:color w:val="000000"/>
        </w:rPr>
        <w:t xml:space="preserve">00001/UDEM/IP/2026. </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 xml:space="preserve">dieciocho de marzo de dos mil veintiséis, </w:t>
      </w:r>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 xml:space="preserve">SUJETO OBLIGADO </w:t>
      </w:r>
      <w:r w:rsidRPr="00BF277E">
        <w:rPr>
          <w:rFonts w:ascii="Palatino Linotype" w:eastAsia="Palatino Linotype" w:hAnsi="Palatino Linotype" w:cs="Palatino Linotype"/>
          <w:color w:val="000000"/>
        </w:rPr>
        <w:t xml:space="preserve">dio respuesta por medio de dos archivos electrónicos en formato pdf, cuyo contenido grosso modo es el siguiente.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b/>
          <w:bCs/>
          <w:i/>
          <w:iCs/>
          <w:color w:val="000000"/>
        </w:rPr>
        <w:t xml:space="preserve">RESPUESTA SAIMEX 126-2026.pdf: </w:t>
      </w:r>
      <w:r w:rsidRPr="00BF277E">
        <w:rPr>
          <w:rFonts w:ascii="Palatino Linotype" w:eastAsia="Palatino Linotype" w:hAnsi="Palatino Linotype" w:cs="Palatino Linotype"/>
          <w:i/>
          <w:iCs/>
          <w:color w:val="000000"/>
        </w:rPr>
        <w:t xml:space="preserve">oficio de la Encargada de Abogacía General e Igualdad de Género, mediante el cual informa que no se firman contratos con maestros y que no realizan contrataciones por honorarios, trabajo específico o prestación de servicios. </w:t>
      </w:r>
    </w:p>
    <w:p w:rsidR="00AE6351" w:rsidRPr="00BF277E" w:rsidRDefault="00AE6351">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b/>
          <w:bCs/>
          <w:i/>
          <w:iCs/>
          <w:color w:val="000000"/>
        </w:rPr>
        <w:t xml:space="preserve">Oficio_UT_119_202620260318.pdf: </w:t>
      </w:r>
      <w:r w:rsidRPr="00BF277E">
        <w:rPr>
          <w:rFonts w:ascii="Palatino Linotype" w:eastAsia="Palatino Linotype" w:hAnsi="Palatino Linotype" w:cs="Palatino Linotype"/>
          <w:i/>
          <w:iCs/>
          <w:color w:val="000000"/>
        </w:rPr>
        <w:t xml:space="preserve">oficio de Jefe dela Unidad de Información, Planeación, Programación y Evaluación y Titular de la Unidad de Transparencia, mediante el cual informa que notifica la respuesta de la Encargada de Abogacía General e Igualdad de Género. </w:t>
      </w:r>
    </w:p>
    <w:p w:rsidR="00AE6351" w:rsidRPr="00BF277E" w:rsidRDefault="00AE6351">
      <w:pPr>
        <w:pBdr>
          <w:top w:val="nil"/>
          <w:left w:val="nil"/>
          <w:bottom w:val="nil"/>
          <w:right w:val="nil"/>
          <w:between w:val="nil"/>
        </w:pBdr>
        <w:ind w:left="1134" w:right="277"/>
        <w:jc w:val="both"/>
        <w:rPr>
          <w:rFonts w:ascii="Palatino Linotype" w:eastAsia="Palatino Linotype" w:hAnsi="Palatino Linotype" w:cs="Palatino Linotype"/>
          <w:color w:val="000000"/>
        </w:rPr>
      </w:pPr>
    </w:p>
    <w:p w:rsidR="00AE6351"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diecinueve de marzo de dos mil veintiséis</w:t>
      </w:r>
      <w:r w:rsidRPr="00BF277E">
        <w:rPr>
          <w:rFonts w:ascii="Palatino Linotype" w:eastAsia="Palatino Linotype" w:hAnsi="Palatino Linotype" w:cs="Palatino Linotype"/>
          <w:color w:val="000000"/>
        </w:rPr>
        <w:t xml:space="preserve">, el solicitante interpuso recurso de revisión en contra de la respuesta emitida por el </w:t>
      </w:r>
      <w:r w:rsidRPr="00BF277E">
        <w:rPr>
          <w:rFonts w:ascii="Palatino Linotype" w:eastAsia="Palatino Linotype" w:hAnsi="Palatino Linotype" w:cs="Palatino Linotype"/>
          <w:b/>
          <w:bCs/>
          <w:color w:val="000000"/>
        </w:rPr>
        <w:t>SUJETO OBLIGADO</w:t>
      </w:r>
      <w:r w:rsidRPr="00BF277E">
        <w:rPr>
          <w:rFonts w:ascii="Palatino Linotype" w:eastAsia="Palatino Linotype" w:hAnsi="Palatino Linotype" w:cs="Palatino Linotype"/>
          <w:color w:val="000000"/>
        </w:rPr>
        <w:t>, señalando las siguientes razones o motivos de inconformidad:</w:t>
      </w:r>
    </w:p>
    <w:p w:rsidR="00BF277E" w:rsidRPr="00BF277E" w:rsidRDefault="00BF277E" w:rsidP="00BF277E">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2" w:name="_heading=h.1fob9te" w:colFirst="0" w:colLast="0"/>
      <w:bookmarkEnd w:id="2"/>
      <w:r w:rsidRPr="00BF277E">
        <w:rPr>
          <w:rFonts w:ascii="Palatino Linotype" w:eastAsia="Palatino Linotype" w:hAnsi="Palatino Linotype" w:cs="Palatino Linotype"/>
          <w:b/>
          <w:bCs/>
          <w:color w:val="000000"/>
        </w:rPr>
        <w:t xml:space="preserve">Acto impugnado: </w:t>
      </w:r>
      <w:r w:rsidRPr="00BF277E">
        <w:rPr>
          <w:rFonts w:ascii="Palatino Linotype" w:eastAsia="Palatino Linotype" w:hAnsi="Palatino Linotype" w:cs="Palatino Linotype"/>
          <w:i/>
          <w:iCs/>
          <w:color w:val="000000"/>
        </w:rPr>
        <w:t>“La negativa de información.”</w:t>
      </w:r>
    </w:p>
    <w:p w:rsidR="00AE6351" w:rsidRPr="00BF277E" w:rsidRDefault="00AE6351">
      <w:pPr>
        <w:pBdr>
          <w:top w:val="nil"/>
          <w:left w:val="nil"/>
          <w:bottom w:val="nil"/>
          <w:right w:val="nil"/>
          <w:between w:val="nil"/>
        </w:pBdr>
        <w:ind w:left="1134" w:right="277"/>
        <w:jc w:val="both"/>
        <w:rPr>
          <w:rFonts w:ascii="Palatino Linotype" w:eastAsia="Palatino Linotype" w:hAnsi="Palatino Linotype" w:cs="Palatino Linotype"/>
          <w:color w:val="000000"/>
        </w:rPr>
      </w:pPr>
    </w:p>
    <w:p w:rsidR="00AE6351" w:rsidRPr="00BF277E" w:rsidRDefault="00324290">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3" w:name="_heading=h.3znysh7" w:colFirst="0" w:colLast="0"/>
      <w:bookmarkEnd w:id="3"/>
      <w:r w:rsidRPr="00BF277E">
        <w:rPr>
          <w:rFonts w:ascii="Palatino Linotype" w:eastAsia="Palatino Linotype" w:hAnsi="Palatino Linotype" w:cs="Palatino Linotype"/>
          <w:b/>
          <w:bCs/>
          <w:color w:val="000000"/>
        </w:rPr>
        <w:t xml:space="preserve">Razones o Motivos de inconformidad: </w:t>
      </w:r>
      <w:r w:rsidRPr="00BF277E">
        <w:rPr>
          <w:rFonts w:ascii="Palatino Linotype" w:eastAsia="Palatino Linotype" w:hAnsi="Palatino Linotype" w:cs="Palatino Linotype"/>
          <w:i/>
          <w:iCs/>
          <w:color w:val="000000"/>
        </w:rPr>
        <w:t xml:space="preserve">“Considero que como solicitante no me encuentro obligado a conocer el término exacto con el que denominan a su personal académico o similar que imparte las clases u oferta educativa que ofrecen. Es lamentable que usen como justificación para negar el acceso a la información, que no se estableció o hizo uso de un tecnicismo, cuando la causa de pedir es evidente, además claro de poner una definición interpretativa, sin </w:t>
      </w:r>
      <w:r w:rsidRPr="00BF277E">
        <w:rPr>
          <w:rFonts w:ascii="Palatino Linotype" w:eastAsia="Palatino Linotype" w:hAnsi="Palatino Linotype" w:cs="Palatino Linotype"/>
          <w:i/>
          <w:iCs/>
          <w:color w:val="000000"/>
        </w:rPr>
        <w:lastRenderedPageBreak/>
        <w:t xml:space="preserve">fundamento y a conveniencia, sin considerar incluso lo que el diccionario de la rae refiere como maestro o similar, lo cual podría ser más adecuado para saber lo que un ciudadano dice o trata de pedir, en fin. La atención a la solicitud denota falta a los principios de sencillez, máxima publicidad y orientación. A su vez, sin ser experto en la materia, como las personas que debieron atender o dar trámite a la solicitud, y que seguramente vieron la forma de no darme la información bajo cualquier pretexto, creo que si lo que manifesté era erróneo por ejemplo, pudieron hacer una aclaración según dice su ley art. 159. aunque independientemente de ello, creo que había elementos suficientes para darme una expresión documental relacionada con lo solicitado, pero bueno. No existe obligación para mí de conocer exactamente cómo se le denomina a la persona o personas que imparten sus clases u oferta educativa, y si son exactamente todos por honorarios o lo que puse en la solicitud inicial, ya que más bien el sujeto obligado debió comprender a qué se refería mi solicitud, para determinar que por ejemplo quería el instrumento jurídico que firmó con las personas que imparten su oferta educativa a los alumnos o clases que se ponen a su alcance, y no pretender que yo conozca los términos exactos. El personal que recibe las solicitudes y da trámite debe tener conocimiento de los supuestos expuestos, deben conocer lo que la ley dice al establecer por ejemplo: simplicidad, sencillez, orientación, auxilio, sujeto a un claro régimen de excepciones, etc etc etc, según vi al darle una breve revisada a su ley que ustedes usan diario y con base en resoluciones que me ha dado el infoem o inai en otras ocasiones donde explican muy bien cosas como lo que trato de exponer (podrían darle un ojo a esos documentos en transparencia de la universidad de vez en cuando). Finalmente no omito señalar que la respuesta y negativa de proporcionarme la información carece de fundamentación y motivación, además de que se pudiera dar vista al órgano de contraloría o simialr, porque podría relacionarse con un supuesto que vi que el art. 222 f. I, III, XV, XXI, 223. Sin perjuicio de lo anterior, cómo se supone que un ciudadano solicitante va a conocer cómo se le llama exactamente a su personal o cuáles son los contratos exactos que tienen con quienes dan sus clases o material para su oferta académica, es increíble, para que una vez que se sepa eso, y solo si se sabe con exactitud al parecer, pueda meter una solicitud y el personal de la "universidad" pueda darle trámite, porque de lo contrario, según dicen estarían imposibilitados. En fin, ojala nos den algunos contratos y </w:t>
      </w:r>
      <w:r w:rsidRPr="00BF277E">
        <w:rPr>
          <w:rFonts w:ascii="Palatino Linotype" w:eastAsia="Palatino Linotype" w:hAnsi="Palatino Linotype" w:cs="Palatino Linotype"/>
          <w:i/>
          <w:iCs/>
          <w:color w:val="000000"/>
        </w:rPr>
        <w:lastRenderedPageBreak/>
        <w:t>podamos avanzar en nuestro emprendimiento e investigación al menos al dar su informe, eso ayudaría a que no se haga más tedioso esto. Gracias.”</w:t>
      </w:r>
    </w:p>
    <w:p w:rsidR="00AE6351" w:rsidRPr="00BF277E" w:rsidRDefault="00AE6351">
      <w:pPr>
        <w:ind w:right="-787"/>
        <w:jc w:val="both"/>
        <w:rPr>
          <w:rFonts w:ascii="Palatino Linotype" w:eastAsia="Palatino Linotype" w:hAnsi="Palatino Linotype" w:cs="Palatino Linotype"/>
          <w:b/>
          <w:bCs/>
          <w:i/>
          <w:iCs/>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Consecutivamente</w:t>
      </w:r>
      <w:r w:rsidRPr="00BF277E">
        <w:rPr>
          <w:rFonts w:ascii="Palatino Linotype" w:eastAsia="Palatino Linotype" w:hAnsi="Palatino Linotype" w:cs="Palatino Linotype"/>
          <w:i/>
          <w:iCs/>
          <w:color w:val="000000"/>
        </w:rPr>
        <w:t xml:space="preserve">, </w:t>
      </w:r>
      <w:r w:rsidRPr="00BF277E">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BF277E">
        <w:rPr>
          <w:rFonts w:ascii="Palatino Linotype" w:eastAsia="Palatino Linotype" w:hAnsi="Palatino Linotype" w:cs="Palatino Linotype"/>
          <w:b/>
          <w:bCs/>
          <w:color w:val="000000"/>
        </w:rPr>
        <w:t>Comisionada</w:t>
      </w:r>
      <w:r w:rsidRPr="00BF277E">
        <w:rPr>
          <w:rFonts w:ascii="Palatino Linotype" w:eastAsia="Palatino Linotype" w:hAnsi="Palatino Linotype" w:cs="Palatino Linotype"/>
          <w:color w:val="000000"/>
        </w:rPr>
        <w:t xml:space="preserve"> </w:t>
      </w:r>
      <w:r w:rsidRPr="00BF277E">
        <w:rPr>
          <w:rFonts w:ascii="Palatino Linotype" w:eastAsia="Palatino Linotype" w:hAnsi="Palatino Linotype" w:cs="Palatino Linotype"/>
          <w:b/>
          <w:bCs/>
          <w:color w:val="000000"/>
        </w:rPr>
        <w:t>María del Rosario Mejía Ayala</w:t>
      </w:r>
      <w:r w:rsidRPr="00BF277E">
        <w:rPr>
          <w:rFonts w:ascii="Palatino Linotype" w:eastAsia="Palatino Linotype" w:hAnsi="Palatino Linotype" w:cs="Palatino Linotype"/>
          <w:color w:val="000000"/>
        </w:rPr>
        <w:t>,</w:t>
      </w:r>
      <w:r w:rsidRPr="00BF277E">
        <w:rPr>
          <w:rFonts w:ascii="Palatino Linotype" w:eastAsia="Palatino Linotype" w:hAnsi="Palatino Linotype" w:cs="Palatino Linotype"/>
          <w:b/>
          <w:bCs/>
          <w:color w:val="000000"/>
        </w:rPr>
        <w:t xml:space="preserve"> </w:t>
      </w:r>
      <w:r w:rsidRPr="00BF277E">
        <w:rPr>
          <w:rFonts w:ascii="Palatino Linotype" w:eastAsia="Palatino Linotype" w:hAnsi="Palatino Linotype" w:cs="Palatino Linotype"/>
          <w:color w:val="000000"/>
        </w:rPr>
        <w:t>con el objeto de su análisis.</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BF277E">
        <w:rPr>
          <w:rFonts w:ascii="Palatino Linotype" w:eastAsia="Palatino Linotype" w:hAnsi="Palatino Linotype" w:cs="Palatino Linotype"/>
          <w:b/>
          <w:bCs/>
          <w:color w:val="000000"/>
        </w:rPr>
        <w:t xml:space="preserve">acuerdo de admisión </w:t>
      </w:r>
      <w:r w:rsidRPr="00BF277E">
        <w:rPr>
          <w:rFonts w:ascii="Palatino Linotype" w:eastAsia="Palatino Linotype" w:hAnsi="Palatino Linotype" w:cs="Palatino Linotype"/>
          <w:color w:val="000000"/>
        </w:rPr>
        <w:t xml:space="preserve">del </w:t>
      </w:r>
      <w:r w:rsidRPr="00BF277E">
        <w:rPr>
          <w:rFonts w:ascii="Palatino Linotype" w:eastAsia="Palatino Linotype" w:hAnsi="Palatino Linotype" w:cs="Palatino Linotype"/>
          <w:b/>
          <w:bCs/>
          <w:color w:val="000000"/>
        </w:rPr>
        <w:t xml:space="preserve">veintitrés de marzo de dos mil veintiséis, </w:t>
      </w:r>
      <w:r w:rsidRPr="00BF277E">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BF277E">
        <w:rPr>
          <w:rFonts w:ascii="Palatino Linotype" w:eastAsia="Palatino Linotype" w:hAnsi="Palatino Linotype" w:cs="Palatino Linotype"/>
        </w:rPr>
        <w:t>manifestara</w:t>
      </w:r>
      <w:r w:rsidRPr="00BF277E">
        <w:rPr>
          <w:rFonts w:ascii="Palatino Linotype" w:eastAsia="Palatino Linotype" w:hAnsi="Palatino Linotype" w:cs="Palatino Linotype"/>
          <w:color w:val="000000"/>
        </w:rPr>
        <w:t xml:space="preserve"> lo que a su derecho conviniera, </w:t>
      </w:r>
      <w:r w:rsidRPr="00BF277E">
        <w:rPr>
          <w:rFonts w:ascii="Palatino Linotype" w:eastAsia="Palatino Linotype" w:hAnsi="Palatino Linotype" w:cs="Palatino Linotype"/>
        </w:rPr>
        <w:t>ofreciera</w:t>
      </w:r>
      <w:r w:rsidRPr="00BF277E">
        <w:rPr>
          <w:rFonts w:ascii="Palatino Linotype" w:eastAsia="Palatino Linotype" w:hAnsi="Palatino Linotype" w:cs="Palatino Linotype"/>
          <w:color w:val="000000"/>
        </w:rPr>
        <w:t xml:space="preserve"> pruebas y alegatos según corresponda al caso concreto, de esta forma para que el </w:t>
      </w:r>
      <w:r w:rsidRPr="00BF277E">
        <w:rPr>
          <w:rFonts w:ascii="Palatino Linotype" w:eastAsia="Palatino Linotype" w:hAnsi="Palatino Linotype" w:cs="Palatino Linotype"/>
          <w:b/>
          <w:bCs/>
          <w:color w:val="000000"/>
        </w:rPr>
        <w:t xml:space="preserve">SUJETO OBLIGADO </w:t>
      </w:r>
      <w:r w:rsidRPr="00BF277E">
        <w:rPr>
          <w:rFonts w:ascii="Palatino Linotype" w:eastAsia="Palatino Linotype" w:hAnsi="Palatino Linotype" w:cs="Palatino Linotype"/>
        </w:rPr>
        <w:t>presentará</w:t>
      </w:r>
      <w:r w:rsidRPr="00BF277E">
        <w:rPr>
          <w:rFonts w:ascii="Palatino Linotype" w:eastAsia="Palatino Linotype" w:hAnsi="Palatino Linotype" w:cs="Palatino Linotype"/>
          <w:color w:val="000000"/>
        </w:rPr>
        <w:t xml:space="preserve"> el Informe Justificado procedente.</w:t>
      </w:r>
    </w:p>
    <w:p w:rsidR="00AE6351" w:rsidRPr="00BF277E" w:rsidRDefault="00AE6351">
      <w:pPr>
        <w:pBdr>
          <w:top w:val="nil"/>
          <w:left w:val="nil"/>
          <w:bottom w:val="nil"/>
          <w:right w:val="nil"/>
          <w:between w:val="nil"/>
        </w:pBdr>
        <w:ind w:left="708" w:right="-787"/>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color w:val="000000"/>
        </w:rPr>
        <w:t xml:space="preserve">En esa línea, el </w:t>
      </w:r>
      <w:r w:rsidRPr="00BF277E">
        <w:rPr>
          <w:rFonts w:ascii="Palatino Linotype" w:eastAsia="Palatino Linotype" w:hAnsi="Palatino Linotype" w:cs="Palatino Linotype"/>
          <w:b/>
          <w:bCs/>
          <w:color w:val="000000"/>
        </w:rPr>
        <w:t xml:space="preserve">ocho de abril de dos mil veintiséis, </w:t>
      </w:r>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 xml:space="preserve">SUJETO OBLIGADO </w:t>
      </w:r>
      <w:r w:rsidRPr="00BF277E">
        <w:rPr>
          <w:rFonts w:ascii="Palatino Linotype" w:eastAsia="Palatino Linotype" w:hAnsi="Palatino Linotype" w:cs="Palatino Linotype"/>
        </w:rPr>
        <w:t>entregó</w:t>
      </w:r>
      <w:r w:rsidRPr="00BF277E">
        <w:rPr>
          <w:rFonts w:ascii="Palatino Linotype" w:eastAsia="Palatino Linotype" w:hAnsi="Palatino Linotype" w:cs="Palatino Linotype"/>
          <w:color w:val="000000"/>
        </w:rPr>
        <w:t xml:space="preserve"> un archivo electrónico  en formato PDF, cuyo contenido grosso modo es </w:t>
      </w:r>
      <w:r w:rsidRPr="00BF277E">
        <w:rPr>
          <w:rFonts w:ascii="Palatino Linotype" w:eastAsia="Palatino Linotype" w:hAnsi="Palatino Linotype" w:cs="Palatino Linotype"/>
        </w:rPr>
        <w:t>el siguiente</w:t>
      </w:r>
      <w:r w:rsidRPr="00BF277E">
        <w:rPr>
          <w:rFonts w:ascii="Palatino Linotype" w:eastAsia="Palatino Linotype" w:hAnsi="Palatino Linotype" w:cs="Palatino Linotype"/>
          <w:color w:val="000000"/>
        </w:rPr>
        <w:t>.</w:t>
      </w:r>
    </w:p>
    <w:p w:rsidR="00AE6351" w:rsidRPr="00BF277E" w:rsidRDefault="00324290">
      <w:pPr>
        <w:ind w:left="1134" w:right="277"/>
        <w:rPr>
          <w:rFonts w:ascii="Palatino Linotype" w:eastAsia="Palatino Linotype" w:hAnsi="Palatino Linotype" w:cs="Palatino Linotype"/>
          <w:i/>
          <w:iCs/>
          <w:color w:val="000000"/>
        </w:rPr>
      </w:pPr>
      <w:r w:rsidRPr="00BF277E">
        <w:rPr>
          <w:rFonts w:ascii="Palatino Linotype" w:eastAsia="Palatino Linotype" w:hAnsi="Palatino Linotype" w:cs="Palatino Linotype"/>
          <w:b/>
          <w:bCs/>
          <w:i/>
          <w:iCs/>
          <w:color w:val="000000"/>
        </w:rPr>
        <w:t xml:space="preserve">Informe_Justificado_UDEMEX_RR_03363_INFOEM_IP_RR_2026.pf: </w:t>
      </w:r>
      <w:r w:rsidRPr="00BF277E">
        <w:rPr>
          <w:rFonts w:ascii="Palatino Linotype" w:eastAsia="Palatino Linotype" w:hAnsi="Palatino Linotype" w:cs="Palatino Linotype"/>
          <w:i/>
          <w:iCs/>
          <w:color w:val="000000"/>
        </w:rPr>
        <w:t xml:space="preserve">informe justificado mediante el cual se ratifica la respuesta inicial. </w:t>
      </w:r>
    </w:p>
    <w:p w:rsidR="00AE6351" w:rsidRPr="00BF277E" w:rsidRDefault="00AE6351">
      <w:pPr>
        <w:ind w:left="1134" w:right="277"/>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color w:val="000000"/>
        </w:rPr>
        <w:t xml:space="preserve">Por su parte el </w:t>
      </w:r>
      <w:r w:rsidRPr="00BF277E">
        <w:rPr>
          <w:rFonts w:ascii="Palatino Linotype" w:eastAsia="Palatino Linotype" w:hAnsi="Palatino Linotype" w:cs="Palatino Linotype"/>
          <w:b/>
          <w:bCs/>
          <w:color w:val="000000"/>
        </w:rPr>
        <w:t xml:space="preserve">RECURRENTE </w:t>
      </w:r>
      <w:r w:rsidRPr="00BF277E">
        <w:rPr>
          <w:rFonts w:ascii="Palatino Linotype" w:eastAsia="Palatino Linotype" w:hAnsi="Palatino Linotype" w:cs="Palatino Linotype"/>
        </w:rPr>
        <w:t>dejó</w:t>
      </w:r>
      <w:r w:rsidRPr="00BF277E">
        <w:rPr>
          <w:rFonts w:ascii="Palatino Linotype" w:eastAsia="Palatino Linotype" w:hAnsi="Palatino Linotype" w:cs="Palatino Linotype"/>
          <w:color w:val="000000"/>
        </w:rPr>
        <w:t xml:space="preserve"> de realizar manifestaciones que a su derecho conviniera y asistiera. </w:t>
      </w:r>
    </w:p>
    <w:p w:rsidR="00AE6351" w:rsidRPr="00BF277E" w:rsidRDefault="00AE6351">
      <w:pPr>
        <w:pBdr>
          <w:top w:val="nil"/>
          <w:left w:val="nil"/>
          <w:bottom w:val="nil"/>
          <w:right w:val="nil"/>
          <w:between w:val="nil"/>
        </w:pBdr>
        <w:ind w:right="277"/>
        <w:jc w:val="both"/>
        <w:rPr>
          <w:rFonts w:ascii="Palatino Linotype" w:eastAsia="Palatino Linotype" w:hAnsi="Palatino Linotype" w:cs="Palatino Linotype"/>
          <w:i/>
          <w:iCs/>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4" w:name="_heading=h.2et92p0" w:colFirst="0" w:colLast="0"/>
      <w:bookmarkEnd w:id="4"/>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nueve de junio de dos mil veintiséis</w:t>
      </w:r>
      <w:r w:rsidRPr="00BF277E">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00BF277E">
        <w:rPr>
          <w:rFonts w:ascii="Palatino Linotype" w:eastAsia="Palatino Linotype" w:hAnsi="Palatino Linotype" w:cs="Palatino Linotype"/>
          <w:color w:val="000000"/>
        </w:rPr>
        <w:t>.</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BF277E">
        <w:rPr>
          <w:rFonts w:ascii="Palatino Linotype" w:eastAsia="Palatino Linotype" w:hAnsi="Palatino Linotype" w:cs="Palatino Linotype"/>
          <w:color w:val="000000"/>
        </w:rPr>
        <w:lastRenderedPageBreak/>
        <w:t>Finalmente, la Comisionada Ponente mediante acuerdo de fecha</w:t>
      </w:r>
      <w:r w:rsidRPr="00BF277E">
        <w:rPr>
          <w:rFonts w:ascii="Palatino Linotype" w:eastAsia="Palatino Linotype" w:hAnsi="Palatino Linotype" w:cs="Palatino Linotype"/>
          <w:b/>
          <w:bCs/>
          <w:color w:val="000000"/>
        </w:rPr>
        <w:t xml:space="preserve"> </w:t>
      </w:r>
      <w:r w:rsidRPr="00BF277E">
        <w:rPr>
          <w:rFonts w:ascii="Palatino Linotype" w:eastAsia="Palatino Linotype" w:hAnsi="Palatino Linotype" w:cs="Palatino Linotype"/>
          <w:b/>
          <w:bCs/>
          <w:color w:val="000000"/>
          <w:highlight w:val="white"/>
        </w:rPr>
        <w:t>diecisiete de junio de dos mil veintiséis</w:t>
      </w:r>
      <w:r w:rsidRPr="00BF277E">
        <w:rPr>
          <w:rFonts w:ascii="Palatino Linotype" w:eastAsia="Palatino Linotype" w:hAnsi="Palatino Linotype" w:cs="Palatino Linotype"/>
          <w:color w:val="000000"/>
          <w:highlight w:val="white"/>
        </w:rPr>
        <w:t>, decretó el cierre de instrucción d</w:t>
      </w:r>
      <w:r w:rsidRPr="00BF277E">
        <w:rPr>
          <w:rFonts w:ascii="Palatino Linotype" w:eastAsia="Palatino Linotype" w:hAnsi="Palatino Linotype" w:cs="Palatino Linotype"/>
          <w:color w:val="000000"/>
        </w:rPr>
        <w:t>e los expedientes, por lo que no habiendo más que hacer constar, y</w:t>
      </w:r>
    </w:p>
    <w:p w:rsidR="00AE6351" w:rsidRPr="00BF277E" w:rsidRDefault="00AE6351">
      <w:pPr>
        <w:spacing w:line="360" w:lineRule="auto"/>
        <w:ind w:right="-787"/>
        <w:rPr>
          <w:rFonts w:ascii="Palatino Linotype" w:eastAsia="Palatino Linotype" w:hAnsi="Palatino Linotype" w:cs="Palatino Linotype"/>
          <w:b/>
          <w:bCs/>
          <w:color w:val="000000"/>
        </w:rPr>
      </w:pPr>
      <w:bookmarkStart w:id="5" w:name="_heading=h.162m1m3fkzl6" w:colFirst="0" w:colLast="0"/>
      <w:bookmarkEnd w:id="5"/>
    </w:p>
    <w:p w:rsidR="00AE6351" w:rsidRPr="00BF277E" w:rsidRDefault="00324290">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BF277E">
        <w:rPr>
          <w:rFonts w:ascii="Palatino Linotype" w:eastAsia="Palatino Linotype" w:hAnsi="Palatino Linotype" w:cs="Palatino Linotype"/>
          <w:b/>
          <w:bCs/>
          <w:color w:val="000000"/>
        </w:rPr>
        <w:t xml:space="preserve">C O N S I D E R A N D O </w:t>
      </w:r>
    </w:p>
    <w:p w:rsidR="00AE6351" w:rsidRPr="00BF277E" w:rsidRDefault="00324290">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tyjcwt" w:colFirst="0" w:colLast="0"/>
      <w:bookmarkEnd w:id="6"/>
      <w:r w:rsidRPr="00BF277E">
        <w:rPr>
          <w:rFonts w:ascii="Palatino Linotype" w:eastAsia="Palatino Linotype" w:hAnsi="Palatino Linotype" w:cs="Palatino Linotype"/>
          <w:b/>
          <w:bCs/>
          <w:color w:val="000000"/>
          <w:sz w:val="24"/>
          <w:szCs w:val="24"/>
        </w:rPr>
        <w:t>PRIMERO. De la competencia</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7" w:name="_heading=h.3dy6vkm" w:colFirst="0" w:colLast="0"/>
      <w:bookmarkEnd w:id="7"/>
      <w:r w:rsidRPr="00BF277E">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AE6351" w:rsidRPr="00BF277E" w:rsidRDefault="00324290">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8" w:name="_heading=h.1t3h5sf" w:colFirst="0" w:colLast="0"/>
      <w:bookmarkEnd w:id="8"/>
      <w:r w:rsidRPr="00BF277E">
        <w:rPr>
          <w:rFonts w:ascii="Palatino Linotype" w:eastAsia="Palatino Linotype" w:hAnsi="Palatino Linotype" w:cs="Palatino Linotype"/>
          <w:b/>
          <w:bCs/>
          <w:color w:val="000000"/>
        </w:rPr>
        <w:t>SEGUNDO. De la oportunidad y procedencia.</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9" w:name="_heading=h.4d34og8" w:colFirst="0" w:colLast="0"/>
      <w:bookmarkEnd w:id="9"/>
      <w:r w:rsidRPr="00BF277E">
        <w:rPr>
          <w:rFonts w:ascii="Palatino Linotype" w:eastAsia="Palatino Linotype" w:hAnsi="Palatino Linotype" w:cs="Palatino Linotype"/>
          <w:color w:val="000000"/>
        </w:rPr>
        <w:t xml:space="preserve">Los medios de impugnación fueron presentados a través del </w:t>
      </w:r>
      <w:r w:rsidRPr="00BF277E">
        <w:rPr>
          <w:rFonts w:ascii="Palatino Linotype" w:eastAsia="Palatino Linotype" w:hAnsi="Palatino Linotype" w:cs="Palatino Linotype"/>
          <w:b/>
          <w:bCs/>
          <w:color w:val="000000"/>
        </w:rPr>
        <w:t>SAIMEX,</w:t>
      </w:r>
      <w:r w:rsidRPr="00BF277E">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BF277E">
        <w:rPr>
          <w:rFonts w:ascii="Palatino Linotype" w:eastAsia="Palatino Linotype" w:hAnsi="Palatino Linotype" w:cs="Palatino Linotype"/>
          <w:b/>
          <w:bCs/>
          <w:color w:val="000000"/>
        </w:rPr>
        <w:t>SUJETO OBLIGADO</w:t>
      </w:r>
      <w:r w:rsidRPr="00BF277E">
        <w:rPr>
          <w:rFonts w:ascii="Palatino Linotype" w:eastAsia="Palatino Linotype" w:hAnsi="Palatino Linotype" w:cs="Palatino Linotype"/>
          <w:color w:val="000000"/>
        </w:rPr>
        <w:t xml:space="preserve"> entregó su respuesta el </w:t>
      </w:r>
      <w:r w:rsidRPr="00BF277E">
        <w:rPr>
          <w:rFonts w:ascii="Palatino Linotype" w:eastAsia="Palatino Linotype" w:hAnsi="Palatino Linotype" w:cs="Palatino Linotype"/>
          <w:b/>
          <w:bCs/>
          <w:color w:val="000000"/>
        </w:rPr>
        <w:t>dieciocho de marzo de dos mil veintiséis</w:t>
      </w:r>
      <w:r w:rsidRPr="00BF277E">
        <w:rPr>
          <w:rFonts w:ascii="Palatino Linotype" w:eastAsia="Palatino Linotype" w:hAnsi="Palatino Linotype" w:cs="Palatino Linotype"/>
          <w:color w:val="000000"/>
        </w:rPr>
        <w:t xml:space="preserve">, de tal forma que el plazo para interponer el recurso de revisión transcurrió del día </w:t>
      </w:r>
      <w:r w:rsidRPr="00BF277E">
        <w:rPr>
          <w:rFonts w:ascii="Palatino Linotype" w:eastAsia="Palatino Linotype" w:hAnsi="Palatino Linotype" w:cs="Palatino Linotype"/>
          <w:b/>
          <w:bCs/>
          <w:color w:val="000000"/>
        </w:rPr>
        <w:t>diecinueve de marzo al quince de abril de dos mil veintiséis</w:t>
      </w:r>
      <w:r w:rsidRPr="00BF277E">
        <w:rPr>
          <w:rFonts w:ascii="Palatino Linotype" w:eastAsia="Palatino Linotype" w:hAnsi="Palatino Linotype" w:cs="Palatino Linotype"/>
          <w:color w:val="000000"/>
        </w:rPr>
        <w:t xml:space="preserve">; en consecuencia, el ahora </w:t>
      </w:r>
      <w:r w:rsidRPr="00BF277E">
        <w:rPr>
          <w:rFonts w:ascii="Palatino Linotype" w:eastAsia="Palatino Linotype" w:hAnsi="Palatino Linotype" w:cs="Palatino Linotype"/>
          <w:b/>
          <w:bCs/>
          <w:color w:val="000000"/>
        </w:rPr>
        <w:t>RECURRENTE</w:t>
      </w:r>
      <w:r w:rsidRPr="00BF277E">
        <w:rPr>
          <w:rFonts w:ascii="Palatino Linotype" w:eastAsia="Palatino Linotype" w:hAnsi="Palatino Linotype" w:cs="Palatino Linotype"/>
          <w:color w:val="000000"/>
        </w:rPr>
        <w:t xml:space="preserve"> presentó su inconformidad </w:t>
      </w:r>
      <w:r w:rsidRPr="00BF277E">
        <w:rPr>
          <w:rFonts w:ascii="Palatino Linotype" w:eastAsia="Palatino Linotype" w:hAnsi="Palatino Linotype" w:cs="Palatino Linotype"/>
          <w:color w:val="000000"/>
        </w:rPr>
        <w:lastRenderedPageBreak/>
        <w:t xml:space="preserve">el día </w:t>
      </w:r>
      <w:r w:rsidRPr="00BF277E">
        <w:rPr>
          <w:rFonts w:ascii="Palatino Linotype" w:eastAsia="Palatino Linotype" w:hAnsi="Palatino Linotype" w:cs="Palatino Linotype"/>
          <w:b/>
          <w:bCs/>
          <w:color w:val="000000"/>
        </w:rPr>
        <w:t>diecinueve de marzo de dos mil veintiséis</w:t>
      </w:r>
      <w:r w:rsidRPr="00BF277E">
        <w:rPr>
          <w:rFonts w:ascii="Palatino Linotype" w:eastAsia="Palatino Linotype" w:hAnsi="Palatino Linotype" w:cs="Palatino Linotype"/>
          <w:color w:val="000000"/>
        </w:rPr>
        <w:t>; es decir dentro del lapso legalmente establecido para tal efecto.</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t>Por</w:t>
      </w:r>
      <w:r w:rsidRPr="00BF277E">
        <w:rPr>
          <w:rFonts w:ascii="Palatino Linotype" w:eastAsia="Palatino Linotype" w:hAnsi="Palatino Linotype" w:cs="Palatino Linotype"/>
        </w:rPr>
        <w:t xml:space="preserve">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r w:rsidRPr="00BF277E">
        <w:rPr>
          <w:rFonts w:ascii="Palatino Linotype" w:eastAsia="Palatino Linotype" w:hAnsi="Palatino Linotype" w:cs="Palatino Linotype"/>
          <w:b/>
          <w:bCs/>
          <w:i/>
          <w:iCs/>
        </w:rPr>
        <w:t>Las solicitudes anónimas</w:t>
      </w:r>
      <w:r w:rsidRPr="00BF277E">
        <w:rPr>
          <w:rFonts w:ascii="Palatino Linotype" w:eastAsia="Palatino Linotype" w:hAnsi="Palatino Linotype" w:cs="Palatino Linotype"/>
          <w:i/>
          <w:iCs/>
        </w:rPr>
        <w:t xml:space="preserve">, con nombre incompleto o seudónimo </w:t>
      </w:r>
      <w:r w:rsidRPr="00BF277E">
        <w:rPr>
          <w:rFonts w:ascii="Palatino Linotype" w:eastAsia="Palatino Linotype" w:hAnsi="Palatino Linotype" w:cs="Palatino Linotype"/>
          <w:b/>
          <w:bCs/>
          <w:i/>
          <w:iCs/>
        </w:rPr>
        <w:t>serán procedentes para su trámite por parte del sujeto obligado ante quien se presente</w:t>
      </w:r>
      <w:r w:rsidRPr="00BF277E">
        <w:rPr>
          <w:rFonts w:ascii="Palatino Linotype" w:eastAsia="Palatino Linotype" w:hAnsi="Palatino Linotype" w:cs="Palatino Linotype"/>
          <w:i/>
          <w:iCs/>
        </w:rPr>
        <w:t>. No podrá requerirse información adicional con motivo del nombre proporcionado por el solicitante."</w:t>
      </w:r>
    </w:p>
    <w:p w:rsidR="00AE6351" w:rsidRPr="00BF277E" w:rsidRDefault="00AE6351">
      <w:pPr>
        <w:spacing w:line="360" w:lineRule="auto"/>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t>Robusteciendo</w:t>
      </w:r>
      <w:r w:rsidRPr="00BF277E">
        <w:rPr>
          <w:rFonts w:ascii="Palatino Linotype" w:eastAsia="Palatino Linotype" w:hAnsi="Palatino Linotype" w:cs="Palatino Linotype"/>
        </w:rPr>
        <w:t xml:space="preserve"> lo anterior se encuentra lo dispuesto en el artículo 6, Apartado A, fracciones III de la Constitución Política de los Estados Unidos Mexicanos que establece:</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r w:rsidRPr="00BF277E">
        <w:rPr>
          <w:rFonts w:ascii="Palatino Linotype" w:eastAsia="Palatino Linotype" w:hAnsi="Palatino Linotype" w:cs="Palatino Linotype"/>
          <w:b/>
          <w:bCs/>
          <w:i/>
          <w:iCs/>
        </w:rPr>
        <w:t>Artículo 6.-</w:t>
      </w:r>
      <w:r w:rsidRPr="00BF277E">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Para efectos de lo dispuesto en el presente artículo se observará lo siguiente:</w:t>
      </w:r>
    </w:p>
    <w:p w:rsidR="00AE6351" w:rsidRPr="00BF277E" w:rsidRDefault="00AE6351">
      <w:pPr>
        <w:ind w:left="1134" w:right="277"/>
        <w:jc w:val="both"/>
        <w:rPr>
          <w:rFonts w:ascii="Palatino Linotype" w:eastAsia="Palatino Linotype" w:hAnsi="Palatino Linotype" w:cs="Palatino Linotype"/>
          <w:i/>
          <w:iCs/>
        </w:rPr>
      </w:pP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AE6351" w:rsidRPr="00BF277E" w:rsidRDefault="00AE6351">
      <w:pPr>
        <w:ind w:left="1134" w:right="277"/>
        <w:jc w:val="both"/>
        <w:rPr>
          <w:rFonts w:ascii="Palatino Linotype" w:eastAsia="Palatino Linotype" w:hAnsi="Palatino Linotype" w:cs="Palatino Linotype"/>
          <w:i/>
          <w:iCs/>
        </w:rPr>
      </w:pP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lastRenderedPageBreak/>
        <w:t xml:space="preserve">III. Toda persona, sin necesidad de acreditar interés alguno o justificar su utilización, tendrá acceso gratuito a la información pública, a sus datos personales o a la rectificación de éstos.” </w:t>
      </w:r>
      <w:r w:rsidRPr="00BF277E">
        <w:rPr>
          <w:rFonts w:ascii="Palatino Linotype" w:eastAsia="Palatino Linotype" w:hAnsi="Palatino Linotype" w:cs="Palatino Linotype"/>
        </w:rPr>
        <w:t>(Sic)</w:t>
      </w:r>
    </w:p>
    <w:p w:rsidR="00AE6351" w:rsidRPr="00BF277E" w:rsidRDefault="00AE6351">
      <w:pPr>
        <w:spacing w:line="360" w:lineRule="auto"/>
        <w:ind w:left="567" w:right="474"/>
        <w:jc w:val="both"/>
        <w:rPr>
          <w:rFonts w:ascii="Palatino Linotype" w:eastAsia="Palatino Linotype" w:hAnsi="Palatino Linotype" w:cs="Palatino Linotype"/>
          <w:i/>
          <w:iCs/>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Así como el artículo 5 fracción III, párrafo vigésimo noveno, trigésimo y trigésimo primero, de la Constitución Política del Estado Libre y Soberano de México, que determina lo siguiente:</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r w:rsidRPr="00BF277E">
        <w:rPr>
          <w:rFonts w:ascii="Palatino Linotype" w:eastAsia="Palatino Linotype" w:hAnsi="Palatino Linotype" w:cs="Palatino Linotype"/>
          <w:b/>
          <w:bCs/>
          <w:i/>
          <w:iCs/>
        </w:rPr>
        <w:t>Artículo 5.-</w:t>
      </w:r>
      <w:r w:rsidRPr="00BF277E">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w:t>
      </w:r>
      <w:r w:rsidRPr="00BF277E">
        <w:rPr>
          <w:rFonts w:ascii="Palatino Linotype" w:eastAsia="Palatino Linotype" w:hAnsi="Palatino Linotype" w:cs="Palatino Linotype"/>
          <w:i/>
          <w:iCs/>
        </w:rPr>
        <w:lastRenderedPageBreak/>
        <w:t xml:space="preserve">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BF277E">
        <w:rPr>
          <w:rFonts w:ascii="Palatino Linotype" w:eastAsia="Palatino Linotype" w:hAnsi="Palatino Linotype" w:cs="Palatino Linotype"/>
        </w:rPr>
        <w:t>(Sic)</w:t>
      </w:r>
    </w:p>
    <w:p w:rsidR="00AE6351" w:rsidRPr="00BF277E" w:rsidRDefault="00AE6351">
      <w:pPr>
        <w:spacing w:line="360" w:lineRule="auto"/>
        <w:ind w:left="426" w:right="277"/>
        <w:jc w:val="both"/>
        <w:rPr>
          <w:rFonts w:ascii="Palatino Linotype" w:eastAsia="Palatino Linotype" w:hAnsi="Palatino Linotype" w:cs="Palatino Linotype"/>
          <w:i/>
          <w:iCs/>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t>Por</w:t>
      </w:r>
      <w:r w:rsidRPr="00BF277E">
        <w:rPr>
          <w:rFonts w:ascii="Palatino Linotype" w:eastAsia="Palatino Linotype" w:hAnsi="Palatino Linotype" w:cs="Palatino Linotype"/>
        </w:rPr>
        <w:t xml:space="preserve"> otra parte, del contenido del artículo 1 de la Constitución Política de los Estados Unidos mexicanos, se destaca lo siguiente:</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r w:rsidRPr="00BF277E">
        <w:rPr>
          <w:rFonts w:ascii="Palatino Linotype" w:eastAsia="Palatino Linotype" w:hAnsi="Palatino Linotype" w:cs="Palatino Linotype"/>
          <w:b/>
          <w:bCs/>
          <w:i/>
          <w:iCs/>
        </w:rPr>
        <w:t>Artículo 1</w:t>
      </w:r>
      <w:r w:rsidRPr="00BF277E">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AE6351" w:rsidRPr="00BF277E" w:rsidRDefault="00AE6351">
      <w:pPr>
        <w:ind w:left="1134" w:right="900"/>
        <w:jc w:val="both"/>
        <w:rPr>
          <w:rFonts w:ascii="Palatino Linotype" w:eastAsia="Palatino Linotype" w:hAnsi="Palatino Linotype" w:cs="Palatino Linotype"/>
          <w:i/>
          <w:iCs/>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BF277E">
        <w:rPr>
          <w:rFonts w:ascii="Palatino Linotype" w:eastAsia="Palatino Linotype" w:hAnsi="Palatino Linotype" w:cs="Palatino Linotype"/>
          <w:i/>
          <w:iCs/>
        </w:rPr>
        <w:t>derecho fundamental exime a quien lo ejerce</w:t>
      </w:r>
      <w:r w:rsidRPr="00BF277E">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AE6351" w:rsidRPr="00BF277E" w:rsidRDefault="00AE6351">
      <w:pPr>
        <w:spacing w:line="360" w:lineRule="auto"/>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lastRenderedPageBreak/>
        <w:t xml:space="preserve">En </w:t>
      </w:r>
      <w:r w:rsidRPr="00BF277E">
        <w:rPr>
          <w:rFonts w:ascii="Palatino Linotype" w:eastAsia="Palatino Linotype" w:hAnsi="Palatino Linotype" w:cs="Palatino Linotype"/>
          <w:color w:val="000000"/>
        </w:rPr>
        <w:t>consecuencia</w:t>
      </w:r>
      <w:r w:rsidRPr="00BF277E">
        <w:rPr>
          <w:rFonts w:ascii="Palatino Linotype" w:eastAsia="Palatino Linotype" w:hAnsi="Palatino Linotype" w:cs="Palatino Linotype"/>
        </w:rPr>
        <w:t xml:space="preserve">, dado lo expuesto y fundado con anterioridad, se estima que el requisito relativo al nombre del </w:t>
      </w:r>
      <w:r w:rsidRPr="00BF277E">
        <w:rPr>
          <w:rFonts w:ascii="Palatino Linotype" w:eastAsia="Palatino Linotype" w:hAnsi="Palatino Linotype" w:cs="Palatino Linotype"/>
          <w:b/>
          <w:bCs/>
        </w:rPr>
        <w:t>RECURRENTE</w:t>
      </w:r>
      <w:r w:rsidRPr="00BF277E">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pStyle w:val="Ttulo1"/>
        <w:spacing w:before="0" w:line="360" w:lineRule="auto"/>
        <w:ind w:right="-787"/>
        <w:rPr>
          <w:rFonts w:ascii="Palatino Linotype" w:eastAsia="Palatino Linotype" w:hAnsi="Palatino Linotype" w:cs="Palatino Linotype"/>
          <w:b/>
          <w:bCs/>
          <w:color w:val="000000"/>
          <w:sz w:val="24"/>
          <w:szCs w:val="24"/>
        </w:rPr>
      </w:pPr>
      <w:bookmarkStart w:id="10" w:name="_heading=h.2s8eyo1" w:colFirst="0" w:colLast="0"/>
      <w:bookmarkEnd w:id="10"/>
      <w:r w:rsidRPr="00BF277E">
        <w:rPr>
          <w:rFonts w:ascii="Palatino Linotype" w:eastAsia="Palatino Linotype" w:hAnsi="Palatino Linotype" w:cs="Palatino Linotype"/>
          <w:b/>
          <w:bCs/>
          <w:color w:val="000000"/>
          <w:sz w:val="24"/>
          <w:szCs w:val="24"/>
        </w:rPr>
        <w:t xml:space="preserve">TERCERO. Del planteamiento de la </w:t>
      </w:r>
      <w:r w:rsidRPr="00BF277E">
        <w:rPr>
          <w:rFonts w:ascii="Palatino Linotype" w:eastAsia="Palatino Linotype" w:hAnsi="Palatino Linotype" w:cs="Palatino Linotype"/>
          <w:b/>
          <w:bCs/>
          <w:i/>
          <w:iCs/>
          <w:color w:val="000000"/>
          <w:sz w:val="24"/>
          <w:szCs w:val="24"/>
        </w:rPr>
        <w:t>Litis</w:t>
      </w:r>
      <w:r w:rsidRPr="00BF277E">
        <w:rPr>
          <w:rFonts w:ascii="Palatino Linotype" w:eastAsia="Palatino Linotype" w:hAnsi="Palatino Linotype" w:cs="Palatino Linotype"/>
          <w:b/>
          <w:bCs/>
          <w:color w:val="000000"/>
          <w:sz w:val="24"/>
          <w:szCs w:val="24"/>
        </w:rPr>
        <w:t>.</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BF277E">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BF277E">
        <w:rPr>
          <w:rFonts w:ascii="Palatino Linotype" w:eastAsia="Palatino Linotype" w:hAnsi="Palatino Linotype" w:cs="Palatino Linotype"/>
          <w:b/>
          <w:bCs/>
          <w:i/>
          <w:iCs/>
          <w:color w:val="000000"/>
        </w:rPr>
        <w:t xml:space="preserve">1.- Cinco contratos que firman con los maestros que imparten clases en la Universidad Digital del Estado de México. </w:t>
      </w:r>
    </w:p>
    <w:p w:rsidR="00AE6351" w:rsidRPr="00BF277E" w:rsidRDefault="00AE6351">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color w:val="000000"/>
        </w:rPr>
        <w:t xml:space="preserve">En respuesta, el </w:t>
      </w:r>
      <w:r w:rsidRPr="00BF277E">
        <w:rPr>
          <w:rFonts w:ascii="Palatino Linotype" w:eastAsia="Palatino Linotype" w:hAnsi="Palatino Linotype" w:cs="Palatino Linotype"/>
          <w:b/>
          <w:bCs/>
          <w:color w:val="000000"/>
        </w:rPr>
        <w:t xml:space="preserve">SUJETO OBLIGADO </w:t>
      </w:r>
      <w:r w:rsidRPr="00BF277E">
        <w:rPr>
          <w:rFonts w:ascii="Palatino Linotype" w:eastAsia="Palatino Linotype" w:hAnsi="Palatino Linotype" w:cs="Palatino Linotype"/>
        </w:rPr>
        <w:t>entregó</w:t>
      </w:r>
      <w:r w:rsidRPr="00BF277E">
        <w:rPr>
          <w:rFonts w:ascii="Palatino Linotype" w:eastAsia="Palatino Linotype" w:hAnsi="Palatino Linotype" w:cs="Palatino Linotype"/>
          <w:color w:val="000000"/>
        </w:rPr>
        <w:t xml:space="preserve"> la información que fue descrita en el párrafo tres de la presente resolución.  </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lastRenderedPageBreak/>
        <w:t xml:space="preserve">En dichas condiciones, la </w:t>
      </w:r>
      <w:r w:rsidRPr="00BF277E">
        <w:rPr>
          <w:rFonts w:ascii="Palatino Linotype" w:eastAsia="Palatino Linotype" w:hAnsi="Palatino Linotype" w:cs="Palatino Linotype"/>
          <w:i/>
          <w:iCs/>
          <w:color w:val="000000"/>
        </w:rPr>
        <w:t>Litis</w:t>
      </w:r>
      <w:r w:rsidRPr="00BF277E">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BF277E">
        <w:rPr>
          <w:rFonts w:ascii="Palatino Linotype" w:eastAsia="Palatino Linotype" w:hAnsi="Palatino Linotype" w:cs="Palatino Linotype"/>
          <w:b/>
          <w:bCs/>
          <w:color w:val="000000"/>
        </w:rPr>
        <w:t xml:space="preserve">fracción I </w:t>
      </w:r>
      <w:r w:rsidRPr="00BF277E">
        <w:rPr>
          <w:rFonts w:ascii="Palatino Linotype" w:eastAsia="Palatino Linotype" w:hAnsi="Palatino Linotype" w:cs="Palatino Linotype"/>
          <w:color w:val="000000"/>
        </w:rPr>
        <w:t>de la Ley</w:t>
      </w:r>
      <w:r w:rsidRPr="00BF277E">
        <w:rPr>
          <w:rFonts w:ascii="Palatino Linotype" w:eastAsia="Palatino Linotype" w:hAnsi="Palatino Linotype" w:cs="Palatino Linotype"/>
          <w:b/>
          <w:bCs/>
          <w:color w:val="000000"/>
        </w:rPr>
        <w:t xml:space="preserve"> de Transparencia y Acceso a la Información Pública del Estado de </w:t>
      </w:r>
      <w:r w:rsidRPr="00BF277E">
        <w:rPr>
          <w:rFonts w:ascii="Palatino Linotype" w:eastAsia="Palatino Linotype" w:hAnsi="Palatino Linotype" w:cs="Palatino Linotype"/>
          <w:color w:val="000000"/>
        </w:rPr>
        <w:t>México</w:t>
      </w:r>
      <w:r w:rsidRPr="00BF277E">
        <w:rPr>
          <w:rFonts w:ascii="Palatino Linotype" w:eastAsia="Palatino Linotype" w:hAnsi="Palatino Linotype" w:cs="Palatino Linotype"/>
          <w:b/>
          <w:bCs/>
          <w:color w:val="000000"/>
        </w:rPr>
        <w:t xml:space="preserve"> y Municipios</w:t>
      </w:r>
      <w:r w:rsidRPr="00BF277E">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BF277E">
        <w:rPr>
          <w:rFonts w:ascii="Palatino Linotype" w:eastAsia="Palatino Linotype" w:hAnsi="Palatino Linotype" w:cs="Palatino Linotype"/>
          <w:b/>
          <w:bCs/>
          <w:color w:val="000000"/>
        </w:rPr>
        <w:t xml:space="preserve">EL RECURRENTE </w:t>
      </w:r>
      <w:r w:rsidRPr="00BF277E">
        <w:rPr>
          <w:rFonts w:ascii="Palatino Linotype" w:eastAsia="Palatino Linotype" w:hAnsi="Palatino Linotype" w:cs="Palatino Linotype"/>
          <w:color w:val="000000"/>
        </w:rPr>
        <w:t>al momento de interponer su inconformidad.</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De modo tal que el presente recurso de revisión se </w:t>
      </w:r>
      <w:r w:rsidRPr="00BF277E">
        <w:rPr>
          <w:rFonts w:ascii="Palatino Linotype" w:eastAsia="Palatino Linotype" w:hAnsi="Palatino Linotype" w:cs="Palatino Linotype"/>
        </w:rPr>
        <w:t>abocara</w:t>
      </w:r>
      <w:r w:rsidRPr="00BF277E">
        <w:rPr>
          <w:rFonts w:ascii="Palatino Linotype" w:eastAsia="Palatino Linotype" w:hAnsi="Palatino Linotype" w:cs="Palatino Linotype"/>
          <w:color w:val="000000"/>
        </w:rPr>
        <w:t xml:space="preserve"> en determinar si el </w:t>
      </w:r>
      <w:r w:rsidRPr="00BF277E">
        <w:rPr>
          <w:rFonts w:ascii="Palatino Linotype" w:eastAsia="Palatino Linotype" w:hAnsi="Palatino Linotype" w:cs="Palatino Linotype"/>
          <w:b/>
          <w:bCs/>
          <w:color w:val="000000"/>
        </w:rPr>
        <w:t>SUJETO OBLIGADO</w:t>
      </w:r>
      <w:r w:rsidRPr="00BF277E">
        <w:rPr>
          <w:rFonts w:ascii="Palatino Linotype" w:eastAsia="Palatino Linotype" w:hAnsi="Palatino Linotype" w:cs="Palatino Linotype"/>
          <w:color w:val="000000"/>
        </w:rPr>
        <w:t xml:space="preserve"> con su respuesta ciertamente actualiza la causal de procedencia</w:t>
      </w:r>
      <w:r w:rsidRPr="00BF277E">
        <w:rPr>
          <w:rFonts w:ascii="Palatino Linotype" w:eastAsia="Palatino Linotype" w:hAnsi="Palatino Linotype" w:cs="Palatino Linotype"/>
          <w:b/>
          <w:bCs/>
          <w:color w:val="000000"/>
        </w:rPr>
        <w:t xml:space="preserve"> </w:t>
      </w:r>
      <w:r w:rsidRPr="00BF277E">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AE6351" w:rsidRPr="00BF277E" w:rsidRDefault="00AE6351">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rsidR="00AE6351" w:rsidRPr="00BF277E" w:rsidRDefault="00324290">
      <w:pPr>
        <w:keepNext/>
        <w:keepLines/>
        <w:spacing w:line="360" w:lineRule="auto"/>
        <w:ind w:right="-787"/>
        <w:rPr>
          <w:rFonts w:ascii="Palatino Linotype" w:eastAsia="Palatino Linotype" w:hAnsi="Palatino Linotype" w:cs="Palatino Linotype"/>
          <w:b/>
          <w:bCs/>
          <w:color w:val="000000"/>
        </w:rPr>
      </w:pPr>
      <w:r w:rsidRPr="00BF277E">
        <w:rPr>
          <w:rFonts w:ascii="Palatino Linotype" w:eastAsia="Palatino Linotype" w:hAnsi="Palatino Linotype" w:cs="Palatino Linotype"/>
          <w:b/>
          <w:bCs/>
          <w:color w:val="000000"/>
        </w:rPr>
        <w:t>CUARTO. Del estudio y resolución del estudio.</w:t>
      </w:r>
    </w:p>
    <w:p w:rsidR="00AE6351" w:rsidRPr="00BF277E" w:rsidRDefault="00324290">
      <w:pPr>
        <w:keepNext/>
        <w:keepLines/>
        <w:numPr>
          <w:ilvl w:val="0"/>
          <w:numId w:val="4"/>
        </w:numPr>
        <w:spacing w:after="240" w:line="360" w:lineRule="auto"/>
        <w:ind w:left="786" w:right="-787"/>
        <w:rPr>
          <w:rFonts w:ascii="Palatino Linotype" w:eastAsia="Palatino Linotype" w:hAnsi="Palatino Linotype" w:cs="Palatino Linotype"/>
          <w:b/>
          <w:bCs/>
          <w:color w:val="000000"/>
        </w:rPr>
      </w:pPr>
      <w:bookmarkStart w:id="11" w:name="_heading=h.17dp8vu" w:colFirst="0" w:colLast="0"/>
      <w:bookmarkEnd w:id="11"/>
      <w:r w:rsidRPr="00BF277E">
        <w:rPr>
          <w:rFonts w:ascii="Palatino Linotype" w:eastAsia="Palatino Linotype" w:hAnsi="Palatino Linotype" w:cs="Palatino Linotype"/>
          <w:b/>
          <w:bCs/>
          <w:color w:val="000000"/>
        </w:rPr>
        <w:t>Del derecho de acceso a la información.</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AE6351" w:rsidRPr="00BF277E" w:rsidRDefault="00324290">
      <w:pPr>
        <w:numPr>
          <w:ilvl w:val="0"/>
          <w:numId w:val="3"/>
        </w:numPr>
        <w:spacing w:before="240"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lastRenderedPageBreak/>
        <w:t xml:space="preserve">Definiendo el Derecho de Acceso a la Información Pública como: </w:t>
      </w:r>
      <w:r w:rsidRPr="00BF277E">
        <w:rPr>
          <w:rFonts w:ascii="Palatino Linotype" w:eastAsia="Palatino Linotype" w:hAnsi="Palatino Linotype" w:cs="Palatino Linotype"/>
          <w:i/>
          <w:iCs/>
          <w:color w:val="000000"/>
        </w:rPr>
        <w:t>La igualdad de oportunidades para recibir, buscar e impartir información</w:t>
      </w:r>
      <w:r w:rsidRPr="00BF277E">
        <w:rPr>
          <w:rFonts w:ascii="Palatino Linotype" w:eastAsia="Palatino Linotype" w:hAnsi="Palatino Linotype" w:cs="Palatino Linotype"/>
          <w:i/>
          <w:iCs/>
          <w:vertAlign w:val="superscript"/>
        </w:rPr>
        <w:footnoteReference w:id="1"/>
      </w:r>
      <w:r w:rsidRPr="00BF277E">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BF277E">
        <w:rPr>
          <w:rFonts w:ascii="Palatino Linotype" w:eastAsia="Palatino Linotype" w:hAnsi="Palatino Linotype" w:cs="Palatino Linotype"/>
          <w:i/>
          <w:iCs/>
          <w:vertAlign w:val="superscript"/>
        </w:rPr>
        <w:footnoteReference w:id="2"/>
      </w:r>
      <w:r w:rsidRPr="00BF277E">
        <w:rPr>
          <w:rFonts w:ascii="Palatino Linotype" w:eastAsia="Palatino Linotype" w:hAnsi="Palatino Linotype" w:cs="Palatino Linotype"/>
          <w:color w:val="000000"/>
        </w:rPr>
        <w:t>que se constituye como una herramienta fundamental para ejercer</w:t>
      </w:r>
      <w:r w:rsidRPr="00BF277E">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BF277E">
        <w:rPr>
          <w:rFonts w:ascii="Palatino Linotype" w:eastAsia="Palatino Linotype" w:hAnsi="Palatino Linotype" w:cs="Palatino Linotype"/>
          <w:i/>
          <w:iCs/>
          <w:vertAlign w:val="superscript"/>
        </w:rPr>
        <w:footnoteReference w:id="3"/>
      </w:r>
      <w:r w:rsidRPr="00BF277E">
        <w:rPr>
          <w:rFonts w:ascii="Palatino Linotype" w:eastAsia="Palatino Linotype" w:hAnsi="Palatino Linotype" w:cs="Palatino Linotype"/>
          <w:color w:val="000000"/>
        </w:rPr>
        <w:t>fomentando</w:t>
      </w:r>
      <w:r w:rsidRPr="00BF277E">
        <w:rPr>
          <w:rFonts w:ascii="Palatino Linotype" w:eastAsia="Palatino Linotype" w:hAnsi="Palatino Linotype" w:cs="Palatino Linotype"/>
          <w:i/>
          <w:iCs/>
          <w:color w:val="000000"/>
        </w:rPr>
        <w:t xml:space="preserve"> la transparencia de las actividades estatales y </w:t>
      </w:r>
      <w:r w:rsidRPr="00BF277E">
        <w:rPr>
          <w:rFonts w:ascii="Palatino Linotype" w:eastAsia="Palatino Linotype" w:hAnsi="Palatino Linotype" w:cs="Palatino Linotype"/>
          <w:color w:val="000000"/>
        </w:rPr>
        <w:t>promoviendo</w:t>
      </w:r>
      <w:r w:rsidRPr="00BF277E">
        <w:rPr>
          <w:rFonts w:ascii="Palatino Linotype" w:eastAsia="Palatino Linotype" w:hAnsi="Palatino Linotype" w:cs="Palatino Linotype"/>
          <w:i/>
          <w:iCs/>
          <w:color w:val="000000"/>
        </w:rPr>
        <w:t xml:space="preserve"> la responsabilidad de los funcionarios sobre su gestión pública,</w:t>
      </w:r>
      <w:r w:rsidRPr="00BF277E">
        <w:rPr>
          <w:rFonts w:ascii="Palatino Linotype" w:eastAsia="Palatino Linotype" w:hAnsi="Palatino Linotype" w:cs="Palatino Linotype"/>
          <w:i/>
          <w:iCs/>
          <w:vertAlign w:val="superscript"/>
        </w:rPr>
        <w:footnoteReference w:id="4"/>
      </w:r>
      <w:r w:rsidRPr="00BF277E">
        <w:rPr>
          <w:rFonts w:ascii="Palatino Linotype" w:eastAsia="Palatino Linotype" w:hAnsi="Palatino Linotype" w:cs="Palatino Linotype"/>
          <w:color w:val="000000"/>
        </w:rPr>
        <w:t>que permite</w:t>
      </w:r>
      <w:r w:rsidRPr="00BF277E">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r w:rsidRPr="00BF277E">
        <w:rPr>
          <w:rFonts w:ascii="Palatino Linotype" w:eastAsia="Palatino Linotype" w:hAnsi="Palatino Linotype" w:cs="Palatino Linotype"/>
          <w:b/>
          <w:bCs/>
          <w:i/>
          <w:iCs/>
        </w:rPr>
        <w:t>Artículo 1.-</w:t>
      </w:r>
      <w:r w:rsidRPr="00BF277E">
        <w:rPr>
          <w:rFonts w:ascii="Palatino Linotype" w:eastAsia="Palatino Linotype" w:hAnsi="Palatino Linotype" w:cs="Palatino Linotype"/>
          <w:i/>
          <w:iCs/>
        </w:rPr>
        <w:t xml:space="preserve"> </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p>
    <w:p w:rsidR="00AE6351" w:rsidRPr="00BF277E" w:rsidRDefault="00324290">
      <w:pP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Todas las</w:t>
      </w:r>
      <w:r w:rsidRPr="00BF277E">
        <w:rPr>
          <w:rFonts w:ascii="Palatino Linotype" w:eastAsia="Palatino Linotype" w:hAnsi="Palatino Linotype" w:cs="Palatino Linotype"/>
        </w:rPr>
        <w:t xml:space="preserve"> </w:t>
      </w:r>
      <w:r w:rsidRPr="00BF277E">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w:t>
      </w:r>
      <w:r w:rsidRPr="00BF277E">
        <w:rPr>
          <w:rFonts w:ascii="Palatino Linotype" w:eastAsia="Palatino Linotype" w:hAnsi="Palatino Linotype" w:cs="Palatino Linotype"/>
          <w:i/>
          <w:iCs/>
        </w:rPr>
        <w:lastRenderedPageBreak/>
        <w:t>y reparar las violaciones a los derechos humanos, en los términos que establezca la ley.</w:t>
      </w:r>
    </w:p>
    <w:p w:rsidR="00AE6351" w:rsidRPr="00BF277E" w:rsidRDefault="00324290">
      <w:pPr>
        <w:ind w:left="1134" w:right="277"/>
        <w:jc w:val="both"/>
        <w:rPr>
          <w:rFonts w:ascii="Palatino Linotype" w:eastAsia="Palatino Linotype" w:hAnsi="Palatino Linotype" w:cs="Palatino Linotype"/>
        </w:rPr>
      </w:pPr>
      <w:r w:rsidRPr="00BF277E">
        <w:rPr>
          <w:rFonts w:ascii="Palatino Linotype" w:eastAsia="Palatino Linotype" w:hAnsi="Palatino Linotype" w:cs="Palatino Linotype"/>
          <w:i/>
          <w:iCs/>
        </w:rPr>
        <w:t>(…)</w:t>
      </w:r>
      <w:r w:rsidRPr="00BF277E">
        <w:rPr>
          <w:rFonts w:ascii="Palatino Linotype" w:eastAsia="Palatino Linotype" w:hAnsi="Palatino Linotype" w:cs="Palatino Linotype"/>
        </w:rPr>
        <w:t>”.</w:t>
      </w:r>
    </w:p>
    <w:p w:rsidR="00AE6351" w:rsidRPr="00BF277E" w:rsidRDefault="00AE6351">
      <w:pPr>
        <w:ind w:right="277"/>
        <w:jc w:val="both"/>
        <w:rPr>
          <w:rFonts w:ascii="Palatino Linotype" w:eastAsia="Palatino Linotype" w:hAnsi="Palatino Linotype" w:cs="Palatino Linotype"/>
          <w:b/>
          <w:bCs/>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AE6351" w:rsidRPr="00BF277E" w:rsidRDefault="00324290">
      <w:pPr>
        <w:spacing w:after="240"/>
        <w:ind w:left="1134" w:right="277"/>
        <w:jc w:val="both"/>
        <w:rPr>
          <w:rFonts w:ascii="Palatino Linotype" w:eastAsia="Palatino Linotype" w:hAnsi="Palatino Linotype" w:cs="Palatino Linotype"/>
          <w:b/>
          <w:bCs/>
          <w:i/>
          <w:iCs/>
        </w:rPr>
      </w:pPr>
      <w:r w:rsidRPr="00BF277E">
        <w:rPr>
          <w:rFonts w:ascii="Palatino Linotype" w:eastAsia="Palatino Linotype" w:hAnsi="Palatino Linotype" w:cs="Palatino Linotype"/>
          <w:b/>
          <w:bCs/>
          <w:i/>
          <w:iCs/>
        </w:rPr>
        <w:t>Constitución Política de los Estados Unidos Mexicanos</w:t>
      </w:r>
    </w:p>
    <w:p w:rsidR="00AE6351" w:rsidRPr="00BF277E" w:rsidRDefault="00324290">
      <w:pPr>
        <w:spacing w:before="240" w:after="240"/>
        <w:ind w:left="1134" w:right="277"/>
        <w:jc w:val="both"/>
        <w:rPr>
          <w:rFonts w:ascii="Palatino Linotype" w:eastAsia="Palatino Linotype" w:hAnsi="Palatino Linotype" w:cs="Palatino Linotype"/>
          <w:b/>
          <w:bCs/>
          <w:i/>
          <w:iCs/>
        </w:rPr>
      </w:pPr>
      <w:r w:rsidRPr="00BF277E">
        <w:rPr>
          <w:rFonts w:ascii="Palatino Linotype" w:eastAsia="Palatino Linotype" w:hAnsi="Palatino Linotype" w:cs="Palatino Linotype"/>
          <w:b/>
          <w:bCs/>
          <w:i/>
          <w:iCs/>
        </w:rPr>
        <w:t>“Artículo 6.</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Para efectos de lo dispuesto en el presente artículo se observará lo siguiente:</w:t>
      </w:r>
    </w:p>
    <w:p w:rsidR="00AE6351" w:rsidRPr="00BF277E" w:rsidRDefault="00324290">
      <w:pPr>
        <w:spacing w:before="240" w:after="240"/>
        <w:ind w:left="1134" w:right="277"/>
        <w:jc w:val="both"/>
        <w:rPr>
          <w:rFonts w:ascii="Palatino Linotype" w:eastAsia="Palatino Linotype" w:hAnsi="Palatino Linotype" w:cs="Palatino Linotype"/>
          <w:b/>
          <w:bCs/>
          <w:i/>
          <w:iCs/>
        </w:rPr>
      </w:pPr>
      <w:r w:rsidRPr="00BF277E">
        <w:rPr>
          <w:rFonts w:ascii="Palatino Linotype" w:eastAsia="Palatino Linotype" w:hAnsi="Palatino Linotype" w:cs="Palatino Linotype"/>
          <w:b/>
          <w:bCs/>
          <w:i/>
          <w:iCs/>
        </w:rPr>
        <w:t>A</w:t>
      </w:r>
      <w:r w:rsidRPr="00BF277E">
        <w:rPr>
          <w:rFonts w:ascii="Palatino Linotype" w:eastAsia="Palatino Linotype" w:hAnsi="Palatino Linotype" w:cs="Palatino Linotype"/>
          <w:i/>
          <w:iCs/>
        </w:rPr>
        <w:t xml:space="preserve">. </w:t>
      </w:r>
      <w:r w:rsidRPr="00BF277E">
        <w:rPr>
          <w:rFonts w:ascii="Palatino Linotype" w:eastAsia="Palatino Linotype" w:hAnsi="Palatino Linotype" w:cs="Palatino Linotype"/>
          <w:b/>
          <w:bCs/>
          <w:i/>
          <w:iCs/>
        </w:rPr>
        <w:t>Para el ejercicio del derecho de acceso a la información</w:t>
      </w:r>
      <w:r w:rsidRPr="00BF277E">
        <w:rPr>
          <w:rFonts w:ascii="Palatino Linotype" w:eastAsia="Palatino Linotype" w:hAnsi="Palatino Linotype" w:cs="Palatino Linotype"/>
          <w:i/>
          <w:iCs/>
        </w:rPr>
        <w:t xml:space="preserve">, la Federación y </w:t>
      </w:r>
      <w:r w:rsidRPr="00BF277E">
        <w:rPr>
          <w:rFonts w:ascii="Palatino Linotype" w:eastAsia="Palatino Linotype" w:hAnsi="Palatino Linotype" w:cs="Palatino Linotype"/>
          <w:b/>
          <w:bCs/>
          <w:i/>
          <w:iCs/>
        </w:rPr>
        <w:t>las entidades federativas, en el ámbito de sus respectivas competencias, se regirán por los siguientes principios y bases:</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b/>
          <w:bCs/>
          <w:i/>
          <w:iCs/>
        </w:rPr>
        <w:t xml:space="preserve">I. </w:t>
      </w:r>
      <w:r w:rsidRPr="00BF277E">
        <w:rPr>
          <w:rFonts w:ascii="Palatino Linotype" w:eastAsia="Palatino Linotype" w:hAnsi="Palatino Linotype" w:cs="Palatino Linotype"/>
          <w:b/>
          <w:bCs/>
          <w:i/>
          <w:iCs/>
        </w:rPr>
        <w:tab/>
        <w:t>Toda la información en posesión de cualquier</w:t>
      </w:r>
      <w:r w:rsidRPr="00BF277E">
        <w:rPr>
          <w:rFonts w:ascii="Palatino Linotype" w:eastAsia="Palatino Linotype" w:hAnsi="Palatino Linotype" w:cs="Palatino Linotype"/>
          <w:i/>
          <w:iCs/>
        </w:rPr>
        <w:t xml:space="preserve"> </w:t>
      </w:r>
      <w:r w:rsidRPr="00BF277E">
        <w:rPr>
          <w:rFonts w:ascii="Palatino Linotype" w:eastAsia="Palatino Linotype" w:hAnsi="Palatino Linotype" w:cs="Palatino Linotype"/>
          <w:b/>
          <w:bCs/>
          <w:i/>
          <w:iCs/>
        </w:rPr>
        <w:t>autoridad</w:t>
      </w:r>
      <w:r w:rsidRPr="00BF277E">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F277E">
        <w:rPr>
          <w:rFonts w:ascii="Palatino Linotype" w:eastAsia="Palatino Linotype" w:hAnsi="Palatino Linotype" w:cs="Palatino Linotype"/>
          <w:b/>
          <w:bCs/>
          <w:i/>
          <w:iCs/>
        </w:rPr>
        <w:t>municipal</w:t>
      </w:r>
      <w:r w:rsidRPr="00BF277E">
        <w:rPr>
          <w:rFonts w:ascii="Palatino Linotype" w:eastAsia="Palatino Linotype" w:hAnsi="Palatino Linotype" w:cs="Palatino Linotype"/>
          <w:i/>
          <w:iCs/>
        </w:rPr>
        <w:t xml:space="preserve">, </w:t>
      </w:r>
      <w:r w:rsidRPr="00BF277E">
        <w:rPr>
          <w:rFonts w:ascii="Palatino Linotype" w:eastAsia="Palatino Linotype" w:hAnsi="Palatino Linotype" w:cs="Palatino Linotype"/>
          <w:b/>
          <w:bCs/>
          <w:i/>
          <w:iCs/>
        </w:rPr>
        <w:t>es pública</w:t>
      </w:r>
      <w:r w:rsidRPr="00BF277E">
        <w:rPr>
          <w:rFonts w:ascii="Palatino Linotype" w:eastAsia="Palatino Linotype" w:hAnsi="Palatino Linotype" w:cs="Palatino Linotype"/>
          <w:i/>
          <w:iCs/>
        </w:rPr>
        <w:t xml:space="preserve"> </w:t>
      </w:r>
      <w:r w:rsidRPr="00BF277E">
        <w:rPr>
          <w:rFonts w:ascii="Palatino Linotype" w:eastAsia="Palatino Linotype" w:hAnsi="Palatino Linotype" w:cs="Palatino Linotype"/>
          <w:i/>
          <w:iCs/>
        </w:rPr>
        <w:lastRenderedPageBreak/>
        <w:t xml:space="preserve">y sólo podrá ser reservada temporalmente por razones de interés público y seguridad nacional, en los términos que fijen las leyes. </w:t>
      </w:r>
      <w:r w:rsidRPr="00BF277E">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BF277E">
        <w:rPr>
          <w:rFonts w:ascii="Palatino Linotype" w:eastAsia="Palatino Linotype" w:hAnsi="Palatino Linotype" w:cs="Palatino Linotype"/>
          <w:i/>
          <w:iCs/>
        </w:rPr>
        <w:t>, la ley determinará los supuestos específicos bajo los cuales procederá la declaración de inexistencia de la información.”</w:t>
      </w:r>
    </w:p>
    <w:p w:rsidR="00AE6351" w:rsidRPr="00BF277E" w:rsidRDefault="00AE6351">
      <w:pPr>
        <w:pBdr>
          <w:top w:val="nil"/>
          <w:left w:val="nil"/>
          <w:bottom w:val="nil"/>
          <w:right w:val="nil"/>
          <w:between w:val="nil"/>
        </w:pBdr>
        <w:tabs>
          <w:tab w:val="left" w:pos="567"/>
        </w:tabs>
        <w:spacing w:before="240" w:after="240"/>
        <w:ind w:left="1134" w:right="277"/>
        <w:jc w:val="both"/>
        <w:rPr>
          <w:rFonts w:ascii="Palatino Linotype" w:eastAsia="Palatino Linotype" w:hAnsi="Palatino Linotype" w:cs="Palatino Linotype"/>
          <w:b/>
          <w:bCs/>
          <w:i/>
          <w:iCs/>
          <w:color w:val="000000"/>
        </w:rPr>
      </w:pPr>
    </w:p>
    <w:p w:rsidR="00AE6351" w:rsidRPr="00BF277E" w:rsidRDefault="00324290">
      <w:pPr>
        <w:spacing w:before="240" w:after="240"/>
        <w:ind w:left="1134" w:right="277"/>
        <w:jc w:val="both"/>
        <w:rPr>
          <w:rFonts w:ascii="Palatino Linotype" w:eastAsia="Palatino Linotype" w:hAnsi="Palatino Linotype" w:cs="Palatino Linotype"/>
          <w:b/>
          <w:bCs/>
          <w:i/>
          <w:iCs/>
        </w:rPr>
      </w:pPr>
      <w:r w:rsidRPr="00BF277E">
        <w:rPr>
          <w:rFonts w:ascii="Palatino Linotype" w:eastAsia="Palatino Linotype" w:hAnsi="Palatino Linotype" w:cs="Palatino Linotype"/>
          <w:b/>
          <w:bCs/>
          <w:i/>
          <w:iCs/>
        </w:rPr>
        <w:t>Constitución Política del Estado Libre y Soberano de México</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b/>
          <w:bCs/>
          <w:i/>
          <w:iCs/>
        </w:rPr>
        <w:t>“Artículo 5</w:t>
      </w:r>
      <w:r w:rsidRPr="00BF277E">
        <w:rPr>
          <w:rFonts w:ascii="Palatino Linotype" w:eastAsia="Palatino Linotype" w:hAnsi="Palatino Linotype" w:cs="Palatino Linotype"/>
          <w:i/>
          <w:iCs/>
        </w:rPr>
        <w:t xml:space="preserve">.- </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BF277E">
        <w:rPr>
          <w:rFonts w:ascii="Palatino Linotype" w:eastAsia="Palatino Linotype" w:hAnsi="Palatino Linotype" w:cs="Palatino Linotype"/>
          <w:i/>
          <w:iCs/>
        </w:rPr>
        <w:t>.</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b/>
          <w:bCs/>
          <w:i/>
          <w:iCs/>
        </w:rPr>
        <w:t>Este derecho se regirá por los principios y bases siguientes</w:t>
      </w:r>
      <w:r w:rsidRPr="00BF277E">
        <w:rPr>
          <w:rFonts w:ascii="Palatino Linotype" w:eastAsia="Palatino Linotype" w:hAnsi="Palatino Linotype" w:cs="Palatino Linotype"/>
          <w:i/>
          <w:iCs/>
        </w:rPr>
        <w:t>:</w:t>
      </w:r>
    </w:p>
    <w:p w:rsidR="00AE6351" w:rsidRPr="00BF277E" w:rsidRDefault="00324290">
      <w:pPr>
        <w:spacing w:before="240" w:after="240"/>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b/>
          <w:bCs/>
          <w:i/>
          <w:iCs/>
        </w:rPr>
        <w:t>I. Toda la información en posesión de cualquier autoridad, entidad, órgano y organismos de los</w:t>
      </w:r>
      <w:r w:rsidRPr="00BF277E">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BF277E">
        <w:rPr>
          <w:rFonts w:ascii="Palatino Linotype" w:eastAsia="Palatino Linotype" w:hAnsi="Palatino Linotype" w:cs="Palatino Linotype"/>
          <w:b/>
          <w:bCs/>
          <w:i/>
          <w:iCs/>
        </w:rPr>
        <w:t>municipales</w:t>
      </w:r>
      <w:r w:rsidRPr="00BF277E">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F277E">
        <w:rPr>
          <w:rFonts w:ascii="Palatino Linotype" w:eastAsia="Palatino Linotype" w:hAnsi="Palatino Linotype" w:cs="Palatino Linotype"/>
          <w:b/>
          <w:bCs/>
          <w:i/>
          <w:iCs/>
        </w:rPr>
        <w:t>es pública</w:t>
      </w:r>
      <w:r w:rsidRPr="00BF277E">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BF277E">
        <w:rPr>
          <w:rFonts w:ascii="Palatino Linotype" w:eastAsia="Palatino Linotype" w:hAnsi="Palatino Linotype" w:cs="Palatino Linotype"/>
          <w:b/>
          <w:bCs/>
          <w:i/>
          <w:iCs/>
        </w:rPr>
        <w:t xml:space="preserve">En la interpretación de este derecho deberá prevalecer el principio </w:t>
      </w:r>
      <w:r w:rsidRPr="00BF277E">
        <w:rPr>
          <w:rFonts w:ascii="Palatino Linotype" w:eastAsia="Palatino Linotype" w:hAnsi="Palatino Linotype" w:cs="Palatino Linotype"/>
          <w:b/>
          <w:bCs/>
          <w:i/>
          <w:iCs/>
        </w:rPr>
        <w:lastRenderedPageBreak/>
        <w:t>de máxima publicidad</w:t>
      </w:r>
      <w:r w:rsidRPr="00BF277E">
        <w:rPr>
          <w:rFonts w:ascii="Palatino Linotype" w:eastAsia="Palatino Linotype" w:hAnsi="Palatino Linotype" w:cs="Palatino Linotype"/>
          <w:i/>
          <w:iCs/>
        </w:rPr>
        <w:t xml:space="preserve">. </w:t>
      </w:r>
      <w:r w:rsidRPr="00BF277E">
        <w:rPr>
          <w:rFonts w:ascii="Palatino Linotype" w:eastAsia="Palatino Linotype" w:hAnsi="Palatino Linotype" w:cs="Palatino Linotype"/>
          <w:b/>
          <w:bCs/>
          <w:i/>
          <w:iCs/>
        </w:rPr>
        <w:t>Los sujetos obligados deberán documentar todo acto que derive del ejercicio de sus facultades, competencias o funciones</w:t>
      </w:r>
      <w:r w:rsidRPr="00BF277E">
        <w:rPr>
          <w:rFonts w:ascii="Palatino Linotype" w:eastAsia="Palatino Linotype" w:hAnsi="Palatino Linotype" w:cs="Palatino Linotype"/>
          <w:i/>
          <w:iCs/>
        </w:rPr>
        <w:t>, la ley determinará los supuestos específicos bajo los cuales procederá la declaración de inexistencia de la información.”</w:t>
      </w:r>
    </w:p>
    <w:p w:rsidR="00AE6351" w:rsidRPr="00BF277E" w:rsidRDefault="00AE6351">
      <w:pPr>
        <w:tabs>
          <w:tab w:val="left" w:pos="567"/>
        </w:tabs>
        <w:spacing w:before="240" w:after="240"/>
        <w:ind w:right="-787"/>
        <w:jc w:val="both"/>
        <w:rPr>
          <w:rFonts w:ascii="Palatino Linotype" w:eastAsia="Palatino Linotype" w:hAnsi="Palatino Linotype" w:cs="Palatino Linotype"/>
          <w:b/>
          <w:bCs/>
          <w:i/>
          <w:iCs/>
        </w:rPr>
      </w:pPr>
    </w:p>
    <w:p w:rsidR="00AE6351" w:rsidRPr="00BF277E" w:rsidRDefault="00324290">
      <w:pPr>
        <w:numPr>
          <w:ilvl w:val="0"/>
          <w:numId w:val="3"/>
        </w:numPr>
        <w:spacing w:before="240"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BF277E">
        <w:rPr>
          <w:rFonts w:ascii="Palatino Linotype" w:eastAsia="Palatino Linotype" w:hAnsi="Palatino Linotype" w:cs="Palatino Linotype"/>
          <w:i/>
          <w:iCs/>
        </w:rPr>
        <w:t>por los principios de simplicidad, rapidez gratuidad del procedimiento, auxilio y orientación a los particulares</w:t>
      </w:r>
      <w:r w:rsidRPr="00BF277E">
        <w:rPr>
          <w:rFonts w:ascii="Palatino Linotype" w:eastAsia="Palatino Linotype" w:hAnsi="Palatino Linotype" w:cs="Palatino Linotype"/>
        </w:rPr>
        <w:t>, contemplando el derecho de las personas con discapacidad y hablantes de lengua indígena.</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El Derecho de Acceso a la Información se garantiza y respeta oportunamente, y según lo que dispone la Ley, las </w:t>
      </w:r>
      <w:r w:rsidRPr="00BF277E">
        <w:rPr>
          <w:rFonts w:ascii="Palatino Linotype" w:eastAsia="Palatino Linotype" w:hAnsi="Palatino Linotype" w:cs="Palatino Linotype"/>
          <w:i/>
          <w:iCs/>
        </w:rPr>
        <w:t>solicitudes de acceso a la información</w:t>
      </w:r>
      <w:r w:rsidRPr="00BF277E">
        <w:rPr>
          <w:rFonts w:ascii="Palatino Linotype" w:eastAsia="Palatino Linotype" w:hAnsi="Palatino Linotype" w:cs="Palatino Linotype"/>
        </w:rPr>
        <w:t>.</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bookmarkStart w:id="12" w:name="_heading=h.3rdcrjn" w:colFirst="0" w:colLast="0"/>
      <w:bookmarkEnd w:id="12"/>
      <w:r w:rsidRPr="00BF277E">
        <w:rPr>
          <w:rFonts w:ascii="Palatino Linotype" w:eastAsia="Palatino Linotype" w:hAnsi="Palatino Linotype" w:cs="Palatino Linotype"/>
        </w:rPr>
        <w:t xml:space="preserve">Así entonces, se procede analizar, en primer lugar, si el </w:t>
      </w:r>
      <w:r w:rsidRPr="00BF277E">
        <w:rPr>
          <w:rFonts w:ascii="Palatino Linotype" w:eastAsia="Palatino Linotype" w:hAnsi="Palatino Linotype" w:cs="Palatino Linotype"/>
          <w:b/>
          <w:bCs/>
        </w:rPr>
        <w:t>SUJETO OBLIGADO</w:t>
      </w:r>
      <w:r w:rsidRPr="00BF277E">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pStyle w:val="Ttulo1"/>
        <w:spacing w:before="0" w:after="240" w:line="360" w:lineRule="auto"/>
        <w:ind w:right="-787"/>
        <w:rPr>
          <w:rFonts w:ascii="Palatino Linotype" w:eastAsia="Palatino Linotype" w:hAnsi="Palatino Linotype" w:cs="Palatino Linotype"/>
          <w:b/>
          <w:bCs/>
          <w:color w:val="000000"/>
          <w:sz w:val="24"/>
          <w:szCs w:val="24"/>
        </w:rPr>
      </w:pPr>
      <w:bookmarkStart w:id="13" w:name="_heading=h.26in1rg" w:colFirst="0" w:colLast="0"/>
      <w:bookmarkEnd w:id="13"/>
      <w:r w:rsidRPr="00BF277E">
        <w:rPr>
          <w:rFonts w:ascii="Palatino Linotype" w:eastAsia="Palatino Linotype" w:hAnsi="Palatino Linotype" w:cs="Palatino Linotype"/>
          <w:b/>
          <w:bCs/>
          <w:color w:val="000000"/>
          <w:sz w:val="24"/>
          <w:szCs w:val="24"/>
        </w:rPr>
        <w:t>II. De la información solicitada y la respuesta del SUJETO OBLIGADO</w:t>
      </w: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t xml:space="preserve">Acotada la </w:t>
      </w:r>
      <w:r w:rsidRPr="00BF277E">
        <w:rPr>
          <w:rFonts w:ascii="Palatino Linotype" w:eastAsia="Palatino Linotype" w:hAnsi="Palatino Linotype" w:cs="Palatino Linotype"/>
          <w:i/>
          <w:iCs/>
          <w:color w:val="000000"/>
        </w:rPr>
        <w:t>Litis</w:t>
      </w:r>
      <w:r w:rsidRPr="00BF277E">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negativa de la información solicitada. </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lastRenderedPageBreak/>
        <w:t xml:space="preserve">En ese sentido, es importante recordar la información que fue solicitada por el </w:t>
      </w:r>
      <w:r w:rsidRPr="00BF277E">
        <w:rPr>
          <w:rFonts w:ascii="Palatino Linotype" w:eastAsia="Palatino Linotype" w:hAnsi="Palatino Linotype" w:cs="Palatino Linotype"/>
          <w:b/>
          <w:bCs/>
        </w:rPr>
        <w:t xml:space="preserve">RECURRENTE </w:t>
      </w:r>
      <w:r w:rsidRPr="00BF277E">
        <w:rPr>
          <w:rFonts w:ascii="Palatino Linotype" w:eastAsia="Palatino Linotype" w:hAnsi="Palatino Linotype" w:cs="Palatino Linotype"/>
        </w:rPr>
        <w:t xml:space="preserve">así como la información proporcionada por el </w:t>
      </w:r>
      <w:r w:rsidRPr="00BF277E">
        <w:rPr>
          <w:rFonts w:ascii="Palatino Linotype" w:eastAsia="Palatino Linotype" w:hAnsi="Palatino Linotype" w:cs="Palatino Linotype"/>
          <w:b/>
          <w:bCs/>
        </w:rPr>
        <w:t xml:space="preserve">SUJETO OBLIGADO. </w:t>
      </w:r>
    </w:p>
    <w:p w:rsidR="00AE6351" w:rsidRPr="00BF277E" w:rsidRDefault="00AE6351">
      <w:pPr>
        <w:pBdr>
          <w:top w:val="nil"/>
          <w:left w:val="nil"/>
          <w:bottom w:val="nil"/>
          <w:right w:val="nil"/>
          <w:between w:val="nil"/>
        </w:pBdr>
        <w:ind w:left="786"/>
        <w:rPr>
          <w:rFonts w:ascii="Palatino Linotype" w:eastAsia="Palatino Linotype" w:hAnsi="Palatino Linotype" w:cs="Palatino Linotype"/>
          <w:b/>
          <w:bCs/>
          <w:i/>
          <w:iCs/>
          <w:color w:val="000000"/>
        </w:rPr>
      </w:pPr>
    </w:p>
    <w:tbl>
      <w:tblPr>
        <w:tblStyle w:val="a"/>
        <w:tblpPr w:leftFromText="141" w:rightFromText="141" w:vertAnchor="text" w:tblpX="623" w:tblpY="168"/>
        <w:tblW w:w="949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075"/>
        <w:gridCol w:w="3552"/>
        <w:gridCol w:w="2061"/>
        <w:gridCol w:w="1805"/>
      </w:tblGrid>
      <w:tr w:rsidR="00AE6351" w:rsidRPr="00BF277E" w:rsidTr="00AE6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5" w:type="dxa"/>
          </w:tcPr>
          <w:p w:rsidR="00AE6351" w:rsidRPr="00BF277E" w:rsidRDefault="00324290">
            <w:pPr>
              <w:rPr>
                <w:rFonts w:ascii="Palatino Linotype" w:eastAsia="Palatino Linotype" w:hAnsi="Palatino Linotype" w:cs="Palatino Linotype"/>
                <w:i/>
                <w:iCs/>
              </w:rPr>
            </w:pPr>
            <w:r w:rsidRPr="00BF277E">
              <w:rPr>
                <w:rFonts w:ascii="Palatino Linotype" w:eastAsia="Palatino Linotype" w:hAnsi="Palatino Linotype" w:cs="Palatino Linotype"/>
                <w:i/>
                <w:iCs/>
              </w:rPr>
              <w:t>Información solicitada</w:t>
            </w:r>
          </w:p>
        </w:tc>
        <w:tc>
          <w:tcPr>
            <w:tcW w:w="3552" w:type="dxa"/>
          </w:tcPr>
          <w:p w:rsidR="00AE6351" w:rsidRPr="00BF277E" w:rsidRDefault="00324290">
            <w:pP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BF277E">
              <w:rPr>
                <w:rFonts w:ascii="Palatino Linotype" w:eastAsia="Palatino Linotype" w:hAnsi="Palatino Linotype" w:cs="Palatino Linotype"/>
                <w:i/>
                <w:iCs/>
              </w:rPr>
              <w:t>Respuesta</w:t>
            </w:r>
          </w:p>
        </w:tc>
        <w:tc>
          <w:tcPr>
            <w:tcW w:w="2061" w:type="dxa"/>
          </w:tcPr>
          <w:p w:rsidR="00AE6351" w:rsidRPr="00BF277E" w:rsidRDefault="00324290">
            <w:pP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BF277E">
              <w:rPr>
                <w:rFonts w:ascii="Palatino Linotype" w:eastAsia="Palatino Linotype" w:hAnsi="Palatino Linotype" w:cs="Palatino Linotype"/>
                <w:i/>
                <w:iCs/>
              </w:rPr>
              <w:t>Informe justificado</w:t>
            </w:r>
          </w:p>
        </w:tc>
        <w:tc>
          <w:tcPr>
            <w:tcW w:w="1805" w:type="dxa"/>
          </w:tcPr>
          <w:p w:rsidR="00AE6351" w:rsidRPr="00BF277E" w:rsidRDefault="00324290">
            <w:pP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Colma </w:t>
            </w:r>
          </w:p>
        </w:tc>
      </w:tr>
      <w:tr w:rsidR="00AE6351" w:rsidRPr="00BF277E" w:rsidTr="00AE63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5" w:type="dxa"/>
          </w:tcPr>
          <w:p w:rsidR="00AE6351" w:rsidRPr="00BF277E" w:rsidRDefault="00324290">
            <w:pPr>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1.- Cinco contratos que firman con los maestros que imparten clases en la Universidad Digital del Estado de México. </w:t>
            </w:r>
          </w:p>
          <w:p w:rsidR="00AE6351" w:rsidRPr="00BF277E" w:rsidRDefault="00AE6351">
            <w:pPr>
              <w:jc w:val="both"/>
              <w:rPr>
                <w:rFonts w:ascii="Palatino Linotype" w:eastAsia="Palatino Linotype" w:hAnsi="Palatino Linotype" w:cs="Palatino Linotype"/>
                <w:i/>
                <w:iCs/>
              </w:rPr>
            </w:pPr>
          </w:p>
        </w:tc>
        <w:tc>
          <w:tcPr>
            <w:tcW w:w="3552" w:type="dxa"/>
          </w:tcPr>
          <w:p w:rsidR="00AE6351" w:rsidRPr="00BF277E" w:rsidRDefault="0032429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BF277E">
              <w:rPr>
                <w:rFonts w:ascii="Palatino Linotype" w:eastAsia="Palatino Linotype" w:hAnsi="Palatino Linotype" w:cs="Palatino Linotype"/>
                <w:b/>
                <w:bCs/>
                <w:i/>
                <w:iCs/>
              </w:rPr>
              <w:t xml:space="preserve">RESPUESTA SAIMEX 126-2026.pdf: </w:t>
            </w:r>
            <w:r w:rsidRPr="00BF277E">
              <w:rPr>
                <w:rFonts w:ascii="Palatino Linotype" w:eastAsia="Palatino Linotype" w:hAnsi="Palatino Linotype" w:cs="Palatino Linotype"/>
                <w:i/>
                <w:iCs/>
              </w:rPr>
              <w:t xml:space="preserve">oficio de la Encargada de Abogacía General e Igualdad de Género, mediante el cual informa que no se firman contratos con maestros y que no realizan contrataciones por honorarios, trabajo específico o prestación de servicios. </w:t>
            </w:r>
          </w:p>
          <w:p w:rsidR="00AE6351" w:rsidRPr="00BF277E" w:rsidRDefault="00AE6351">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p>
          <w:p w:rsidR="00AE6351" w:rsidRPr="00BF277E" w:rsidRDefault="0032429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BF277E">
              <w:rPr>
                <w:rFonts w:ascii="Palatino Linotype" w:eastAsia="Palatino Linotype" w:hAnsi="Palatino Linotype" w:cs="Palatino Linotype"/>
                <w:b/>
                <w:bCs/>
                <w:i/>
                <w:iCs/>
              </w:rPr>
              <w:t xml:space="preserve">Oficio_UT_119_202620260318.pdf: </w:t>
            </w:r>
            <w:r w:rsidRPr="00BF277E">
              <w:rPr>
                <w:rFonts w:ascii="Palatino Linotype" w:eastAsia="Palatino Linotype" w:hAnsi="Palatino Linotype" w:cs="Palatino Linotype"/>
                <w:i/>
                <w:iCs/>
              </w:rPr>
              <w:t xml:space="preserve">oficio de Jefe dela Unidad de Información, Planeación, Programación y Evaluación y Titular de la Unidad de Transparencia, mediante el cual informa que notifica la respuesta de la Encargada de Abogacía General e Igualdad de Género. </w:t>
            </w:r>
          </w:p>
          <w:p w:rsidR="00AE6351" w:rsidRPr="00BF277E" w:rsidRDefault="00AE6351">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p>
          <w:p w:rsidR="00AE6351" w:rsidRPr="00BF277E" w:rsidRDefault="00AE6351">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p>
        </w:tc>
        <w:tc>
          <w:tcPr>
            <w:tcW w:w="2061" w:type="dxa"/>
          </w:tcPr>
          <w:p w:rsidR="00AE6351" w:rsidRPr="00BF277E" w:rsidRDefault="00324290">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Ratifica respuesta inicial </w:t>
            </w:r>
          </w:p>
        </w:tc>
        <w:tc>
          <w:tcPr>
            <w:tcW w:w="1805" w:type="dxa"/>
          </w:tcPr>
          <w:p w:rsidR="00AE6351" w:rsidRPr="00BF277E" w:rsidRDefault="00324290">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BF277E">
              <w:rPr>
                <w:rFonts w:ascii="Palatino Linotype" w:eastAsia="Palatino Linotype" w:hAnsi="Palatino Linotype" w:cs="Palatino Linotype"/>
                <w:i/>
                <w:iCs/>
              </w:rPr>
              <w:t>No colma, toda vez que el</w:t>
            </w:r>
            <w:r w:rsidRPr="00BF277E">
              <w:rPr>
                <w:rFonts w:ascii="Palatino Linotype" w:eastAsia="Palatino Linotype" w:hAnsi="Palatino Linotype" w:cs="Palatino Linotype"/>
                <w:b/>
                <w:bCs/>
                <w:i/>
                <w:iCs/>
              </w:rPr>
              <w:t xml:space="preserve"> SUJETO OBLIGADO </w:t>
            </w:r>
            <w:r w:rsidRPr="00BF277E">
              <w:rPr>
                <w:rFonts w:ascii="Palatino Linotype" w:eastAsia="Palatino Linotype" w:hAnsi="Palatino Linotype" w:cs="Palatino Linotype"/>
                <w:i/>
                <w:iCs/>
              </w:rPr>
              <w:t xml:space="preserve">no entrega la información solicitada. </w:t>
            </w:r>
          </w:p>
        </w:tc>
      </w:tr>
    </w:tbl>
    <w:p w:rsidR="00AE6351" w:rsidRPr="00BF277E" w:rsidRDefault="00AE6351">
      <w:pPr>
        <w:spacing w:line="360" w:lineRule="auto"/>
        <w:ind w:right="-787"/>
        <w:jc w:val="both"/>
        <w:rPr>
          <w:rFonts w:ascii="Palatino Linotype" w:eastAsia="Palatino Linotype" w:hAnsi="Palatino Linotype" w:cs="Palatino Linotype"/>
          <w:color w:val="000000"/>
        </w:rPr>
      </w:pPr>
    </w:p>
    <w:p w:rsidR="00BF277E" w:rsidRDefault="00BF277E" w:rsidP="00BF277E">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BF277E" w:rsidRDefault="00BF277E" w:rsidP="00BF277E">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De lo anterior, se tiene que el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rPr>
        <w:t xml:space="preserve">no colmó el derecho de acceso a la a la información del </w:t>
      </w:r>
      <w:r w:rsidRPr="00BF277E">
        <w:rPr>
          <w:rFonts w:ascii="Palatino Linotype" w:eastAsia="Palatino Linotype" w:hAnsi="Palatino Linotype" w:cs="Palatino Linotype"/>
          <w:b/>
          <w:bCs/>
        </w:rPr>
        <w:t xml:space="preserve">RECURRENTE, </w:t>
      </w:r>
      <w:r w:rsidRPr="00BF277E">
        <w:rPr>
          <w:rFonts w:ascii="Palatino Linotype" w:eastAsia="Palatino Linotype" w:hAnsi="Palatino Linotype" w:cs="Palatino Linotype"/>
        </w:rPr>
        <w:t xml:space="preserve">toda vez que informa que no cuenta en su plantilla laboral con el nombre de </w:t>
      </w:r>
      <w:r w:rsidRPr="00BF277E">
        <w:rPr>
          <w:rFonts w:ascii="Palatino Linotype" w:eastAsia="Palatino Linotype" w:hAnsi="Palatino Linotype" w:cs="Palatino Linotype"/>
          <w:b/>
          <w:bCs/>
        </w:rPr>
        <w:t xml:space="preserve">“maestros”, </w:t>
      </w:r>
      <w:r w:rsidRPr="00BF277E">
        <w:rPr>
          <w:rFonts w:ascii="Palatino Linotype" w:eastAsia="Palatino Linotype" w:hAnsi="Palatino Linotype" w:cs="Palatino Linotype"/>
        </w:rPr>
        <w:t xml:space="preserve">situación por la cual no puede entregar la información solicitada. </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lastRenderedPageBreak/>
        <w:t xml:space="preserve">Ahora bien, se debe de precisar que se bien el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rPr>
        <w:t xml:space="preserve">precisa que no cuenta con maestros, también lo es que de acuerdo con la página del IPOMEX 4.0 de la Universidad Digital del Estado de México, se observa que si cuenta con </w:t>
      </w:r>
      <w:r w:rsidRPr="00BF277E">
        <w:rPr>
          <w:rFonts w:ascii="Palatino Linotype" w:eastAsia="Palatino Linotype" w:hAnsi="Palatino Linotype" w:cs="Palatino Linotype"/>
          <w:b/>
          <w:bCs/>
        </w:rPr>
        <w:t xml:space="preserve">docentes, </w:t>
      </w:r>
      <w:r w:rsidRPr="00BF277E">
        <w:rPr>
          <w:rFonts w:ascii="Palatino Linotype" w:eastAsia="Palatino Linotype" w:hAnsi="Palatino Linotype" w:cs="Palatino Linotype"/>
        </w:rPr>
        <w:t>tal y como se muestra en la siguiente captura de pantalla.</w:t>
      </w:r>
    </w:p>
    <w:p w:rsidR="00AE6351" w:rsidRDefault="00324290">
      <w:pPr>
        <w:pBdr>
          <w:top w:val="nil"/>
          <w:left w:val="nil"/>
          <w:bottom w:val="nil"/>
          <w:right w:val="nil"/>
          <w:between w:val="nil"/>
        </w:pBdr>
        <w:ind w:left="720"/>
        <w:rPr>
          <w:rFonts w:ascii="Palatino Linotype" w:eastAsia="Palatino Linotype" w:hAnsi="Palatino Linotype" w:cs="Palatino Linotype"/>
          <w:color w:val="000000"/>
        </w:rPr>
      </w:pPr>
      <w:r w:rsidRPr="00BF277E">
        <w:rPr>
          <w:rFonts w:ascii="Palatino Linotype" w:eastAsia="Palatino Linotype" w:hAnsi="Palatino Linotype" w:cs="Palatino Linotype"/>
          <w:noProof/>
          <w:color w:val="000000"/>
        </w:rPr>
        <w:drawing>
          <wp:inline distT="0" distB="0" distL="0" distR="0">
            <wp:extent cx="4326926" cy="231067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326926" cy="2310679"/>
                    </a:xfrm>
                    <a:prstGeom prst="rect">
                      <a:avLst/>
                    </a:prstGeom>
                    <a:ln/>
                  </pic:spPr>
                </pic:pic>
              </a:graphicData>
            </a:graphic>
          </wp:inline>
        </w:drawing>
      </w:r>
    </w:p>
    <w:p w:rsidR="00BF277E" w:rsidRPr="00BF277E" w:rsidRDefault="00BF277E">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De lo anterior, se tiene que hacer de conocimiento al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rPr>
        <w:t xml:space="preserve">que los solicitantes no se encuentran obligados a conocer los términos precisos para acceder a la información solicitada, situación por la cual para colmar el derecho de acceso a la información del </w:t>
      </w:r>
      <w:r w:rsidRPr="00BF277E">
        <w:rPr>
          <w:rFonts w:ascii="Palatino Linotype" w:eastAsia="Palatino Linotype" w:hAnsi="Palatino Linotype" w:cs="Palatino Linotype"/>
          <w:b/>
          <w:bCs/>
        </w:rPr>
        <w:t xml:space="preserve">RECURRENTE </w:t>
      </w:r>
      <w:r w:rsidRPr="00BF277E">
        <w:rPr>
          <w:rFonts w:ascii="Palatino Linotype" w:eastAsia="Palatino Linotype" w:hAnsi="Palatino Linotype" w:cs="Palatino Linotype"/>
        </w:rPr>
        <w:t xml:space="preserve">el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rPr>
        <w:t xml:space="preserve">deberá de entregar la información relativa a los contratos firmados entre la Universidad Digital del Estado de México y los docentes que imparten las clases a nivel bachillerato, licenciatura o maestría. </w:t>
      </w:r>
    </w:p>
    <w:p w:rsidR="00AE6351" w:rsidRPr="00BF277E" w:rsidRDefault="00AE6351">
      <w:pPr>
        <w:pBdr>
          <w:top w:val="nil"/>
          <w:left w:val="nil"/>
          <w:bottom w:val="nil"/>
          <w:right w:val="nil"/>
          <w:between w:val="nil"/>
        </w:pBdr>
        <w:spacing w:line="360" w:lineRule="auto"/>
        <w:ind w:left="708" w:right="-787" w:hanging="708"/>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Seguidamente, se debe de precisar que dio atención a la solicitud de información la Encargada de Abogacía General e Igualdad de Género, sin embargo, de acuerdo con el Manual General de Organización de la Universidad Digital del Estado de México, quien debió de </w:t>
      </w:r>
      <w:r w:rsidRPr="00BF277E">
        <w:rPr>
          <w:rFonts w:ascii="Palatino Linotype" w:eastAsia="Palatino Linotype" w:hAnsi="Palatino Linotype" w:cs="Palatino Linotype"/>
        </w:rPr>
        <w:lastRenderedPageBreak/>
        <w:t xml:space="preserve">atender la solicitud de información es el Departamento de Administración de Personal, quien pertenece a la Subdirección de Administración y Finanzas.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210C3301000403L DEPARTAMENTO DE ADMINISTRACIÓN DE PERSONAL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OBJETIVO: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Llevar a cabo las acciones de selección, ingreso, contratación, inducción, integración, registro, control, capacitación y desarrollo del personal adscrito a la Universidad, además de difundir sus obligaciones y derechos, y establecer los mecanismos necesarios para el pago oportuno de sus remuneraciones. FUNCIONES: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Solicitar a las áreas administrativas las necesidades de personal y en base a esto elaborar el anteproyecto del Presupuesto Anual de Egresos del Capítulo 1000 "Servicios Personales" y someterlo a consideración de la Subdirección de Administración y Finanzas.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Llevar el control sobre la aplicación del ejercicio del gasto corriente de servicios personales derivados del funcionamiento de la Universidad.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Realizar la selección de personas candidatas a ocupar puestos vacantes de la plantilla de personal, en coordinación con las unidades administrativas de la Universidad, cuidando en todo momento que estos cubran el perfil y los requisitos establecidos para cada puesto y cuenten con la documentación oficial que acredite su capacidad y conocimientos.</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Realizar los movimientos de personal originados por altas, bajas, cambios y demás incidencias en que incurran, así como mantener un registro y control de estos.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Establecer mecanismos para la detección de necesidades de capacitación y promover la participación del personal de la Universidad en el Programa Anual de Capacitación.</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 Llevar a cabo los planes y programas de capacitación del personal docente, administrativo, mandos medios y superiores, para coadyuvar en su desarrollo personal en beneficio de la Universidad.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Elaborar las nóminas y pagar oportunamente las remuneraciones ordinarias y extraordinarias al personal, así como aplicar los descuentos correspondientes a los que se hagan acreedoras y acreedores, y que procedan conforme a la normatividad establecida en la materia.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lastRenderedPageBreak/>
        <w:t xml:space="preserve">– Llevar a cabo la contratación de personal, previa autorización de la Subdirección de Administración y Finanzas y verificar que la asignación de puestos y sueldos se ajuste a las plazas y a los tabuladores autorizados, de acuerdo con la normatividad vigente en la materia.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Registrar y tramitar las cartas de no inhabilitación, altas, bajas, avisos de cambios de adscripción, actualización de registros y de expedientes, constancias laborales, control de asistencia, vacaciones, movimientos, promoción, remoción, transferencias, permutas, sanciones y demás incidencias del personal, elaborando la documentación correspondiente.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Aplicar y comprobar el cumplimiento de las políticas, normas, lineamientos y procedimientos que rijan el control de personal en materia de selección y reclutamiento, control de asistencia de los servidores públicos generales, estímulos y recompensas sanciones, permisos, licencias, control de nóminas e indemnizaciones. </w:t>
      </w:r>
    </w:p>
    <w:p w:rsidR="00AE6351" w:rsidRPr="00BF277E" w:rsidRDefault="00324290">
      <w:pPr>
        <w:pBdr>
          <w:top w:val="nil"/>
          <w:left w:val="nil"/>
          <w:bottom w:val="nil"/>
          <w:right w:val="nil"/>
          <w:between w:val="nil"/>
        </w:pBdr>
        <w:ind w:left="1134" w:right="277"/>
        <w:jc w:val="both"/>
        <w:rPr>
          <w:i/>
          <w:iCs/>
        </w:rPr>
      </w:pPr>
      <w:r w:rsidRPr="00BF277E">
        <w:rPr>
          <w:rFonts w:ascii="Palatino Linotype" w:eastAsia="Palatino Linotype" w:hAnsi="Palatino Linotype" w:cs="Palatino Linotype"/>
          <w:i/>
          <w:iCs/>
        </w:rPr>
        <w:t>– Verificar la expedición de credenciales de identificación, constancias laborales, hojas de servicio, altas y bajas ante el ISSEMYM, así como el otorgamiento de las demás prestaciones a que tienen derecho las personas servidoras públicas de la Universidad.</w:t>
      </w:r>
      <w:r w:rsidRPr="00BF277E">
        <w:rPr>
          <w:i/>
          <w:iCs/>
        </w:rPr>
        <w:t xml:space="preserve">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Efectuar las acciones de inducción para el personal de nuevo ingreso, así como organizar, conducir y controlar las acciones orientadas a la integración, clasificación, actualización y depuración de los expedientes del personal adscrito a la Universidad.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Brindar asistencia a titulares de las unidades administrativas de la Universidad en coordinación con la persona titular de la Abogacía General e Igualdad de Género, para instaurar actas administrativas por abandono de empleo, o por hechos que puedan resultar causa de separación del cargo o rescisión de la relación laboral del personal implicado.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Coadyuvar con el Órgano Interno de Control en la integración y actualización del padrón de personas servidoras públicas sujetas a presentar Declaración Patrimonial y de Intereses, de acuerdo con las disposiciones y herramientas que para el caso establezca la Secretaría de la Contraloría.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Planear y Ejecutar en coordinación con las unidades administrativas de la Universidad, los procesos para el ingreso y promoción del personal.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lastRenderedPageBreak/>
        <w:t xml:space="preserve">– Coadyuvar en la realización de actividades y acciones para promover la equidad de género e igualdad de trato y oportunidades entre mujeres y hombres de la Universidad.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xml:space="preserve">– Proporcionar la información necesaria que requiera el Departamento de Recursos Financieros para la integración y/o conciliación de los registros contables y presupuestales, así como para el pago de las obligaciones fiscales a las que se encuentre obligada la Universidad.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b/>
          <w:bCs/>
          <w:i/>
          <w:iCs/>
        </w:rPr>
      </w:pPr>
      <w:r w:rsidRPr="00BF277E">
        <w:rPr>
          <w:rFonts w:ascii="Palatino Linotype" w:eastAsia="Palatino Linotype" w:hAnsi="Palatino Linotype" w:cs="Palatino Linotype"/>
          <w:b/>
          <w:bCs/>
          <w:i/>
          <w:iCs/>
        </w:rPr>
        <w:t xml:space="preserve">– Proporcionar la información necesaria que requiera la persona titular de la Abogacía General e Igualdad de Género, para la elaboración de contratos laborales del personal de la Universidad. </w:t>
      </w:r>
    </w:p>
    <w:p w:rsidR="00AE6351" w:rsidRPr="00BF277E" w:rsidRDefault="00324290">
      <w:pPr>
        <w:pBdr>
          <w:top w:val="nil"/>
          <w:left w:val="nil"/>
          <w:bottom w:val="nil"/>
          <w:right w:val="nil"/>
          <w:between w:val="nil"/>
        </w:pBdr>
        <w:ind w:left="1134" w:right="277"/>
        <w:jc w:val="both"/>
        <w:rPr>
          <w:rFonts w:ascii="Palatino Linotype" w:eastAsia="Palatino Linotype" w:hAnsi="Palatino Linotype" w:cs="Palatino Linotype"/>
          <w:i/>
          <w:iCs/>
        </w:rPr>
      </w:pPr>
      <w:r w:rsidRPr="00BF277E">
        <w:rPr>
          <w:rFonts w:ascii="Palatino Linotype" w:eastAsia="Palatino Linotype" w:hAnsi="Palatino Linotype" w:cs="Palatino Linotype"/>
          <w:i/>
          <w:iCs/>
        </w:rPr>
        <w:t>– Desarrollar las demás funciones inherentes al área de su competencia.</w:t>
      </w: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rPr>
      </w:pPr>
      <w:r w:rsidRPr="00BF277E">
        <w:rPr>
          <w:rFonts w:ascii="Palatino Linotype" w:eastAsia="Palatino Linotype" w:hAnsi="Palatino Linotype" w:cs="Palatino Linotype"/>
        </w:rPr>
        <w:t xml:space="preserve">En esa línea, se tiene que el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rPr>
        <w:t xml:space="preserve">no turnó la solicitud de información al área habilitada, situación por la cual se tendrá que girar una nueva búsqueda exhaustiva y razonable en el Departamento de Administración de Personal. </w:t>
      </w: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Seguidamente, se tiene que se localizó el procedimiento de alta de servidores públicos que ingresan a laborar a la Universidad Digital del Estado de México. </w:t>
      </w:r>
    </w:p>
    <w:p w:rsidR="00AE6351" w:rsidRPr="00BF277E" w:rsidRDefault="00324290">
      <w:pPr>
        <w:pBdr>
          <w:top w:val="nil"/>
          <w:left w:val="nil"/>
          <w:bottom w:val="nil"/>
          <w:right w:val="nil"/>
          <w:between w:val="nil"/>
        </w:pBdr>
        <w:spacing w:line="360" w:lineRule="auto"/>
        <w:ind w:right="-787"/>
        <w:jc w:val="center"/>
        <w:rPr>
          <w:rFonts w:ascii="Palatino Linotype" w:eastAsia="Palatino Linotype" w:hAnsi="Palatino Linotype" w:cs="Palatino Linotype"/>
        </w:rPr>
      </w:pPr>
      <w:r w:rsidRPr="00BF277E">
        <w:rPr>
          <w:rFonts w:ascii="Palatino Linotype" w:eastAsia="Palatino Linotype" w:hAnsi="Palatino Linotype" w:cs="Palatino Linotype"/>
          <w:noProof/>
        </w:rPr>
        <w:lastRenderedPageBreak/>
        <w:drawing>
          <wp:inline distT="0" distB="0" distL="0" distR="0">
            <wp:extent cx="3317026" cy="3868989"/>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317026" cy="3868989"/>
                    </a:xfrm>
                    <a:prstGeom prst="rect">
                      <a:avLst/>
                    </a:prstGeom>
                    <a:ln/>
                  </pic:spPr>
                </pic:pic>
              </a:graphicData>
            </a:graphic>
          </wp:inline>
        </w:drawing>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En esa línea, se tiene que el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rPr>
        <w:t xml:space="preserve">en sus archivos si debe de contar con contratos firmados para el personal docente que proporciona las cátedras de nivel bachillerato, maestrías y doctorados. </w:t>
      </w:r>
    </w:p>
    <w:p w:rsidR="00416785" w:rsidRPr="00BF277E" w:rsidRDefault="00416785" w:rsidP="00416785">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416785" w:rsidRPr="00BF277E" w:rsidRDefault="00416785" w:rsidP="00416785">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Cs/>
        </w:rPr>
      </w:pPr>
      <w:r w:rsidRPr="00BF277E">
        <w:rPr>
          <w:rFonts w:ascii="Palatino Linotype" w:eastAsia="Palatino Linotype" w:hAnsi="Palatino Linotype" w:cs="Palatino Linotype"/>
          <w:bCs/>
        </w:rPr>
        <w:t xml:space="preserve">De ser el caso  después de una búsqueda exhaustiva y razonable el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bCs/>
        </w:rPr>
        <w:t xml:space="preserve">refiera que no </w:t>
      </w:r>
      <w:r w:rsidRPr="00BF277E">
        <w:rPr>
          <w:rFonts w:ascii="Palatino Linotype" w:eastAsia="Palatino Linotype" w:hAnsi="Palatino Linotype" w:cs="Palatino Linotype"/>
        </w:rPr>
        <w:t>cuenta</w:t>
      </w:r>
      <w:r w:rsidRPr="00BF277E">
        <w:rPr>
          <w:rFonts w:ascii="Palatino Linotype" w:eastAsia="Palatino Linotype" w:hAnsi="Palatino Linotype" w:cs="Palatino Linotype"/>
          <w:bCs/>
        </w:rPr>
        <w:t xml:space="preserve"> con contratos por </w:t>
      </w:r>
      <w:r w:rsidRPr="00BF277E">
        <w:rPr>
          <w:rFonts w:ascii="Palatino Linotype" w:eastAsia="Palatino Linotype" w:hAnsi="Palatino Linotype" w:cs="Palatino Linotype"/>
          <w:iCs/>
          <w:color w:val="000000"/>
        </w:rPr>
        <w:t xml:space="preserve">honorarios, por trabajo específico, prestación de servicios, bastara con que se haga del conocimiento del </w:t>
      </w:r>
      <w:r w:rsidRPr="00BF277E">
        <w:rPr>
          <w:rFonts w:ascii="Palatino Linotype" w:eastAsia="Palatino Linotype" w:hAnsi="Palatino Linotype" w:cs="Palatino Linotype"/>
          <w:b/>
          <w:iCs/>
          <w:color w:val="000000"/>
        </w:rPr>
        <w:t xml:space="preserve">RECURRENTE </w:t>
      </w:r>
      <w:r w:rsidRPr="00BF277E">
        <w:rPr>
          <w:rFonts w:ascii="Palatino Linotype" w:eastAsia="Palatino Linotype" w:hAnsi="Palatino Linotype" w:cs="Palatino Linotype"/>
          <w:iCs/>
          <w:color w:val="000000"/>
        </w:rPr>
        <w:t xml:space="preserve">de conformidad con el artículo 19 párrafo segundo de la Ley de Transparencia y Acceso a la Información Pública del Estado de México y Municipios. </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AE6351" w:rsidRPr="00BF277E" w:rsidRDefault="00416785">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lastRenderedPageBreak/>
        <w:t>Seguidamente</w:t>
      </w:r>
      <w:r w:rsidR="00324290" w:rsidRPr="00BF277E">
        <w:rPr>
          <w:rFonts w:ascii="Palatino Linotype" w:eastAsia="Palatino Linotype" w:hAnsi="Palatino Linotype" w:cs="Palatino Linotype"/>
        </w:rPr>
        <w:t xml:space="preserve">, se debe de analizar que del contenido de la información se pueden encontrar datos de carácter confidencial, los cuales de manera enunciativa más no limitativa con los siguientes. </w:t>
      </w: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324290">
      <w:pPr>
        <w:spacing w:line="360" w:lineRule="auto"/>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b/>
          <w:bCs/>
          <w:color w:val="000000"/>
        </w:rPr>
        <w:t>Registro Federal de Contribuyentes</w:t>
      </w:r>
      <w:r w:rsidRPr="00BF277E">
        <w:rPr>
          <w:rFonts w:ascii="Palatino Linotype" w:eastAsia="Palatino Linotype" w:hAnsi="Palatino Linotype" w:cs="Palatino Linotype"/>
          <w:color w:val="000000"/>
        </w:rPr>
        <w:t xml:space="preserve"> (RFC)</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Las personas físicas que deban presentar declaraciones periódicas o que están obligadas a expedir comprobantes fiscales, tienen que solicitar su </w:t>
      </w:r>
      <w:r w:rsidRPr="00BF277E">
        <w:rPr>
          <w:rFonts w:ascii="Palatino Linotype" w:eastAsia="Palatino Linotype" w:hAnsi="Palatino Linotype" w:cs="Palatino Linotype"/>
        </w:rPr>
        <w:t>inscripción</w:t>
      </w:r>
      <w:r w:rsidRPr="00BF277E">
        <w:rPr>
          <w:rFonts w:ascii="Palatino Linotype" w:eastAsia="Palatino Linotype" w:hAnsi="Palatino Linotype" w:cs="Palatino Linotype"/>
          <w:color w:val="000000"/>
        </w:rPr>
        <w:t xml:space="preserve">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De acuerdo con lo establecido en el artículo en comento, esta clave se compone de trece caracteres alfanuméricos, con datos obtenidos de los apellidos, </w:t>
      </w:r>
      <w:r w:rsidRPr="00BF277E">
        <w:rPr>
          <w:rFonts w:ascii="Palatino Linotype" w:eastAsia="Palatino Linotype" w:hAnsi="Palatino Linotype" w:cs="Palatino Linotype"/>
        </w:rPr>
        <w:t>nombre</w:t>
      </w:r>
      <w:r w:rsidRPr="00BF277E">
        <w:rPr>
          <w:rFonts w:ascii="Palatino Linotype" w:eastAsia="Palatino Linotype" w:hAnsi="Palatino Linotype" w:cs="Palatino Linotype"/>
          <w:color w:val="000000"/>
        </w:rPr>
        <w:t xml:space="preserve"> (s), fecha de nacimiento del titular, más una homoclave que establece el sistema automático del Servicio de Administración Tributaria.</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a través del Servicio de Administración Tributaria, para exigir y vigilar el cumplimiento de las </w:t>
      </w:r>
      <w:r w:rsidRPr="00BF277E">
        <w:rPr>
          <w:rFonts w:ascii="Palatino Linotype" w:eastAsia="Palatino Linotype" w:hAnsi="Palatino Linotype" w:cs="Palatino Linotype"/>
        </w:rPr>
        <w:t>obligaciones</w:t>
      </w:r>
      <w:r w:rsidRPr="00BF277E">
        <w:rPr>
          <w:rFonts w:ascii="Palatino Linotype" w:eastAsia="Palatino Linotype" w:hAnsi="Palatino Linotype" w:cs="Palatino Linotype"/>
          <w:color w:val="000000"/>
        </w:rPr>
        <w:t xml:space="preserve"> fiscales de los contribuyentes; mientras que los particulares tramitan dicho dato, con el único propósito de realizar mediante esa clave de identificación, operaciones o actividades de naturaleza fiscal.</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rPr>
        <w:lastRenderedPageBreak/>
        <w:t>Conforme</w:t>
      </w:r>
      <w:r w:rsidRPr="00BF277E">
        <w:rPr>
          <w:rFonts w:ascii="Palatino Linotype" w:eastAsia="Palatino Linotype" w:hAnsi="Palatino Linotype" w:cs="Palatino Linotype"/>
          <w:color w:val="000000"/>
        </w:rPr>
        <w:t xml:space="preserv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Lo </w:t>
      </w:r>
      <w:r w:rsidRPr="00BF277E">
        <w:rPr>
          <w:rFonts w:ascii="Palatino Linotype" w:eastAsia="Palatino Linotype" w:hAnsi="Palatino Linotype" w:cs="Palatino Linotype"/>
        </w:rPr>
        <w:t>anterior</w:t>
      </w:r>
      <w:r w:rsidRPr="00BF277E">
        <w:rPr>
          <w:rFonts w:ascii="Palatino Linotype" w:eastAsia="Palatino Linotype" w:hAnsi="Palatino Linotype" w:cs="Palatino Linotype"/>
          <w:color w:val="000000"/>
        </w:rPr>
        <w:t>, resulta congruente con el Criterio 19/17 emitido por el Instituto Nacional de Transparencia, Acceso a la Información y Protección de Datos Personales, en el cual se señala lo siguiente:</w:t>
      </w:r>
    </w:p>
    <w:p w:rsidR="00AE6351" w:rsidRPr="00BF277E" w:rsidRDefault="00324290">
      <w:pPr>
        <w:ind w:left="1134" w:right="900"/>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i/>
          <w:iCs/>
          <w:color w:val="000000"/>
        </w:rPr>
        <w:t>“</w:t>
      </w:r>
      <w:r w:rsidRPr="00BF277E">
        <w:rPr>
          <w:rFonts w:ascii="Palatino Linotype" w:eastAsia="Palatino Linotype" w:hAnsi="Palatino Linotype" w:cs="Palatino Linotype"/>
          <w:b/>
          <w:bCs/>
          <w:i/>
          <w:iCs/>
          <w:color w:val="000000"/>
        </w:rPr>
        <w:t>Registro Federal de Contribuyentes (RFC) de personas físicas</w:t>
      </w:r>
      <w:r w:rsidRPr="00BF277E">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rsidR="00AE6351" w:rsidRDefault="00AE6351">
      <w:pPr>
        <w:ind w:left="1134" w:right="900"/>
        <w:jc w:val="both"/>
        <w:rPr>
          <w:rFonts w:ascii="Palatino Linotype" w:eastAsia="Palatino Linotype" w:hAnsi="Palatino Linotype" w:cs="Palatino Linotype"/>
          <w:color w:val="000000"/>
        </w:rPr>
      </w:pPr>
    </w:p>
    <w:p w:rsidR="00BF277E" w:rsidRPr="00BF277E" w:rsidRDefault="00BF277E">
      <w:pPr>
        <w:ind w:left="1134" w:right="900"/>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De tal suerte, el Registro Federal de Contribuyentes de los servidores públicos no guarda relación con la transparencia de los recursos públicos, así como tampoco con el desempeño laboral que pueda tener una persona, por lo que </w:t>
      </w:r>
      <w:r w:rsidRPr="00BF277E">
        <w:rPr>
          <w:rFonts w:ascii="Palatino Linotype" w:eastAsia="Palatino Linotype" w:hAnsi="Palatino Linotype" w:cs="Palatino Linotype"/>
        </w:rPr>
        <w:t>constituye</w:t>
      </w:r>
      <w:r w:rsidRPr="00BF277E">
        <w:rPr>
          <w:rFonts w:ascii="Palatino Linotype" w:eastAsia="Palatino Linotype" w:hAnsi="Palatino Linotype" w:cs="Palatino Linotype"/>
          <w:color w:val="000000"/>
        </w:rPr>
        <w:t xml:space="preserve"> un dato personal confidencial al actualizar el supuesto normativo del artículo 143, fracción I de la Ley de Transparencia y Acceso a la Información Pública del Estado de México y Municipios.</w:t>
      </w:r>
    </w:p>
    <w:p w:rsidR="00BF277E" w:rsidRPr="00BF277E" w:rsidRDefault="00BF277E">
      <w:pPr>
        <w:spacing w:line="360" w:lineRule="auto"/>
        <w:jc w:val="both"/>
        <w:rPr>
          <w:rFonts w:ascii="Palatino Linotype" w:eastAsia="Palatino Linotype" w:hAnsi="Palatino Linotype" w:cs="Palatino Linotype"/>
          <w:color w:val="000000"/>
        </w:rPr>
      </w:pPr>
    </w:p>
    <w:p w:rsidR="00AE6351" w:rsidRPr="00BF277E" w:rsidRDefault="00324290">
      <w:pPr>
        <w:spacing w:line="360" w:lineRule="auto"/>
        <w:jc w:val="both"/>
        <w:rPr>
          <w:rFonts w:ascii="Palatino Linotype" w:eastAsia="Palatino Linotype" w:hAnsi="Palatino Linotype" w:cs="Palatino Linotype"/>
          <w:b/>
          <w:bCs/>
          <w:color w:val="000000"/>
        </w:rPr>
      </w:pPr>
      <w:r w:rsidRPr="00BF277E">
        <w:rPr>
          <w:rFonts w:ascii="Palatino Linotype" w:eastAsia="Palatino Linotype" w:hAnsi="Palatino Linotype" w:cs="Palatino Linotype"/>
          <w:b/>
          <w:bCs/>
          <w:color w:val="000000"/>
        </w:rPr>
        <w:t>Clave única de Registro de Población –CURP-.</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El artículo 36 de la Constitución Política de los Estados Unidos Mexicanos, </w:t>
      </w:r>
      <w:r w:rsidRPr="00BF277E">
        <w:rPr>
          <w:rFonts w:ascii="Palatino Linotype" w:eastAsia="Palatino Linotype" w:hAnsi="Palatino Linotype" w:cs="Palatino Linotype"/>
        </w:rPr>
        <w:t>dispone</w:t>
      </w:r>
      <w:r w:rsidRPr="00BF277E">
        <w:rPr>
          <w:rFonts w:ascii="Palatino Linotype" w:eastAsia="Palatino Linotype" w:hAnsi="Palatino Linotype" w:cs="Palatino Linotype"/>
          <w:color w:val="000000"/>
        </w:rPr>
        <w:t xml:space="preserve"> la obligación de los ciudadanos de inscribirse en el Registro Nacional de Ciudadanos. </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lastRenderedPageBreak/>
        <w:t xml:space="preserve">El artículo 85 de la Ley General de Población, prevé que corresponde a la Secretaría de </w:t>
      </w:r>
      <w:r w:rsidRPr="00BF277E">
        <w:rPr>
          <w:rFonts w:ascii="Palatino Linotype" w:eastAsia="Palatino Linotype" w:hAnsi="Palatino Linotype" w:cs="Palatino Linotype"/>
        </w:rPr>
        <w:t>Gobernación</w:t>
      </w:r>
      <w:r w:rsidRPr="00BF277E">
        <w:rPr>
          <w:rFonts w:ascii="Palatino Linotype" w:eastAsia="Palatino Linotype" w:hAnsi="Palatino Linotype" w:cs="Palatino Linotype"/>
          <w:color w:val="000000"/>
        </w:rPr>
        <w:t xml:space="preserve"> el registro y acreditación de la identidad de todas las personas residentes en el país y de los nacionales que residan en el extranjero.</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Acorde con lo anterior, el artículo 22 del Reglamento Interior de la Secretaría de Gobernación, establece en su fracción III, que la Dirección General del </w:t>
      </w:r>
      <w:r w:rsidRPr="00BF277E">
        <w:rPr>
          <w:rFonts w:ascii="Palatino Linotype" w:eastAsia="Palatino Linotype" w:hAnsi="Palatino Linotype" w:cs="Palatino Linotype"/>
        </w:rPr>
        <w:t>Registro</w:t>
      </w:r>
      <w:r w:rsidRPr="00BF277E">
        <w:rPr>
          <w:rFonts w:ascii="Palatino Linotype" w:eastAsia="Palatino Linotype" w:hAnsi="Palatino Linotype" w:cs="Palatino Linotype"/>
          <w:color w:val="000000"/>
        </w:rPr>
        <w:t xml:space="preserve"> Nacional de Población e Identificación Personal tiene la atribución de asignar y depurar la Clave Única de Registro de Población a todas las personas residentes en el país, así como a los mexicanos que residan en el extranjero.</w:t>
      </w:r>
    </w:p>
    <w:p w:rsidR="00AE6351" w:rsidRPr="00BF277E" w:rsidRDefault="00AE6351">
      <w:pPr>
        <w:spacing w:line="360" w:lineRule="auto"/>
        <w:jc w:val="both"/>
        <w:rPr>
          <w:rFonts w:ascii="Palatino Linotype" w:eastAsia="Palatino Linotype" w:hAnsi="Palatino Linotype" w:cs="Palatino Linotype"/>
          <w:b/>
          <w:bCs/>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De conformidad con lo precisado por la propia Secretaría de Gobernación en la dirección </w:t>
      </w:r>
      <w:hyperlink r:id="rId10">
        <w:r w:rsidRPr="00BF277E">
          <w:rPr>
            <w:rFonts w:ascii="Palatino Linotype" w:eastAsia="Palatino Linotype" w:hAnsi="Palatino Linotype" w:cs="Palatino Linotype"/>
            <w:color w:val="0563C1"/>
            <w:u w:val="single"/>
          </w:rPr>
          <w:t>https://consultas.curp.gob.mx/CurpSP/html/informacionecurpPS.html</w:t>
        </w:r>
      </w:hyperlink>
      <w:r w:rsidRPr="00BF277E">
        <w:rPr>
          <w:rFonts w:ascii="Palatino Linotype" w:eastAsia="Palatino Linotype" w:hAnsi="Palatino Linotype" w:cs="Palatino Linotype"/>
          <w:color w:val="000000"/>
        </w:rPr>
        <w:t xml:space="preserve">, la Clave Única del Registro de Población  CURP-, es un instrumento de registro que se asigna a </w:t>
      </w:r>
      <w:r w:rsidRPr="00BF277E">
        <w:rPr>
          <w:rFonts w:ascii="Palatino Linotype" w:eastAsia="Palatino Linotype" w:hAnsi="Palatino Linotype" w:cs="Palatino Linotype"/>
        </w:rPr>
        <w:t>todas</w:t>
      </w:r>
      <w:r w:rsidRPr="00BF277E">
        <w:rPr>
          <w:rFonts w:ascii="Palatino Linotype" w:eastAsia="Palatino Linotype" w:hAnsi="Palatino Linotype" w:cs="Palatino Linotype"/>
          <w:color w:val="000000"/>
        </w:rPr>
        <w:t xml:space="preserve"> las personas que viven en el territorio nacional, así como a los mexicanos que residen en el extranjero y se compone de dieciocho elementos, representados por letras y números, que </w:t>
      </w:r>
      <w:r w:rsidRPr="00BF277E">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BF277E">
        <w:rPr>
          <w:rFonts w:ascii="Palatino Linotype" w:eastAsia="Palatino Linotype" w:hAnsi="Palatino Linotype" w:cs="Palatino Linotype"/>
          <w:color w:val="000000"/>
        </w:rPr>
        <w:t>(acta de nacimiento, carta de naturalización o documento migratorio) de la siguiente forma:</w:t>
      </w:r>
    </w:p>
    <w:p w:rsidR="00AE6351" w:rsidRPr="00BF277E" w:rsidRDefault="00324290">
      <w:pPr>
        <w:spacing w:line="360" w:lineRule="auto"/>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 • El primero y segundo apellidos, así como al nombre de pila.</w:t>
      </w:r>
    </w:p>
    <w:p w:rsidR="00AE6351" w:rsidRPr="00BF277E" w:rsidRDefault="00324290">
      <w:pPr>
        <w:spacing w:line="360" w:lineRule="auto"/>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 • La fecha de nacimiento.</w:t>
      </w:r>
    </w:p>
    <w:p w:rsidR="00AE6351" w:rsidRPr="00BF277E" w:rsidRDefault="00324290">
      <w:pPr>
        <w:spacing w:line="360" w:lineRule="auto"/>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 • El sexo.</w:t>
      </w:r>
    </w:p>
    <w:p w:rsidR="00AE6351" w:rsidRPr="00BF277E" w:rsidRDefault="00324290">
      <w:pPr>
        <w:spacing w:line="360" w:lineRule="auto"/>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 • La entidad federativa de nacimiento.</w:t>
      </w:r>
    </w:p>
    <w:p w:rsidR="00AE6351" w:rsidRPr="00BF277E" w:rsidRDefault="00324290">
      <w:pPr>
        <w:spacing w:line="360" w:lineRule="auto"/>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lastRenderedPageBreak/>
        <w:t>Los dos últimos elementos de la CURP evitan la duplicidad de la Clave y garantizan su correcta integración.</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Resulta aplicable en la especie, como argumento orientador, el Criterio 3/10, emitido por el INAI.</w:t>
      </w:r>
    </w:p>
    <w:p w:rsidR="00AE6351" w:rsidRPr="00BF277E" w:rsidRDefault="00324290">
      <w:pPr>
        <w:ind w:left="1134" w:right="900"/>
        <w:jc w:val="both"/>
        <w:rPr>
          <w:rFonts w:ascii="Palatino Linotype" w:eastAsia="Palatino Linotype" w:hAnsi="Palatino Linotype" w:cs="Palatino Linotype"/>
          <w:i/>
          <w:iCs/>
          <w:color w:val="000000"/>
        </w:rPr>
      </w:pPr>
      <w:r w:rsidRPr="00BF277E">
        <w:rPr>
          <w:rFonts w:ascii="Palatino Linotype" w:eastAsia="Palatino Linotype" w:hAnsi="Palatino Linotype" w:cs="Palatino Linotype"/>
          <w:b/>
          <w:bCs/>
          <w:i/>
          <w:iCs/>
          <w:color w:val="000000"/>
        </w:rPr>
        <w:t xml:space="preserve">Clave Única de Registro de Población (CURP) es un dato personal confidencial. </w:t>
      </w:r>
      <w:r w:rsidRPr="00BF277E">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AE6351" w:rsidRPr="00BF277E" w:rsidRDefault="00AE6351">
      <w:pPr>
        <w:ind w:left="1134" w:right="900"/>
        <w:jc w:val="both"/>
        <w:rPr>
          <w:rFonts w:ascii="Palatino Linotype" w:eastAsia="Palatino Linotype" w:hAnsi="Palatino Linotype" w:cs="Palatino Linotype"/>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lastRenderedPageBreak/>
        <w:t>De acuerdo con lo anterior, se la clave CURP, es un dato personal confidencial, en términos del artículo 143, fracción I, de la Ley de Transparencia y Acceso a la Información Pública del Estado de México y Municipios.</w:t>
      </w:r>
    </w:p>
    <w:p w:rsidR="00AE6351" w:rsidRPr="00BF277E" w:rsidRDefault="00AE6351">
      <w:pPr>
        <w:spacing w:line="360" w:lineRule="auto"/>
        <w:jc w:val="both"/>
        <w:rPr>
          <w:rFonts w:ascii="Palatino Linotype" w:eastAsia="Palatino Linotype" w:hAnsi="Palatino Linotype" w:cs="Palatino Linotype"/>
          <w:color w:val="000000"/>
        </w:rPr>
      </w:pPr>
    </w:p>
    <w:p w:rsidR="00AE6351" w:rsidRPr="00BF277E" w:rsidRDefault="00324290">
      <w:pPr>
        <w:spacing w:line="360" w:lineRule="auto"/>
        <w:jc w:val="both"/>
        <w:rPr>
          <w:rFonts w:ascii="Palatino Linotype" w:eastAsia="Palatino Linotype" w:hAnsi="Palatino Linotype" w:cs="Palatino Linotype"/>
          <w:b/>
          <w:bCs/>
          <w:color w:val="000000"/>
        </w:rPr>
      </w:pPr>
      <w:r w:rsidRPr="00BF277E">
        <w:rPr>
          <w:rFonts w:ascii="Palatino Linotype" w:eastAsia="Palatino Linotype" w:hAnsi="Palatino Linotype" w:cs="Palatino Linotype"/>
          <w:b/>
          <w:bCs/>
          <w:color w:val="000000"/>
        </w:rPr>
        <w:t>Nombre de persona física, Domicilio</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w:t>
      </w:r>
      <w:r w:rsidRPr="00BF277E">
        <w:rPr>
          <w:rFonts w:ascii="Palatino Linotype" w:eastAsia="Palatino Linotype" w:hAnsi="Palatino Linotype" w:cs="Palatino Linotype"/>
        </w:rPr>
        <w:t>manifestación</w:t>
      </w:r>
      <w:r w:rsidRPr="00BF277E">
        <w:rPr>
          <w:rFonts w:ascii="Palatino Linotype" w:eastAsia="Palatino Linotype" w:hAnsi="Palatino Linotype" w:cs="Palatino Linotype"/>
          <w:color w:val="000000"/>
        </w:rPr>
        <w:t xml:space="preserve"> principal del derecho subjetivo a la personalidad y atributo de esta en términos del artículo 2.3 del Código Civil del Estado de México, de tal suerte, el nombre </w:t>
      </w:r>
      <w:r w:rsidRPr="00BF277E">
        <w:rPr>
          <w:rFonts w:ascii="Palatino Linotype" w:eastAsia="Palatino Linotype" w:hAnsi="Palatino Linotype" w:cs="Palatino Linotype"/>
          <w:i/>
          <w:iCs/>
          <w:color w:val="000000"/>
        </w:rPr>
        <w:t>perse</w:t>
      </w:r>
      <w:r w:rsidRPr="00BF277E">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AE6351" w:rsidRPr="00BF277E" w:rsidRDefault="00AE6351">
      <w:pPr>
        <w:spacing w:line="360" w:lineRule="auto"/>
        <w:jc w:val="both"/>
        <w:rPr>
          <w:rFonts w:ascii="Palatino Linotype" w:eastAsia="Palatino Linotype" w:hAnsi="Palatino Linotype" w:cs="Palatino Linotype"/>
          <w:b/>
          <w:bCs/>
          <w:color w:val="000000"/>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w:t>
      </w:r>
      <w:r w:rsidRPr="00BF277E">
        <w:rPr>
          <w:rFonts w:ascii="Palatino Linotype" w:eastAsia="Palatino Linotype" w:hAnsi="Palatino Linotype" w:cs="Palatino Linotype"/>
        </w:rPr>
        <w:t>personalidad</w:t>
      </w:r>
      <w:r w:rsidRPr="00BF277E">
        <w:rPr>
          <w:rFonts w:ascii="Palatino Linotype" w:eastAsia="Palatino Linotype" w:hAnsi="Palatino Linotype" w:cs="Palatino Linotype"/>
          <w:color w:val="000000"/>
        </w:rPr>
        <w:t xml:space="preserve">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BF277E">
        <w:rPr>
          <w:rFonts w:ascii="Palatino Linotype" w:eastAsia="Palatino Linotype" w:hAnsi="Palatino Linotype" w:cs="Palatino Linotype"/>
          <w:b/>
          <w:bCs/>
          <w:color w:val="000000"/>
        </w:rPr>
        <w:t>el domicilio particular</w:t>
      </w:r>
      <w:r w:rsidRPr="00BF277E">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AE6351" w:rsidRDefault="00AE6351">
      <w:pPr>
        <w:spacing w:line="360" w:lineRule="auto"/>
        <w:jc w:val="both"/>
        <w:rPr>
          <w:rFonts w:ascii="Palatino Linotype" w:eastAsia="Palatino Linotype" w:hAnsi="Palatino Linotype" w:cs="Palatino Linotype"/>
          <w:color w:val="000000"/>
        </w:rPr>
      </w:pPr>
    </w:p>
    <w:p w:rsidR="00BF277E" w:rsidRPr="00BF277E" w:rsidRDefault="00BF277E">
      <w:pPr>
        <w:spacing w:line="360" w:lineRule="auto"/>
        <w:jc w:val="both"/>
        <w:rPr>
          <w:rFonts w:ascii="Palatino Linotype" w:eastAsia="Palatino Linotype" w:hAnsi="Palatino Linotype" w:cs="Palatino Linotype"/>
          <w:color w:val="000000"/>
        </w:rPr>
      </w:pPr>
    </w:p>
    <w:p w:rsidR="00AE6351" w:rsidRPr="00BF277E" w:rsidRDefault="00324290">
      <w:pPr>
        <w:spacing w:line="360" w:lineRule="auto"/>
        <w:jc w:val="both"/>
        <w:rPr>
          <w:rFonts w:ascii="Palatino Linotype" w:eastAsia="Palatino Linotype" w:hAnsi="Palatino Linotype" w:cs="Palatino Linotype"/>
          <w:b/>
          <w:bCs/>
        </w:rPr>
      </w:pPr>
      <w:r w:rsidRPr="00BF277E">
        <w:rPr>
          <w:rFonts w:ascii="Palatino Linotype" w:eastAsia="Palatino Linotype" w:hAnsi="Palatino Linotype" w:cs="Palatino Linotype"/>
          <w:b/>
          <w:bCs/>
        </w:rPr>
        <w:lastRenderedPageBreak/>
        <w:t>Estado civil.</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AE6351" w:rsidRPr="00BF277E" w:rsidRDefault="00AE6351">
      <w:pPr>
        <w:spacing w:line="360" w:lineRule="auto"/>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324290">
      <w:pPr>
        <w:spacing w:line="360" w:lineRule="auto"/>
        <w:jc w:val="both"/>
        <w:rPr>
          <w:rFonts w:ascii="Palatino Linotype" w:eastAsia="Palatino Linotype" w:hAnsi="Palatino Linotype" w:cs="Palatino Linotype"/>
        </w:rPr>
      </w:pPr>
      <w:r w:rsidRPr="00BF277E">
        <w:rPr>
          <w:rFonts w:ascii="Palatino Linotype" w:eastAsia="Palatino Linotype" w:hAnsi="Palatino Linotype" w:cs="Palatino Linotype"/>
          <w:b/>
          <w:bCs/>
        </w:rPr>
        <w:t>Teléfono y celular particular.</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AE6351" w:rsidRPr="00BF277E" w:rsidRDefault="00AE6351">
      <w:pPr>
        <w:spacing w:line="360" w:lineRule="auto"/>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En ese sentido, se colige que la titularidad de este corresponde a la persona física en su calidad de particular y no como servidor público.</w:t>
      </w:r>
    </w:p>
    <w:p w:rsidR="00AE6351" w:rsidRPr="00BF277E" w:rsidRDefault="00AE6351">
      <w:pPr>
        <w:spacing w:line="360" w:lineRule="auto"/>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AE6351" w:rsidRPr="00BF277E" w:rsidRDefault="00324290">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b/>
          <w:bCs/>
          <w:color w:val="000000"/>
        </w:rPr>
        <w:lastRenderedPageBreak/>
        <w:t>Correo electrónico particular.</w:t>
      </w: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AE6351" w:rsidRPr="00BF277E" w:rsidRDefault="00AE6351">
      <w:pPr>
        <w:spacing w:line="360" w:lineRule="auto"/>
        <w:jc w:val="both"/>
        <w:rPr>
          <w:rFonts w:ascii="Palatino Linotype" w:eastAsia="Palatino Linotype" w:hAnsi="Palatino Linotype" w:cs="Palatino Linotype"/>
        </w:rPr>
      </w:pPr>
    </w:p>
    <w:p w:rsidR="00AE6351" w:rsidRPr="00BF277E" w:rsidRDefault="0032429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F160B5" w:rsidRPr="00BF277E" w:rsidRDefault="00F160B5" w:rsidP="00F160B5">
      <w:pPr>
        <w:pStyle w:val="Prrafodelista"/>
        <w:rPr>
          <w:rFonts w:ascii="Palatino Linotype" w:eastAsia="Palatino Linotype" w:hAnsi="Palatino Linotype" w:cs="Palatino Linotype"/>
        </w:rPr>
      </w:pPr>
    </w:p>
    <w:p w:rsidR="003E3290" w:rsidRPr="00BF277E" w:rsidRDefault="003E3290"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Finalmente se debe de analizar lo referente a la búsqueda exhaustiva y razonable.</w:t>
      </w:r>
    </w:p>
    <w:p w:rsidR="003E3290" w:rsidRPr="00BF277E" w:rsidRDefault="003E3290" w:rsidP="003E3290">
      <w:pPr>
        <w:pStyle w:val="Prrafodelista"/>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De lo anterior, al artículo 162 de la de la Ley de Transparencia y Acceso a la Información </w:t>
      </w:r>
      <w:r w:rsidRPr="00BF277E">
        <w:rPr>
          <w:rFonts w:ascii="Palatino Linotype" w:eastAsia="Palatino Linotype" w:hAnsi="Palatino Linotype" w:cs="Palatino Linotype"/>
        </w:rPr>
        <w:t>Pública</w:t>
      </w:r>
      <w:r w:rsidRPr="00BF277E">
        <w:rPr>
          <w:rFonts w:ascii="Palatino Linotype" w:eastAsia="Palatino Linotype" w:hAnsi="Palatino Linotype" w:cs="Palatino Linotype"/>
          <w:color w:val="000000"/>
        </w:rPr>
        <w:t xml:space="preserve"> del Estado de México y Municipios, regula que las Unidades de Transparencia deben de garantizar que las solicitudes </w:t>
      </w:r>
      <w:r w:rsidRPr="00BF277E">
        <w:rPr>
          <w:rFonts w:ascii="Palatino Linotype" w:eastAsia="Palatino Linotype" w:hAnsi="Palatino Linotype" w:cs="Palatino Linotype"/>
          <w:b/>
          <w:color w:val="000000"/>
        </w:rPr>
        <w:t>se turnen a todas las Áreas competentes que cuenten con la información o deban tenerla de acuerdo a sus facultades,</w:t>
      </w:r>
      <w:r w:rsidRPr="00BF277E">
        <w:rPr>
          <w:rFonts w:ascii="Palatino Linotype" w:eastAsia="Palatino Linotype" w:hAnsi="Palatino Linotype" w:cs="Palatino Linotype"/>
          <w:color w:val="000000"/>
        </w:rPr>
        <w:t xml:space="preserve"> competencias y funciones, </w:t>
      </w:r>
      <w:r w:rsidRPr="00BF277E">
        <w:rPr>
          <w:rFonts w:ascii="Palatino Linotype" w:eastAsia="Palatino Linotype" w:hAnsi="Palatino Linotype" w:cs="Palatino Linotype"/>
          <w:b/>
          <w:color w:val="000000"/>
          <w:u w:val="single"/>
        </w:rPr>
        <w:t>con el objeto de que realicen una búsqueda exhaustiva y razonable de la información solicitada</w:t>
      </w:r>
      <w:r w:rsidRPr="00BF277E">
        <w:rPr>
          <w:rFonts w:ascii="Palatino Linotype" w:eastAsia="Palatino Linotype" w:hAnsi="Palatino Linotype" w:cs="Palatino Linotype"/>
          <w:color w:val="000000"/>
        </w:rPr>
        <w:t xml:space="preserve">, situación que no fue realizada por el Titular de la Unidad de Transparencia del </w:t>
      </w:r>
      <w:r w:rsidRPr="00BF277E">
        <w:rPr>
          <w:rFonts w:ascii="Palatino Linotype" w:eastAsia="Palatino Linotype" w:hAnsi="Palatino Linotype" w:cs="Palatino Linotype"/>
          <w:b/>
          <w:color w:val="000000"/>
        </w:rPr>
        <w:t>Sujeto Obligado</w:t>
      </w:r>
      <w:r w:rsidRPr="00BF277E">
        <w:rPr>
          <w:rFonts w:ascii="Palatino Linotype" w:eastAsia="Palatino Linotype" w:hAnsi="Palatino Linotype" w:cs="Palatino Linotype"/>
          <w:color w:val="000000"/>
        </w:rPr>
        <w:t>.</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A efecto de determinar la legalidad de dicha respuesta, es necesario tomar en cuenta las siguientes disposiciones de la Ley de la materia.</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lastRenderedPageBreak/>
        <w:t>“</w:t>
      </w:r>
      <w:r w:rsidRPr="00BF277E">
        <w:rPr>
          <w:rFonts w:ascii="Palatino Linotype" w:eastAsia="Palatino Linotype" w:hAnsi="Palatino Linotype" w:cs="Palatino Linotype"/>
          <w:b/>
          <w:i/>
          <w:color w:val="000000"/>
        </w:rPr>
        <w:t>Artículo 50.</w:t>
      </w:r>
      <w:r w:rsidRPr="00BF277E">
        <w:rPr>
          <w:rFonts w:ascii="Palatino Linotype" w:eastAsia="Palatino Linotype" w:hAnsi="Palatino Linotype" w:cs="Palatino Linotype"/>
          <w:i/>
          <w:color w:val="000000"/>
        </w:rPr>
        <w:t xml:space="preserve"> Los sujetos obligados contarán con un área responsable para la atención de las solicitudes de información, a la que se le denominará Unidad de Transparencia.</w:t>
      </w:r>
    </w:p>
    <w:p w:rsidR="00DC35A6" w:rsidRPr="00BF277E" w:rsidRDefault="00DC35A6" w:rsidP="00DC35A6">
      <w:pPr>
        <w:ind w:left="1134" w:right="900"/>
        <w:jc w:val="both"/>
        <w:rPr>
          <w:rFonts w:ascii="Palatino Linotype" w:eastAsia="Palatino Linotype" w:hAnsi="Palatino Linotype" w:cs="Palatino Linotype"/>
          <w:i/>
          <w:color w:val="000000"/>
        </w:rPr>
      </w:pP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b/>
          <w:i/>
          <w:color w:val="000000"/>
        </w:rPr>
        <w:t>Artículo 51</w:t>
      </w:r>
      <w:r w:rsidRPr="00BF277E">
        <w:rPr>
          <w:rFonts w:ascii="Palatino Linotype" w:eastAsia="Palatino Linotype" w:hAnsi="Palatino Linotype" w:cs="Palatino Linotype"/>
          <w:i/>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DC35A6" w:rsidRPr="00BF277E" w:rsidRDefault="00DC35A6" w:rsidP="00DC35A6">
      <w:pPr>
        <w:ind w:left="1134" w:right="900"/>
        <w:jc w:val="both"/>
        <w:rPr>
          <w:rFonts w:ascii="Palatino Linotype" w:eastAsia="Palatino Linotype" w:hAnsi="Palatino Linotype" w:cs="Palatino Linotype"/>
          <w:i/>
          <w:color w:val="000000"/>
        </w:rPr>
      </w:pP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b/>
          <w:i/>
          <w:color w:val="000000"/>
        </w:rPr>
        <w:t>Artículo 53</w:t>
      </w:r>
      <w:r w:rsidRPr="00BF277E">
        <w:rPr>
          <w:rFonts w:ascii="Palatino Linotype" w:eastAsia="Palatino Linotype" w:hAnsi="Palatino Linotype" w:cs="Palatino Linotype"/>
          <w:i/>
          <w:color w:val="000000"/>
        </w:rPr>
        <w:t>. Las Unidades de Transparencia tendrán las siguientes funciones:</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DC35A6" w:rsidRPr="00BF277E" w:rsidRDefault="00DC35A6" w:rsidP="00DC35A6">
      <w:pPr>
        <w:ind w:left="1134" w:right="900"/>
        <w:jc w:val="both"/>
        <w:rPr>
          <w:rFonts w:ascii="Palatino Linotype" w:eastAsia="Palatino Linotype" w:hAnsi="Palatino Linotype" w:cs="Palatino Linotype"/>
          <w:b/>
          <w:i/>
          <w:color w:val="000000"/>
        </w:rPr>
      </w:pPr>
      <w:r w:rsidRPr="00BF277E">
        <w:rPr>
          <w:rFonts w:ascii="Palatino Linotype" w:eastAsia="Palatino Linotype" w:hAnsi="Palatino Linotype" w:cs="Palatino Linotype"/>
          <w:b/>
          <w:i/>
          <w:color w:val="000000"/>
        </w:rPr>
        <w:t xml:space="preserve">II. Recibir, </w:t>
      </w:r>
      <w:r w:rsidRPr="00BF277E">
        <w:rPr>
          <w:rFonts w:ascii="Palatino Linotype" w:eastAsia="Palatino Linotype" w:hAnsi="Palatino Linotype" w:cs="Palatino Linotype"/>
          <w:b/>
          <w:i/>
          <w:color w:val="000000"/>
          <w:u w:val="single"/>
        </w:rPr>
        <w:t>tramitar</w:t>
      </w:r>
      <w:r w:rsidRPr="00BF277E">
        <w:rPr>
          <w:rFonts w:ascii="Palatino Linotype" w:eastAsia="Palatino Linotype" w:hAnsi="Palatino Linotype" w:cs="Palatino Linotype"/>
          <w:b/>
          <w:i/>
          <w:color w:val="000000"/>
        </w:rPr>
        <w:t xml:space="preserve"> y dar respuesta a las solicitudes de acceso a la información;</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III. Auxiliar a los particulares en la elaboración de solicitudes de acceso a la información y, en su caso, orientarlos sobre los sujetos obligados competentes conforme a la normatividad aplicable;</w:t>
      </w:r>
    </w:p>
    <w:p w:rsidR="00DC35A6" w:rsidRPr="00BF277E" w:rsidRDefault="00DC35A6" w:rsidP="00DC35A6">
      <w:pPr>
        <w:ind w:left="1134" w:right="900"/>
        <w:jc w:val="both"/>
        <w:rPr>
          <w:rFonts w:ascii="Palatino Linotype" w:eastAsia="Palatino Linotype" w:hAnsi="Palatino Linotype" w:cs="Palatino Linotype"/>
          <w:b/>
          <w:i/>
          <w:color w:val="000000"/>
        </w:rPr>
      </w:pPr>
      <w:r w:rsidRPr="00BF277E">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rsidR="00DC35A6" w:rsidRPr="00BF277E" w:rsidRDefault="00DC35A6" w:rsidP="00DC35A6">
      <w:pPr>
        <w:ind w:left="1134" w:right="900"/>
        <w:jc w:val="both"/>
        <w:rPr>
          <w:rFonts w:ascii="Palatino Linotype" w:eastAsia="Palatino Linotype" w:hAnsi="Palatino Linotype" w:cs="Palatino Linotype"/>
          <w:b/>
          <w:i/>
          <w:color w:val="000000"/>
        </w:rPr>
      </w:pPr>
      <w:r w:rsidRPr="00BF277E">
        <w:rPr>
          <w:rFonts w:ascii="Palatino Linotype" w:eastAsia="Palatino Linotype" w:hAnsi="Palatino Linotype" w:cs="Palatino Linotype"/>
          <w:b/>
          <w:i/>
          <w:color w:val="000000"/>
        </w:rPr>
        <w:t>V. Entregar, en su caso, a los particulares la información solicitada;</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VI. Efectuar las notificaciones a los solicitantes;</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VII. Proponer al Comité de Transparencia, los procedimientos internos que aseguren la mayor eficiencia en la gestión de las solicitudes de acceso a la información, conforme a la normatividad aplicable;</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lastRenderedPageBreak/>
        <w:t>VIII. Proponer a quien preside el Comité de Transparencia, personal habilitado que sea necesario para recibir y dar trámite a las solicitudes de acceso a la información;</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X. Presentar ante el Comité, el proyecto de clasificación de información;</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XI. Promover e implementar políticas de transparencia proactiva procurando su accesibilidad;</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XII. Fomentar la transparencia y accesibilidad al interior del sujeto obligado;</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rsidR="00DC35A6" w:rsidRPr="00BF277E" w:rsidRDefault="00DC35A6" w:rsidP="00DC35A6">
      <w:pPr>
        <w:ind w:left="1134" w:right="900"/>
        <w:jc w:val="both"/>
        <w:rPr>
          <w:rFonts w:ascii="Palatino Linotype" w:eastAsia="Palatino Linotype" w:hAnsi="Palatino Linotype" w:cs="Palatino Linotype"/>
          <w:i/>
          <w:color w:val="000000"/>
        </w:rPr>
      </w:pP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b/>
          <w:i/>
          <w:color w:val="000000"/>
        </w:rPr>
        <w:t>Artículo 59</w:t>
      </w:r>
      <w:r w:rsidRPr="00BF277E">
        <w:rPr>
          <w:rFonts w:ascii="Palatino Linotype" w:eastAsia="Palatino Linotype" w:hAnsi="Palatino Linotype" w:cs="Palatino Linotype"/>
          <w:i/>
          <w:color w:val="000000"/>
        </w:rPr>
        <w:t xml:space="preserve">. </w:t>
      </w:r>
      <w:r w:rsidRPr="00BF277E">
        <w:rPr>
          <w:rFonts w:ascii="Palatino Linotype" w:eastAsia="Palatino Linotype" w:hAnsi="Palatino Linotype" w:cs="Palatino Linotype"/>
          <w:b/>
          <w:i/>
          <w:color w:val="000000"/>
        </w:rPr>
        <w:t>Los servidores públicos habilitados</w:t>
      </w:r>
      <w:r w:rsidRPr="00BF277E">
        <w:rPr>
          <w:rFonts w:ascii="Palatino Linotype" w:eastAsia="Palatino Linotype" w:hAnsi="Palatino Linotype" w:cs="Palatino Linotype"/>
          <w:i/>
          <w:color w:val="000000"/>
        </w:rPr>
        <w:t xml:space="preserve"> tendrán las funciones siguientes:</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lastRenderedPageBreak/>
        <w:t>I. Localizar la información que le solicite la Unidad de Transparencia;</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II. Proporcionar la información que obre en los archivos y que le sea solicitada por la Unidad de Transparencia;</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III. Apoyar a la Unidad de Transparencia en lo que esta le solicite para el cumplimiento de sus funciones;</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IV. Proporcionar a la Unidad de Transparencia, las modificaciones a la información pública de oficio que obre en su poder;</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V. Integrar y presentar al responsable de la Unidad de Transparencia la propuesta de clasificación de información, la cual tendrá los fundamentos y argumentos en que se basa dicha propuesta;</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VI. Verificar, una vez analizado el contenido de la información, que no se encuentre en los supuestos de información clasificada; y</w:t>
      </w: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VII. Dar cuenta a la Unidad de Transparencia del vencimiento de los plazos de reserva.</w:t>
      </w:r>
    </w:p>
    <w:p w:rsidR="00DC35A6" w:rsidRPr="00BF277E" w:rsidRDefault="00DC35A6" w:rsidP="00DC35A6">
      <w:pPr>
        <w:ind w:left="1134" w:right="900"/>
        <w:jc w:val="both"/>
        <w:rPr>
          <w:rFonts w:ascii="Palatino Linotype" w:eastAsia="Palatino Linotype" w:hAnsi="Palatino Linotype" w:cs="Palatino Linotype"/>
          <w:i/>
          <w:color w:val="000000"/>
        </w:rPr>
      </w:pPr>
    </w:p>
    <w:p w:rsidR="00DC35A6" w:rsidRPr="00BF277E" w:rsidRDefault="00DC35A6" w:rsidP="00DC35A6">
      <w:p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b/>
          <w:i/>
          <w:color w:val="000000"/>
        </w:rPr>
        <w:t>Artículo 162</w:t>
      </w:r>
      <w:r w:rsidRPr="00BF277E">
        <w:rPr>
          <w:rFonts w:ascii="Palatino Linotype" w:eastAsia="Palatino Linotype" w:hAnsi="Palatino Linotype" w:cs="Palatino Linotype"/>
          <w:i/>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DC35A6" w:rsidRPr="00BF277E" w:rsidRDefault="00DC35A6" w:rsidP="00DC35A6">
      <w:pPr>
        <w:ind w:right="900"/>
        <w:jc w:val="both"/>
        <w:rPr>
          <w:rFonts w:ascii="Palatino Linotype" w:eastAsia="Palatino Linotype" w:hAnsi="Palatino Linotype" w:cs="Palatino Linotype"/>
          <w:i/>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w:t>
      </w:r>
      <w:r w:rsidRPr="00BF277E">
        <w:rPr>
          <w:rFonts w:ascii="Palatino Linotype" w:eastAsia="Palatino Linotype" w:hAnsi="Palatino Linotype" w:cs="Palatino Linotype"/>
          <w:b/>
          <w:color w:val="000000"/>
        </w:rPr>
        <w:t xml:space="preserve"> SUJETO OBLIGADO</w:t>
      </w:r>
      <w:r w:rsidRPr="00BF277E">
        <w:rPr>
          <w:rFonts w:ascii="Palatino Linotype" w:eastAsia="Palatino Linotype" w:hAnsi="Palatino Linotype" w:cs="Palatino Linotype"/>
          <w:color w:val="000000"/>
        </w:rPr>
        <w:t xml:space="preserve"> y los solicitantes, y tiene bajo su responsabilidad el tramitar internamente la solicitud de información.</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w:t>
      </w:r>
      <w:r w:rsidRPr="00BF277E">
        <w:rPr>
          <w:rFonts w:ascii="Palatino Linotype" w:eastAsia="Palatino Linotype" w:hAnsi="Palatino Linotype" w:cs="Palatino Linotype"/>
        </w:rPr>
        <w:t>procedimiento</w:t>
      </w:r>
      <w:r w:rsidRPr="00BF277E">
        <w:rPr>
          <w:rFonts w:ascii="Palatino Linotype" w:eastAsia="Palatino Linotype" w:hAnsi="Palatino Linotype" w:cs="Palatino Linotype"/>
          <w:color w:val="000000"/>
        </w:rPr>
        <w:t xml:space="preserve">, de turnar dentro de las áreas que conforman la estructura del </w:t>
      </w:r>
      <w:r w:rsidRPr="00BF277E">
        <w:rPr>
          <w:rFonts w:ascii="Palatino Linotype" w:eastAsia="Palatino Linotype" w:hAnsi="Palatino Linotype" w:cs="Palatino Linotype"/>
          <w:b/>
          <w:color w:val="000000"/>
        </w:rPr>
        <w:t>Sujeto Obligado</w:t>
      </w:r>
      <w:r w:rsidRPr="00BF277E">
        <w:rPr>
          <w:rFonts w:ascii="Palatino Linotype" w:eastAsia="Palatino Linotype" w:hAnsi="Palatino Linotype" w:cs="Palatino Linotype"/>
          <w:color w:val="000000"/>
        </w:rPr>
        <w:t xml:space="preserve">, a fin de que el </w:t>
      </w:r>
      <w:r w:rsidRPr="00BF277E">
        <w:rPr>
          <w:rFonts w:ascii="Palatino Linotype" w:eastAsia="Palatino Linotype" w:hAnsi="Palatino Linotype" w:cs="Palatino Linotype"/>
          <w:color w:val="000000"/>
        </w:rPr>
        <w:lastRenderedPageBreak/>
        <w:t>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Es por ello, que corresponde al Titular de la Unidad de Transparencia el </w:t>
      </w:r>
      <w:r w:rsidRPr="00BF277E">
        <w:rPr>
          <w:rFonts w:ascii="Palatino Linotype" w:eastAsia="Palatino Linotype" w:hAnsi="Palatino Linotype" w:cs="Palatino Linotype"/>
        </w:rPr>
        <w:t>garantizar</w:t>
      </w:r>
      <w:r w:rsidRPr="00BF277E">
        <w:rPr>
          <w:rFonts w:ascii="Palatino Linotype" w:eastAsia="Palatino Linotype" w:hAnsi="Palatino Linotype" w:cs="Palatino Linotype"/>
          <w:color w:val="000000"/>
        </w:rPr>
        <w:t xml:space="preserve"> que las solicitudes se turnen a todas las áreas competentes que puedan contar con la información, con el objeto de que se realice una búsqueda exhaustiva y razonable de la misma.</w:t>
      </w:r>
    </w:p>
    <w:p w:rsidR="00DC35A6" w:rsidRPr="00BF277E" w:rsidRDefault="00DC35A6" w:rsidP="00DC35A6">
      <w:pPr>
        <w:spacing w:line="360" w:lineRule="auto"/>
        <w:jc w:val="both"/>
        <w:rPr>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De lo anterior, es de precisar que la información que resulta de interés para el </w:t>
      </w:r>
      <w:r w:rsidRPr="00BF277E">
        <w:rPr>
          <w:rFonts w:ascii="Palatino Linotype" w:eastAsia="Palatino Linotype" w:hAnsi="Palatino Linotype" w:cs="Palatino Linotype"/>
        </w:rPr>
        <w:t>particular</w:t>
      </w:r>
      <w:r w:rsidRPr="00BF277E">
        <w:rPr>
          <w:rFonts w:ascii="Palatino Linotype" w:eastAsia="Palatino Linotype" w:hAnsi="Palatino Linotype" w:cs="Palatino Linotype"/>
          <w:color w:val="000000"/>
        </w:rPr>
        <w:t xml:space="preserve"> obra en los archivos del </w:t>
      </w:r>
      <w:r w:rsidRPr="00BF277E">
        <w:rPr>
          <w:rFonts w:ascii="Palatino Linotype" w:eastAsia="Palatino Linotype" w:hAnsi="Palatino Linotype" w:cs="Palatino Linotype"/>
          <w:b/>
          <w:color w:val="000000"/>
        </w:rPr>
        <w:t xml:space="preserve">SUJETO OBLIGADO </w:t>
      </w:r>
      <w:r w:rsidRPr="00BF277E">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Conforme a lo anterior, se puede advertir que el </w:t>
      </w:r>
      <w:r w:rsidRPr="00BF277E">
        <w:rPr>
          <w:rFonts w:ascii="Palatino Linotype" w:eastAsia="Palatino Linotype" w:hAnsi="Palatino Linotype" w:cs="Palatino Linotype"/>
          <w:b/>
          <w:color w:val="000000"/>
        </w:rPr>
        <w:t>SUJETO OBLIGADO</w:t>
      </w:r>
      <w:r w:rsidRPr="00BF277E">
        <w:rPr>
          <w:rFonts w:ascii="Palatino Linotype" w:eastAsia="Palatino Linotype" w:hAnsi="Palatino Linotype" w:cs="Palatino Linotype"/>
          <w:color w:val="000000"/>
        </w:rPr>
        <w:t xml:space="preserve"> no turnó la solicitud de información a todas  las unidad administrativa habilitadas de conocer de la solicitud de información, por lo que se concluye, que el </w:t>
      </w:r>
      <w:r w:rsidRPr="00BF277E">
        <w:rPr>
          <w:rFonts w:ascii="Palatino Linotype" w:eastAsia="Palatino Linotype" w:hAnsi="Palatino Linotype" w:cs="Palatino Linotype"/>
          <w:b/>
          <w:color w:val="000000"/>
        </w:rPr>
        <w:t>SUJETO OBLIGADO</w:t>
      </w:r>
      <w:r w:rsidRPr="00BF277E">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que es una investigación con esas características.</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Aunado a lo expuesto, para poder acreditar el carácter exhaustivo de la búsqueda realizada por los Sujetos Obligados, se deben motivar las razones por las que se buscó la </w:t>
      </w:r>
      <w:r w:rsidRPr="00BF277E">
        <w:rPr>
          <w:rFonts w:ascii="Palatino Linotype" w:eastAsia="Palatino Linotype" w:hAnsi="Palatino Linotype" w:cs="Palatino Linotype"/>
          <w:color w:val="000000"/>
        </w:rPr>
        <w:lastRenderedPageBreak/>
        <w:t>información en determinadas áreas, los criterios de búsqueda utilizados y demás circunstancias que fueron tomadas en cuenta.</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En ese contexto, de conformidad con los </w:t>
      </w:r>
      <w:r w:rsidRPr="00BF277E">
        <w:rPr>
          <w:rFonts w:ascii="Palatino Linotype" w:eastAsia="Palatino Linotype" w:hAnsi="Palatino Linotype" w:cs="Palatino Linotype"/>
          <w:b/>
          <w:color w:val="000000"/>
        </w:rPr>
        <w:t>criterios 12/10 y 04/19,</w:t>
      </w:r>
      <w:r w:rsidRPr="00BF277E">
        <w:rPr>
          <w:rFonts w:ascii="Palatino Linotype" w:eastAsia="Palatino Linotype" w:hAnsi="Palatino Linotype" w:cs="Palatino Linotype"/>
          <w:color w:val="000000"/>
        </w:rPr>
        <w:t xml:space="preserve"> emitidos por </w:t>
      </w:r>
      <w:r w:rsidRPr="00BF277E">
        <w:rPr>
          <w:rFonts w:ascii="Palatino Linotype" w:eastAsia="Palatino Linotype" w:hAnsi="Palatino Linotype" w:cs="Palatino Linotype"/>
        </w:rPr>
        <w:t>el</w:t>
      </w:r>
      <w:r w:rsidRPr="00BF277E">
        <w:rPr>
          <w:rFonts w:ascii="Palatino Linotype" w:eastAsia="Palatino Linotype" w:hAnsi="Palatino Linotype" w:cs="Palatino Linotype"/>
          <w:color w:val="000000"/>
        </w:rPr>
        <w:t xml:space="preserve"> Instituto Nacional de Transparencia, Acceso a la Información y Protección de Datos Personales, traídos por analogía, se colige que los sujetos obligados para acreditar que se realizó una búsqueda exhaustiva y razonable, deben de proporcionar los </w:t>
      </w:r>
      <w:r w:rsidRPr="00BF277E">
        <w:rPr>
          <w:rFonts w:ascii="Palatino Linotype" w:eastAsia="Palatino Linotype" w:hAnsi="Palatino Linotype" w:cs="Palatino Linotype"/>
          <w:b/>
          <w:color w:val="000000"/>
        </w:rPr>
        <w:t>elementos suficientes</w:t>
      </w:r>
      <w:r w:rsidRPr="00BF277E">
        <w:rPr>
          <w:rFonts w:ascii="Palatino Linotype" w:eastAsia="Palatino Linotype" w:hAnsi="Palatino Linotype" w:cs="Palatino Linotype"/>
          <w:color w:val="000000"/>
        </w:rPr>
        <w:t xml:space="preserve"> del carácter exhaustivo de la indagación realizada, a saber, los siguientes:</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7"/>
        </w:num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Motivación por las que se buscó la información, en determinadas unidades administrativas;</w:t>
      </w:r>
    </w:p>
    <w:p w:rsidR="00DC35A6" w:rsidRPr="00BF277E" w:rsidRDefault="00DC35A6" w:rsidP="00DC35A6">
      <w:pPr>
        <w:numPr>
          <w:ilvl w:val="0"/>
          <w:numId w:val="7"/>
        </w:num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Los criterios de búsqueda utilizados, y</w:t>
      </w:r>
    </w:p>
    <w:p w:rsidR="00DC35A6" w:rsidRPr="00BF277E" w:rsidRDefault="00DC35A6" w:rsidP="00DC35A6">
      <w:pPr>
        <w:numPr>
          <w:ilvl w:val="0"/>
          <w:numId w:val="7"/>
        </w:numPr>
        <w:ind w:left="1134" w:right="900"/>
        <w:jc w:val="both"/>
        <w:rPr>
          <w:rFonts w:ascii="Palatino Linotype" w:eastAsia="Palatino Linotype" w:hAnsi="Palatino Linotype" w:cs="Palatino Linotype"/>
          <w:i/>
          <w:color w:val="000000"/>
        </w:rPr>
      </w:pPr>
      <w:r w:rsidRPr="00BF277E">
        <w:rPr>
          <w:rFonts w:ascii="Palatino Linotype" w:eastAsia="Palatino Linotype" w:hAnsi="Palatino Linotype" w:cs="Palatino Linotype"/>
          <w:i/>
          <w:color w:val="000000"/>
        </w:rPr>
        <w:t>Las circunstancias que fueron tomadas en cuenta.</w:t>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 xml:space="preserve">De tales circunstancias, se considera que para que los Sujetos Obligado justifiquen </w:t>
      </w:r>
      <w:r w:rsidRPr="00BF277E">
        <w:rPr>
          <w:rFonts w:ascii="Palatino Linotype" w:eastAsia="Palatino Linotype" w:hAnsi="Palatino Linotype" w:cs="Palatino Linotype"/>
        </w:rPr>
        <w:t>que</w:t>
      </w:r>
      <w:r w:rsidRPr="00BF277E">
        <w:rPr>
          <w:rFonts w:ascii="Palatino Linotype" w:eastAsia="Palatino Linotype" w:hAnsi="Palatino Linotype" w:cs="Palatino Linotype"/>
          <w:color w:val="000000"/>
        </w:rPr>
        <w:t xml:space="preserve"> realizaron una búsqueda exhaustiva y razonable, deben indicar de manera clara, lo siguiente:</w:t>
      </w:r>
    </w:p>
    <w:p w:rsidR="00DC35A6" w:rsidRPr="00BF277E" w:rsidRDefault="00DC35A6" w:rsidP="00DC35A6">
      <w:pPr>
        <w:numPr>
          <w:ilvl w:val="0"/>
          <w:numId w:val="8"/>
        </w:numPr>
        <w:ind w:left="1134" w:right="900" w:firstLine="0"/>
        <w:jc w:val="both"/>
        <w:rPr>
          <w:rFonts w:ascii="Palatino Linotype" w:eastAsia="Palatino Linotype" w:hAnsi="Palatino Linotype" w:cs="Palatino Linotype"/>
          <w:b/>
          <w:i/>
          <w:color w:val="000000"/>
        </w:rPr>
      </w:pPr>
      <w:r w:rsidRPr="00BF277E">
        <w:rPr>
          <w:rFonts w:ascii="Palatino Linotype" w:eastAsia="Palatino Linotype" w:hAnsi="Palatino Linotype" w:cs="Palatino Linotype"/>
          <w:b/>
          <w:i/>
          <w:color w:val="000000"/>
        </w:rPr>
        <w:t>Las áreas donde se buscó la información;</w:t>
      </w:r>
    </w:p>
    <w:p w:rsidR="00DC35A6" w:rsidRPr="00BF277E" w:rsidRDefault="00DC35A6" w:rsidP="00DC35A6">
      <w:pPr>
        <w:numPr>
          <w:ilvl w:val="0"/>
          <w:numId w:val="8"/>
        </w:numPr>
        <w:ind w:left="1134" w:right="900" w:firstLine="0"/>
        <w:jc w:val="both"/>
        <w:rPr>
          <w:rFonts w:ascii="Palatino Linotype" w:eastAsia="Palatino Linotype" w:hAnsi="Palatino Linotype" w:cs="Palatino Linotype"/>
          <w:b/>
          <w:i/>
          <w:color w:val="000000"/>
        </w:rPr>
      </w:pPr>
      <w:r w:rsidRPr="00BF277E">
        <w:rPr>
          <w:rFonts w:ascii="Palatino Linotype" w:eastAsia="Palatino Linotype" w:hAnsi="Palatino Linotype" w:cs="Palatino Linotype"/>
          <w:b/>
          <w:i/>
          <w:color w:val="000000"/>
        </w:rPr>
        <w:t>Tipo de archivos buscados (físicos o electrónicos);</w:t>
      </w:r>
    </w:p>
    <w:p w:rsidR="00DC35A6" w:rsidRPr="00BF277E" w:rsidRDefault="00DC35A6" w:rsidP="00DC35A6">
      <w:pPr>
        <w:numPr>
          <w:ilvl w:val="0"/>
          <w:numId w:val="8"/>
        </w:numPr>
        <w:ind w:left="1134" w:right="900" w:firstLine="0"/>
        <w:jc w:val="both"/>
        <w:rPr>
          <w:rFonts w:ascii="Palatino Linotype" w:eastAsia="Palatino Linotype" w:hAnsi="Palatino Linotype" w:cs="Palatino Linotype"/>
          <w:b/>
          <w:i/>
          <w:color w:val="000000"/>
        </w:rPr>
      </w:pPr>
      <w:r w:rsidRPr="00BF277E">
        <w:rPr>
          <w:rFonts w:ascii="Palatino Linotype" w:eastAsia="Palatino Linotype" w:hAnsi="Palatino Linotype" w:cs="Palatino Linotype"/>
          <w:b/>
          <w:i/>
          <w:color w:val="000000"/>
        </w:rPr>
        <w:t xml:space="preserve">Los criterios de búsqueda utilizados, y </w:t>
      </w:r>
    </w:p>
    <w:p w:rsidR="00DC35A6" w:rsidRPr="00BF277E" w:rsidRDefault="00DC35A6" w:rsidP="00DC35A6">
      <w:pPr>
        <w:numPr>
          <w:ilvl w:val="0"/>
          <w:numId w:val="8"/>
        </w:numPr>
        <w:ind w:left="1134" w:right="900" w:firstLine="0"/>
        <w:jc w:val="both"/>
        <w:rPr>
          <w:rFonts w:ascii="Palatino Linotype" w:eastAsia="Palatino Linotype" w:hAnsi="Palatino Linotype" w:cs="Palatino Linotype"/>
          <w:b/>
          <w:i/>
          <w:color w:val="000000"/>
        </w:rPr>
      </w:pPr>
      <w:r w:rsidRPr="00BF277E">
        <w:rPr>
          <w:rFonts w:ascii="Palatino Linotype" w:eastAsia="Palatino Linotype" w:hAnsi="Palatino Linotype" w:cs="Palatino Linotype"/>
          <w:b/>
          <w:i/>
          <w:color w:val="000000"/>
        </w:rPr>
        <w:t>Las circunstancias que fueron tomadas en cuenta.</w:t>
      </w:r>
      <w:r w:rsidRPr="00BF277E">
        <w:rPr>
          <w:rFonts w:ascii="Palatino Linotype" w:eastAsia="Palatino Linotype" w:hAnsi="Palatino Linotype" w:cs="Palatino Linotype"/>
          <w:b/>
          <w:i/>
          <w:color w:val="000000"/>
        </w:rPr>
        <w:tab/>
      </w:r>
    </w:p>
    <w:p w:rsidR="00DC35A6" w:rsidRPr="00BF277E" w:rsidRDefault="00DC35A6" w:rsidP="00DC35A6">
      <w:pPr>
        <w:spacing w:line="360" w:lineRule="auto"/>
        <w:ind w:right="-504"/>
        <w:jc w:val="both"/>
        <w:rPr>
          <w:rFonts w:ascii="Palatino Linotype" w:eastAsia="Palatino Linotype" w:hAnsi="Palatino Linotype" w:cs="Palatino Linotype"/>
          <w:color w:val="000000"/>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BF277E">
        <w:rPr>
          <w:rFonts w:ascii="Palatino Linotype" w:eastAsia="Palatino Linotype" w:hAnsi="Palatino Linotype" w:cs="Palatino Linotype"/>
          <w:color w:val="000000"/>
        </w:rPr>
        <w:t xml:space="preserve">Conforme a lo anterior, este Instituto considera que la </w:t>
      </w:r>
      <w:r w:rsidRPr="00BF277E">
        <w:rPr>
          <w:rFonts w:ascii="Palatino Linotype" w:eastAsia="Palatino Linotype" w:hAnsi="Palatino Linotype" w:cs="Palatino Linotype"/>
          <w:b/>
          <w:color w:val="000000"/>
        </w:rPr>
        <w:t>Universidad Digital del Estado de México</w:t>
      </w:r>
      <w:r w:rsidRPr="00BF277E">
        <w:rPr>
          <w:rFonts w:ascii="Palatino Linotype" w:eastAsia="Palatino Linotype" w:hAnsi="Palatino Linotype" w:cs="Palatino Linotype"/>
          <w:color w:val="000000"/>
        </w:rPr>
        <w:t xml:space="preserve">, no cumplió con ninguno de los requisitos previamente señalados por lo </w:t>
      </w:r>
      <w:r w:rsidRPr="00BF277E">
        <w:rPr>
          <w:rFonts w:ascii="Palatino Linotype" w:eastAsia="Palatino Linotype" w:hAnsi="Palatino Linotype" w:cs="Palatino Linotype"/>
        </w:rPr>
        <w:t>consiguiente</w:t>
      </w:r>
      <w:r w:rsidRPr="00BF277E">
        <w:rPr>
          <w:rFonts w:ascii="Palatino Linotype" w:eastAsia="Palatino Linotype" w:hAnsi="Palatino Linotype" w:cs="Palatino Linotype"/>
          <w:color w:val="000000"/>
        </w:rPr>
        <w:t xml:space="preserve"> no turnó la solicitud de información a las diversas áreas, toda vez que de la respuesta entregada no se pronuncian todos los servidores públicos habilitados, por lo que, </w:t>
      </w:r>
      <w:r w:rsidRPr="00BF277E">
        <w:rPr>
          <w:rFonts w:ascii="Palatino Linotype" w:eastAsia="Palatino Linotype" w:hAnsi="Palatino Linotype" w:cs="Palatino Linotype"/>
          <w:color w:val="000000"/>
        </w:rPr>
        <w:lastRenderedPageBreak/>
        <w:t xml:space="preserve">no se logró advertir que esta haya realizado una indagación de lo requerido, </w:t>
      </w:r>
      <w:r w:rsidRPr="00BF277E">
        <w:rPr>
          <w:rFonts w:ascii="Palatino Linotype" w:eastAsia="Palatino Linotype" w:hAnsi="Palatino Linotype" w:cs="Palatino Linotype"/>
          <w:b/>
          <w:color w:val="000000"/>
        </w:rPr>
        <w:t>no se indago en documentos físicos o también electrónicos y no se logró desprender los criterios de búsqueda utilizados, pues no precisó cómo realizó la misma.</w:t>
      </w:r>
    </w:p>
    <w:p w:rsidR="00DC35A6" w:rsidRPr="00BF277E" w:rsidRDefault="00DC35A6" w:rsidP="00DC35A6">
      <w:pPr>
        <w:spacing w:line="360" w:lineRule="auto"/>
        <w:ind w:right="-504"/>
        <w:jc w:val="both"/>
        <w:rPr>
          <w:rFonts w:ascii="Palatino Linotype" w:eastAsia="Palatino Linotype" w:hAnsi="Palatino Linotype" w:cs="Palatino Linotype"/>
          <w:i/>
        </w:rPr>
      </w:pPr>
    </w:p>
    <w:p w:rsidR="00DC35A6" w:rsidRPr="00BF277E" w:rsidRDefault="00DC35A6" w:rsidP="00DC35A6">
      <w:pPr>
        <w:numPr>
          <w:ilvl w:val="0"/>
          <w:numId w:val="3"/>
        </w:numPr>
        <w:pBdr>
          <w:top w:val="nil"/>
          <w:left w:val="nil"/>
          <w:bottom w:val="nil"/>
          <w:right w:val="nil"/>
          <w:between w:val="nil"/>
        </w:pBdr>
        <w:spacing w:line="360" w:lineRule="auto"/>
        <w:ind w:left="0" w:right="-787" w:firstLine="0"/>
        <w:jc w:val="both"/>
        <w:rPr>
          <w:rFonts w:eastAsia="Calibri"/>
          <w:color w:val="000000"/>
        </w:rPr>
      </w:pPr>
      <w:r w:rsidRPr="00BF277E">
        <w:rPr>
          <w:rFonts w:ascii="Palatino Linotype" w:eastAsia="Palatino Linotype" w:hAnsi="Palatino Linotype" w:cs="Palatino Linotype"/>
          <w:color w:val="000000"/>
        </w:rPr>
        <w:t>De lo anterior, se concluye que la búsqueda exhaustiva y razonable de la información debe estar sustentada con los respectivos criterios de búsqueda exhaustiva que el sujeto obligado utilizó.</w:t>
      </w:r>
    </w:p>
    <w:p w:rsidR="00AE6351" w:rsidRPr="00BF277E" w:rsidRDefault="00AE6351">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AE6351" w:rsidRPr="00BF277E" w:rsidRDefault="00324290">
      <w:pPr>
        <w:keepNext/>
        <w:keepLines/>
        <w:spacing w:after="160" w:line="360" w:lineRule="auto"/>
        <w:ind w:right="-787"/>
        <w:rPr>
          <w:rFonts w:ascii="Palatino Linotype" w:eastAsia="Palatino Linotype" w:hAnsi="Palatino Linotype" w:cs="Palatino Linotype"/>
          <w:b/>
          <w:bCs/>
          <w:color w:val="000000"/>
        </w:rPr>
      </w:pPr>
      <w:r w:rsidRPr="00BF277E">
        <w:rPr>
          <w:rFonts w:ascii="Palatino Linotype" w:eastAsia="Palatino Linotype" w:hAnsi="Palatino Linotype" w:cs="Palatino Linotype"/>
          <w:b/>
          <w:bCs/>
          <w:color w:val="000000"/>
        </w:rPr>
        <w:t>QUINTO. De la versión pública.</w:t>
      </w:r>
    </w:p>
    <w:p w:rsidR="00AE6351" w:rsidRPr="00BF277E" w:rsidRDefault="00324290">
      <w:pPr>
        <w:keepNext/>
        <w:keepLines/>
        <w:numPr>
          <w:ilvl w:val="0"/>
          <w:numId w:val="5"/>
        </w:numPr>
        <w:tabs>
          <w:tab w:val="left" w:pos="284"/>
        </w:tabs>
        <w:spacing w:after="160" w:line="360" w:lineRule="auto"/>
        <w:ind w:left="0" w:right="-787" w:firstLine="0"/>
        <w:rPr>
          <w:rFonts w:ascii="Palatino Linotype" w:eastAsia="Palatino Linotype" w:hAnsi="Palatino Linotype" w:cs="Palatino Linotype"/>
          <w:b/>
          <w:bCs/>
          <w:color w:val="000000"/>
        </w:rPr>
      </w:pPr>
      <w:r w:rsidRPr="00BF277E">
        <w:rPr>
          <w:rFonts w:ascii="Palatino Linotype" w:eastAsia="Palatino Linotype" w:hAnsi="Palatino Linotype" w:cs="Palatino Linotype"/>
          <w:b/>
          <w:bCs/>
          <w:color w:val="000000"/>
        </w:rPr>
        <w:t xml:space="preserve">Nociones generales. </w:t>
      </w: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Debe destacarse, que debido a la información solicitada por el </w:t>
      </w:r>
      <w:r w:rsidRPr="00BF277E">
        <w:rPr>
          <w:rFonts w:ascii="Palatino Linotype" w:eastAsia="Palatino Linotype" w:hAnsi="Palatino Linotype" w:cs="Palatino Linotype"/>
          <w:b/>
          <w:bCs/>
          <w:color w:val="000000"/>
        </w:rPr>
        <w:t xml:space="preserve">RECURRENTE, pueden obrar </w:t>
      </w:r>
      <w:r w:rsidRPr="00BF277E">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BF277E">
        <w:rPr>
          <w:rFonts w:ascii="Palatino Linotype" w:eastAsia="Palatino Linotype" w:hAnsi="Palatino Linotype" w:cs="Palatino Linotype"/>
          <w:b/>
          <w:bCs/>
          <w:color w:val="000000"/>
        </w:rPr>
        <w:t xml:space="preserve">SUJETO OBLIGADO </w:t>
      </w:r>
      <w:r w:rsidRPr="00BF277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AE6351" w:rsidRPr="00BF277E" w:rsidRDefault="00AE6351">
      <w:pPr>
        <w:tabs>
          <w:tab w:val="left" w:pos="0"/>
          <w:tab w:val="left" w:pos="284"/>
        </w:tabs>
        <w:spacing w:line="360" w:lineRule="auto"/>
        <w:ind w:right="-787"/>
        <w:jc w:val="both"/>
        <w:rPr>
          <w:rFonts w:ascii="Palatino Linotype" w:eastAsia="Palatino Linotype" w:hAnsi="Palatino Linotype" w:cs="Palatino Linotype"/>
          <w:highlight w:val="yellow"/>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No pasa desapercibido para este Órgano Garante que los sujetos obligados</w:t>
      </w:r>
      <w:r w:rsidRPr="00BF277E">
        <w:rPr>
          <w:rFonts w:ascii="Palatino Linotype" w:eastAsia="Palatino Linotype" w:hAnsi="Palatino Linotype" w:cs="Palatino Linotype"/>
          <w:b/>
          <w:bCs/>
          <w:color w:val="000000"/>
        </w:rPr>
        <w:t xml:space="preserve"> </w:t>
      </w:r>
      <w:r w:rsidRPr="00BF277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E6351" w:rsidRPr="00BF277E" w:rsidRDefault="00AE6351">
      <w:pPr>
        <w:tabs>
          <w:tab w:val="left" w:pos="284"/>
        </w:tabs>
        <w:spacing w:after="160" w:line="360" w:lineRule="auto"/>
        <w:ind w:right="-787"/>
        <w:jc w:val="both"/>
        <w:rPr>
          <w:rFonts w:ascii="Palatino Linotype" w:eastAsia="Palatino Linotype" w:hAnsi="Palatino Linotype" w:cs="Palatino Linotype"/>
          <w:color w:val="000000"/>
        </w:rPr>
      </w:pPr>
    </w:p>
    <w:tbl>
      <w:tblPr>
        <w:tblStyle w:val="a0"/>
        <w:tblW w:w="96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AE6351" w:rsidRPr="00BF277E">
        <w:tc>
          <w:tcPr>
            <w:tcW w:w="2805" w:type="dxa"/>
          </w:tcPr>
          <w:p w:rsidR="00AE6351" w:rsidRPr="00BF277E" w:rsidRDefault="00324290">
            <w:pPr>
              <w:tabs>
                <w:tab w:val="left" w:pos="284"/>
              </w:tabs>
              <w:spacing w:line="360" w:lineRule="auto"/>
              <w:ind w:right="35"/>
              <w:rPr>
                <w:rFonts w:ascii="Palatino Linotype" w:eastAsia="Palatino Linotype" w:hAnsi="Palatino Linotype" w:cs="Palatino Linotype"/>
              </w:rPr>
            </w:pPr>
            <w:r w:rsidRPr="00BF277E">
              <w:rPr>
                <w:rFonts w:ascii="Palatino Linotype" w:eastAsia="Palatino Linotype" w:hAnsi="Palatino Linotype" w:cs="Palatino Linotype"/>
              </w:rPr>
              <w:lastRenderedPageBreak/>
              <w:t>a) Requisitos previos.</w:t>
            </w:r>
          </w:p>
        </w:tc>
        <w:tc>
          <w:tcPr>
            <w:tcW w:w="6810" w:type="dxa"/>
          </w:tcPr>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AE6351" w:rsidRPr="00BF277E" w:rsidRDefault="00324290">
            <w:pPr>
              <w:tabs>
                <w:tab w:val="left" w:pos="284"/>
              </w:tabs>
              <w:spacing w:line="360" w:lineRule="auto"/>
              <w:ind w:right="35"/>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BF277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BF277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AE6351" w:rsidRPr="00BF277E">
        <w:tc>
          <w:tcPr>
            <w:tcW w:w="2805" w:type="dxa"/>
          </w:tcPr>
          <w:p w:rsidR="00AE6351" w:rsidRPr="00BF277E" w:rsidRDefault="00324290">
            <w:pPr>
              <w:tabs>
                <w:tab w:val="left" w:pos="284"/>
              </w:tabs>
              <w:spacing w:line="360" w:lineRule="auto"/>
              <w:ind w:right="35"/>
              <w:rPr>
                <w:rFonts w:ascii="Palatino Linotype" w:eastAsia="Palatino Linotype" w:hAnsi="Palatino Linotype" w:cs="Palatino Linotype"/>
              </w:rPr>
            </w:pPr>
            <w:r w:rsidRPr="00BF277E">
              <w:rPr>
                <w:rFonts w:ascii="Palatino Linotype" w:eastAsia="Palatino Linotype" w:hAnsi="Palatino Linotype" w:cs="Palatino Linotype"/>
              </w:rPr>
              <w:t>b) Supuestos de clasificación.</w:t>
            </w:r>
          </w:p>
        </w:tc>
        <w:tc>
          <w:tcPr>
            <w:tcW w:w="6810" w:type="dxa"/>
          </w:tcPr>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lastRenderedPageBreak/>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E6351" w:rsidRPr="00BF277E" w:rsidRDefault="00324290">
            <w:pPr>
              <w:tabs>
                <w:tab w:val="left" w:pos="284"/>
              </w:tabs>
              <w:spacing w:line="360" w:lineRule="auto"/>
              <w:ind w:right="35"/>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t xml:space="preserve">El </w:t>
            </w:r>
            <w:r w:rsidRPr="00BF277E">
              <w:rPr>
                <w:rFonts w:ascii="Palatino Linotype" w:eastAsia="Palatino Linotype" w:hAnsi="Palatino Linotype" w:cs="Palatino Linotype"/>
                <w:b/>
                <w:bCs/>
                <w:color w:val="000000"/>
              </w:rPr>
              <w:t>Sujeto Obligado</w:t>
            </w:r>
            <w:r w:rsidRPr="00BF277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E6351" w:rsidRPr="00BF277E">
        <w:tc>
          <w:tcPr>
            <w:tcW w:w="2805" w:type="dxa"/>
          </w:tcPr>
          <w:p w:rsidR="00AE6351" w:rsidRPr="00BF277E" w:rsidRDefault="00324290">
            <w:pPr>
              <w:tabs>
                <w:tab w:val="left" w:pos="284"/>
              </w:tabs>
              <w:spacing w:line="360" w:lineRule="auto"/>
              <w:ind w:right="35"/>
              <w:rPr>
                <w:rFonts w:ascii="Palatino Linotype" w:eastAsia="Palatino Linotype" w:hAnsi="Palatino Linotype" w:cs="Palatino Linotype"/>
              </w:rPr>
            </w:pPr>
            <w:r w:rsidRPr="00BF277E">
              <w:rPr>
                <w:rFonts w:ascii="Palatino Linotype" w:eastAsia="Palatino Linotype" w:hAnsi="Palatino Linotype" w:cs="Palatino Linotype"/>
              </w:rPr>
              <w:lastRenderedPageBreak/>
              <w:t>c) Formalidades para emitir el acuerdo de clasificación.</w:t>
            </w:r>
          </w:p>
        </w:tc>
        <w:tc>
          <w:tcPr>
            <w:tcW w:w="6810" w:type="dxa"/>
          </w:tcPr>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Es necesario que </w:t>
            </w:r>
            <w:r w:rsidRPr="00BF277E">
              <w:rPr>
                <w:rFonts w:ascii="Palatino Linotype" w:eastAsia="Palatino Linotype" w:hAnsi="Palatino Linotype" w:cs="Palatino Linotype"/>
                <w:b/>
                <w:bCs/>
                <w:color w:val="000000"/>
                <w:u w:val="single"/>
              </w:rPr>
              <w:t>el acto reúna con los requisitos elementales</w:t>
            </w:r>
            <w:r w:rsidRPr="00BF277E">
              <w:rPr>
                <w:rFonts w:ascii="Palatino Linotype" w:eastAsia="Palatino Linotype" w:hAnsi="Palatino Linotype" w:cs="Palatino Linotype"/>
                <w:color w:val="000000"/>
              </w:rPr>
              <w:t>, entre ellos, que la autoridad que va a emitir el acto de autoridad sea la legalmente facultada para ello.</w:t>
            </w:r>
          </w:p>
          <w:p w:rsidR="00AE6351" w:rsidRPr="00BF277E" w:rsidRDefault="00324290">
            <w:pPr>
              <w:tabs>
                <w:tab w:val="left" w:pos="284"/>
              </w:tabs>
              <w:spacing w:line="360" w:lineRule="auto"/>
              <w:ind w:right="35"/>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sidRPr="00BF277E">
              <w:rPr>
                <w:rFonts w:ascii="Palatino Linotype" w:eastAsia="Palatino Linotype" w:hAnsi="Palatino Linotype" w:cs="Palatino Linotype"/>
              </w:rPr>
              <w:t>El área</w:t>
            </w:r>
            <w:r w:rsidRPr="00BF277E">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E6351" w:rsidRPr="00BF277E">
        <w:tc>
          <w:tcPr>
            <w:tcW w:w="2805" w:type="dxa"/>
          </w:tcPr>
          <w:p w:rsidR="00AE6351" w:rsidRPr="00BF277E" w:rsidRDefault="00AE6351">
            <w:pPr>
              <w:tabs>
                <w:tab w:val="left" w:pos="284"/>
              </w:tabs>
              <w:spacing w:line="360" w:lineRule="auto"/>
              <w:ind w:right="35"/>
              <w:rPr>
                <w:rFonts w:ascii="Palatino Linotype" w:eastAsia="Palatino Linotype" w:hAnsi="Palatino Linotype" w:cs="Palatino Linotype"/>
              </w:rPr>
            </w:pPr>
          </w:p>
          <w:p w:rsidR="00AE6351" w:rsidRPr="00BF277E" w:rsidRDefault="00324290">
            <w:pPr>
              <w:tabs>
                <w:tab w:val="left" w:pos="284"/>
              </w:tabs>
              <w:spacing w:line="360" w:lineRule="auto"/>
              <w:ind w:right="35"/>
              <w:jc w:val="both"/>
              <w:rPr>
                <w:rFonts w:ascii="Palatino Linotype" w:eastAsia="Palatino Linotype" w:hAnsi="Palatino Linotype" w:cs="Palatino Linotype"/>
              </w:rPr>
            </w:pPr>
            <w:r w:rsidRPr="00BF277E">
              <w:rPr>
                <w:rFonts w:ascii="Palatino Linotype" w:eastAsia="Palatino Linotype" w:hAnsi="Palatino Linotype" w:cs="Palatino Linotype"/>
                <w:color w:val="000000"/>
              </w:rPr>
              <w:t xml:space="preserve">d) Requisitos de fondo del acuerdo de clasificación. </w:t>
            </w:r>
          </w:p>
        </w:tc>
        <w:tc>
          <w:tcPr>
            <w:tcW w:w="6810" w:type="dxa"/>
          </w:tcPr>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BF277E">
              <w:rPr>
                <w:rFonts w:ascii="Palatino Linotype" w:eastAsia="Palatino Linotype" w:hAnsi="Palatino Linotype" w:cs="Palatino Linotype"/>
                <w:b/>
                <w:bCs/>
                <w:color w:val="000000"/>
              </w:rPr>
              <w:t>Sujetos Obligados</w:t>
            </w:r>
            <w:r w:rsidRPr="00BF277E">
              <w:rPr>
                <w:rFonts w:ascii="Palatino Linotype" w:eastAsia="Palatino Linotype" w:hAnsi="Palatino Linotype" w:cs="Palatino Linotype"/>
                <w:color w:val="000000"/>
              </w:rPr>
              <w:t xml:space="preserve">, por lo que deberán fundar y motivar debidamente la clasificación. </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De lo anterior, se desprende que para una correcta </w:t>
            </w:r>
            <w:r w:rsidRPr="00BF277E">
              <w:rPr>
                <w:rFonts w:ascii="Palatino Linotype" w:eastAsia="Palatino Linotype" w:hAnsi="Palatino Linotype" w:cs="Palatino Linotype"/>
                <w:b/>
                <w:bCs/>
                <w:color w:val="000000"/>
              </w:rPr>
              <w:t>clasificación total o parcial</w:t>
            </w:r>
            <w:r w:rsidRPr="00BF277E">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expresar los fundamentos legales que le </w:t>
            </w:r>
            <w:r w:rsidRPr="00BF277E">
              <w:rPr>
                <w:rFonts w:ascii="Palatino Linotype" w:eastAsia="Palatino Linotype" w:hAnsi="Palatino Linotype" w:cs="Palatino Linotype"/>
                <w:color w:val="000000"/>
              </w:rPr>
              <w:lastRenderedPageBreak/>
              <w:t>dieron origen y las razones por las que se deben aplicar al caso concreto.</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Ahora bien, </w:t>
            </w:r>
            <w:r w:rsidRPr="00BF277E">
              <w:rPr>
                <w:rFonts w:ascii="Palatino Linotype" w:eastAsia="Palatino Linotype" w:hAnsi="Palatino Linotype" w:cs="Palatino Linotype"/>
                <w:b/>
                <w:bCs/>
                <w:color w:val="000000"/>
                <w:u w:val="single"/>
              </w:rPr>
              <w:t>para cada caso además de fundar y motivar</w:t>
            </w:r>
            <w:r w:rsidRPr="00BF277E">
              <w:rPr>
                <w:rFonts w:ascii="Palatino Linotype" w:eastAsia="Palatino Linotype" w:hAnsi="Palatino Linotype" w:cs="Palatino Linotype"/>
                <w:color w:val="000000"/>
              </w:rPr>
              <w:t xml:space="preserve">, se debe identificar con claridad </w:t>
            </w:r>
            <w:r w:rsidRPr="00BF277E">
              <w:rPr>
                <w:rFonts w:ascii="Palatino Linotype" w:eastAsia="Palatino Linotype" w:hAnsi="Palatino Linotype" w:cs="Palatino Linotype"/>
              </w:rPr>
              <w:t>qué</w:t>
            </w:r>
            <w:r w:rsidRPr="00BF277E">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E6351" w:rsidRPr="00BF277E">
        <w:tc>
          <w:tcPr>
            <w:tcW w:w="2805" w:type="dxa"/>
          </w:tcPr>
          <w:p w:rsidR="00AE6351" w:rsidRPr="00BF277E" w:rsidRDefault="00324290">
            <w:pPr>
              <w:tabs>
                <w:tab w:val="left" w:pos="284"/>
              </w:tabs>
              <w:spacing w:line="360" w:lineRule="auto"/>
              <w:ind w:right="35"/>
              <w:jc w:val="both"/>
              <w:rPr>
                <w:rFonts w:ascii="Palatino Linotype" w:eastAsia="Palatino Linotype" w:hAnsi="Palatino Linotype" w:cs="Palatino Linotype"/>
              </w:rPr>
            </w:pPr>
            <w:r w:rsidRPr="00BF277E">
              <w:rPr>
                <w:rFonts w:ascii="Palatino Linotype" w:eastAsia="Palatino Linotype" w:hAnsi="Palatino Linotype" w:cs="Palatino Linotype"/>
              </w:rPr>
              <w:lastRenderedPageBreak/>
              <w:t xml:space="preserve">e) Condiciones especiales de la clasificación de la información como confidencial. </w:t>
            </w:r>
          </w:p>
        </w:tc>
        <w:tc>
          <w:tcPr>
            <w:tcW w:w="6810" w:type="dxa"/>
          </w:tcPr>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AE6351" w:rsidRPr="00BF277E" w:rsidRDefault="00324290">
            <w:pPr>
              <w:tabs>
                <w:tab w:val="left" w:pos="284"/>
              </w:tabs>
              <w:spacing w:line="360" w:lineRule="auto"/>
              <w:ind w:right="35"/>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E6351" w:rsidRPr="00BF277E" w:rsidRDefault="00324290">
            <w:pPr>
              <w:tabs>
                <w:tab w:val="left" w:pos="284"/>
              </w:tabs>
              <w:spacing w:line="360" w:lineRule="auto"/>
              <w:ind w:right="35"/>
              <w:rPr>
                <w:rFonts w:ascii="Palatino Linotype" w:eastAsia="Palatino Linotype" w:hAnsi="Palatino Linotype" w:cs="Palatino Linotype"/>
              </w:rPr>
            </w:pPr>
            <w:r w:rsidRPr="00BF277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AE6351" w:rsidRPr="00BF277E" w:rsidRDefault="00AE6351">
      <w:pPr>
        <w:tabs>
          <w:tab w:val="left" w:pos="284"/>
        </w:tabs>
        <w:spacing w:line="360" w:lineRule="auto"/>
        <w:ind w:right="-787"/>
        <w:jc w:val="both"/>
        <w:rPr>
          <w:rFonts w:ascii="Palatino Linotype" w:eastAsia="Palatino Linotype" w:hAnsi="Palatino Linotype" w:cs="Palatino Linotype"/>
          <w:color w:val="000000"/>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rPr>
      </w:pPr>
      <w:r w:rsidRPr="00BF277E">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AE6351" w:rsidRPr="00BF277E" w:rsidRDefault="00AE6351">
      <w:pPr>
        <w:spacing w:line="360" w:lineRule="auto"/>
        <w:ind w:right="-787"/>
        <w:jc w:val="both"/>
        <w:rPr>
          <w:rFonts w:ascii="Palatino Linotype" w:eastAsia="Palatino Linotype" w:hAnsi="Palatino Linotype" w:cs="Palatino Linotype"/>
          <w:color w:val="000000"/>
        </w:rPr>
      </w:pPr>
    </w:p>
    <w:p w:rsidR="00AE6351" w:rsidRPr="00BF277E" w:rsidRDefault="00324290">
      <w:pPr>
        <w:numPr>
          <w:ilvl w:val="0"/>
          <w:numId w:val="3"/>
        </w:numPr>
        <w:spacing w:line="360" w:lineRule="auto"/>
        <w:ind w:left="0" w:right="-787" w:firstLine="0"/>
        <w:jc w:val="both"/>
        <w:rPr>
          <w:rFonts w:ascii="Palatino Linotype" w:eastAsia="Palatino Linotype" w:hAnsi="Palatino Linotype" w:cs="Palatino Linotype"/>
          <w:color w:val="000000"/>
        </w:rPr>
      </w:pPr>
      <w:r w:rsidRPr="00BF277E">
        <w:rPr>
          <w:rFonts w:ascii="Palatino Linotype" w:eastAsia="Palatino Linotype" w:hAnsi="Palatino Linotype" w:cs="Palatino Linotype"/>
        </w:rPr>
        <w:t>Por lo anteriormente expuesto, este Órgano Garante considera fundadas las razones o motivos de inconformidad que plantea el</w:t>
      </w:r>
      <w:r w:rsidRPr="00BF277E">
        <w:rPr>
          <w:rFonts w:ascii="Palatino Linotype" w:eastAsia="Palatino Linotype" w:hAnsi="Palatino Linotype" w:cs="Palatino Linotype"/>
          <w:b/>
          <w:bCs/>
        </w:rPr>
        <w:t xml:space="preserve"> RECURRENTE</w:t>
      </w:r>
      <w:r w:rsidRPr="00BF277E">
        <w:rPr>
          <w:rFonts w:ascii="Palatino Linotype" w:eastAsia="Palatino Linotype" w:hAnsi="Palatino Linotype" w:cs="Palatino Linotype"/>
        </w:rPr>
        <w:t xml:space="preserve">, determinando </w:t>
      </w:r>
      <w:r w:rsidRPr="00BF277E">
        <w:rPr>
          <w:rFonts w:ascii="Palatino Linotype" w:eastAsia="Palatino Linotype" w:hAnsi="Palatino Linotype" w:cs="Palatino Linotype"/>
          <w:b/>
          <w:bCs/>
          <w:smallCaps/>
        </w:rPr>
        <w:t xml:space="preserve">REVOCAR  </w:t>
      </w:r>
      <w:r w:rsidRPr="00BF277E">
        <w:rPr>
          <w:rFonts w:ascii="Palatino Linotype" w:eastAsia="Palatino Linotype" w:hAnsi="Palatino Linotype" w:cs="Palatino Linotype"/>
        </w:rPr>
        <w:t xml:space="preserve">la </w:t>
      </w:r>
      <w:r w:rsidRPr="00BF277E">
        <w:rPr>
          <w:rFonts w:ascii="Palatino Linotype" w:eastAsia="Palatino Linotype" w:hAnsi="Palatino Linotype" w:cs="Palatino Linotype"/>
        </w:rPr>
        <w:lastRenderedPageBreak/>
        <w:t xml:space="preserve">respuesta del </w:t>
      </w:r>
      <w:r w:rsidRPr="00BF277E">
        <w:rPr>
          <w:rFonts w:ascii="Palatino Linotype" w:eastAsia="Palatino Linotype" w:hAnsi="Palatino Linotype" w:cs="Palatino Linotype"/>
          <w:b/>
          <w:bCs/>
        </w:rPr>
        <w:t>SUJETO OBLIGADO</w:t>
      </w:r>
      <w:r w:rsidRPr="00BF277E">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BF277E">
        <w:rPr>
          <w:rFonts w:ascii="Palatino Linotype" w:eastAsia="Palatino Linotype" w:hAnsi="Palatino Linotype" w:cs="Palatino Linotype"/>
          <w:color w:val="000000"/>
        </w:rPr>
        <w:t xml:space="preserve">este </w:t>
      </w:r>
      <w:r w:rsidRPr="00BF277E">
        <w:rPr>
          <w:rFonts w:ascii="Palatino Linotype" w:eastAsia="Palatino Linotype" w:hAnsi="Palatino Linotype" w:cs="Palatino Linotype"/>
          <w:b/>
          <w:bCs/>
          <w:color w:val="000000"/>
        </w:rPr>
        <w:t>ÓRGANO GARANTE</w:t>
      </w:r>
      <w:r w:rsidRPr="00BF277E">
        <w:rPr>
          <w:rFonts w:ascii="Palatino Linotype" w:eastAsia="Palatino Linotype" w:hAnsi="Palatino Linotype" w:cs="Palatino Linotype"/>
          <w:color w:val="000000"/>
        </w:rPr>
        <w:t xml:space="preserve"> emite los siguientes.</w:t>
      </w:r>
    </w:p>
    <w:p w:rsidR="00AE6351" w:rsidRPr="00BF277E" w:rsidRDefault="00AE6351">
      <w:pPr>
        <w:pBdr>
          <w:top w:val="nil"/>
          <w:left w:val="nil"/>
          <w:bottom w:val="nil"/>
          <w:right w:val="nil"/>
          <w:between w:val="nil"/>
        </w:pBdr>
        <w:ind w:left="720" w:right="-787"/>
        <w:rPr>
          <w:rFonts w:ascii="Palatino Linotype" w:eastAsia="Palatino Linotype" w:hAnsi="Palatino Linotype" w:cs="Palatino Linotype"/>
          <w:color w:val="000000"/>
        </w:rPr>
      </w:pPr>
    </w:p>
    <w:p w:rsidR="00AE6351" w:rsidRPr="00BF277E" w:rsidRDefault="00AE6351">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AE6351" w:rsidRPr="00BF277E" w:rsidRDefault="00324290">
      <w:pPr>
        <w:pStyle w:val="Ttulo1"/>
        <w:spacing w:before="0" w:line="360" w:lineRule="auto"/>
        <w:ind w:right="-787"/>
        <w:jc w:val="center"/>
        <w:rPr>
          <w:rFonts w:ascii="Palatino Linotype" w:eastAsia="Palatino Linotype" w:hAnsi="Palatino Linotype" w:cs="Palatino Linotype"/>
          <w:b/>
          <w:bCs/>
          <w:color w:val="000000"/>
          <w:sz w:val="24"/>
          <w:szCs w:val="24"/>
        </w:rPr>
      </w:pPr>
      <w:r w:rsidRPr="00BF277E">
        <w:rPr>
          <w:rFonts w:ascii="Palatino Linotype" w:eastAsia="Palatino Linotype" w:hAnsi="Palatino Linotype" w:cs="Palatino Linotype"/>
          <w:b/>
          <w:bCs/>
          <w:color w:val="000000"/>
          <w:sz w:val="24"/>
          <w:szCs w:val="24"/>
        </w:rPr>
        <w:t>R E S O L U T I V O S</w:t>
      </w:r>
    </w:p>
    <w:p w:rsidR="00AE6351" w:rsidRPr="00BF277E" w:rsidRDefault="00AE6351">
      <w:pPr>
        <w:spacing w:line="360" w:lineRule="auto"/>
        <w:ind w:right="-787"/>
        <w:rPr>
          <w:rFonts w:ascii="Palatino Linotype" w:eastAsia="Palatino Linotype" w:hAnsi="Palatino Linotype" w:cs="Palatino Linotype"/>
        </w:rPr>
      </w:pPr>
    </w:p>
    <w:p w:rsidR="00AE6351" w:rsidRPr="00BF277E" w:rsidRDefault="00324290">
      <w:pPr>
        <w:spacing w:line="360" w:lineRule="auto"/>
        <w:ind w:right="-787"/>
        <w:jc w:val="both"/>
        <w:rPr>
          <w:rFonts w:ascii="Palatino Linotype" w:eastAsia="Palatino Linotype" w:hAnsi="Palatino Linotype" w:cs="Palatino Linotype"/>
          <w:b/>
          <w:bCs/>
        </w:rPr>
      </w:pPr>
      <w:r w:rsidRPr="00BF277E">
        <w:rPr>
          <w:rFonts w:ascii="Palatino Linotype" w:eastAsia="Palatino Linotype" w:hAnsi="Palatino Linotype" w:cs="Palatino Linotype"/>
          <w:b/>
          <w:bCs/>
        </w:rPr>
        <w:t>PRIMERO</w:t>
      </w:r>
      <w:r w:rsidRPr="00BF277E">
        <w:rPr>
          <w:rFonts w:ascii="Palatino Linotype" w:eastAsia="Palatino Linotype" w:hAnsi="Palatino Linotype" w:cs="Palatino Linotype"/>
        </w:rPr>
        <w:t xml:space="preserve">. Resultan fundadas las razones o motivos de inconformidad hechos valer en el Recurso de Revisión </w:t>
      </w:r>
      <w:r w:rsidRPr="00BF277E">
        <w:rPr>
          <w:rFonts w:ascii="Palatino Linotype" w:eastAsia="Palatino Linotype" w:hAnsi="Palatino Linotype" w:cs="Palatino Linotype"/>
          <w:b/>
          <w:bCs/>
        </w:rPr>
        <w:t xml:space="preserve">03363/INFOEM/IP/RR/2026, </w:t>
      </w:r>
      <w:r w:rsidRPr="00BF277E">
        <w:rPr>
          <w:rFonts w:ascii="Palatino Linotype" w:eastAsia="Palatino Linotype" w:hAnsi="Palatino Linotype" w:cs="Palatino Linotype"/>
        </w:rPr>
        <w:t xml:space="preserve">en términos del Considerando </w:t>
      </w:r>
      <w:r w:rsidRPr="00BF277E">
        <w:rPr>
          <w:rFonts w:ascii="Palatino Linotype" w:eastAsia="Palatino Linotype" w:hAnsi="Palatino Linotype" w:cs="Palatino Linotype"/>
          <w:b/>
          <w:bCs/>
        </w:rPr>
        <w:t xml:space="preserve">Cuarto y Quinto </w:t>
      </w:r>
      <w:r w:rsidRPr="00BF277E">
        <w:rPr>
          <w:rFonts w:ascii="Palatino Linotype" w:eastAsia="Palatino Linotype" w:hAnsi="Palatino Linotype" w:cs="Palatino Linotype"/>
        </w:rPr>
        <w:t xml:space="preserve">de la presente resolución. </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spacing w:line="360" w:lineRule="auto"/>
        <w:ind w:right="-787"/>
        <w:jc w:val="both"/>
        <w:rPr>
          <w:rFonts w:ascii="Palatino Linotype" w:eastAsia="Palatino Linotype" w:hAnsi="Palatino Linotype" w:cs="Palatino Linotype"/>
        </w:rPr>
      </w:pPr>
      <w:bookmarkStart w:id="14" w:name="_heading=h.1ksv4uv" w:colFirst="0" w:colLast="0"/>
      <w:bookmarkEnd w:id="14"/>
      <w:r w:rsidRPr="00BF277E">
        <w:rPr>
          <w:rFonts w:ascii="Palatino Linotype" w:eastAsia="Palatino Linotype" w:hAnsi="Palatino Linotype" w:cs="Palatino Linotype"/>
          <w:b/>
          <w:bCs/>
        </w:rPr>
        <w:t xml:space="preserve">SEGUNDO. </w:t>
      </w:r>
      <w:r w:rsidRPr="00BF277E">
        <w:rPr>
          <w:rFonts w:ascii="Palatino Linotype" w:eastAsia="Palatino Linotype" w:hAnsi="Palatino Linotype" w:cs="Palatino Linotype"/>
          <w:color w:val="000000"/>
        </w:rPr>
        <w:t xml:space="preserve">Se </w:t>
      </w:r>
      <w:r w:rsidRPr="00BF277E">
        <w:rPr>
          <w:rFonts w:ascii="Palatino Linotype" w:eastAsia="Palatino Linotype" w:hAnsi="Palatino Linotype" w:cs="Palatino Linotype"/>
          <w:b/>
          <w:bCs/>
          <w:color w:val="000000"/>
        </w:rPr>
        <w:t xml:space="preserve">REVOCA </w:t>
      </w:r>
      <w:r w:rsidR="00E668C1" w:rsidRPr="00BF277E">
        <w:rPr>
          <w:rFonts w:ascii="Palatino Linotype" w:eastAsia="Palatino Linotype" w:hAnsi="Palatino Linotype" w:cs="Palatino Linotype"/>
          <w:color w:val="000000"/>
        </w:rPr>
        <w:t>la respuesta emitida por la</w:t>
      </w:r>
      <w:r w:rsidRPr="00BF277E">
        <w:rPr>
          <w:rFonts w:ascii="Palatino Linotype" w:eastAsia="Palatino Linotype" w:hAnsi="Palatino Linotype" w:cs="Palatino Linotype"/>
          <w:color w:val="000000"/>
        </w:rPr>
        <w:t xml:space="preserve"> </w:t>
      </w:r>
      <w:r w:rsidRPr="00BF277E">
        <w:rPr>
          <w:rFonts w:ascii="Palatino Linotype" w:eastAsia="Palatino Linotype" w:hAnsi="Palatino Linotype" w:cs="Palatino Linotype"/>
          <w:b/>
          <w:bCs/>
          <w:color w:val="000000"/>
        </w:rPr>
        <w:t xml:space="preserve">Universidad Digital del Estado de México </w:t>
      </w:r>
      <w:r w:rsidRPr="00BF277E">
        <w:rPr>
          <w:rFonts w:ascii="Palatino Linotype" w:eastAsia="Palatino Linotype" w:hAnsi="Palatino Linotype" w:cs="Palatino Linotype"/>
          <w:color w:val="000000"/>
        </w:rPr>
        <w:t xml:space="preserve">y se </w:t>
      </w:r>
      <w:r w:rsidRPr="00BF277E">
        <w:rPr>
          <w:rFonts w:ascii="Palatino Linotype" w:eastAsia="Palatino Linotype" w:hAnsi="Palatino Linotype" w:cs="Palatino Linotype"/>
          <w:b/>
          <w:bCs/>
          <w:color w:val="000000"/>
        </w:rPr>
        <w:t>ORDENA</w:t>
      </w:r>
      <w:r w:rsidRPr="00BF277E">
        <w:rPr>
          <w:rFonts w:ascii="Palatino Linotype" w:eastAsia="Palatino Linotype" w:hAnsi="Palatino Linotype" w:cs="Palatino Linotype"/>
          <w:color w:val="000000"/>
        </w:rPr>
        <w:t xml:space="preserve"> entregar vía Sistema de Acceso a la Información,</w:t>
      </w:r>
      <w:r w:rsidRPr="00BF277E">
        <w:rPr>
          <w:rFonts w:ascii="Palatino Linotype" w:eastAsia="Palatino Linotype" w:hAnsi="Palatino Linotype" w:cs="Palatino Linotype"/>
        </w:rPr>
        <w:t xml:space="preserve"> en versión pública, lo siguiente: </w:t>
      </w: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AE6351">
      <w:pPr>
        <w:pBdr>
          <w:top w:val="nil"/>
          <w:left w:val="nil"/>
          <w:bottom w:val="nil"/>
          <w:right w:val="nil"/>
          <w:between w:val="nil"/>
        </w:pBdr>
        <w:ind w:left="720"/>
        <w:rPr>
          <w:rFonts w:ascii="Palatino Linotype" w:eastAsia="Palatino Linotype" w:hAnsi="Palatino Linotype" w:cs="Palatino Linotype"/>
          <w:color w:val="000000"/>
        </w:rPr>
      </w:pPr>
    </w:p>
    <w:p w:rsidR="00AE6351" w:rsidRPr="00BF277E" w:rsidRDefault="00324290">
      <w:pPr>
        <w:pBdr>
          <w:top w:val="nil"/>
          <w:left w:val="nil"/>
          <w:bottom w:val="nil"/>
          <w:right w:val="nil"/>
          <w:between w:val="nil"/>
        </w:pBdr>
        <w:ind w:left="720"/>
        <w:jc w:val="both"/>
        <w:rPr>
          <w:rFonts w:ascii="Palatino Linotype" w:eastAsia="Palatino Linotype" w:hAnsi="Palatino Linotype" w:cs="Palatino Linotype"/>
          <w:b/>
          <w:bCs/>
          <w:i/>
          <w:iCs/>
          <w:color w:val="000000"/>
        </w:rPr>
      </w:pPr>
      <w:r w:rsidRPr="00BF277E">
        <w:rPr>
          <w:rFonts w:ascii="Palatino Linotype" w:eastAsia="Palatino Linotype" w:hAnsi="Palatino Linotype" w:cs="Palatino Linotype"/>
          <w:b/>
          <w:bCs/>
          <w:i/>
          <w:iCs/>
          <w:color w:val="000000"/>
        </w:rPr>
        <w:t xml:space="preserve">1.- Cinco contratos firmados con el personal docente y la Universidad Digital del Estado de México; al veintitrés de febrero de dos mil veintiséis.  </w:t>
      </w:r>
    </w:p>
    <w:p w:rsidR="00AE6351" w:rsidRPr="00BF277E" w:rsidRDefault="00AE6351">
      <w:pPr>
        <w:pBdr>
          <w:top w:val="nil"/>
          <w:left w:val="nil"/>
          <w:bottom w:val="nil"/>
          <w:right w:val="nil"/>
          <w:between w:val="nil"/>
        </w:pBdr>
        <w:ind w:left="720"/>
        <w:rPr>
          <w:rFonts w:ascii="Palatino Linotype" w:eastAsia="Palatino Linotype" w:hAnsi="Palatino Linotype" w:cs="Palatino Linotype"/>
          <w:b/>
          <w:bCs/>
          <w:color w:val="000000"/>
        </w:rPr>
      </w:pPr>
    </w:p>
    <w:p w:rsidR="00AE6351" w:rsidRPr="00BF277E" w:rsidRDefault="00AE6351">
      <w:pPr>
        <w:pBdr>
          <w:top w:val="nil"/>
          <w:left w:val="nil"/>
          <w:bottom w:val="nil"/>
          <w:right w:val="nil"/>
          <w:between w:val="nil"/>
        </w:pBdr>
        <w:spacing w:line="360" w:lineRule="auto"/>
        <w:ind w:left="1494" w:right="-290"/>
        <w:jc w:val="both"/>
        <w:rPr>
          <w:rFonts w:ascii="Palatino Linotype" w:eastAsia="Palatino Linotype" w:hAnsi="Palatino Linotype" w:cs="Palatino Linotype"/>
          <w:b/>
          <w:bCs/>
          <w:color w:val="000000"/>
        </w:rPr>
      </w:pPr>
    </w:p>
    <w:p w:rsidR="00AE6351" w:rsidRPr="00BF277E" w:rsidRDefault="00324290">
      <w:pPr>
        <w:tabs>
          <w:tab w:val="left" w:pos="8080"/>
        </w:tabs>
        <w:spacing w:line="360" w:lineRule="auto"/>
        <w:ind w:right="-787"/>
        <w:jc w:val="both"/>
        <w:rPr>
          <w:rFonts w:ascii="Palatino Linotype" w:eastAsia="Palatino Linotype" w:hAnsi="Palatino Linotype" w:cs="Palatino Linotype"/>
          <w:b/>
          <w:bCs/>
        </w:rPr>
      </w:pPr>
      <w:r w:rsidRPr="00BF277E">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w:t>
      </w:r>
      <w:r w:rsidRPr="00BF277E">
        <w:rPr>
          <w:rFonts w:ascii="Palatino Linotype" w:eastAsia="Palatino Linotype" w:hAnsi="Palatino Linotype" w:cs="Palatino Linotype"/>
        </w:rPr>
        <w:lastRenderedPageBreak/>
        <w:t xml:space="preserve">razones sobre los datos que se supriman o eliminen dentro del soporte documental respectivo objeto de las versiones públicas que se formulen y se pongan a disposición del </w:t>
      </w:r>
      <w:r w:rsidRPr="00BF277E">
        <w:rPr>
          <w:rFonts w:ascii="Palatino Linotype" w:eastAsia="Palatino Linotype" w:hAnsi="Palatino Linotype" w:cs="Palatino Linotype"/>
          <w:b/>
          <w:bCs/>
        </w:rPr>
        <w:t>RECURRENTE.</w:t>
      </w:r>
    </w:p>
    <w:p w:rsidR="00E668C1" w:rsidRPr="00BF277E" w:rsidRDefault="00E668C1">
      <w:pPr>
        <w:tabs>
          <w:tab w:val="left" w:pos="8080"/>
        </w:tabs>
        <w:spacing w:line="360" w:lineRule="auto"/>
        <w:ind w:right="-787"/>
        <w:jc w:val="both"/>
        <w:rPr>
          <w:rFonts w:ascii="Palatino Linotype" w:eastAsia="Palatino Linotype" w:hAnsi="Palatino Linotype" w:cs="Palatino Linotype"/>
          <w:b/>
          <w:bCs/>
        </w:rPr>
      </w:pPr>
    </w:p>
    <w:p w:rsidR="00416785" w:rsidRPr="00BF277E" w:rsidRDefault="00416785">
      <w:pPr>
        <w:tabs>
          <w:tab w:val="left" w:pos="8080"/>
        </w:tabs>
        <w:spacing w:line="360" w:lineRule="auto"/>
        <w:ind w:right="-787"/>
        <w:jc w:val="both"/>
        <w:rPr>
          <w:rFonts w:ascii="Palatino Linotype" w:eastAsia="Palatino Linotype" w:hAnsi="Palatino Linotype" w:cs="Palatino Linotype"/>
          <w:bCs/>
        </w:rPr>
      </w:pPr>
      <w:r w:rsidRPr="00BF277E">
        <w:rPr>
          <w:rFonts w:ascii="Palatino Linotype" w:eastAsia="Palatino Linotype" w:hAnsi="Palatino Linotype" w:cs="Palatino Linotype"/>
          <w:bCs/>
        </w:rPr>
        <w:t xml:space="preserve">De ser el caso  después de una búsqueda exhaustiva y razonable el </w:t>
      </w:r>
      <w:r w:rsidRPr="00BF277E">
        <w:rPr>
          <w:rFonts w:ascii="Palatino Linotype" w:eastAsia="Palatino Linotype" w:hAnsi="Palatino Linotype" w:cs="Palatino Linotype"/>
          <w:b/>
          <w:bCs/>
        </w:rPr>
        <w:t xml:space="preserve">SUJETO OBLIGADO </w:t>
      </w:r>
      <w:r w:rsidRPr="00BF277E">
        <w:rPr>
          <w:rFonts w:ascii="Palatino Linotype" w:eastAsia="Palatino Linotype" w:hAnsi="Palatino Linotype" w:cs="Palatino Linotype"/>
          <w:bCs/>
        </w:rPr>
        <w:t xml:space="preserve">refiera que no cuenta con contratos por </w:t>
      </w:r>
      <w:r w:rsidRPr="00BF277E">
        <w:rPr>
          <w:rFonts w:ascii="Palatino Linotype" w:eastAsia="Palatino Linotype" w:hAnsi="Palatino Linotype" w:cs="Palatino Linotype"/>
          <w:iCs/>
          <w:color w:val="000000"/>
        </w:rPr>
        <w:t xml:space="preserve">honorarios, por trabajo específico, prestación de servicios, bastara con que se haga del conocimiento del </w:t>
      </w:r>
      <w:r w:rsidRPr="00BF277E">
        <w:rPr>
          <w:rFonts w:ascii="Palatino Linotype" w:eastAsia="Palatino Linotype" w:hAnsi="Palatino Linotype" w:cs="Palatino Linotype"/>
          <w:b/>
          <w:iCs/>
          <w:color w:val="000000"/>
        </w:rPr>
        <w:t xml:space="preserve">RECURRENTE </w:t>
      </w:r>
      <w:r w:rsidRPr="00BF277E">
        <w:rPr>
          <w:rFonts w:ascii="Palatino Linotype" w:eastAsia="Palatino Linotype" w:hAnsi="Palatino Linotype" w:cs="Palatino Linotype"/>
          <w:iCs/>
          <w:color w:val="000000"/>
        </w:rPr>
        <w:t xml:space="preserve">de conformidad con el artículo 19 párrafo segundo de la Ley de Transparencia y Acceso a la Información Pública del Estado de México y Municipios. </w:t>
      </w:r>
    </w:p>
    <w:p w:rsidR="00AE6351" w:rsidRPr="00BF277E" w:rsidRDefault="00AE6351" w:rsidP="00416785">
      <w:pPr>
        <w:tabs>
          <w:tab w:val="left" w:pos="8080"/>
        </w:tabs>
        <w:spacing w:line="360" w:lineRule="auto"/>
        <w:ind w:right="-787"/>
        <w:jc w:val="both"/>
        <w:rPr>
          <w:rFonts w:ascii="Palatino Linotype" w:eastAsia="Palatino Linotype" w:hAnsi="Palatino Linotype" w:cs="Palatino Linotype"/>
        </w:rPr>
      </w:pPr>
      <w:bookmarkStart w:id="15" w:name="_heading=h.eypp3ng6p1go" w:colFirst="0" w:colLast="0"/>
      <w:bookmarkEnd w:id="15"/>
    </w:p>
    <w:p w:rsidR="00AE6351" w:rsidRPr="00BF277E" w:rsidRDefault="00324290">
      <w:pPr>
        <w:tabs>
          <w:tab w:val="left" w:pos="8080"/>
        </w:tabs>
        <w:spacing w:line="360" w:lineRule="auto"/>
        <w:ind w:right="-787"/>
        <w:jc w:val="both"/>
        <w:rPr>
          <w:rFonts w:ascii="Palatino Linotype" w:eastAsia="Palatino Linotype" w:hAnsi="Palatino Linotype" w:cs="Palatino Linotype"/>
          <w:color w:val="222222"/>
        </w:rPr>
      </w:pPr>
      <w:r w:rsidRPr="00BF277E">
        <w:rPr>
          <w:rFonts w:ascii="Palatino Linotype" w:eastAsia="Palatino Linotype" w:hAnsi="Palatino Linotype" w:cs="Palatino Linotype"/>
          <w:b/>
          <w:bCs/>
        </w:rPr>
        <w:t xml:space="preserve">TERCERO. </w:t>
      </w:r>
      <w:r w:rsidRPr="00BF277E">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BF277E">
        <w:rPr>
          <w:rFonts w:ascii="Palatino Linotype" w:eastAsia="Palatino Linotype" w:hAnsi="Palatino Linotype" w:cs="Palatino Linotype"/>
          <w:b/>
          <w:bCs/>
          <w:color w:val="222222"/>
        </w:rPr>
        <w:t xml:space="preserve">dé cumplimiento a lo ordenado dentro del plazo de diez días hábiles, </w:t>
      </w:r>
      <w:r w:rsidRPr="00BF277E">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AE6351" w:rsidRPr="00BF277E" w:rsidRDefault="00AE6351">
      <w:pPr>
        <w:tabs>
          <w:tab w:val="left" w:pos="8080"/>
        </w:tabs>
        <w:spacing w:line="360" w:lineRule="auto"/>
        <w:ind w:right="-787"/>
        <w:jc w:val="both"/>
        <w:rPr>
          <w:rFonts w:ascii="Palatino Linotype" w:eastAsia="Palatino Linotype" w:hAnsi="Palatino Linotype" w:cs="Palatino Linotype"/>
          <w:color w:val="222222"/>
        </w:rPr>
      </w:pPr>
    </w:p>
    <w:p w:rsidR="00AE6351" w:rsidRPr="00BF277E" w:rsidRDefault="00324290">
      <w:pPr>
        <w:spacing w:line="360" w:lineRule="auto"/>
        <w:ind w:right="-787"/>
        <w:jc w:val="both"/>
        <w:rPr>
          <w:rFonts w:ascii="Palatino Linotype" w:eastAsia="Palatino Linotype" w:hAnsi="Palatino Linotype" w:cs="Palatino Linotype"/>
        </w:rPr>
      </w:pPr>
      <w:r w:rsidRPr="00BF277E">
        <w:rPr>
          <w:rFonts w:ascii="Palatino Linotype" w:eastAsia="Palatino Linotype" w:hAnsi="Palatino Linotype" w:cs="Palatino Linotype"/>
          <w:b/>
          <w:bCs/>
        </w:rPr>
        <w:t xml:space="preserve">CUARTO. </w:t>
      </w:r>
      <w:r w:rsidRPr="00BF277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BF277E">
        <w:rPr>
          <w:rFonts w:ascii="Palatino Linotype" w:eastAsia="Palatino Linotype" w:hAnsi="Palatino Linotype" w:cs="Palatino Linotype"/>
          <w:b/>
          <w:bCs/>
        </w:rPr>
        <w:lastRenderedPageBreak/>
        <w:t>SUJETO OBLIGADO</w:t>
      </w:r>
      <w:r w:rsidRPr="00BF277E">
        <w:rPr>
          <w:rFonts w:ascii="Palatino Linotype" w:eastAsia="Palatino Linotype" w:hAnsi="Palatino Linotype" w:cs="Palatino Linotype"/>
        </w:rPr>
        <w:t xml:space="preserve"> de manera fundada y motivada, podrá solicitar una ampliación de plazo para el cumplimiento de la presente resolución.</w:t>
      </w: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324290">
      <w:pPr>
        <w:spacing w:line="360" w:lineRule="auto"/>
        <w:ind w:right="-787"/>
        <w:jc w:val="both"/>
        <w:rPr>
          <w:rFonts w:ascii="Palatino Linotype" w:eastAsia="Palatino Linotype" w:hAnsi="Palatino Linotype" w:cs="Palatino Linotype"/>
        </w:rPr>
      </w:pPr>
      <w:bookmarkStart w:id="16" w:name="_heading=h.2jxsxqh" w:colFirst="0" w:colLast="0"/>
      <w:bookmarkEnd w:id="16"/>
      <w:r w:rsidRPr="00BF277E">
        <w:rPr>
          <w:rFonts w:ascii="Palatino Linotype" w:eastAsia="Palatino Linotype" w:hAnsi="Palatino Linotype" w:cs="Palatino Linotype"/>
          <w:b/>
          <w:bCs/>
        </w:rPr>
        <w:t xml:space="preserve">QUINTO. </w:t>
      </w:r>
      <w:r w:rsidRPr="00BF277E">
        <w:rPr>
          <w:rFonts w:ascii="Palatino Linotype" w:eastAsia="Palatino Linotype" w:hAnsi="Palatino Linotype" w:cs="Palatino Linotype"/>
        </w:rPr>
        <w:t xml:space="preserve">Notifíquese a </w:t>
      </w:r>
      <w:r w:rsidRPr="00BF277E">
        <w:rPr>
          <w:rFonts w:ascii="Palatino Linotype" w:eastAsia="Palatino Linotype" w:hAnsi="Palatino Linotype" w:cs="Palatino Linotype"/>
          <w:b/>
          <w:bCs/>
        </w:rPr>
        <w:t>EL RECURRENTE</w:t>
      </w:r>
      <w:r w:rsidRPr="00BF277E">
        <w:rPr>
          <w:rFonts w:ascii="Palatino Linotype" w:eastAsia="Palatino Linotype" w:hAnsi="Palatino Linotype" w:cs="Palatino Linotype"/>
        </w:rPr>
        <w:t xml:space="preserve"> la presente resolución, vía SAIMEX.</w:t>
      </w:r>
    </w:p>
    <w:p w:rsidR="00AE6351" w:rsidRPr="00BF277E" w:rsidRDefault="00AE6351">
      <w:pPr>
        <w:shd w:val="clear" w:color="auto" w:fill="FFFFFF"/>
        <w:spacing w:line="360" w:lineRule="auto"/>
        <w:jc w:val="both"/>
        <w:rPr>
          <w:rFonts w:ascii="Palatino Linotype" w:eastAsia="Palatino Linotype" w:hAnsi="Palatino Linotype" w:cs="Palatino Linotype"/>
          <w:b/>
          <w:bCs/>
        </w:rPr>
      </w:pPr>
    </w:p>
    <w:p w:rsidR="00AE6351" w:rsidRPr="00BF277E" w:rsidRDefault="00324290">
      <w:pPr>
        <w:spacing w:line="360" w:lineRule="auto"/>
        <w:ind w:right="-787"/>
        <w:jc w:val="both"/>
        <w:rPr>
          <w:rFonts w:ascii="Palatino Linotype" w:eastAsia="Palatino Linotype" w:hAnsi="Palatino Linotype" w:cs="Palatino Linotype"/>
        </w:rPr>
      </w:pPr>
      <w:r w:rsidRPr="00BF277E">
        <w:rPr>
          <w:rFonts w:ascii="Palatino Linotype" w:eastAsia="Palatino Linotype" w:hAnsi="Palatino Linotype" w:cs="Palatino Linotype"/>
          <w:b/>
          <w:bCs/>
        </w:rPr>
        <w:t xml:space="preserve">SEXTO. </w:t>
      </w:r>
      <w:r w:rsidRPr="00BF277E">
        <w:rPr>
          <w:rFonts w:ascii="Palatino Linotype" w:eastAsia="Palatino Linotype" w:hAnsi="Palatino Linotype" w:cs="Palatino Linotype"/>
        </w:rPr>
        <w:t xml:space="preserve">Se hace del conocimiento del </w:t>
      </w:r>
      <w:r w:rsidRPr="00BF277E">
        <w:rPr>
          <w:rFonts w:ascii="Palatino Linotype" w:eastAsia="Palatino Linotype" w:hAnsi="Palatino Linotype" w:cs="Palatino Linotype"/>
          <w:b/>
          <w:bCs/>
        </w:rPr>
        <w:t>RECURRENTE</w:t>
      </w:r>
      <w:r w:rsidRPr="00BF277E">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AE6351" w:rsidRPr="00BF277E" w:rsidRDefault="00AE6351">
      <w:pPr>
        <w:shd w:val="clear" w:color="auto" w:fill="FFFFFF"/>
        <w:spacing w:line="360" w:lineRule="auto"/>
        <w:jc w:val="both"/>
        <w:rPr>
          <w:rFonts w:ascii="Palatino Linotype" w:eastAsia="Palatino Linotype" w:hAnsi="Palatino Linotype" w:cs="Palatino Linotype"/>
        </w:rPr>
      </w:pPr>
    </w:p>
    <w:p w:rsidR="00E668C1" w:rsidRPr="00BF277E" w:rsidRDefault="00E668C1" w:rsidP="00E668C1">
      <w:pPr>
        <w:spacing w:before="240" w:after="240" w:line="360" w:lineRule="auto"/>
        <w:ind w:right="-857" w:firstLine="1"/>
        <w:jc w:val="both"/>
        <w:rPr>
          <w:rFonts w:ascii="Palatino Linotype" w:hAnsi="Palatino Linotype"/>
        </w:rPr>
      </w:pPr>
      <w:bookmarkStart w:id="17" w:name="_Hlk99014733"/>
      <w:r w:rsidRPr="00BF277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BF277E">
        <w:rPr>
          <w:rFonts w:ascii="Palatino Linotype" w:hAnsi="Palatino Linotype" w:cs="Palatino Linotype"/>
          <w:color w:val="000000" w:themeColor="text1"/>
        </w:rPr>
        <w:t>ALEXIS TAPIA RAMÍREZ.</w:t>
      </w:r>
    </w:p>
    <w:bookmarkEnd w:id="17"/>
    <w:p w:rsidR="00AE6351" w:rsidRPr="00BF277E" w:rsidRDefault="00AE6351" w:rsidP="00E668C1">
      <w:pPr>
        <w:spacing w:before="240" w:after="240" w:line="360" w:lineRule="auto"/>
        <w:ind w:right="-857"/>
        <w:jc w:val="both"/>
        <w:rPr>
          <w:rFonts w:ascii="Palatino Linotype" w:eastAsia="Palatino Linotype" w:hAnsi="Palatino Linotype" w:cs="Palatino Linotype"/>
        </w:rPr>
      </w:pPr>
    </w:p>
    <w:p w:rsidR="00AE6351" w:rsidRPr="00BF277E" w:rsidRDefault="00AE6351">
      <w:pPr>
        <w:spacing w:before="240" w:after="240" w:line="360" w:lineRule="auto"/>
        <w:ind w:right="-787"/>
        <w:jc w:val="both"/>
        <w:rPr>
          <w:rFonts w:ascii="Palatino Linotype" w:eastAsia="Palatino Linotype" w:hAnsi="Palatino Linotype" w:cs="Palatino Linotype"/>
        </w:rPr>
      </w:pPr>
    </w:p>
    <w:p w:rsidR="00AE6351" w:rsidRPr="00BF277E" w:rsidRDefault="00AE6351">
      <w:pPr>
        <w:spacing w:before="240" w:after="240" w:line="360" w:lineRule="auto"/>
        <w:ind w:right="-787"/>
        <w:jc w:val="both"/>
        <w:rPr>
          <w:rFonts w:ascii="Palatino Linotype" w:eastAsia="Palatino Linotype" w:hAnsi="Palatino Linotype" w:cs="Palatino Linotype"/>
        </w:rPr>
      </w:pPr>
    </w:p>
    <w:p w:rsidR="00AE6351" w:rsidRPr="00BF277E" w:rsidRDefault="00AE6351">
      <w:pPr>
        <w:spacing w:before="240" w:after="240" w:line="360" w:lineRule="auto"/>
        <w:ind w:right="-787"/>
        <w:jc w:val="both"/>
        <w:rPr>
          <w:rFonts w:ascii="Palatino Linotype" w:eastAsia="Palatino Linotype" w:hAnsi="Palatino Linotype" w:cs="Palatino Linotype"/>
        </w:rPr>
      </w:pPr>
    </w:p>
    <w:p w:rsidR="00AE6351" w:rsidRPr="00BF277E" w:rsidRDefault="00AE6351">
      <w:pPr>
        <w:spacing w:before="240" w:after="240" w:line="360" w:lineRule="auto"/>
        <w:ind w:right="-787"/>
        <w:jc w:val="both"/>
        <w:rPr>
          <w:rFonts w:ascii="Palatino Linotype" w:eastAsia="Palatino Linotype" w:hAnsi="Palatino Linotype" w:cs="Palatino Linotype"/>
        </w:rPr>
      </w:pPr>
    </w:p>
    <w:p w:rsidR="00AE6351" w:rsidRPr="00BF277E" w:rsidRDefault="00AE6351">
      <w:pPr>
        <w:spacing w:line="360" w:lineRule="auto"/>
        <w:ind w:right="-787"/>
        <w:jc w:val="both"/>
        <w:rPr>
          <w:rFonts w:ascii="Palatino Linotype" w:eastAsia="Palatino Linotype" w:hAnsi="Palatino Linotype" w:cs="Palatino Linotype"/>
        </w:rPr>
      </w:pPr>
    </w:p>
    <w:p w:rsidR="00AE6351" w:rsidRPr="00BF277E" w:rsidRDefault="00AE6351">
      <w:pPr>
        <w:keepNext/>
        <w:keepLines/>
        <w:spacing w:after="240" w:line="360" w:lineRule="auto"/>
        <w:ind w:right="-787"/>
        <w:rPr>
          <w:rFonts w:ascii="Palatino Linotype" w:eastAsia="Palatino Linotype" w:hAnsi="Palatino Linotype" w:cs="Palatino Linotype"/>
        </w:rPr>
      </w:pPr>
    </w:p>
    <w:p w:rsidR="00AE6351" w:rsidRPr="00BF277E" w:rsidRDefault="00AE6351">
      <w:pPr>
        <w:ind w:right="-787"/>
        <w:rPr>
          <w:rFonts w:ascii="Palatino Linotype" w:eastAsia="Palatino Linotype" w:hAnsi="Palatino Linotype" w:cs="Palatino Linotype"/>
        </w:rPr>
      </w:pPr>
    </w:p>
    <w:p w:rsidR="00AE6351" w:rsidRPr="00BF277E" w:rsidRDefault="00AE6351">
      <w:pPr>
        <w:ind w:right="-787"/>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Pr>
        <w:rPr>
          <w:rFonts w:ascii="Palatino Linotype" w:eastAsia="Palatino Linotype" w:hAnsi="Palatino Linotype" w:cs="Palatino Linotype"/>
        </w:rPr>
      </w:pPr>
    </w:p>
    <w:p w:rsidR="00AE6351" w:rsidRPr="00BF277E" w:rsidRDefault="00AE6351"/>
    <w:p w:rsidR="00AE6351" w:rsidRPr="00BF277E" w:rsidRDefault="00AE6351"/>
    <w:p w:rsidR="00AE6351" w:rsidRPr="00BF277E" w:rsidRDefault="00AE6351"/>
    <w:sectPr w:rsidR="00AE6351" w:rsidRPr="00BF277E" w:rsidSect="00BF277E">
      <w:headerReference w:type="default" r:id="rId11"/>
      <w:footerReference w:type="default" r:id="rId12"/>
      <w:headerReference w:type="first" r:id="rId13"/>
      <w:footerReference w:type="first" r:id="rId14"/>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D3B" w:rsidRDefault="00126D3B">
      <w:r>
        <w:separator/>
      </w:r>
    </w:p>
  </w:endnote>
  <w:endnote w:type="continuationSeparator" w:id="0">
    <w:p w:rsidR="00126D3B" w:rsidRDefault="0012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E93BC04B-73A8-4120-9A14-00327EF12FF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845D6B6-4D37-4AAE-B263-3AD702905014}"/>
    <w:embedBold r:id="rId3" w:fontKey="{4C4E4DC5-AB76-4631-99DA-113020EA9AA9}"/>
    <w:embedItalic r:id="rId4" w:fontKey="{D4E59500-C1BB-4796-9298-7ECD7648E19A}"/>
    <w:embedBoldItalic r:id="rId5" w:fontKey="{05EAD322-E628-4AF9-9BCB-70CF8921CA3C}"/>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E038E6AA-3032-4F37-975B-460F720D7E4E}"/>
  </w:font>
  <w:font w:name="Georgia">
    <w:panose1 w:val="02040502050405020303"/>
    <w:charset w:val="00"/>
    <w:family w:val="roman"/>
    <w:pitch w:val="variable"/>
    <w:sig w:usb0="00000287" w:usb1="00000000" w:usb2="00000000" w:usb3="00000000" w:csb0="0000009F" w:csb1="00000000"/>
    <w:embedItalic r:id="rId7" w:fontKey="{74D3BF2C-7A08-42E6-99AD-7B2A1048823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98FAE0B6-D95C-409E-AEA3-8C6FF24F13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351" w:rsidRPr="00BF277E" w:rsidRDefault="00324290">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BF277E">
      <w:rPr>
        <w:rFonts w:ascii="Palatino Linotype" w:eastAsia="Arial" w:hAnsi="Palatino Linotype" w:cs="Arial"/>
        <w:b/>
        <w:bCs/>
        <w:color w:val="000000"/>
        <w:sz w:val="22"/>
        <w:szCs w:val="20"/>
      </w:rPr>
      <w:t xml:space="preserve">Página </w:t>
    </w:r>
    <w:r w:rsidRPr="00BF277E">
      <w:rPr>
        <w:rFonts w:ascii="Palatino Linotype" w:eastAsia="Arial" w:hAnsi="Palatino Linotype" w:cs="Arial"/>
        <w:b/>
        <w:bCs/>
        <w:color w:val="000000"/>
        <w:sz w:val="22"/>
        <w:szCs w:val="20"/>
      </w:rPr>
      <w:fldChar w:fldCharType="begin"/>
    </w:r>
    <w:r w:rsidRPr="00BF277E">
      <w:rPr>
        <w:rFonts w:ascii="Palatino Linotype" w:eastAsia="Arial" w:hAnsi="Palatino Linotype" w:cs="Arial"/>
        <w:b/>
        <w:bCs/>
        <w:color w:val="000000"/>
        <w:sz w:val="22"/>
        <w:szCs w:val="20"/>
      </w:rPr>
      <w:instrText>PAGE</w:instrText>
    </w:r>
    <w:r w:rsidRPr="00BF277E">
      <w:rPr>
        <w:rFonts w:ascii="Palatino Linotype" w:eastAsia="Arial" w:hAnsi="Palatino Linotype" w:cs="Arial"/>
        <w:b/>
        <w:bCs/>
        <w:color w:val="000000"/>
        <w:sz w:val="22"/>
        <w:szCs w:val="20"/>
      </w:rPr>
      <w:fldChar w:fldCharType="separate"/>
    </w:r>
    <w:r w:rsidR="00E67D9D">
      <w:rPr>
        <w:rFonts w:ascii="Palatino Linotype" w:eastAsia="Arial" w:hAnsi="Palatino Linotype" w:cs="Arial"/>
        <w:b/>
        <w:bCs/>
        <w:noProof/>
        <w:color w:val="000000"/>
        <w:sz w:val="22"/>
        <w:szCs w:val="20"/>
      </w:rPr>
      <w:t>21</w:t>
    </w:r>
    <w:r w:rsidRPr="00BF277E">
      <w:rPr>
        <w:rFonts w:ascii="Palatino Linotype" w:eastAsia="Arial" w:hAnsi="Palatino Linotype" w:cs="Arial"/>
        <w:b/>
        <w:bCs/>
        <w:color w:val="000000"/>
        <w:sz w:val="22"/>
        <w:szCs w:val="20"/>
      </w:rPr>
      <w:fldChar w:fldCharType="end"/>
    </w:r>
    <w:r w:rsidRPr="00BF277E">
      <w:rPr>
        <w:rFonts w:ascii="Palatino Linotype" w:eastAsia="Arial" w:hAnsi="Palatino Linotype" w:cs="Arial"/>
        <w:color w:val="000000"/>
        <w:sz w:val="22"/>
        <w:szCs w:val="20"/>
      </w:rPr>
      <w:t xml:space="preserve"> de </w:t>
    </w:r>
    <w:r w:rsidRPr="00BF277E">
      <w:rPr>
        <w:rFonts w:ascii="Palatino Linotype" w:eastAsia="Arial" w:hAnsi="Palatino Linotype" w:cs="Arial"/>
        <w:b/>
        <w:bCs/>
        <w:color w:val="000000"/>
        <w:sz w:val="22"/>
        <w:szCs w:val="20"/>
      </w:rPr>
      <w:fldChar w:fldCharType="begin"/>
    </w:r>
    <w:r w:rsidRPr="00BF277E">
      <w:rPr>
        <w:rFonts w:ascii="Palatino Linotype" w:eastAsia="Arial" w:hAnsi="Palatino Linotype" w:cs="Arial"/>
        <w:b/>
        <w:bCs/>
        <w:color w:val="000000"/>
        <w:sz w:val="22"/>
        <w:szCs w:val="20"/>
      </w:rPr>
      <w:instrText>NUMPAGES</w:instrText>
    </w:r>
    <w:r w:rsidRPr="00BF277E">
      <w:rPr>
        <w:rFonts w:ascii="Palatino Linotype" w:eastAsia="Arial" w:hAnsi="Palatino Linotype" w:cs="Arial"/>
        <w:b/>
        <w:bCs/>
        <w:color w:val="000000"/>
        <w:sz w:val="22"/>
        <w:szCs w:val="20"/>
      </w:rPr>
      <w:fldChar w:fldCharType="separate"/>
    </w:r>
    <w:r w:rsidR="00E67D9D">
      <w:rPr>
        <w:rFonts w:ascii="Palatino Linotype" w:eastAsia="Arial" w:hAnsi="Palatino Linotype" w:cs="Arial"/>
        <w:b/>
        <w:bCs/>
        <w:noProof/>
        <w:color w:val="000000"/>
        <w:sz w:val="22"/>
        <w:szCs w:val="20"/>
      </w:rPr>
      <w:t>42</w:t>
    </w:r>
    <w:r w:rsidRPr="00BF277E">
      <w:rPr>
        <w:rFonts w:ascii="Palatino Linotype" w:eastAsia="Arial" w:hAnsi="Palatino Linotype" w:cs="Arial"/>
        <w:b/>
        <w:bCs/>
        <w:color w:val="000000"/>
        <w:sz w:val="22"/>
        <w:szCs w:val="20"/>
      </w:rPr>
      <w:fldChar w:fldCharType="end"/>
    </w:r>
  </w:p>
  <w:p w:rsidR="00AE6351" w:rsidRDefault="00AE6351">
    <w:pPr>
      <w:pBdr>
        <w:top w:val="nil"/>
        <w:left w:val="nil"/>
        <w:bottom w:val="nil"/>
        <w:right w:val="nil"/>
        <w:between w:val="nil"/>
      </w:pBdr>
      <w:tabs>
        <w:tab w:val="center" w:pos="4252"/>
        <w:tab w:val="right" w:pos="8504"/>
      </w:tabs>
      <w:rPr>
        <w:color w:val="000000"/>
      </w:rPr>
    </w:pPr>
  </w:p>
  <w:p w:rsidR="00AE6351" w:rsidRDefault="00AE635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351" w:rsidRPr="00BF277E" w:rsidRDefault="00324290">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BF277E">
      <w:rPr>
        <w:rFonts w:ascii="Palatino Linotype" w:eastAsia="Arial" w:hAnsi="Palatino Linotype" w:cs="Arial"/>
        <w:b/>
        <w:bCs/>
        <w:color w:val="000000"/>
        <w:sz w:val="22"/>
        <w:szCs w:val="20"/>
      </w:rPr>
      <w:t xml:space="preserve">Página </w:t>
    </w:r>
    <w:r w:rsidRPr="00BF277E">
      <w:rPr>
        <w:rFonts w:ascii="Palatino Linotype" w:eastAsia="Arial" w:hAnsi="Palatino Linotype" w:cs="Arial"/>
        <w:b/>
        <w:bCs/>
        <w:color w:val="000000"/>
        <w:sz w:val="22"/>
        <w:szCs w:val="20"/>
      </w:rPr>
      <w:fldChar w:fldCharType="begin"/>
    </w:r>
    <w:r w:rsidRPr="00BF277E">
      <w:rPr>
        <w:rFonts w:ascii="Palatino Linotype" w:eastAsia="Arial" w:hAnsi="Palatino Linotype" w:cs="Arial"/>
        <w:b/>
        <w:bCs/>
        <w:color w:val="000000"/>
        <w:sz w:val="22"/>
        <w:szCs w:val="20"/>
      </w:rPr>
      <w:instrText>PAGE</w:instrText>
    </w:r>
    <w:r w:rsidRPr="00BF277E">
      <w:rPr>
        <w:rFonts w:ascii="Palatino Linotype" w:eastAsia="Arial" w:hAnsi="Palatino Linotype" w:cs="Arial"/>
        <w:b/>
        <w:bCs/>
        <w:color w:val="000000"/>
        <w:sz w:val="22"/>
        <w:szCs w:val="20"/>
      </w:rPr>
      <w:fldChar w:fldCharType="separate"/>
    </w:r>
    <w:r w:rsidR="00E67D9D">
      <w:rPr>
        <w:rFonts w:ascii="Palatino Linotype" w:eastAsia="Arial" w:hAnsi="Palatino Linotype" w:cs="Arial"/>
        <w:b/>
        <w:bCs/>
        <w:noProof/>
        <w:color w:val="000000"/>
        <w:sz w:val="22"/>
        <w:szCs w:val="20"/>
      </w:rPr>
      <w:t>1</w:t>
    </w:r>
    <w:r w:rsidRPr="00BF277E">
      <w:rPr>
        <w:rFonts w:ascii="Palatino Linotype" w:eastAsia="Arial" w:hAnsi="Palatino Linotype" w:cs="Arial"/>
        <w:b/>
        <w:bCs/>
        <w:color w:val="000000"/>
        <w:sz w:val="22"/>
        <w:szCs w:val="20"/>
      </w:rPr>
      <w:fldChar w:fldCharType="end"/>
    </w:r>
    <w:r w:rsidRPr="00BF277E">
      <w:rPr>
        <w:rFonts w:ascii="Palatino Linotype" w:eastAsia="Arial" w:hAnsi="Palatino Linotype" w:cs="Arial"/>
        <w:color w:val="000000"/>
        <w:sz w:val="22"/>
        <w:szCs w:val="20"/>
      </w:rPr>
      <w:t xml:space="preserve"> de </w:t>
    </w:r>
    <w:r w:rsidRPr="00BF277E">
      <w:rPr>
        <w:rFonts w:ascii="Palatino Linotype" w:eastAsia="Arial" w:hAnsi="Palatino Linotype" w:cs="Arial"/>
        <w:b/>
        <w:bCs/>
        <w:color w:val="000000"/>
        <w:sz w:val="22"/>
        <w:szCs w:val="20"/>
      </w:rPr>
      <w:fldChar w:fldCharType="begin"/>
    </w:r>
    <w:r w:rsidRPr="00BF277E">
      <w:rPr>
        <w:rFonts w:ascii="Palatino Linotype" w:eastAsia="Arial" w:hAnsi="Palatino Linotype" w:cs="Arial"/>
        <w:b/>
        <w:bCs/>
        <w:color w:val="000000"/>
        <w:sz w:val="22"/>
        <w:szCs w:val="20"/>
      </w:rPr>
      <w:instrText>NUMPAGES</w:instrText>
    </w:r>
    <w:r w:rsidRPr="00BF277E">
      <w:rPr>
        <w:rFonts w:ascii="Palatino Linotype" w:eastAsia="Arial" w:hAnsi="Palatino Linotype" w:cs="Arial"/>
        <w:b/>
        <w:bCs/>
        <w:color w:val="000000"/>
        <w:sz w:val="22"/>
        <w:szCs w:val="20"/>
      </w:rPr>
      <w:fldChar w:fldCharType="separate"/>
    </w:r>
    <w:r w:rsidR="00E67D9D">
      <w:rPr>
        <w:rFonts w:ascii="Palatino Linotype" w:eastAsia="Arial" w:hAnsi="Palatino Linotype" w:cs="Arial"/>
        <w:b/>
        <w:bCs/>
        <w:noProof/>
        <w:color w:val="000000"/>
        <w:sz w:val="22"/>
        <w:szCs w:val="20"/>
      </w:rPr>
      <w:t>42</w:t>
    </w:r>
    <w:r w:rsidRPr="00BF277E">
      <w:rPr>
        <w:rFonts w:ascii="Palatino Linotype" w:eastAsia="Arial" w:hAnsi="Palatino Linotype" w:cs="Arial"/>
        <w:b/>
        <w:bCs/>
        <w:color w:val="000000"/>
        <w:sz w:val="22"/>
        <w:szCs w:val="20"/>
      </w:rPr>
      <w:fldChar w:fldCharType="end"/>
    </w:r>
  </w:p>
  <w:p w:rsidR="00AE6351" w:rsidRDefault="00AE635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D3B" w:rsidRDefault="00126D3B">
      <w:r>
        <w:separator/>
      </w:r>
    </w:p>
  </w:footnote>
  <w:footnote w:type="continuationSeparator" w:id="0">
    <w:p w:rsidR="00126D3B" w:rsidRDefault="00126D3B">
      <w:r>
        <w:continuationSeparator/>
      </w:r>
    </w:p>
  </w:footnote>
  <w:footnote w:id="1">
    <w:p w:rsidR="00AE6351" w:rsidRDefault="0032429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AE6351" w:rsidRDefault="0032429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AE6351" w:rsidRDefault="0032429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AE6351" w:rsidRDefault="0032429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654" w:type="dxa"/>
      <w:tblInd w:w="2694" w:type="dxa"/>
      <w:tblLayout w:type="fixed"/>
      <w:tblLook w:val="0400" w:firstRow="0" w:lastRow="0" w:firstColumn="0" w:lastColumn="0" w:noHBand="0" w:noVBand="1"/>
    </w:tblPr>
    <w:tblGrid>
      <w:gridCol w:w="2976"/>
      <w:gridCol w:w="4678"/>
    </w:tblGrid>
    <w:tr w:rsidR="00AE6351" w:rsidTr="00BF277E">
      <w:tc>
        <w:tcPr>
          <w:tcW w:w="2976" w:type="dxa"/>
          <w:vAlign w:val="center"/>
        </w:tcPr>
        <w:p w:rsidR="00AE6351" w:rsidRPr="00BF277E" w:rsidRDefault="00324290">
          <w:pPr>
            <w:rPr>
              <w:rFonts w:ascii="Palatino Linotype" w:eastAsia="Palatino Linotype" w:hAnsi="Palatino Linotype" w:cs="Palatino Linotype"/>
              <w:b/>
              <w:bCs/>
              <w:szCs w:val="20"/>
            </w:rPr>
          </w:pPr>
          <w:r w:rsidRPr="00BF277E">
            <w:rPr>
              <w:rFonts w:ascii="Palatino Linotype" w:eastAsia="Palatino Linotype" w:hAnsi="Palatino Linotype" w:cs="Palatino Linotype"/>
              <w:b/>
              <w:bCs/>
              <w:szCs w:val="20"/>
            </w:rPr>
            <w:t>Recurso de Revisión:</w:t>
          </w:r>
        </w:p>
      </w:tc>
      <w:tc>
        <w:tcPr>
          <w:tcW w:w="4678" w:type="dxa"/>
          <w:vAlign w:val="center"/>
        </w:tcPr>
        <w:p w:rsidR="00AE6351" w:rsidRPr="00BF277E" w:rsidRDefault="00E668C1" w:rsidP="00BF277E">
          <w:pPr>
            <w:ind w:right="-1093"/>
            <w:rPr>
              <w:rFonts w:ascii="Palatino Linotype" w:eastAsia="Palatino Linotype" w:hAnsi="Palatino Linotype" w:cs="Palatino Linotype"/>
              <w:szCs w:val="20"/>
            </w:rPr>
          </w:pPr>
          <w:r w:rsidRPr="00BF277E">
            <w:rPr>
              <w:rFonts w:ascii="Palatino Linotype" w:eastAsia="Palatino Linotype" w:hAnsi="Palatino Linotype" w:cs="Palatino Linotype"/>
              <w:szCs w:val="20"/>
            </w:rPr>
            <w:t>03363/INFOEM/IP/RR/2026</w:t>
          </w:r>
          <w:r w:rsidR="00324290" w:rsidRPr="00BF277E">
            <w:rPr>
              <w:rFonts w:ascii="Palatino Linotype" w:eastAsia="Palatino Linotype" w:hAnsi="Palatino Linotype" w:cs="Palatino Linotype"/>
              <w:szCs w:val="20"/>
            </w:rPr>
            <w:t xml:space="preserve"> </w:t>
          </w:r>
        </w:p>
      </w:tc>
    </w:tr>
    <w:tr w:rsidR="00AE6351" w:rsidTr="00BF277E">
      <w:trPr>
        <w:trHeight w:val="228"/>
      </w:trPr>
      <w:tc>
        <w:tcPr>
          <w:tcW w:w="2976" w:type="dxa"/>
          <w:vAlign w:val="center"/>
        </w:tcPr>
        <w:p w:rsidR="00AE6351" w:rsidRPr="00BF277E" w:rsidRDefault="00324290">
          <w:pPr>
            <w:rPr>
              <w:rFonts w:ascii="Palatino Linotype" w:eastAsia="Palatino Linotype" w:hAnsi="Palatino Linotype" w:cs="Palatino Linotype"/>
              <w:b/>
              <w:bCs/>
              <w:szCs w:val="20"/>
            </w:rPr>
          </w:pPr>
          <w:r w:rsidRPr="00BF277E">
            <w:rPr>
              <w:rFonts w:ascii="Palatino Linotype" w:eastAsia="Palatino Linotype" w:hAnsi="Palatino Linotype" w:cs="Palatino Linotype"/>
              <w:b/>
              <w:bCs/>
              <w:szCs w:val="20"/>
            </w:rPr>
            <w:t>Sujeto Obligado:</w:t>
          </w:r>
        </w:p>
      </w:tc>
      <w:tc>
        <w:tcPr>
          <w:tcW w:w="4678" w:type="dxa"/>
          <w:shd w:val="clear" w:color="auto" w:fill="auto"/>
          <w:vAlign w:val="center"/>
        </w:tcPr>
        <w:p w:rsidR="00AE6351" w:rsidRPr="00BF277E" w:rsidRDefault="00324290" w:rsidP="00BF277E">
          <w:pPr>
            <w:ind w:right="-108"/>
            <w:rPr>
              <w:rFonts w:ascii="Palatino Linotype" w:eastAsia="Palatino Linotype" w:hAnsi="Palatino Linotype" w:cs="Palatino Linotype"/>
              <w:color w:val="000000"/>
              <w:szCs w:val="20"/>
            </w:rPr>
          </w:pPr>
          <w:r w:rsidRPr="00BF277E">
            <w:rPr>
              <w:rFonts w:ascii="Palatino Linotype" w:eastAsia="Palatino Linotype" w:hAnsi="Palatino Linotype" w:cs="Palatino Linotype"/>
              <w:bCs/>
              <w:color w:val="000000"/>
              <w:szCs w:val="20"/>
            </w:rPr>
            <w:t>Universidad Digital del Estado de México</w:t>
          </w:r>
        </w:p>
      </w:tc>
    </w:tr>
    <w:tr w:rsidR="00AE6351" w:rsidTr="00BF277E">
      <w:tc>
        <w:tcPr>
          <w:tcW w:w="2976" w:type="dxa"/>
          <w:vAlign w:val="center"/>
        </w:tcPr>
        <w:p w:rsidR="00AE6351" w:rsidRPr="00BF277E" w:rsidRDefault="00324290">
          <w:pPr>
            <w:rPr>
              <w:rFonts w:ascii="Palatino Linotype" w:eastAsia="Palatino Linotype" w:hAnsi="Palatino Linotype" w:cs="Palatino Linotype"/>
              <w:b/>
              <w:bCs/>
              <w:szCs w:val="20"/>
            </w:rPr>
          </w:pPr>
          <w:r w:rsidRPr="00BF277E">
            <w:rPr>
              <w:rFonts w:ascii="Palatino Linotype" w:eastAsia="Palatino Linotype" w:hAnsi="Palatino Linotype" w:cs="Palatino Linotype"/>
              <w:b/>
              <w:bCs/>
              <w:szCs w:val="20"/>
            </w:rPr>
            <w:t>Comisionada Ponente:</w:t>
          </w:r>
        </w:p>
      </w:tc>
      <w:tc>
        <w:tcPr>
          <w:tcW w:w="4678" w:type="dxa"/>
          <w:vAlign w:val="center"/>
        </w:tcPr>
        <w:p w:rsidR="00AE6351" w:rsidRPr="00BF277E" w:rsidRDefault="00324290" w:rsidP="00BF277E">
          <w:pPr>
            <w:ind w:right="-1093"/>
            <w:rPr>
              <w:rFonts w:ascii="Palatino Linotype" w:eastAsia="Palatino Linotype" w:hAnsi="Palatino Linotype" w:cs="Palatino Linotype"/>
              <w:szCs w:val="20"/>
            </w:rPr>
          </w:pPr>
          <w:r w:rsidRPr="00BF277E">
            <w:rPr>
              <w:rFonts w:ascii="Palatino Linotype" w:eastAsia="Palatino Linotype" w:hAnsi="Palatino Linotype" w:cs="Palatino Linotype"/>
              <w:szCs w:val="20"/>
            </w:rPr>
            <w:t>María del Rosario Mejía Ayala</w:t>
          </w:r>
        </w:p>
      </w:tc>
    </w:tr>
  </w:tbl>
  <w:p w:rsidR="00AE6351" w:rsidRDefault="00BF277E">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column">
            <wp:posOffset>-1017031</wp:posOffset>
          </wp:positionH>
          <wp:positionV relativeFrom="paragraph">
            <wp:posOffset>-1278303</wp:posOffset>
          </wp:positionV>
          <wp:extent cx="7813085" cy="10170000"/>
          <wp:effectExtent l="0" t="0" r="0" b="0"/>
          <wp:wrapNone/>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324290">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851" w:type="dxa"/>
      <w:tblInd w:w="3119" w:type="dxa"/>
      <w:tblLayout w:type="fixed"/>
      <w:tblLook w:val="0400" w:firstRow="0" w:lastRow="0" w:firstColumn="0" w:lastColumn="0" w:noHBand="0" w:noVBand="1"/>
    </w:tblPr>
    <w:tblGrid>
      <w:gridCol w:w="3168"/>
      <w:gridCol w:w="3683"/>
    </w:tblGrid>
    <w:tr w:rsidR="00AE6351" w:rsidTr="00BF277E">
      <w:trPr>
        <w:trHeight w:val="227"/>
      </w:trPr>
      <w:tc>
        <w:tcPr>
          <w:tcW w:w="3168" w:type="dxa"/>
          <w:vAlign w:val="center"/>
        </w:tcPr>
        <w:p w:rsidR="00AE6351" w:rsidRPr="00BF277E" w:rsidRDefault="00324290">
          <w:pPr>
            <w:jc w:val="right"/>
            <w:rPr>
              <w:rFonts w:ascii="Palatino Linotype" w:eastAsia="Palatino Linotype" w:hAnsi="Palatino Linotype" w:cs="Palatino Linotype"/>
              <w:b/>
              <w:bCs/>
              <w:szCs w:val="22"/>
            </w:rPr>
          </w:pPr>
          <w:r w:rsidRPr="00BF277E">
            <w:rPr>
              <w:rFonts w:ascii="Calibri" w:eastAsia="Calibri" w:hAnsi="Calibri" w:cs="Calibri"/>
              <w:color w:val="000000"/>
            </w:rPr>
            <w:t xml:space="preserve">   </w:t>
          </w:r>
          <w:r w:rsidR="00BF277E" w:rsidRPr="00BF277E">
            <w:rPr>
              <w:rFonts w:ascii="Calibri" w:eastAsia="Calibri" w:hAnsi="Calibri" w:cs="Calibri"/>
              <w:color w:val="000000"/>
            </w:rPr>
            <w:t xml:space="preserve">      </w:t>
          </w:r>
          <w:r w:rsidRPr="00BF277E">
            <w:rPr>
              <w:rFonts w:ascii="Palatino Linotype" w:eastAsia="Palatino Linotype" w:hAnsi="Palatino Linotype" w:cs="Palatino Linotype"/>
              <w:b/>
              <w:bCs/>
              <w:szCs w:val="22"/>
            </w:rPr>
            <w:t>Recurso de Revisión:</w:t>
          </w:r>
        </w:p>
      </w:tc>
      <w:tc>
        <w:tcPr>
          <w:tcW w:w="3683" w:type="dxa"/>
          <w:vAlign w:val="center"/>
        </w:tcPr>
        <w:p w:rsidR="00AE6351" w:rsidRPr="00BF277E" w:rsidRDefault="00324290" w:rsidP="00BF277E">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highlight w:val="green"/>
            </w:rPr>
          </w:pPr>
          <w:r w:rsidRPr="00BF277E">
            <w:rPr>
              <w:rFonts w:ascii="Palatino Linotype" w:eastAsia="Palatino Linotype" w:hAnsi="Palatino Linotype" w:cs="Palatino Linotype"/>
              <w:bCs/>
              <w:color w:val="000000"/>
              <w:szCs w:val="22"/>
            </w:rPr>
            <w:t>03363/INFOEM/IP/RR/2026</w:t>
          </w:r>
        </w:p>
      </w:tc>
    </w:tr>
    <w:tr w:rsidR="00AE6351" w:rsidTr="00BF277E">
      <w:trPr>
        <w:trHeight w:val="242"/>
      </w:trPr>
      <w:tc>
        <w:tcPr>
          <w:tcW w:w="3168" w:type="dxa"/>
          <w:vAlign w:val="center"/>
        </w:tcPr>
        <w:p w:rsidR="00AE6351" w:rsidRPr="00BF277E" w:rsidRDefault="00324290">
          <w:pPr>
            <w:jc w:val="right"/>
            <w:rPr>
              <w:rFonts w:ascii="Palatino Linotype" w:eastAsia="Palatino Linotype" w:hAnsi="Palatino Linotype" w:cs="Palatino Linotype"/>
              <w:b/>
              <w:bCs/>
              <w:szCs w:val="22"/>
            </w:rPr>
          </w:pPr>
          <w:r w:rsidRPr="00BF277E">
            <w:rPr>
              <w:rFonts w:ascii="Palatino Linotype" w:eastAsia="Palatino Linotype" w:hAnsi="Palatino Linotype" w:cs="Palatino Linotype"/>
              <w:b/>
              <w:bCs/>
              <w:szCs w:val="22"/>
            </w:rPr>
            <w:t>Recurrente:</w:t>
          </w:r>
        </w:p>
      </w:tc>
      <w:tc>
        <w:tcPr>
          <w:tcW w:w="3683" w:type="dxa"/>
        </w:tcPr>
        <w:p w:rsidR="00AE6351" w:rsidRPr="00BF277E" w:rsidRDefault="00AE6351" w:rsidP="00BF277E">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Cs/>
              <w:szCs w:val="22"/>
              <w:highlight w:val="green"/>
            </w:rPr>
          </w:pPr>
        </w:p>
      </w:tc>
    </w:tr>
    <w:tr w:rsidR="00AE6351" w:rsidTr="00BF277E">
      <w:trPr>
        <w:trHeight w:val="342"/>
      </w:trPr>
      <w:tc>
        <w:tcPr>
          <w:tcW w:w="3168" w:type="dxa"/>
          <w:vAlign w:val="center"/>
        </w:tcPr>
        <w:p w:rsidR="00AE6351" w:rsidRPr="00BF277E" w:rsidRDefault="00324290">
          <w:pPr>
            <w:jc w:val="right"/>
            <w:rPr>
              <w:rFonts w:ascii="Palatino Linotype" w:eastAsia="Palatino Linotype" w:hAnsi="Palatino Linotype" w:cs="Palatino Linotype"/>
              <w:b/>
              <w:bCs/>
              <w:szCs w:val="22"/>
            </w:rPr>
          </w:pPr>
          <w:r w:rsidRPr="00BF277E">
            <w:rPr>
              <w:rFonts w:ascii="Palatino Linotype" w:eastAsia="Palatino Linotype" w:hAnsi="Palatino Linotype" w:cs="Palatino Linotype"/>
              <w:b/>
              <w:bCs/>
              <w:szCs w:val="22"/>
            </w:rPr>
            <w:t>Sujeto Obligado:</w:t>
          </w:r>
        </w:p>
      </w:tc>
      <w:tc>
        <w:tcPr>
          <w:tcW w:w="3683" w:type="dxa"/>
          <w:vAlign w:val="center"/>
        </w:tcPr>
        <w:p w:rsidR="00AE6351" w:rsidRPr="00BF277E" w:rsidRDefault="00324290" w:rsidP="00BF277E">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highlight w:val="green"/>
            </w:rPr>
          </w:pPr>
          <w:r w:rsidRPr="00BF277E">
            <w:rPr>
              <w:rFonts w:ascii="Palatino Linotype" w:eastAsia="Palatino Linotype" w:hAnsi="Palatino Linotype" w:cs="Palatino Linotype"/>
              <w:bCs/>
              <w:color w:val="000000"/>
              <w:szCs w:val="22"/>
            </w:rPr>
            <w:t xml:space="preserve">Universidad Digital del Estado de México </w:t>
          </w:r>
        </w:p>
      </w:tc>
    </w:tr>
    <w:tr w:rsidR="00AE6351" w:rsidTr="00BF277E">
      <w:trPr>
        <w:trHeight w:val="342"/>
      </w:trPr>
      <w:tc>
        <w:tcPr>
          <w:tcW w:w="3168" w:type="dxa"/>
          <w:vAlign w:val="center"/>
        </w:tcPr>
        <w:p w:rsidR="00AE6351" w:rsidRPr="00BF277E" w:rsidRDefault="00324290">
          <w:pPr>
            <w:jc w:val="right"/>
            <w:rPr>
              <w:rFonts w:ascii="Palatino Linotype" w:eastAsia="Palatino Linotype" w:hAnsi="Palatino Linotype" w:cs="Palatino Linotype"/>
              <w:b/>
              <w:bCs/>
              <w:szCs w:val="22"/>
            </w:rPr>
          </w:pPr>
          <w:r w:rsidRPr="00BF277E">
            <w:rPr>
              <w:rFonts w:ascii="Palatino Linotype" w:eastAsia="Palatino Linotype" w:hAnsi="Palatino Linotype" w:cs="Palatino Linotype"/>
              <w:b/>
              <w:bCs/>
              <w:szCs w:val="22"/>
            </w:rPr>
            <w:t>Comisionada Ponente:</w:t>
          </w:r>
        </w:p>
      </w:tc>
      <w:tc>
        <w:tcPr>
          <w:tcW w:w="3683" w:type="dxa"/>
          <w:vAlign w:val="center"/>
        </w:tcPr>
        <w:p w:rsidR="00AE6351" w:rsidRPr="00BF277E" w:rsidRDefault="00324290" w:rsidP="00BF277E">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BF277E">
            <w:rPr>
              <w:rFonts w:ascii="Palatino Linotype" w:eastAsia="Palatino Linotype" w:hAnsi="Palatino Linotype" w:cs="Palatino Linotype"/>
              <w:bCs/>
              <w:color w:val="000000"/>
              <w:szCs w:val="22"/>
            </w:rPr>
            <w:t>María del Rosario Mejía Ayala</w:t>
          </w:r>
        </w:p>
      </w:tc>
    </w:tr>
  </w:tbl>
  <w:p w:rsidR="00AE6351" w:rsidRDefault="00BF277E">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column">
            <wp:posOffset>-709571</wp:posOffset>
          </wp:positionH>
          <wp:positionV relativeFrom="paragraph">
            <wp:posOffset>-1485277</wp:posOffset>
          </wp:positionV>
          <wp:extent cx="7813085" cy="10170000"/>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11A01"/>
    <w:multiLevelType w:val="multilevel"/>
    <w:tmpl w:val="B170BC2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0B4C10CB"/>
    <w:multiLevelType w:val="multilevel"/>
    <w:tmpl w:val="B8DC74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DC468D"/>
    <w:multiLevelType w:val="multilevel"/>
    <w:tmpl w:val="BF4084C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70F039F"/>
    <w:multiLevelType w:val="multilevel"/>
    <w:tmpl w:val="18DCEEB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2885FB0"/>
    <w:multiLevelType w:val="multilevel"/>
    <w:tmpl w:val="6E8680A0"/>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5B3F3EA3"/>
    <w:multiLevelType w:val="multilevel"/>
    <w:tmpl w:val="6408E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5"/>
  </w:num>
  <w:num w:numId="4">
    <w:abstractNumId w:val="0"/>
  </w:num>
  <w:num w:numId="5">
    <w:abstractNumId w:val="1"/>
  </w:num>
  <w:num w:numId="6">
    <w:abstractNumId w:val="8"/>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51"/>
    <w:rsid w:val="000B6992"/>
    <w:rsid w:val="00126D3B"/>
    <w:rsid w:val="00197C3E"/>
    <w:rsid w:val="00303252"/>
    <w:rsid w:val="00324290"/>
    <w:rsid w:val="00394F3F"/>
    <w:rsid w:val="003E3290"/>
    <w:rsid w:val="00416785"/>
    <w:rsid w:val="005D28D0"/>
    <w:rsid w:val="00AE6351"/>
    <w:rsid w:val="00B813B7"/>
    <w:rsid w:val="00BF277E"/>
    <w:rsid w:val="00DC35A6"/>
    <w:rsid w:val="00DE3A0E"/>
    <w:rsid w:val="00E358A4"/>
    <w:rsid w:val="00E668C1"/>
    <w:rsid w:val="00E67D9D"/>
    <w:rsid w:val="00F160B5"/>
    <w:rsid w:val="00F537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9A9368-5437-46FE-8DAA-6459ADC9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F160B5"/>
    <w:pPr>
      <w:ind w:left="720"/>
      <w:contextualSpacing/>
    </w:pPr>
  </w:style>
  <w:style w:type="paragraph" w:styleId="Encabezado">
    <w:name w:val="header"/>
    <w:basedOn w:val="Normal"/>
    <w:link w:val="EncabezadoCar"/>
    <w:uiPriority w:val="99"/>
    <w:unhideWhenUsed/>
    <w:rsid w:val="00E668C1"/>
    <w:pPr>
      <w:tabs>
        <w:tab w:val="center" w:pos="4419"/>
        <w:tab w:val="right" w:pos="8838"/>
      </w:tabs>
    </w:pPr>
  </w:style>
  <w:style w:type="character" w:customStyle="1" w:styleId="EncabezadoCar">
    <w:name w:val="Encabezado Car"/>
    <w:basedOn w:val="Fuentedeprrafopredeter"/>
    <w:link w:val="Encabezado"/>
    <w:uiPriority w:val="99"/>
    <w:rsid w:val="00E668C1"/>
  </w:style>
  <w:style w:type="paragraph" w:styleId="Piedepgina">
    <w:name w:val="footer"/>
    <w:basedOn w:val="Normal"/>
    <w:link w:val="PiedepginaCar"/>
    <w:uiPriority w:val="99"/>
    <w:unhideWhenUsed/>
    <w:rsid w:val="00E668C1"/>
    <w:pPr>
      <w:tabs>
        <w:tab w:val="center" w:pos="4419"/>
        <w:tab w:val="right" w:pos="8838"/>
      </w:tabs>
    </w:pPr>
  </w:style>
  <w:style w:type="character" w:customStyle="1" w:styleId="PiedepginaCar">
    <w:name w:val="Pie de página Car"/>
    <w:basedOn w:val="Fuentedeprrafopredeter"/>
    <w:link w:val="Piedepgina"/>
    <w:uiPriority w:val="99"/>
    <w:rsid w:val="00E66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sultas.curp.gob.mx/CurpSP/html/informacionecurpP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7viBbwIsQ446yNaUR1hOKVsV6w==">CgMxLjAyCGguZ2pkZ3hzMgloLjFmb2I5dGUyCWguM3pueXNoNzIJaC4yZXQ5MnAwMg5oLjE2Mm0xbTNma3psNjIIaC50eWpjd3QyCWguM2R5NnZrbTIJaC4xdDNoNXNmMgloLjRkMzRvZzgyCWguMnM4ZXlvMTIJaC4xN2RwOHZ1MgloLjNyZGNyam4yCWguMjZpbjFyZzIJaC4xa3N2NHV2Mg5oLmV5cHAzbmc2cDFnbzIJaC4yanhzeHFoOAByITFRSHFRSkh2cHg5ckMtVE5qckRrc2hTTERuYVNqTzZ3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42</Pages>
  <Words>9782</Words>
  <Characters>53806</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2026-06-18T18:44:00Z</cp:lastPrinted>
  <dcterms:created xsi:type="dcterms:W3CDTF">2026-06-15T19:04:00Z</dcterms:created>
  <dcterms:modified xsi:type="dcterms:W3CDTF">2026-06-24T00:01:00Z</dcterms:modified>
</cp:coreProperties>
</file>