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2A93B" w14:textId="789F1087" w:rsidR="00694AA0" w:rsidRPr="00611291" w:rsidRDefault="005B22B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71085F" w:rsidRPr="00611291">
        <w:rPr>
          <w:rFonts w:ascii="Palatino Linotype" w:eastAsia="Palatino Linotype" w:hAnsi="Palatino Linotype" w:cs="Palatino Linotype"/>
          <w:sz w:val="22"/>
          <w:szCs w:val="22"/>
        </w:rPr>
        <w:t xml:space="preserve">catorce de enero </w:t>
      </w:r>
      <w:r w:rsidRPr="00611291">
        <w:rPr>
          <w:rFonts w:ascii="Palatino Linotype" w:eastAsia="Palatino Linotype" w:hAnsi="Palatino Linotype" w:cs="Palatino Linotype"/>
          <w:sz w:val="22"/>
          <w:szCs w:val="22"/>
        </w:rPr>
        <w:t xml:space="preserve">de dos mil </w:t>
      </w:r>
      <w:r w:rsidR="0071085F" w:rsidRPr="00611291">
        <w:rPr>
          <w:rFonts w:ascii="Palatino Linotype" w:eastAsia="Palatino Linotype" w:hAnsi="Palatino Linotype" w:cs="Palatino Linotype"/>
          <w:sz w:val="22"/>
          <w:szCs w:val="22"/>
        </w:rPr>
        <w:t>veintiséis</w:t>
      </w:r>
      <w:r w:rsidRPr="00611291">
        <w:rPr>
          <w:rFonts w:ascii="Palatino Linotype" w:eastAsia="Palatino Linotype" w:hAnsi="Palatino Linotype" w:cs="Palatino Linotype"/>
          <w:sz w:val="22"/>
          <w:szCs w:val="22"/>
        </w:rPr>
        <w:t xml:space="preserve">. </w:t>
      </w:r>
    </w:p>
    <w:p w14:paraId="32D33C57" w14:textId="7C72F049" w:rsidR="00694AA0" w:rsidRPr="00611291" w:rsidRDefault="005B22BA">
      <w:pPr>
        <w:tabs>
          <w:tab w:val="left" w:pos="5812"/>
        </w:tabs>
        <w:spacing w:before="240" w:after="240" w:line="360" w:lineRule="auto"/>
        <w:jc w:val="both"/>
        <w:rPr>
          <w:rFonts w:ascii="Palatino Linotype" w:eastAsia="Palatino Linotype" w:hAnsi="Palatino Linotype" w:cs="Palatino Linotype"/>
          <w:sz w:val="22"/>
          <w:szCs w:val="22"/>
        </w:rPr>
      </w:pPr>
      <w:bookmarkStart w:id="0" w:name="_heading=h.daj3j2xo6q66" w:colFirst="0" w:colLast="0"/>
      <w:bookmarkEnd w:id="0"/>
      <w:r w:rsidRPr="00611291">
        <w:rPr>
          <w:rFonts w:ascii="Palatino Linotype" w:eastAsia="Palatino Linotype" w:hAnsi="Palatino Linotype" w:cs="Palatino Linotype"/>
          <w:b/>
          <w:sz w:val="22"/>
          <w:szCs w:val="22"/>
        </w:rPr>
        <w:t>VISTO</w:t>
      </w:r>
      <w:r w:rsidRPr="00611291">
        <w:rPr>
          <w:rFonts w:ascii="Palatino Linotype" w:eastAsia="Palatino Linotype" w:hAnsi="Palatino Linotype" w:cs="Palatino Linotype"/>
          <w:sz w:val="22"/>
          <w:szCs w:val="22"/>
        </w:rPr>
        <w:t xml:space="preserve"> el expediente formado con motivo del recurso de revisión </w:t>
      </w:r>
      <w:r w:rsidR="00554822" w:rsidRPr="00611291">
        <w:rPr>
          <w:rFonts w:ascii="Palatino Linotype" w:eastAsia="Palatino Linotype" w:hAnsi="Palatino Linotype" w:cs="Palatino Linotype"/>
          <w:b/>
          <w:sz w:val="22"/>
          <w:szCs w:val="22"/>
        </w:rPr>
        <w:t>1</w:t>
      </w:r>
      <w:r w:rsidR="00251174" w:rsidRPr="00611291">
        <w:rPr>
          <w:rFonts w:ascii="Palatino Linotype" w:eastAsia="Palatino Linotype" w:hAnsi="Palatino Linotype" w:cs="Palatino Linotype"/>
          <w:b/>
          <w:sz w:val="22"/>
          <w:szCs w:val="22"/>
        </w:rPr>
        <w:t>3079</w:t>
      </w:r>
      <w:r w:rsidRPr="00611291">
        <w:rPr>
          <w:rFonts w:ascii="Palatino Linotype" w:eastAsia="Palatino Linotype" w:hAnsi="Palatino Linotype" w:cs="Palatino Linotype"/>
          <w:b/>
          <w:sz w:val="22"/>
          <w:szCs w:val="22"/>
        </w:rPr>
        <w:t>/INFOEM/IP/RR/2025</w:t>
      </w:r>
      <w:r w:rsidRPr="00611291">
        <w:rPr>
          <w:rFonts w:ascii="Palatino Linotype" w:eastAsia="Palatino Linotype" w:hAnsi="Palatino Linotype" w:cs="Palatino Linotype"/>
          <w:sz w:val="22"/>
          <w:szCs w:val="22"/>
        </w:rPr>
        <w:t>, interpuesto por</w:t>
      </w:r>
      <w:r w:rsidRPr="00611291">
        <w:rPr>
          <w:rFonts w:ascii="Palatino Linotype" w:eastAsia="Palatino Linotype" w:hAnsi="Palatino Linotype" w:cs="Palatino Linotype"/>
          <w:b/>
          <w:sz w:val="22"/>
          <w:szCs w:val="22"/>
        </w:rPr>
        <w:t xml:space="preserve"> </w:t>
      </w:r>
      <w:r w:rsidR="004E7F14" w:rsidRPr="004E7F14">
        <w:rPr>
          <w:rFonts w:ascii="Palatino Linotype" w:eastAsia="Palatino Linotype" w:hAnsi="Palatino Linotype" w:cs="Palatino Linotype"/>
          <w:b/>
          <w:sz w:val="22"/>
          <w:szCs w:val="22"/>
        </w:rPr>
        <w:t>XXXXXXXXX XX</w:t>
      </w:r>
      <w:bookmarkStart w:id="1" w:name="_GoBack"/>
      <w:bookmarkEnd w:id="1"/>
      <w:r w:rsidRPr="00611291">
        <w:rPr>
          <w:rFonts w:ascii="Palatino Linotype" w:eastAsia="Palatino Linotype" w:hAnsi="Palatino Linotype" w:cs="Palatino Linotype"/>
          <w:b/>
          <w:sz w:val="22"/>
          <w:szCs w:val="22"/>
        </w:rPr>
        <w:t>,</w:t>
      </w:r>
      <w:r w:rsidRPr="00611291">
        <w:rPr>
          <w:rFonts w:ascii="Palatino Linotype" w:eastAsia="Palatino Linotype" w:hAnsi="Palatino Linotype" w:cs="Palatino Linotype"/>
          <w:sz w:val="22"/>
          <w:szCs w:val="22"/>
        </w:rPr>
        <w:t xml:space="preserve"> en lo sucesivo</w:t>
      </w:r>
      <w:r w:rsidRPr="00611291">
        <w:rPr>
          <w:rFonts w:ascii="Palatino Linotype" w:eastAsia="Palatino Linotype" w:hAnsi="Palatino Linotype" w:cs="Palatino Linotype"/>
          <w:b/>
          <w:sz w:val="22"/>
          <w:szCs w:val="22"/>
        </w:rPr>
        <w:t xml:space="preserve"> </w:t>
      </w:r>
      <w:r w:rsidRPr="00611291">
        <w:rPr>
          <w:rFonts w:ascii="Palatino Linotype" w:eastAsia="Palatino Linotype" w:hAnsi="Palatino Linotype" w:cs="Palatino Linotype"/>
          <w:sz w:val="22"/>
          <w:szCs w:val="22"/>
        </w:rPr>
        <w:t xml:space="preserve">la parte </w:t>
      </w:r>
      <w:r w:rsidRPr="00611291">
        <w:rPr>
          <w:rFonts w:ascii="Palatino Linotype" w:eastAsia="Palatino Linotype" w:hAnsi="Palatino Linotype" w:cs="Palatino Linotype"/>
          <w:b/>
          <w:sz w:val="22"/>
          <w:szCs w:val="22"/>
        </w:rPr>
        <w:t>Recurrente,</w:t>
      </w:r>
      <w:r w:rsidRPr="00611291">
        <w:rPr>
          <w:rFonts w:ascii="Palatino Linotype" w:eastAsia="Palatino Linotype" w:hAnsi="Palatino Linotype" w:cs="Palatino Linotype"/>
          <w:sz w:val="22"/>
          <w:szCs w:val="22"/>
        </w:rPr>
        <w:t xml:space="preserve"> en contra de la respuesta a la solicitud de información con número de folio</w:t>
      </w:r>
      <w:r w:rsidRPr="00611291">
        <w:rPr>
          <w:rFonts w:ascii="Palatino Linotype" w:eastAsia="Palatino Linotype" w:hAnsi="Palatino Linotype" w:cs="Palatino Linotype"/>
          <w:b/>
          <w:sz w:val="22"/>
          <w:szCs w:val="22"/>
        </w:rPr>
        <w:t xml:space="preserve"> </w:t>
      </w:r>
      <w:r w:rsidR="00251174" w:rsidRPr="00611291">
        <w:rPr>
          <w:rFonts w:ascii="Palatino Linotype" w:eastAsia="Palatino Linotype" w:hAnsi="Palatino Linotype" w:cs="Palatino Linotype"/>
          <w:b/>
          <w:sz w:val="22"/>
          <w:szCs w:val="22"/>
        </w:rPr>
        <w:t>00068/TRIEEM/IP/2025</w:t>
      </w:r>
      <w:r w:rsidRPr="00611291">
        <w:rPr>
          <w:rFonts w:ascii="Palatino Linotype" w:eastAsia="Palatino Linotype" w:hAnsi="Palatino Linotype" w:cs="Palatino Linotype"/>
          <w:b/>
          <w:sz w:val="22"/>
          <w:szCs w:val="22"/>
        </w:rPr>
        <w:t xml:space="preserve">, </w:t>
      </w:r>
      <w:r w:rsidRPr="00611291">
        <w:rPr>
          <w:rFonts w:ascii="Palatino Linotype" w:eastAsia="Palatino Linotype" w:hAnsi="Palatino Linotype" w:cs="Palatino Linotype"/>
          <w:sz w:val="22"/>
          <w:szCs w:val="22"/>
        </w:rPr>
        <w:t xml:space="preserve">por parte del </w:t>
      </w:r>
      <w:r w:rsidR="00251174" w:rsidRPr="00611291">
        <w:rPr>
          <w:rFonts w:ascii="Palatino Linotype" w:eastAsia="Palatino Linotype" w:hAnsi="Palatino Linotype" w:cs="Palatino Linotype"/>
          <w:b/>
          <w:sz w:val="22"/>
          <w:szCs w:val="22"/>
        </w:rPr>
        <w:t>Tribunal Electoral del Estado de México</w:t>
      </w:r>
      <w:r w:rsidRPr="00611291">
        <w:rPr>
          <w:rFonts w:ascii="Palatino Linotype" w:eastAsia="Palatino Linotype" w:hAnsi="Palatino Linotype" w:cs="Palatino Linotype"/>
          <w:b/>
          <w:sz w:val="22"/>
          <w:szCs w:val="22"/>
        </w:rPr>
        <w:t xml:space="preserve">, </w:t>
      </w:r>
      <w:r w:rsidRPr="00611291">
        <w:rPr>
          <w:rFonts w:ascii="Palatino Linotype" w:eastAsia="Palatino Linotype" w:hAnsi="Palatino Linotype" w:cs="Palatino Linotype"/>
          <w:sz w:val="22"/>
          <w:szCs w:val="22"/>
        </w:rPr>
        <w:t xml:space="preserve">en lo sucesivo el </w:t>
      </w:r>
      <w:r w:rsidRPr="00611291">
        <w:rPr>
          <w:rFonts w:ascii="Palatino Linotype" w:eastAsia="Palatino Linotype" w:hAnsi="Palatino Linotype" w:cs="Palatino Linotype"/>
          <w:b/>
          <w:sz w:val="22"/>
          <w:szCs w:val="22"/>
        </w:rPr>
        <w:t xml:space="preserve">Sujeto Obligado, </w:t>
      </w:r>
      <w:r w:rsidRPr="00611291">
        <w:rPr>
          <w:rFonts w:ascii="Palatino Linotype" w:eastAsia="Palatino Linotype" w:hAnsi="Palatino Linotype" w:cs="Palatino Linotype"/>
          <w:sz w:val="22"/>
          <w:szCs w:val="22"/>
        </w:rPr>
        <w:t xml:space="preserve">se procede a dictar la presente resolución con base en los siguientes: </w:t>
      </w:r>
    </w:p>
    <w:p w14:paraId="6CBEA268" w14:textId="77777777" w:rsidR="00694AA0" w:rsidRPr="00611291" w:rsidRDefault="005B22BA">
      <w:pPr>
        <w:spacing w:before="240" w:after="240" w:line="360" w:lineRule="auto"/>
        <w:jc w:val="center"/>
        <w:rPr>
          <w:rFonts w:ascii="Palatino Linotype" w:eastAsia="Palatino Linotype" w:hAnsi="Palatino Linotype" w:cs="Palatino Linotype"/>
          <w:b/>
          <w:sz w:val="22"/>
          <w:szCs w:val="22"/>
        </w:rPr>
      </w:pPr>
      <w:r w:rsidRPr="00611291">
        <w:rPr>
          <w:rFonts w:ascii="Palatino Linotype" w:eastAsia="Palatino Linotype" w:hAnsi="Palatino Linotype" w:cs="Palatino Linotype"/>
          <w:b/>
          <w:sz w:val="22"/>
          <w:szCs w:val="22"/>
        </w:rPr>
        <w:t>I. A N T E C E D E N T E S</w:t>
      </w:r>
    </w:p>
    <w:p w14:paraId="68695096" w14:textId="03650E16" w:rsidR="00694AA0" w:rsidRPr="00611291" w:rsidRDefault="005B22BA">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611291">
        <w:rPr>
          <w:rFonts w:ascii="Palatino Linotype" w:eastAsia="Palatino Linotype" w:hAnsi="Palatino Linotype" w:cs="Palatino Linotype"/>
          <w:b/>
          <w:sz w:val="22"/>
          <w:szCs w:val="22"/>
        </w:rPr>
        <w:t>1. Solicitud de acceso a la información.</w:t>
      </w:r>
      <w:r w:rsidRPr="00611291">
        <w:rPr>
          <w:rFonts w:ascii="Palatino Linotype" w:eastAsia="Palatino Linotype" w:hAnsi="Palatino Linotype" w:cs="Palatino Linotype"/>
          <w:sz w:val="22"/>
          <w:szCs w:val="22"/>
        </w:rPr>
        <w:t xml:space="preserve"> El </w:t>
      </w:r>
      <w:r w:rsidR="00251174" w:rsidRPr="00611291">
        <w:rPr>
          <w:rFonts w:ascii="Palatino Linotype" w:eastAsia="Palatino Linotype" w:hAnsi="Palatino Linotype" w:cs="Palatino Linotype"/>
          <w:b/>
          <w:sz w:val="22"/>
          <w:szCs w:val="22"/>
        </w:rPr>
        <w:t xml:space="preserve">seis de noviembre </w:t>
      </w:r>
      <w:r w:rsidR="009502ED" w:rsidRPr="00611291">
        <w:rPr>
          <w:rFonts w:ascii="Palatino Linotype" w:eastAsia="Palatino Linotype" w:hAnsi="Palatino Linotype" w:cs="Palatino Linotype"/>
          <w:b/>
          <w:sz w:val="22"/>
          <w:szCs w:val="22"/>
        </w:rPr>
        <w:t>de</w:t>
      </w:r>
      <w:r w:rsidRPr="00611291">
        <w:rPr>
          <w:rFonts w:ascii="Palatino Linotype" w:eastAsia="Palatino Linotype" w:hAnsi="Palatino Linotype" w:cs="Palatino Linotype"/>
          <w:b/>
          <w:sz w:val="22"/>
          <w:szCs w:val="22"/>
        </w:rPr>
        <w:t xml:space="preserve"> dos mil veinticinco,</w:t>
      </w:r>
      <w:r w:rsidRPr="00611291">
        <w:rPr>
          <w:rFonts w:ascii="Palatino Linotype" w:eastAsia="Palatino Linotype" w:hAnsi="Palatino Linotype" w:cs="Palatino Linotype"/>
          <w:sz w:val="22"/>
          <w:szCs w:val="22"/>
        </w:rPr>
        <w:t xml:space="preserve"> la parte </w:t>
      </w:r>
      <w:r w:rsidRPr="00611291">
        <w:rPr>
          <w:rFonts w:ascii="Palatino Linotype" w:eastAsia="Palatino Linotype" w:hAnsi="Palatino Linotype" w:cs="Palatino Linotype"/>
          <w:b/>
          <w:sz w:val="22"/>
          <w:szCs w:val="22"/>
        </w:rPr>
        <w:t xml:space="preserve">Recurrente </w:t>
      </w:r>
      <w:r w:rsidRPr="00611291">
        <w:rPr>
          <w:rFonts w:ascii="Palatino Linotype" w:eastAsia="Palatino Linotype" w:hAnsi="Palatino Linotype" w:cs="Palatino Linotype"/>
          <w:sz w:val="22"/>
          <w:szCs w:val="22"/>
        </w:rPr>
        <w:t xml:space="preserve">presentó la solicitud de acceso a la información pública ante el </w:t>
      </w:r>
      <w:r w:rsidRPr="00611291">
        <w:rPr>
          <w:rFonts w:ascii="Palatino Linotype" w:eastAsia="Palatino Linotype" w:hAnsi="Palatino Linotype" w:cs="Palatino Linotype"/>
          <w:b/>
          <w:sz w:val="22"/>
          <w:szCs w:val="22"/>
        </w:rPr>
        <w:t>Sujeto Obligado</w:t>
      </w:r>
      <w:r w:rsidRPr="00611291">
        <w:rPr>
          <w:rFonts w:ascii="Palatino Linotype" w:eastAsia="Palatino Linotype" w:hAnsi="Palatino Linotype" w:cs="Palatino Linotype"/>
          <w:sz w:val="22"/>
          <w:szCs w:val="22"/>
        </w:rPr>
        <w:t xml:space="preserve">, a través del Sistema de Acceso a la Información Mexiquense, en lo subsecuente el </w:t>
      </w:r>
      <w:r w:rsidRPr="00611291">
        <w:rPr>
          <w:rFonts w:ascii="Palatino Linotype" w:eastAsia="Palatino Linotype" w:hAnsi="Palatino Linotype" w:cs="Palatino Linotype"/>
          <w:b/>
          <w:sz w:val="22"/>
          <w:szCs w:val="22"/>
        </w:rPr>
        <w:t>SAIMEX,</w:t>
      </w:r>
      <w:r w:rsidRPr="00611291">
        <w:rPr>
          <w:rFonts w:ascii="Palatino Linotype" w:eastAsia="Palatino Linotype" w:hAnsi="Palatino Linotype" w:cs="Palatino Linotype"/>
          <w:sz w:val="22"/>
          <w:szCs w:val="22"/>
        </w:rPr>
        <w:t xml:space="preserve"> mediante la cual requirió lo siguiente:</w:t>
      </w:r>
    </w:p>
    <w:p w14:paraId="2B457E68" w14:textId="513AF213" w:rsidR="00694AA0" w:rsidRPr="00611291" w:rsidRDefault="005B22BA">
      <w:pPr>
        <w:spacing w:before="120" w:after="120"/>
        <w:ind w:left="851" w:right="902"/>
        <w:jc w:val="both"/>
        <w:rPr>
          <w:rFonts w:ascii="Palatino Linotype" w:eastAsia="Palatino Linotype" w:hAnsi="Palatino Linotype" w:cs="Palatino Linotype"/>
          <w:b/>
          <w:i/>
          <w:sz w:val="22"/>
          <w:szCs w:val="22"/>
        </w:rPr>
      </w:pPr>
      <w:r w:rsidRPr="00611291">
        <w:rPr>
          <w:rFonts w:ascii="Palatino Linotype" w:eastAsia="Palatino Linotype" w:hAnsi="Palatino Linotype" w:cs="Palatino Linotype"/>
          <w:i/>
          <w:sz w:val="22"/>
          <w:szCs w:val="22"/>
        </w:rPr>
        <w:t xml:space="preserve"> “</w:t>
      </w:r>
      <w:r w:rsidR="00251174" w:rsidRPr="00611291">
        <w:rPr>
          <w:rFonts w:ascii="Palatino Linotype" w:eastAsia="Palatino Linotype" w:hAnsi="Palatino Linotype" w:cs="Palatino Linotype"/>
          <w:i/>
          <w:sz w:val="22"/>
          <w:szCs w:val="22"/>
        </w:rPr>
        <w:t>SOLICITO LOS RECIBOS DE NOMINA DE LA PRIMERA QUINCENA DE OCTUBRE</w:t>
      </w:r>
      <w:r w:rsidRPr="00611291">
        <w:rPr>
          <w:rFonts w:ascii="Palatino Linotype" w:eastAsia="Palatino Linotype" w:hAnsi="Palatino Linotype" w:cs="Palatino Linotype"/>
          <w:b/>
          <w:i/>
          <w:sz w:val="22"/>
          <w:szCs w:val="22"/>
        </w:rPr>
        <w:t>”</w:t>
      </w:r>
      <w:r w:rsidRPr="00611291">
        <w:rPr>
          <w:rFonts w:ascii="Palatino Linotype" w:eastAsia="Palatino Linotype" w:hAnsi="Palatino Linotype" w:cs="Palatino Linotype"/>
          <w:i/>
          <w:sz w:val="22"/>
          <w:szCs w:val="22"/>
        </w:rPr>
        <w:t xml:space="preserve"> (sic) </w:t>
      </w:r>
    </w:p>
    <w:p w14:paraId="240F358C" w14:textId="77777777" w:rsidR="00694AA0" w:rsidRPr="00611291" w:rsidRDefault="005B22BA">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611291">
        <w:rPr>
          <w:rFonts w:ascii="Palatino Linotype" w:eastAsia="Palatino Linotype" w:hAnsi="Palatino Linotype" w:cs="Palatino Linotype"/>
          <w:b/>
          <w:sz w:val="22"/>
          <w:szCs w:val="22"/>
        </w:rPr>
        <w:t>Modalidad de Entrega:</w:t>
      </w:r>
      <w:r w:rsidRPr="00611291">
        <w:rPr>
          <w:rFonts w:ascii="Palatino Linotype" w:eastAsia="Palatino Linotype" w:hAnsi="Palatino Linotype" w:cs="Palatino Linotype"/>
          <w:sz w:val="22"/>
          <w:szCs w:val="22"/>
        </w:rPr>
        <w:t xml:space="preserve"> a través del</w:t>
      </w:r>
      <w:r w:rsidRPr="00611291">
        <w:rPr>
          <w:rFonts w:ascii="Palatino Linotype" w:eastAsia="Palatino Linotype" w:hAnsi="Palatino Linotype" w:cs="Palatino Linotype"/>
          <w:b/>
          <w:sz w:val="22"/>
          <w:szCs w:val="22"/>
        </w:rPr>
        <w:t xml:space="preserve"> SAIMEX.</w:t>
      </w:r>
    </w:p>
    <w:p w14:paraId="7686068F" w14:textId="4726DD0F" w:rsidR="00694AA0" w:rsidRPr="00611291" w:rsidRDefault="005B22B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b/>
          <w:sz w:val="22"/>
          <w:szCs w:val="22"/>
        </w:rPr>
        <w:t xml:space="preserve">2. Respuesta. </w:t>
      </w:r>
      <w:r w:rsidRPr="00611291">
        <w:rPr>
          <w:rFonts w:ascii="Palatino Linotype" w:eastAsia="Palatino Linotype" w:hAnsi="Palatino Linotype" w:cs="Palatino Linotype"/>
          <w:sz w:val="22"/>
          <w:szCs w:val="22"/>
        </w:rPr>
        <w:t xml:space="preserve">El </w:t>
      </w:r>
      <w:r w:rsidR="00251174" w:rsidRPr="00611291">
        <w:rPr>
          <w:rFonts w:ascii="Palatino Linotype" w:eastAsia="Palatino Linotype" w:hAnsi="Palatino Linotype" w:cs="Palatino Linotype"/>
          <w:b/>
          <w:sz w:val="22"/>
          <w:szCs w:val="22"/>
        </w:rPr>
        <w:t>trece de noviembre</w:t>
      </w:r>
      <w:r w:rsidR="00554822" w:rsidRPr="00611291">
        <w:rPr>
          <w:rFonts w:ascii="Palatino Linotype" w:eastAsia="Palatino Linotype" w:hAnsi="Palatino Linotype" w:cs="Palatino Linotype"/>
          <w:b/>
          <w:sz w:val="22"/>
          <w:szCs w:val="22"/>
        </w:rPr>
        <w:t xml:space="preserve"> </w:t>
      </w:r>
      <w:r w:rsidRPr="00611291">
        <w:rPr>
          <w:rFonts w:ascii="Palatino Linotype" w:eastAsia="Palatino Linotype" w:hAnsi="Palatino Linotype" w:cs="Palatino Linotype"/>
          <w:b/>
          <w:sz w:val="22"/>
          <w:szCs w:val="22"/>
        </w:rPr>
        <w:t>de dos mil veinticinco,</w:t>
      </w:r>
      <w:r w:rsidRPr="00611291">
        <w:rPr>
          <w:rFonts w:ascii="Palatino Linotype" w:eastAsia="Palatino Linotype" w:hAnsi="Palatino Linotype" w:cs="Palatino Linotype"/>
          <w:sz w:val="22"/>
          <w:szCs w:val="22"/>
        </w:rPr>
        <w:t xml:space="preserve"> el </w:t>
      </w:r>
      <w:r w:rsidRPr="00611291">
        <w:rPr>
          <w:rFonts w:ascii="Palatino Linotype" w:eastAsia="Palatino Linotype" w:hAnsi="Palatino Linotype" w:cs="Palatino Linotype"/>
          <w:b/>
          <w:sz w:val="22"/>
          <w:szCs w:val="22"/>
        </w:rPr>
        <w:t xml:space="preserve">Sujeto Obligado </w:t>
      </w:r>
      <w:r w:rsidRPr="00611291">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0EB69FD4" w14:textId="7163D6A6" w:rsidR="00694AA0" w:rsidRPr="00611291" w:rsidRDefault="005B22BA">
      <w:pPr>
        <w:spacing w:before="240" w:after="24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r w:rsidR="00251174" w:rsidRPr="00611291">
        <w:rPr>
          <w:rFonts w:ascii="Palatino Linotype" w:eastAsia="Palatino Linotype" w:hAnsi="Palatino Linotype" w:cs="Palatino Linotype"/>
          <w:i/>
          <w:sz w:val="22"/>
          <w:szCs w:val="22"/>
        </w:rPr>
        <w:t xml:space="preserve">Con fundamento en lo dispuesto por los artículos 3, fracción XLIV, 12, 24, último párrafo, 50, 51, 53, fracciones II, III, IV, V y VI, 150 y 163, párrafo primero de la Ley de Transparencia y Acceso a la Información Pública del Estado de </w:t>
      </w:r>
      <w:r w:rsidR="00251174" w:rsidRPr="00611291">
        <w:rPr>
          <w:rFonts w:ascii="Palatino Linotype" w:eastAsia="Palatino Linotype" w:hAnsi="Palatino Linotype" w:cs="Palatino Linotype"/>
          <w:i/>
          <w:sz w:val="22"/>
          <w:szCs w:val="22"/>
        </w:rPr>
        <w:lastRenderedPageBreak/>
        <w:t>México y Municipios (Ley Local de Transparencia); y en atención a la solicitud de información recibida el 06 de noviembre del 2025, a través del Sistema de Acceso a la Información Mexiquense (en adelante SAIMEX), con número de folio 00068/TRIEEM/IP/2025. Al respecto, hago de su conocimiento que por medio del SAIMEX, se remite la respuesta de la servidora pública habilitada de la Dirección de Administración del Tribunal Electoral del Estado de México, competente para tal propósito.</w:t>
      </w:r>
      <w:r w:rsidRPr="00611291">
        <w:rPr>
          <w:rFonts w:ascii="Palatino Linotype" w:eastAsia="Palatino Linotype" w:hAnsi="Palatino Linotype" w:cs="Palatino Linotype"/>
          <w:i/>
          <w:sz w:val="22"/>
          <w:szCs w:val="22"/>
        </w:rPr>
        <w:t>..” (sic)</w:t>
      </w:r>
    </w:p>
    <w:p w14:paraId="0F1E2F82" w14:textId="1D61FCD9" w:rsidR="00694AA0" w:rsidRPr="00611291" w:rsidRDefault="005B22BA" w:rsidP="00251174">
      <w:pPr>
        <w:spacing w:before="240" w:after="240" w:line="360" w:lineRule="auto"/>
        <w:ind w:right="49"/>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El </w:t>
      </w:r>
      <w:r w:rsidRPr="00611291">
        <w:rPr>
          <w:rFonts w:ascii="Palatino Linotype" w:eastAsia="Palatino Linotype" w:hAnsi="Palatino Linotype" w:cs="Palatino Linotype"/>
          <w:b/>
          <w:sz w:val="22"/>
          <w:szCs w:val="22"/>
        </w:rPr>
        <w:t xml:space="preserve">Sujeto Obligado </w:t>
      </w:r>
      <w:r w:rsidRPr="00611291">
        <w:rPr>
          <w:rFonts w:ascii="Palatino Linotype" w:eastAsia="Palatino Linotype" w:hAnsi="Palatino Linotype" w:cs="Palatino Linotype"/>
          <w:sz w:val="22"/>
          <w:szCs w:val="22"/>
        </w:rPr>
        <w:t xml:space="preserve">adjuntó </w:t>
      </w:r>
      <w:r w:rsidR="00251174" w:rsidRPr="00611291">
        <w:rPr>
          <w:rFonts w:ascii="Palatino Linotype" w:eastAsia="Palatino Linotype" w:hAnsi="Palatino Linotype" w:cs="Palatino Linotype"/>
          <w:sz w:val="22"/>
          <w:szCs w:val="22"/>
        </w:rPr>
        <w:t xml:space="preserve">los archivos denominados </w:t>
      </w:r>
      <w:r w:rsidR="00251174" w:rsidRPr="00611291">
        <w:rPr>
          <w:rFonts w:ascii="Palatino Linotype" w:eastAsia="Palatino Linotype" w:hAnsi="Palatino Linotype" w:cs="Palatino Linotype"/>
          <w:i/>
          <w:iCs/>
          <w:sz w:val="22"/>
          <w:szCs w:val="22"/>
        </w:rPr>
        <w:t xml:space="preserve">“Respuesta SAimex 00068.pdf”, “RESPUESTA SAIMEX 00068 FINAL.docx”, “TEEM-UIPPET-804-2025.pdf”, “TEEM-UIPPET-804-2025.docx”, </w:t>
      </w:r>
      <w:r w:rsidR="00251174" w:rsidRPr="00611291">
        <w:rPr>
          <w:rFonts w:ascii="Palatino Linotype" w:eastAsia="Palatino Linotype" w:hAnsi="Palatino Linotype" w:cs="Palatino Linotype"/>
          <w:sz w:val="22"/>
          <w:szCs w:val="22"/>
        </w:rPr>
        <w:t xml:space="preserve">y </w:t>
      </w:r>
      <w:r w:rsidR="00251174" w:rsidRPr="00611291">
        <w:rPr>
          <w:rFonts w:ascii="Palatino Linotype" w:eastAsia="Palatino Linotype" w:hAnsi="Palatino Linotype" w:cs="Palatino Linotype"/>
          <w:i/>
          <w:iCs/>
          <w:sz w:val="22"/>
          <w:szCs w:val="22"/>
        </w:rPr>
        <w:t xml:space="preserve">“TEEM-UIPPET-804-2025.pdf”, </w:t>
      </w:r>
      <w:r w:rsidR="00251174" w:rsidRPr="00611291">
        <w:rPr>
          <w:rFonts w:ascii="Palatino Linotype" w:eastAsia="Palatino Linotype" w:hAnsi="Palatino Linotype" w:cs="Palatino Linotype"/>
          <w:sz w:val="22"/>
          <w:szCs w:val="22"/>
        </w:rPr>
        <w:t>los cuales no se describen al ser del conocimiento de las partes</w:t>
      </w:r>
      <w:r w:rsidR="00B84A61" w:rsidRPr="00611291">
        <w:rPr>
          <w:rFonts w:ascii="Palatino Linotype" w:eastAsia="Palatino Linotype" w:hAnsi="Palatino Linotype" w:cs="Palatino Linotype"/>
          <w:sz w:val="22"/>
          <w:szCs w:val="22"/>
        </w:rPr>
        <w:t>.</w:t>
      </w:r>
    </w:p>
    <w:p w14:paraId="2166B49F" w14:textId="1F41781C" w:rsidR="00694AA0" w:rsidRPr="00611291" w:rsidRDefault="005B22BA">
      <w:pPr>
        <w:spacing w:before="240" w:after="240" w:line="360" w:lineRule="auto"/>
        <w:ind w:right="49"/>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b/>
          <w:sz w:val="22"/>
          <w:szCs w:val="22"/>
        </w:rPr>
        <w:t xml:space="preserve">3. Interposición del recurso de revisión. </w:t>
      </w:r>
      <w:r w:rsidRPr="00611291">
        <w:rPr>
          <w:rFonts w:ascii="Palatino Linotype" w:eastAsia="Palatino Linotype" w:hAnsi="Palatino Linotype" w:cs="Palatino Linotype"/>
          <w:sz w:val="22"/>
          <w:szCs w:val="22"/>
        </w:rPr>
        <w:t xml:space="preserve">Inconforme con los términos de la respuesta emitida por parte del </w:t>
      </w:r>
      <w:r w:rsidRPr="00611291">
        <w:rPr>
          <w:rFonts w:ascii="Palatino Linotype" w:eastAsia="Palatino Linotype" w:hAnsi="Palatino Linotype" w:cs="Palatino Linotype"/>
          <w:b/>
          <w:sz w:val="22"/>
          <w:szCs w:val="22"/>
        </w:rPr>
        <w:t>Sujeto Obligado</w:t>
      </w:r>
      <w:r w:rsidRPr="00611291">
        <w:rPr>
          <w:rFonts w:ascii="Palatino Linotype" w:eastAsia="Palatino Linotype" w:hAnsi="Palatino Linotype" w:cs="Palatino Linotype"/>
          <w:sz w:val="22"/>
          <w:szCs w:val="22"/>
        </w:rPr>
        <w:t xml:space="preserve">, el </w:t>
      </w:r>
      <w:r w:rsidR="003707C8" w:rsidRPr="00611291">
        <w:rPr>
          <w:rFonts w:ascii="Palatino Linotype" w:eastAsia="Palatino Linotype" w:hAnsi="Palatino Linotype" w:cs="Palatino Linotype"/>
          <w:b/>
          <w:sz w:val="22"/>
          <w:szCs w:val="22"/>
        </w:rPr>
        <w:t xml:space="preserve">diecisiete de noviembre </w:t>
      </w:r>
      <w:r w:rsidRPr="00611291">
        <w:rPr>
          <w:rFonts w:ascii="Palatino Linotype" w:eastAsia="Palatino Linotype" w:hAnsi="Palatino Linotype" w:cs="Palatino Linotype"/>
          <w:b/>
          <w:sz w:val="22"/>
          <w:szCs w:val="22"/>
        </w:rPr>
        <w:t>de dos mil veinticinco,</w:t>
      </w:r>
      <w:r w:rsidRPr="00611291">
        <w:rPr>
          <w:rFonts w:ascii="Palatino Linotype" w:eastAsia="Palatino Linotype" w:hAnsi="Palatino Linotype" w:cs="Palatino Linotype"/>
          <w:sz w:val="22"/>
          <w:szCs w:val="22"/>
        </w:rPr>
        <w:t xml:space="preserve"> la parte </w:t>
      </w:r>
      <w:r w:rsidRPr="00611291">
        <w:rPr>
          <w:rFonts w:ascii="Palatino Linotype" w:eastAsia="Palatino Linotype" w:hAnsi="Palatino Linotype" w:cs="Palatino Linotype"/>
          <w:b/>
          <w:sz w:val="22"/>
          <w:szCs w:val="22"/>
        </w:rPr>
        <w:t>Recurrente</w:t>
      </w:r>
      <w:r w:rsidRPr="00611291">
        <w:rPr>
          <w:rFonts w:ascii="Palatino Linotype" w:eastAsia="Palatino Linotype" w:hAnsi="Palatino Linotype" w:cs="Palatino Linotype"/>
          <w:sz w:val="22"/>
          <w:szCs w:val="22"/>
        </w:rPr>
        <w:t xml:space="preserve"> interpuso el recurso de revisión a través de </w:t>
      </w:r>
      <w:r w:rsidRPr="00611291">
        <w:rPr>
          <w:rFonts w:ascii="Palatino Linotype" w:eastAsia="Palatino Linotype" w:hAnsi="Palatino Linotype" w:cs="Palatino Linotype"/>
          <w:b/>
          <w:sz w:val="22"/>
          <w:szCs w:val="22"/>
        </w:rPr>
        <w:t xml:space="preserve">SAIMEX, </w:t>
      </w:r>
      <w:r w:rsidR="00B919FC" w:rsidRPr="00611291">
        <w:rPr>
          <w:rFonts w:ascii="Palatino Linotype" w:eastAsia="Palatino Linotype" w:hAnsi="Palatino Linotype" w:cs="Palatino Linotype"/>
          <w:bCs/>
          <w:sz w:val="22"/>
          <w:szCs w:val="22"/>
        </w:rPr>
        <w:t xml:space="preserve">sin embargo, al corresponder con un día inhábil, se tuvo por interpuesto el </w:t>
      </w:r>
      <w:r w:rsidR="003707C8" w:rsidRPr="00611291">
        <w:rPr>
          <w:rFonts w:ascii="Palatino Linotype" w:eastAsia="Palatino Linotype" w:hAnsi="Palatino Linotype" w:cs="Palatino Linotype"/>
          <w:b/>
          <w:sz w:val="22"/>
          <w:szCs w:val="22"/>
        </w:rPr>
        <w:t xml:space="preserve">dieciocho de noviembre </w:t>
      </w:r>
      <w:r w:rsidR="00B919FC" w:rsidRPr="00611291">
        <w:rPr>
          <w:rFonts w:ascii="Palatino Linotype" w:eastAsia="Palatino Linotype" w:hAnsi="Palatino Linotype" w:cs="Palatino Linotype"/>
          <w:b/>
          <w:sz w:val="22"/>
          <w:szCs w:val="22"/>
        </w:rPr>
        <w:t xml:space="preserve">de dos mil veinticinco, </w:t>
      </w:r>
      <w:r w:rsidRPr="00611291">
        <w:rPr>
          <w:rFonts w:ascii="Palatino Linotype" w:eastAsia="Palatino Linotype" w:hAnsi="Palatino Linotype" w:cs="Palatino Linotype"/>
          <w:sz w:val="22"/>
          <w:szCs w:val="22"/>
        </w:rPr>
        <w:t>en donde se manifestó de la siguiente manera:</w:t>
      </w:r>
    </w:p>
    <w:p w14:paraId="7C2BF786" w14:textId="77777777" w:rsidR="00694AA0" w:rsidRPr="00611291" w:rsidRDefault="005B22BA" w:rsidP="00AB427D">
      <w:pPr>
        <w:spacing w:before="240" w:after="240" w:line="360" w:lineRule="auto"/>
        <w:ind w:right="49"/>
        <w:jc w:val="both"/>
        <w:rPr>
          <w:rFonts w:ascii="Palatino Linotype" w:eastAsia="Palatino Linotype" w:hAnsi="Palatino Linotype" w:cs="Palatino Linotype"/>
          <w:b/>
          <w:sz w:val="22"/>
          <w:szCs w:val="22"/>
        </w:rPr>
      </w:pPr>
      <w:r w:rsidRPr="00611291">
        <w:rPr>
          <w:rFonts w:ascii="Palatino Linotype" w:eastAsia="Palatino Linotype" w:hAnsi="Palatino Linotype" w:cs="Palatino Linotype"/>
          <w:b/>
          <w:sz w:val="22"/>
          <w:szCs w:val="22"/>
        </w:rPr>
        <w:t xml:space="preserve">Acto impugnado: </w:t>
      </w:r>
    </w:p>
    <w:p w14:paraId="3DC3BF9F" w14:textId="70065745" w:rsidR="00694AA0" w:rsidRPr="00611291" w:rsidRDefault="005B22BA" w:rsidP="00AB427D">
      <w:pPr>
        <w:spacing w:before="240" w:after="240"/>
        <w:ind w:left="851" w:right="900"/>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r w:rsidR="003707C8" w:rsidRPr="00611291">
        <w:rPr>
          <w:rFonts w:ascii="Palatino Linotype" w:eastAsia="Palatino Linotype" w:hAnsi="Palatino Linotype" w:cs="Palatino Linotype"/>
          <w:i/>
          <w:sz w:val="22"/>
          <w:szCs w:val="22"/>
        </w:rPr>
        <w:t>No me dan la informaion</w:t>
      </w:r>
      <w:r w:rsidRPr="00611291">
        <w:rPr>
          <w:rFonts w:ascii="Palatino Linotype" w:eastAsia="Palatino Linotype" w:hAnsi="Palatino Linotype" w:cs="Palatino Linotype"/>
          <w:i/>
          <w:sz w:val="22"/>
          <w:szCs w:val="22"/>
        </w:rPr>
        <w:t>” (sic)</w:t>
      </w:r>
    </w:p>
    <w:p w14:paraId="199B1EFD" w14:textId="77777777" w:rsidR="00694AA0" w:rsidRPr="00611291" w:rsidRDefault="005B22BA" w:rsidP="00AB427D">
      <w:pPr>
        <w:spacing w:before="240" w:after="240" w:line="360" w:lineRule="auto"/>
        <w:jc w:val="both"/>
        <w:rPr>
          <w:rFonts w:ascii="Palatino Linotype" w:eastAsia="Palatino Linotype" w:hAnsi="Palatino Linotype" w:cs="Palatino Linotype"/>
          <w:sz w:val="22"/>
          <w:szCs w:val="22"/>
        </w:rPr>
      </w:pPr>
      <w:bookmarkStart w:id="4" w:name="_heading=h.30j0zll" w:colFirst="0" w:colLast="0"/>
      <w:bookmarkEnd w:id="4"/>
      <w:r w:rsidRPr="00611291">
        <w:rPr>
          <w:rFonts w:ascii="Palatino Linotype" w:eastAsia="Palatino Linotype" w:hAnsi="Palatino Linotype" w:cs="Palatino Linotype"/>
          <w:b/>
          <w:sz w:val="22"/>
          <w:szCs w:val="22"/>
        </w:rPr>
        <w:t>Y, Razones o motivos de inconformidad</w:t>
      </w:r>
      <w:r w:rsidRPr="00611291">
        <w:rPr>
          <w:rFonts w:ascii="Palatino Linotype" w:eastAsia="Palatino Linotype" w:hAnsi="Palatino Linotype" w:cs="Palatino Linotype"/>
          <w:sz w:val="22"/>
          <w:szCs w:val="22"/>
        </w:rPr>
        <w:t>:</w:t>
      </w:r>
    </w:p>
    <w:p w14:paraId="6F009CC9" w14:textId="5F5B7611" w:rsidR="00694AA0" w:rsidRPr="00611291" w:rsidRDefault="005B22BA">
      <w:pPr>
        <w:tabs>
          <w:tab w:val="left" w:pos="2745"/>
        </w:tabs>
        <w:spacing w:before="240" w:after="24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r w:rsidR="003707C8" w:rsidRPr="00611291">
        <w:rPr>
          <w:rFonts w:ascii="Palatino Linotype" w:eastAsia="Palatino Linotype" w:hAnsi="Palatino Linotype" w:cs="Palatino Linotype"/>
          <w:i/>
          <w:sz w:val="22"/>
          <w:szCs w:val="22"/>
        </w:rPr>
        <w:t>No me entregan la información y me manda a un enlace que no está ni vigente o es que no actualizan IPOMEX, ojo unidad de transparencia que están incumpliendo en otra situación</w:t>
      </w:r>
      <w:r w:rsidRPr="00611291">
        <w:rPr>
          <w:rFonts w:ascii="Palatino Linotype" w:eastAsia="Palatino Linotype" w:hAnsi="Palatino Linotype" w:cs="Palatino Linotype"/>
          <w:i/>
          <w:sz w:val="22"/>
          <w:szCs w:val="22"/>
        </w:rPr>
        <w:t>” (sic)</w:t>
      </w:r>
    </w:p>
    <w:p w14:paraId="058BB2CD" w14:textId="77777777" w:rsidR="00694AA0" w:rsidRPr="00611291" w:rsidRDefault="005B22BA">
      <w:pPr>
        <w:spacing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b/>
          <w:sz w:val="22"/>
          <w:szCs w:val="22"/>
        </w:rPr>
        <w:t xml:space="preserve">4. Turno. </w:t>
      </w:r>
      <w:r w:rsidRPr="0061129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Pr="00611291">
        <w:rPr>
          <w:rFonts w:ascii="Palatino Linotype" w:eastAsia="Palatino Linotype" w:hAnsi="Palatino Linotype" w:cs="Palatino Linotype"/>
          <w:sz w:val="22"/>
          <w:szCs w:val="22"/>
        </w:rPr>
        <w:lastRenderedPageBreak/>
        <w:t xml:space="preserve">a la Comisionada </w:t>
      </w:r>
      <w:r w:rsidRPr="00611291">
        <w:rPr>
          <w:rFonts w:ascii="Palatino Linotype" w:eastAsia="Palatino Linotype" w:hAnsi="Palatino Linotype" w:cs="Palatino Linotype"/>
          <w:b/>
          <w:sz w:val="22"/>
          <w:szCs w:val="22"/>
        </w:rPr>
        <w:t xml:space="preserve">Guadalupe Ramírez Peña, </w:t>
      </w:r>
      <w:r w:rsidRPr="00611291">
        <w:rPr>
          <w:rFonts w:ascii="Palatino Linotype" w:eastAsia="Palatino Linotype" w:hAnsi="Palatino Linotype" w:cs="Palatino Linotype"/>
          <w:sz w:val="22"/>
          <w:szCs w:val="22"/>
        </w:rPr>
        <w:t>a efecto de que analizara sobre su admisión o su desechamiento.</w:t>
      </w:r>
    </w:p>
    <w:p w14:paraId="5B57059D" w14:textId="497D91B0" w:rsidR="00694AA0" w:rsidRPr="00611291" w:rsidRDefault="005B22BA">
      <w:pPr>
        <w:spacing w:before="240" w:after="240" w:line="360" w:lineRule="auto"/>
        <w:jc w:val="both"/>
        <w:rPr>
          <w:rFonts w:ascii="Palatino Linotype" w:eastAsia="Palatino Linotype" w:hAnsi="Palatino Linotype" w:cs="Palatino Linotype"/>
          <w:b/>
          <w:sz w:val="22"/>
          <w:szCs w:val="22"/>
        </w:rPr>
      </w:pPr>
      <w:r w:rsidRPr="00611291">
        <w:rPr>
          <w:rFonts w:ascii="Palatino Linotype" w:eastAsia="Palatino Linotype" w:hAnsi="Palatino Linotype" w:cs="Palatino Linotype"/>
          <w:b/>
          <w:sz w:val="22"/>
          <w:szCs w:val="22"/>
        </w:rPr>
        <w:t>5. Admisión del Recurso de revisión.</w:t>
      </w:r>
      <w:r w:rsidRPr="00611291">
        <w:rPr>
          <w:rFonts w:ascii="Palatino Linotype" w:eastAsia="Palatino Linotype" w:hAnsi="Palatino Linotype" w:cs="Palatino Linotype"/>
          <w:sz w:val="22"/>
          <w:szCs w:val="22"/>
        </w:rPr>
        <w:t xml:space="preserve"> El</w:t>
      </w:r>
      <w:r w:rsidRPr="00611291">
        <w:rPr>
          <w:rFonts w:ascii="Palatino Linotype" w:eastAsia="Palatino Linotype" w:hAnsi="Palatino Linotype" w:cs="Palatino Linotype"/>
          <w:b/>
          <w:sz w:val="22"/>
          <w:szCs w:val="22"/>
        </w:rPr>
        <w:t xml:space="preserve"> </w:t>
      </w:r>
      <w:r w:rsidR="003707C8" w:rsidRPr="00611291">
        <w:rPr>
          <w:rFonts w:ascii="Palatino Linotype" w:eastAsia="Palatino Linotype" w:hAnsi="Palatino Linotype" w:cs="Palatino Linotype"/>
          <w:b/>
          <w:sz w:val="22"/>
          <w:szCs w:val="22"/>
        </w:rPr>
        <w:t>veintiuno de noviembre</w:t>
      </w:r>
      <w:r w:rsidRPr="00611291">
        <w:rPr>
          <w:rFonts w:ascii="Palatino Linotype" w:eastAsia="Palatino Linotype" w:hAnsi="Palatino Linotype" w:cs="Palatino Linotype"/>
          <w:b/>
          <w:sz w:val="22"/>
          <w:szCs w:val="22"/>
        </w:rPr>
        <w:t xml:space="preserve"> de dos mil veinticinco, </w:t>
      </w:r>
      <w:r w:rsidRPr="00611291">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11291">
        <w:rPr>
          <w:rFonts w:ascii="Palatino Linotype" w:eastAsia="Palatino Linotype" w:hAnsi="Palatino Linotype" w:cs="Palatino Linotype"/>
          <w:b/>
          <w:sz w:val="22"/>
          <w:szCs w:val="22"/>
        </w:rPr>
        <w:t xml:space="preserve">Sujeto Obligado </w:t>
      </w:r>
      <w:r w:rsidRPr="00611291">
        <w:rPr>
          <w:rFonts w:ascii="Palatino Linotype" w:eastAsia="Palatino Linotype" w:hAnsi="Palatino Linotype" w:cs="Palatino Linotype"/>
          <w:sz w:val="22"/>
          <w:szCs w:val="22"/>
        </w:rPr>
        <w:t>presentara su informe justificado.</w:t>
      </w:r>
    </w:p>
    <w:p w14:paraId="5E479170" w14:textId="77777777" w:rsidR="003707C8" w:rsidRPr="00611291" w:rsidRDefault="005B22BA" w:rsidP="003707C8">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611291">
        <w:rPr>
          <w:rFonts w:ascii="Palatino Linotype" w:eastAsia="Palatino Linotype" w:hAnsi="Palatino Linotype" w:cs="Palatino Linotype"/>
          <w:b/>
          <w:sz w:val="22"/>
          <w:szCs w:val="22"/>
        </w:rPr>
        <w:t>6. Manifestaciones</w:t>
      </w:r>
      <w:r w:rsidRPr="00611291">
        <w:rPr>
          <w:rFonts w:ascii="Palatino Linotype" w:eastAsia="Palatino Linotype" w:hAnsi="Palatino Linotype" w:cs="Palatino Linotype"/>
          <w:sz w:val="22"/>
          <w:szCs w:val="22"/>
        </w:rPr>
        <w:t xml:space="preserve">. </w:t>
      </w:r>
      <w:r w:rsidR="003707C8" w:rsidRPr="00611291">
        <w:rPr>
          <w:rFonts w:ascii="Palatino Linotype" w:eastAsia="Palatino Linotype" w:hAnsi="Palatino Linotype" w:cs="Palatino Linotype"/>
          <w:sz w:val="22"/>
          <w:szCs w:val="22"/>
        </w:rPr>
        <w:t xml:space="preserve">De las constancias que obran en el expediente electrónico del SAIMEX se desprende que el </w:t>
      </w:r>
      <w:r w:rsidR="003707C8" w:rsidRPr="00611291">
        <w:rPr>
          <w:rFonts w:ascii="Palatino Linotype" w:eastAsia="Palatino Linotype" w:hAnsi="Palatino Linotype" w:cs="Palatino Linotype"/>
          <w:b/>
          <w:sz w:val="22"/>
          <w:szCs w:val="22"/>
        </w:rPr>
        <w:t>Sujeto Obligado</w:t>
      </w:r>
      <w:r w:rsidR="003707C8" w:rsidRPr="00611291">
        <w:rPr>
          <w:rFonts w:ascii="Palatino Linotype" w:eastAsia="Palatino Linotype" w:hAnsi="Palatino Linotype" w:cs="Palatino Linotype"/>
          <w:sz w:val="22"/>
          <w:szCs w:val="22"/>
        </w:rPr>
        <w:t xml:space="preserve"> no rindió su Informe Justificado, del mismo modo la parte</w:t>
      </w:r>
      <w:r w:rsidR="003707C8" w:rsidRPr="00611291">
        <w:rPr>
          <w:rFonts w:ascii="Palatino Linotype" w:eastAsia="Palatino Linotype" w:hAnsi="Palatino Linotype" w:cs="Palatino Linotype"/>
          <w:b/>
          <w:sz w:val="22"/>
          <w:szCs w:val="22"/>
        </w:rPr>
        <w:t xml:space="preserve"> Recurrente</w:t>
      </w:r>
      <w:r w:rsidR="003707C8" w:rsidRPr="00611291">
        <w:rPr>
          <w:rFonts w:ascii="Palatino Linotype" w:eastAsia="Palatino Linotype" w:hAnsi="Palatino Linotype" w:cs="Palatino Linotype"/>
          <w:sz w:val="22"/>
          <w:szCs w:val="22"/>
        </w:rPr>
        <w:t xml:space="preserve"> omitió realizar manifestaciones, como se observa a continuación:</w:t>
      </w:r>
    </w:p>
    <w:p w14:paraId="42B7F830" w14:textId="0F2A212E" w:rsidR="003707C8" w:rsidRPr="00611291" w:rsidRDefault="003707C8" w:rsidP="003707C8">
      <w:pPr>
        <w:spacing w:before="240" w:after="240" w:line="360" w:lineRule="auto"/>
        <w:jc w:val="both"/>
        <w:rPr>
          <w:rFonts w:ascii="Palatino Linotype" w:eastAsia="Palatino Linotype" w:hAnsi="Palatino Linotype" w:cs="Palatino Linotype"/>
          <w:sz w:val="22"/>
          <w:szCs w:val="22"/>
        </w:rPr>
      </w:pPr>
      <w:r w:rsidRPr="00611291">
        <w:rPr>
          <w:rFonts w:ascii="Palatino Linotype" w:hAnsi="Palatino Linotype"/>
          <w:noProof/>
          <w:sz w:val="22"/>
          <w:szCs w:val="22"/>
        </w:rPr>
        <w:drawing>
          <wp:inline distT="0" distB="0" distL="0" distR="0" wp14:anchorId="3E881DF4" wp14:editId="5E12D420">
            <wp:extent cx="5612130" cy="1589405"/>
            <wp:effectExtent l="0" t="0" r="7620" b="0"/>
            <wp:docPr id="13603773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77325" name=""/>
                    <pic:cNvPicPr/>
                  </pic:nvPicPr>
                  <pic:blipFill>
                    <a:blip r:embed="rId8"/>
                    <a:stretch>
                      <a:fillRect/>
                    </a:stretch>
                  </pic:blipFill>
                  <pic:spPr>
                    <a:xfrm>
                      <a:off x="0" y="0"/>
                      <a:ext cx="5612130" cy="1589405"/>
                    </a:xfrm>
                    <a:prstGeom prst="rect">
                      <a:avLst/>
                    </a:prstGeom>
                  </pic:spPr>
                </pic:pic>
              </a:graphicData>
            </a:graphic>
          </wp:inline>
        </w:drawing>
      </w:r>
    </w:p>
    <w:p w14:paraId="342E7ED8" w14:textId="3FD086AF" w:rsidR="00AD444D" w:rsidRPr="00611291" w:rsidRDefault="00AD444D">
      <w:pPr>
        <w:widowControl w:val="0"/>
        <w:spacing w:before="240" w:line="360" w:lineRule="auto"/>
        <w:jc w:val="both"/>
        <w:rPr>
          <w:rFonts w:ascii="Palatino Linotype" w:eastAsia="Palatino Linotype" w:hAnsi="Palatino Linotype" w:cs="Palatino Linotype"/>
          <w:b/>
          <w:sz w:val="22"/>
          <w:szCs w:val="22"/>
        </w:rPr>
      </w:pPr>
      <w:r w:rsidRPr="00611291">
        <w:rPr>
          <w:rFonts w:ascii="Palatino Linotype" w:eastAsia="Palatino Linotype" w:hAnsi="Palatino Linotype" w:cs="Palatino Linotype"/>
          <w:b/>
          <w:sz w:val="22"/>
          <w:szCs w:val="22"/>
        </w:rPr>
        <w:t>7</w:t>
      </w:r>
      <w:r w:rsidR="00DB513A" w:rsidRPr="00611291">
        <w:rPr>
          <w:rFonts w:ascii="Palatino Linotype" w:eastAsia="Palatino Linotype" w:hAnsi="Palatino Linotype" w:cs="Palatino Linotype"/>
          <w:b/>
          <w:sz w:val="22"/>
          <w:szCs w:val="22"/>
        </w:rPr>
        <w:t>.</w:t>
      </w:r>
      <w:r w:rsidR="005B22BA" w:rsidRPr="00611291">
        <w:rPr>
          <w:rFonts w:ascii="Palatino Linotype" w:eastAsia="Palatino Linotype" w:hAnsi="Palatino Linotype" w:cs="Palatino Linotype"/>
          <w:b/>
          <w:sz w:val="22"/>
          <w:szCs w:val="22"/>
        </w:rPr>
        <w:t xml:space="preserve"> </w:t>
      </w:r>
      <w:r w:rsidRPr="00611291">
        <w:rPr>
          <w:rFonts w:ascii="Palatino Linotype" w:eastAsia="Palatino Linotype" w:hAnsi="Palatino Linotype" w:cs="Palatino Linotype"/>
          <w:b/>
          <w:sz w:val="22"/>
          <w:szCs w:val="22"/>
        </w:rPr>
        <w:t xml:space="preserve">Cierre de instrucción. </w:t>
      </w:r>
      <w:r w:rsidRPr="0061129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3707C8" w:rsidRPr="00611291">
        <w:rPr>
          <w:rFonts w:ascii="Palatino Linotype" w:eastAsia="Palatino Linotype" w:hAnsi="Palatino Linotype" w:cs="Palatino Linotype"/>
          <w:b/>
          <w:sz w:val="22"/>
          <w:szCs w:val="22"/>
        </w:rPr>
        <w:t xml:space="preserve">tres de diciembre </w:t>
      </w:r>
      <w:r w:rsidRPr="00611291">
        <w:rPr>
          <w:rFonts w:ascii="Palatino Linotype" w:eastAsia="Palatino Linotype" w:hAnsi="Palatino Linotype" w:cs="Palatino Linotype"/>
          <w:b/>
          <w:sz w:val="22"/>
          <w:szCs w:val="22"/>
        </w:rPr>
        <w:t>de dos mil veinticinco</w:t>
      </w:r>
      <w:r w:rsidRPr="0061129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632DFE2" w14:textId="77777777" w:rsidR="00694AA0" w:rsidRPr="00611291" w:rsidRDefault="005B22B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8C3A9B5" w14:textId="77777777" w:rsidR="00694AA0" w:rsidRPr="00611291" w:rsidRDefault="005B22BA">
      <w:pPr>
        <w:widowControl w:val="0"/>
        <w:spacing w:before="240" w:after="240" w:line="360" w:lineRule="auto"/>
        <w:jc w:val="center"/>
        <w:rPr>
          <w:rFonts w:ascii="Palatino Linotype" w:eastAsia="Palatino Linotype" w:hAnsi="Palatino Linotype" w:cs="Palatino Linotype"/>
          <w:b/>
          <w:sz w:val="22"/>
          <w:szCs w:val="22"/>
        </w:rPr>
      </w:pPr>
      <w:r w:rsidRPr="00611291">
        <w:rPr>
          <w:rFonts w:ascii="Palatino Linotype" w:eastAsia="Palatino Linotype" w:hAnsi="Palatino Linotype" w:cs="Palatino Linotype"/>
          <w:b/>
          <w:sz w:val="22"/>
          <w:szCs w:val="22"/>
        </w:rPr>
        <w:t>II. C O N S I D E R A N D O S</w:t>
      </w:r>
    </w:p>
    <w:p w14:paraId="65525EF7" w14:textId="60C8B49A" w:rsidR="00694AA0" w:rsidRPr="00611291" w:rsidRDefault="005B22B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b/>
          <w:sz w:val="22"/>
          <w:szCs w:val="22"/>
        </w:rPr>
        <w:t>Primero. Competencia.</w:t>
      </w:r>
      <w:r w:rsidRPr="0061129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w:t>
      </w:r>
      <w:r w:rsidR="008E0B27" w:rsidRPr="00611291">
        <w:rPr>
          <w:rFonts w:ascii="Palatino Linotype" w:eastAsia="Palatino Linotype" w:hAnsi="Palatino Linotype" w:cs="Palatino Linotype"/>
          <w:sz w:val="22"/>
          <w:szCs w:val="22"/>
        </w:rPr>
        <w:t>cuarto, cuadragésimo quinto y cuadragésimo sexto</w:t>
      </w:r>
      <w:r w:rsidRPr="00611291">
        <w:rPr>
          <w:rFonts w:ascii="Palatino Linotype" w:eastAsia="Palatino Linotype" w:hAnsi="Palatino Linotype" w:cs="Palatino Linotype"/>
          <w:sz w:val="22"/>
          <w:szCs w:val="22"/>
        </w:rPr>
        <w:t xml:space="preserve">, fracciones IV y V de la Constitución Política del Estado Libre y Soberano de México; </w:t>
      </w:r>
      <w:r w:rsidR="00BE3EF4" w:rsidRPr="00611291">
        <w:rPr>
          <w:rFonts w:ascii="Palatino Linotype" w:eastAsia="Palatino Linotype" w:hAnsi="Palatino Linotype" w:cs="Palatino Linotype"/>
          <w:sz w:val="22"/>
          <w:szCs w:val="22"/>
        </w:rPr>
        <w:t xml:space="preserve">transitorio Cuarto del Decreto número 198 de la “LXII” Legislatura del Estado de México; </w:t>
      </w:r>
      <w:r w:rsidRPr="00611291">
        <w:rPr>
          <w:rFonts w:ascii="Palatino Linotype" w:eastAsia="Palatino Linotype" w:hAnsi="Palatino Linotype" w:cs="Palatino Linotype"/>
          <w:sz w:val="22"/>
          <w:szCs w:val="22"/>
        </w:rPr>
        <w:t>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4121E3F" w14:textId="77777777" w:rsidR="00694AA0" w:rsidRPr="00611291" w:rsidRDefault="005B22BA">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611291">
        <w:rPr>
          <w:rFonts w:ascii="Palatino Linotype" w:eastAsia="Palatino Linotype" w:hAnsi="Palatino Linotype" w:cs="Palatino Linotype"/>
          <w:b/>
          <w:sz w:val="22"/>
          <w:szCs w:val="22"/>
        </w:rPr>
        <w:t>Segundo. Oportunidad y Procedibilidad del Recurso de Revisión</w:t>
      </w:r>
      <w:r w:rsidRPr="00611291">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61F1BAB" w14:textId="724A1CAB" w:rsidR="00694AA0" w:rsidRPr="00611291" w:rsidRDefault="005B22B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11291">
        <w:rPr>
          <w:rFonts w:ascii="Palatino Linotype" w:eastAsia="Palatino Linotype" w:hAnsi="Palatino Linotype" w:cs="Palatino Linotype"/>
          <w:b/>
          <w:sz w:val="22"/>
          <w:szCs w:val="22"/>
        </w:rPr>
        <w:t xml:space="preserve">Sujeto Obligado </w:t>
      </w:r>
      <w:r w:rsidRPr="00611291">
        <w:rPr>
          <w:rFonts w:ascii="Palatino Linotype" w:eastAsia="Palatino Linotype" w:hAnsi="Palatino Linotype" w:cs="Palatino Linotype"/>
          <w:sz w:val="22"/>
          <w:szCs w:val="22"/>
        </w:rPr>
        <w:t xml:space="preserve">remitió la respuesta a la solicitud de información el día </w:t>
      </w:r>
      <w:r w:rsidR="003707C8" w:rsidRPr="00611291">
        <w:rPr>
          <w:rFonts w:ascii="Palatino Linotype" w:eastAsia="Palatino Linotype" w:hAnsi="Palatino Linotype" w:cs="Palatino Linotype"/>
          <w:b/>
          <w:sz w:val="22"/>
          <w:szCs w:val="22"/>
        </w:rPr>
        <w:t>trece de noviembre</w:t>
      </w:r>
      <w:r w:rsidR="00C00558" w:rsidRPr="00611291">
        <w:rPr>
          <w:rFonts w:ascii="Palatino Linotype" w:eastAsia="Palatino Linotype" w:hAnsi="Palatino Linotype" w:cs="Palatino Linotype"/>
          <w:b/>
          <w:sz w:val="22"/>
          <w:szCs w:val="22"/>
        </w:rPr>
        <w:t xml:space="preserve"> de dos mil veinticinco</w:t>
      </w:r>
      <w:r w:rsidRPr="00611291">
        <w:rPr>
          <w:rFonts w:ascii="Palatino Linotype" w:eastAsia="Palatino Linotype" w:hAnsi="Palatino Linotype" w:cs="Palatino Linotype"/>
          <w:b/>
          <w:sz w:val="22"/>
          <w:szCs w:val="22"/>
        </w:rPr>
        <w:t xml:space="preserve">, </w:t>
      </w:r>
      <w:r w:rsidRPr="00611291">
        <w:rPr>
          <w:rFonts w:ascii="Palatino Linotype" w:eastAsia="Palatino Linotype" w:hAnsi="Palatino Linotype" w:cs="Palatino Linotype"/>
          <w:sz w:val="22"/>
          <w:szCs w:val="22"/>
        </w:rPr>
        <w:t xml:space="preserve">mientras que el recurso de revisión interpuesto por la parte </w:t>
      </w:r>
      <w:r w:rsidRPr="00611291">
        <w:rPr>
          <w:rFonts w:ascii="Palatino Linotype" w:eastAsia="Palatino Linotype" w:hAnsi="Palatino Linotype" w:cs="Palatino Linotype"/>
          <w:b/>
          <w:sz w:val="22"/>
          <w:szCs w:val="22"/>
        </w:rPr>
        <w:t xml:space="preserve">Recurrente, </w:t>
      </w:r>
      <w:r w:rsidRPr="00611291">
        <w:rPr>
          <w:rFonts w:ascii="Palatino Linotype" w:eastAsia="Palatino Linotype" w:hAnsi="Palatino Linotype" w:cs="Palatino Linotype"/>
          <w:sz w:val="22"/>
          <w:szCs w:val="22"/>
        </w:rPr>
        <w:t>se tuvo por presentado el día</w:t>
      </w:r>
      <w:r w:rsidRPr="00611291">
        <w:rPr>
          <w:rFonts w:ascii="Palatino Linotype" w:eastAsia="Palatino Linotype" w:hAnsi="Palatino Linotype" w:cs="Palatino Linotype"/>
          <w:b/>
          <w:sz w:val="22"/>
          <w:szCs w:val="22"/>
        </w:rPr>
        <w:t xml:space="preserve"> </w:t>
      </w:r>
      <w:r w:rsidR="003707C8" w:rsidRPr="00611291">
        <w:rPr>
          <w:rFonts w:ascii="Palatino Linotype" w:eastAsia="Palatino Linotype" w:hAnsi="Palatino Linotype" w:cs="Palatino Linotype"/>
          <w:b/>
          <w:sz w:val="22"/>
          <w:szCs w:val="22"/>
        </w:rPr>
        <w:t>dieciocho de noviembre</w:t>
      </w:r>
      <w:r w:rsidR="00C00558" w:rsidRPr="00611291">
        <w:rPr>
          <w:rFonts w:ascii="Palatino Linotype" w:eastAsia="Palatino Linotype" w:hAnsi="Palatino Linotype" w:cs="Palatino Linotype"/>
          <w:b/>
          <w:sz w:val="22"/>
          <w:szCs w:val="22"/>
        </w:rPr>
        <w:t xml:space="preserve"> de dos mil veinticinco</w:t>
      </w:r>
      <w:r w:rsidRPr="00611291">
        <w:rPr>
          <w:rFonts w:ascii="Palatino Linotype" w:eastAsia="Palatino Linotype" w:hAnsi="Palatino Linotype" w:cs="Palatino Linotype"/>
          <w:b/>
          <w:sz w:val="22"/>
          <w:szCs w:val="22"/>
        </w:rPr>
        <w:t xml:space="preserve">, </w:t>
      </w:r>
      <w:r w:rsidRPr="00611291">
        <w:rPr>
          <w:rFonts w:ascii="Palatino Linotype" w:eastAsia="Palatino Linotype" w:hAnsi="Palatino Linotype" w:cs="Palatino Linotype"/>
          <w:sz w:val="22"/>
          <w:szCs w:val="22"/>
        </w:rPr>
        <w:t xml:space="preserve">esto es, </w:t>
      </w:r>
      <w:r w:rsidR="009711CB" w:rsidRPr="00611291">
        <w:rPr>
          <w:rFonts w:ascii="Palatino Linotype" w:eastAsia="Palatino Linotype" w:hAnsi="Palatino Linotype" w:cs="Palatino Linotype"/>
          <w:sz w:val="22"/>
          <w:szCs w:val="22"/>
        </w:rPr>
        <w:t xml:space="preserve">al </w:t>
      </w:r>
      <w:r w:rsidR="00C00558" w:rsidRPr="00611291">
        <w:rPr>
          <w:rFonts w:ascii="Palatino Linotype" w:eastAsia="Palatino Linotype" w:hAnsi="Palatino Linotype" w:cs="Palatino Linotype"/>
          <w:sz w:val="22"/>
          <w:szCs w:val="22"/>
        </w:rPr>
        <w:t xml:space="preserve">segundo </w:t>
      </w:r>
      <w:r w:rsidR="009711CB" w:rsidRPr="00611291">
        <w:rPr>
          <w:rFonts w:ascii="Palatino Linotype" w:eastAsia="Palatino Linotype" w:hAnsi="Palatino Linotype" w:cs="Palatino Linotype"/>
          <w:sz w:val="22"/>
          <w:szCs w:val="22"/>
        </w:rPr>
        <w:t>día hábil</w:t>
      </w:r>
      <w:r w:rsidRPr="00611291">
        <w:rPr>
          <w:rFonts w:ascii="Palatino Linotype" w:eastAsia="Palatino Linotype" w:hAnsi="Palatino Linotype" w:cs="Palatino Linotype"/>
          <w:sz w:val="22"/>
          <w:szCs w:val="22"/>
        </w:rPr>
        <w:t xml:space="preserve"> posterior a aquel en el que tuvo conocimiento de la respuesta impugnada. En este sentido, se concluye que el presente recurso de revisión se encuentra dentro de los márgenes temporales previstos en las disposiciones legales referidas.</w:t>
      </w:r>
    </w:p>
    <w:p w14:paraId="1F56F7F6" w14:textId="77777777" w:rsidR="00C00558" w:rsidRPr="00611291" w:rsidRDefault="00C00558" w:rsidP="00C00558">
      <w:pPr>
        <w:tabs>
          <w:tab w:val="left" w:pos="7938"/>
        </w:tabs>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DB43ED9" w14:textId="16ADC60E" w:rsidR="006E155A" w:rsidRPr="00611291" w:rsidRDefault="005B22BA" w:rsidP="006E155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611291">
        <w:rPr>
          <w:rFonts w:ascii="Palatino Linotype" w:eastAsia="Palatino Linotype" w:hAnsi="Palatino Linotype" w:cs="Palatino Linotype"/>
          <w:b/>
          <w:sz w:val="22"/>
          <w:szCs w:val="22"/>
        </w:rPr>
        <w:t>Recurrente</w:t>
      </w:r>
      <w:r w:rsidRPr="00611291">
        <w:rPr>
          <w:rFonts w:ascii="Palatino Linotype" w:eastAsia="Palatino Linotype" w:hAnsi="Palatino Linotype" w:cs="Palatino Linotype"/>
          <w:sz w:val="22"/>
          <w:szCs w:val="22"/>
        </w:rPr>
        <w:t xml:space="preserve"> en sus motivos de inconformidad, de acuerdo al artículo 179, </w:t>
      </w:r>
      <w:r w:rsidR="00C00558" w:rsidRPr="00611291">
        <w:rPr>
          <w:rFonts w:ascii="Palatino Linotype" w:eastAsia="Palatino Linotype" w:hAnsi="Palatino Linotype" w:cs="Palatino Linotype"/>
          <w:sz w:val="22"/>
          <w:szCs w:val="22"/>
        </w:rPr>
        <w:t xml:space="preserve">fracción I </w:t>
      </w:r>
      <w:r w:rsidR="006E155A" w:rsidRPr="00611291">
        <w:rPr>
          <w:rFonts w:ascii="Palatino Linotype" w:eastAsia="Palatino Linotype" w:hAnsi="Palatino Linotype" w:cs="Palatino Linotype"/>
          <w:sz w:val="22"/>
          <w:szCs w:val="22"/>
        </w:rPr>
        <w:t>del ordenamiento legal citado, que a la letra dice: </w:t>
      </w:r>
    </w:p>
    <w:p w14:paraId="76DBCF77" w14:textId="77777777" w:rsidR="006E155A" w:rsidRPr="00611291" w:rsidRDefault="006E155A" w:rsidP="006E155A">
      <w:pPr>
        <w:tabs>
          <w:tab w:val="left" w:pos="7938"/>
        </w:tabs>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r w:rsidRPr="00611291">
        <w:rPr>
          <w:rFonts w:ascii="Palatino Linotype" w:eastAsia="Palatino Linotype" w:hAnsi="Palatino Linotype" w:cs="Palatino Linotype"/>
          <w:b/>
          <w:i/>
          <w:sz w:val="22"/>
          <w:szCs w:val="22"/>
        </w:rPr>
        <w:t>Artículo 179.</w:t>
      </w:r>
      <w:r w:rsidRPr="0061129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7894972" w14:textId="176A3AFB" w:rsidR="006E155A" w:rsidRPr="00611291" w:rsidRDefault="00C440C0" w:rsidP="006E155A">
      <w:pPr>
        <w:tabs>
          <w:tab w:val="left" w:pos="7938"/>
        </w:tabs>
        <w:spacing w:before="120" w:after="12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bCs/>
          <w:i/>
          <w:sz w:val="22"/>
          <w:szCs w:val="22"/>
        </w:rPr>
        <w:t>I.</w:t>
      </w:r>
      <w:r w:rsidRPr="00611291">
        <w:rPr>
          <w:rFonts w:ascii="Palatino Linotype" w:eastAsia="Palatino Linotype" w:hAnsi="Palatino Linotype" w:cs="Palatino Linotype"/>
          <w:i/>
          <w:sz w:val="22"/>
          <w:szCs w:val="22"/>
        </w:rPr>
        <w:t xml:space="preserve"> La negativa a la información solicitada;</w:t>
      </w:r>
      <w:r w:rsidR="006E155A" w:rsidRPr="00611291">
        <w:rPr>
          <w:rFonts w:ascii="Palatino Linotype" w:eastAsia="Palatino Linotype" w:hAnsi="Palatino Linotype" w:cs="Palatino Linotype"/>
          <w:i/>
          <w:sz w:val="22"/>
          <w:szCs w:val="22"/>
        </w:rPr>
        <w:t>”</w:t>
      </w:r>
    </w:p>
    <w:p w14:paraId="7B3D2575" w14:textId="77777777" w:rsidR="00694AA0" w:rsidRPr="00611291" w:rsidRDefault="005B22BA">
      <w:pPr>
        <w:spacing w:before="240" w:after="240" w:line="360" w:lineRule="auto"/>
        <w:jc w:val="both"/>
        <w:rPr>
          <w:rFonts w:ascii="Palatino Linotype" w:eastAsia="Palatino Linotype" w:hAnsi="Palatino Linotype" w:cs="Palatino Linotype"/>
          <w:b/>
          <w:sz w:val="22"/>
          <w:szCs w:val="22"/>
        </w:rPr>
      </w:pPr>
      <w:r w:rsidRPr="00611291">
        <w:rPr>
          <w:rFonts w:ascii="Palatino Linotype" w:eastAsia="Palatino Linotype" w:hAnsi="Palatino Linotype" w:cs="Palatino Linotype"/>
          <w:b/>
          <w:sz w:val="22"/>
          <w:szCs w:val="22"/>
        </w:rPr>
        <w:t xml:space="preserve">Tercero. Materia de la revisión. </w:t>
      </w:r>
      <w:r w:rsidRPr="0061129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611291">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611291">
        <w:rPr>
          <w:rFonts w:ascii="Palatino Linotype" w:eastAsia="Palatino Linotype" w:hAnsi="Palatino Linotype" w:cs="Palatino Linotype"/>
          <w:sz w:val="22"/>
          <w:szCs w:val="22"/>
        </w:rPr>
        <w:t xml:space="preserve">de la parte </w:t>
      </w:r>
      <w:r w:rsidRPr="00611291">
        <w:rPr>
          <w:rFonts w:ascii="Palatino Linotype" w:eastAsia="Palatino Linotype" w:hAnsi="Palatino Linotype" w:cs="Palatino Linotype"/>
          <w:b/>
          <w:sz w:val="22"/>
          <w:szCs w:val="22"/>
        </w:rPr>
        <w:t>Recurrente</w:t>
      </w:r>
      <w:r w:rsidRPr="00611291">
        <w:rPr>
          <w:rFonts w:ascii="Palatino Linotype" w:eastAsia="Palatino Linotype" w:hAnsi="Palatino Linotype" w:cs="Palatino Linotype"/>
          <w:sz w:val="22"/>
          <w:szCs w:val="22"/>
        </w:rPr>
        <w:t>, o en su defecto, en caso de ser procedente, ordenar la entrega de información.</w:t>
      </w:r>
    </w:p>
    <w:p w14:paraId="73D2F728" w14:textId="77777777" w:rsidR="00694AA0" w:rsidRPr="00611291" w:rsidRDefault="005B22BA">
      <w:pPr>
        <w:spacing w:before="240" w:after="240" w:line="360" w:lineRule="auto"/>
        <w:jc w:val="both"/>
        <w:rPr>
          <w:rFonts w:ascii="Palatino Linotype" w:eastAsia="Palatino Linotype" w:hAnsi="Palatino Linotype" w:cs="Palatino Linotype"/>
          <w:sz w:val="22"/>
          <w:szCs w:val="22"/>
        </w:rPr>
      </w:pPr>
      <w:bookmarkStart w:id="7" w:name="_heading=h.2et92p0" w:colFirst="0" w:colLast="0"/>
      <w:bookmarkEnd w:id="7"/>
      <w:r w:rsidRPr="00611291">
        <w:rPr>
          <w:rFonts w:ascii="Palatino Linotype" w:eastAsia="Palatino Linotype" w:hAnsi="Palatino Linotype" w:cs="Palatino Linotype"/>
          <w:b/>
          <w:sz w:val="22"/>
          <w:szCs w:val="22"/>
        </w:rPr>
        <w:t xml:space="preserve">Cuarto. Estudio del asunto. </w:t>
      </w:r>
      <w:r w:rsidRPr="00611291">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F60AAE5" w14:textId="77777777" w:rsidR="00694AA0" w:rsidRPr="00611291" w:rsidRDefault="005B22B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r w:rsidRPr="00611291">
        <w:rPr>
          <w:rFonts w:ascii="Palatino Linotype" w:eastAsia="Palatino Linotype" w:hAnsi="Palatino Linotype" w:cs="Palatino Linotype"/>
          <w:b/>
          <w:i/>
          <w:sz w:val="22"/>
          <w:szCs w:val="22"/>
        </w:rPr>
        <w:t>Artículo 4</w:t>
      </w:r>
      <w:r w:rsidRPr="0061129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A890CA7" w14:textId="77777777" w:rsidR="00694AA0" w:rsidRPr="00611291" w:rsidRDefault="005B22B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1129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6B72714" w14:textId="77777777" w:rsidR="00694AA0" w:rsidRPr="00611291" w:rsidRDefault="005B22B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11291">
        <w:rPr>
          <w:rFonts w:ascii="Palatino Linotype" w:eastAsia="Palatino Linotype" w:hAnsi="Palatino Linotype" w:cs="Palatino Linotype"/>
          <w:i/>
          <w:sz w:val="22"/>
          <w:szCs w:val="22"/>
        </w:rPr>
        <w:t>.”</w:t>
      </w:r>
    </w:p>
    <w:p w14:paraId="2B62FDE3" w14:textId="77777777" w:rsidR="00694AA0" w:rsidRPr="00611291" w:rsidRDefault="005B22B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FB2BC38" w14:textId="77777777" w:rsidR="00694AA0" w:rsidRPr="00611291" w:rsidRDefault="005B22B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“Artículo 12.-</w:t>
      </w:r>
      <w:r w:rsidRPr="0061129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6EB6026" w14:textId="77777777" w:rsidR="00694AA0" w:rsidRPr="00611291" w:rsidRDefault="005B22B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11291">
        <w:rPr>
          <w:rFonts w:ascii="Palatino Linotype" w:eastAsia="Palatino Linotype" w:hAnsi="Palatino Linotype" w:cs="Palatino Linotype"/>
          <w:i/>
          <w:sz w:val="22"/>
          <w:szCs w:val="22"/>
        </w:rPr>
        <w:t xml:space="preserve">. </w:t>
      </w:r>
      <w:r w:rsidRPr="00611291">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1ED4674D" w14:textId="77777777" w:rsidR="00694AA0" w:rsidRPr="00611291" w:rsidRDefault="005B22BA">
      <w:pPr>
        <w:spacing w:before="240" w:after="240" w:line="360" w:lineRule="auto"/>
        <w:ind w:right="-93"/>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58BB21D" w14:textId="77777777" w:rsidR="00694AA0" w:rsidRPr="00611291" w:rsidRDefault="005B22BA">
      <w:pPr>
        <w:spacing w:before="240" w:after="240" w:line="360" w:lineRule="auto"/>
        <w:jc w:val="both"/>
        <w:rPr>
          <w:rFonts w:ascii="Palatino Linotype" w:eastAsia="Palatino Linotype" w:hAnsi="Palatino Linotype" w:cs="Palatino Linotype"/>
          <w:b/>
          <w:sz w:val="22"/>
          <w:szCs w:val="22"/>
        </w:rPr>
      </w:pPr>
      <w:r w:rsidRPr="00611291">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611291">
        <w:rPr>
          <w:rFonts w:ascii="Palatino Linotype" w:eastAsia="Palatino Linotype" w:hAnsi="Palatino Linotype" w:cs="Palatino Linotype"/>
          <w:b/>
          <w:sz w:val="22"/>
          <w:szCs w:val="22"/>
        </w:rPr>
        <w:t xml:space="preserve"> </w:t>
      </w:r>
    </w:p>
    <w:p w14:paraId="6B3CE4C4" w14:textId="77777777" w:rsidR="00694AA0" w:rsidRPr="00611291" w:rsidRDefault="005B22BA">
      <w:pPr>
        <w:spacing w:before="120" w:after="120"/>
        <w:ind w:left="1134"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 xml:space="preserve"> “</w:t>
      </w:r>
      <w:r w:rsidRPr="00611291">
        <w:rPr>
          <w:rFonts w:ascii="Palatino Linotype" w:eastAsia="Palatino Linotype" w:hAnsi="Palatino Linotype" w:cs="Palatino Linotype"/>
          <w:b/>
          <w:i/>
          <w:sz w:val="22"/>
          <w:szCs w:val="22"/>
        </w:rPr>
        <w:t>No existe obligación de elaborar documentos ad hoc para atender las solicitudes de acceso a la información.</w:t>
      </w:r>
      <w:r w:rsidRPr="0061129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A211211" w14:textId="77777777" w:rsidR="00694AA0" w:rsidRPr="00611291" w:rsidRDefault="005B22BA">
      <w:pPr>
        <w:spacing w:before="120" w:after="12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1BEC828" w14:textId="77777777" w:rsidR="00694AA0" w:rsidRPr="00611291" w:rsidRDefault="005B22BA">
      <w:pPr>
        <w:spacing w:before="120" w:after="12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F115FEE" w14:textId="77777777" w:rsidR="00694AA0" w:rsidRPr="00611291" w:rsidRDefault="005B22BA" w:rsidP="00C00558">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r w:rsidRPr="00611291">
        <w:rPr>
          <w:rFonts w:ascii="Palatino Linotype" w:eastAsia="Palatino Linotype" w:hAnsi="Palatino Linotype" w:cs="Palatino Linotype"/>
          <w:b/>
          <w:i/>
          <w:sz w:val="22"/>
          <w:szCs w:val="22"/>
        </w:rPr>
        <w:t xml:space="preserve">Artículo 3. </w:t>
      </w:r>
      <w:r w:rsidRPr="00611291">
        <w:rPr>
          <w:rFonts w:ascii="Palatino Linotype" w:eastAsia="Palatino Linotype" w:hAnsi="Palatino Linotype" w:cs="Palatino Linotype"/>
          <w:i/>
          <w:sz w:val="22"/>
          <w:szCs w:val="22"/>
        </w:rPr>
        <w:t>Para los efectos de la presente Ley se entenderá por:</w:t>
      </w:r>
    </w:p>
    <w:p w14:paraId="2899E630" w14:textId="77777777" w:rsidR="00694AA0" w:rsidRPr="00611291" w:rsidRDefault="005B22BA" w:rsidP="00C00558">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p>
    <w:p w14:paraId="332076D0" w14:textId="77777777" w:rsidR="00694AA0" w:rsidRPr="00611291" w:rsidRDefault="005B22BA" w:rsidP="00C00558">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XI. Documento:</w:t>
      </w:r>
      <w:r w:rsidRPr="00611291">
        <w:rPr>
          <w:rFonts w:ascii="Palatino Linotype" w:eastAsia="Palatino Linotype" w:hAnsi="Palatino Linotype" w:cs="Palatino Linotype"/>
          <w:i/>
          <w:sz w:val="22"/>
          <w:szCs w:val="22"/>
        </w:rPr>
        <w:t xml:space="preserve"> Los expedientes, reportes, estudios, actas</w:t>
      </w:r>
      <w:r w:rsidRPr="00611291">
        <w:rPr>
          <w:rFonts w:ascii="Palatino Linotype" w:eastAsia="Palatino Linotype" w:hAnsi="Palatino Linotype" w:cs="Palatino Linotype"/>
          <w:b/>
          <w:i/>
          <w:sz w:val="22"/>
          <w:szCs w:val="22"/>
        </w:rPr>
        <w:t>,</w:t>
      </w:r>
      <w:r w:rsidRPr="0061129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F7AC5F3" w14:textId="77777777" w:rsidR="00694AA0" w:rsidRPr="00611291" w:rsidRDefault="005B22B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4090AEB" w14:textId="77777777" w:rsidR="00694AA0" w:rsidRPr="00611291" w:rsidRDefault="005B22BA" w:rsidP="00C00558">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sz w:val="22"/>
          <w:szCs w:val="22"/>
        </w:rPr>
        <w:t>“</w:t>
      </w:r>
      <w:r w:rsidRPr="0061129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1129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F494CB" w14:textId="77777777" w:rsidR="00694AA0" w:rsidRPr="00611291" w:rsidRDefault="005B22BA" w:rsidP="00C00558">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6FCE4CD" w14:textId="77777777" w:rsidR="00694AA0" w:rsidRPr="00611291" w:rsidRDefault="005B22BA" w:rsidP="00C00558">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EE230AA" w14:textId="77777777" w:rsidR="00694AA0" w:rsidRPr="00611291" w:rsidRDefault="005B22BA" w:rsidP="00C00558">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671B955" w14:textId="77777777" w:rsidR="00694AA0" w:rsidRPr="00611291" w:rsidRDefault="005B22BA" w:rsidP="00C00558">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43DFC7F9" w14:textId="77777777" w:rsidR="00694AA0" w:rsidRPr="00611291" w:rsidRDefault="005B22BA">
      <w:pPr>
        <w:spacing w:before="240" w:after="240" w:line="360" w:lineRule="auto"/>
        <w:ind w:right="51"/>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B0769FB" w14:textId="69DDF8DC" w:rsidR="00694AA0" w:rsidRPr="00611291" w:rsidRDefault="005B22B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En el mismo tenor, los artículos 6, apartado A, fracción I, de la Constitución Política de los Estados Unidos Mexicanos y 5, </w:t>
      </w:r>
      <w:r w:rsidR="00504FA2" w:rsidRPr="00611291">
        <w:rPr>
          <w:rFonts w:ascii="Palatino Linotype" w:eastAsia="Palatino Linotype" w:hAnsi="Palatino Linotype" w:cs="Palatino Linotype"/>
          <w:sz w:val="22"/>
          <w:szCs w:val="22"/>
        </w:rPr>
        <w:t xml:space="preserve">párrafo cuadragésimo sexto, </w:t>
      </w:r>
      <w:r w:rsidRPr="00611291">
        <w:rPr>
          <w:rFonts w:ascii="Palatino Linotype" w:eastAsia="Palatino Linotype" w:hAnsi="Palatino Linotype" w:cs="Palatino Linotype"/>
          <w:sz w:val="22"/>
          <w:szCs w:val="22"/>
        </w:rPr>
        <w:t>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43A8015" w14:textId="77777777" w:rsidR="00504FA2" w:rsidRPr="00611291" w:rsidRDefault="005B22BA" w:rsidP="00504FA2">
      <w:pPr>
        <w:spacing w:before="240" w:after="240" w:line="360" w:lineRule="auto"/>
        <w:ind w:right="51"/>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611291">
        <w:rPr>
          <w:rFonts w:ascii="Palatino Linotype" w:eastAsia="Palatino Linotype" w:hAnsi="Palatino Linotype" w:cs="Palatino Linotype"/>
          <w:b/>
          <w:sz w:val="22"/>
          <w:szCs w:val="22"/>
        </w:rPr>
        <w:t>Recurrente</w:t>
      </w:r>
      <w:r w:rsidRPr="00611291">
        <w:rPr>
          <w:rFonts w:ascii="Palatino Linotype" w:eastAsia="Palatino Linotype" w:hAnsi="Palatino Linotype" w:cs="Palatino Linotype"/>
          <w:sz w:val="22"/>
          <w:szCs w:val="22"/>
        </w:rPr>
        <w:t xml:space="preserve"> requirió al </w:t>
      </w:r>
      <w:r w:rsidRPr="00611291">
        <w:rPr>
          <w:rFonts w:ascii="Palatino Linotype" w:eastAsia="Palatino Linotype" w:hAnsi="Palatino Linotype" w:cs="Palatino Linotype"/>
          <w:b/>
          <w:sz w:val="22"/>
          <w:szCs w:val="22"/>
        </w:rPr>
        <w:t xml:space="preserve">Sujeto Obligado </w:t>
      </w:r>
      <w:r w:rsidRPr="00611291">
        <w:rPr>
          <w:rFonts w:ascii="Palatino Linotype" w:eastAsia="Palatino Linotype" w:hAnsi="Palatino Linotype" w:cs="Palatino Linotype"/>
          <w:sz w:val="22"/>
          <w:szCs w:val="22"/>
        </w:rPr>
        <w:t>le proporcione, información consistente en lo siguiente:</w:t>
      </w:r>
    </w:p>
    <w:p w14:paraId="5405F4C1" w14:textId="523F3C7A" w:rsidR="00C00558" w:rsidRPr="00611291" w:rsidRDefault="00504FA2" w:rsidP="00C00558">
      <w:pPr>
        <w:spacing w:before="240" w:after="240" w:line="360" w:lineRule="auto"/>
        <w:ind w:left="284" w:right="51"/>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1. </w:t>
      </w:r>
      <w:r w:rsidR="003707C8" w:rsidRPr="00611291">
        <w:rPr>
          <w:rFonts w:ascii="Palatino Linotype" w:eastAsia="Palatino Linotype" w:hAnsi="Palatino Linotype" w:cs="Palatino Linotype"/>
          <w:sz w:val="22"/>
          <w:szCs w:val="22"/>
        </w:rPr>
        <w:t>Los r</w:t>
      </w:r>
      <w:r w:rsidR="00C00558" w:rsidRPr="00611291">
        <w:rPr>
          <w:rFonts w:ascii="Palatino Linotype" w:eastAsia="Palatino Linotype" w:hAnsi="Palatino Linotype" w:cs="Palatino Linotype"/>
          <w:sz w:val="22"/>
          <w:szCs w:val="22"/>
        </w:rPr>
        <w:t xml:space="preserve">ecibos de nómina </w:t>
      </w:r>
      <w:r w:rsidR="003707C8" w:rsidRPr="00611291">
        <w:rPr>
          <w:rFonts w:ascii="Palatino Linotype" w:eastAsia="Palatino Linotype" w:hAnsi="Palatino Linotype" w:cs="Palatino Linotype"/>
          <w:sz w:val="22"/>
          <w:szCs w:val="22"/>
        </w:rPr>
        <w:t>de la primera quincena de octubre de dos</w:t>
      </w:r>
      <w:r w:rsidR="00ED661A" w:rsidRPr="00611291">
        <w:rPr>
          <w:rFonts w:ascii="Palatino Linotype" w:eastAsia="Palatino Linotype" w:hAnsi="Palatino Linotype" w:cs="Palatino Linotype"/>
          <w:sz w:val="22"/>
          <w:szCs w:val="22"/>
        </w:rPr>
        <w:t xml:space="preserve"> mil veinticinco.</w:t>
      </w:r>
    </w:p>
    <w:p w14:paraId="3C921D0B" w14:textId="6F1FA17F" w:rsidR="00DF478E" w:rsidRPr="00611291" w:rsidRDefault="00AB2156" w:rsidP="00DF478E">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E</w:t>
      </w:r>
      <w:r w:rsidR="000B0896" w:rsidRPr="00611291">
        <w:rPr>
          <w:rFonts w:ascii="Palatino Linotype" w:eastAsia="Palatino Linotype" w:hAnsi="Palatino Linotype" w:cs="Palatino Linotype"/>
          <w:sz w:val="22"/>
          <w:szCs w:val="22"/>
        </w:rPr>
        <w:t>s de</w:t>
      </w:r>
      <w:r w:rsidR="00DF478E" w:rsidRPr="00611291">
        <w:rPr>
          <w:rFonts w:ascii="Palatino Linotype" w:eastAsia="Palatino Linotype" w:hAnsi="Palatino Linotype" w:cs="Palatino Linotype"/>
          <w:sz w:val="22"/>
          <w:szCs w:val="22"/>
        </w:rPr>
        <w:t xml:space="preserv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4C7108D6" w14:textId="77777777" w:rsidR="00DF478E" w:rsidRPr="00611291" w:rsidRDefault="00DF478E" w:rsidP="00DF478E">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276CCB6A" w14:textId="77777777" w:rsidR="00DF478E" w:rsidRPr="00611291" w:rsidRDefault="00DF478E" w:rsidP="00DF478E">
      <w:pPr>
        <w:spacing w:before="240" w:after="240" w:line="360" w:lineRule="auto"/>
        <w:ind w:right="51"/>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la Ley de Transparencia y Acceso a la Información Pública del Estado de México y Municipios.</w:t>
      </w:r>
    </w:p>
    <w:p w14:paraId="13C47AE6" w14:textId="77777777" w:rsidR="00DF478E" w:rsidRPr="00611291" w:rsidRDefault="00DF478E" w:rsidP="00DF478E">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73AB97C7" w14:textId="77FC83B5" w:rsidR="00DF478E" w:rsidRPr="00611291" w:rsidRDefault="00DF478E" w:rsidP="00DF478E">
      <w:pPr>
        <w:spacing w:before="280" w:after="28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En el caso particular, es de recordar que la Unidad de Transparencia turnó la solicitud a la Dirección de Administración, como la dependencia competente para cotar con la información que es del interés de la persona solicitante.</w:t>
      </w:r>
    </w:p>
    <w:p w14:paraId="77A9D67C" w14:textId="47A15580" w:rsidR="000D45C9" w:rsidRPr="00611291" w:rsidRDefault="00AB2156" w:rsidP="00DF478E">
      <w:pPr>
        <w:spacing w:before="280" w:after="28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Cabe mencionar que l</w:t>
      </w:r>
      <w:r w:rsidR="00DF478E" w:rsidRPr="00611291">
        <w:rPr>
          <w:rFonts w:ascii="Palatino Linotype" w:eastAsia="Palatino Linotype" w:hAnsi="Palatino Linotype" w:cs="Palatino Linotype"/>
          <w:sz w:val="22"/>
          <w:szCs w:val="22"/>
        </w:rPr>
        <w:t xml:space="preserve">a Dirección de Administración, </w:t>
      </w:r>
      <w:r w:rsidR="002459DF" w:rsidRPr="00611291">
        <w:rPr>
          <w:rFonts w:ascii="Palatino Linotype" w:eastAsia="Palatino Linotype" w:hAnsi="Palatino Linotype" w:cs="Palatino Linotype"/>
          <w:sz w:val="22"/>
          <w:szCs w:val="22"/>
        </w:rPr>
        <w:t xml:space="preserve">la cual, de conformidad con el articulo 71 del Reglamento Interno del Tribunal Electoral del Estado de México es responsable de organizar, dirigir y controlar la administración de los recursos humanos, materiales y financieros, así como la prestación de los servicios generales, obras y servicios profesionales, </w:t>
      </w:r>
      <w:r w:rsidR="000D45C9" w:rsidRPr="00611291">
        <w:rPr>
          <w:rFonts w:ascii="Palatino Linotype" w:eastAsia="Palatino Linotype" w:hAnsi="Palatino Linotype" w:cs="Palatino Linotype"/>
          <w:sz w:val="22"/>
          <w:szCs w:val="22"/>
        </w:rPr>
        <w:t>para lo cual se auxilia, entre otras áreas de la Subdirección de Recursos Humanos y Nómina, cuyas atribuciones se encuentran establecidas en los artículos 76, 77 y 78 del referido ordenamiento, siendo de interés para el tema que nos ocupa, lo siguiente:</w:t>
      </w:r>
    </w:p>
    <w:p w14:paraId="0F77CA6B" w14:textId="77777777" w:rsidR="00ED5057" w:rsidRPr="00611291" w:rsidRDefault="000D45C9" w:rsidP="000D45C9">
      <w:pPr>
        <w:spacing w:before="240" w:after="240"/>
        <w:ind w:left="851" w:right="1043"/>
        <w:jc w:val="both"/>
        <w:rPr>
          <w:rFonts w:ascii="Palatino Linotype" w:eastAsia="Palatino Linotype" w:hAnsi="Palatino Linotype" w:cs="Palatino Linotype"/>
          <w:i/>
          <w:iCs/>
          <w:sz w:val="22"/>
          <w:szCs w:val="22"/>
        </w:rPr>
      </w:pPr>
      <w:r w:rsidRPr="00611291">
        <w:rPr>
          <w:rFonts w:ascii="Palatino Linotype" w:eastAsia="Palatino Linotype" w:hAnsi="Palatino Linotype" w:cs="Palatino Linotype"/>
          <w:i/>
          <w:iCs/>
          <w:sz w:val="22"/>
          <w:szCs w:val="22"/>
        </w:rPr>
        <w:t>“</w:t>
      </w:r>
      <w:r w:rsidRPr="00611291">
        <w:rPr>
          <w:rFonts w:ascii="Palatino Linotype" w:eastAsia="Palatino Linotype" w:hAnsi="Palatino Linotype" w:cs="Palatino Linotype"/>
          <w:b/>
          <w:bCs/>
          <w:i/>
          <w:iCs/>
          <w:sz w:val="22"/>
          <w:szCs w:val="22"/>
        </w:rPr>
        <w:t>Artículo 76</w:t>
      </w:r>
      <w:r w:rsidRPr="00611291">
        <w:rPr>
          <w:rFonts w:ascii="Palatino Linotype" w:eastAsia="Palatino Linotype" w:hAnsi="Palatino Linotype" w:cs="Palatino Linotype"/>
          <w:i/>
          <w:iCs/>
          <w:sz w:val="22"/>
          <w:szCs w:val="22"/>
        </w:rPr>
        <w:t xml:space="preserve">. La Subdirección de Recursos Humanos y Nómina será responsable del procedimiento de reclutamiento y selección de personal conforme al perfil del puesto previamente establecido para ocupar las plazas vacantes conforme al mandato del Pleno o de la Presidencia. </w:t>
      </w:r>
    </w:p>
    <w:p w14:paraId="7B6D9F5E" w14:textId="55DCB77B" w:rsidR="000D45C9" w:rsidRPr="00611291" w:rsidRDefault="000D45C9" w:rsidP="000D45C9">
      <w:pPr>
        <w:spacing w:before="240" w:after="240"/>
        <w:ind w:left="851" w:right="1043"/>
        <w:jc w:val="both"/>
        <w:rPr>
          <w:rFonts w:ascii="Palatino Linotype" w:eastAsia="Palatino Linotype" w:hAnsi="Palatino Linotype" w:cs="Palatino Linotype"/>
          <w:i/>
          <w:iCs/>
          <w:sz w:val="22"/>
          <w:szCs w:val="22"/>
        </w:rPr>
      </w:pPr>
      <w:r w:rsidRPr="00611291">
        <w:rPr>
          <w:rFonts w:ascii="Palatino Linotype" w:eastAsia="Palatino Linotype" w:hAnsi="Palatino Linotype" w:cs="Palatino Linotype"/>
          <w:i/>
          <w:iCs/>
          <w:sz w:val="22"/>
          <w:szCs w:val="22"/>
        </w:rPr>
        <w:t>Asimismo, será responsable de integrar y actualizar la nómina del personal que integre el Tribunal, debiendo realizar el cálculo y realizar el trámite para el pago de la misma, de conformidad con lo establecido en la Normatividad y Procedimientos para la Administración, Uso, Control y Registro de los Recursos Financieros, Materiales y Servicios Generales del Tribunal.</w:t>
      </w:r>
    </w:p>
    <w:p w14:paraId="3B3F0987" w14:textId="77777777" w:rsidR="00ED5057" w:rsidRPr="00611291" w:rsidRDefault="000D45C9" w:rsidP="000D45C9">
      <w:pPr>
        <w:spacing w:before="240" w:after="240"/>
        <w:ind w:left="851" w:right="1043"/>
        <w:jc w:val="both"/>
        <w:rPr>
          <w:rFonts w:ascii="Palatino Linotype" w:eastAsia="Palatino Linotype" w:hAnsi="Palatino Linotype" w:cs="Palatino Linotype"/>
          <w:i/>
          <w:iCs/>
          <w:sz w:val="22"/>
          <w:szCs w:val="22"/>
        </w:rPr>
      </w:pPr>
      <w:r w:rsidRPr="00611291">
        <w:rPr>
          <w:rFonts w:ascii="Palatino Linotype" w:eastAsia="Palatino Linotype" w:hAnsi="Palatino Linotype" w:cs="Palatino Linotype"/>
          <w:b/>
          <w:bCs/>
          <w:i/>
          <w:iCs/>
          <w:sz w:val="22"/>
          <w:szCs w:val="22"/>
        </w:rPr>
        <w:t>Artículo 77.</w:t>
      </w:r>
      <w:r w:rsidRPr="00611291">
        <w:rPr>
          <w:rFonts w:ascii="Palatino Linotype" w:eastAsia="Palatino Linotype" w:hAnsi="Palatino Linotype" w:cs="Palatino Linotype"/>
          <w:i/>
          <w:iCs/>
          <w:sz w:val="22"/>
          <w:szCs w:val="22"/>
        </w:rPr>
        <w:t xml:space="preserve"> En ningún caso se efectuarán pagos con fecha anterior al día en que la persona servidora pública asuma el cargo, ni se autorizará el pago de sueldos anticipados. </w:t>
      </w:r>
    </w:p>
    <w:p w14:paraId="6854C886" w14:textId="2DCA0C1A" w:rsidR="000D45C9" w:rsidRPr="00611291" w:rsidRDefault="000D45C9" w:rsidP="000D45C9">
      <w:pPr>
        <w:spacing w:before="240" w:after="240"/>
        <w:ind w:left="851" w:right="1043"/>
        <w:jc w:val="both"/>
        <w:rPr>
          <w:rFonts w:ascii="Palatino Linotype" w:eastAsia="Palatino Linotype" w:hAnsi="Palatino Linotype" w:cs="Palatino Linotype"/>
          <w:i/>
          <w:iCs/>
          <w:sz w:val="22"/>
          <w:szCs w:val="22"/>
        </w:rPr>
      </w:pPr>
      <w:r w:rsidRPr="00611291">
        <w:rPr>
          <w:rFonts w:ascii="Palatino Linotype" w:eastAsia="Palatino Linotype" w:hAnsi="Palatino Linotype" w:cs="Palatino Linotype"/>
          <w:b/>
          <w:bCs/>
          <w:i/>
          <w:iCs/>
          <w:sz w:val="22"/>
          <w:szCs w:val="22"/>
        </w:rPr>
        <w:t>Artículo 78</w:t>
      </w:r>
      <w:r w:rsidRPr="00611291">
        <w:rPr>
          <w:rFonts w:ascii="Palatino Linotype" w:eastAsia="Palatino Linotype" w:hAnsi="Palatino Linotype" w:cs="Palatino Linotype"/>
          <w:i/>
          <w:iCs/>
          <w:sz w:val="22"/>
          <w:szCs w:val="22"/>
        </w:rPr>
        <w:t>. La Subdirección de Recursos Humanos y Nómina tendrá las atribuciones siguientes:</w:t>
      </w:r>
    </w:p>
    <w:p w14:paraId="067F0D08" w14:textId="145F79A3" w:rsidR="00ED5057" w:rsidRPr="00611291" w:rsidRDefault="00ED5057" w:rsidP="000D45C9">
      <w:pPr>
        <w:spacing w:before="240" w:after="240"/>
        <w:ind w:left="851" w:right="1043"/>
        <w:jc w:val="both"/>
        <w:rPr>
          <w:rFonts w:ascii="Palatino Linotype" w:eastAsia="Palatino Linotype" w:hAnsi="Palatino Linotype" w:cs="Palatino Linotype"/>
          <w:i/>
          <w:iCs/>
          <w:sz w:val="22"/>
          <w:szCs w:val="22"/>
        </w:rPr>
      </w:pPr>
      <w:r w:rsidRPr="00611291">
        <w:rPr>
          <w:rFonts w:ascii="Palatino Linotype" w:eastAsia="Palatino Linotype" w:hAnsi="Palatino Linotype" w:cs="Palatino Linotype"/>
          <w:b/>
          <w:bCs/>
          <w:i/>
          <w:iCs/>
          <w:sz w:val="22"/>
          <w:szCs w:val="22"/>
        </w:rPr>
        <w:t>.</w:t>
      </w:r>
      <w:r w:rsidRPr="00611291">
        <w:rPr>
          <w:rFonts w:ascii="Palatino Linotype" w:eastAsia="Palatino Linotype" w:hAnsi="Palatino Linotype" w:cs="Palatino Linotype"/>
          <w:i/>
          <w:iCs/>
          <w:sz w:val="22"/>
          <w:szCs w:val="22"/>
        </w:rPr>
        <w:t>..</w:t>
      </w:r>
    </w:p>
    <w:p w14:paraId="22CCD61B" w14:textId="77777777" w:rsidR="00ED5057" w:rsidRPr="00611291" w:rsidRDefault="000D45C9" w:rsidP="000D45C9">
      <w:pPr>
        <w:spacing w:before="240" w:after="240"/>
        <w:ind w:left="851" w:right="1043"/>
        <w:jc w:val="both"/>
        <w:rPr>
          <w:rFonts w:ascii="Palatino Linotype" w:eastAsia="Palatino Linotype" w:hAnsi="Palatino Linotype" w:cs="Palatino Linotype"/>
          <w:i/>
          <w:iCs/>
          <w:sz w:val="22"/>
          <w:szCs w:val="22"/>
        </w:rPr>
      </w:pPr>
      <w:r w:rsidRPr="00611291">
        <w:rPr>
          <w:rFonts w:ascii="Palatino Linotype" w:eastAsia="Palatino Linotype" w:hAnsi="Palatino Linotype" w:cs="Palatino Linotype"/>
          <w:b/>
          <w:bCs/>
          <w:i/>
          <w:iCs/>
          <w:sz w:val="22"/>
          <w:szCs w:val="22"/>
        </w:rPr>
        <w:t>X</w:t>
      </w:r>
      <w:r w:rsidRPr="00611291">
        <w:rPr>
          <w:rFonts w:ascii="Palatino Linotype" w:eastAsia="Palatino Linotype" w:hAnsi="Palatino Linotype" w:cs="Palatino Linotype"/>
          <w:i/>
          <w:iCs/>
          <w:sz w:val="22"/>
          <w:szCs w:val="22"/>
        </w:rPr>
        <w:t xml:space="preserve">. Realizar el cálculo para la integración del salario, prestaciones de Ley y extraordinarias autorizadas por el Pleno del Tribunal. </w:t>
      </w:r>
    </w:p>
    <w:p w14:paraId="7BB3D63C" w14:textId="7C5D4FD7" w:rsidR="000D45C9" w:rsidRPr="00611291" w:rsidRDefault="000D45C9" w:rsidP="000D45C9">
      <w:pPr>
        <w:spacing w:before="240" w:after="240"/>
        <w:ind w:left="851" w:right="1043"/>
        <w:jc w:val="both"/>
        <w:rPr>
          <w:rFonts w:ascii="Palatino Linotype" w:eastAsia="Palatino Linotype" w:hAnsi="Palatino Linotype" w:cs="Palatino Linotype"/>
          <w:i/>
          <w:iCs/>
          <w:sz w:val="22"/>
          <w:szCs w:val="22"/>
        </w:rPr>
      </w:pPr>
      <w:r w:rsidRPr="00611291">
        <w:rPr>
          <w:rFonts w:ascii="Palatino Linotype" w:eastAsia="Palatino Linotype" w:hAnsi="Palatino Linotype" w:cs="Palatino Linotype"/>
          <w:b/>
          <w:bCs/>
          <w:i/>
          <w:iCs/>
          <w:sz w:val="22"/>
          <w:szCs w:val="22"/>
        </w:rPr>
        <w:t>XI.</w:t>
      </w:r>
      <w:r w:rsidRPr="00611291">
        <w:rPr>
          <w:rFonts w:ascii="Palatino Linotype" w:eastAsia="Palatino Linotype" w:hAnsi="Palatino Linotype" w:cs="Palatino Linotype"/>
          <w:i/>
          <w:iCs/>
          <w:sz w:val="22"/>
          <w:szCs w:val="22"/>
        </w:rPr>
        <w:t xml:space="preserve"> Realizar el cálculo de retenciones de Impuesto Sobre la Renta, Impuesto Sobre Erogaciones por Remuneraciones al Trabajo Personal, y Seguridad Social correspondientes al personal conforme al tabulador vigente autorizado por el Pleno del Tribunal.</w:t>
      </w:r>
    </w:p>
    <w:p w14:paraId="27291E62" w14:textId="753C5704" w:rsidR="000D45C9" w:rsidRPr="00611291" w:rsidRDefault="000D45C9" w:rsidP="000D45C9">
      <w:pPr>
        <w:spacing w:before="240" w:after="240"/>
        <w:ind w:left="851" w:right="1043"/>
        <w:jc w:val="both"/>
        <w:rPr>
          <w:rFonts w:ascii="Palatino Linotype" w:eastAsia="Palatino Linotype" w:hAnsi="Palatino Linotype" w:cs="Palatino Linotype"/>
          <w:i/>
          <w:iCs/>
          <w:sz w:val="22"/>
          <w:szCs w:val="22"/>
        </w:rPr>
      </w:pPr>
      <w:r w:rsidRPr="00611291">
        <w:rPr>
          <w:rFonts w:ascii="Palatino Linotype" w:eastAsia="Palatino Linotype" w:hAnsi="Palatino Linotype" w:cs="Palatino Linotype"/>
          <w:b/>
          <w:bCs/>
          <w:i/>
          <w:iCs/>
          <w:sz w:val="22"/>
          <w:szCs w:val="22"/>
        </w:rPr>
        <w:t>XII</w:t>
      </w:r>
      <w:r w:rsidRPr="00611291">
        <w:rPr>
          <w:rFonts w:ascii="Palatino Linotype" w:eastAsia="Palatino Linotype" w:hAnsi="Palatino Linotype" w:cs="Palatino Linotype"/>
          <w:i/>
          <w:iCs/>
          <w:sz w:val="22"/>
          <w:szCs w:val="22"/>
        </w:rPr>
        <w:t>. Actualizar y aplicar las modificaciones que sufran las tarifas de impuestos y aquellas relacionadas con la seguridad social.</w:t>
      </w:r>
    </w:p>
    <w:p w14:paraId="7165B105" w14:textId="77777777" w:rsidR="000D45C9" w:rsidRPr="00611291" w:rsidRDefault="000D45C9" w:rsidP="000D45C9">
      <w:pPr>
        <w:spacing w:before="240" w:after="240"/>
        <w:ind w:left="851" w:right="1043"/>
        <w:jc w:val="both"/>
        <w:rPr>
          <w:rFonts w:ascii="Palatino Linotype" w:eastAsia="Palatino Linotype" w:hAnsi="Palatino Linotype" w:cs="Palatino Linotype"/>
          <w:i/>
          <w:iCs/>
          <w:sz w:val="22"/>
          <w:szCs w:val="22"/>
        </w:rPr>
      </w:pPr>
      <w:r w:rsidRPr="00611291">
        <w:rPr>
          <w:rFonts w:ascii="Palatino Linotype" w:eastAsia="Palatino Linotype" w:hAnsi="Palatino Linotype" w:cs="Palatino Linotype"/>
          <w:b/>
          <w:bCs/>
          <w:i/>
          <w:iCs/>
          <w:sz w:val="22"/>
          <w:szCs w:val="22"/>
        </w:rPr>
        <w:t>XIII</w:t>
      </w:r>
      <w:r w:rsidRPr="00611291">
        <w:rPr>
          <w:rFonts w:ascii="Palatino Linotype" w:eastAsia="Palatino Linotype" w:hAnsi="Palatino Linotype" w:cs="Palatino Linotype"/>
          <w:i/>
          <w:iCs/>
          <w:sz w:val="22"/>
          <w:szCs w:val="22"/>
        </w:rPr>
        <w:t xml:space="preserve">. Vigilar el registro, aplicación y seguimiento de las prestaciones adicionales que lleguen a otorgarse al Tribunal. </w:t>
      </w:r>
    </w:p>
    <w:p w14:paraId="23597E6D" w14:textId="77777777" w:rsidR="000D45C9" w:rsidRPr="00611291" w:rsidRDefault="000D45C9" w:rsidP="000D45C9">
      <w:pPr>
        <w:spacing w:before="240" w:after="240"/>
        <w:ind w:left="851" w:right="1043"/>
        <w:jc w:val="both"/>
        <w:rPr>
          <w:rFonts w:ascii="Palatino Linotype" w:eastAsia="Palatino Linotype" w:hAnsi="Palatino Linotype" w:cs="Palatino Linotype"/>
          <w:i/>
          <w:iCs/>
          <w:sz w:val="22"/>
          <w:szCs w:val="22"/>
        </w:rPr>
      </w:pPr>
      <w:r w:rsidRPr="00611291">
        <w:rPr>
          <w:rFonts w:ascii="Palatino Linotype" w:eastAsia="Palatino Linotype" w:hAnsi="Palatino Linotype" w:cs="Palatino Linotype"/>
          <w:b/>
          <w:bCs/>
          <w:i/>
          <w:iCs/>
          <w:sz w:val="22"/>
          <w:szCs w:val="22"/>
        </w:rPr>
        <w:t>XIV</w:t>
      </w:r>
      <w:r w:rsidRPr="00611291">
        <w:rPr>
          <w:rFonts w:ascii="Palatino Linotype" w:eastAsia="Palatino Linotype" w:hAnsi="Palatino Linotype" w:cs="Palatino Linotype"/>
          <w:i/>
          <w:iCs/>
          <w:sz w:val="22"/>
          <w:szCs w:val="22"/>
        </w:rPr>
        <w:t xml:space="preserve">. Dar cumplimiento de mandatos judiciales en materia de pensión alimenticia. </w:t>
      </w:r>
    </w:p>
    <w:p w14:paraId="08655C33" w14:textId="4188DBBB" w:rsidR="000D45C9" w:rsidRPr="00611291" w:rsidRDefault="000D45C9" w:rsidP="000D45C9">
      <w:pPr>
        <w:spacing w:before="240" w:after="240"/>
        <w:ind w:left="851" w:right="1043"/>
        <w:jc w:val="both"/>
        <w:rPr>
          <w:rFonts w:ascii="Palatino Linotype" w:eastAsia="Palatino Linotype" w:hAnsi="Palatino Linotype" w:cs="Palatino Linotype"/>
          <w:i/>
          <w:iCs/>
          <w:sz w:val="22"/>
          <w:szCs w:val="22"/>
        </w:rPr>
      </w:pPr>
      <w:r w:rsidRPr="00611291">
        <w:rPr>
          <w:rFonts w:ascii="Palatino Linotype" w:eastAsia="Palatino Linotype" w:hAnsi="Palatino Linotype" w:cs="Palatino Linotype"/>
          <w:b/>
          <w:bCs/>
          <w:i/>
          <w:iCs/>
          <w:sz w:val="22"/>
          <w:szCs w:val="22"/>
        </w:rPr>
        <w:t>XV</w:t>
      </w:r>
      <w:r w:rsidRPr="00611291">
        <w:rPr>
          <w:rFonts w:ascii="Palatino Linotype" w:eastAsia="Palatino Linotype" w:hAnsi="Palatino Linotype" w:cs="Palatino Linotype"/>
          <w:i/>
          <w:iCs/>
          <w:sz w:val="22"/>
          <w:szCs w:val="22"/>
        </w:rPr>
        <w:t>. Elaborar el anteproyecto del presupuesto del capítulo de gasto 1000, relativo a las remuneraciones al personal del Tribunal.”</w:t>
      </w:r>
    </w:p>
    <w:p w14:paraId="69B55C51" w14:textId="460D9859" w:rsidR="00B04701" w:rsidRPr="00611291" w:rsidRDefault="00DF478E" w:rsidP="00DF478E">
      <w:pPr>
        <w:spacing w:before="240" w:after="240" w:line="360" w:lineRule="auto"/>
        <w:ind w:right="49"/>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Como logra vislumbrarse, es la </w:t>
      </w:r>
      <w:r w:rsidR="008122FB" w:rsidRPr="00611291">
        <w:rPr>
          <w:rFonts w:ascii="Palatino Linotype" w:eastAsia="Palatino Linotype" w:hAnsi="Palatino Linotype" w:cs="Palatino Linotype"/>
          <w:sz w:val="22"/>
          <w:szCs w:val="22"/>
        </w:rPr>
        <w:t xml:space="preserve">Subdirección de Recursos Humanos y Nómina adscrita a la Dirección de Administración es </w:t>
      </w:r>
      <w:r w:rsidRPr="00611291">
        <w:rPr>
          <w:rFonts w:ascii="Palatino Linotype" w:eastAsia="Palatino Linotype" w:hAnsi="Palatino Linotype" w:cs="Palatino Linotype"/>
          <w:sz w:val="22"/>
          <w:szCs w:val="22"/>
        </w:rPr>
        <w:t>la instancia competente para dar atención a la solicitud, al ser esta la facultada para</w:t>
      </w:r>
      <w:r w:rsidR="00B04701" w:rsidRPr="00611291">
        <w:rPr>
          <w:rFonts w:ascii="Palatino Linotype" w:eastAsia="Palatino Linotype" w:hAnsi="Palatino Linotype" w:cs="Palatino Linotype"/>
          <w:sz w:val="22"/>
          <w:szCs w:val="22"/>
        </w:rPr>
        <w:t xml:space="preserve"> registrar, controlar y dar seguimiento a los movimientos de personal como las altas; integrar el expediente de persona</w:t>
      </w:r>
      <w:r w:rsidR="00156057" w:rsidRPr="00611291">
        <w:rPr>
          <w:rFonts w:ascii="Palatino Linotype" w:eastAsia="Palatino Linotype" w:hAnsi="Palatino Linotype" w:cs="Palatino Linotype"/>
          <w:sz w:val="22"/>
          <w:szCs w:val="22"/>
        </w:rPr>
        <w:t>l; así como de</w:t>
      </w:r>
      <w:r w:rsidR="00B04701" w:rsidRPr="00611291">
        <w:rPr>
          <w:rFonts w:ascii="Palatino Linotype" w:eastAsia="Palatino Linotype" w:hAnsi="Palatino Linotype" w:cs="Palatino Linotype"/>
          <w:sz w:val="22"/>
          <w:szCs w:val="22"/>
        </w:rPr>
        <w:t xml:space="preserve"> </w:t>
      </w:r>
      <w:r w:rsidR="00156057" w:rsidRPr="00611291">
        <w:rPr>
          <w:rFonts w:ascii="Palatino Linotype" w:eastAsia="Palatino Linotype" w:hAnsi="Palatino Linotype" w:cs="Palatino Linotype"/>
          <w:sz w:val="22"/>
          <w:szCs w:val="22"/>
        </w:rPr>
        <w:t>elaborar y distribuir de manera oportuna de la nómina para el pago al personal</w:t>
      </w:r>
      <w:r w:rsidR="008122FB" w:rsidRPr="00611291">
        <w:rPr>
          <w:rFonts w:ascii="Palatino Linotype" w:eastAsia="Palatino Linotype" w:hAnsi="Palatino Linotype" w:cs="Palatino Linotype"/>
          <w:sz w:val="22"/>
          <w:szCs w:val="22"/>
        </w:rPr>
        <w:t>.</w:t>
      </w:r>
    </w:p>
    <w:p w14:paraId="136FFAC4" w14:textId="53A3AB99" w:rsidR="008122FB" w:rsidRPr="00611291" w:rsidRDefault="000E290B">
      <w:pPr>
        <w:spacing w:before="240" w:after="240" w:line="360" w:lineRule="auto"/>
        <w:ind w:right="49"/>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Ahora bien, e</w:t>
      </w:r>
      <w:r w:rsidR="005B22BA" w:rsidRPr="00611291">
        <w:rPr>
          <w:rFonts w:ascii="Palatino Linotype" w:eastAsia="Palatino Linotype" w:hAnsi="Palatino Linotype" w:cs="Palatino Linotype"/>
          <w:sz w:val="22"/>
          <w:szCs w:val="22"/>
        </w:rPr>
        <w:t>n respuesta, el</w:t>
      </w:r>
      <w:r w:rsidR="00947504" w:rsidRPr="00611291">
        <w:rPr>
          <w:rFonts w:ascii="Palatino Linotype" w:eastAsia="Palatino Linotype" w:hAnsi="Palatino Linotype" w:cs="Palatino Linotype"/>
          <w:sz w:val="22"/>
          <w:szCs w:val="22"/>
        </w:rPr>
        <w:t xml:space="preserve"> servidor público habilitado </w:t>
      </w:r>
      <w:r w:rsidR="0034602C" w:rsidRPr="00611291">
        <w:rPr>
          <w:rFonts w:ascii="Palatino Linotype" w:eastAsia="Palatino Linotype" w:hAnsi="Palatino Linotype" w:cs="Palatino Linotype"/>
          <w:sz w:val="22"/>
          <w:szCs w:val="22"/>
        </w:rPr>
        <w:t xml:space="preserve">manifestó que la información </w:t>
      </w:r>
      <w:r w:rsidR="008122FB" w:rsidRPr="00611291">
        <w:rPr>
          <w:rFonts w:ascii="Palatino Linotype" w:eastAsia="Palatino Linotype" w:hAnsi="Palatino Linotype" w:cs="Palatino Linotype"/>
          <w:sz w:val="22"/>
          <w:szCs w:val="22"/>
        </w:rPr>
        <w:t>requerida sobre las percepciones de las personas servidoras públicas, se encuentra publicada como una de las obligaciones que tiene el Sujeto Obligado en materia de transparencia, por lo que se encuentra disponible en la fracción VIII A "Remuneraciones" de la Plataforma de IPOMEХ, con información actualizada, y para efectos de la consulta, se proporcionaron las siguientes direcciones electrónicas en formato abierto y cerrado:</w:t>
      </w:r>
    </w:p>
    <w:p w14:paraId="5BD115A1" w14:textId="72B421AE" w:rsidR="008122FB" w:rsidRPr="00611291" w:rsidRDefault="004E7F14" w:rsidP="008122FB">
      <w:pPr>
        <w:spacing w:before="240" w:after="240" w:line="360" w:lineRule="auto"/>
        <w:ind w:right="49"/>
        <w:jc w:val="center"/>
        <w:rPr>
          <w:rFonts w:ascii="Palatino Linotype" w:hAnsi="Palatino Linotype"/>
          <w:sz w:val="22"/>
          <w:szCs w:val="22"/>
        </w:rPr>
      </w:pPr>
      <w:hyperlink r:id="rId9" w:anchor="/info-fraccion/11/88/28" w:history="1">
        <w:r w:rsidR="008122FB" w:rsidRPr="00611291">
          <w:rPr>
            <w:rStyle w:val="Hipervnculo"/>
            <w:rFonts w:ascii="Palatino Linotype" w:hAnsi="Palatino Linotype" w:cs="Arial"/>
            <w:color w:val="auto"/>
            <w:sz w:val="22"/>
            <w:szCs w:val="22"/>
          </w:rPr>
          <w:t>https://ipomex.org.mx/ipomex/#/info-fraccion/11/88/28</w:t>
        </w:r>
      </w:hyperlink>
    </w:p>
    <w:p w14:paraId="458E0F9B" w14:textId="77777777" w:rsidR="008122FB" w:rsidRPr="00611291" w:rsidRDefault="004E7F14" w:rsidP="008122FB">
      <w:pPr>
        <w:spacing w:before="240" w:after="240" w:line="360" w:lineRule="auto"/>
        <w:ind w:right="49"/>
        <w:jc w:val="center"/>
        <w:rPr>
          <w:rFonts w:ascii="Palatino Linotype" w:hAnsi="Palatino Linotype"/>
          <w:sz w:val="22"/>
          <w:szCs w:val="22"/>
        </w:rPr>
      </w:pPr>
      <w:hyperlink r:id="rId10" w:history="1">
        <w:r w:rsidR="008122FB" w:rsidRPr="00611291">
          <w:rPr>
            <w:rStyle w:val="Hipervnculo"/>
            <w:rFonts w:ascii="Palatino Linotype" w:eastAsia="Batang" w:hAnsi="Palatino Linotype" w:cs="Tahoma"/>
            <w:color w:val="auto"/>
            <w:sz w:val="22"/>
            <w:szCs w:val="22"/>
          </w:rPr>
          <w:t>https://www.ipomex.org.mx/ipo3/lgt/indice/teemmx.web</w:t>
        </w:r>
      </w:hyperlink>
    </w:p>
    <w:p w14:paraId="02153519" w14:textId="4B7AB5AC" w:rsidR="008122FB" w:rsidRPr="00611291" w:rsidRDefault="004E7F14" w:rsidP="008122FB">
      <w:pPr>
        <w:spacing w:before="240" w:after="240" w:line="360" w:lineRule="auto"/>
        <w:ind w:right="49"/>
        <w:jc w:val="center"/>
        <w:rPr>
          <w:rFonts w:ascii="Palatino Linotype" w:eastAsia="Palatino Linotype" w:hAnsi="Palatino Linotype" w:cs="Palatino Linotype"/>
          <w:sz w:val="22"/>
          <w:szCs w:val="22"/>
        </w:rPr>
      </w:pPr>
      <w:hyperlink r:id="rId11" w:anchor="/obligaciones/88" w:history="1">
        <w:r w:rsidR="008122FB" w:rsidRPr="00611291">
          <w:rPr>
            <w:rStyle w:val="Hipervnculo"/>
            <w:rFonts w:ascii="Palatino Linotype" w:eastAsia="Batang" w:hAnsi="Palatino Linotype" w:cs="Tahoma"/>
            <w:color w:val="auto"/>
            <w:sz w:val="22"/>
            <w:szCs w:val="22"/>
          </w:rPr>
          <w:t>https://infoem2.ipomex.org.mx/ipomex/#/obligaciones/88</w:t>
        </w:r>
      </w:hyperlink>
    </w:p>
    <w:p w14:paraId="32F3AAFC" w14:textId="70371D34" w:rsidR="000309D9" w:rsidRPr="00611291" w:rsidRDefault="0082626C">
      <w:pPr>
        <w:spacing w:before="240" w:after="240" w:line="360" w:lineRule="auto"/>
        <w:ind w:right="49"/>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A</w:t>
      </w:r>
      <w:r w:rsidR="005B22BA" w:rsidRPr="00611291">
        <w:rPr>
          <w:rFonts w:ascii="Palatino Linotype" w:eastAsia="Palatino Linotype" w:hAnsi="Palatino Linotype" w:cs="Palatino Linotype"/>
          <w:sz w:val="22"/>
          <w:szCs w:val="22"/>
        </w:rPr>
        <w:t xml:space="preserve">l no estar conforme con los términos de la respuesta proporcionada, la parte </w:t>
      </w:r>
      <w:r w:rsidR="005B22BA" w:rsidRPr="00611291">
        <w:rPr>
          <w:rFonts w:ascii="Palatino Linotype" w:eastAsia="Palatino Linotype" w:hAnsi="Palatino Linotype" w:cs="Palatino Linotype"/>
          <w:b/>
          <w:sz w:val="22"/>
          <w:szCs w:val="22"/>
        </w:rPr>
        <w:t xml:space="preserve">Recurrente </w:t>
      </w:r>
      <w:r w:rsidR="005B22BA" w:rsidRPr="00611291">
        <w:rPr>
          <w:rFonts w:ascii="Palatino Linotype" w:eastAsia="Palatino Linotype" w:hAnsi="Palatino Linotype" w:cs="Palatino Linotype"/>
          <w:sz w:val="22"/>
          <w:szCs w:val="22"/>
        </w:rPr>
        <w:t>presentó el recurso de revisión que nos ocupa, donde señaló como motivo de inconformidad</w:t>
      </w:r>
      <w:r w:rsidR="000B0B75" w:rsidRPr="00611291">
        <w:rPr>
          <w:rFonts w:ascii="Palatino Linotype" w:eastAsia="Palatino Linotype" w:hAnsi="Palatino Linotype" w:cs="Palatino Linotype"/>
          <w:sz w:val="22"/>
          <w:szCs w:val="22"/>
        </w:rPr>
        <w:t xml:space="preserve">, </w:t>
      </w:r>
      <w:r w:rsidR="000309D9" w:rsidRPr="00611291">
        <w:rPr>
          <w:rFonts w:ascii="Palatino Linotype" w:eastAsia="Palatino Linotype" w:hAnsi="Palatino Linotype" w:cs="Palatino Linotype"/>
          <w:sz w:val="22"/>
          <w:szCs w:val="22"/>
        </w:rPr>
        <w:t>que</w:t>
      </w:r>
      <w:r w:rsidR="008C7D36" w:rsidRPr="00611291">
        <w:rPr>
          <w:rFonts w:ascii="Palatino Linotype" w:eastAsia="Palatino Linotype" w:hAnsi="Palatino Linotype" w:cs="Palatino Linotype"/>
          <w:sz w:val="22"/>
          <w:szCs w:val="22"/>
        </w:rPr>
        <w:t xml:space="preserve"> no se hizo entrega de la información, asimismo, que se le remitió a un enlace que no está vigente.</w:t>
      </w:r>
    </w:p>
    <w:p w14:paraId="14374CD3" w14:textId="2A64979D" w:rsidR="00B84A61" w:rsidRPr="00611291" w:rsidRDefault="00B84A61" w:rsidP="00B84A6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Durante el periodo de manifestaciones el </w:t>
      </w:r>
      <w:r w:rsidRPr="00611291">
        <w:rPr>
          <w:rFonts w:ascii="Palatino Linotype" w:eastAsia="Palatino Linotype" w:hAnsi="Palatino Linotype" w:cs="Palatino Linotype"/>
          <w:b/>
          <w:sz w:val="22"/>
          <w:szCs w:val="22"/>
        </w:rPr>
        <w:t xml:space="preserve">Sujeto Obligado </w:t>
      </w:r>
      <w:r w:rsidRPr="00611291">
        <w:rPr>
          <w:rFonts w:ascii="Palatino Linotype" w:eastAsia="Palatino Linotype" w:hAnsi="Palatino Linotype" w:cs="Palatino Linotype"/>
          <w:sz w:val="22"/>
          <w:szCs w:val="22"/>
        </w:rPr>
        <w:t xml:space="preserve">fue omiso en rendir su informe justificado, y la parte </w:t>
      </w:r>
      <w:r w:rsidRPr="00611291">
        <w:rPr>
          <w:rFonts w:ascii="Palatino Linotype" w:eastAsia="Palatino Linotype" w:hAnsi="Palatino Linotype" w:cs="Palatino Linotype"/>
          <w:b/>
          <w:sz w:val="22"/>
          <w:szCs w:val="22"/>
        </w:rPr>
        <w:t xml:space="preserve">Recurrente </w:t>
      </w:r>
      <w:r w:rsidRPr="00611291">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12E68429" w14:textId="1343103D" w:rsidR="00694AA0" w:rsidRPr="00611291" w:rsidRDefault="005B22BA">
      <w:pPr>
        <w:spacing w:before="280" w:after="28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Una vez establecidas las posturas de las partes, se procede al análisis del requerimiento de información así como la información proporcionada por el </w:t>
      </w:r>
      <w:r w:rsidRPr="00611291">
        <w:rPr>
          <w:rFonts w:ascii="Palatino Linotype" w:eastAsia="Palatino Linotype" w:hAnsi="Palatino Linotype" w:cs="Palatino Linotype"/>
          <w:b/>
          <w:sz w:val="22"/>
          <w:szCs w:val="22"/>
        </w:rPr>
        <w:t xml:space="preserve">Sujeto Obligado, </w:t>
      </w:r>
      <w:r w:rsidRPr="00611291">
        <w:rPr>
          <w:rFonts w:ascii="Palatino Linotype" w:eastAsia="Palatino Linotype" w:hAnsi="Palatino Linotype" w:cs="Palatino Linotype"/>
          <w:sz w:val="22"/>
          <w:szCs w:val="22"/>
        </w:rPr>
        <w:t xml:space="preserve">en contraposición con el motivo de inconformidad alegado por la parte </w:t>
      </w:r>
      <w:r w:rsidRPr="00611291">
        <w:rPr>
          <w:rFonts w:ascii="Palatino Linotype" w:eastAsia="Palatino Linotype" w:hAnsi="Palatino Linotype" w:cs="Palatino Linotype"/>
          <w:b/>
          <w:sz w:val="22"/>
          <w:szCs w:val="22"/>
        </w:rPr>
        <w:t xml:space="preserve">Recurrente, </w:t>
      </w:r>
      <w:r w:rsidRPr="00611291">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126B0027" w14:textId="691EAB3E" w:rsidR="00D06496" w:rsidRPr="00611291" w:rsidRDefault="00223511" w:rsidP="00D06496">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En este tenor, </w:t>
      </w:r>
      <w:r w:rsidR="0082626C" w:rsidRPr="00611291">
        <w:rPr>
          <w:rFonts w:ascii="Palatino Linotype" w:eastAsia="Palatino Linotype" w:hAnsi="Palatino Linotype" w:cs="Palatino Linotype"/>
          <w:sz w:val="22"/>
          <w:szCs w:val="22"/>
        </w:rPr>
        <w:t xml:space="preserve">es de recordar que la </w:t>
      </w:r>
      <w:r w:rsidR="00231963" w:rsidRPr="00611291">
        <w:rPr>
          <w:rFonts w:ascii="Palatino Linotype" w:eastAsia="Palatino Linotype" w:hAnsi="Palatino Linotype" w:cs="Palatino Linotype"/>
          <w:sz w:val="22"/>
          <w:szCs w:val="22"/>
        </w:rPr>
        <w:t xml:space="preserve">Dirección de Administración </w:t>
      </w:r>
      <w:r w:rsidR="00142C8A" w:rsidRPr="00611291">
        <w:rPr>
          <w:rFonts w:ascii="Palatino Linotype" w:eastAsia="Palatino Linotype" w:hAnsi="Palatino Linotype" w:cs="Palatino Linotype"/>
          <w:sz w:val="22"/>
          <w:szCs w:val="22"/>
        </w:rPr>
        <w:t>proporcionó</w:t>
      </w:r>
      <w:r w:rsidR="00B84A61" w:rsidRPr="00611291">
        <w:rPr>
          <w:rFonts w:ascii="Palatino Linotype" w:eastAsia="Palatino Linotype" w:hAnsi="Palatino Linotype" w:cs="Palatino Linotype"/>
          <w:sz w:val="22"/>
          <w:szCs w:val="22"/>
        </w:rPr>
        <w:t xml:space="preserve"> tres direcciones electrónicas</w:t>
      </w:r>
      <w:r w:rsidR="00D06496" w:rsidRPr="00611291">
        <w:rPr>
          <w:rFonts w:ascii="Palatino Linotype" w:eastAsia="Palatino Linotype" w:hAnsi="Palatino Linotype" w:cs="Palatino Linotype"/>
          <w:sz w:val="22"/>
          <w:szCs w:val="22"/>
        </w:rPr>
        <w:t xml:space="preserve"> para la consulta de la información, razón por la cual </w:t>
      </w:r>
      <w:r w:rsidR="00D06496" w:rsidRPr="00611291">
        <w:rPr>
          <w:rFonts w:ascii="Palatino Linotype" w:hAnsi="Palatino Linotype" w:cs="Arial"/>
          <w:sz w:val="22"/>
          <w:szCs w:val="22"/>
        </w:rPr>
        <w:t xml:space="preserve">es oportuno partir de lo establecido en </w:t>
      </w:r>
      <w:r w:rsidR="00D06496" w:rsidRPr="00611291">
        <w:rPr>
          <w:rFonts w:ascii="Palatino Linotype" w:eastAsia="Palatino Linotype" w:hAnsi="Palatino Linotype" w:cs="Palatino Linotype"/>
          <w:sz w:val="22"/>
          <w:szCs w:val="22"/>
        </w:rPr>
        <w:t>el artículo 161 de la Ley de Transparencia y Acceso a la Información Pública del Estado de México y Municipios</w:t>
      </w:r>
      <w:r w:rsidR="00D06496" w:rsidRPr="00611291">
        <w:rPr>
          <w:rFonts w:ascii="Palatino Linotype" w:eastAsia="Palatino Linotype" w:hAnsi="Palatino Linotype" w:cs="Palatino Linotype"/>
          <w:i/>
          <w:sz w:val="22"/>
          <w:szCs w:val="22"/>
        </w:rPr>
        <w:t xml:space="preserve">, </w:t>
      </w:r>
      <w:r w:rsidR="00D06496" w:rsidRPr="00611291">
        <w:rPr>
          <w:rFonts w:ascii="Palatino Linotype" w:eastAsia="Palatino Linotype" w:hAnsi="Palatino Linotype" w:cs="Palatino Linotype"/>
          <w:sz w:val="22"/>
          <w:szCs w:val="22"/>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2DF18AF9" w14:textId="77777777" w:rsidR="00D06496" w:rsidRPr="00611291" w:rsidRDefault="00D06496" w:rsidP="00D06496">
      <w:pPr>
        <w:spacing w:before="120" w:after="120" w:line="276" w:lineRule="auto"/>
        <w:ind w:left="284" w:right="51"/>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a) La fuente</w:t>
      </w:r>
    </w:p>
    <w:p w14:paraId="266D2BC7" w14:textId="77777777" w:rsidR="00D06496" w:rsidRPr="00611291" w:rsidRDefault="00D06496" w:rsidP="00D06496">
      <w:pPr>
        <w:spacing w:before="120" w:after="120" w:line="276" w:lineRule="auto"/>
        <w:ind w:left="284" w:right="51"/>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b) El lugar y</w:t>
      </w:r>
    </w:p>
    <w:p w14:paraId="45354969" w14:textId="77777777" w:rsidR="00D06496" w:rsidRPr="00611291" w:rsidRDefault="00D06496" w:rsidP="00D06496">
      <w:pPr>
        <w:spacing w:before="120" w:after="120" w:line="276" w:lineRule="auto"/>
        <w:ind w:left="284" w:right="51"/>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c) La forma</w:t>
      </w:r>
    </w:p>
    <w:p w14:paraId="284E0C00" w14:textId="77777777" w:rsidR="00D06496" w:rsidRPr="00611291" w:rsidRDefault="00D06496" w:rsidP="00D06496">
      <w:pPr>
        <w:spacing w:before="240" w:after="240" w:line="360" w:lineRule="auto"/>
        <w:ind w:right="49"/>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Asimismo, se establece que la fuente de la información deberá ser:</w:t>
      </w:r>
    </w:p>
    <w:p w14:paraId="552F2115" w14:textId="77777777" w:rsidR="00D06496" w:rsidRPr="00611291" w:rsidRDefault="00D06496" w:rsidP="00D06496">
      <w:pPr>
        <w:spacing w:before="120" w:after="120" w:line="276" w:lineRule="auto"/>
        <w:ind w:left="284" w:right="51"/>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a) Precisa</w:t>
      </w:r>
    </w:p>
    <w:p w14:paraId="0C150E9B" w14:textId="77777777" w:rsidR="00D06496" w:rsidRPr="00611291" w:rsidRDefault="00D06496" w:rsidP="00D06496">
      <w:pPr>
        <w:spacing w:before="120" w:after="120" w:line="276" w:lineRule="auto"/>
        <w:ind w:left="284" w:right="51"/>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b) Concreta</w:t>
      </w:r>
    </w:p>
    <w:p w14:paraId="1EDDF9F9" w14:textId="77777777" w:rsidR="00D06496" w:rsidRPr="00611291" w:rsidRDefault="00D06496" w:rsidP="00D06496">
      <w:pPr>
        <w:spacing w:before="120" w:after="120" w:line="276" w:lineRule="auto"/>
        <w:ind w:left="284" w:right="51"/>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c) Y no debe implicar que el solicitante realice una búsqueda en toda la información que se encuentre disponible.</w:t>
      </w:r>
    </w:p>
    <w:p w14:paraId="44CB78A2" w14:textId="77777777" w:rsidR="00D06496" w:rsidRPr="00611291" w:rsidRDefault="00D06496" w:rsidP="00D06496">
      <w:pPr>
        <w:spacing w:before="240" w:after="240" w:line="360" w:lineRule="auto"/>
        <w:ind w:right="49"/>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Imperativos legales que establecen el procedimiento que deben seguir los Sujetos Obligados para que pueda tomarse como válida su orientación sobre la forma en que puede consultar la información requerida.</w:t>
      </w:r>
    </w:p>
    <w:p w14:paraId="30F88FBF" w14:textId="1D42611C" w:rsidR="00DB00B5" w:rsidRPr="00611291" w:rsidRDefault="00DB00B5" w:rsidP="00D06496">
      <w:pPr>
        <w:spacing w:before="240" w:after="240" w:line="360" w:lineRule="auto"/>
        <w:ind w:right="49"/>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En este tenor, derivado de la consulta realizada por este Organismo Garante, se obtuvo lo siguiente:</w:t>
      </w:r>
    </w:p>
    <w:p w14:paraId="4BCB6E6F" w14:textId="4BC25061" w:rsidR="00DB00B5" w:rsidRPr="00611291" w:rsidRDefault="004E7F14" w:rsidP="00D06496">
      <w:pPr>
        <w:spacing w:before="240" w:after="240" w:line="360" w:lineRule="auto"/>
        <w:ind w:right="49"/>
        <w:jc w:val="both"/>
        <w:rPr>
          <w:rFonts w:ascii="Palatino Linotype" w:eastAsia="Palatino Linotype" w:hAnsi="Palatino Linotype" w:cs="Palatino Linotype"/>
          <w:sz w:val="22"/>
          <w:szCs w:val="22"/>
        </w:rPr>
      </w:pPr>
      <w:hyperlink r:id="rId12" w:anchor="/info-fraccion/11/88/28" w:history="1">
        <w:r w:rsidR="00DB00B5" w:rsidRPr="00611291">
          <w:rPr>
            <w:rStyle w:val="Hipervnculo"/>
            <w:rFonts w:ascii="Palatino Linotype" w:eastAsia="Palatino Linotype" w:hAnsi="Palatino Linotype" w:cs="Palatino Linotype"/>
            <w:color w:val="auto"/>
            <w:sz w:val="22"/>
            <w:szCs w:val="22"/>
          </w:rPr>
          <w:t>https://ipomex.org.mx/ipomex/#/info-fraccion/11/88/28</w:t>
        </w:r>
      </w:hyperlink>
    </w:p>
    <w:p w14:paraId="100977E2" w14:textId="11AE9CE6" w:rsidR="00DB00B5" w:rsidRPr="00611291" w:rsidRDefault="00DB00B5" w:rsidP="00DB00B5">
      <w:pPr>
        <w:spacing w:before="240" w:after="240" w:line="360" w:lineRule="auto"/>
        <w:ind w:right="49"/>
        <w:jc w:val="center"/>
        <w:rPr>
          <w:rFonts w:ascii="Palatino Linotype" w:eastAsia="Palatino Linotype" w:hAnsi="Palatino Linotype" w:cs="Palatino Linotype"/>
          <w:sz w:val="22"/>
          <w:szCs w:val="22"/>
        </w:rPr>
      </w:pPr>
      <w:r w:rsidRPr="00611291">
        <w:rPr>
          <w:rFonts w:ascii="Palatino Linotype" w:hAnsi="Palatino Linotype"/>
          <w:noProof/>
          <w:sz w:val="22"/>
          <w:szCs w:val="22"/>
        </w:rPr>
        <w:drawing>
          <wp:inline distT="0" distB="0" distL="0" distR="0" wp14:anchorId="72C5E530" wp14:editId="6DFE2178">
            <wp:extent cx="4498975" cy="1838325"/>
            <wp:effectExtent l="0" t="0" r="0" b="9525"/>
            <wp:docPr id="21099917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91758" name=""/>
                    <pic:cNvPicPr/>
                  </pic:nvPicPr>
                  <pic:blipFill rotWithShape="1">
                    <a:blip r:embed="rId13"/>
                    <a:srcRect b="22070"/>
                    <a:stretch>
                      <a:fillRect/>
                    </a:stretch>
                  </pic:blipFill>
                  <pic:spPr bwMode="auto">
                    <a:xfrm>
                      <a:off x="0" y="0"/>
                      <a:ext cx="4500000" cy="1838744"/>
                    </a:xfrm>
                    <a:prstGeom prst="rect">
                      <a:avLst/>
                    </a:prstGeom>
                    <a:ln>
                      <a:noFill/>
                    </a:ln>
                    <a:extLst>
                      <a:ext uri="{53640926-AAD7-44D8-BBD7-CCE9431645EC}">
                        <a14:shadowObscured xmlns:a14="http://schemas.microsoft.com/office/drawing/2010/main"/>
                      </a:ext>
                    </a:extLst>
                  </pic:spPr>
                </pic:pic>
              </a:graphicData>
            </a:graphic>
          </wp:inline>
        </w:drawing>
      </w:r>
    </w:p>
    <w:p w14:paraId="6E19417D" w14:textId="77777777" w:rsidR="00DB00B5" w:rsidRPr="00611291" w:rsidRDefault="004E7F14" w:rsidP="00DB00B5">
      <w:pPr>
        <w:spacing w:before="240" w:after="240" w:line="360" w:lineRule="auto"/>
        <w:ind w:right="49"/>
        <w:jc w:val="both"/>
        <w:rPr>
          <w:rFonts w:ascii="Palatino Linotype" w:hAnsi="Palatino Linotype"/>
          <w:sz w:val="22"/>
          <w:szCs w:val="22"/>
        </w:rPr>
      </w:pPr>
      <w:hyperlink r:id="rId14" w:history="1">
        <w:r w:rsidR="00DB00B5" w:rsidRPr="00611291">
          <w:rPr>
            <w:rStyle w:val="Hipervnculo"/>
            <w:rFonts w:ascii="Palatino Linotype" w:eastAsia="Batang" w:hAnsi="Palatino Linotype" w:cs="Tahoma"/>
            <w:color w:val="auto"/>
            <w:sz w:val="22"/>
            <w:szCs w:val="22"/>
          </w:rPr>
          <w:t>https://www.ipomex.org.mx/ipo3/lgt/indice/teemmx.web</w:t>
        </w:r>
      </w:hyperlink>
    </w:p>
    <w:p w14:paraId="7FF394A1" w14:textId="3AB15F50" w:rsidR="00B64C07" w:rsidRPr="00611291" w:rsidRDefault="00B64C07" w:rsidP="00B64C07">
      <w:pPr>
        <w:spacing w:before="240" w:after="240" w:line="360" w:lineRule="auto"/>
        <w:ind w:right="49"/>
        <w:jc w:val="center"/>
        <w:rPr>
          <w:rFonts w:ascii="Palatino Linotype" w:hAnsi="Palatino Linotype"/>
          <w:sz w:val="22"/>
          <w:szCs w:val="22"/>
        </w:rPr>
      </w:pPr>
      <w:r w:rsidRPr="00611291">
        <w:rPr>
          <w:rFonts w:ascii="Palatino Linotype" w:hAnsi="Palatino Linotype"/>
          <w:noProof/>
          <w:sz w:val="22"/>
          <w:szCs w:val="22"/>
        </w:rPr>
        <w:drawing>
          <wp:inline distT="0" distB="0" distL="0" distR="0" wp14:anchorId="41A258ED" wp14:editId="23544EB5">
            <wp:extent cx="4500000" cy="3622709"/>
            <wp:effectExtent l="0" t="0" r="0" b="0"/>
            <wp:docPr id="13232232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223266" name=""/>
                    <pic:cNvPicPr/>
                  </pic:nvPicPr>
                  <pic:blipFill>
                    <a:blip r:embed="rId15"/>
                    <a:stretch>
                      <a:fillRect/>
                    </a:stretch>
                  </pic:blipFill>
                  <pic:spPr>
                    <a:xfrm>
                      <a:off x="0" y="0"/>
                      <a:ext cx="4500000" cy="3622709"/>
                    </a:xfrm>
                    <a:prstGeom prst="rect">
                      <a:avLst/>
                    </a:prstGeom>
                  </pic:spPr>
                </pic:pic>
              </a:graphicData>
            </a:graphic>
          </wp:inline>
        </w:drawing>
      </w:r>
    </w:p>
    <w:p w14:paraId="2703EDC2" w14:textId="0001D9C0" w:rsidR="00DB00B5" w:rsidRPr="00611291" w:rsidRDefault="004E7F14" w:rsidP="00DB00B5">
      <w:pPr>
        <w:spacing w:before="240" w:after="240" w:line="360" w:lineRule="auto"/>
        <w:ind w:right="49"/>
        <w:jc w:val="both"/>
        <w:rPr>
          <w:rFonts w:ascii="Palatino Linotype" w:eastAsia="Palatino Linotype" w:hAnsi="Palatino Linotype" w:cs="Palatino Linotype"/>
          <w:sz w:val="22"/>
          <w:szCs w:val="22"/>
        </w:rPr>
      </w:pPr>
      <w:hyperlink r:id="rId16" w:anchor="/obligaciones/88" w:history="1">
        <w:r w:rsidR="00DB00B5" w:rsidRPr="00611291">
          <w:rPr>
            <w:rStyle w:val="Hipervnculo"/>
            <w:rFonts w:ascii="Palatino Linotype" w:eastAsia="Palatino Linotype" w:hAnsi="Palatino Linotype" w:cs="Palatino Linotype"/>
            <w:color w:val="auto"/>
            <w:sz w:val="22"/>
            <w:szCs w:val="22"/>
          </w:rPr>
          <w:t>https://ipomex.org.mx/ipomex/#/obligaciones/88</w:t>
        </w:r>
      </w:hyperlink>
      <w:r w:rsidR="00DB00B5" w:rsidRPr="00611291">
        <w:rPr>
          <w:rFonts w:ascii="Palatino Linotype" w:eastAsia="Palatino Linotype" w:hAnsi="Palatino Linotype" w:cs="Palatino Linotype"/>
          <w:sz w:val="22"/>
          <w:szCs w:val="22"/>
        </w:rPr>
        <w:t xml:space="preserve"> </w:t>
      </w:r>
    </w:p>
    <w:p w14:paraId="6A9E2855" w14:textId="51A56554" w:rsidR="00DB00B5" w:rsidRPr="00611291" w:rsidRDefault="00DB00B5" w:rsidP="00DB00B5">
      <w:pPr>
        <w:spacing w:before="240" w:after="240" w:line="360" w:lineRule="auto"/>
        <w:ind w:right="49"/>
        <w:jc w:val="center"/>
        <w:rPr>
          <w:rFonts w:ascii="Palatino Linotype" w:eastAsia="Palatino Linotype" w:hAnsi="Palatino Linotype" w:cs="Palatino Linotype"/>
          <w:sz w:val="22"/>
          <w:szCs w:val="22"/>
        </w:rPr>
      </w:pPr>
      <w:r w:rsidRPr="00611291">
        <w:rPr>
          <w:rFonts w:ascii="Palatino Linotype" w:hAnsi="Palatino Linotype"/>
          <w:noProof/>
          <w:sz w:val="22"/>
          <w:szCs w:val="22"/>
        </w:rPr>
        <w:drawing>
          <wp:inline distT="0" distB="0" distL="0" distR="0" wp14:anchorId="512D2686" wp14:editId="378BD5CD">
            <wp:extent cx="4500000" cy="1702138"/>
            <wp:effectExtent l="0" t="0" r="0" b="0"/>
            <wp:docPr id="16324006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00602" name=""/>
                    <pic:cNvPicPr/>
                  </pic:nvPicPr>
                  <pic:blipFill>
                    <a:blip r:embed="rId17"/>
                    <a:stretch>
                      <a:fillRect/>
                    </a:stretch>
                  </pic:blipFill>
                  <pic:spPr>
                    <a:xfrm>
                      <a:off x="0" y="0"/>
                      <a:ext cx="4500000" cy="1702138"/>
                    </a:xfrm>
                    <a:prstGeom prst="rect">
                      <a:avLst/>
                    </a:prstGeom>
                  </pic:spPr>
                </pic:pic>
              </a:graphicData>
            </a:graphic>
          </wp:inline>
        </w:drawing>
      </w:r>
    </w:p>
    <w:p w14:paraId="3F3DB8F8" w14:textId="2E1D9EA5" w:rsidR="00E91C46" w:rsidRPr="00611291" w:rsidRDefault="00946903" w:rsidP="0038463F">
      <w:pPr>
        <w:tabs>
          <w:tab w:val="left" w:pos="709"/>
        </w:tabs>
        <w:spacing w:before="240" w:after="240" w:line="360" w:lineRule="auto"/>
        <w:jc w:val="both"/>
        <w:rPr>
          <w:rFonts w:ascii="Palatino Linotype" w:eastAsia="Palatino Linotype" w:hAnsi="Palatino Linotype" w:cs="Palatino Linotype"/>
          <w:sz w:val="22"/>
          <w:szCs w:val="22"/>
        </w:rPr>
      </w:pPr>
      <w:bookmarkStart w:id="8" w:name="_Hlk206061298"/>
      <w:r w:rsidRPr="00611291">
        <w:rPr>
          <w:rFonts w:ascii="Palatino Linotype" w:hAnsi="Palatino Linotype" w:cs="Arial"/>
          <w:sz w:val="22"/>
          <w:szCs w:val="22"/>
        </w:rPr>
        <w:t xml:space="preserve">Como logra vislumbrarse, las direcciones electrónicas proporcionadas corresponden con el apartado del Sujeto Obligado en el portal de Información Pública </w:t>
      </w:r>
      <w:r w:rsidR="00AB3B72" w:rsidRPr="00611291">
        <w:rPr>
          <w:rFonts w:ascii="Palatino Linotype" w:hAnsi="Palatino Linotype" w:cs="Arial"/>
          <w:sz w:val="22"/>
          <w:szCs w:val="22"/>
        </w:rPr>
        <w:t xml:space="preserve">de Oficio </w:t>
      </w:r>
      <w:r w:rsidRPr="00611291">
        <w:rPr>
          <w:rFonts w:ascii="Palatino Linotype" w:hAnsi="Palatino Linotype" w:cs="Arial"/>
          <w:sz w:val="22"/>
          <w:szCs w:val="22"/>
        </w:rPr>
        <w:t>Mexiquense</w:t>
      </w:r>
      <w:r w:rsidR="00AB3B72" w:rsidRPr="00611291">
        <w:rPr>
          <w:rFonts w:ascii="Palatino Linotype" w:hAnsi="Palatino Linotype" w:cs="Arial"/>
          <w:sz w:val="22"/>
          <w:szCs w:val="22"/>
        </w:rPr>
        <w:t>, IPOMEX,</w:t>
      </w:r>
      <w:r w:rsidR="00491EE4" w:rsidRPr="00611291">
        <w:rPr>
          <w:rFonts w:ascii="Palatino Linotype" w:hAnsi="Palatino Linotype" w:cs="Arial"/>
          <w:sz w:val="22"/>
          <w:szCs w:val="22"/>
        </w:rPr>
        <w:t xml:space="preserve"> en el cual puede consultarse </w:t>
      </w:r>
      <w:r w:rsidR="00E91C46" w:rsidRPr="00611291">
        <w:rPr>
          <w:rFonts w:ascii="Palatino Linotype" w:eastAsia="Palatino Linotype" w:hAnsi="Palatino Linotype" w:cs="Palatino Linotype"/>
          <w:sz w:val="22"/>
          <w:szCs w:val="22"/>
        </w:rPr>
        <w:t>la información relativa a las remuneraciones</w:t>
      </w:r>
      <w:r w:rsidR="00491EE4" w:rsidRPr="00611291">
        <w:rPr>
          <w:rFonts w:ascii="Palatino Linotype" w:eastAsia="Palatino Linotype" w:hAnsi="Palatino Linotype" w:cs="Palatino Linotype"/>
          <w:sz w:val="22"/>
          <w:szCs w:val="22"/>
        </w:rPr>
        <w:t xml:space="preserve"> de los servidores públicos</w:t>
      </w:r>
      <w:r w:rsidR="00E91C46" w:rsidRPr="00611291">
        <w:rPr>
          <w:rFonts w:ascii="Palatino Linotype" w:eastAsia="Palatino Linotype" w:hAnsi="Palatino Linotype" w:cs="Palatino Linotype"/>
          <w:sz w:val="22"/>
          <w:szCs w:val="22"/>
        </w:rPr>
        <w:t>, que los Sujetos Obligados deben publicar en el portal de Información Pública de Oficio Mexiquense, IPOMEX, en cumplimiento a la obligación de transparencia establecida en el artículo 92, fracción VIII de la Ley de Transparencia y Acceso a la Información Pública del Estado de México y Municipios, que es del tenor literal siguiente:</w:t>
      </w:r>
    </w:p>
    <w:p w14:paraId="5E343774" w14:textId="77777777" w:rsidR="00F221D2" w:rsidRPr="00611291" w:rsidRDefault="00F221D2" w:rsidP="00F221D2">
      <w:pPr>
        <w:spacing w:before="280" w:after="280"/>
        <w:ind w:left="851" w:right="900"/>
        <w:jc w:val="both"/>
        <w:rPr>
          <w:rFonts w:ascii="Palatino Linotype" w:hAnsi="Palatino Linotype"/>
          <w:i/>
          <w:sz w:val="22"/>
          <w:szCs w:val="22"/>
        </w:rPr>
      </w:pPr>
      <w:r w:rsidRPr="00611291">
        <w:rPr>
          <w:rFonts w:ascii="Palatino Linotype" w:hAnsi="Palatino Linotype"/>
          <w:b/>
          <w:i/>
          <w:sz w:val="22"/>
          <w:szCs w:val="22"/>
        </w:rPr>
        <w:t>“Artículo 92.</w:t>
      </w:r>
      <w:r w:rsidRPr="00611291">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40394E" w14:textId="61811CC9" w:rsidR="00F221D2" w:rsidRPr="00611291" w:rsidRDefault="00F221D2" w:rsidP="00F221D2">
      <w:pPr>
        <w:spacing w:before="280" w:after="280"/>
        <w:ind w:left="851" w:right="900"/>
        <w:jc w:val="both"/>
        <w:rPr>
          <w:rFonts w:ascii="Palatino Linotype" w:hAnsi="Palatino Linotype"/>
          <w:b/>
          <w:i/>
          <w:sz w:val="22"/>
          <w:szCs w:val="22"/>
        </w:rPr>
      </w:pPr>
      <w:r w:rsidRPr="00611291">
        <w:rPr>
          <w:rFonts w:ascii="Palatino Linotype" w:hAnsi="Palatino Linotype"/>
          <w:b/>
          <w:i/>
          <w:sz w:val="22"/>
          <w:szCs w:val="22"/>
        </w:rPr>
        <w:t>...</w:t>
      </w:r>
    </w:p>
    <w:p w14:paraId="1AB39C54" w14:textId="41B38044" w:rsidR="00F221D2" w:rsidRPr="00611291" w:rsidRDefault="00F221D2" w:rsidP="00F221D2">
      <w:pPr>
        <w:spacing w:before="280" w:after="280"/>
        <w:ind w:left="851" w:right="900"/>
        <w:jc w:val="both"/>
        <w:rPr>
          <w:rFonts w:ascii="Palatino Linotype" w:hAnsi="Palatino Linotype"/>
          <w:i/>
          <w:sz w:val="22"/>
          <w:szCs w:val="22"/>
        </w:rPr>
      </w:pPr>
      <w:r w:rsidRPr="00611291">
        <w:rPr>
          <w:rFonts w:ascii="Palatino Linotype" w:hAnsi="Palatino Linotype"/>
          <w:b/>
          <w:i/>
          <w:sz w:val="22"/>
          <w:szCs w:val="22"/>
        </w:rPr>
        <w:t>VIII.</w:t>
      </w:r>
      <w:r w:rsidRPr="00611291">
        <w:rPr>
          <w:rFonts w:ascii="Palatino Linotype" w:hAnsi="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BD49DB8" w14:textId="433319E3" w:rsidR="00F221D2" w:rsidRPr="00611291" w:rsidRDefault="00491EE4" w:rsidP="0038463F">
      <w:pPr>
        <w:tabs>
          <w:tab w:val="left" w:pos="709"/>
        </w:tabs>
        <w:spacing w:before="240" w:after="240" w:line="360" w:lineRule="auto"/>
        <w:jc w:val="both"/>
        <w:rPr>
          <w:rFonts w:ascii="Palatino Linotype" w:hAnsi="Palatino Linotype"/>
          <w:sz w:val="22"/>
          <w:szCs w:val="22"/>
        </w:rPr>
      </w:pPr>
      <w:r w:rsidRPr="00611291">
        <w:rPr>
          <w:rFonts w:ascii="Palatino Linotype" w:eastAsia="Palatino Linotype" w:hAnsi="Palatino Linotype" w:cs="Palatino Linotype"/>
          <w:sz w:val="22"/>
          <w:szCs w:val="22"/>
        </w:rPr>
        <w:t>No obstante, d</w:t>
      </w:r>
      <w:r w:rsidR="00F221D2" w:rsidRPr="00611291">
        <w:rPr>
          <w:rFonts w:ascii="Palatino Linotype" w:eastAsia="Palatino Linotype" w:hAnsi="Palatino Linotype" w:cs="Palatino Linotype"/>
          <w:sz w:val="22"/>
          <w:szCs w:val="22"/>
        </w:rPr>
        <w:t xml:space="preserve">icha información se debe publicar atendiendo a los criterios establecidos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a través del formato </w:t>
      </w:r>
      <w:r w:rsidR="00F221D2" w:rsidRPr="00611291">
        <w:rPr>
          <w:rFonts w:ascii="Palatino Linotype" w:hAnsi="Palatino Linotype"/>
          <w:sz w:val="22"/>
          <w:szCs w:val="22"/>
        </w:rPr>
        <w:t>8a LGT_Art_70_Fr_VIII:</w:t>
      </w:r>
    </w:p>
    <w:p w14:paraId="516028B0" w14:textId="485A1D60" w:rsidR="00A861FE" w:rsidRPr="00611291" w:rsidRDefault="00F221D2" w:rsidP="00A861FE">
      <w:pPr>
        <w:tabs>
          <w:tab w:val="left" w:pos="709"/>
        </w:tabs>
        <w:spacing w:before="240" w:after="240" w:line="360" w:lineRule="auto"/>
        <w:jc w:val="center"/>
        <w:rPr>
          <w:rFonts w:ascii="Palatino Linotype" w:eastAsia="Palatino Linotype" w:hAnsi="Palatino Linotype" w:cs="Palatino Linotype"/>
          <w:sz w:val="22"/>
          <w:szCs w:val="22"/>
        </w:rPr>
      </w:pPr>
      <w:r w:rsidRPr="00611291">
        <w:rPr>
          <w:rFonts w:ascii="Palatino Linotype" w:eastAsia="Palatino Linotype" w:hAnsi="Palatino Linotype" w:cs="Palatino Linotype"/>
          <w:noProof/>
          <w:sz w:val="22"/>
          <w:szCs w:val="22"/>
        </w:rPr>
        <w:drawing>
          <wp:inline distT="0" distB="0" distL="0" distR="0" wp14:anchorId="5824A038" wp14:editId="14E66956">
            <wp:extent cx="4860000" cy="2316722"/>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60000" cy="2316722"/>
                    </a:xfrm>
                    <a:prstGeom prst="rect">
                      <a:avLst/>
                    </a:prstGeom>
                  </pic:spPr>
                </pic:pic>
              </a:graphicData>
            </a:graphic>
          </wp:inline>
        </w:drawing>
      </w:r>
      <w:r w:rsidR="00A861FE" w:rsidRPr="00611291">
        <w:rPr>
          <w:rFonts w:ascii="Palatino Linotype" w:eastAsia="Palatino Linotype" w:hAnsi="Palatino Linotype" w:cs="Palatino Linotype"/>
          <w:noProof/>
          <w:sz w:val="22"/>
          <w:szCs w:val="22"/>
        </w:rPr>
        <w:drawing>
          <wp:inline distT="0" distB="0" distL="0" distR="0" wp14:anchorId="06A26D0D" wp14:editId="018553EB">
            <wp:extent cx="4860000" cy="4510468"/>
            <wp:effectExtent l="0" t="0" r="0" b="4445"/>
            <wp:docPr id="85660709" name="Imagen 8566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21919"/>
                    <a:stretch>
                      <a:fillRect/>
                    </a:stretch>
                  </pic:blipFill>
                  <pic:spPr bwMode="auto">
                    <a:xfrm>
                      <a:off x="0" y="0"/>
                      <a:ext cx="4860000" cy="4510468"/>
                    </a:xfrm>
                    <a:prstGeom prst="rect">
                      <a:avLst/>
                    </a:prstGeom>
                    <a:ln>
                      <a:noFill/>
                    </a:ln>
                    <a:extLst>
                      <a:ext uri="{53640926-AAD7-44D8-BBD7-CCE9431645EC}">
                        <a14:shadowObscured xmlns:a14="http://schemas.microsoft.com/office/drawing/2010/main"/>
                      </a:ext>
                    </a:extLst>
                  </pic:spPr>
                </pic:pic>
              </a:graphicData>
            </a:graphic>
          </wp:inline>
        </w:drawing>
      </w:r>
    </w:p>
    <w:p w14:paraId="302F2204" w14:textId="77777777" w:rsidR="00A861FE" w:rsidRPr="00611291" w:rsidRDefault="00A861FE" w:rsidP="0038463F">
      <w:pPr>
        <w:tabs>
          <w:tab w:val="left" w:pos="709"/>
        </w:tabs>
        <w:spacing w:before="240" w:after="240" w:line="360" w:lineRule="auto"/>
        <w:jc w:val="both"/>
        <w:rPr>
          <w:rFonts w:ascii="Palatino Linotype" w:eastAsia="Palatino Linotype" w:hAnsi="Palatino Linotype" w:cs="Palatino Linotype"/>
          <w:sz w:val="22"/>
          <w:szCs w:val="22"/>
        </w:rPr>
      </w:pPr>
    </w:p>
    <w:p w14:paraId="56F7F6C8" w14:textId="4DE13C3D" w:rsidR="00F221D2" w:rsidRPr="00611291" w:rsidRDefault="00F221D2" w:rsidP="00A861FE">
      <w:pPr>
        <w:tabs>
          <w:tab w:val="left" w:pos="709"/>
        </w:tabs>
        <w:spacing w:before="240" w:after="240" w:line="360" w:lineRule="auto"/>
        <w:jc w:val="center"/>
        <w:rPr>
          <w:rFonts w:ascii="Palatino Linotype" w:eastAsia="Palatino Linotype" w:hAnsi="Palatino Linotype" w:cs="Palatino Linotype"/>
          <w:sz w:val="22"/>
          <w:szCs w:val="22"/>
        </w:rPr>
      </w:pPr>
      <w:r w:rsidRPr="00611291">
        <w:rPr>
          <w:rFonts w:ascii="Palatino Linotype" w:eastAsia="Palatino Linotype" w:hAnsi="Palatino Linotype" w:cs="Palatino Linotype"/>
          <w:noProof/>
          <w:sz w:val="22"/>
          <w:szCs w:val="22"/>
        </w:rPr>
        <w:drawing>
          <wp:inline distT="0" distB="0" distL="0" distR="0" wp14:anchorId="08DE0BA3" wp14:editId="41AD0602">
            <wp:extent cx="5039360" cy="118960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80140"/>
                    <a:stretch>
                      <a:fillRect/>
                    </a:stretch>
                  </pic:blipFill>
                  <pic:spPr bwMode="auto">
                    <a:xfrm>
                      <a:off x="0" y="0"/>
                      <a:ext cx="5040000" cy="1189760"/>
                    </a:xfrm>
                    <a:prstGeom prst="rect">
                      <a:avLst/>
                    </a:prstGeom>
                    <a:ln>
                      <a:noFill/>
                    </a:ln>
                    <a:extLst>
                      <a:ext uri="{53640926-AAD7-44D8-BBD7-CCE9431645EC}">
                        <a14:shadowObscured xmlns:a14="http://schemas.microsoft.com/office/drawing/2010/main"/>
                      </a:ext>
                    </a:extLst>
                  </pic:spPr>
                </pic:pic>
              </a:graphicData>
            </a:graphic>
          </wp:inline>
        </w:drawing>
      </w:r>
      <w:r w:rsidRPr="00611291">
        <w:rPr>
          <w:rFonts w:ascii="Palatino Linotype" w:eastAsia="Palatino Linotype" w:hAnsi="Palatino Linotype" w:cs="Palatino Linotype"/>
          <w:noProof/>
          <w:sz w:val="22"/>
          <w:szCs w:val="22"/>
        </w:rPr>
        <w:drawing>
          <wp:inline distT="0" distB="0" distL="0" distR="0" wp14:anchorId="126F0A5D" wp14:editId="23A00B61">
            <wp:extent cx="5040000" cy="2748106"/>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40000" cy="2748106"/>
                    </a:xfrm>
                    <a:prstGeom prst="rect">
                      <a:avLst/>
                    </a:prstGeom>
                  </pic:spPr>
                </pic:pic>
              </a:graphicData>
            </a:graphic>
          </wp:inline>
        </w:drawing>
      </w:r>
    </w:p>
    <w:p w14:paraId="464DED18" w14:textId="77777777" w:rsidR="008F7C04" w:rsidRPr="00611291" w:rsidRDefault="00F221D2" w:rsidP="0038463F">
      <w:pPr>
        <w:tabs>
          <w:tab w:val="left" w:pos="709"/>
        </w:tabs>
        <w:spacing w:before="240" w:after="240" w:line="360" w:lineRule="auto"/>
        <w:jc w:val="both"/>
        <w:rPr>
          <w:rFonts w:ascii="Palatino Linotype" w:eastAsia="Palatino Linotype" w:hAnsi="Palatino Linotype" w:cs="Palatino Linotype"/>
          <w:b/>
          <w:sz w:val="22"/>
          <w:szCs w:val="22"/>
        </w:rPr>
      </w:pPr>
      <w:r w:rsidRPr="00611291">
        <w:rPr>
          <w:rFonts w:ascii="Palatino Linotype" w:eastAsia="Palatino Linotype" w:hAnsi="Palatino Linotype" w:cs="Palatino Linotype"/>
          <w:sz w:val="22"/>
          <w:szCs w:val="22"/>
        </w:rPr>
        <w:t xml:space="preserve">Como se logra vislumbrar, si bien el apartado al que pretendió </w:t>
      </w:r>
      <w:r w:rsidR="00A57A19" w:rsidRPr="00611291">
        <w:rPr>
          <w:rFonts w:ascii="Palatino Linotype" w:eastAsia="Palatino Linotype" w:hAnsi="Palatino Linotype" w:cs="Palatino Linotype"/>
          <w:sz w:val="22"/>
          <w:szCs w:val="22"/>
        </w:rPr>
        <w:t xml:space="preserve">dirigirse al portal para la consulta de la información debe contener la información relativa a la remuneración bruta y neta de todos los servidores públicos adscritos a determinado sujeto obligado, así como todas las percepciones de estos, </w:t>
      </w:r>
      <w:r w:rsidR="00A57A19" w:rsidRPr="00611291">
        <w:rPr>
          <w:rFonts w:ascii="Palatino Linotype" w:eastAsia="Palatino Linotype" w:hAnsi="Palatino Linotype" w:cs="Palatino Linotype"/>
          <w:b/>
          <w:sz w:val="22"/>
          <w:szCs w:val="22"/>
          <w:u w:val="single"/>
        </w:rPr>
        <w:t>en dicho apartado NO se incluye el recibo de nómina</w:t>
      </w:r>
      <w:r w:rsidR="008F7C04" w:rsidRPr="00611291">
        <w:rPr>
          <w:rFonts w:ascii="Palatino Linotype" w:eastAsia="Palatino Linotype" w:hAnsi="Palatino Linotype" w:cs="Palatino Linotype"/>
          <w:b/>
          <w:sz w:val="22"/>
          <w:szCs w:val="22"/>
        </w:rPr>
        <w:t>.</w:t>
      </w:r>
    </w:p>
    <w:p w14:paraId="56D47B86" w14:textId="1E07DEE4" w:rsidR="00F221D2" w:rsidRPr="00611291" w:rsidRDefault="008F7C04" w:rsidP="0038463F">
      <w:pPr>
        <w:tabs>
          <w:tab w:val="left" w:pos="709"/>
        </w:tabs>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En este contexto, se puntualiza que </w:t>
      </w:r>
      <w:r w:rsidR="00A57A19" w:rsidRPr="00611291">
        <w:rPr>
          <w:rFonts w:ascii="Palatino Linotype" w:eastAsia="Palatino Linotype" w:hAnsi="Palatino Linotype" w:cs="Palatino Linotype"/>
          <w:sz w:val="22"/>
          <w:szCs w:val="22"/>
        </w:rPr>
        <w:t xml:space="preserve">aún y cuando </w:t>
      </w:r>
      <w:r w:rsidRPr="00611291">
        <w:rPr>
          <w:rFonts w:ascii="Palatino Linotype" w:eastAsia="Palatino Linotype" w:hAnsi="Palatino Linotype" w:cs="Palatino Linotype"/>
          <w:sz w:val="22"/>
          <w:szCs w:val="22"/>
        </w:rPr>
        <w:t>se proporcion</w:t>
      </w:r>
      <w:r w:rsidR="00A861FE" w:rsidRPr="00611291">
        <w:rPr>
          <w:rFonts w:ascii="Palatino Linotype" w:eastAsia="Palatino Linotype" w:hAnsi="Palatino Linotype" w:cs="Palatino Linotype"/>
          <w:sz w:val="22"/>
          <w:szCs w:val="22"/>
        </w:rPr>
        <w:t xml:space="preserve">ó </w:t>
      </w:r>
      <w:r w:rsidR="00A57A19" w:rsidRPr="00611291">
        <w:rPr>
          <w:rFonts w:ascii="Palatino Linotype" w:eastAsia="Palatino Linotype" w:hAnsi="Palatino Linotype" w:cs="Palatino Linotype"/>
          <w:sz w:val="22"/>
          <w:szCs w:val="22"/>
        </w:rPr>
        <w:t>la dirección electrónica</w:t>
      </w:r>
      <w:r w:rsidR="00A861FE" w:rsidRPr="00611291">
        <w:rPr>
          <w:rFonts w:ascii="Palatino Linotype" w:eastAsia="Palatino Linotype" w:hAnsi="Palatino Linotype" w:cs="Palatino Linotype"/>
          <w:sz w:val="22"/>
          <w:szCs w:val="22"/>
        </w:rPr>
        <w:t xml:space="preserve"> que corresponde con las remuneraciones de los servidores públicos</w:t>
      </w:r>
      <w:r w:rsidR="00A57A19" w:rsidRPr="00611291">
        <w:rPr>
          <w:rFonts w:ascii="Palatino Linotype" w:eastAsia="Palatino Linotype" w:hAnsi="Palatino Linotype" w:cs="Palatino Linotype"/>
          <w:sz w:val="22"/>
          <w:szCs w:val="22"/>
        </w:rPr>
        <w:t xml:space="preserve"> </w:t>
      </w:r>
      <w:r w:rsidRPr="00611291">
        <w:rPr>
          <w:rFonts w:ascii="Palatino Linotype" w:eastAsia="Palatino Linotype" w:hAnsi="Palatino Linotype" w:cs="Palatino Linotype"/>
          <w:sz w:val="22"/>
          <w:szCs w:val="22"/>
        </w:rPr>
        <w:t>en formato abierto y pudiera accederse a su contenido, ello no colmaría el Derecho de acceso de la persona solicitante al no incluir los recibos de nómina</w:t>
      </w:r>
      <w:r w:rsidR="003B589D" w:rsidRPr="00611291">
        <w:rPr>
          <w:rFonts w:ascii="Palatino Linotype" w:eastAsia="Palatino Linotype" w:hAnsi="Palatino Linotype" w:cs="Palatino Linotype"/>
          <w:sz w:val="22"/>
          <w:szCs w:val="22"/>
        </w:rPr>
        <w:t xml:space="preserve"> de los servidores públicos</w:t>
      </w:r>
      <w:r w:rsidRPr="00611291">
        <w:rPr>
          <w:rFonts w:ascii="Palatino Linotype" w:eastAsia="Palatino Linotype" w:hAnsi="Palatino Linotype" w:cs="Palatino Linotype"/>
          <w:sz w:val="22"/>
          <w:szCs w:val="22"/>
        </w:rPr>
        <w:t>, siendo dichos documentos los que se solicitaron de manera específica.</w:t>
      </w:r>
    </w:p>
    <w:p w14:paraId="4DF11D8F" w14:textId="0997F7CE" w:rsidR="00A861FE" w:rsidRPr="00611291" w:rsidRDefault="003B589D" w:rsidP="00A861FE">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Por tanto, a fin de restituir a la persona solicitante, es que resulta procedente ordenar, previa búsqueda exhaustiva y razonable, la entrega de los recibos de nómina </w:t>
      </w:r>
      <w:r w:rsidR="00A861FE" w:rsidRPr="00611291">
        <w:rPr>
          <w:rFonts w:ascii="Palatino Linotype" w:eastAsia="Palatino Linotype" w:hAnsi="Palatino Linotype" w:cs="Palatino Linotype"/>
          <w:sz w:val="22"/>
          <w:szCs w:val="22"/>
        </w:rPr>
        <w:t xml:space="preserve">de todos los servidores públicos </w:t>
      </w:r>
      <w:r w:rsidRPr="00611291">
        <w:rPr>
          <w:rFonts w:ascii="Palatino Linotype" w:eastAsia="Palatino Linotype" w:hAnsi="Palatino Linotype" w:cs="Palatino Linotype"/>
          <w:sz w:val="22"/>
          <w:szCs w:val="22"/>
        </w:rPr>
        <w:t xml:space="preserve">de la primera quincena de </w:t>
      </w:r>
      <w:r w:rsidR="00A861FE" w:rsidRPr="00611291">
        <w:rPr>
          <w:rFonts w:ascii="Palatino Linotype" w:eastAsia="Palatino Linotype" w:hAnsi="Palatino Linotype" w:cs="Palatino Linotype"/>
          <w:sz w:val="22"/>
          <w:szCs w:val="22"/>
        </w:rPr>
        <w:t xml:space="preserve">otubre </w:t>
      </w:r>
      <w:r w:rsidRPr="00611291">
        <w:rPr>
          <w:rFonts w:ascii="Palatino Linotype" w:eastAsia="Palatino Linotype" w:hAnsi="Palatino Linotype" w:cs="Palatino Linotype"/>
          <w:sz w:val="22"/>
          <w:szCs w:val="22"/>
        </w:rPr>
        <w:t>de dos mil veinticinco, en versión pública de conformidad con el considerando siguiente.</w:t>
      </w:r>
    </w:p>
    <w:p w14:paraId="149691BA" w14:textId="77777777" w:rsidR="00546E25" w:rsidRPr="00611291" w:rsidRDefault="00546E25" w:rsidP="00546E25">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En segundo lugar, respecto de los recibos de nómina conviene referir que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"recibos o comprobantes de pago", los cuales constituyen un instrumento mediante el cual el sujeto obligado acredita las remuneraciones al personal y, que de acuerdo al uso implantado en la colectividad se denominan "recibos de nómina".</w:t>
      </w:r>
    </w:p>
    <w:p w14:paraId="6F61527A" w14:textId="77777777" w:rsidR="00546E25" w:rsidRPr="00611291" w:rsidRDefault="00546E25" w:rsidP="00546E25">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A efecto de robustecer lo anterior, es preciso hacer alusión, en primera instancia, a lo establecido en las normas de carácter general del Manual Único de Contabilidad Gubernamental para las Dependencias y Entidades Públicas del Gobierno y Municipios del Estado de México</w:t>
      </w:r>
      <w:r w:rsidRPr="00611291">
        <w:rPr>
          <w:rFonts w:ascii="Palatino Linotype" w:eastAsia="Palatino Linotype" w:hAnsi="Palatino Linotype" w:cs="Palatino Linotype"/>
          <w:i/>
          <w:sz w:val="22"/>
          <w:szCs w:val="22"/>
        </w:rPr>
        <w:t xml:space="preserve">,  </w:t>
      </w:r>
      <w:r w:rsidRPr="00611291">
        <w:rPr>
          <w:rFonts w:ascii="Palatino Linotype" w:eastAsia="Palatino Linotype" w:hAnsi="Palatino Linotype" w:cs="Palatino Linotype"/>
          <w:sz w:val="22"/>
          <w:szCs w:val="22"/>
        </w:rPr>
        <w:t xml:space="preserve">en donde se señala que el Régimen Fiscal para las entidades públicas es el correspondiente a </w:t>
      </w:r>
      <w:r w:rsidRPr="00611291">
        <w:rPr>
          <w:rFonts w:ascii="Palatino Linotype" w:eastAsia="Palatino Linotype" w:hAnsi="Palatino Linotype" w:cs="Palatino Linotype"/>
          <w:i/>
          <w:sz w:val="22"/>
          <w:szCs w:val="22"/>
        </w:rPr>
        <w:t xml:space="preserve">personas morales con fines no lucrativos, </w:t>
      </w:r>
      <w:r w:rsidRPr="00611291">
        <w:rPr>
          <w:rFonts w:ascii="Palatino Linotype" w:eastAsia="Palatino Linotype" w:hAnsi="Palatino Linotype" w:cs="Palatino Linotype"/>
          <w:sz w:val="22"/>
          <w:szCs w:val="22"/>
        </w:rPr>
        <w:t>y en segundo lugar remitirnos al párrafo séptimo del artículo 86 del Título III del Régimen de las Personas Morales con fines no lucrativos, de la Ley del Impuesto Sobre la Renta</w:t>
      </w:r>
      <w:r w:rsidRPr="00611291">
        <w:rPr>
          <w:rFonts w:ascii="Palatino Linotype" w:eastAsia="Palatino Linotype" w:hAnsi="Palatino Linotype" w:cs="Palatino Linotype"/>
          <w:i/>
          <w:sz w:val="22"/>
          <w:szCs w:val="22"/>
        </w:rPr>
        <w:t xml:space="preserve">, </w:t>
      </w:r>
      <w:r w:rsidRPr="00611291">
        <w:rPr>
          <w:rFonts w:ascii="Palatino Linotype" w:eastAsia="Palatino Linotype" w:hAnsi="Palatino Linotype" w:cs="Palatino Linotype"/>
          <w:sz w:val="22"/>
          <w:szCs w:val="22"/>
        </w:rPr>
        <w:t>que a la letra señala lo siguiente:</w:t>
      </w:r>
    </w:p>
    <w:p w14:paraId="03A5FE39" w14:textId="77777777" w:rsidR="00546E25" w:rsidRPr="00611291" w:rsidRDefault="00546E25" w:rsidP="00546E25">
      <w:pPr>
        <w:spacing w:before="120" w:after="120"/>
        <w:ind w:left="851" w:right="902"/>
        <w:jc w:val="both"/>
        <w:rPr>
          <w:rFonts w:ascii="Palatino Linotype" w:eastAsia="Palatino Linotype" w:hAnsi="Palatino Linotype" w:cs="Palatino Linotype"/>
          <w:b/>
          <w:i/>
          <w:sz w:val="22"/>
          <w:szCs w:val="22"/>
        </w:rPr>
      </w:pPr>
      <w:r w:rsidRPr="00611291">
        <w:rPr>
          <w:rFonts w:ascii="Palatino Linotype" w:eastAsia="Palatino Linotype" w:hAnsi="Palatino Linotype" w:cs="Palatino Linotype"/>
          <w:sz w:val="22"/>
          <w:szCs w:val="22"/>
        </w:rPr>
        <w:t xml:space="preserve"> </w:t>
      </w:r>
      <w:r w:rsidRPr="00611291">
        <w:rPr>
          <w:rFonts w:ascii="Palatino Linotype" w:eastAsia="Palatino Linotype" w:hAnsi="Palatino Linotype" w:cs="Palatino Linotype"/>
          <w:b/>
          <w:i/>
          <w:sz w:val="22"/>
          <w:szCs w:val="22"/>
        </w:rPr>
        <w:t xml:space="preserve">“Artículo.- 86 </w:t>
      </w:r>
    </w:p>
    <w:p w14:paraId="12167367" w14:textId="77777777" w:rsidR="00546E25" w:rsidRPr="00611291" w:rsidRDefault="00546E25" w:rsidP="00546E25">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p>
    <w:p w14:paraId="0255EDB8" w14:textId="77777777" w:rsidR="00546E25" w:rsidRPr="00611291" w:rsidRDefault="00546E25" w:rsidP="00546E25">
      <w:pPr>
        <w:spacing w:before="120" w:after="120"/>
        <w:ind w:left="851" w:right="902"/>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i/>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611291">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611291">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611291">
        <w:rPr>
          <w:rFonts w:ascii="Palatino Linotype" w:eastAsia="Palatino Linotype" w:hAnsi="Palatino Linotype" w:cs="Palatino Linotype"/>
          <w:sz w:val="22"/>
          <w:szCs w:val="22"/>
        </w:rPr>
        <w:t xml:space="preserve">” </w:t>
      </w:r>
    </w:p>
    <w:p w14:paraId="358D6145" w14:textId="77777777" w:rsidR="00546E25" w:rsidRPr="00611291" w:rsidRDefault="00546E25" w:rsidP="00546E25">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Del precepto citado, se advierte que los municipios al ser entes públicos se encuentran constreñidos a expedir y entregar los </w:t>
      </w:r>
      <w:r w:rsidRPr="00611291">
        <w:rPr>
          <w:rFonts w:ascii="Palatino Linotype" w:eastAsia="Palatino Linotype" w:hAnsi="Palatino Linotype" w:cs="Palatino Linotype"/>
          <w:b/>
          <w:sz w:val="22"/>
          <w:szCs w:val="22"/>
        </w:rPr>
        <w:t xml:space="preserve">comprobantes fiscales correspondientes a las personas que reciban pagos por conceptos de salarios, </w:t>
      </w:r>
      <w:r w:rsidRPr="00611291">
        <w:rPr>
          <w:rFonts w:ascii="Palatino Linotype" w:eastAsia="Palatino Linotype" w:hAnsi="Palatino Linotype" w:cs="Palatino Linotype"/>
          <w:sz w:val="22"/>
          <w:szCs w:val="22"/>
        </w:rPr>
        <w:t xml:space="preserve">mismos que pueden ser utilizados como </w:t>
      </w:r>
      <w:r w:rsidRPr="00611291">
        <w:rPr>
          <w:rFonts w:ascii="Palatino Linotype" w:eastAsia="Palatino Linotype" w:hAnsi="Palatino Linotype" w:cs="Palatino Linotype"/>
          <w:b/>
          <w:sz w:val="22"/>
          <w:szCs w:val="22"/>
        </w:rPr>
        <w:t>constancia o</w:t>
      </w:r>
      <w:r w:rsidRPr="00611291">
        <w:rPr>
          <w:rFonts w:ascii="Palatino Linotype" w:eastAsia="Palatino Linotype" w:hAnsi="Palatino Linotype" w:cs="Palatino Linotype"/>
          <w:sz w:val="22"/>
          <w:szCs w:val="22"/>
        </w:rPr>
        <w:t xml:space="preserve"> </w:t>
      </w:r>
      <w:r w:rsidRPr="00611291">
        <w:rPr>
          <w:rFonts w:ascii="Palatino Linotype" w:eastAsia="Palatino Linotype" w:hAnsi="Palatino Linotype" w:cs="Palatino Linotype"/>
          <w:b/>
          <w:sz w:val="22"/>
          <w:szCs w:val="22"/>
        </w:rPr>
        <w:t>recibo de pago</w:t>
      </w:r>
      <w:r w:rsidRPr="00611291">
        <w:rPr>
          <w:rFonts w:ascii="Palatino Linotype" w:eastAsia="Palatino Linotype" w:hAnsi="Palatino Linotype" w:cs="Palatino Linotype"/>
          <w:sz w:val="22"/>
          <w:szCs w:val="22"/>
        </w:rPr>
        <w:t>.</w:t>
      </w:r>
    </w:p>
    <w:p w14:paraId="0BD95B1B" w14:textId="77777777" w:rsidR="00546E25" w:rsidRPr="00611291" w:rsidRDefault="00546E25" w:rsidP="00546E25">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2C88C66B" w14:textId="77777777" w:rsidR="00546E25" w:rsidRPr="00611291" w:rsidRDefault="00546E25" w:rsidP="00546E25">
      <w:pPr>
        <w:tabs>
          <w:tab w:val="left" w:pos="9072"/>
        </w:tabs>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“ARTÍCULO 220 K.-</w:t>
      </w:r>
      <w:r w:rsidRPr="00611291">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1630C5C6" w14:textId="77777777" w:rsidR="00546E25" w:rsidRPr="00611291" w:rsidRDefault="00546E25" w:rsidP="00546E25">
      <w:pPr>
        <w:tabs>
          <w:tab w:val="left" w:pos="9072"/>
        </w:tabs>
        <w:spacing w:before="120" w:after="120"/>
        <w:ind w:left="1134"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p>
    <w:p w14:paraId="681FFAAB" w14:textId="77777777" w:rsidR="00546E25" w:rsidRPr="00611291" w:rsidRDefault="00546E25" w:rsidP="00546E25">
      <w:pPr>
        <w:tabs>
          <w:tab w:val="left" w:pos="9072"/>
        </w:tabs>
        <w:spacing w:before="120" w:after="120"/>
        <w:ind w:left="1134"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II</w:t>
      </w:r>
      <w:r w:rsidRPr="00611291">
        <w:rPr>
          <w:rFonts w:ascii="Palatino Linotype" w:eastAsia="Palatino Linotype" w:hAnsi="Palatino Linotype" w:cs="Palatino Linotype"/>
          <w:i/>
          <w:sz w:val="22"/>
          <w:szCs w:val="22"/>
        </w:rPr>
        <w:t>. Recibos de pagos de salarios o las constancias documentales del pago de salario cuando sea por depósito o mediante información electrónica;</w:t>
      </w:r>
    </w:p>
    <w:p w14:paraId="2DE065BD" w14:textId="77777777" w:rsidR="00546E25" w:rsidRPr="00611291" w:rsidRDefault="00546E25" w:rsidP="00546E25">
      <w:pPr>
        <w:tabs>
          <w:tab w:val="left" w:pos="9072"/>
        </w:tabs>
        <w:spacing w:before="120" w:after="120"/>
        <w:ind w:left="1134"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p>
    <w:p w14:paraId="14ABC18E" w14:textId="77777777" w:rsidR="00546E25" w:rsidRPr="00611291" w:rsidRDefault="00546E25" w:rsidP="00546E25">
      <w:pPr>
        <w:tabs>
          <w:tab w:val="left" w:pos="9072"/>
        </w:tabs>
        <w:spacing w:before="120" w:after="120"/>
        <w:ind w:left="1134"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IV</w:t>
      </w:r>
      <w:r w:rsidRPr="00611291">
        <w:rPr>
          <w:rFonts w:ascii="Palatino Linotype" w:eastAsia="Palatino Linotype" w:hAnsi="Palatino Linotype" w:cs="Palatino Linotype"/>
          <w:i/>
          <w:sz w:val="22"/>
          <w:szCs w:val="22"/>
        </w:rPr>
        <w:t>. Recibos o las constancias de depósito o del medio de información magnética o electrónica que sean utilizadas para el pago de salarios, prima vacacional, aguinaldo y demás prestaciones establecidas en la presente ley; y…</w:t>
      </w:r>
    </w:p>
    <w:p w14:paraId="1C2D196A" w14:textId="77777777" w:rsidR="00546E25" w:rsidRPr="00611291" w:rsidRDefault="00546E25" w:rsidP="00546E25">
      <w:pPr>
        <w:tabs>
          <w:tab w:val="left" w:pos="9072"/>
        </w:tabs>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934AD29" w14:textId="77777777" w:rsidR="00546E25" w:rsidRPr="00611291" w:rsidRDefault="00546E25" w:rsidP="00546E25">
      <w:pPr>
        <w:tabs>
          <w:tab w:val="left" w:pos="9072"/>
        </w:tabs>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4E3B378" w14:textId="77777777" w:rsidR="00546E25" w:rsidRPr="00611291" w:rsidRDefault="00546E25" w:rsidP="00546E25">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6E68D78F" w14:textId="77777777" w:rsidR="00546E25" w:rsidRPr="00611291" w:rsidRDefault="00546E25" w:rsidP="00546E25">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Sobre la base del precepto legal citado, se advierte que </w:t>
      </w:r>
      <w:r w:rsidRPr="00611291">
        <w:rPr>
          <w:rFonts w:ascii="Palatino Linotype" w:eastAsia="Palatino Linotype" w:hAnsi="Palatino Linotype" w:cs="Palatino Linotype"/>
          <w:i/>
          <w:sz w:val="22"/>
          <w:szCs w:val="22"/>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611291">
        <w:rPr>
          <w:rFonts w:ascii="Palatino Linotype" w:eastAsia="Palatino Linotype" w:hAnsi="Palatino Linotype" w:cs="Palatino Linotype"/>
          <w:sz w:val="22"/>
          <w:szCs w:val="22"/>
        </w:rPr>
        <w:t>.</w:t>
      </w:r>
    </w:p>
    <w:p w14:paraId="47228867" w14:textId="77777777" w:rsidR="00546E25" w:rsidRPr="00611291" w:rsidRDefault="00546E25" w:rsidP="006F3A18">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Por tanto, los recibos de nómina o comprobantes digitales por concepto de nómina tienen como objetivo presentar la información del pago de las remuneraciones de cada uno de los servidores públicos de la entidad fiscalizable de que se trate correspondiente a un periodo determinado.</w:t>
      </w:r>
    </w:p>
    <w:p w14:paraId="223BEBB6" w14:textId="72116114" w:rsidR="00FA0237" w:rsidRPr="00611291" w:rsidRDefault="00FA0237" w:rsidP="006F3A18">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De lo hasta aquí expuesto, se concluye que los motivos de inconformidad de la parte </w:t>
      </w:r>
      <w:r w:rsidRPr="00611291">
        <w:rPr>
          <w:rFonts w:ascii="Palatino Linotype" w:eastAsia="Palatino Linotype" w:hAnsi="Palatino Linotype" w:cs="Palatino Linotype"/>
          <w:b/>
          <w:sz w:val="22"/>
          <w:szCs w:val="22"/>
        </w:rPr>
        <w:t xml:space="preserve">Recurrente </w:t>
      </w:r>
      <w:r w:rsidRPr="00611291">
        <w:rPr>
          <w:rFonts w:ascii="Palatino Linotype" w:eastAsia="Palatino Linotype" w:hAnsi="Palatino Linotype" w:cs="Palatino Linotype"/>
          <w:sz w:val="22"/>
          <w:szCs w:val="22"/>
        </w:rPr>
        <w:t xml:space="preserve">devienen fundados, siendo procedente </w:t>
      </w:r>
      <w:r w:rsidRPr="00611291">
        <w:rPr>
          <w:rFonts w:ascii="Palatino Linotype" w:eastAsia="Palatino Linotype" w:hAnsi="Palatino Linotype" w:cs="Palatino Linotype"/>
          <w:i/>
          <w:sz w:val="22"/>
          <w:szCs w:val="22"/>
        </w:rPr>
        <w:t xml:space="preserve">Revocar </w:t>
      </w:r>
      <w:r w:rsidRPr="00611291">
        <w:rPr>
          <w:rFonts w:ascii="Palatino Linotype" w:eastAsia="Palatino Linotype" w:hAnsi="Palatino Linotype" w:cs="Palatino Linotype"/>
          <w:sz w:val="22"/>
          <w:szCs w:val="22"/>
        </w:rPr>
        <w:t xml:space="preserve">la respuesta proporcionada por el </w:t>
      </w:r>
      <w:r w:rsidRPr="00611291">
        <w:rPr>
          <w:rFonts w:ascii="Palatino Linotype" w:eastAsia="Palatino Linotype" w:hAnsi="Palatino Linotype" w:cs="Palatino Linotype"/>
          <w:b/>
          <w:sz w:val="22"/>
          <w:szCs w:val="22"/>
        </w:rPr>
        <w:t xml:space="preserve">Sujeto Obligado </w:t>
      </w:r>
      <w:r w:rsidRPr="00611291">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bookmarkEnd w:id="8"/>
    <w:p w14:paraId="57A7263F" w14:textId="77777777" w:rsidR="000D66CA" w:rsidRPr="00611291" w:rsidRDefault="000D66CA" w:rsidP="000D66CA">
      <w:pPr>
        <w:spacing w:before="240" w:after="240" w:line="360" w:lineRule="auto"/>
        <w:ind w:right="51"/>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b/>
          <w:sz w:val="22"/>
          <w:szCs w:val="22"/>
        </w:rPr>
        <w:t xml:space="preserve">Quinto. Versión Pública. </w:t>
      </w:r>
      <w:r w:rsidRPr="00611291">
        <w:rPr>
          <w:rFonts w:ascii="Palatino Linotype" w:eastAsia="Palatino Linotype" w:hAnsi="Palatino Linotype" w:cs="Palatino Linotype"/>
          <w:sz w:val="22"/>
          <w:szCs w:val="22"/>
        </w:rPr>
        <w:t>Como fue debidamente apuntado, el </w:t>
      </w:r>
      <w:r w:rsidRPr="00611291">
        <w:rPr>
          <w:rFonts w:ascii="Palatino Linotype" w:eastAsia="Palatino Linotype" w:hAnsi="Palatino Linotype" w:cs="Palatino Linotype"/>
          <w:b/>
          <w:sz w:val="22"/>
          <w:szCs w:val="22"/>
        </w:rPr>
        <w:t>Sujeto Obligado</w:t>
      </w:r>
      <w:r w:rsidRPr="00611291">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27336C6" w14:textId="77777777" w:rsidR="000D66CA" w:rsidRPr="00611291" w:rsidRDefault="000D66CA" w:rsidP="000D66CA">
      <w:pPr>
        <w:spacing w:before="240" w:after="240" w:line="360" w:lineRule="auto"/>
        <w:ind w:right="49"/>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9091562" w14:textId="77777777" w:rsidR="000D66CA" w:rsidRPr="00611291" w:rsidRDefault="000D66CA" w:rsidP="000D66CA">
      <w:pPr>
        <w:spacing w:before="240" w:after="240" w:line="360" w:lineRule="auto"/>
        <w:ind w:right="49"/>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C862712" w14:textId="77777777" w:rsidR="000D66CA" w:rsidRPr="00611291" w:rsidRDefault="000D66CA" w:rsidP="000D66CA">
      <w:pPr>
        <w:spacing w:before="240" w:after="240" w:line="360" w:lineRule="auto"/>
        <w:ind w:right="49"/>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5195A88B"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sz w:val="22"/>
          <w:szCs w:val="22"/>
        </w:rPr>
        <w:t> </w:t>
      </w:r>
      <w:r w:rsidRPr="00611291">
        <w:rPr>
          <w:rFonts w:ascii="Palatino Linotype" w:eastAsia="Palatino Linotype" w:hAnsi="Palatino Linotype" w:cs="Palatino Linotype"/>
          <w:i/>
          <w:sz w:val="22"/>
          <w:szCs w:val="22"/>
        </w:rPr>
        <w:t>“</w:t>
      </w:r>
      <w:r w:rsidRPr="00611291">
        <w:rPr>
          <w:rFonts w:ascii="Palatino Linotype" w:eastAsia="Palatino Linotype" w:hAnsi="Palatino Linotype" w:cs="Palatino Linotype"/>
          <w:b/>
          <w:i/>
          <w:sz w:val="22"/>
          <w:szCs w:val="22"/>
        </w:rPr>
        <w:t>Artículo 3.</w:t>
      </w:r>
      <w:r w:rsidRPr="00611291">
        <w:rPr>
          <w:rFonts w:ascii="Palatino Linotype" w:eastAsia="Palatino Linotype" w:hAnsi="Palatino Linotype" w:cs="Palatino Linotype"/>
          <w:i/>
          <w:sz w:val="22"/>
          <w:szCs w:val="22"/>
        </w:rPr>
        <w:t xml:space="preserve"> Para los efectos de la presente Ley se entenderá por:</w:t>
      </w:r>
    </w:p>
    <w:p w14:paraId="756FAF84" w14:textId="77777777" w:rsidR="000D66CA" w:rsidRPr="00611291" w:rsidRDefault="000D66CA" w:rsidP="000D66CA">
      <w:pPr>
        <w:tabs>
          <w:tab w:val="left" w:pos="1276"/>
        </w:tabs>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p>
    <w:p w14:paraId="58AD3EAE" w14:textId="77777777" w:rsidR="000D66CA" w:rsidRPr="00611291" w:rsidRDefault="000D66CA" w:rsidP="000D66CA">
      <w:pPr>
        <w:tabs>
          <w:tab w:val="left" w:pos="1276"/>
        </w:tabs>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IX. Datos personales</w:t>
      </w:r>
      <w:r w:rsidRPr="00611291">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94A906D" w14:textId="77777777" w:rsidR="000D66CA" w:rsidRPr="00611291" w:rsidRDefault="000D66CA" w:rsidP="000D66CA">
      <w:pPr>
        <w:tabs>
          <w:tab w:val="left" w:pos="1276"/>
        </w:tabs>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p>
    <w:p w14:paraId="0C9358B4" w14:textId="77777777" w:rsidR="000D66CA" w:rsidRPr="00611291" w:rsidRDefault="000D66CA" w:rsidP="000D66CA">
      <w:pPr>
        <w:tabs>
          <w:tab w:val="left" w:pos="1276"/>
        </w:tabs>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XX. Información clasificada</w:t>
      </w:r>
      <w:r w:rsidRPr="00611291">
        <w:rPr>
          <w:rFonts w:ascii="Palatino Linotype" w:eastAsia="Palatino Linotype" w:hAnsi="Palatino Linotype" w:cs="Palatino Linotype"/>
          <w:i/>
          <w:sz w:val="22"/>
          <w:szCs w:val="22"/>
        </w:rPr>
        <w:t>: Aquella considerada por la presente Ley como reservada o confidencial;</w:t>
      </w:r>
    </w:p>
    <w:p w14:paraId="0BBEA039" w14:textId="77777777" w:rsidR="000D66CA" w:rsidRPr="00611291" w:rsidRDefault="000D66CA" w:rsidP="000D66CA">
      <w:pPr>
        <w:tabs>
          <w:tab w:val="left" w:pos="1276"/>
        </w:tabs>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XXI. Información confidencial</w:t>
      </w:r>
      <w:r w:rsidRPr="00611291">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B157257" w14:textId="77777777" w:rsidR="000D66CA" w:rsidRPr="00611291" w:rsidRDefault="000D66CA" w:rsidP="000D66CA">
      <w:pPr>
        <w:tabs>
          <w:tab w:val="left" w:pos="1276"/>
        </w:tabs>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p>
    <w:p w14:paraId="70D03FF4" w14:textId="77777777" w:rsidR="000D66CA" w:rsidRPr="00611291" w:rsidRDefault="000D66CA" w:rsidP="000D66CA">
      <w:pPr>
        <w:tabs>
          <w:tab w:val="left" w:pos="1276"/>
        </w:tabs>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XXXII. Protección de Datos Personales</w:t>
      </w:r>
      <w:r w:rsidRPr="00611291">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0032775E" w14:textId="77777777" w:rsidR="000D66CA" w:rsidRPr="00611291" w:rsidRDefault="000D66CA" w:rsidP="000D66CA">
      <w:pPr>
        <w:tabs>
          <w:tab w:val="left" w:pos="1276"/>
        </w:tabs>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p>
    <w:p w14:paraId="2B1A1137" w14:textId="77777777" w:rsidR="000D66CA" w:rsidRPr="00611291" w:rsidRDefault="000D66CA" w:rsidP="000D66CA">
      <w:pPr>
        <w:tabs>
          <w:tab w:val="left" w:pos="1276"/>
        </w:tabs>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XLV. Versión pública</w:t>
      </w:r>
      <w:r w:rsidRPr="00611291">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2132A13"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 Artículo 6</w:t>
      </w:r>
      <w:r w:rsidRPr="00611291">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441DA84"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p>
    <w:p w14:paraId="7D68DBF5"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Artículo 91.</w:t>
      </w:r>
      <w:r w:rsidRPr="0061129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611291">
        <w:rPr>
          <w:rFonts w:ascii="Palatino Linotype" w:eastAsia="Palatino Linotype" w:hAnsi="Palatino Linotype" w:cs="Palatino Linotype"/>
          <w:i/>
          <w:sz w:val="22"/>
          <w:szCs w:val="22"/>
        </w:rPr>
        <w:br/>
        <w:t>…</w:t>
      </w:r>
    </w:p>
    <w:p w14:paraId="3ACB3652"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Artículo 132.</w:t>
      </w:r>
      <w:r w:rsidRPr="00611291">
        <w:rPr>
          <w:rFonts w:ascii="Palatino Linotype" w:eastAsia="Palatino Linotype" w:hAnsi="Palatino Linotype" w:cs="Palatino Linotype"/>
          <w:i/>
          <w:sz w:val="22"/>
          <w:szCs w:val="22"/>
        </w:rPr>
        <w:t xml:space="preserve"> La clasificación de la información se llevará a cabo en el momento en que:</w:t>
      </w:r>
    </w:p>
    <w:p w14:paraId="20EFCC6C"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w:t>
      </w:r>
      <w:r w:rsidRPr="00611291">
        <w:rPr>
          <w:rFonts w:ascii="Palatino Linotype" w:eastAsia="Palatino Linotype" w:hAnsi="Palatino Linotype" w:cs="Palatino Linotype"/>
          <w:i/>
          <w:sz w:val="22"/>
          <w:szCs w:val="22"/>
        </w:rPr>
        <w:t>. Se reciba una solicitud de acceso a la información;</w:t>
      </w:r>
    </w:p>
    <w:p w14:paraId="2A81FC8A"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II.</w:t>
      </w:r>
      <w:r w:rsidRPr="00611291">
        <w:rPr>
          <w:rFonts w:ascii="Palatino Linotype" w:eastAsia="Palatino Linotype" w:hAnsi="Palatino Linotype" w:cs="Palatino Linotype"/>
          <w:i/>
          <w:sz w:val="22"/>
          <w:szCs w:val="22"/>
        </w:rPr>
        <w:t xml:space="preserve"> Se determine mediante resolución de autoridad competente; o</w:t>
      </w:r>
    </w:p>
    <w:p w14:paraId="57C2018A"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III.</w:t>
      </w:r>
      <w:r w:rsidRPr="00611291">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48C1E8F1"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w:t>
      </w:r>
    </w:p>
    <w:p w14:paraId="52124F46"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Artículo 137.</w:t>
      </w:r>
      <w:r w:rsidRPr="00611291">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3781596"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 Artículo 143.</w:t>
      </w:r>
      <w:r w:rsidRPr="00611291">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50E0D736"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w:t>
      </w:r>
      <w:r w:rsidRPr="00611291">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5CAD038A" w14:textId="77777777" w:rsidR="000D66CA" w:rsidRPr="00611291" w:rsidRDefault="000D66CA" w:rsidP="000D66CA">
      <w:pPr>
        <w:spacing w:before="240" w:after="240" w:line="360" w:lineRule="auto"/>
        <w:ind w:right="50"/>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11291">
        <w:rPr>
          <w:rFonts w:ascii="Palatino Linotype" w:eastAsia="Palatino Linotype" w:hAnsi="Palatino Linotype" w:cs="Palatino Linotype"/>
          <w:b/>
          <w:sz w:val="22"/>
          <w:szCs w:val="22"/>
        </w:rPr>
        <w:t>Sujeto Obligado</w:t>
      </w:r>
      <w:r w:rsidRPr="00611291">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46DA590" w14:textId="77777777" w:rsidR="000D66CA" w:rsidRPr="00611291" w:rsidRDefault="000D66CA" w:rsidP="000D66CA">
      <w:pPr>
        <w:spacing w:before="240" w:after="240" w:line="360" w:lineRule="auto"/>
        <w:ind w:right="50"/>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D757CC0"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611291">
        <w:rPr>
          <w:rFonts w:ascii="Palatino Linotype" w:eastAsia="Palatino Linotype" w:hAnsi="Palatino Linotype" w:cs="Palatino Linotype"/>
          <w:b/>
          <w:sz w:val="22"/>
          <w:szCs w:val="22"/>
        </w:rPr>
        <w:t>Sujeto Obligado</w:t>
      </w:r>
      <w:r w:rsidRPr="00611291">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611291">
        <w:rPr>
          <w:rFonts w:ascii="Palatino Linotype" w:eastAsia="Palatino Linotype" w:hAnsi="Palatino Linotype" w:cs="Palatino Linotype"/>
          <w:b/>
          <w:sz w:val="22"/>
          <w:szCs w:val="22"/>
        </w:rPr>
        <w:t>Registro Federal de Contribuyentes</w:t>
      </w:r>
      <w:r w:rsidRPr="00611291">
        <w:rPr>
          <w:rFonts w:ascii="Palatino Linotype" w:eastAsia="Palatino Linotype" w:hAnsi="Palatino Linotype" w:cs="Palatino Linotype"/>
          <w:sz w:val="22"/>
          <w:szCs w:val="22"/>
        </w:rPr>
        <w:t xml:space="preserve"> (RFC), la </w:t>
      </w:r>
      <w:r w:rsidRPr="00611291">
        <w:rPr>
          <w:rFonts w:ascii="Palatino Linotype" w:eastAsia="Palatino Linotype" w:hAnsi="Palatino Linotype" w:cs="Palatino Linotype"/>
          <w:b/>
          <w:sz w:val="22"/>
          <w:szCs w:val="22"/>
        </w:rPr>
        <w:t>Clave Única de Registro de Población</w:t>
      </w:r>
      <w:r w:rsidRPr="00611291">
        <w:rPr>
          <w:rFonts w:ascii="Palatino Linotype" w:eastAsia="Palatino Linotype" w:hAnsi="Palatino Linotype" w:cs="Palatino Linotype"/>
          <w:sz w:val="22"/>
          <w:szCs w:val="22"/>
        </w:rPr>
        <w:t xml:space="preserve"> (CURP), la </w:t>
      </w:r>
      <w:r w:rsidRPr="00611291">
        <w:rPr>
          <w:rFonts w:ascii="Palatino Linotype" w:eastAsia="Palatino Linotype" w:hAnsi="Palatino Linotype" w:cs="Palatino Linotype"/>
          <w:b/>
          <w:sz w:val="22"/>
          <w:szCs w:val="22"/>
        </w:rPr>
        <w:t>Clave de cualquier tipo de seguridad social</w:t>
      </w:r>
      <w:r w:rsidRPr="00611291">
        <w:rPr>
          <w:rFonts w:ascii="Palatino Linotype" w:eastAsia="Palatino Linotype" w:hAnsi="Palatino Linotype" w:cs="Palatino Linotype"/>
          <w:sz w:val="22"/>
          <w:szCs w:val="22"/>
        </w:rPr>
        <w:t xml:space="preserve"> (ISSEMYM, u otros), los </w:t>
      </w:r>
      <w:r w:rsidRPr="00611291">
        <w:rPr>
          <w:rFonts w:ascii="Palatino Linotype" w:eastAsia="Palatino Linotype" w:hAnsi="Palatino Linotype" w:cs="Palatino Linotype"/>
          <w:b/>
          <w:sz w:val="22"/>
          <w:szCs w:val="22"/>
        </w:rPr>
        <w:t>números de cuentas bancarias</w:t>
      </w:r>
      <w:r w:rsidRPr="00611291">
        <w:rPr>
          <w:rFonts w:ascii="Palatino Linotype" w:eastAsia="Palatino Linotype" w:hAnsi="Palatino Linotype" w:cs="Palatino Linotype"/>
          <w:sz w:val="22"/>
          <w:szCs w:val="22"/>
        </w:rPr>
        <w:t xml:space="preserve">, claves estandarizadas – interbancarias - (CLABES) y de tarjetas, los </w:t>
      </w:r>
      <w:r w:rsidRPr="00611291">
        <w:rPr>
          <w:rFonts w:ascii="Palatino Linotype" w:eastAsia="Palatino Linotype" w:hAnsi="Palatino Linotype" w:cs="Palatino Linotype"/>
          <w:b/>
          <w:sz w:val="22"/>
          <w:szCs w:val="22"/>
        </w:rPr>
        <w:t>préstamos o descuentos</w:t>
      </w:r>
      <w:r w:rsidRPr="00611291">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611291">
        <w:rPr>
          <w:rFonts w:ascii="Palatino Linotype" w:eastAsia="Palatino Linotype" w:hAnsi="Palatino Linotype" w:cs="Palatino Linotype"/>
          <w:b/>
          <w:sz w:val="22"/>
          <w:szCs w:val="22"/>
        </w:rPr>
        <w:t xml:space="preserve"> número de empleado, </w:t>
      </w:r>
      <w:r w:rsidRPr="00611291">
        <w:rPr>
          <w:rFonts w:ascii="Palatino Linotype" w:eastAsia="Palatino Linotype" w:hAnsi="Palatino Linotype" w:cs="Palatino Linotype"/>
          <w:sz w:val="22"/>
          <w:szCs w:val="22"/>
        </w:rPr>
        <w:t xml:space="preserve">y, de ser el caso, el </w:t>
      </w:r>
      <w:r w:rsidRPr="00611291">
        <w:rPr>
          <w:rFonts w:ascii="Palatino Linotype" w:eastAsia="Palatino Linotype" w:hAnsi="Palatino Linotype" w:cs="Palatino Linotype"/>
          <w:b/>
          <w:sz w:val="22"/>
          <w:szCs w:val="22"/>
        </w:rPr>
        <w:t>folio fiscal</w:t>
      </w:r>
      <w:r w:rsidRPr="00611291">
        <w:rPr>
          <w:rFonts w:ascii="Palatino Linotype" w:eastAsia="Palatino Linotype" w:hAnsi="Palatino Linotype" w:cs="Palatino Linotype"/>
          <w:sz w:val="22"/>
          <w:szCs w:val="22"/>
        </w:rPr>
        <w:t xml:space="preserve">, la </w:t>
      </w:r>
      <w:r w:rsidRPr="00611291">
        <w:rPr>
          <w:rFonts w:ascii="Palatino Linotype" w:eastAsia="Palatino Linotype" w:hAnsi="Palatino Linotype" w:cs="Palatino Linotype"/>
          <w:b/>
          <w:sz w:val="22"/>
          <w:szCs w:val="22"/>
        </w:rPr>
        <w:t xml:space="preserve">cadena original, </w:t>
      </w:r>
      <w:r w:rsidRPr="00611291">
        <w:rPr>
          <w:rFonts w:ascii="Palatino Linotype" w:eastAsia="Palatino Linotype" w:hAnsi="Palatino Linotype" w:cs="Palatino Linotype"/>
          <w:sz w:val="22"/>
          <w:szCs w:val="22"/>
        </w:rPr>
        <w:t>los</w:t>
      </w:r>
      <w:r w:rsidRPr="00611291">
        <w:rPr>
          <w:rFonts w:ascii="Palatino Linotype" w:eastAsia="Palatino Linotype" w:hAnsi="Palatino Linotype" w:cs="Palatino Linotype"/>
          <w:b/>
          <w:sz w:val="22"/>
          <w:szCs w:val="22"/>
        </w:rPr>
        <w:t xml:space="preserve"> códigos bidimensionales o códigos QR,</w:t>
      </w:r>
      <w:r w:rsidRPr="00611291">
        <w:rPr>
          <w:rFonts w:ascii="Palatino Linotype" w:eastAsia="Palatino Linotype" w:hAnsi="Palatino Linotype" w:cs="Palatino Linotype"/>
          <w:sz w:val="22"/>
          <w:szCs w:val="22"/>
        </w:rPr>
        <w:t xml:space="preserve"> y cualquier información de carácter fiscal.</w:t>
      </w:r>
    </w:p>
    <w:p w14:paraId="0F3F99E9" w14:textId="77777777" w:rsidR="000D66CA" w:rsidRPr="00611291" w:rsidRDefault="000D66CA" w:rsidP="000D66CA">
      <w:pPr>
        <w:spacing w:before="240" w:after="240" w:line="360" w:lineRule="auto"/>
        <w:ind w:right="50"/>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600300D"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Por cuanto hace al </w:t>
      </w:r>
      <w:r w:rsidRPr="00611291">
        <w:rPr>
          <w:rFonts w:ascii="Palatino Linotype" w:eastAsia="Palatino Linotype" w:hAnsi="Palatino Linotype" w:cs="Palatino Linotype"/>
          <w:b/>
          <w:sz w:val="22"/>
          <w:szCs w:val="22"/>
        </w:rPr>
        <w:t>Registro Federal de Contribuyentes, RFC,</w:t>
      </w:r>
      <w:r w:rsidRPr="00611291">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2040233D"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DFC536E" w14:textId="6F89FEB6" w:rsidR="001309F0" w:rsidRPr="00611291" w:rsidRDefault="001309F0" w:rsidP="001309F0">
      <w:pPr>
        <w:spacing w:before="240" w:after="240" w:line="360" w:lineRule="auto"/>
        <w:jc w:val="both"/>
        <w:rPr>
          <w:rFonts w:ascii="Palatino Linotype" w:eastAsia="Palatino Linotype" w:hAnsi="Palatino Linotype" w:cs="Palatino Linotype"/>
          <w:b/>
          <w:sz w:val="22"/>
          <w:szCs w:val="22"/>
        </w:rPr>
      </w:pPr>
      <w:r w:rsidRPr="00611291">
        <w:rPr>
          <w:rFonts w:ascii="Palatino Linotype" w:eastAsia="Palatino Linotype" w:hAnsi="Palatino Linotype" w:cs="Palatino Linotype"/>
          <w:sz w:val="22"/>
          <w:szCs w:val="22"/>
        </w:rPr>
        <w:t>Sirve de apoyo a lo anterior, el criterio orientador con clave de control SO/019/2017, emitido por el entonces Instituto Nacional de Transparencia, Acceso a la Información y Protección de Datos Personales, que por rubro y texto, dispone lo siguiente:</w:t>
      </w:r>
      <w:r w:rsidRPr="00611291">
        <w:rPr>
          <w:rFonts w:ascii="Palatino Linotype" w:eastAsia="Palatino Linotype" w:hAnsi="Palatino Linotype" w:cs="Palatino Linotype"/>
          <w:b/>
          <w:sz w:val="22"/>
          <w:szCs w:val="22"/>
        </w:rPr>
        <w:t xml:space="preserve"> </w:t>
      </w:r>
    </w:p>
    <w:p w14:paraId="7B729AE4" w14:textId="1BFD78EA" w:rsidR="000D66CA" w:rsidRPr="00611291" w:rsidRDefault="000D66CA" w:rsidP="000D66CA">
      <w:pPr>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“Registro Federal de Contribuyentes (RFC) de personas físicas</w:t>
      </w:r>
      <w:r w:rsidRPr="00611291">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76AD05E0" w14:textId="77777777" w:rsidR="000D66CA" w:rsidRPr="00611291" w:rsidRDefault="000D66CA" w:rsidP="000D66C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61478F4" w14:textId="0CC6039E" w:rsidR="001309F0" w:rsidRPr="00611291" w:rsidRDefault="000D66CA" w:rsidP="000D66C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De igual manera la </w:t>
      </w:r>
      <w:r w:rsidRPr="00611291">
        <w:rPr>
          <w:rFonts w:ascii="Palatino Linotype" w:eastAsia="Palatino Linotype" w:hAnsi="Palatino Linotype" w:cs="Palatino Linotype"/>
          <w:b/>
          <w:sz w:val="22"/>
          <w:szCs w:val="22"/>
        </w:rPr>
        <w:t>Clave Única de Registro de Población</w:t>
      </w:r>
      <w:r w:rsidRPr="00611291">
        <w:rPr>
          <w:rFonts w:ascii="Palatino Linotype" w:eastAsia="Palatino Linotype" w:hAnsi="Palatino Linotype" w:cs="Palatino Linotype"/>
          <w:sz w:val="22"/>
          <w:szCs w:val="22"/>
        </w:rPr>
        <w:t xml:space="preserve">, </w:t>
      </w:r>
      <w:r w:rsidRPr="00611291">
        <w:rPr>
          <w:rFonts w:ascii="Palatino Linotype" w:eastAsia="Palatino Linotype" w:hAnsi="Palatino Linotype" w:cs="Palatino Linotype"/>
          <w:b/>
          <w:sz w:val="22"/>
          <w:szCs w:val="22"/>
        </w:rPr>
        <w:t>CURP,</w:t>
      </w:r>
      <w:r w:rsidRPr="00611291">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082F2FC3" w14:textId="62721FCE" w:rsidR="000D66CA" w:rsidRPr="00611291" w:rsidRDefault="000D66CA" w:rsidP="000D66C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Argumento que </w:t>
      </w:r>
      <w:r w:rsidR="001309F0" w:rsidRPr="00611291">
        <w:rPr>
          <w:rFonts w:ascii="Palatino Linotype" w:eastAsia="Palatino Linotype" w:hAnsi="Palatino Linotype" w:cs="Palatino Linotype"/>
          <w:sz w:val="22"/>
          <w:szCs w:val="22"/>
        </w:rPr>
        <w:t xml:space="preserve">se sustenta con el criterio orientador con clave de control SO/018/2017 emitido por </w:t>
      </w:r>
      <w:r w:rsidRPr="00611291">
        <w:rPr>
          <w:rFonts w:ascii="Palatino Linotype" w:eastAsia="Palatino Linotype" w:hAnsi="Palatino Linotype" w:cs="Palatino Linotype"/>
          <w:sz w:val="22"/>
          <w:szCs w:val="22"/>
        </w:rPr>
        <w:t>el</w:t>
      </w:r>
      <w:r w:rsidR="00143423" w:rsidRPr="00611291">
        <w:rPr>
          <w:rFonts w:ascii="Palatino Linotype" w:eastAsia="Palatino Linotype" w:hAnsi="Palatino Linotype" w:cs="Palatino Linotype"/>
          <w:sz w:val="22"/>
          <w:szCs w:val="22"/>
        </w:rPr>
        <w:t xml:space="preserve"> entonces</w:t>
      </w:r>
      <w:r w:rsidRPr="00611291">
        <w:rPr>
          <w:rFonts w:ascii="Palatino Linotype" w:eastAsia="Palatino Linotype" w:hAnsi="Palatino Linotype" w:cs="Palatino Linotype"/>
          <w:sz w:val="22"/>
          <w:szCs w:val="22"/>
        </w:rPr>
        <w:t xml:space="preserve"> Instituto Nacional de Transparencia, Acceso a la Información y Protección de Datos Personales, INAI, el cual refiere:</w:t>
      </w:r>
    </w:p>
    <w:p w14:paraId="1547F1C2" w14:textId="77777777" w:rsidR="000D66CA" w:rsidRPr="00611291" w:rsidRDefault="000D66CA" w:rsidP="000D66CA">
      <w:pPr>
        <w:ind w:left="851" w:right="851"/>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 xml:space="preserve"> “Clave Única de Registro de Población (CURP). </w:t>
      </w:r>
      <w:r w:rsidRPr="00611291">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4124F82"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Por lo que respecta a la </w:t>
      </w:r>
      <w:r w:rsidRPr="00611291">
        <w:rPr>
          <w:rFonts w:ascii="Palatino Linotype" w:eastAsia="Palatino Linotype" w:hAnsi="Palatino Linotype" w:cs="Palatino Linotype"/>
          <w:b/>
          <w:sz w:val="22"/>
          <w:szCs w:val="22"/>
        </w:rPr>
        <w:t>clave de seguridad social</w:t>
      </w:r>
      <w:r w:rsidRPr="00611291">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4D80F243"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Respecto de los </w:t>
      </w:r>
      <w:r w:rsidRPr="00611291">
        <w:rPr>
          <w:rFonts w:ascii="Palatino Linotype" w:eastAsia="Palatino Linotype" w:hAnsi="Palatino Linotype" w:cs="Palatino Linotype"/>
          <w:b/>
          <w:sz w:val="22"/>
          <w:szCs w:val="22"/>
        </w:rPr>
        <w:t>números de cuentas bancari</w:t>
      </w:r>
      <w:r w:rsidRPr="00611291">
        <w:rPr>
          <w:rFonts w:ascii="Palatino Linotype" w:eastAsia="Palatino Linotype" w:hAnsi="Palatino Linotype" w:cs="Palatino Linotype"/>
          <w:sz w:val="22"/>
          <w:szCs w:val="22"/>
        </w:rPr>
        <w:t xml:space="preserve">as, </w:t>
      </w:r>
      <w:r w:rsidRPr="00611291">
        <w:rPr>
          <w:rFonts w:ascii="Palatino Linotype" w:eastAsia="Palatino Linotype" w:hAnsi="Palatino Linotype" w:cs="Palatino Linotype"/>
          <w:b/>
          <w:sz w:val="22"/>
          <w:szCs w:val="22"/>
        </w:rPr>
        <w:t>claves estandarizadas –interbancarias- (CLABES) y de tarjetas</w:t>
      </w:r>
      <w:r w:rsidRPr="00611291">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66DACB7B"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2BD1109"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5A4380ED" w14:textId="77777777" w:rsidR="000D66CA" w:rsidRPr="00611291" w:rsidRDefault="000D66CA" w:rsidP="000D66C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6AB5EB46"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600FBAD6" w14:textId="491DB6F8"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Lo argumentado encuentra sustento en los Criterios </w:t>
      </w:r>
      <w:r w:rsidR="00143423" w:rsidRPr="00611291">
        <w:rPr>
          <w:rFonts w:ascii="Palatino Linotype" w:eastAsia="Palatino Linotype" w:hAnsi="Palatino Linotype" w:cs="Palatino Linotype"/>
          <w:sz w:val="22"/>
          <w:szCs w:val="22"/>
        </w:rPr>
        <w:t>orientador</w:t>
      </w:r>
      <w:r w:rsidR="001309F0" w:rsidRPr="00611291">
        <w:rPr>
          <w:rFonts w:ascii="Palatino Linotype" w:eastAsia="Palatino Linotype" w:hAnsi="Palatino Linotype" w:cs="Palatino Linotype"/>
          <w:sz w:val="22"/>
          <w:szCs w:val="22"/>
        </w:rPr>
        <w:t>es</w:t>
      </w:r>
      <w:r w:rsidRPr="00611291">
        <w:rPr>
          <w:rFonts w:ascii="Palatino Linotype" w:eastAsia="Palatino Linotype" w:hAnsi="Palatino Linotype" w:cs="Palatino Linotype"/>
          <w:sz w:val="22"/>
          <w:szCs w:val="22"/>
        </w:rPr>
        <w:t xml:space="preserve"> con Clave de control SO/010/2017 y SO/011/2017, emitidos por el </w:t>
      </w:r>
      <w:r w:rsidR="00143423" w:rsidRPr="00611291">
        <w:rPr>
          <w:rFonts w:ascii="Palatino Linotype" w:eastAsia="Palatino Linotype" w:hAnsi="Palatino Linotype" w:cs="Palatino Linotype"/>
          <w:sz w:val="22"/>
          <w:szCs w:val="22"/>
        </w:rPr>
        <w:t xml:space="preserve">entonces </w:t>
      </w:r>
      <w:r w:rsidRPr="00611291">
        <w:rPr>
          <w:rFonts w:ascii="Palatino Linotype" w:eastAsia="Palatino Linotype" w:hAnsi="Palatino Linotype" w:cs="Palatino Linotype"/>
          <w:sz w:val="22"/>
          <w:szCs w:val="22"/>
        </w:rPr>
        <w:t>Instituto Nacional de Transparencia, Acceso a la Información y Protección de Datos Personales, INAI, que llevan por rubro y texto los siguientes:</w:t>
      </w:r>
    </w:p>
    <w:p w14:paraId="567F9ED9" w14:textId="77777777" w:rsidR="000D66CA" w:rsidRPr="00611291" w:rsidRDefault="000D66CA" w:rsidP="000D66CA">
      <w:pPr>
        <w:spacing w:before="240" w:after="24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r w:rsidRPr="00611291">
        <w:rPr>
          <w:rFonts w:ascii="Palatino Linotype" w:eastAsia="Palatino Linotype" w:hAnsi="Palatino Linotype" w:cs="Palatino Linotype"/>
          <w:b/>
          <w:i/>
          <w:sz w:val="22"/>
          <w:szCs w:val="22"/>
        </w:rPr>
        <w:t>Cuentas bancarias y/o CLABE interbancaria de personas físicas y morales privadas.</w:t>
      </w:r>
      <w:r w:rsidRPr="00611291">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8FDD560" w14:textId="77777777" w:rsidR="000D66CA" w:rsidRPr="00611291" w:rsidRDefault="000D66CA" w:rsidP="000D66CA">
      <w:pPr>
        <w:spacing w:before="240" w:after="24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611291">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CEFCF51"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bookmarkStart w:id="9" w:name="_heading=h.35nkun2" w:colFirst="0" w:colLast="0"/>
      <w:bookmarkEnd w:id="9"/>
      <w:r w:rsidRPr="00611291">
        <w:rPr>
          <w:rFonts w:ascii="Palatino Linotype" w:eastAsia="Palatino Linotype" w:hAnsi="Palatino Linotype" w:cs="Palatino Linotype"/>
          <w:sz w:val="22"/>
          <w:szCs w:val="22"/>
        </w:rPr>
        <w:t xml:space="preserve">Por cuanto hace a los </w:t>
      </w:r>
      <w:r w:rsidRPr="00611291">
        <w:rPr>
          <w:rFonts w:ascii="Palatino Linotype" w:eastAsia="Palatino Linotype" w:hAnsi="Palatino Linotype" w:cs="Palatino Linotype"/>
          <w:b/>
          <w:sz w:val="22"/>
          <w:szCs w:val="22"/>
        </w:rPr>
        <w:t>préstamos o descuentos de carácter personal</w:t>
      </w:r>
      <w:r w:rsidRPr="00611291">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56F1319D"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7E09300B" w14:textId="77777777" w:rsidR="000D66CA" w:rsidRPr="00611291" w:rsidRDefault="000D66CA" w:rsidP="000D66CA">
      <w:pPr>
        <w:spacing w:before="120" w:after="120"/>
        <w:ind w:left="851" w:right="900"/>
        <w:jc w:val="both"/>
        <w:rPr>
          <w:rFonts w:ascii="Palatino Linotype" w:eastAsia="Palatino Linotype" w:hAnsi="Palatino Linotype" w:cs="Palatino Linotype"/>
          <w:b/>
          <w:i/>
          <w:sz w:val="22"/>
          <w:szCs w:val="22"/>
        </w:rPr>
      </w:pPr>
      <w:bookmarkStart w:id="10" w:name="_heading=h.1ksv4uv" w:colFirst="0" w:colLast="0"/>
      <w:bookmarkEnd w:id="10"/>
      <w:r w:rsidRPr="00611291">
        <w:rPr>
          <w:rFonts w:ascii="Palatino Linotype" w:eastAsia="Palatino Linotype" w:hAnsi="Palatino Linotype" w:cs="Palatino Linotype"/>
          <w:b/>
          <w:i/>
          <w:sz w:val="22"/>
          <w:szCs w:val="22"/>
        </w:rPr>
        <w:t xml:space="preserve">“ARTÍCULO 84. </w:t>
      </w:r>
      <w:r w:rsidRPr="00611291">
        <w:rPr>
          <w:rFonts w:ascii="Palatino Linotype" w:eastAsia="Palatino Linotype" w:hAnsi="Palatino Linotype" w:cs="Palatino Linotype"/>
          <w:i/>
          <w:sz w:val="22"/>
          <w:szCs w:val="22"/>
        </w:rPr>
        <w:t>Sólo podrán hacerse retenciones, descuentos o deducciones al sueldo de los servidores públicos por concepto de:</w:t>
      </w:r>
    </w:p>
    <w:p w14:paraId="4185184C"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w:t>
      </w:r>
      <w:r w:rsidRPr="00611291">
        <w:rPr>
          <w:rFonts w:ascii="Palatino Linotype" w:eastAsia="Palatino Linotype" w:hAnsi="Palatino Linotype" w:cs="Palatino Linotype"/>
          <w:i/>
          <w:sz w:val="22"/>
          <w:szCs w:val="22"/>
        </w:rPr>
        <w:t xml:space="preserve"> Gravámenes fiscales relacionados con el sueldo;</w:t>
      </w:r>
    </w:p>
    <w:p w14:paraId="2A01F0A8"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II.</w:t>
      </w:r>
      <w:r w:rsidRPr="00611291">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277A16BA"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III.</w:t>
      </w:r>
      <w:r w:rsidRPr="00611291">
        <w:rPr>
          <w:rFonts w:ascii="Palatino Linotype" w:eastAsia="Palatino Linotype" w:hAnsi="Palatino Linotype" w:cs="Palatino Linotype"/>
          <w:i/>
          <w:sz w:val="22"/>
          <w:szCs w:val="22"/>
        </w:rPr>
        <w:t xml:space="preserve"> </w:t>
      </w:r>
      <w:r w:rsidRPr="00611291">
        <w:rPr>
          <w:rFonts w:ascii="Palatino Linotype" w:eastAsia="Palatino Linotype" w:hAnsi="Palatino Linotype" w:cs="Palatino Linotype"/>
          <w:b/>
          <w:i/>
          <w:sz w:val="22"/>
          <w:szCs w:val="22"/>
        </w:rPr>
        <w:t>Cuotas sindicales</w:t>
      </w:r>
      <w:r w:rsidRPr="00611291">
        <w:rPr>
          <w:rFonts w:ascii="Palatino Linotype" w:eastAsia="Palatino Linotype" w:hAnsi="Palatino Linotype" w:cs="Palatino Linotype"/>
          <w:i/>
          <w:sz w:val="22"/>
          <w:szCs w:val="22"/>
        </w:rPr>
        <w:t>;</w:t>
      </w:r>
    </w:p>
    <w:p w14:paraId="11C6B22B"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IV.</w:t>
      </w:r>
      <w:r w:rsidRPr="00611291">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0EADD1DF"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V.</w:t>
      </w:r>
      <w:r w:rsidRPr="00611291">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3D591EF8"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VI.</w:t>
      </w:r>
      <w:r w:rsidRPr="00611291">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1F05EA76"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VII.</w:t>
      </w:r>
      <w:r w:rsidRPr="00611291">
        <w:rPr>
          <w:rFonts w:ascii="Palatino Linotype" w:eastAsia="Palatino Linotype" w:hAnsi="Palatino Linotype" w:cs="Palatino Linotype"/>
          <w:i/>
          <w:sz w:val="22"/>
          <w:szCs w:val="22"/>
        </w:rPr>
        <w:t xml:space="preserve"> Faltas de puntualidad o de asistencia injustificadas;</w:t>
      </w:r>
    </w:p>
    <w:p w14:paraId="41006697"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VIII. Pensiones alimenticias ordenadas por la autoridad judicial;</w:t>
      </w:r>
      <w:r w:rsidRPr="00611291">
        <w:rPr>
          <w:rFonts w:ascii="Palatino Linotype" w:eastAsia="Palatino Linotype" w:hAnsi="Palatino Linotype" w:cs="Palatino Linotype"/>
          <w:i/>
          <w:sz w:val="22"/>
          <w:szCs w:val="22"/>
        </w:rPr>
        <w:t xml:space="preserve"> o</w:t>
      </w:r>
    </w:p>
    <w:p w14:paraId="476C91C3" w14:textId="77777777" w:rsidR="000D66CA" w:rsidRPr="00611291" w:rsidRDefault="000D66CA" w:rsidP="000D66CA">
      <w:pPr>
        <w:spacing w:before="120" w:after="120"/>
        <w:ind w:left="851" w:right="902"/>
        <w:jc w:val="both"/>
        <w:rPr>
          <w:rFonts w:ascii="Palatino Linotype" w:eastAsia="Palatino Linotype" w:hAnsi="Palatino Linotype" w:cs="Palatino Linotype"/>
          <w:b/>
          <w:i/>
          <w:sz w:val="22"/>
          <w:szCs w:val="22"/>
        </w:rPr>
      </w:pPr>
      <w:r w:rsidRPr="00611291">
        <w:rPr>
          <w:rFonts w:ascii="Palatino Linotype" w:eastAsia="Palatino Linotype" w:hAnsi="Palatino Linotype" w:cs="Palatino Linotype"/>
          <w:b/>
          <w:i/>
          <w:sz w:val="22"/>
          <w:szCs w:val="22"/>
        </w:rPr>
        <w:t>IX. Cualquier otro convenido con instituciones de servicios y aceptado por el servidor público.</w:t>
      </w:r>
    </w:p>
    <w:p w14:paraId="2B20B6B0" w14:textId="77777777" w:rsidR="000D66CA" w:rsidRPr="00611291" w:rsidRDefault="000D66CA" w:rsidP="000D66CA">
      <w:pPr>
        <w:spacing w:before="120" w:after="12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210D5767"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17DEDF9D"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De este modo, los </w:t>
      </w:r>
      <w:r w:rsidRPr="00611291">
        <w:rPr>
          <w:rFonts w:ascii="Palatino Linotype" w:eastAsia="Palatino Linotype" w:hAnsi="Palatino Linotype" w:cs="Palatino Linotype"/>
          <w:b/>
          <w:sz w:val="22"/>
          <w:szCs w:val="22"/>
        </w:rPr>
        <w:t>descuentos o deducciones por cuotas sindicales</w:t>
      </w:r>
      <w:r w:rsidRPr="00611291">
        <w:rPr>
          <w:rFonts w:ascii="Palatino Linotype" w:eastAsia="Palatino Linotype" w:hAnsi="Palatino Linotype" w:cs="Palatino Linotype"/>
          <w:sz w:val="22"/>
          <w:szCs w:val="22"/>
        </w:rPr>
        <w:t xml:space="preserve">, </w:t>
      </w:r>
      <w:r w:rsidRPr="00611291">
        <w:rPr>
          <w:rFonts w:ascii="Palatino Linotype" w:eastAsia="Palatino Linotype" w:hAnsi="Palatino Linotype" w:cs="Palatino Linotype"/>
          <w:b/>
          <w:sz w:val="22"/>
          <w:szCs w:val="22"/>
        </w:rPr>
        <w:t>pensiones alimenticias</w:t>
      </w:r>
      <w:r w:rsidRPr="00611291">
        <w:rPr>
          <w:rFonts w:ascii="Palatino Linotype" w:eastAsia="Palatino Linotype" w:hAnsi="Palatino Linotype" w:cs="Palatino Linotype"/>
          <w:sz w:val="22"/>
          <w:szCs w:val="22"/>
        </w:rPr>
        <w:t xml:space="preserve"> o </w:t>
      </w:r>
      <w:r w:rsidRPr="00611291">
        <w:rPr>
          <w:rFonts w:ascii="Palatino Linotype" w:eastAsia="Palatino Linotype" w:hAnsi="Palatino Linotype" w:cs="Palatino Linotype"/>
          <w:b/>
          <w:sz w:val="22"/>
          <w:szCs w:val="22"/>
        </w:rPr>
        <w:t>créditos adquiridos con instituciones privadas</w:t>
      </w:r>
      <w:r w:rsidRPr="00611291">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611291">
        <w:rPr>
          <w:rFonts w:ascii="Palatino Linotype" w:eastAsia="Palatino Linotype" w:hAnsi="Palatino Linotype" w:cs="Palatino Linotype"/>
          <w:b/>
          <w:sz w:val="22"/>
          <w:szCs w:val="22"/>
        </w:rPr>
        <w:t>es información que no es de carácter público, sino que constituye información confidencial</w:t>
      </w:r>
      <w:r w:rsidRPr="00611291">
        <w:rPr>
          <w:rFonts w:ascii="Palatino Linotype" w:eastAsia="Palatino Linotype" w:hAnsi="Palatino Linotype" w:cs="Palatino Linotype"/>
          <w:sz w:val="22"/>
          <w:szCs w:val="22"/>
        </w:rPr>
        <w:t xml:space="preserve"> en virtud de que corresponde con decisiones personales, y por tanto, se debe clasificar.</w:t>
      </w:r>
    </w:p>
    <w:p w14:paraId="5C3551AA" w14:textId="260A3EA1" w:rsidR="000D66CA" w:rsidRPr="00611291" w:rsidRDefault="000D66CA" w:rsidP="000D66C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Las claves y conceptos de los descuentos personales guardan también la misma naturaleza que los importes, ya que</w:t>
      </w:r>
      <w:r w:rsidR="00A861FE" w:rsidRPr="00611291">
        <w:rPr>
          <w:rFonts w:ascii="Palatino Linotype" w:eastAsia="Palatino Linotype" w:hAnsi="Palatino Linotype" w:cs="Palatino Linotype"/>
          <w:sz w:val="22"/>
          <w:szCs w:val="22"/>
        </w:rPr>
        <w:t>,</w:t>
      </w:r>
      <w:r w:rsidRPr="00611291">
        <w:rPr>
          <w:rFonts w:ascii="Palatino Linotype" w:eastAsia="Palatino Linotype" w:hAnsi="Palatino Linotype" w:cs="Palatino Linotype"/>
          <w:sz w:val="22"/>
          <w:szCs w:val="22"/>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048AD97A" w14:textId="77777777" w:rsidR="000D66CA" w:rsidRPr="00611291" w:rsidRDefault="000D66CA" w:rsidP="000D66C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5DC5D451"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Con relación al </w:t>
      </w:r>
      <w:r w:rsidRPr="00611291">
        <w:rPr>
          <w:rFonts w:ascii="Palatino Linotype" w:eastAsia="Palatino Linotype" w:hAnsi="Palatino Linotype" w:cs="Palatino Linotype"/>
          <w:b/>
          <w:sz w:val="22"/>
          <w:szCs w:val="22"/>
        </w:rPr>
        <w:t>número de empleado</w:t>
      </w:r>
      <w:r w:rsidRPr="00611291">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611291">
        <w:rPr>
          <w:rFonts w:ascii="Palatino Linotype" w:eastAsia="Palatino Linotype" w:hAnsi="Palatino Linotype" w:cs="Palatino Linotype"/>
          <w:sz w:val="22"/>
          <w:szCs w:val="22"/>
          <w:vertAlign w:val="superscript"/>
        </w:rPr>
        <w:footnoteReference w:id="1"/>
      </w:r>
      <w:r w:rsidRPr="00611291">
        <w:rPr>
          <w:rFonts w:ascii="Palatino Linotype" w:eastAsia="Palatino Linotype" w:hAnsi="Palatino Linotype" w:cs="Palatino Linotype"/>
          <w:sz w:val="22"/>
          <w:szCs w:val="22"/>
        </w:rPr>
        <w:t>.</w:t>
      </w:r>
    </w:p>
    <w:p w14:paraId="096F0DB5" w14:textId="40C2ADAF"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w:t>
      </w:r>
      <w:r w:rsidR="00143423" w:rsidRPr="00611291">
        <w:rPr>
          <w:rFonts w:ascii="Palatino Linotype" w:eastAsia="Palatino Linotype" w:hAnsi="Palatino Linotype" w:cs="Palatino Linotype"/>
          <w:sz w:val="22"/>
          <w:szCs w:val="22"/>
        </w:rPr>
        <w:t>al personal, empero el Pleno de</w:t>
      </w:r>
      <w:r w:rsidRPr="00611291">
        <w:rPr>
          <w:rFonts w:ascii="Palatino Linotype" w:eastAsia="Palatino Linotype" w:hAnsi="Palatino Linotype" w:cs="Palatino Linotype"/>
          <w:sz w:val="22"/>
          <w:szCs w:val="22"/>
        </w:rPr>
        <w:t xml:space="preserve">l </w:t>
      </w:r>
      <w:r w:rsidR="00143423" w:rsidRPr="00611291">
        <w:rPr>
          <w:rFonts w:ascii="Palatino Linotype" w:eastAsia="Palatino Linotype" w:hAnsi="Palatino Linotype" w:cs="Palatino Linotype"/>
          <w:sz w:val="22"/>
          <w:szCs w:val="22"/>
        </w:rPr>
        <w:t xml:space="preserve">entonces </w:t>
      </w:r>
      <w:r w:rsidRPr="00611291">
        <w:rPr>
          <w:rFonts w:ascii="Palatino Linotype" w:eastAsia="Palatino Linotype" w:hAnsi="Palatino Linotype" w:cs="Palatino Linotype"/>
          <w:sz w:val="22"/>
          <w:szCs w:val="22"/>
        </w:rPr>
        <w:t xml:space="preserve">Instituto Nacional de Transparencia, Acceso a la Información, y Protección de Datos Personales, INAI  se ha pronunciado sobre su publicidad, a través del Criterio </w:t>
      </w:r>
      <w:r w:rsidR="00143423" w:rsidRPr="00611291">
        <w:rPr>
          <w:rFonts w:ascii="Palatino Linotype" w:eastAsia="Palatino Linotype" w:hAnsi="Palatino Linotype" w:cs="Palatino Linotype"/>
          <w:sz w:val="22"/>
          <w:szCs w:val="22"/>
        </w:rPr>
        <w:t xml:space="preserve">orientador </w:t>
      </w:r>
      <w:r w:rsidRPr="00611291">
        <w:rPr>
          <w:rFonts w:ascii="Palatino Linotype" w:eastAsia="Palatino Linotype" w:hAnsi="Palatino Linotype" w:cs="Palatino Linotype"/>
          <w:sz w:val="22"/>
          <w:szCs w:val="22"/>
        </w:rPr>
        <w:t xml:space="preserve">con </w:t>
      </w:r>
      <w:r w:rsidR="001309F0" w:rsidRPr="00611291">
        <w:rPr>
          <w:rFonts w:ascii="Palatino Linotype" w:eastAsia="Palatino Linotype" w:hAnsi="Palatino Linotype" w:cs="Palatino Linotype"/>
          <w:sz w:val="22"/>
          <w:szCs w:val="22"/>
        </w:rPr>
        <w:t xml:space="preserve">clave de control </w:t>
      </w:r>
      <w:r w:rsidRPr="00611291">
        <w:rPr>
          <w:rFonts w:ascii="Palatino Linotype" w:eastAsia="Palatino Linotype" w:hAnsi="Palatino Linotype" w:cs="Palatino Linotype"/>
          <w:sz w:val="22"/>
          <w:szCs w:val="22"/>
        </w:rPr>
        <w:t>SO/006/2019, que indica lo siguiente:</w:t>
      </w:r>
    </w:p>
    <w:p w14:paraId="046D89E9" w14:textId="77777777" w:rsidR="000D66CA" w:rsidRPr="00611291" w:rsidRDefault="000D66CA" w:rsidP="000D66CA">
      <w:pPr>
        <w:tabs>
          <w:tab w:val="left" w:pos="7655"/>
        </w:tabs>
        <w:spacing w:before="240" w:after="240"/>
        <w:ind w:left="993" w:right="99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 xml:space="preserve">“Número de empleado. </w:t>
      </w:r>
      <w:r w:rsidRPr="00611291">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950691D"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611291">
        <w:rPr>
          <w:rFonts w:ascii="Palatino Linotype" w:eastAsia="Palatino Linotype" w:hAnsi="Palatino Linotype" w:cs="Palatino Linotype"/>
          <w:b/>
          <w:sz w:val="22"/>
          <w:szCs w:val="22"/>
        </w:rPr>
        <w:t>Sujeto Obligado</w:t>
      </w:r>
      <w:r w:rsidRPr="00611291">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1CDD6397"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b/>
          <w:sz w:val="22"/>
          <w:szCs w:val="22"/>
        </w:rPr>
        <w:t>De la información fiscal</w:t>
      </w:r>
      <w:r w:rsidRPr="00611291">
        <w:rPr>
          <w:rFonts w:ascii="Palatino Linotype" w:eastAsia="Palatino Linotype" w:hAnsi="Palatino Linotype" w:cs="Palatino Linotype"/>
          <w:sz w:val="22"/>
          <w:szCs w:val="22"/>
        </w:rPr>
        <w:t xml:space="preserve">: </w:t>
      </w:r>
    </w:p>
    <w:p w14:paraId="74425A9D" w14:textId="339A7A8B"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La </w:t>
      </w:r>
      <w:r w:rsidRPr="00611291">
        <w:rPr>
          <w:rFonts w:ascii="Palatino Linotype" w:eastAsia="Palatino Linotype" w:hAnsi="Palatino Linotype" w:cs="Palatino Linotype"/>
          <w:b/>
          <w:sz w:val="22"/>
          <w:szCs w:val="22"/>
        </w:rPr>
        <w:t>Cadena Original</w:t>
      </w:r>
      <w:r w:rsidRPr="00611291">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00143423" w:rsidRPr="00611291">
        <w:rPr>
          <w:rFonts w:ascii="Palatino Linotype" w:eastAsia="Palatino Linotype" w:hAnsi="Palatino Linotype" w:cs="Palatino Linotype"/>
          <w:b/>
          <w:sz w:val="22"/>
          <w:szCs w:val="22"/>
        </w:rPr>
        <w:t>Sujeto Obligado</w:t>
      </w:r>
      <w:r w:rsidR="00143423" w:rsidRPr="00611291">
        <w:rPr>
          <w:rFonts w:ascii="Palatino Linotype" w:eastAsia="Palatino Linotype" w:hAnsi="Palatino Linotype" w:cs="Palatino Linotype"/>
          <w:sz w:val="22"/>
          <w:szCs w:val="22"/>
        </w:rPr>
        <w:t xml:space="preserve">  </w:t>
      </w:r>
      <w:r w:rsidRPr="00611291">
        <w:rPr>
          <w:rFonts w:ascii="Palatino Linotype" w:eastAsia="Palatino Linotype" w:hAnsi="Palatino Linotype" w:cs="Palatino Linotype"/>
          <w:sz w:val="22"/>
          <w:szCs w:val="22"/>
        </w:rPr>
        <w:t>analizar dicha circunstancia con la finalidad de proteger, de ser el caso, la información a través de su clasificación por actualizarse el supuesto de confidencialidad.</w:t>
      </w:r>
    </w:p>
    <w:p w14:paraId="309B332B"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Los </w:t>
      </w:r>
      <w:r w:rsidRPr="00611291">
        <w:rPr>
          <w:rFonts w:ascii="Palatino Linotype" w:eastAsia="Palatino Linotype" w:hAnsi="Palatino Linotype" w:cs="Palatino Linotype"/>
          <w:b/>
          <w:sz w:val="22"/>
          <w:szCs w:val="22"/>
        </w:rPr>
        <w:t>códigos bidimensionales</w:t>
      </w:r>
      <w:r w:rsidRPr="00611291">
        <w:rPr>
          <w:rFonts w:ascii="Palatino Linotype" w:eastAsia="Palatino Linotype" w:hAnsi="Palatino Linotype" w:cs="Palatino Linotype"/>
          <w:sz w:val="22"/>
          <w:szCs w:val="22"/>
        </w:rPr>
        <w:t xml:space="preserve"> o </w:t>
      </w:r>
      <w:r w:rsidRPr="00611291">
        <w:rPr>
          <w:rFonts w:ascii="Palatino Linotype" w:eastAsia="Palatino Linotype" w:hAnsi="Palatino Linotype" w:cs="Palatino Linotype"/>
          <w:b/>
          <w:sz w:val="22"/>
          <w:szCs w:val="22"/>
        </w:rPr>
        <w:t xml:space="preserve">códigos QR, </w:t>
      </w:r>
      <w:r w:rsidRPr="00611291">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611291">
        <w:rPr>
          <w:rFonts w:ascii="Palatino Linotype" w:eastAsia="Palatino Linotype" w:hAnsi="Palatino Linotype" w:cs="Palatino Linotype"/>
          <w:b/>
          <w:sz w:val="22"/>
          <w:szCs w:val="22"/>
        </w:rPr>
        <w:t>Sujeto Obligado</w:t>
      </w:r>
      <w:r w:rsidRPr="00611291">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4D06D575"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En tal sentido, si derivado del análisis efectuado por el </w:t>
      </w:r>
      <w:r w:rsidRPr="00611291">
        <w:rPr>
          <w:rFonts w:ascii="Palatino Linotype" w:eastAsia="Palatino Linotype" w:hAnsi="Palatino Linotype" w:cs="Palatino Linotype"/>
          <w:b/>
          <w:sz w:val="22"/>
          <w:szCs w:val="22"/>
        </w:rPr>
        <w:t>Sujeto Obligado</w:t>
      </w:r>
      <w:r w:rsidRPr="00611291">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1A37C55E" w14:textId="77777777" w:rsidR="000D66CA" w:rsidRPr="00611291" w:rsidRDefault="000D66CA" w:rsidP="000D66CA">
      <w:pPr>
        <w:spacing w:before="240" w:after="240" w:line="360" w:lineRule="auto"/>
        <w:ind w:right="50"/>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89B7526" w14:textId="77777777" w:rsidR="000D66CA" w:rsidRPr="00611291" w:rsidRDefault="000D66CA" w:rsidP="000D66CA">
      <w:pPr>
        <w:spacing w:before="120" w:after="12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“Artículo 49.</w:t>
      </w:r>
      <w:r w:rsidRPr="00611291">
        <w:rPr>
          <w:rFonts w:ascii="Palatino Linotype" w:eastAsia="Palatino Linotype" w:hAnsi="Palatino Linotype" w:cs="Palatino Linotype"/>
          <w:i/>
          <w:sz w:val="22"/>
          <w:szCs w:val="22"/>
        </w:rPr>
        <w:t xml:space="preserve"> </w:t>
      </w:r>
      <w:r w:rsidRPr="00611291">
        <w:rPr>
          <w:rFonts w:ascii="Palatino Linotype" w:eastAsia="Palatino Linotype" w:hAnsi="Palatino Linotype" w:cs="Palatino Linotype"/>
          <w:b/>
          <w:i/>
          <w:sz w:val="22"/>
          <w:szCs w:val="22"/>
        </w:rPr>
        <w:t>Los Comités de Transparencia</w:t>
      </w:r>
      <w:r w:rsidRPr="00611291">
        <w:rPr>
          <w:rFonts w:ascii="Palatino Linotype" w:eastAsia="Palatino Linotype" w:hAnsi="Palatino Linotype" w:cs="Palatino Linotype"/>
          <w:i/>
          <w:sz w:val="22"/>
          <w:szCs w:val="22"/>
        </w:rPr>
        <w:t xml:space="preserve"> tendrán las siguientes atribuciones:</w:t>
      </w:r>
    </w:p>
    <w:p w14:paraId="2EEA1004" w14:textId="77777777" w:rsidR="000D66CA" w:rsidRPr="00611291" w:rsidRDefault="000D66CA" w:rsidP="000D66CA">
      <w:pPr>
        <w:spacing w:before="120" w:after="12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VIII. Aprobar, modificar o revocar la clasificación de la información</w:t>
      </w:r>
      <w:r w:rsidRPr="00611291">
        <w:rPr>
          <w:rFonts w:ascii="Palatino Linotype" w:eastAsia="Palatino Linotype" w:hAnsi="Palatino Linotype" w:cs="Palatino Linotype"/>
          <w:i/>
          <w:sz w:val="22"/>
          <w:szCs w:val="22"/>
        </w:rPr>
        <w:t>…”</w:t>
      </w:r>
    </w:p>
    <w:p w14:paraId="647541CB" w14:textId="77777777" w:rsidR="000D66CA" w:rsidRPr="00611291" w:rsidRDefault="000D66CA" w:rsidP="000D66CA">
      <w:pPr>
        <w:spacing w:before="120" w:after="12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r w:rsidRPr="00611291">
        <w:rPr>
          <w:rFonts w:ascii="Palatino Linotype" w:eastAsia="Palatino Linotype" w:hAnsi="Palatino Linotype" w:cs="Palatino Linotype"/>
          <w:b/>
          <w:i/>
          <w:sz w:val="22"/>
          <w:szCs w:val="22"/>
        </w:rPr>
        <w:t>Artículo 53.</w:t>
      </w:r>
      <w:r w:rsidRPr="00611291">
        <w:rPr>
          <w:rFonts w:ascii="Palatino Linotype" w:eastAsia="Palatino Linotype" w:hAnsi="Palatino Linotype" w:cs="Palatino Linotype"/>
          <w:i/>
          <w:sz w:val="22"/>
          <w:szCs w:val="22"/>
        </w:rPr>
        <w:t xml:space="preserve"> Las </w:t>
      </w:r>
      <w:r w:rsidRPr="00611291">
        <w:rPr>
          <w:rFonts w:ascii="Palatino Linotype" w:eastAsia="Palatino Linotype" w:hAnsi="Palatino Linotype" w:cs="Palatino Linotype"/>
          <w:b/>
          <w:i/>
          <w:sz w:val="22"/>
          <w:szCs w:val="22"/>
        </w:rPr>
        <w:t>Unidades de Transparencia</w:t>
      </w:r>
      <w:r w:rsidRPr="00611291">
        <w:rPr>
          <w:rFonts w:ascii="Palatino Linotype" w:eastAsia="Palatino Linotype" w:hAnsi="Palatino Linotype" w:cs="Palatino Linotype"/>
          <w:i/>
          <w:sz w:val="22"/>
          <w:szCs w:val="22"/>
        </w:rPr>
        <w:t xml:space="preserve"> tendrán las siguientes </w:t>
      </w:r>
      <w:r w:rsidRPr="00611291">
        <w:rPr>
          <w:rFonts w:ascii="Palatino Linotype" w:eastAsia="Palatino Linotype" w:hAnsi="Palatino Linotype" w:cs="Palatino Linotype"/>
          <w:b/>
          <w:i/>
          <w:sz w:val="22"/>
          <w:szCs w:val="22"/>
        </w:rPr>
        <w:t>funciones</w:t>
      </w:r>
      <w:r w:rsidRPr="00611291">
        <w:rPr>
          <w:rFonts w:ascii="Palatino Linotype" w:eastAsia="Palatino Linotype" w:hAnsi="Palatino Linotype" w:cs="Palatino Linotype"/>
          <w:i/>
          <w:sz w:val="22"/>
          <w:szCs w:val="22"/>
        </w:rPr>
        <w:t>:</w:t>
      </w:r>
    </w:p>
    <w:p w14:paraId="0169E882" w14:textId="77777777" w:rsidR="000D66CA" w:rsidRPr="00611291" w:rsidRDefault="000D66CA" w:rsidP="000D66CA">
      <w:pPr>
        <w:spacing w:before="120" w:after="12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X. Presentar ante el Comité, el proyecto de clasificación de información</w:t>
      </w:r>
      <w:r w:rsidRPr="00611291">
        <w:rPr>
          <w:rFonts w:ascii="Palatino Linotype" w:eastAsia="Palatino Linotype" w:hAnsi="Palatino Linotype" w:cs="Palatino Linotype"/>
          <w:i/>
          <w:sz w:val="22"/>
          <w:szCs w:val="22"/>
        </w:rPr>
        <w:t xml:space="preserve">…” </w:t>
      </w:r>
    </w:p>
    <w:p w14:paraId="57097BF2" w14:textId="77777777" w:rsidR="000D66CA" w:rsidRPr="00611291" w:rsidRDefault="000D66CA" w:rsidP="000D66CA">
      <w:pPr>
        <w:spacing w:before="120" w:after="12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“Artículo 59.</w:t>
      </w:r>
      <w:r w:rsidRPr="00611291">
        <w:rPr>
          <w:rFonts w:ascii="Palatino Linotype" w:eastAsia="Palatino Linotype" w:hAnsi="Palatino Linotype" w:cs="Palatino Linotype"/>
          <w:i/>
          <w:sz w:val="22"/>
          <w:szCs w:val="22"/>
        </w:rPr>
        <w:t xml:space="preserve"> Los </w:t>
      </w:r>
      <w:r w:rsidRPr="00611291">
        <w:rPr>
          <w:rFonts w:ascii="Palatino Linotype" w:eastAsia="Palatino Linotype" w:hAnsi="Palatino Linotype" w:cs="Palatino Linotype"/>
          <w:b/>
          <w:i/>
          <w:sz w:val="22"/>
          <w:szCs w:val="22"/>
        </w:rPr>
        <w:t>servidores públicos habilitados</w:t>
      </w:r>
      <w:r w:rsidRPr="00611291">
        <w:rPr>
          <w:rFonts w:ascii="Palatino Linotype" w:eastAsia="Palatino Linotype" w:hAnsi="Palatino Linotype" w:cs="Palatino Linotype"/>
          <w:i/>
          <w:sz w:val="22"/>
          <w:szCs w:val="22"/>
        </w:rPr>
        <w:t xml:space="preserve"> tendrán las </w:t>
      </w:r>
      <w:r w:rsidRPr="00611291">
        <w:rPr>
          <w:rFonts w:ascii="Palatino Linotype" w:eastAsia="Palatino Linotype" w:hAnsi="Palatino Linotype" w:cs="Palatino Linotype"/>
          <w:b/>
          <w:i/>
          <w:sz w:val="22"/>
          <w:szCs w:val="22"/>
        </w:rPr>
        <w:t>funciones</w:t>
      </w:r>
      <w:r w:rsidRPr="00611291">
        <w:rPr>
          <w:rFonts w:ascii="Palatino Linotype" w:eastAsia="Palatino Linotype" w:hAnsi="Palatino Linotype" w:cs="Palatino Linotype"/>
          <w:i/>
          <w:sz w:val="22"/>
          <w:szCs w:val="22"/>
        </w:rPr>
        <w:t xml:space="preserve"> siguientes:</w:t>
      </w:r>
    </w:p>
    <w:p w14:paraId="21E4E003" w14:textId="77777777" w:rsidR="000D66CA" w:rsidRPr="00611291" w:rsidRDefault="000D66CA" w:rsidP="000D66CA">
      <w:pPr>
        <w:spacing w:before="120" w:after="12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611291">
        <w:rPr>
          <w:rFonts w:ascii="Palatino Linotype" w:eastAsia="Palatino Linotype" w:hAnsi="Palatino Linotype" w:cs="Palatino Linotype"/>
          <w:i/>
          <w:sz w:val="22"/>
          <w:szCs w:val="22"/>
        </w:rPr>
        <w:t>, la cual tendrá los fundamentos y argumentos en que se basa dicha propuesta…”</w:t>
      </w:r>
    </w:p>
    <w:p w14:paraId="6472A403"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D0AE786"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4660D0C1"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r w:rsidRPr="00611291">
        <w:rPr>
          <w:rFonts w:ascii="Palatino Linotype" w:eastAsia="Palatino Linotype" w:hAnsi="Palatino Linotype" w:cs="Palatino Linotype"/>
          <w:b/>
          <w:i/>
          <w:sz w:val="22"/>
          <w:szCs w:val="22"/>
        </w:rPr>
        <w:t>Artículo 149.</w:t>
      </w:r>
      <w:r w:rsidRPr="00611291">
        <w:rPr>
          <w:rFonts w:ascii="Palatino Linotype" w:eastAsia="Palatino Linotype" w:hAnsi="Palatino Linotype" w:cs="Palatino Linotype"/>
          <w:i/>
          <w:sz w:val="22"/>
          <w:szCs w:val="22"/>
        </w:rPr>
        <w:t xml:space="preserve"> El </w:t>
      </w:r>
      <w:r w:rsidRPr="00611291">
        <w:rPr>
          <w:rFonts w:ascii="Palatino Linotype" w:eastAsia="Palatino Linotype" w:hAnsi="Palatino Linotype" w:cs="Palatino Linotype"/>
          <w:b/>
          <w:i/>
          <w:sz w:val="22"/>
          <w:szCs w:val="22"/>
        </w:rPr>
        <w:t>acuerdo que clasifique la información como confidencial</w:t>
      </w:r>
      <w:r w:rsidRPr="00611291">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0B35441F" w14:textId="77777777" w:rsidR="000D66CA" w:rsidRPr="00611291" w:rsidRDefault="000D66CA" w:rsidP="000D66CA">
      <w:pPr>
        <w:spacing w:before="240" w:after="240" w:line="360" w:lineRule="auto"/>
        <w:ind w:right="51"/>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Es decir, el </w:t>
      </w:r>
      <w:r w:rsidRPr="00611291">
        <w:rPr>
          <w:rFonts w:ascii="Palatino Linotype" w:eastAsia="Palatino Linotype" w:hAnsi="Palatino Linotype" w:cs="Palatino Linotype"/>
          <w:b/>
          <w:sz w:val="22"/>
          <w:szCs w:val="22"/>
        </w:rPr>
        <w:t>Sujeto Obligado</w:t>
      </w:r>
      <w:r w:rsidRPr="00611291">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15832218" w14:textId="77777777" w:rsidR="000D66CA" w:rsidRPr="00611291" w:rsidRDefault="000D66CA" w:rsidP="000D66C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611291">
        <w:rPr>
          <w:rFonts w:ascii="Palatino Linotype" w:eastAsia="Palatino Linotype" w:hAnsi="Palatino Linotype" w:cs="Palatino Linotype"/>
          <w:b/>
          <w:sz w:val="22"/>
          <w:szCs w:val="22"/>
        </w:rPr>
        <w:t>Sujeto Obligado</w:t>
      </w:r>
      <w:r w:rsidRPr="00611291">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62BFBB79"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 xml:space="preserve"> “Quincuagésimo. </w:t>
      </w:r>
      <w:r w:rsidRPr="00611291">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087F91B" w14:textId="77777777" w:rsidR="000D66CA" w:rsidRPr="00611291" w:rsidRDefault="000D66CA" w:rsidP="000D66C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 xml:space="preserve">Quincuagésimo primero. </w:t>
      </w:r>
      <w:r w:rsidRPr="00611291">
        <w:rPr>
          <w:rFonts w:ascii="Palatino Linotype" w:eastAsia="Palatino Linotype" w:hAnsi="Palatino Linotype" w:cs="Palatino Linotype"/>
          <w:i/>
          <w:sz w:val="22"/>
          <w:szCs w:val="22"/>
        </w:rPr>
        <w:t xml:space="preserve">Toda acta del Comité de Transparencia deberá contener: </w:t>
      </w:r>
    </w:p>
    <w:p w14:paraId="2B6C6D15" w14:textId="77777777" w:rsidR="000D66CA" w:rsidRPr="00611291" w:rsidRDefault="000D66CA" w:rsidP="000D66C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w:t>
      </w:r>
      <w:r w:rsidRPr="00611291">
        <w:rPr>
          <w:rFonts w:ascii="Palatino Linotype" w:eastAsia="Palatino Linotype" w:hAnsi="Palatino Linotype" w:cs="Palatino Linotype"/>
          <w:i/>
          <w:sz w:val="22"/>
          <w:szCs w:val="22"/>
        </w:rPr>
        <w:t xml:space="preserve"> El número de sesión y fecha; </w:t>
      </w:r>
    </w:p>
    <w:p w14:paraId="79A1843C" w14:textId="77777777" w:rsidR="000D66CA" w:rsidRPr="00611291" w:rsidRDefault="000D66CA" w:rsidP="000D66C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II</w:t>
      </w:r>
      <w:r w:rsidRPr="00611291">
        <w:rPr>
          <w:rFonts w:ascii="Palatino Linotype" w:eastAsia="Palatino Linotype" w:hAnsi="Palatino Linotype" w:cs="Palatino Linotype"/>
          <w:i/>
          <w:sz w:val="22"/>
          <w:szCs w:val="22"/>
        </w:rPr>
        <w:t xml:space="preserve">. El nombre del área que solicitó la clasificación de información; </w:t>
      </w:r>
    </w:p>
    <w:p w14:paraId="445AE82F" w14:textId="77777777" w:rsidR="000D66CA" w:rsidRPr="00611291" w:rsidRDefault="000D66CA" w:rsidP="000D66C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III</w:t>
      </w:r>
      <w:r w:rsidRPr="00611291">
        <w:rPr>
          <w:rFonts w:ascii="Palatino Linotype" w:eastAsia="Palatino Linotype" w:hAnsi="Palatino Linotype" w:cs="Palatino Linotype"/>
          <w:i/>
          <w:sz w:val="22"/>
          <w:szCs w:val="22"/>
        </w:rPr>
        <w:t xml:space="preserve">. La fundamentación legal y motivación correspondiente; </w:t>
      </w:r>
    </w:p>
    <w:p w14:paraId="6E8A2C9C" w14:textId="77777777" w:rsidR="000D66CA" w:rsidRPr="00611291" w:rsidRDefault="000D66CA" w:rsidP="000D66C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IV</w:t>
      </w:r>
      <w:r w:rsidRPr="00611291">
        <w:rPr>
          <w:rFonts w:ascii="Palatino Linotype" w:eastAsia="Palatino Linotype" w:hAnsi="Palatino Linotype" w:cs="Palatino Linotype"/>
          <w:i/>
          <w:sz w:val="22"/>
          <w:szCs w:val="22"/>
        </w:rPr>
        <w:t xml:space="preserve">. La resolución o resoluciones aprobadas; y </w:t>
      </w:r>
    </w:p>
    <w:p w14:paraId="45DE5F32" w14:textId="77777777" w:rsidR="000D66CA" w:rsidRPr="00611291" w:rsidRDefault="000D66CA" w:rsidP="000D66C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V</w:t>
      </w:r>
      <w:r w:rsidRPr="00611291">
        <w:rPr>
          <w:rFonts w:ascii="Palatino Linotype" w:eastAsia="Palatino Linotype" w:hAnsi="Palatino Linotype" w:cs="Palatino Linotype"/>
          <w:i/>
          <w:sz w:val="22"/>
          <w:szCs w:val="22"/>
        </w:rPr>
        <w:t xml:space="preserve">. La rúbrica o firma digital de cada integrante del Comité de Transparencia. </w:t>
      </w:r>
    </w:p>
    <w:p w14:paraId="7EF6EB2F" w14:textId="77777777" w:rsidR="000D66CA" w:rsidRPr="00611291" w:rsidRDefault="000D66CA" w:rsidP="000D66C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61A96B19" w14:textId="77777777" w:rsidR="000D66CA" w:rsidRPr="00611291" w:rsidRDefault="000D66CA" w:rsidP="000D66C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w:t>
      </w:r>
      <w:r w:rsidRPr="00611291">
        <w:rPr>
          <w:rFonts w:ascii="Palatino Linotype" w:eastAsia="Palatino Linotype" w:hAnsi="Palatino Linotype" w:cs="Palatino Linotype"/>
          <w:i/>
          <w:sz w:val="22"/>
          <w:szCs w:val="22"/>
        </w:rPr>
        <w:t xml:space="preserve"> Los motivos y razonamientos que sustenten la confirmación o modificación de la prueba de daño;</w:t>
      </w:r>
    </w:p>
    <w:p w14:paraId="3B7E9631" w14:textId="77777777" w:rsidR="000D66CA" w:rsidRPr="00611291" w:rsidRDefault="000D66CA" w:rsidP="000D66CA">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611291">
        <w:rPr>
          <w:rFonts w:ascii="Palatino Linotype" w:eastAsia="Palatino Linotype" w:hAnsi="Palatino Linotype" w:cs="Palatino Linotype"/>
          <w:b/>
          <w:i/>
          <w:sz w:val="22"/>
          <w:szCs w:val="22"/>
        </w:rPr>
        <w:t>II</w:t>
      </w:r>
      <w:r w:rsidRPr="00611291">
        <w:rPr>
          <w:rFonts w:ascii="Palatino Linotype" w:eastAsia="Palatino Linotype" w:hAnsi="Palatino Linotype" w:cs="Palatino Linotype"/>
          <w:i/>
          <w:sz w:val="22"/>
          <w:szCs w:val="22"/>
        </w:rPr>
        <w:t>. Descripción de las partes o secciones reservadas, en caso de clasificación parcial</w:t>
      </w:r>
      <w:r w:rsidRPr="00611291">
        <w:rPr>
          <w:rFonts w:ascii="Palatino Linotype" w:eastAsia="Palatino Linotype" w:hAnsi="Palatino Linotype" w:cs="Palatino Linotype"/>
          <w:b/>
          <w:i/>
          <w:sz w:val="22"/>
          <w:szCs w:val="22"/>
        </w:rPr>
        <w:t xml:space="preserve">; </w:t>
      </w:r>
    </w:p>
    <w:p w14:paraId="0254B62A" w14:textId="77777777" w:rsidR="000D66CA" w:rsidRPr="00611291" w:rsidRDefault="000D66CA" w:rsidP="000D66C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III.</w:t>
      </w:r>
      <w:r w:rsidRPr="00611291">
        <w:rPr>
          <w:rFonts w:ascii="Palatino Linotype" w:eastAsia="Palatino Linotype" w:hAnsi="Palatino Linotype" w:cs="Palatino Linotype"/>
          <w:i/>
          <w:sz w:val="22"/>
          <w:szCs w:val="22"/>
        </w:rPr>
        <w:t xml:space="preserve"> El periodo por el que mantendrá su clasificación y fecha de expiración; y </w:t>
      </w:r>
    </w:p>
    <w:p w14:paraId="06DD0D01" w14:textId="77777777" w:rsidR="000D66CA" w:rsidRPr="00611291" w:rsidRDefault="000D66CA" w:rsidP="000D66C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IV.</w:t>
      </w:r>
      <w:r w:rsidRPr="00611291">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9488521" w14:textId="77777777" w:rsidR="000D66CA" w:rsidRPr="00611291" w:rsidRDefault="000D66CA" w:rsidP="000D66C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E282271" w14:textId="77777777" w:rsidR="000D66CA" w:rsidRPr="00611291" w:rsidRDefault="000D66CA" w:rsidP="000D66C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4BDFCFB" w14:textId="77777777" w:rsidR="000D66CA" w:rsidRPr="00611291" w:rsidRDefault="000D66CA" w:rsidP="000D66C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079ED7F1" w14:textId="77777777" w:rsidR="000D66CA" w:rsidRPr="00611291" w:rsidRDefault="000D66CA" w:rsidP="000D66CA">
      <w:pPr>
        <w:spacing w:before="120" w:after="12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r w:rsidRPr="00611291">
        <w:rPr>
          <w:rFonts w:ascii="Palatino Linotype" w:eastAsia="Palatino Linotype" w:hAnsi="Palatino Linotype" w:cs="Palatino Linotype"/>
          <w:b/>
          <w:i/>
          <w:sz w:val="22"/>
          <w:szCs w:val="22"/>
        </w:rPr>
        <w:t>Quincuagésimo segundo</w:t>
      </w:r>
      <w:r w:rsidRPr="00611291">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3CEF936" w14:textId="77777777" w:rsidR="000D66CA" w:rsidRPr="00611291" w:rsidRDefault="000D66CA" w:rsidP="000D66CA">
      <w:pPr>
        <w:spacing w:before="120" w:after="12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663B8374" w14:textId="77777777" w:rsidR="000D66CA" w:rsidRPr="00611291" w:rsidRDefault="000D66CA" w:rsidP="000D66CA">
      <w:pPr>
        <w:spacing w:before="120" w:after="12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w:t>
      </w:r>
      <w:r w:rsidRPr="00611291">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142ED648" w14:textId="77777777" w:rsidR="000D66CA" w:rsidRPr="00611291" w:rsidRDefault="000D66CA" w:rsidP="000D66CA">
      <w:pPr>
        <w:spacing w:before="120" w:after="12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II.</w:t>
      </w:r>
      <w:r w:rsidRPr="00611291">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63DF332A" w14:textId="77777777" w:rsidR="000D66CA" w:rsidRPr="00611291" w:rsidRDefault="000D66CA" w:rsidP="000D66CA">
      <w:pPr>
        <w:spacing w:before="120" w:after="12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III.</w:t>
      </w:r>
      <w:r w:rsidRPr="00611291">
        <w:rPr>
          <w:rFonts w:ascii="Palatino Linotype" w:eastAsia="Palatino Linotype" w:hAnsi="Palatino Linotype" w:cs="Palatino Linotype"/>
          <w:i/>
          <w:sz w:val="22"/>
          <w:szCs w:val="22"/>
        </w:rPr>
        <w:t xml:space="preserve"> Señalar las personas o instancias autorizadas a acceder a la información clasificada.</w:t>
      </w:r>
    </w:p>
    <w:p w14:paraId="04BAB624" w14:textId="77777777" w:rsidR="000D66CA" w:rsidRPr="00611291" w:rsidRDefault="000D66CA" w:rsidP="000D66CA">
      <w:pPr>
        <w:spacing w:before="120" w:after="12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9EA3B6E" w14:textId="77777777" w:rsidR="000D66CA" w:rsidRPr="00611291" w:rsidRDefault="000D66CA" w:rsidP="000D66CA">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w:t>
      </w:r>
    </w:p>
    <w:p w14:paraId="79F68ED9" w14:textId="77777777" w:rsidR="000D66CA" w:rsidRPr="00611291" w:rsidRDefault="000D66CA" w:rsidP="000D66CA">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611291">
        <w:rPr>
          <w:rFonts w:ascii="Palatino Linotype" w:eastAsia="Palatino Linotype" w:hAnsi="Palatino Linotype" w:cs="Palatino Linotype"/>
          <w:b/>
          <w:i/>
          <w:sz w:val="22"/>
          <w:szCs w:val="22"/>
        </w:rPr>
        <w:t xml:space="preserve">Quincuagésimo cuarto. </w:t>
      </w:r>
      <w:r w:rsidRPr="00611291">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11291">
        <w:rPr>
          <w:rFonts w:ascii="Palatino Linotype" w:eastAsia="Palatino Linotype" w:hAnsi="Palatino Linotype" w:cs="Palatino Linotype"/>
          <w:b/>
          <w:i/>
          <w:sz w:val="22"/>
          <w:szCs w:val="22"/>
        </w:rPr>
        <w:t xml:space="preserve"> </w:t>
      </w:r>
    </w:p>
    <w:p w14:paraId="02D31B43"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 xml:space="preserve">Quincuagésimo quinto. </w:t>
      </w:r>
      <w:r w:rsidRPr="00611291">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7C999B3" w14:textId="77777777" w:rsidR="000D66CA" w:rsidRPr="00611291" w:rsidRDefault="000D66CA" w:rsidP="000D66CA">
      <w:pPr>
        <w:spacing w:before="120" w:after="120"/>
        <w:ind w:left="851" w:right="902"/>
        <w:jc w:val="both"/>
        <w:rPr>
          <w:rFonts w:ascii="Palatino Linotype" w:eastAsia="Palatino Linotype" w:hAnsi="Palatino Linotype" w:cs="Palatino Linotype"/>
          <w:b/>
          <w:i/>
          <w:sz w:val="22"/>
          <w:szCs w:val="22"/>
        </w:rPr>
      </w:pPr>
      <w:r w:rsidRPr="00611291">
        <w:rPr>
          <w:rFonts w:ascii="Palatino Linotype" w:eastAsia="Palatino Linotype" w:hAnsi="Palatino Linotype" w:cs="Palatino Linotype"/>
          <w:b/>
          <w:i/>
          <w:sz w:val="22"/>
          <w:szCs w:val="22"/>
        </w:rPr>
        <w:t>...</w:t>
      </w:r>
    </w:p>
    <w:p w14:paraId="0C1A695C"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Quincuagésimo séptimo</w:t>
      </w:r>
      <w:r w:rsidRPr="0061129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C48A63E"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w:t>
      </w:r>
      <w:r w:rsidRPr="00611291">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A1E7EBA"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II.</w:t>
      </w:r>
      <w:r w:rsidRPr="00611291">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EF0761E"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III</w:t>
      </w:r>
      <w:r w:rsidRPr="00611291">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9F040DB"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0F4D0E1" w14:textId="77777777" w:rsidR="000D66CA" w:rsidRPr="00611291" w:rsidRDefault="000D66CA" w:rsidP="000D66CA">
      <w:pPr>
        <w:spacing w:before="120" w:after="120"/>
        <w:ind w:left="851" w:right="902"/>
        <w:jc w:val="both"/>
        <w:rPr>
          <w:rFonts w:ascii="Palatino Linotype" w:eastAsia="Palatino Linotype" w:hAnsi="Palatino Linotype" w:cs="Palatino Linotype"/>
          <w:i/>
          <w:sz w:val="22"/>
          <w:szCs w:val="22"/>
        </w:rPr>
      </w:pPr>
      <w:r w:rsidRPr="00611291">
        <w:rPr>
          <w:rFonts w:ascii="Palatino Linotype" w:eastAsia="Palatino Linotype" w:hAnsi="Palatino Linotype" w:cs="Palatino Linotype"/>
          <w:b/>
          <w:i/>
          <w:sz w:val="22"/>
          <w:szCs w:val="22"/>
        </w:rPr>
        <w:t>Quincuagésimo octavo</w:t>
      </w:r>
      <w:r w:rsidRPr="00611291">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1B9DAEE6" w14:textId="0EA796B8" w:rsidR="00694AA0" w:rsidRPr="00611291" w:rsidRDefault="005B22B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Así, con fundamento en lo prescrito en los artículos 5 párrafos </w:t>
      </w:r>
      <w:r w:rsidR="00D77EC0" w:rsidRPr="00611291">
        <w:rPr>
          <w:rFonts w:ascii="Palatino Linotype" w:eastAsia="Palatino Linotype" w:hAnsi="Palatino Linotype" w:cs="Palatino Linotype"/>
          <w:sz w:val="22"/>
          <w:szCs w:val="22"/>
        </w:rPr>
        <w:t>cuadragésimo cuarto, cuadragésimo quinto y cuadragésimo sexto, de la Constitución Política del Estado Libre y Soberano de México; transitorio Cuarto del Decreto número 198 de la “LXII” Legislatura del Estado de México</w:t>
      </w:r>
      <w:r w:rsidRPr="00611291">
        <w:rPr>
          <w:rFonts w:ascii="Palatino Linotype" w:eastAsia="Palatino Linotype" w:hAnsi="Palatino Linotype" w:cs="Palatino Linotype"/>
          <w:sz w:val="22"/>
          <w:szCs w:val="22"/>
        </w:rPr>
        <w:t>; 2, fracción II; 29, 36 fracciones I y II; 176, 178, 181, 185 y 186 fracción II de la Ley de Transparencia y Acceso a la Información Pública del Estado de México y Municipios, este Pleno:</w:t>
      </w:r>
    </w:p>
    <w:p w14:paraId="0B4B5E69" w14:textId="77777777" w:rsidR="00694AA0" w:rsidRPr="00611291" w:rsidRDefault="005B22BA">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611291">
        <w:rPr>
          <w:rFonts w:ascii="Palatino Linotype" w:eastAsia="Palatino Linotype" w:hAnsi="Palatino Linotype" w:cs="Palatino Linotype"/>
          <w:b/>
          <w:sz w:val="22"/>
          <w:szCs w:val="22"/>
        </w:rPr>
        <w:t>III. R E S U E L V E</w:t>
      </w:r>
    </w:p>
    <w:p w14:paraId="6571A61A" w14:textId="3DD74D46" w:rsidR="00694AA0" w:rsidRPr="00611291" w:rsidRDefault="005B22BA">
      <w:pPr>
        <w:spacing w:before="240" w:after="240" w:line="360" w:lineRule="auto"/>
        <w:jc w:val="both"/>
        <w:rPr>
          <w:rFonts w:ascii="Palatino Linotype" w:eastAsia="Palatino Linotype" w:hAnsi="Palatino Linotype" w:cs="Palatino Linotype"/>
          <w:sz w:val="22"/>
          <w:szCs w:val="22"/>
        </w:rPr>
      </w:pPr>
      <w:bookmarkStart w:id="11" w:name="_heading=h.26in1rg" w:colFirst="0" w:colLast="0"/>
      <w:bookmarkEnd w:id="11"/>
      <w:r w:rsidRPr="00611291">
        <w:rPr>
          <w:rFonts w:ascii="Palatino Linotype" w:eastAsia="Palatino Linotype" w:hAnsi="Palatino Linotype" w:cs="Palatino Linotype"/>
          <w:b/>
          <w:sz w:val="22"/>
          <w:szCs w:val="22"/>
        </w:rPr>
        <w:t xml:space="preserve">Primero. </w:t>
      </w:r>
      <w:r w:rsidRPr="00611291">
        <w:rPr>
          <w:rFonts w:ascii="Palatino Linotype" w:eastAsia="Palatino Linotype" w:hAnsi="Palatino Linotype" w:cs="Palatino Linotype"/>
          <w:sz w:val="22"/>
          <w:szCs w:val="22"/>
        </w:rPr>
        <w:t>Resultan</w:t>
      </w:r>
      <w:r w:rsidRPr="00611291">
        <w:rPr>
          <w:rFonts w:ascii="Palatino Linotype" w:eastAsia="Palatino Linotype" w:hAnsi="Palatino Linotype" w:cs="Palatino Linotype"/>
          <w:b/>
          <w:sz w:val="22"/>
          <w:szCs w:val="22"/>
        </w:rPr>
        <w:t xml:space="preserve"> fundadas</w:t>
      </w:r>
      <w:r w:rsidRPr="00611291">
        <w:rPr>
          <w:rFonts w:ascii="Palatino Linotype" w:eastAsia="Palatino Linotype" w:hAnsi="Palatino Linotype" w:cs="Palatino Linotype"/>
          <w:sz w:val="22"/>
          <w:szCs w:val="22"/>
        </w:rPr>
        <w:t xml:space="preserve"> las razones o motivos de inconformidad hechos valer por la parte</w:t>
      </w:r>
      <w:r w:rsidRPr="00611291">
        <w:rPr>
          <w:rFonts w:ascii="Palatino Linotype" w:eastAsia="Palatino Linotype" w:hAnsi="Palatino Linotype" w:cs="Palatino Linotype"/>
          <w:b/>
          <w:sz w:val="22"/>
          <w:szCs w:val="22"/>
        </w:rPr>
        <w:t xml:space="preserve"> Recurrente</w:t>
      </w:r>
      <w:r w:rsidRPr="00611291">
        <w:rPr>
          <w:rFonts w:ascii="Palatino Linotype" w:eastAsia="Palatino Linotype" w:hAnsi="Palatino Linotype" w:cs="Palatino Linotype"/>
          <w:sz w:val="22"/>
          <w:szCs w:val="22"/>
        </w:rPr>
        <w:t xml:space="preserve"> en el recurso de revisión </w:t>
      </w:r>
      <w:r w:rsidR="00A861FE" w:rsidRPr="00611291">
        <w:rPr>
          <w:rFonts w:ascii="Palatino Linotype" w:eastAsia="Palatino Linotype" w:hAnsi="Palatino Linotype" w:cs="Palatino Linotype"/>
          <w:b/>
          <w:sz w:val="22"/>
          <w:szCs w:val="22"/>
        </w:rPr>
        <w:t>13079</w:t>
      </w:r>
      <w:r w:rsidRPr="00611291">
        <w:rPr>
          <w:rFonts w:ascii="Palatino Linotype" w:eastAsia="Palatino Linotype" w:hAnsi="Palatino Linotype" w:cs="Palatino Linotype"/>
          <w:b/>
          <w:sz w:val="22"/>
          <w:szCs w:val="22"/>
        </w:rPr>
        <w:t>/INFOEM/IP/RR/2025</w:t>
      </w:r>
      <w:r w:rsidRPr="00611291">
        <w:rPr>
          <w:rFonts w:ascii="Palatino Linotype" w:eastAsia="Palatino Linotype" w:hAnsi="Palatino Linotype" w:cs="Palatino Linotype"/>
          <w:sz w:val="22"/>
          <w:szCs w:val="22"/>
        </w:rPr>
        <w:t xml:space="preserve">; por lo que, en términos del </w:t>
      </w:r>
      <w:r w:rsidRPr="00611291">
        <w:rPr>
          <w:rFonts w:ascii="Palatino Linotype" w:eastAsia="Palatino Linotype" w:hAnsi="Palatino Linotype" w:cs="Palatino Linotype"/>
          <w:b/>
          <w:sz w:val="22"/>
          <w:szCs w:val="22"/>
        </w:rPr>
        <w:t>Considerando</w:t>
      </w:r>
      <w:r w:rsidRPr="00611291">
        <w:rPr>
          <w:rFonts w:ascii="Palatino Linotype" w:eastAsia="Palatino Linotype" w:hAnsi="Palatino Linotype" w:cs="Palatino Linotype"/>
          <w:sz w:val="22"/>
          <w:szCs w:val="22"/>
        </w:rPr>
        <w:t xml:space="preserve"> </w:t>
      </w:r>
      <w:r w:rsidRPr="00611291">
        <w:rPr>
          <w:rFonts w:ascii="Palatino Linotype" w:eastAsia="Palatino Linotype" w:hAnsi="Palatino Linotype" w:cs="Palatino Linotype"/>
          <w:b/>
          <w:sz w:val="22"/>
          <w:szCs w:val="22"/>
        </w:rPr>
        <w:t xml:space="preserve">Cuarto </w:t>
      </w:r>
      <w:r w:rsidRPr="00611291">
        <w:rPr>
          <w:rFonts w:ascii="Palatino Linotype" w:eastAsia="Palatino Linotype" w:hAnsi="Palatino Linotype" w:cs="Palatino Linotype"/>
          <w:sz w:val="22"/>
          <w:szCs w:val="22"/>
        </w:rPr>
        <w:t xml:space="preserve">de esta resolución, se </w:t>
      </w:r>
      <w:r w:rsidR="009B4ADD" w:rsidRPr="00611291">
        <w:rPr>
          <w:rFonts w:ascii="Palatino Linotype" w:eastAsia="Palatino Linotype" w:hAnsi="Palatino Linotype" w:cs="Palatino Linotype"/>
          <w:b/>
          <w:sz w:val="22"/>
          <w:szCs w:val="22"/>
        </w:rPr>
        <w:t>Revoca</w:t>
      </w:r>
      <w:r w:rsidRPr="00611291">
        <w:rPr>
          <w:rFonts w:ascii="Palatino Linotype" w:eastAsia="Palatino Linotype" w:hAnsi="Palatino Linotype" w:cs="Palatino Linotype"/>
          <w:b/>
          <w:sz w:val="22"/>
          <w:szCs w:val="22"/>
        </w:rPr>
        <w:t xml:space="preserve"> </w:t>
      </w:r>
      <w:r w:rsidRPr="00611291">
        <w:rPr>
          <w:rFonts w:ascii="Palatino Linotype" w:eastAsia="Palatino Linotype" w:hAnsi="Palatino Linotype" w:cs="Palatino Linotype"/>
          <w:sz w:val="22"/>
          <w:szCs w:val="22"/>
        </w:rPr>
        <w:t xml:space="preserve">la respuesta emitida por el </w:t>
      </w:r>
      <w:r w:rsidRPr="00611291">
        <w:rPr>
          <w:rFonts w:ascii="Palatino Linotype" w:eastAsia="Palatino Linotype" w:hAnsi="Palatino Linotype" w:cs="Palatino Linotype"/>
          <w:b/>
          <w:sz w:val="22"/>
          <w:szCs w:val="22"/>
        </w:rPr>
        <w:t xml:space="preserve">Sujeto Obligado. </w:t>
      </w:r>
    </w:p>
    <w:p w14:paraId="05146961" w14:textId="554576F8" w:rsidR="009B4ADD" w:rsidRPr="00611291" w:rsidRDefault="005B22BA" w:rsidP="00143423">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b/>
          <w:sz w:val="22"/>
          <w:szCs w:val="22"/>
        </w:rPr>
        <w:t xml:space="preserve">Segundo. </w:t>
      </w:r>
      <w:r w:rsidRPr="00611291">
        <w:rPr>
          <w:rFonts w:ascii="Palatino Linotype" w:eastAsia="Palatino Linotype" w:hAnsi="Palatino Linotype" w:cs="Palatino Linotype"/>
          <w:sz w:val="22"/>
          <w:szCs w:val="22"/>
        </w:rPr>
        <w:t xml:space="preserve">Se </w:t>
      </w:r>
      <w:r w:rsidRPr="00611291">
        <w:rPr>
          <w:rFonts w:ascii="Palatino Linotype" w:eastAsia="Palatino Linotype" w:hAnsi="Palatino Linotype" w:cs="Palatino Linotype"/>
          <w:b/>
          <w:sz w:val="22"/>
          <w:szCs w:val="22"/>
        </w:rPr>
        <w:t>Ordena</w:t>
      </w:r>
      <w:r w:rsidRPr="00611291">
        <w:rPr>
          <w:rFonts w:ascii="Palatino Linotype" w:eastAsia="Palatino Linotype" w:hAnsi="Palatino Linotype" w:cs="Palatino Linotype"/>
          <w:sz w:val="22"/>
          <w:szCs w:val="22"/>
        </w:rPr>
        <w:t xml:space="preserve"> al </w:t>
      </w:r>
      <w:r w:rsidRPr="00611291">
        <w:rPr>
          <w:rFonts w:ascii="Palatino Linotype" w:eastAsia="Palatino Linotype" w:hAnsi="Palatino Linotype" w:cs="Palatino Linotype"/>
          <w:b/>
          <w:sz w:val="22"/>
          <w:szCs w:val="22"/>
        </w:rPr>
        <w:t>Sujeto Obligado</w:t>
      </w:r>
      <w:r w:rsidRPr="00611291">
        <w:rPr>
          <w:rFonts w:ascii="Palatino Linotype" w:eastAsia="Palatino Linotype" w:hAnsi="Palatino Linotype" w:cs="Palatino Linotype"/>
          <w:sz w:val="22"/>
          <w:szCs w:val="22"/>
        </w:rPr>
        <w:t xml:space="preserve">, en términos de los Considerandos </w:t>
      </w:r>
      <w:r w:rsidRPr="00611291">
        <w:rPr>
          <w:rFonts w:ascii="Palatino Linotype" w:eastAsia="Palatino Linotype" w:hAnsi="Palatino Linotype" w:cs="Palatino Linotype"/>
          <w:b/>
          <w:sz w:val="22"/>
          <w:szCs w:val="22"/>
        </w:rPr>
        <w:t xml:space="preserve">Cuarto </w:t>
      </w:r>
      <w:r w:rsidRPr="00611291">
        <w:rPr>
          <w:rFonts w:ascii="Palatino Linotype" w:eastAsia="Palatino Linotype" w:hAnsi="Palatino Linotype" w:cs="Palatino Linotype"/>
          <w:sz w:val="22"/>
          <w:szCs w:val="22"/>
        </w:rPr>
        <w:t xml:space="preserve">y </w:t>
      </w:r>
      <w:r w:rsidRPr="00611291">
        <w:rPr>
          <w:rFonts w:ascii="Palatino Linotype" w:eastAsia="Palatino Linotype" w:hAnsi="Palatino Linotype" w:cs="Palatino Linotype"/>
          <w:b/>
          <w:sz w:val="22"/>
          <w:szCs w:val="22"/>
        </w:rPr>
        <w:t xml:space="preserve">Quinto </w:t>
      </w:r>
      <w:r w:rsidRPr="00611291">
        <w:rPr>
          <w:rFonts w:ascii="Palatino Linotype" w:eastAsia="Palatino Linotype" w:hAnsi="Palatino Linotype" w:cs="Palatino Linotype"/>
          <w:sz w:val="22"/>
          <w:szCs w:val="22"/>
        </w:rPr>
        <w:t xml:space="preserve">de esta resolución, haga entrega, </w:t>
      </w:r>
      <w:r w:rsidR="009B4ADD" w:rsidRPr="00611291">
        <w:rPr>
          <w:rFonts w:ascii="Palatino Linotype" w:eastAsia="Palatino Linotype" w:hAnsi="Palatino Linotype" w:cs="Palatino Linotype"/>
          <w:sz w:val="22"/>
          <w:szCs w:val="22"/>
        </w:rPr>
        <w:t xml:space="preserve">vía </w:t>
      </w:r>
      <w:r w:rsidR="009B4ADD" w:rsidRPr="00611291">
        <w:rPr>
          <w:rFonts w:ascii="Palatino Linotype" w:eastAsia="Palatino Linotype" w:hAnsi="Palatino Linotype" w:cs="Palatino Linotype"/>
          <w:b/>
          <w:sz w:val="22"/>
          <w:szCs w:val="22"/>
        </w:rPr>
        <w:t>SAIMEX</w:t>
      </w:r>
      <w:r w:rsidR="009B4ADD" w:rsidRPr="00611291">
        <w:rPr>
          <w:rFonts w:ascii="Palatino Linotype" w:eastAsia="Palatino Linotype" w:hAnsi="Palatino Linotype" w:cs="Palatino Linotype"/>
          <w:sz w:val="22"/>
          <w:szCs w:val="22"/>
        </w:rPr>
        <w:t>, en versión pública, de lo siguiente:</w:t>
      </w:r>
    </w:p>
    <w:p w14:paraId="7BB9B03A" w14:textId="11137992" w:rsidR="00143423" w:rsidRPr="00611291" w:rsidRDefault="005B22BA" w:rsidP="00143423">
      <w:pPr>
        <w:pBdr>
          <w:top w:val="nil"/>
          <w:left w:val="nil"/>
          <w:bottom w:val="nil"/>
          <w:right w:val="nil"/>
          <w:between w:val="nil"/>
        </w:pBdr>
        <w:spacing w:before="240" w:after="240" w:line="360" w:lineRule="auto"/>
        <w:ind w:left="284" w:right="-91"/>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1.</w:t>
      </w:r>
      <w:r w:rsidR="0088463F" w:rsidRPr="00611291">
        <w:rPr>
          <w:rFonts w:ascii="Palatino Linotype" w:eastAsia="Palatino Linotype" w:hAnsi="Palatino Linotype" w:cs="Palatino Linotype"/>
          <w:sz w:val="22"/>
          <w:szCs w:val="22"/>
        </w:rPr>
        <w:t xml:space="preserve"> </w:t>
      </w:r>
      <w:r w:rsidR="00143423" w:rsidRPr="00611291">
        <w:rPr>
          <w:rFonts w:ascii="Palatino Linotype" w:eastAsia="Palatino Linotype" w:hAnsi="Palatino Linotype" w:cs="Palatino Linotype"/>
          <w:sz w:val="22"/>
          <w:szCs w:val="22"/>
        </w:rPr>
        <w:t>Recibos de nómina de</w:t>
      </w:r>
      <w:r w:rsidR="004501DA" w:rsidRPr="00611291">
        <w:rPr>
          <w:rFonts w:ascii="Palatino Linotype" w:eastAsia="Palatino Linotype" w:hAnsi="Palatino Linotype" w:cs="Palatino Linotype"/>
          <w:sz w:val="22"/>
          <w:szCs w:val="22"/>
        </w:rPr>
        <w:t xml:space="preserve"> todos los servidores públicos de la primera </w:t>
      </w:r>
      <w:r w:rsidR="00143423" w:rsidRPr="00611291">
        <w:rPr>
          <w:rFonts w:ascii="Palatino Linotype" w:eastAsia="Palatino Linotype" w:hAnsi="Palatino Linotype" w:cs="Palatino Linotype"/>
          <w:sz w:val="22"/>
          <w:szCs w:val="22"/>
        </w:rPr>
        <w:t xml:space="preserve">quincena </w:t>
      </w:r>
      <w:r w:rsidR="004501DA" w:rsidRPr="00611291">
        <w:rPr>
          <w:rFonts w:ascii="Palatino Linotype" w:eastAsia="Palatino Linotype" w:hAnsi="Palatino Linotype" w:cs="Palatino Linotype"/>
          <w:sz w:val="22"/>
          <w:szCs w:val="22"/>
        </w:rPr>
        <w:t xml:space="preserve">octubre </w:t>
      </w:r>
      <w:r w:rsidR="00143423" w:rsidRPr="00611291">
        <w:rPr>
          <w:rFonts w:ascii="Palatino Linotype" w:eastAsia="Palatino Linotype" w:hAnsi="Palatino Linotype" w:cs="Palatino Linotype"/>
          <w:sz w:val="22"/>
          <w:szCs w:val="22"/>
        </w:rPr>
        <w:t>de dos mil veinticinco.</w:t>
      </w:r>
    </w:p>
    <w:p w14:paraId="1DAA96B6" w14:textId="77777777" w:rsidR="00143423" w:rsidRPr="00611291" w:rsidRDefault="00143423" w:rsidP="00143423">
      <w:pPr>
        <w:spacing w:before="120" w:after="120"/>
        <w:ind w:left="284"/>
        <w:jc w:val="both"/>
        <w:rPr>
          <w:rFonts w:ascii="Palatino Linotype" w:eastAsia="Palatino Linotype" w:hAnsi="Palatino Linotype" w:cs="Palatino Linotype"/>
          <w:i/>
          <w:sz w:val="20"/>
          <w:szCs w:val="20"/>
        </w:rPr>
      </w:pPr>
      <w:r w:rsidRPr="00611291">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01661F9C" w14:textId="3EC6628B" w:rsidR="00694AA0" w:rsidRPr="00611291" w:rsidRDefault="005B22BA" w:rsidP="00B221EC">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b/>
          <w:sz w:val="22"/>
          <w:szCs w:val="22"/>
        </w:rPr>
        <w:t xml:space="preserve">Tercero. Notifíquese, </w:t>
      </w:r>
      <w:r w:rsidRPr="00611291">
        <w:rPr>
          <w:rFonts w:ascii="Palatino Linotype" w:eastAsia="Palatino Linotype" w:hAnsi="Palatino Linotype" w:cs="Palatino Linotype"/>
          <w:sz w:val="22"/>
          <w:szCs w:val="22"/>
        </w:rPr>
        <w:t xml:space="preserve">vía </w:t>
      </w:r>
      <w:r w:rsidRPr="00611291">
        <w:rPr>
          <w:rFonts w:ascii="Palatino Linotype" w:eastAsia="Palatino Linotype" w:hAnsi="Palatino Linotype" w:cs="Palatino Linotype"/>
          <w:b/>
          <w:sz w:val="22"/>
          <w:szCs w:val="22"/>
        </w:rPr>
        <w:t>SAIMEX</w:t>
      </w:r>
      <w:r w:rsidRPr="00611291">
        <w:rPr>
          <w:rFonts w:ascii="Palatino Linotype" w:eastAsia="Palatino Linotype" w:hAnsi="Palatino Linotype" w:cs="Palatino Linotype"/>
          <w:sz w:val="22"/>
          <w:szCs w:val="22"/>
        </w:rPr>
        <w:t xml:space="preserve">, al Titular de la Unidad de Transparencia del </w:t>
      </w:r>
      <w:r w:rsidRPr="00611291">
        <w:rPr>
          <w:rFonts w:ascii="Palatino Linotype" w:eastAsia="Palatino Linotype" w:hAnsi="Palatino Linotype" w:cs="Palatino Linotype"/>
          <w:b/>
          <w:sz w:val="22"/>
          <w:szCs w:val="22"/>
        </w:rPr>
        <w:t>Sujeto Obligado,</w:t>
      </w:r>
      <w:r w:rsidRPr="00611291">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5D760D0" w14:textId="77777777" w:rsidR="00694AA0" w:rsidRPr="00611291" w:rsidRDefault="005B22BA">
      <w:pPr>
        <w:spacing w:before="240" w:after="240" w:line="360" w:lineRule="auto"/>
        <w:jc w:val="both"/>
        <w:rPr>
          <w:rFonts w:ascii="Palatino Linotype" w:eastAsia="Palatino Linotype" w:hAnsi="Palatino Linotype" w:cs="Palatino Linotype"/>
          <w:sz w:val="22"/>
          <w:szCs w:val="22"/>
        </w:rPr>
      </w:pPr>
      <w:r w:rsidRPr="00611291">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611291">
        <w:rPr>
          <w:rFonts w:ascii="Palatino Linotype" w:eastAsia="Palatino Linotype" w:hAnsi="Palatino Linotype" w:cs="Palatino Linotype"/>
          <w:b/>
          <w:sz w:val="22"/>
          <w:szCs w:val="22"/>
        </w:rPr>
        <w:t>Sujeto Obligado</w:t>
      </w:r>
      <w:r w:rsidRPr="00611291">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72A9EDCB" w14:textId="77777777" w:rsidR="00694AA0" w:rsidRPr="00611291" w:rsidRDefault="005B22BA">
      <w:pPr>
        <w:spacing w:before="240" w:after="240" w:line="360" w:lineRule="auto"/>
        <w:jc w:val="both"/>
        <w:rPr>
          <w:rFonts w:ascii="Palatino Linotype" w:eastAsia="Palatino Linotype" w:hAnsi="Palatino Linotype" w:cs="Palatino Linotype"/>
          <w:sz w:val="22"/>
          <w:szCs w:val="22"/>
        </w:rPr>
      </w:pPr>
      <w:bookmarkStart w:id="12" w:name="_heading=h.17dp8vu" w:colFirst="0" w:colLast="0"/>
      <w:bookmarkEnd w:id="12"/>
      <w:r w:rsidRPr="00611291">
        <w:rPr>
          <w:rFonts w:ascii="Palatino Linotype" w:eastAsia="Palatino Linotype" w:hAnsi="Palatino Linotype" w:cs="Palatino Linotype"/>
          <w:b/>
          <w:sz w:val="22"/>
          <w:szCs w:val="22"/>
        </w:rPr>
        <w:t xml:space="preserve">Cuarto.  Notifíquese, </w:t>
      </w:r>
      <w:r w:rsidRPr="00611291">
        <w:rPr>
          <w:rFonts w:ascii="Palatino Linotype" w:eastAsia="Palatino Linotype" w:hAnsi="Palatino Linotype" w:cs="Palatino Linotype"/>
          <w:sz w:val="22"/>
          <w:szCs w:val="22"/>
        </w:rPr>
        <w:t xml:space="preserve">vía </w:t>
      </w:r>
      <w:r w:rsidRPr="00611291">
        <w:rPr>
          <w:rFonts w:ascii="Palatino Linotype" w:eastAsia="Palatino Linotype" w:hAnsi="Palatino Linotype" w:cs="Palatino Linotype"/>
          <w:b/>
          <w:sz w:val="22"/>
          <w:szCs w:val="22"/>
        </w:rPr>
        <w:t>SAIMEX</w:t>
      </w:r>
      <w:r w:rsidRPr="00611291">
        <w:rPr>
          <w:rFonts w:ascii="Palatino Linotype" w:eastAsia="Palatino Linotype" w:hAnsi="Palatino Linotype" w:cs="Palatino Linotype"/>
          <w:sz w:val="22"/>
          <w:szCs w:val="22"/>
        </w:rPr>
        <w:t xml:space="preserve">, a la parte </w:t>
      </w:r>
      <w:r w:rsidRPr="00611291">
        <w:rPr>
          <w:rFonts w:ascii="Palatino Linotype" w:eastAsia="Palatino Linotype" w:hAnsi="Palatino Linotype" w:cs="Palatino Linotype"/>
          <w:b/>
          <w:sz w:val="22"/>
          <w:szCs w:val="22"/>
        </w:rPr>
        <w:t>Recurrente</w:t>
      </w:r>
      <w:r w:rsidRPr="00611291">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C146F11" w14:textId="47686BC2" w:rsidR="00694AA0" w:rsidRPr="000E1DE4" w:rsidRDefault="005B22BA">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3" w:name="_heading=h.lnxbz9" w:colFirst="0" w:colLast="0"/>
      <w:bookmarkEnd w:id="13"/>
      <w:r w:rsidRPr="0061129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1085F" w:rsidRPr="00611291">
        <w:rPr>
          <w:rFonts w:ascii="Palatino Linotype" w:eastAsia="Palatino Linotype" w:hAnsi="Palatino Linotype" w:cs="Palatino Linotype"/>
          <w:sz w:val="22"/>
          <w:szCs w:val="22"/>
        </w:rPr>
        <w:t>PRIMERA</w:t>
      </w:r>
      <w:r w:rsidR="00143423" w:rsidRPr="00611291">
        <w:rPr>
          <w:rFonts w:ascii="Palatino Linotype" w:eastAsia="Palatino Linotype" w:hAnsi="Palatino Linotype" w:cs="Palatino Linotype"/>
          <w:sz w:val="22"/>
          <w:szCs w:val="22"/>
        </w:rPr>
        <w:t xml:space="preserve"> </w:t>
      </w:r>
      <w:r w:rsidRPr="00611291">
        <w:rPr>
          <w:rFonts w:ascii="Palatino Linotype" w:eastAsia="Palatino Linotype" w:hAnsi="Palatino Linotype" w:cs="Palatino Linotype"/>
          <w:sz w:val="22"/>
          <w:szCs w:val="22"/>
        </w:rPr>
        <w:t xml:space="preserve">SESIÓN ORDINARIA CELEBRADA EL </w:t>
      </w:r>
      <w:r w:rsidR="0071085F" w:rsidRPr="00611291">
        <w:rPr>
          <w:rFonts w:ascii="Palatino Linotype" w:eastAsia="Palatino Linotype" w:hAnsi="Palatino Linotype" w:cs="Palatino Linotype"/>
          <w:sz w:val="22"/>
          <w:szCs w:val="22"/>
        </w:rPr>
        <w:t>CATORCE DE ENERO</w:t>
      </w:r>
      <w:r w:rsidRPr="00611291">
        <w:rPr>
          <w:rFonts w:ascii="Palatino Linotype" w:eastAsia="Palatino Linotype" w:hAnsi="Palatino Linotype" w:cs="Palatino Linotype"/>
          <w:sz w:val="22"/>
          <w:szCs w:val="22"/>
        </w:rPr>
        <w:t xml:space="preserve"> DE DOS MIL VEINTI</w:t>
      </w:r>
      <w:r w:rsidR="0071085F" w:rsidRPr="00611291">
        <w:rPr>
          <w:rFonts w:ascii="Palatino Linotype" w:eastAsia="Palatino Linotype" w:hAnsi="Palatino Linotype" w:cs="Palatino Linotype"/>
          <w:sz w:val="22"/>
          <w:szCs w:val="22"/>
        </w:rPr>
        <w:t>SÉIS</w:t>
      </w:r>
      <w:r w:rsidRPr="00611291">
        <w:rPr>
          <w:rFonts w:ascii="Palatino Linotype" w:eastAsia="Palatino Linotype" w:hAnsi="Palatino Linotype" w:cs="Palatino Linotype"/>
          <w:sz w:val="22"/>
          <w:szCs w:val="22"/>
        </w:rPr>
        <w:t>, ANTE EL SECRETARIO TÉCNICO DEL PLENO ALEXIS TAPIA RAMÍREZ.</w:t>
      </w:r>
    </w:p>
    <w:p w14:paraId="36F5D5CA"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10176E8B" w14:textId="77777777" w:rsidR="00694AA0" w:rsidRPr="000E1DE4" w:rsidRDefault="00694AA0">
      <w:pPr>
        <w:spacing w:line="360" w:lineRule="auto"/>
        <w:jc w:val="center"/>
        <w:rPr>
          <w:rFonts w:ascii="Palatino Linotype" w:eastAsia="Palatino Linotype" w:hAnsi="Palatino Linotype" w:cs="Palatino Linotype"/>
          <w:sz w:val="22"/>
          <w:szCs w:val="22"/>
        </w:rPr>
      </w:pPr>
    </w:p>
    <w:p w14:paraId="6DF87AE6"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708FB06E"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537054EF"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17774119"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5509219D"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5A5B7374"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016906CE"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3536C243"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10C74B60"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48A36858"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3FE6DE95"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16F5DDC9"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714A31D2"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46664245"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5C092A01"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669D5981"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3D7F8E58"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61848FB2" w14:textId="77777777" w:rsidR="00694AA0" w:rsidRPr="000E1DE4" w:rsidRDefault="00694AA0">
      <w:pPr>
        <w:spacing w:line="360" w:lineRule="auto"/>
        <w:jc w:val="both"/>
        <w:rPr>
          <w:rFonts w:ascii="Palatino Linotype" w:eastAsia="Palatino Linotype" w:hAnsi="Palatino Linotype" w:cs="Palatino Linotype"/>
          <w:sz w:val="22"/>
          <w:szCs w:val="22"/>
        </w:rPr>
      </w:pPr>
    </w:p>
    <w:p w14:paraId="5684A0AB" w14:textId="77777777" w:rsidR="006F3A18" w:rsidRPr="000E1DE4" w:rsidRDefault="006F3A18">
      <w:pPr>
        <w:spacing w:line="360" w:lineRule="auto"/>
        <w:jc w:val="both"/>
        <w:rPr>
          <w:rFonts w:ascii="Palatino Linotype" w:eastAsia="Palatino Linotype" w:hAnsi="Palatino Linotype" w:cs="Palatino Linotype"/>
          <w:sz w:val="22"/>
          <w:szCs w:val="22"/>
        </w:rPr>
      </w:pPr>
    </w:p>
    <w:sectPr w:rsidR="006F3A18" w:rsidRPr="000E1DE4">
      <w:headerReference w:type="default" r:id="rId21"/>
      <w:footerReference w:type="default" r:id="rId22"/>
      <w:headerReference w:type="first" r:id="rId23"/>
      <w:footerReference w:type="first" r:id="rId2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C0ECE" w14:textId="77777777" w:rsidR="00172C61" w:rsidRDefault="00172C61">
      <w:r>
        <w:separator/>
      </w:r>
    </w:p>
  </w:endnote>
  <w:endnote w:type="continuationSeparator" w:id="0">
    <w:p w14:paraId="4EAC532B" w14:textId="77777777" w:rsidR="00172C61" w:rsidRDefault="0017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DFD7A" w14:textId="3FF5B484" w:rsidR="00435111" w:rsidRDefault="004351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E7F14">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E7F14">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01320A57" w14:textId="77777777" w:rsidR="00435111" w:rsidRDefault="0043511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5D5DD" w14:textId="553FB81F" w:rsidR="00435111" w:rsidRDefault="0043511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E7F1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E7F14">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71AA7E10" w14:textId="77777777" w:rsidR="00435111" w:rsidRDefault="0043511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EB827" w14:textId="77777777" w:rsidR="00172C61" w:rsidRDefault="00172C61">
      <w:r>
        <w:separator/>
      </w:r>
    </w:p>
  </w:footnote>
  <w:footnote w:type="continuationSeparator" w:id="0">
    <w:p w14:paraId="6F289FC0" w14:textId="77777777" w:rsidR="00172C61" w:rsidRDefault="00172C61">
      <w:r>
        <w:continuationSeparator/>
      </w:r>
    </w:p>
  </w:footnote>
  <w:footnote w:id="1">
    <w:p w14:paraId="4AFDE782" w14:textId="77777777" w:rsidR="000D66CA" w:rsidRDefault="000D66CA" w:rsidP="000D66CA">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A67F7" w14:textId="77777777" w:rsidR="00435111" w:rsidRDefault="00435111">
    <w:pPr>
      <w:rPr>
        <w:rFonts w:ascii="Cambria" w:eastAsia="Cambria" w:hAnsi="Cambria" w:cs="Cambria"/>
        <w:color w:val="000000"/>
      </w:rPr>
    </w:pPr>
    <w:r>
      <w:rPr>
        <w:noProof/>
      </w:rPr>
      <w:drawing>
        <wp:anchor distT="0" distB="0" distL="0" distR="0" simplePos="0" relativeHeight="251658240" behindDoc="1" locked="0" layoutInCell="1" hidden="0" allowOverlap="1" wp14:anchorId="737B4D0F" wp14:editId="5C481CA0">
          <wp:simplePos x="0" y="0"/>
          <wp:positionH relativeFrom="column">
            <wp:posOffset>-1080090</wp:posOffset>
          </wp:positionH>
          <wp:positionV relativeFrom="paragraph">
            <wp:posOffset>-488261</wp:posOffset>
          </wp:positionV>
          <wp:extent cx="7809865" cy="10165715"/>
          <wp:effectExtent l="0" t="0" r="0" b="0"/>
          <wp:wrapNone/>
          <wp:docPr id="19520825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2"/>
      <w:tblW w:w="5953" w:type="dxa"/>
      <w:tblInd w:w="3261" w:type="dxa"/>
      <w:tblLayout w:type="fixed"/>
      <w:tblLook w:val="0400" w:firstRow="0" w:lastRow="0" w:firstColumn="0" w:lastColumn="0" w:noHBand="0" w:noVBand="1"/>
    </w:tblPr>
    <w:tblGrid>
      <w:gridCol w:w="2489"/>
      <w:gridCol w:w="3464"/>
    </w:tblGrid>
    <w:tr w:rsidR="00435111" w14:paraId="0791587B" w14:textId="77777777">
      <w:tc>
        <w:tcPr>
          <w:tcW w:w="2489" w:type="dxa"/>
        </w:tcPr>
        <w:p w14:paraId="5B034C04" w14:textId="77777777" w:rsidR="00435111" w:rsidRDefault="004351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288814C3" w14:textId="46C74D22" w:rsidR="00435111" w:rsidRDefault="00435111" w:rsidP="0055482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71085F">
            <w:rPr>
              <w:rFonts w:ascii="Palatino Linotype" w:eastAsia="Palatino Linotype" w:hAnsi="Palatino Linotype" w:cs="Palatino Linotype"/>
              <w:b/>
              <w:sz w:val="22"/>
              <w:szCs w:val="22"/>
            </w:rPr>
            <w:t>3079</w:t>
          </w:r>
          <w:r>
            <w:rPr>
              <w:rFonts w:ascii="Palatino Linotype" w:eastAsia="Palatino Linotype" w:hAnsi="Palatino Linotype" w:cs="Palatino Linotype"/>
              <w:b/>
              <w:sz w:val="22"/>
              <w:szCs w:val="22"/>
            </w:rPr>
            <w:t>/INFOEM/IP/RR/2025</w:t>
          </w:r>
        </w:p>
      </w:tc>
    </w:tr>
    <w:tr w:rsidR="00435111" w14:paraId="704D61F0" w14:textId="77777777">
      <w:trPr>
        <w:trHeight w:val="228"/>
      </w:trPr>
      <w:tc>
        <w:tcPr>
          <w:tcW w:w="2489" w:type="dxa"/>
          <w:vAlign w:val="center"/>
        </w:tcPr>
        <w:p w14:paraId="6DFC1FC7" w14:textId="77777777" w:rsidR="00435111" w:rsidRDefault="004351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C5BFEDD" w14:textId="3112C97A" w:rsidR="00435111" w:rsidRDefault="0071085F">
          <w:pPr>
            <w:ind w:left="-45" w:right="176"/>
            <w:jc w:val="both"/>
            <w:rPr>
              <w:rFonts w:ascii="Palatino Linotype" w:eastAsia="Palatino Linotype" w:hAnsi="Palatino Linotype" w:cs="Palatino Linotype"/>
              <w:b/>
              <w:sz w:val="22"/>
              <w:szCs w:val="22"/>
            </w:rPr>
          </w:pPr>
          <w:r w:rsidRPr="0071085F">
            <w:rPr>
              <w:rFonts w:ascii="Palatino Linotype" w:eastAsia="Palatino Linotype" w:hAnsi="Palatino Linotype" w:cs="Palatino Linotype"/>
              <w:b/>
              <w:sz w:val="22"/>
              <w:szCs w:val="22"/>
            </w:rPr>
            <w:t>Tribunal Electoral del Estado de México</w:t>
          </w:r>
        </w:p>
      </w:tc>
    </w:tr>
    <w:tr w:rsidR="00435111" w14:paraId="2B5F7CE9" w14:textId="77777777">
      <w:tc>
        <w:tcPr>
          <w:tcW w:w="2489" w:type="dxa"/>
          <w:vAlign w:val="center"/>
        </w:tcPr>
        <w:p w14:paraId="63B3258D" w14:textId="77777777" w:rsidR="00435111" w:rsidRDefault="0043511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AB48BAE" w14:textId="77777777" w:rsidR="00435111" w:rsidRDefault="004351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947C34D" w14:textId="77777777" w:rsidR="00435111" w:rsidRDefault="0043511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D0846" w14:textId="77777777" w:rsidR="00435111" w:rsidRDefault="0043511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57F20C8" wp14:editId="7DFE190E">
          <wp:simplePos x="0" y="0"/>
          <wp:positionH relativeFrom="page">
            <wp:align>left</wp:align>
          </wp:positionH>
          <wp:positionV relativeFrom="paragraph">
            <wp:posOffset>-369891</wp:posOffset>
          </wp:positionV>
          <wp:extent cx="7809865" cy="10165715"/>
          <wp:effectExtent l="0" t="0" r="635" b="6985"/>
          <wp:wrapNone/>
          <wp:docPr id="1952082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
      <w:tblW w:w="5953" w:type="dxa"/>
      <w:tblInd w:w="3261" w:type="dxa"/>
      <w:tblLayout w:type="fixed"/>
      <w:tblLook w:val="0400" w:firstRow="0" w:lastRow="0" w:firstColumn="0" w:lastColumn="0" w:noHBand="0" w:noVBand="1"/>
    </w:tblPr>
    <w:tblGrid>
      <w:gridCol w:w="2489"/>
      <w:gridCol w:w="3464"/>
    </w:tblGrid>
    <w:tr w:rsidR="00435111" w14:paraId="71B7394D" w14:textId="77777777">
      <w:tc>
        <w:tcPr>
          <w:tcW w:w="2489" w:type="dxa"/>
        </w:tcPr>
        <w:p w14:paraId="6F6314B5" w14:textId="77777777" w:rsidR="00435111" w:rsidRDefault="004351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471E5532" w14:textId="0ADCBD95" w:rsidR="00435111" w:rsidRDefault="0071085F" w:rsidP="0055482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13079</w:t>
          </w:r>
          <w:r w:rsidR="00435111">
            <w:rPr>
              <w:rFonts w:ascii="Palatino Linotype" w:eastAsia="Palatino Linotype" w:hAnsi="Palatino Linotype" w:cs="Palatino Linotype"/>
              <w:b/>
              <w:sz w:val="22"/>
              <w:szCs w:val="22"/>
            </w:rPr>
            <w:t>/INFOEM/IP/RR/2025</w:t>
          </w:r>
        </w:p>
      </w:tc>
    </w:tr>
    <w:tr w:rsidR="00435111" w14:paraId="4854212C" w14:textId="77777777">
      <w:tc>
        <w:tcPr>
          <w:tcW w:w="2489" w:type="dxa"/>
        </w:tcPr>
        <w:p w14:paraId="1D1E2C85" w14:textId="77777777" w:rsidR="00435111" w:rsidRDefault="004351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299EB360" w14:textId="66D4EBC2" w:rsidR="00435111" w:rsidRPr="00E66354" w:rsidRDefault="004E7F14">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XXXXXXXXX XX</w:t>
          </w:r>
        </w:p>
      </w:tc>
    </w:tr>
    <w:tr w:rsidR="00435111" w14:paraId="082218B4" w14:textId="77777777">
      <w:trPr>
        <w:trHeight w:val="228"/>
      </w:trPr>
      <w:tc>
        <w:tcPr>
          <w:tcW w:w="2489" w:type="dxa"/>
          <w:vAlign w:val="center"/>
        </w:tcPr>
        <w:p w14:paraId="5E8970C5" w14:textId="77777777" w:rsidR="00435111" w:rsidRDefault="0043511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9B822F6" w14:textId="45675A36" w:rsidR="00435111" w:rsidRDefault="0071085F">
          <w:pPr>
            <w:ind w:left="-45" w:right="176"/>
            <w:jc w:val="both"/>
            <w:rPr>
              <w:rFonts w:ascii="Palatino Linotype" w:eastAsia="Palatino Linotype" w:hAnsi="Palatino Linotype" w:cs="Palatino Linotype"/>
              <w:b/>
              <w:sz w:val="22"/>
              <w:szCs w:val="22"/>
            </w:rPr>
          </w:pPr>
          <w:r w:rsidRPr="0071085F">
            <w:rPr>
              <w:rFonts w:ascii="Palatino Linotype" w:eastAsia="Palatino Linotype" w:hAnsi="Palatino Linotype" w:cs="Palatino Linotype"/>
              <w:b/>
              <w:sz w:val="22"/>
              <w:szCs w:val="22"/>
            </w:rPr>
            <w:t>Tribunal Electoral del Estado de México</w:t>
          </w:r>
        </w:p>
      </w:tc>
    </w:tr>
    <w:tr w:rsidR="00435111" w14:paraId="10C74DEA" w14:textId="77777777">
      <w:tc>
        <w:tcPr>
          <w:tcW w:w="2489" w:type="dxa"/>
          <w:vAlign w:val="center"/>
        </w:tcPr>
        <w:p w14:paraId="1F1A62FF" w14:textId="77777777" w:rsidR="00435111" w:rsidRDefault="0043511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52548D8D" w14:textId="77777777" w:rsidR="00435111" w:rsidRDefault="0043511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904CEDE" w14:textId="77777777" w:rsidR="00435111" w:rsidRDefault="0043511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5FA81C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BD6295C"/>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E3079D8"/>
    <w:multiLevelType w:val="multilevel"/>
    <w:tmpl w:val="3196C92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5C81A7C"/>
    <w:multiLevelType w:val="multilevel"/>
    <w:tmpl w:val="99D40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1D25AD0"/>
    <w:multiLevelType w:val="hybridMultilevel"/>
    <w:tmpl w:val="9B3E43EC"/>
    <w:lvl w:ilvl="0" w:tplc="2F461F4A">
      <w:start w:val="1"/>
      <w:numFmt w:val="decimal"/>
      <w:lvlText w:val="%1."/>
      <w:lvlJc w:val="left"/>
      <w:pPr>
        <w:ind w:left="644" w:hanging="360"/>
      </w:pPr>
      <w:rPr>
        <w:rFonts w:hint="default"/>
        <w:b w:val="0"/>
        <w:bCs/>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ECA6C08"/>
    <w:multiLevelType w:val="multilevel"/>
    <w:tmpl w:val="77045766"/>
    <w:lvl w:ilvl="0">
      <w:start w:val="1"/>
      <w:numFmt w:val="decimal"/>
      <w:pStyle w:val="Listaconvietas3"/>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620930DE"/>
    <w:multiLevelType w:val="multilevel"/>
    <w:tmpl w:val="07B632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0CC0097"/>
    <w:multiLevelType w:val="hybridMultilevel"/>
    <w:tmpl w:val="11262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0"/>
  </w:num>
  <w:num w:numId="4">
    <w:abstractNumId w:val="4"/>
  </w:num>
  <w:num w:numId="5">
    <w:abstractNumId w:val="6"/>
  </w:num>
  <w:num w:numId="6">
    <w:abstractNumId w:val="1"/>
  </w:num>
  <w:num w:numId="7">
    <w:abstractNumId w:val="0"/>
  </w:num>
  <w:num w:numId="8">
    <w:abstractNumId w:val="7"/>
  </w:num>
  <w:num w:numId="9">
    <w:abstractNumId w:val="3"/>
  </w:num>
  <w:num w:numId="10">
    <w:abstractNumId w:val="5"/>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AA0"/>
    <w:rsid w:val="00004D58"/>
    <w:rsid w:val="000064B5"/>
    <w:rsid w:val="000309D9"/>
    <w:rsid w:val="0003226E"/>
    <w:rsid w:val="000341DC"/>
    <w:rsid w:val="00052702"/>
    <w:rsid w:val="00054CEB"/>
    <w:rsid w:val="000653F9"/>
    <w:rsid w:val="000661FA"/>
    <w:rsid w:val="00082344"/>
    <w:rsid w:val="000B0896"/>
    <w:rsid w:val="000B0B75"/>
    <w:rsid w:val="000D45C9"/>
    <w:rsid w:val="000D66CA"/>
    <w:rsid w:val="000D757F"/>
    <w:rsid w:val="000E1DE4"/>
    <w:rsid w:val="000E290B"/>
    <w:rsid w:val="000E4F8F"/>
    <w:rsid w:val="0011644B"/>
    <w:rsid w:val="001309F0"/>
    <w:rsid w:val="00131E7A"/>
    <w:rsid w:val="00134ECF"/>
    <w:rsid w:val="00142C8A"/>
    <w:rsid w:val="00143423"/>
    <w:rsid w:val="00143A14"/>
    <w:rsid w:val="00156057"/>
    <w:rsid w:val="00172C61"/>
    <w:rsid w:val="001A0778"/>
    <w:rsid w:val="001B415E"/>
    <w:rsid w:val="001B740C"/>
    <w:rsid w:val="001E2666"/>
    <w:rsid w:val="001F3BA6"/>
    <w:rsid w:val="001F64E8"/>
    <w:rsid w:val="0020097E"/>
    <w:rsid w:val="00223511"/>
    <w:rsid w:val="00231963"/>
    <w:rsid w:val="002459DF"/>
    <w:rsid w:val="00251174"/>
    <w:rsid w:val="0026210D"/>
    <w:rsid w:val="0028645D"/>
    <w:rsid w:val="0029424F"/>
    <w:rsid w:val="00302DBD"/>
    <w:rsid w:val="0033200D"/>
    <w:rsid w:val="00345D19"/>
    <w:rsid w:val="0034602C"/>
    <w:rsid w:val="0036325A"/>
    <w:rsid w:val="00365022"/>
    <w:rsid w:val="003707C8"/>
    <w:rsid w:val="00375184"/>
    <w:rsid w:val="00383985"/>
    <w:rsid w:val="0038463F"/>
    <w:rsid w:val="00386EDA"/>
    <w:rsid w:val="003A2BE9"/>
    <w:rsid w:val="003B589D"/>
    <w:rsid w:val="003B5E1E"/>
    <w:rsid w:val="003C6617"/>
    <w:rsid w:val="003D4C05"/>
    <w:rsid w:val="003D61F9"/>
    <w:rsid w:val="0040045C"/>
    <w:rsid w:val="00420C30"/>
    <w:rsid w:val="00430882"/>
    <w:rsid w:val="00435111"/>
    <w:rsid w:val="004501DA"/>
    <w:rsid w:val="00463FB8"/>
    <w:rsid w:val="00471407"/>
    <w:rsid w:val="00491EE4"/>
    <w:rsid w:val="004A6693"/>
    <w:rsid w:val="004B0BBC"/>
    <w:rsid w:val="004B35BD"/>
    <w:rsid w:val="004D73B7"/>
    <w:rsid w:val="004E1DF4"/>
    <w:rsid w:val="004E7F14"/>
    <w:rsid w:val="004F1364"/>
    <w:rsid w:val="00504FA2"/>
    <w:rsid w:val="0050707B"/>
    <w:rsid w:val="0051150E"/>
    <w:rsid w:val="00530D60"/>
    <w:rsid w:val="00535FC8"/>
    <w:rsid w:val="00546E25"/>
    <w:rsid w:val="00552496"/>
    <w:rsid w:val="00554822"/>
    <w:rsid w:val="00574CB0"/>
    <w:rsid w:val="005A48B9"/>
    <w:rsid w:val="005B22BA"/>
    <w:rsid w:val="00611291"/>
    <w:rsid w:val="0068383C"/>
    <w:rsid w:val="00694AA0"/>
    <w:rsid w:val="006A357B"/>
    <w:rsid w:val="006C1064"/>
    <w:rsid w:val="006E155A"/>
    <w:rsid w:val="006F3A18"/>
    <w:rsid w:val="006F6ED2"/>
    <w:rsid w:val="006F76B7"/>
    <w:rsid w:val="00702E1B"/>
    <w:rsid w:val="0071085F"/>
    <w:rsid w:val="007165D6"/>
    <w:rsid w:val="00731EF3"/>
    <w:rsid w:val="007333D5"/>
    <w:rsid w:val="0075679E"/>
    <w:rsid w:val="0076259D"/>
    <w:rsid w:val="0076423F"/>
    <w:rsid w:val="00771F7F"/>
    <w:rsid w:val="007D0435"/>
    <w:rsid w:val="0080393C"/>
    <w:rsid w:val="008122FB"/>
    <w:rsid w:val="0082626C"/>
    <w:rsid w:val="00831C7F"/>
    <w:rsid w:val="00854416"/>
    <w:rsid w:val="00883836"/>
    <w:rsid w:val="0088463F"/>
    <w:rsid w:val="00897BD0"/>
    <w:rsid w:val="008A4B43"/>
    <w:rsid w:val="008B474D"/>
    <w:rsid w:val="008B7DA1"/>
    <w:rsid w:val="008C7D36"/>
    <w:rsid w:val="008E0B27"/>
    <w:rsid w:val="008E1CAA"/>
    <w:rsid w:val="008F7C04"/>
    <w:rsid w:val="00907832"/>
    <w:rsid w:val="00946903"/>
    <w:rsid w:val="00947504"/>
    <w:rsid w:val="009502ED"/>
    <w:rsid w:val="009711CB"/>
    <w:rsid w:val="00980D84"/>
    <w:rsid w:val="009B4ADD"/>
    <w:rsid w:val="009C1FBD"/>
    <w:rsid w:val="009D0D80"/>
    <w:rsid w:val="009F4157"/>
    <w:rsid w:val="009F5343"/>
    <w:rsid w:val="00A16791"/>
    <w:rsid w:val="00A30507"/>
    <w:rsid w:val="00A41735"/>
    <w:rsid w:val="00A57A19"/>
    <w:rsid w:val="00A74E48"/>
    <w:rsid w:val="00A861FE"/>
    <w:rsid w:val="00AB2156"/>
    <w:rsid w:val="00AB3B72"/>
    <w:rsid w:val="00AB427D"/>
    <w:rsid w:val="00AC581C"/>
    <w:rsid w:val="00AD444D"/>
    <w:rsid w:val="00AD7617"/>
    <w:rsid w:val="00B04701"/>
    <w:rsid w:val="00B101D9"/>
    <w:rsid w:val="00B14870"/>
    <w:rsid w:val="00B14A23"/>
    <w:rsid w:val="00B221EC"/>
    <w:rsid w:val="00B3392A"/>
    <w:rsid w:val="00B459D0"/>
    <w:rsid w:val="00B64C07"/>
    <w:rsid w:val="00B84A61"/>
    <w:rsid w:val="00B919FC"/>
    <w:rsid w:val="00BD020A"/>
    <w:rsid w:val="00BD504B"/>
    <w:rsid w:val="00BE3EF4"/>
    <w:rsid w:val="00C00558"/>
    <w:rsid w:val="00C1117A"/>
    <w:rsid w:val="00C440C0"/>
    <w:rsid w:val="00C85C03"/>
    <w:rsid w:val="00C90819"/>
    <w:rsid w:val="00C97F6E"/>
    <w:rsid w:val="00CB469A"/>
    <w:rsid w:val="00D06496"/>
    <w:rsid w:val="00D46BA0"/>
    <w:rsid w:val="00D71F7C"/>
    <w:rsid w:val="00D77EC0"/>
    <w:rsid w:val="00D86C32"/>
    <w:rsid w:val="00D95D0E"/>
    <w:rsid w:val="00DB00B5"/>
    <w:rsid w:val="00DB513A"/>
    <w:rsid w:val="00DC1F5B"/>
    <w:rsid w:val="00DD1E25"/>
    <w:rsid w:val="00DD4CBD"/>
    <w:rsid w:val="00DF478E"/>
    <w:rsid w:val="00E1082D"/>
    <w:rsid w:val="00E16633"/>
    <w:rsid w:val="00E3205B"/>
    <w:rsid w:val="00E40785"/>
    <w:rsid w:val="00E417D0"/>
    <w:rsid w:val="00E43918"/>
    <w:rsid w:val="00E545C2"/>
    <w:rsid w:val="00E56B57"/>
    <w:rsid w:val="00E66354"/>
    <w:rsid w:val="00E84CB1"/>
    <w:rsid w:val="00E91C46"/>
    <w:rsid w:val="00EA2309"/>
    <w:rsid w:val="00EA5CD6"/>
    <w:rsid w:val="00EB032A"/>
    <w:rsid w:val="00EB5BEE"/>
    <w:rsid w:val="00EC6393"/>
    <w:rsid w:val="00ED30A5"/>
    <w:rsid w:val="00ED39E8"/>
    <w:rsid w:val="00ED5057"/>
    <w:rsid w:val="00ED661A"/>
    <w:rsid w:val="00EE042E"/>
    <w:rsid w:val="00F20BEB"/>
    <w:rsid w:val="00F221D2"/>
    <w:rsid w:val="00F33D9D"/>
    <w:rsid w:val="00F62348"/>
    <w:rsid w:val="00F827DF"/>
    <w:rsid w:val="00F90070"/>
    <w:rsid w:val="00F96B54"/>
    <w:rsid w:val="00FA0237"/>
    <w:rsid w:val="00FB0090"/>
    <w:rsid w:val="00FC36ED"/>
    <w:rsid w:val="00FC54A4"/>
    <w:rsid w:val="00FE251A"/>
    <w:rsid w:val="00FE39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6C3C"/>
  <w15:docId w15:val="{4E3D6FF7-1FD1-4EA6-BDE9-C4C1B259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3">
    <w:name w:val="TableNormal3"/>
    <w:tblPr>
      <w:tblCellMar>
        <w:top w:w="0" w:type="dxa"/>
        <w:left w:w="0" w:type="dxa"/>
        <w:bottom w:w="0" w:type="dxa"/>
        <w:right w:w="0" w:type="dxa"/>
      </w:tblCellMar>
    </w:tblPr>
  </w:style>
  <w:style w:type="table" w:customStyle="1" w:styleId="TableNormal2">
    <w:name w:val="TableNormal2"/>
    <w:tblPr>
      <w:tblCellMar>
        <w:top w:w="0" w:type="dxa"/>
        <w:left w:w="0" w:type="dxa"/>
        <w:bottom w:w="0" w:type="dxa"/>
        <w:right w:w="0" w:type="dxa"/>
      </w:tblCellMar>
    </w:tblPr>
  </w:style>
  <w:style w:type="table" w:customStyle="1" w:styleId="TableNormal1">
    <w:name w:val="TableNormal1"/>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5">
    <w:name w:val="Table Normal15"/>
    <w:tblPr>
      <w:tblCellMar>
        <w:top w:w="0" w:type="dxa"/>
        <w:left w:w="0" w:type="dxa"/>
        <w:bottom w:w="0" w:type="dxa"/>
        <w:right w:w="0" w:type="dxa"/>
      </w:tblCellMar>
    </w:tblPr>
  </w:style>
  <w:style w:type="table" w:customStyle="1" w:styleId="TableNormal14">
    <w:name w:val="Table Normal14"/>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6">
    <w:name w:val="Table Normal1"/>
    <w:tblPr>
      <w:tblCellMar>
        <w:top w:w="0" w:type="dxa"/>
        <w:left w:w="0" w:type="dxa"/>
        <w:bottom w:w="0" w:type="dxa"/>
        <w:right w:w="0" w:type="dxa"/>
      </w:tblCellMar>
    </w:tblPr>
  </w:style>
  <w:style w:type="table" w:customStyle="1" w:styleId="47">
    <w:name w:val="47"/>
    <w:basedOn w:val="TableNormal16"/>
    <w:tblPr>
      <w:tblStyleRowBandSize w:val="1"/>
      <w:tblStyleColBandSize w:val="1"/>
      <w:tblCellMar>
        <w:left w:w="115" w:type="dxa"/>
        <w:right w:w="115" w:type="dxa"/>
      </w:tblCellMar>
    </w:tblPr>
  </w:style>
  <w:style w:type="table" w:customStyle="1" w:styleId="46">
    <w:name w:val="46"/>
    <w:basedOn w:val="TableNormal16"/>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45">
    <w:name w:val="45"/>
    <w:basedOn w:val="TableNormal16"/>
    <w:tblPr>
      <w:tblStyleRowBandSize w:val="1"/>
      <w:tblStyleColBandSize w:val="1"/>
      <w:tblCellMar>
        <w:left w:w="115" w:type="dxa"/>
        <w:right w:w="115" w:type="dxa"/>
      </w:tblCellMar>
    </w:tblPr>
  </w:style>
  <w:style w:type="table" w:customStyle="1" w:styleId="44">
    <w:name w:val="44"/>
    <w:basedOn w:val="TableNormal16"/>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43"/>
    <w:basedOn w:val="TableNormal20"/>
    <w:tblPr>
      <w:tblStyleRowBandSize w:val="1"/>
      <w:tblStyleColBandSize w:val="1"/>
      <w:tblCellMar>
        <w:left w:w="115" w:type="dxa"/>
        <w:right w:w="115" w:type="dxa"/>
      </w:tblCellMar>
    </w:tblPr>
  </w:style>
  <w:style w:type="table" w:customStyle="1" w:styleId="42">
    <w:name w:val="42"/>
    <w:basedOn w:val="TableNormal2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41">
    <w:name w:val="41"/>
    <w:basedOn w:val="TableNormal30"/>
    <w:tblPr>
      <w:tblStyleRowBandSize w:val="1"/>
      <w:tblStyleColBandSize w:val="1"/>
      <w:tblCellMar>
        <w:left w:w="108" w:type="dxa"/>
        <w:right w:w="108" w:type="dxa"/>
      </w:tblCellMar>
    </w:tblPr>
  </w:style>
  <w:style w:type="table" w:customStyle="1" w:styleId="40">
    <w:name w:val="40"/>
    <w:basedOn w:val="TableNormal30"/>
    <w:tblPr>
      <w:tblStyleRowBandSize w:val="1"/>
      <w:tblStyleColBandSize w:val="1"/>
      <w:tblCellMar>
        <w:left w:w="108" w:type="dxa"/>
        <w:right w:w="108" w:type="dxa"/>
      </w:tblCellMar>
    </w:tblPr>
  </w:style>
  <w:style w:type="table" w:customStyle="1" w:styleId="39">
    <w:name w:val="39"/>
    <w:basedOn w:val="TableNormal30"/>
    <w:tblPr>
      <w:tblStyleRowBandSize w:val="1"/>
      <w:tblStyleColBandSize w:val="1"/>
      <w:tblCellMar>
        <w:left w:w="108" w:type="dxa"/>
        <w:right w:w="108" w:type="dxa"/>
      </w:tblCellMar>
    </w:tblPr>
  </w:style>
  <w:style w:type="table" w:customStyle="1" w:styleId="38">
    <w:name w:val="38"/>
    <w:basedOn w:val="TableNormal30"/>
    <w:tblPr>
      <w:tblStyleRowBandSize w:val="1"/>
      <w:tblStyleColBandSize w:val="1"/>
      <w:tblCellMar>
        <w:left w:w="108" w:type="dxa"/>
        <w:right w:w="108" w:type="dxa"/>
      </w:tblCellMar>
    </w:tblPr>
  </w:style>
  <w:style w:type="table" w:customStyle="1" w:styleId="37">
    <w:name w:val="37"/>
    <w:basedOn w:val="TableNormal30"/>
    <w:tblPr>
      <w:tblStyleRowBandSize w:val="1"/>
      <w:tblStyleColBandSize w:val="1"/>
      <w:tblCellMar>
        <w:left w:w="108" w:type="dxa"/>
        <w:right w:w="108" w:type="dxa"/>
      </w:tblCellMar>
    </w:tblPr>
  </w:style>
  <w:style w:type="table" w:customStyle="1" w:styleId="36">
    <w:name w:val="36"/>
    <w:basedOn w:val="TableNormal30"/>
    <w:tblPr>
      <w:tblStyleRowBandSize w:val="1"/>
      <w:tblStyleColBandSize w:val="1"/>
      <w:tblCellMar>
        <w:left w:w="115" w:type="dxa"/>
        <w:right w:w="115" w:type="dxa"/>
      </w:tblCellMar>
    </w:tblPr>
  </w:style>
  <w:style w:type="table" w:customStyle="1" w:styleId="35">
    <w:name w:val="35"/>
    <w:basedOn w:val="TableNormal30"/>
    <w:tblPr>
      <w:tblStyleRowBandSize w:val="1"/>
      <w:tblStyleColBandSize w:val="1"/>
      <w:tblCellMar>
        <w:left w:w="115" w:type="dxa"/>
        <w:right w:w="115" w:type="dxa"/>
      </w:tblCellMar>
    </w:tblPr>
  </w:style>
  <w:style w:type="table" w:customStyle="1" w:styleId="34">
    <w:name w:val="34"/>
    <w:basedOn w:val="TableNormal4"/>
    <w:tblPr>
      <w:tblStyleRowBandSize w:val="1"/>
      <w:tblStyleColBandSize w:val="1"/>
      <w:tblCellMar>
        <w:left w:w="108" w:type="dxa"/>
        <w:right w:w="108" w:type="dxa"/>
      </w:tblCellMar>
    </w:tblPr>
  </w:style>
  <w:style w:type="table" w:customStyle="1" w:styleId="33">
    <w:name w:val="33"/>
    <w:basedOn w:val="TableNormal4"/>
    <w:tblPr>
      <w:tblStyleRowBandSize w:val="1"/>
      <w:tblStyleColBandSize w:val="1"/>
      <w:tblCellMar>
        <w:left w:w="115" w:type="dxa"/>
        <w:right w:w="115" w:type="dxa"/>
      </w:tblCellMar>
    </w:tblPr>
  </w:style>
  <w:style w:type="table" w:customStyle="1" w:styleId="32">
    <w:name w:val="32"/>
    <w:basedOn w:val="TableNormal4"/>
    <w:tblPr>
      <w:tblStyleRowBandSize w:val="1"/>
      <w:tblStyleColBandSize w:val="1"/>
      <w:tblCellMar>
        <w:left w:w="115" w:type="dxa"/>
        <w:right w:w="115" w:type="dxa"/>
      </w:tblCellMar>
    </w:tblPr>
  </w:style>
  <w:style w:type="table" w:customStyle="1" w:styleId="31">
    <w:name w:val="31"/>
    <w:basedOn w:val="TableNormal5"/>
    <w:tblPr>
      <w:tblStyleRowBandSize w:val="1"/>
      <w:tblStyleColBandSize w:val="1"/>
      <w:tblCellMar>
        <w:left w:w="115" w:type="dxa"/>
        <w:right w:w="115" w:type="dxa"/>
      </w:tblCellMar>
    </w:tblPr>
  </w:style>
  <w:style w:type="table" w:customStyle="1" w:styleId="30">
    <w:name w:val="30"/>
    <w:basedOn w:val="TableNormal5"/>
    <w:tblPr>
      <w:tblStyleRowBandSize w:val="1"/>
      <w:tblStyleColBandSize w:val="1"/>
      <w:tblCellMar>
        <w:left w:w="115" w:type="dxa"/>
        <w:right w:w="115" w:type="dxa"/>
      </w:tblCellMar>
    </w:tblPr>
  </w:style>
  <w:style w:type="table" w:customStyle="1" w:styleId="29">
    <w:name w:val="29"/>
    <w:basedOn w:val="TableNormal5"/>
    <w:tblPr>
      <w:tblStyleRowBandSize w:val="1"/>
      <w:tblStyleColBandSize w:val="1"/>
      <w:tblCellMar>
        <w:left w:w="115" w:type="dxa"/>
        <w:right w:w="115" w:type="dxa"/>
      </w:tblCellMar>
    </w:tblPr>
  </w:style>
  <w:style w:type="table" w:customStyle="1" w:styleId="28">
    <w:name w:val="28"/>
    <w:basedOn w:val="TableNormal6"/>
    <w:tblPr>
      <w:tblStyleRowBandSize w:val="1"/>
      <w:tblStyleColBandSize w:val="1"/>
      <w:tblCellMar>
        <w:left w:w="115" w:type="dxa"/>
        <w:right w:w="115" w:type="dxa"/>
      </w:tblCellMar>
    </w:tblPr>
  </w:style>
  <w:style w:type="table" w:customStyle="1" w:styleId="27">
    <w:name w:val="27"/>
    <w:basedOn w:val="TableNormal6"/>
    <w:tblPr>
      <w:tblStyleRowBandSize w:val="1"/>
      <w:tblStyleColBandSize w:val="1"/>
      <w:tblCellMar>
        <w:left w:w="115" w:type="dxa"/>
        <w:right w:w="115" w:type="dxa"/>
      </w:tblCellMar>
    </w:tblPr>
  </w:style>
  <w:style w:type="table" w:customStyle="1" w:styleId="26">
    <w:name w:val="26"/>
    <w:basedOn w:val="TableNormal7"/>
    <w:tblPr>
      <w:tblStyleRowBandSize w:val="1"/>
      <w:tblStyleColBandSize w:val="1"/>
      <w:tblCellMar>
        <w:left w:w="115" w:type="dxa"/>
        <w:right w:w="115" w:type="dxa"/>
      </w:tblCellMar>
    </w:tblPr>
  </w:style>
  <w:style w:type="table" w:customStyle="1" w:styleId="25">
    <w:name w:val="25"/>
    <w:basedOn w:val="TableNormal7"/>
    <w:tblPr>
      <w:tblStyleRowBandSize w:val="1"/>
      <w:tblStyleColBandSize w:val="1"/>
      <w:tblCellMar>
        <w:left w:w="115" w:type="dxa"/>
        <w:right w:w="115" w:type="dxa"/>
      </w:tblCellMar>
    </w:tblPr>
  </w:style>
  <w:style w:type="table" w:customStyle="1" w:styleId="24">
    <w:name w:val="24"/>
    <w:basedOn w:val="TableNormal8"/>
    <w:tblPr>
      <w:tblStyleRowBandSize w:val="1"/>
      <w:tblStyleColBandSize w:val="1"/>
      <w:tblCellMar>
        <w:left w:w="115" w:type="dxa"/>
        <w:right w:w="115" w:type="dxa"/>
      </w:tblCellMar>
    </w:tblPr>
  </w:style>
  <w:style w:type="table" w:customStyle="1" w:styleId="23">
    <w:name w:val="23"/>
    <w:basedOn w:val="TableNormal8"/>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20">
    <w:name w:val="20"/>
    <w:basedOn w:val="TableNormal10"/>
    <w:tblPr>
      <w:tblStyleRowBandSize w:val="1"/>
      <w:tblStyleColBandSize w:val="1"/>
      <w:tblCellMar>
        <w:left w:w="115" w:type="dxa"/>
        <w:right w:w="115" w:type="dxa"/>
      </w:tblCellMar>
    </w:tblPr>
  </w:style>
  <w:style w:type="table" w:customStyle="1" w:styleId="19">
    <w:name w:val="19"/>
    <w:basedOn w:val="TableNormal10"/>
    <w:tblPr>
      <w:tblStyleRowBandSize w:val="1"/>
      <w:tblStyleColBandSize w:val="1"/>
      <w:tblCellMar>
        <w:left w:w="115" w:type="dxa"/>
        <w:right w:w="115" w:type="dxa"/>
      </w:tblCellMar>
    </w:tblPr>
  </w:style>
  <w:style w:type="table" w:customStyle="1" w:styleId="18">
    <w:name w:val="18"/>
    <w:basedOn w:val="TableNormal11"/>
    <w:tblPr>
      <w:tblStyleRowBandSize w:val="1"/>
      <w:tblStyleColBandSize w:val="1"/>
      <w:tblCellMar>
        <w:left w:w="115" w:type="dxa"/>
        <w:right w:w="115" w:type="dxa"/>
      </w:tblCellMar>
    </w:tblPr>
  </w:style>
  <w:style w:type="table" w:customStyle="1" w:styleId="17">
    <w:name w:val="17"/>
    <w:basedOn w:val="TableNormal11"/>
    <w:tblPr>
      <w:tblStyleRowBandSize w:val="1"/>
      <w:tblStyleColBandSize w:val="1"/>
      <w:tblCellMar>
        <w:left w:w="115" w:type="dxa"/>
        <w:right w:w="115" w:type="dxa"/>
      </w:tblCellMar>
    </w:tblPr>
  </w:style>
  <w:style w:type="table" w:customStyle="1" w:styleId="16">
    <w:name w:val="16"/>
    <w:basedOn w:val="TableNormal12"/>
    <w:tblPr>
      <w:tblStyleRowBandSize w:val="1"/>
      <w:tblStyleColBandSize w:val="1"/>
      <w:tblCellMar>
        <w:left w:w="115" w:type="dxa"/>
        <w:right w:w="115" w:type="dxa"/>
      </w:tblCellMar>
    </w:tblPr>
  </w:style>
  <w:style w:type="table" w:customStyle="1" w:styleId="15">
    <w:name w:val="15"/>
    <w:basedOn w:val="TableNormal12"/>
    <w:tblPr>
      <w:tblStyleRowBandSize w:val="1"/>
      <w:tblStyleColBandSize w:val="1"/>
      <w:tblCellMar>
        <w:left w:w="115" w:type="dxa"/>
        <w:right w:w="115" w:type="dxa"/>
      </w:tblCellMar>
    </w:tblPr>
  </w:style>
  <w:style w:type="table" w:customStyle="1" w:styleId="14">
    <w:name w:val="14"/>
    <w:basedOn w:val="TableNormal13"/>
    <w:tblPr>
      <w:tblStyleRowBandSize w:val="1"/>
      <w:tblStyleColBandSize w:val="1"/>
      <w:tblCellMar>
        <w:left w:w="115" w:type="dxa"/>
        <w:right w:w="115" w:type="dxa"/>
      </w:tblCellMar>
    </w:tblPr>
  </w:style>
  <w:style w:type="table" w:customStyle="1" w:styleId="13">
    <w:name w:val="13"/>
    <w:basedOn w:val="TableNormal13"/>
    <w:tblPr>
      <w:tblStyleRowBandSize w:val="1"/>
      <w:tblStyleColBandSize w:val="1"/>
      <w:tblCellMar>
        <w:left w:w="115" w:type="dxa"/>
        <w:right w:w="115" w:type="dxa"/>
      </w:tblCellMar>
    </w:tblPr>
  </w:style>
  <w:style w:type="table" w:customStyle="1" w:styleId="12">
    <w:name w:val="12"/>
    <w:basedOn w:val="TableNormal14"/>
    <w:tblPr>
      <w:tblStyleRowBandSize w:val="1"/>
      <w:tblStyleColBandSize w:val="1"/>
      <w:tblCellMar>
        <w:left w:w="115" w:type="dxa"/>
        <w:right w:w="115" w:type="dxa"/>
      </w:tblCellMar>
    </w:tblPr>
  </w:style>
  <w:style w:type="table" w:customStyle="1" w:styleId="11">
    <w:name w:val="11"/>
    <w:basedOn w:val="TableNormal14"/>
    <w:tblPr>
      <w:tblStyleRowBandSize w:val="1"/>
      <w:tblStyleColBandSize w:val="1"/>
      <w:tblCellMar>
        <w:left w:w="115" w:type="dxa"/>
        <w:right w:w="115" w:type="dxa"/>
      </w:tblCellMar>
    </w:tblPr>
  </w:style>
  <w:style w:type="table" w:customStyle="1" w:styleId="10">
    <w:name w:val="10"/>
    <w:basedOn w:val="TableNormal15"/>
    <w:tblPr>
      <w:tblStyleRowBandSize w:val="1"/>
      <w:tblStyleColBandSize w:val="1"/>
      <w:tblCellMar>
        <w:left w:w="115" w:type="dxa"/>
        <w:right w:w="115" w:type="dxa"/>
      </w:tblCellMar>
    </w:tblPr>
  </w:style>
  <w:style w:type="table" w:customStyle="1" w:styleId="9">
    <w:name w:val="9"/>
    <w:basedOn w:val="TableNormal15"/>
    <w:tblPr>
      <w:tblStyleRowBandSize w:val="1"/>
      <w:tblStyleColBandSize w:val="1"/>
      <w:tblCellMar>
        <w:left w:w="115" w:type="dxa"/>
        <w:right w:w="115" w:type="dxa"/>
      </w:tblCellMar>
    </w:tblPr>
  </w:style>
  <w:style w:type="table" w:customStyle="1" w:styleId="8">
    <w:name w:val="8"/>
    <w:basedOn w:val="TableNormal0"/>
    <w:tblPr>
      <w:tblStyleRowBandSize w:val="1"/>
      <w:tblStyleColBandSize w:val="1"/>
      <w:tblCellMar>
        <w:left w:w="115" w:type="dxa"/>
        <w:right w:w="115" w:type="dxa"/>
      </w:tblCellMar>
    </w:tblPr>
  </w:style>
  <w:style w:type="table" w:customStyle="1" w:styleId="7">
    <w:name w:val="7"/>
    <w:basedOn w:val="TableNormal0"/>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3"/>
    <w:tblPr>
      <w:tblStyleRowBandSize w:val="1"/>
      <w:tblStyleColBandSize w:val="1"/>
      <w:tblCellMar>
        <w:left w:w="115" w:type="dxa"/>
        <w:right w:w="115" w:type="dxa"/>
      </w:tblCellMar>
    </w:tblPr>
  </w:style>
  <w:style w:type="table" w:customStyle="1" w:styleId="1">
    <w:name w:val="1"/>
    <w:basedOn w:val="TableNormal3"/>
    <w:tblPr>
      <w:tblStyleRowBandSize w:val="1"/>
      <w:tblStyleColBandSize w:val="1"/>
      <w:tblCellMar>
        <w:left w:w="115" w:type="dxa"/>
        <w:right w:w="115" w:type="dxa"/>
      </w:tblCellMar>
    </w:tblPr>
  </w:style>
  <w:style w:type="paragraph" w:styleId="Lista">
    <w:name w:val="List"/>
    <w:basedOn w:val="Normal"/>
    <w:uiPriority w:val="99"/>
    <w:unhideWhenUsed/>
    <w:rsid w:val="0076259D"/>
    <w:pPr>
      <w:ind w:left="283" w:hanging="283"/>
      <w:contextualSpacing/>
    </w:pPr>
  </w:style>
  <w:style w:type="paragraph" w:styleId="Lista2">
    <w:name w:val="List 2"/>
    <w:basedOn w:val="Normal"/>
    <w:uiPriority w:val="99"/>
    <w:unhideWhenUsed/>
    <w:rsid w:val="0076259D"/>
    <w:pPr>
      <w:ind w:left="566" w:hanging="283"/>
      <w:contextualSpacing/>
    </w:pPr>
  </w:style>
  <w:style w:type="paragraph" w:styleId="Lista3">
    <w:name w:val="List 3"/>
    <w:basedOn w:val="Normal"/>
    <w:uiPriority w:val="99"/>
    <w:unhideWhenUsed/>
    <w:rsid w:val="0076259D"/>
    <w:pPr>
      <w:ind w:left="849" w:hanging="283"/>
      <w:contextualSpacing/>
    </w:pPr>
  </w:style>
  <w:style w:type="paragraph" w:styleId="Lista4">
    <w:name w:val="List 4"/>
    <w:basedOn w:val="Normal"/>
    <w:uiPriority w:val="99"/>
    <w:unhideWhenUsed/>
    <w:rsid w:val="0076259D"/>
    <w:pPr>
      <w:ind w:left="1132" w:hanging="283"/>
      <w:contextualSpacing/>
    </w:pPr>
  </w:style>
  <w:style w:type="paragraph" w:styleId="Lista5">
    <w:name w:val="List 5"/>
    <w:basedOn w:val="Normal"/>
    <w:uiPriority w:val="99"/>
    <w:unhideWhenUsed/>
    <w:rsid w:val="0076259D"/>
    <w:pPr>
      <w:ind w:left="1415" w:hanging="283"/>
      <w:contextualSpacing/>
    </w:pPr>
  </w:style>
  <w:style w:type="paragraph" w:styleId="Saludo">
    <w:name w:val="Salutation"/>
    <w:basedOn w:val="Normal"/>
    <w:next w:val="Normal"/>
    <w:link w:val="SaludoCar"/>
    <w:uiPriority w:val="99"/>
    <w:unhideWhenUsed/>
    <w:rsid w:val="0076259D"/>
  </w:style>
  <w:style w:type="character" w:customStyle="1" w:styleId="SaludoCar">
    <w:name w:val="Saludo Car"/>
    <w:basedOn w:val="Fuentedeprrafopredeter"/>
    <w:link w:val="Saludo"/>
    <w:uiPriority w:val="99"/>
    <w:rsid w:val="0076259D"/>
  </w:style>
  <w:style w:type="paragraph" w:styleId="Listaconvietas">
    <w:name w:val="List Bullet"/>
    <w:basedOn w:val="Normal"/>
    <w:uiPriority w:val="99"/>
    <w:unhideWhenUsed/>
    <w:rsid w:val="0076259D"/>
    <w:pPr>
      <w:numPr>
        <w:numId w:val="6"/>
      </w:numPr>
      <w:contextualSpacing/>
    </w:pPr>
  </w:style>
  <w:style w:type="paragraph" w:styleId="Listaconvietas2">
    <w:name w:val="List Bullet 2"/>
    <w:basedOn w:val="Normal"/>
    <w:uiPriority w:val="99"/>
    <w:unhideWhenUsed/>
    <w:rsid w:val="0076259D"/>
    <w:pPr>
      <w:numPr>
        <w:numId w:val="7"/>
      </w:numPr>
      <w:contextualSpacing/>
    </w:pPr>
  </w:style>
  <w:style w:type="paragraph" w:styleId="Continuarlista">
    <w:name w:val="List Continue"/>
    <w:basedOn w:val="Normal"/>
    <w:uiPriority w:val="99"/>
    <w:unhideWhenUsed/>
    <w:rsid w:val="0076259D"/>
    <w:pPr>
      <w:spacing w:after="120"/>
      <w:ind w:left="283"/>
      <w:contextualSpacing/>
    </w:pPr>
  </w:style>
  <w:style w:type="paragraph" w:styleId="Textoindependiente">
    <w:name w:val="Body Text"/>
    <w:basedOn w:val="Normal"/>
    <w:link w:val="TextoindependienteCar"/>
    <w:uiPriority w:val="99"/>
    <w:unhideWhenUsed/>
    <w:rsid w:val="0076259D"/>
    <w:pPr>
      <w:spacing w:after="120"/>
    </w:pPr>
  </w:style>
  <w:style w:type="character" w:customStyle="1" w:styleId="TextoindependienteCar">
    <w:name w:val="Texto independiente Car"/>
    <w:basedOn w:val="Fuentedeprrafopredeter"/>
    <w:link w:val="Textoindependiente"/>
    <w:uiPriority w:val="99"/>
    <w:rsid w:val="0076259D"/>
  </w:style>
  <w:style w:type="paragraph" w:styleId="Sangradetextonormal">
    <w:name w:val="Body Text Indent"/>
    <w:basedOn w:val="Normal"/>
    <w:link w:val="SangradetextonormalCar"/>
    <w:uiPriority w:val="99"/>
    <w:unhideWhenUsed/>
    <w:rsid w:val="0076259D"/>
    <w:pPr>
      <w:spacing w:after="120"/>
      <w:ind w:left="283"/>
    </w:pPr>
  </w:style>
  <w:style w:type="character" w:customStyle="1" w:styleId="SangradetextonormalCar">
    <w:name w:val="Sangría de texto normal Car"/>
    <w:basedOn w:val="Fuentedeprrafopredeter"/>
    <w:link w:val="Sangradetextonormal"/>
    <w:uiPriority w:val="99"/>
    <w:rsid w:val="0076259D"/>
  </w:style>
  <w:style w:type="paragraph" w:styleId="Textoindependienteprimerasangra2">
    <w:name w:val="Body Text First Indent 2"/>
    <w:basedOn w:val="Sangradetextonormal"/>
    <w:link w:val="Textoindependienteprimerasangra2Car"/>
    <w:uiPriority w:val="99"/>
    <w:unhideWhenUsed/>
    <w:rsid w:val="0076259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6259D"/>
  </w:style>
  <w:style w:type="character" w:customStyle="1" w:styleId="Mencinsinresolver3">
    <w:name w:val="Mención sin resolver3"/>
    <w:basedOn w:val="Fuentedeprrafopredeter"/>
    <w:uiPriority w:val="99"/>
    <w:semiHidden/>
    <w:unhideWhenUsed/>
    <w:rsid w:val="00C90819"/>
    <w:rPr>
      <w:color w:val="605E5C"/>
      <w:shd w:val="clear" w:color="auto" w:fill="E1DFDD"/>
    </w:rPr>
  </w:style>
  <w:style w:type="character" w:customStyle="1" w:styleId="Mencinsinresolver4">
    <w:name w:val="Mención sin resolver4"/>
    <w:basedOn w:val="Fuentedeprrafopredeter"/>
    <w:uiPriority w:val="99"/>
    <w:semiHidden/>
    <w:unhideWhenUsed/>
    <w:rsid w:val="00DB0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pomex.org.mx/ipomex/"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pomex.org.mx/ipomex/"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em2.ipomex.org.mx/ipome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hyperlink" Target="https://www.ipomex.org.mx/ipo3/lgt/indice/teemmx.web"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s://ipomex.org.mx/ipomex/" TargetMode="External"/><Relationship Id="rId14" Type="http://schemas.openxmlformats.org/officeDocument/2006/relationships/hyperlink" Target="https://www.ipomex.org.mx/ipo3/lgt/indice/teemmx.web"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fUmA8CbdtqGPvZMvoJJm3uf21g==">CgMxLjAyCWguM3JkY3JqbjIOaC5kYWozajJ4bzZxNjYyCGguZ2pkZ3hzMgloLjNkeTZ2a20yCWguMzBqMHpsbDIJaC4yczhleW8xMghoLnR5amN3dDIJaC4yZXQ5MnAwMgloLjI2aW4xcmcyCWguMTdkcDh2dTIIaC5sbnhiejk4AHIhMUpERlNuZGw5LUV0aHkyYUNyYlJzTExMdi1WQTkzblFP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10394</Words>
  <Characters>57172</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 Villagómez Martínez</cp:lastModifiedBy>
  <cp:revision>2</cp:revision>
  <cp:lastPrinted>2026-01-16T17:19:00Z</cp:lastPrinted>
  <dcterms:created xsi:type="dcterms:W3CDTF">2026-03-19T16:55:00Z</dcterms:created>
  <dcterms:modified xsi:type="dcterms:W3CDTF">2026-03-19T16:55:00Z</dcterms:modified>
</cp:coreProperties>
</file>