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FBB5" w14:textId="3FFF5AA8" w:rsidR="00562A90" w:rsidRPr="00F326FC" w:rsidRDefault="0062255D">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Start w:id="1" w:name="_GoBack"/>
      <w:bookmarkEnd w:id="0"/>
      <w:bookmarkEnd w:id="1"/>
      <w:r w:rsidRPr="00F326F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w:t>
      </w:r>
      <w:r w:rsidR="00447DB1" w:rsidRPr="00F326FC">
        <w:rPr>
          <w:rFonts w:ascii="Palatino Linotype" w:eastAsia="Palatino Linotype" w:hAnsi="Palatino Linotype" w:cs="Palatino Linotype"/>
          <w:sz w:val="22"/>
          <w:szCs w:val="22"/>
        </w:rPr>
        <w:t>en Metepec, Estado de México, a</w:t>
      </w:r>
      <w:r w:rsidR="00016E26" w:rsidRPr="00F326FC">
        <w:rPr>
          <w:rFonts w:ascii="Palatino Linotype" w:eastAsia="Palatino Linotype" w:hAnsi="Palatino Linotype" w:cs="Palatino Linotype"/>
          <w:sz w:val="22"/>
          <w:szCs w:val="22"/>
        </w:rPr>
        <w:t xml:space="preserve"> </w:t>
      </w:r>
      <w:r w:rsidR="00057D78" w:rsidRPr="00F326FC">
        <w:rPr>
          <w:rFonts w:ascii="Palatino Linotype" w:eastAsia="Palatino Linotype" w:hAnsi="Palatino Linotype" w:cs="Palatino Linotype"/>
          <w:sz w:val="22"/>
          <w:szCs w:val="22"/>
        </w:rPr>
        <w:t xml:space="preserve">cinco </w:t>
      </w:r>
      <w:r w:rsidR="006B45DE" w:rsidRPr="00F326FC">
        <w:rPr>
          <w:rFonts w:ascii="Palatino Linotype" w:eastAsia="Palatino Linotype" w:hAnsi="Palatino Linotype" w:cs="Palatino Linotype"/>
          <w:sz w:val="22"/>
          <w:szCs w:val="22"/>
        </w:rPr>
        <w:t>de febrero</w:t>
      </w:r>
      <w:r w:rsidR="00E046E0" w:rsidRPr="00F326FC">
        <w:rPr>
          <w:rFonts w:ascii="Palatino Linotype" w:eastAsia="Palatino Linotype" w:hAnsi="Palatino Linotype" w:cs="Palatino Linotype"/>
          <w:sz w:val="22"/>
          <w:szCs w:val="22"/>
        </w:rPr>
        <w:t xml:space="preserve"> </w:t>
      </w:r>
      <w:r w:rsidRPr="00F326FC">
        <w:rPr>
          <w:rFonts w:ascii="Palatino Linotype" w:eastAsia="Palatino Linotype" w:hAnsi="Palatino Linotype" w:cs="Palatino Linotype"/>
          <w:sz w:val="22"/>
          <w:szCs w:val="22"/>
        </w:rPr>
        <w:t xml:space="preserve">de dos mil </w:t>
      </w:r>
      <w:r w:rsidR="006B45DE" w:rsidRPr="00F326FC">
        <w:rPr>
          <w:rFonts w:ascii="Palatino Linotype" w:eastAsia="Palatino Linotype" w:hAnsi="Palatino Linotype" w:cs="Palatino Linotype"/>
          <w:sz w:val="22"/>
          <w:szCs w:val="22"/>
        </w:rPr>
        <w:t>veintiséis</w:t>
      </w:r>
      <w:r w:rsidRPr="00F326FC">
        <w:rPr>
          <w:rFonts w:ascii="Palatino Linotype" w:eastAsia="Palatino Linotype" w:hAnsi="Palatino Linotype" w:cs="Palatino Linotype"/>
          <w:sz w:val="22"/>
          <w:szCs w:val="22"/>
        </w:rPr>
        <w:t xml:space="preserve">. </w:t>
      </w:r>
    </w:p>
    <w:p w14:paraId="4795114A" w14:textId="613FD20C" w:rsidR="00562A90" w:rsidRPr="00F326FC" w:rsidRDefault="0062255D">
      <w:pPr>
        <w:tabs>
          <w:tab w:val="left" w:pos="5812"/>
        </w:tabs>
        <w:spacing w:before="240" w:after="240" w:line="360" w:lineRule="auto"/>
        <w:jc w:val="both"/>
        <w:rPr>
          <w:rFonts w:ascii="Palatino Linotype" w:eastAsia="Palatino Linotype" w:hAnsi="Palatino Linotype" w:cs="Palatino Linotype"/>
          <w:sz w:val="22"/>
          <w:szCs w:val="22"/>
        </w:rPr>
      </w:pPr>
      <w:bookmarkStart w:id="2" w:name="_heading=h.daj3j2xo6q66" w:colFirst="0" w:colLast="0"/>
      <w:bookmarkEnd w:id="2"/>
      <w:r w:rsidRPr="00F326FC">
        <w:rPr>
          <w:rFonts w:ascii="Palatino Linotype" w:eastAsia="Palatino Linotype" w:hAnsi="Palatino Linotype" w:cs="Palatino Linotype"/>
          <w:b/>
          <w:sz w:val="22"/>
          <w:szCs w:val="22"/>
        </w:rPr>
        <w:t>VISTO</w:t>
      </w:r>
      <w:r w:rsidRPr="00F326FC">
        <w:rPr>
          <w:rFonts w:ascii="Palatino Linotype" w:eastAsia="Palatino Linotype" w:hAnsi="Palatino Linotype" w:cs="Palatino Linotype"/>
          <w:sz w:val="22"/>
          <w:szCs w:val="22"/>
        </w:rPr>
        <w:t xml:space="preserve"> el expediente formado con motivo del recurso de revisión </w:t>
      </w:r>
      <w:r w:rsidR="001C3967" w:rsidRPr="00F326FC">
        <w:rPr>
          <w:rFonts w:ascii="Palatino Linotype" w:eastAsia="Palatino Linotype" w:hAnsi="Palatino Linotype" w:cs="Palatino Linotype"/>
          <w:b/>
          <w:sz w:val="22"/>
          <w:szCs w:val="22"/>
        </w:rPr>
        <w:t>094</w:t>
      </w:r>
      <w:r w:rsidR="00057D78" w:rsidRPr="00F326FC">
        <w:rPr>
          <w:rFonts w:ascii="Palatino Linotype" w:eastAsia="Palatino Linotype" w:hAnsi="Palatino Linotype" w:cs="Palatino Linotype"/>
          <w:b/>
          <w:sz w:val="22"/>
          <w:szCs w:val="22"/>
        </w:rPr>
        <w:t>0</w:t>
      </w:r>
      <w:r w:rsidR="006B45DE" w:rsidRPr="00F326FC">
        <w:rPr>
          <w:rFonts w:ascii="Palatino Linotype" w:eastAsia="Palatino Linotype" w:hAnsi="Palatino Linotype" w:cs="Palatino Linotype"/>
          <w:b/>
          <w:sz w:val="22"/>
          <w:szCs w:val="22"/>
        </w:rPr>
        <w:t>4</w:t>
      </w:r>
      <w:r w:rsidR="00337D82" w:rsidRPr="00F326FC">
        <w:rPr>
          <w:rFonts w:ascii="Palatino Linotype" w:eastAsia="Palatino Linotype" w:hAnsi="Palatino Linotype" w:cs="Palatino Linotype"/>
          <w:b/>
          <w:sz w:val="22"/>
          <w:szCs w:val="22"/>
        </w:rPr>
        <w:t>/INFOEM/IP/RR/2025</w:t>
      </w:r>
      <w:r w:rsidRPr="00F326FC">
        <w:rPr>
          <w:rFonts w:ascii="Palatino Linotype" w:eastAsia="Palatino Linotype" w:hAnsi="Palatino Linotype" w:cs="Palatino Linotype"/>
          <w:sz w:val="22"/>
          <w:szCs w:val="22"/>
        </w:rPr>
        <w:t>, interpuesto por</w:t>
      </w:r>
      <w:r w:rsidR="006B45DE" w:rsidRPr="00F326FC">
        <w:rPr>
          <w:rFonts w:ascii="Palatino Linotype" w:eastAsia="Palatino Linotype" w:hAnsi="Palatino Linotype" w:cs="Palatino Linotype"/>
          <w:b/>
          <w:sz w:val="22"/>
          <w:szCs w:val="22"/>
        </w:rPr>
        <w:t xml:space="preserve"> una persona que no proporcionó nombre o seudónimo,</w:t>
      </w:r>
      <w:r w:rsidRPr="00F326FC">
        <w:rPr>
          <w:rFonts w:ascii="Palatino Linotype" w:eastAsia="Palatino Linotype" w:hAnsi="Palatino Linotype" w:cs="Palatino Linotype"/>
          <w:sz w:val="22"/>
          <w:szCs w:val="22"/>
        </w:rPr>
        <w:t xml:space="preserve"> en lo sucesivo</w:t>
      </w:r>
      <w:r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sz w:val="22"/>
          <w:szCs w:val="22"/>
        </w:rPr>
        <w:t xml:space="preserve">la parte </w:t>
      </w:r>
      <w:r w:rsidRPr="00F326FC">
        <w:rPr>
          <w:rFonts w:ascii="Palatino Linotype" w:eastAsia="Palatino Linotype" w:hAnsi="Palatino Linotype" w:cs="Palatino Linotype"/>
          <w:b/>
          <w:sz w:val="22"/>
          <w:szCs w:val="22"/>
        </w:rPr>
        <w:t>Recurrente,</w:t>
      </w:r>
      <w:r w:rsidRPr="00F326FC">
        <w:rPr>
          <w:rFonts w:ascii="Palatino Linotype" w:eastAsia="Palatino Linotype" w:hAnsi="Palatino Linotype" w:cs="Palatino Linotype"/>
          <w:sz w:val="22"/>
          <w:szCs w:val="22"/>
        </w:rPr>
        <w:t xml:space="preserve"> en contra de la respuesta a la solicitud de información con número de folio</w:t>
      </w:r>
      <w:r w:rsidRPr="00F326FC">
        <w:rPr>
          <w:rFonts w:ascii="Palatino Linotype" w:eastAsia="Palatino Linotype" w:hAnsi="Palatino Linotype" w:cs="Palatino Linotype"/>
          <w:b/>
          <w:sz w:val="22"/>
          <w:szCs w:val="22"/>
        </w:rPr>
        <w:t xml:space="preserve"> </w:t>
      </w:r>
      <w:r w:rsidR="001C3967" w:rsidRPr="00F326FC">
        <w:rPr>
          <w:rFonts w:ascii="Palatino Linotype" w:eastAsia="Palatino Linotype" w:hAnsi="Palatino Linotype" w:cs="Palatino Linotype"/>
          <w:b/>
          <w:sz w:val="22"/>
          <w:szCs w:val="22"/>
        </w:rPr>
        <w:t>03875/TOLUCA/IP/2025</w:t>
      </w:r>
      <w:r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sz w:val="22"/>
          <w:szCs w:val="22"/>
        </w:rPr>
        <w:t xml:space="preserve">por parte del </w:t>
      </w:r>
      <w:r w:rsidR="006B45DE" w:rsidRPr="00F326FC">
        <w:rPr>
          <w:rFonts w:ascii="Palatino Linotype" w:eastAsia="Palatino Linotype" w:hAnsi="Palatino Linotype" w:cs="Palatino Linotype"/>
          <w:b/>
          <w:sz w:val="22"/>
          <w:szCs w:val="22"/>
        </w:rPr>
        <w:t>Ayuntamiento de Toluca,</w:t>
      </w:r>
      <w:r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sz w:val="22"/>
          <w:szCs w:val="22"/>
        </w:rPr>
        <w:t xml:space="preserve">en lo sucesivo el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 xml:space="preserve">se procede a dictar la presente resolución con base en los siguientes: </w:t>
      </w:r>
    </w:p>
    <w:p w14:paraId="3CC5291D" w14:textId="77777777" w:rsidR="00562A90" w:rsidRPr="00F326FC" w:rsidRDefault="0062255D">
      <w:pPr>
        <w:spacing w:before="240" w:after="240" w:line="360" w:lineRule="auto"/>
        <w:jc w:val="center"/>
        <w:rPr>
          <w:rFonts w:ascii="Palatino Linotype" w:eastAsia="Palatino Linotype" w:hAnsi="Palatino Linotype" w:cs="Palatino Linotype"/>
          <w:b/>
          <w:sz w:val="22"/>
          <w:szCs w:val="22"/>
        </w:rPr>
      </w:pPr>
      <w:r w:rsidRPr="00F326FC">
        <w:rPr>
          <w:rFonts w:ascii="Palatino Linotype" w:eastAsia="Palatino Linotype" w:hAnsi="Palatino Linotype" w:cs="Palatino Linotype"/>
          <w:b/>
          <w:sz w:val="22"/>
          <w:szCs w:val="22"/>
        </w:rPr>
        <w:t>I. A N T E C E D E N T E S</w:t>
      </w:r>
    </w:p>
    <w:p w14:paraId="72C70038" w14:textId="233C6116" w:rsidR="00562A90" w:rsidRPr="00F326FC" w:rsidRDefault="0062255D">
      <w:pPr>
        <w:spacing w:before="240" w:after="240" w:line="360" w:lineRule="auto"/>
        <w:jc w:val="both"/>
        <w:rPr>
          <w:rFonts w:ascii="Palatino Linotype" w:eastAsia="Palatino Linotype" w:hAnsi="Palatino Linotype" w:cs="Palatino Linotype"/>
          <w:sz w:val="22"/>
          <w:szCs w:val="22"/>
        </w:rPr>
      </w:pPr>
      <w:bookmarkStart w:id="3" w:name="_heading=h.gjdgxs" w:colFirst="0" w:colLast="0"/>
      <w:bookmarkEnd w:id="3"/>
      <w:r w:rsidRPr="00F326FC">
        <w:rPr>
          <w:rFonts w:ascii="Palatino Linotype" w:eastAsia="Palatino Linotype" w:hAnsi="Palatino Linotype" w:cs="Palatino Linotype"/>
          <w:b/>
          <w:sz w:val="22"/>
          <w:szCs w:val="22"/>
        </w:rPr>
        <w:t>1. Solicitud de acceso a la información.</w:t>
      </w:r>
      <w:r w:rsidRPr="00F326FC">
        <w:rPr>
          <w:rFonts w:ascii="Palatino Linotype" w:eastAsia="Palatino Linotype" w:hAnsi="Palatino Linotype" w:cs="Palatino Linotype"/>
          <w:sz w:val="22"/>
          <w:szCs w:val="22"/>
        </w:rPr>
        <w:t xml:space="preserve"> El </w:t>
      </w:r>
      <w:bookmarkStart w:id="4" w:name="_Hlk212125406"/>
      <w:r w:rsidR="001C3967" w:rsidRPr="00F326FC">
        <w:rPr>
          <w:rFonts w:ascii="Palatino Linotype" w:eastAsia="Palatino Linotype" w:hAnsi="Palatino Linotype" w:cs="Palatino Linotype"/>
          <w:b/>
          <w:sz w:val="22"/>
          <w:szCs w:val="22"/>
        </w:rPr>
        <w:t>siete de julio</w:t>
      </w:r>
      <w:r w:rsidR="00F70798"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b/>
          <w:sz w:val="22"/>
          <w:szCs w:val="22"/>
        </w:rPr>
        <w:t>de dos mil veinticinco</w:t>
      </w:r>
      <w:bookmarkEnd w:id="4"/>
      <w:r w:rsidRPr="00F326FC">
        <w:rPr>
          <w:rFonts w:ascii="Palatino Linotype" w:eastAsia="Palatino Linotype" w:hAnsi="Palatino Linotype" w:cs="Palatino Linotype"/>
          <w:b/>
          <w:sz w:val="22"/>
          <w:szCs w:val="22"/>
        </w:rPr>
        <w:t>,</w:t>
      </w:r>
      <w:r w:rsidRPr="00F326FC">
        <w:rPr>
          <w:rFonts w:ascii="Palatino Linotype" w:eastAsia="Palatino Linotype" w:hAnsi="Palatino Linotype" w:cs="Palatino Linotype"/>
          <w:sz w:val="22"/>
          <w:szCs w:val="22"/>
        </w:rPr>
        <w:t xml:space="preserve"> la parte </w:t>
      </w:r>
      <w:r w:rsidRPr="00F326FC">
        <w:rPr>
          <w:rFonts w:ascii="Palatino Linotype" w:eastAsia="Palatino Linotype" w:hAnsi="Palatino Linotype" w:cs="Palatino Linotype"/>
          <w:b/>
          <w:sz w:val="22"/>
          <w:szCs w:val="22"/>
        </w:rPr>
        <w:t xml:space="preserve">Recurrente </w:t>
      </w:r>
      <w:r w:rsidRPr="00F326FC">
        <w:rPr>
          <w:rFonts w:ascii="Palatino Linotype" w:eastAsia="Palatino Linotype" w:hAnsi="Palatino Linotype" w:cs="Palatino Linotype"/>
          <w:sz w:val="22"/>
          <w:szCs w:val="22"/>
        </w:rPr>
        <w:t xml:space="preserve">presentó la solicitud de acceso a la información pública ante 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a través del Sistema de Acceso a la Información Mexiquense, en lo subsecuente el </w:t>
      </w:r>
      <w:r w:rsidRPr="00F326FC">
        <w:rPr>
          <w:rFonts w:ascii="Palatino Linotype" w:eastAsia="Palatino Linotype" w:hAnsi="Palatino Linotype" w:cs="Palatino Linotype"/>
          <w:b/>
          <w:sz w:val="22"/>
          <w:szCs w:val="22"/>
        </w:rPr>
        <w:t>SAIMEX,</w:t>
      </w:r>
      <w:r w:rsidRPr="00F326FC">
        <w:rPr>
          <w:rFonts w:ascii="Palatino Linotype" w:eastAsia="Palatino Linotype" w:hAnsi="Palatino Linotype" w:cs="Palatino Linotype"/>
          <w:sz w:val="22"/>
          <w:szCs w:val="22"/>
        </w:rPr>
        <w:t xml:space="preserve"> mediante la cual requirió lo siguiente:</w:t>
      </w:r>
    </w:p>
    <w:p w14:paraId="57605782" w14:textId="5A0D508A" w:rsidR="00562A90" w:rsidRPr="00F326FC" w:rsidRDefault="0062255D">
      <w:pPr>
        <w:spacing w:before="120" w:after="120"/>
        <w:ind w:left="851" w:right="902"/>
        <w:jc w:val="both"/>
        <w:rPr>
          <w:rFonts w:ascii="Palatino Linotype" w:eastAsia="Palatino Linotype" w:hAnsi="Palatino Linotype" w:cs="Palatino Linotype"/>
          <w:b/>
          <w:i/>
          <w:sz w:val="22"/>
          <w:szCs w:val="22"/>
        </w:rPr>
      </w:pPr>
      <w:r w:rsidRPr="00F326FC">
        <w:rPr>
          <w:rFonts w:ascii="Palatino Linotype" w:eastAsia="Palatino Linotype" w:hAnsi="Palatino Linotype" w:cs="Palatino Linotype"/>
          <w:i/>
          <w:sz w:val="22"/>
          <w:szCs w:val="22"/>
        </w:rPr>
        <w:t xml:space="preserve"> “</w:t>
      </w:r>
      <w:r w:rsidR="001C3967" w:rsidRPr="00F326FC">
        <w:rPr>
          <w:rFonts w:ascii="Palatino Linotype" w:eastAsia="Palatino Linotype" w:hAnsi="Palatino Linotype" w:cs="Palatino Linotype"/>
          <w:i/>
          <w:sz w:val="22"/>
          <w:szCs w:val="22"/>
        </w:rPr>
        <w:t>PREGUNTAS: 1.- ¿QUE CANTIDADES DE SOLICITUDES DE INFORMACIÓN FUERON RECIBIDAS EN EL AYUNTAMIENTO Y RESPONDIDAS DURANTE LOS EJERCICIOS 2018, 2019, 2020, 2021, 2022,2023, 2024 Y PRIMER SEMESTRE DE 2025? 2.- ¿QUE SANCIONES APLICAN A LOS SERVIDORES PÚBLICOS Y/O SUJETOS OBLIGADOS QUE INCUMPLEN CON LA PUBLICACIÓN DE LA INFORMACIÓN QUE EXIGE LA PLATAFORMA NACIONAL DE TRANSPARENCIA O QUE EVADAN DAR RESPUESTAS A LAS SOLICITUDES DE INFORMACIÓN DE FORMA CLARA, OPORTUNA Y COMPROBABLE? ESPECIFIQUE POR FAVOR CON DETALLE Y SEÑALE DISPOSICIONES LEGALES APLICABLES.</w:t>
      </w:r>
      <w:r w:rsidRPr="00F326FC">
        <w:rPr>
          <w:rFonts w:ascii="Palatino Linotype" w:eastAsia="Palatino Linotype" w:hAnsi="Palatino Linotype" w:cs="Palatino Linotype"/>
          <w:b/>
          <w:i/>
          <w:sz w:val="22"/>
          <w:szCs w:val="22"/>
        </w:rPr>
        <w:t>”</w:t>
      </w:r>
      <w:r w:rsidRPr="00F326FC">
        <w:rPr>
          <w:rFonts w:ascii="Palatino Linotype" w:eastAsia="Palatino Linotype" w:hAnsi="Palatino Linotype" w:cs="Palatino Linotype"/>
          <w:i/>
          <w:sz w:val="22"/>
          <w:szCs w:val="22"/>
        </w:rPr>
        <w:t xml:space="preserve"> (sic) </w:t>
      </w:r>
    </w:p>
    <w:p w14:paraId="664EB95D" w14:textId="77777777" w:rsidR="00825399" w:rsidRPr="00F326FC" w:rsidRDefault="00825399" w:rsidP="00825399">
      <w:pPr>
        <w:spacing w:line="360" w:lineRule="auto"/>
        <w:jc w:val="both"/>
        <w:rPr>
          <w:rFonts w:ascii="Palatino Linotype" w:eastAsia="Palatino Linotype" w:hAnsi="Palatino Linotype" w:cs="Palatino Linotype"/>
          <w:sz w:val="22"/>
          <w:szCs w:val="22"/>
        </w:rPr>
      </w:pPr>
      <w:bookmarkStart w:id="5" w:name="_heading=h.3dy6vkm" w:colFirst="0" w:colLast="0"/>
      <w:bookmarkEnd w:id="5"/>
      <w:r w:rsidRPr="00F326FC">
        <w:rPr>
          <w:rFonts w:ascii="Palatino Linotype" w:eastAsia="Palatino Linotype" w:hAnsi="Palatino Linotype" w:cs="Palatino Linotype"/>
          <w:b/>
          <w:sz w:val="22"/>
          <w:szCs w:val="22"/>
        </w:rPr>
        <w:t xml:space="preserve">Modalidad elegida para la entrega de la información: </w:t>
      </w:r>
      <w:r w:rsidRPr="00F326FC">
        <w:rPr>
          <w:rFonts w:ascii="Palatino Linotype" w:eastAsia="Palatino Linotype" w:hAnsi="Palatino Linotype" w:cs="Palatino Linotype"/>
          <w:sz w:val="22"/>
          <w:szCs w:val="22"/>
        </w:rPr>
        <w:t>a través del SAIMEX.</w:t>
      </w:r>
    </w:p>
    <w:p w14:paraId="6759C1B0" w14:textId="7EF1A1B6" w:rsidR="00562A90" w:rsidRPr="00F326FC" w:rsidRDefault="0062255D">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lastRenderedPageBreak/>
        <w:t>2.</w:t>
      </w:r>
      <w:r w:rsidR="00F6238C"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b/>
          <w:sz w:val="22"/>
          <w:szCs w:val="22"/>
        </w:rPr>
        <w:t xml:space="preserve">Respuesta. </w:t>
      </w:r>
      <w:r w:rsidRPr="00F326FC">
        <w:rPr>
          <w:rFonts w:ascii="Palatino Linotype" w:eastAsia="Palatino Linotype" w:hAnsi="Palatino Linotype" w:cs="Palatino Linotype"/>
          <w:sz w:val="22"/>
          <w:szCs w:val="22"/>
        </w:rPr>
        <w:t xml:space="preserve">El </w:t>
      </w:r>
      <w:r w:rsidR="003B0BF1" w:rsidRPr="00F326FC">
        <w:rPr>
          <w:rFonts w:ascii="Palatino Linotype" w:eastAsia="Palatino Linotype" w:hAnsi="Palatino Linotype" w:cs="Palatino Linotype"/>
          <w:b/>
          <w:sz w:val="22"/>
          <w:szCs w:val="22"/>
        </w:rPr>
        <w:t>once de agosto</w:t>
      </w:r>
      <w:r w:rsidR="00C65EA4" w:rsidRPr="00F326FC">
        <w:rPr>
          <w:rFonts w:ascii="Palatino Linotype" w:eastAsia="Palatino Linotype" w:hAnsi="Palatino Linotype" w:cs="Palatino Linotype"/>
          <w:b/>
          <w:sz w:val="22"/>
          <w:szCs w:val="22"/>
        </w:rPr>
        <w:t xml:space="preserve"> de </w:t>
      </w:r>
      <w:r w:rsidRPr="00F326FC">
        <w:rPr>
          <w:rFonts w:ascii="Palatino Linotype" w:eastAsia="Palatino Linotype" w:hAnsi="Palatino Linotype" w:cs="Palatino Linotype"/>
          <w:b/>
          <w:sz w:val="22"/>
          <w:szCs w:val="22"/>
        </w:rPr>
        <w:t>dos mil veinticinco,</w:t>
      </w:r>
      <w:r w:rsidRPr="00F326FC">
        <w:rPr>
          <w:rFonts w:ascii="Palatino Linotype" w:eastAsia="Palatino Linotype" w:hAnsi="Palatino Linotype" w:cs="Palatino Linotype"/>
          <w:sz w:val="22"/>
          <w:szCs w:val="22"/>
        </w:rPr>
        <w:t xml:space="preserve"> el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796878F1" w14:textId="2B1A8CEF" w:rsidR="00562A90" w:rsidRPr="00F326FC" w:rsidRDefault="0062255D">
      <w:pPr>
        <w:spacing w:before="240" w:after="24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00B2755C" w:rsidRPr="00F326FC">
        <w:rPr>
          <w:rFonts w:ascii="Palatino Linotype" w:eastAsia="Palatino Linotype" w:hAnsi="Palatino Linotype" w:cs="Palatino Linotype"/>
          <w:i/>
          <w:sz w:val="22"/>
          <w:szCs w:val="22"/>
        </w:rPr>
        <w:t>En atención a la solicitud con folio 03875/TOLUCA/IP/2025, me permito adjuntar al presente la respuesta correspondiente, Sin más por el momento, reciba un saludo.</w:t>
      </w:r>
      <w:r w:rsidRPr="00F326FC">
        <w:rPr>
          <w:rFonts w:ascii="Palatino Linotype" w:eastAsia="Palatino Linotype" w:hAnsi="Palatino Linotype" w:cs="Palatino Linotype"/>
          <w:i/>
          <w:sz w:val="22"/>
          <w:szCs w:val="22"/>
        </w:rPr>
        <w:t>..” (sic)</w:t>
      </w:r>
    </w:p>
    <w:p w14:paraId="2283C172" w14:textId="77777777" w:rsidR="00905AF2" w:rsidRPr="00F326FC" w:rsidRDefault="0062255D" w:rsidP="0006630B">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adjuntó</w:t>
      </w:r>
      <w:r w:rsidR="00905AF2" w:rsidRPr="00F326FC">
        <w:rPr>
          <w:rFonts w:ascii="Palatino Linotype" w:eastAsia="Palatino Linotype" w:hAnsi="Palatino Linotype" w:cs="Palatino Linotype"/>
          <w:sz w:val="22"/>
          <w:szCs w:val="22"/>
        </w:rPr>
        <w:t xml:space="preserve"> lo siguiente:</w:t>
      </w:r>
    </w:p>
    <w:p w14:paraId="74AEA0F0" w14:textId="708DAA76" w:rsidR="00203405" w:rsidRPr="00F326FC" w:rsidRDefault="00905AF2" w:rsidP="0006630B">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 </w:t>
      </w:r>
      <w:r w:rsidR="00B2755C" w:rsidRPr="00F326FC">
        <w:rPr>
          <w:rFonts w:ascii="Palatino Linotype" w:eastAsia="Palatino Linotype" w:hAnsi="Palatino Linotype" w:cs="Palatino Linotype"/>
          <w:sz w:val="22"/>
          <w:szCs w:val="22"/>
        </w:rPr>
        <w:t xml:space="preserve">Escrito mediante el cual la Unidad de Transparencia </w:t>
      </w:r>
      <w:r w:rsidR="00D732FB" w:rsidRPr="00F326FC">
        <w:rPr>
          <w:rFonts w:ascii="Palatino Linotype" w:eastAsia="Palatino Linotype" w:hAnsi="Palatino Linotype" w:cs="Palatino Linotype"/>
          <w:sz w:val="22"/>
          <w:szCs w:val="22"/>
        </w:rPr>
        <w:t>atendió la solicitud en el ámbito de sus competencias.</w:t>
      </w:r>
    </w:p>
    <w:p w14:paraId="05D15773" w14:textId="1819D86D" w:rsidR="00D732FB" w:rsidRPr="00F326FC" w:rsidRDefault="00D732FB" w:rsidP="0006630B">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Acta de la Noningentésima Vigésima Novena Sesión Extraordinaria 2025</w:t>
      </w:r>
      <w:r w:rsidR="00AE2679" w:rsidRPr="00F326FC">
        <w:rPr>
          <w:rFonts w:ascii="Palatino Linotype" w:eastAsia="Palatino Linotype" w:hAnsi="Palatino Linotype" w:cs="Palatino Linotype"/>
          <w:sz w:val="22"/>
          <w:szCs w:val="22"/>
        </w:rPr>
        <w:t xml:space="preserve"> del Comité de Transparencia del Municipio de Toluca</w:t>
      </w:r>
      <w:r w:rsidR="003E2960" w:rsidRPr="00F326FC">
        <w:rPr>
          <w:rFonts w:ascii="Palatino Linotype" w:eastAsia="Palatino Linotype" w:hAnsi="Palatino Linotype" w:cs="Palatino Linotype"/>
          <w:sz w:val="22"/>
          <w:szCs w:val="22"/>
        </w:rPr>
        <w:t>.</w:t>
      </w:r>
    </w:p>
    <w:p w14:paraId="5D061234" w14:textId="14001CC5" w:rsidR="0003465A" w:rsidRPr="00F326FC" w:rsidRDefault="0062255D" w:rsidP="0003465A">
      <w:pPr>
        <w:tabs>
          <w:tab w:val="left" w:pos="5071"/>
        </w:tabs>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 xml:space="preserve">3. Interposición del recurso de revisión. </w:t>
      </w:r>
      <w:r w:rsidRPr="00F326FC">
        <w:rPr>
          <w:rFonts w:ascii="Palatino Linotype" w:eastAsia="Palatino Linotype" w:hAnsi="Palatino Linotype" w:cs="Palatino Linotype"/>
          <w:sz w:val="22"/>
          <w:szCs w:val="22"/>
        </w:rPr>
        <w:t xml:space="preserve">Inconforme con los términos de la respuesta emitida por parte del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el </w:t>
      </w:r>
      <w:r w:rsidR="003E2960" w:rsidRPr="00F326FC">
        <w:rPr>
          <w:rFonts w:ascii="Palatino Linotype" w:eastAsia="Palatino Linotype" w:hAnsi="Palatino Linotype" w:cs="Palatino Linotype"/>
          <w:b/>
          <w:sz w:val="22"/>
          <w:szCs w:val="22"/>
        </w:rPr>
        <w:t>doce de agosto</w:t>
      </w:r>
      <w:r w:rsidR="000A1C75" w:rsidRPr="00F326FC">
        <w:rPr>
          <w:rFonts w:ascii="Palatino Linotype" w:eastAsia="Palatino Linotype" w:hAnsi="Palatino Linotype" w:cs="Palatino Linotype"/>
          <w:b/>
          <w:sz w:val="22"/>
          <w:szCs w:val="22"/>
        </w:rPr>
        <w:t xml:space="preserve"> </w:t>
      </w:r>
      <w:r w:rsidR="00C65EA4" w:rsidRPr="00F326FC">
        <w:rPr>
          <w:rFonts w:ascii="Palatino Linotype" w:eastAsia="Palatino Linotype" w:hAnsi="Palatino Linotype" w:cs="Palatino Linotype"/>
          <w:b/>
          <w:sz w:val="22"/>
          <w:szCs w:val="22"/>
        </w:rPr>
        <w:t>de</w:t>
      </w:r>
      <w:r w:rsidRPr="00F326FC">
        <w:rPr>
          <w:rFonts w:ascii="Palatino Linotype" w:eastAsia="Palatino Linotype" w:hAnsi="Palatino Linotype" w:cs="Palatino Linotype"/>
          <w:b/>
          <w:sz w:val="22"/>
          <w:szCs w:val="22"/>
        </w:rPr>
        <w:t xml:space="preserve"> dos mil veinticinco,</w:t>
      </w:r>
      <w:r w:rsidRPr="00F326FC">
        <w:rPr>
          <w:rFonts w:ascii="Palatino Linotype" w:eastAsia="Palatino Linotype" w:hAnsi="Palatino Linotype" w:cs="Palatino Linotype"/>
          <w:sz w:val="22"/>
          <w:szCs w:val="22"/>
        </w:rPr>
        <w:t xml:space="preserve"> la parte </w:t>
      </w:r>
      <w:r w:rsidRPr="00F326FC">
        <w:rPr>
          <w:rFonts w:ascii="Palatino Linotype" w:eastAsia="Palatino Linotype" w:hAnsi="Palatino Linotype" w:cs="Palatino Linotype"/>
          <w:b/>
          <w:sz w:val="22"/>
          <w:szCs w:val="22"/>
        </w:rPr>
        <w:t>Recurrente</w:t>
      </w:r>
      <w:r w:rsidRPr="00F326FC">
        <w:rPr>
          <w:rFonts w:ascii="Palatino Linotype" w:eastAsia="Palatino Linotype" w:hAnsi="Palatino Linotype" w:cs="Palatino Linotype"/>
          <w:sz w:val="22"/>
          <w:szCs w:val="22"/>
        </w:rPr>
        <w:t xml:space="preserve"> interpuso el recurso de revisión a través de </w:t>
      </w:r>
      <w:r w:rsidRPr="00F326FC">
        <w:rPr>
          <w:rFonts w:ascii="Palatino Linotype" w:eastAsia="Palatino Linotype" w:hAnsi="Palatino Linotype" w:cs="Palatino Linotype"/>
          <w:b/>
          <w:sz w:val="22"/>
          <w:szCs w:val="22"/>
        </w:rPr>
        <w:t>SAIMEX,</w:t>
      </w:r>
      <w:r w:rsidR="0003465A" w:rsidRPr="00F326FC">
        <w:rPr>
          <w:rFonts w:ascii="Palatino Linotype" w:eastAsia="Palatino Linotype" w:hAnsi="Palatino Linotype" w:cs="Palatino Linotype"/>
          <w:sz w:val="22"/>
          <w:szCs w:val="22"/>
        </w:rPr>
        <w:t xml:space="preserve"> mediante la cual requirió lo siguiente:</w:t>
      </w:r>
    </w:p>
    <w:p w14:paraId="47A1D1F7" w14:textId="77777777" w:rsidR="00562A90" w:rsidRPr="00F326FC" w:rsidRDefault="0062255D">
      <w:pPr>
        <w:spacing w:before="240" w:after="240" w:line="360" w:lineRule="auto"/>
        <w:ind w:right="49"/>
        <w:jc w:val="both"/>
        <w:rPr>
          <w:rFonts w:ascii="Palatino Linotype" w:eastAsia="Palatino Linotype" w:hAnsi="Palatino Linotype" w:cs="Palatino Linotype"/>
          <w:b/>
          <w:sz w:val="22"/>
          <w:szCs w:val="22"/>
        </w:rPr>
      </w:pPr>
      <w:r w:rsidRPr="00F326FC">
        <w:rPr>
          <w:rFonts w:ascii="Palatino Linotype" w:eastAsia="Palatino Linotype" w:hAnsi="Palatino Linotype" w:cs="Palatino Linotype"/>
          <w:b/>
          <w:sz w:val="22"/>
          <w:szCs w:val="22"/>
        </w:rPr>
        <w:t xml:space="preserve">Acto impugnado: </w:t>
      </w:r>
    </w:p>
    <w:p w14:paraId="2600BB83" w14:textId="5DB4FF37" w:rsidR="00562A90" w:rsidRPr="00F326FC" w:rsidRDefault="0062255D" w:rsidP="002D01B9">
      <w:pPr>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0019581B" w:rsidRPr="00F326FC">
        <w:rPr>
          <w:rFonts w:ascii="Palatino Linotype" w:eastAsia="Palatino Linotype" w:hAnsi="Palatino Linotype" w:cs="Palatino Linotype"/>
          <w:i/>
          <w:sz w:val="22"/>
          <w:szCs w:val="22"/>
        </w:rPr>
        <w:t>La unidad de trasparencia no entrega la información</w:t>
      </w:r>
      <w:r w:rsidRPr="00F326FC">
        <w:rPr>
          <w:rFonts w:ascii="Palatino Linotype" w:eastAsia="Palatino Linotype" w:hAnsi="Palatino Linotype" w:cs="Palatino Linotype"/>
          <w:i/>
          <w:sz w:val="22"/>
          <w:szCs w:val="22"/>
        </w:rPr>
        <w:t>” (sic)</w:t>
      </w:r>
    </w:p>
    <w:p w14:paraId="05264EB6" w14:textId="77777777" w:rsidR="00562A90" w:rsidRPr="00F326FC" w:rsidRDefault="0062255D">
      <w:pPr>
        <w:spacing w:line="360" w:lineRule="auto"/>
        <w:jc w:val="both"/>
        <w:rPr>
          <w:rFonts w:ascii="Palatino Linotype" w:eastAsia="Palatino Linotype" w:hAnsi="Palatino Linotype" w:cs="Palatino Linotype"/>
          <w:sz w:val="22"/>
          <w:szCs w:val="22"/>
        </w:rPr>
      </w:pPr>
      <w:bookmarkStart w:id="6" w:name="_heading=h.30j0zll" w:colFirst="0" w:colLast="0"/>
      <w:bookmarkEnd w:id="6"/>
      <w:r w:rsidRPr="00F326FC">
        <w:rPr>
          <w:rFonts w:ascii="Palatino Linotype" w:eastAsia="Palatino Linotype" w:hAnsi="Palatino Linotype" w:cs="Palatino Linotype"/>
          <w:b/>
          <w:sz w:val="22"/>
          <w:szCs w:val="22"/>
        </w:rPr>
        <w:t>Y, Razones o motivos de inconformidad</w:t>
      </w:r>
      <w:r w:rsidRPr="00F326FC">
        <w:rPr>
          <w:rFonts w:ascii="Palatino Linotype" w:eastAsia="Palatino Linotype" w:hAnsi="Palatino Linotype" w:cs="Palatino Linotype"/>
          <w:sz w:val="22"/>
          <w:szCs w:val="22"/>
        </w:rPr>
        <w:t>:</w:t>
      </w:r>
    </w:p>
    <w:p w14:paraId="29A63F7C" w14:textId="7B18C1DB" w:rsidR="00562A90" w:rsidRPr="00F326FC" w:rsidRDefault="0062255D" w:rsidP="0073736A">
      <w:pPr>
        <w:tabs>
          <w:tab w:val="left" w:pos="2745"/>
        </w:tabs>
        <w:spacing w:before="240" w:after="24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0019581B" w:rsidRPr="00F326FC">
        <w:rPr>
          <w:rFonts w:ascii="Palatino Linotype" w:eastAsia="Palatino Linotype" w:hAnsi="Palatino Linotype" w:cs="Palatino Linotype"/>
          <w:i/>
          <w:sz w:val="22"/>
          <w:szCs w:val="22"/>
        </w:rPr>
        <w:t>La unidad de trasparencia no entrega la información</w:t>
      </w:r>
      <w:r w:rsidR="001F63F4"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i/>
          <w:sz w:val="22"/>
          <w:szCs w:val="22"/>
        </w:rPr>
        <w:t xml:space="preserve"> (sic)</w:t>
      </w:r>
    </w:p>
    <w:p w14:paraId="69DE47B2" w14:textId="77777777" w:rsidR="00562A90" w:rsidRPr="00F326FC" w:rsidRDefault="0062255D">
      <w:pPr>
        <w:spacing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 xml:space="preserve">4. Turno. </w:t>
      </w:r>
      <w:r w:rsidRPr="00F326FC">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w:t>
      </w:r>
      <w:r w:rsidRPr="00F326FC">
        <w:rPr>
          <w:rFonts w:ascii="Palatino Linotype" w:eastAsia="Palatino Linotype" w:hAnsi="Palatino Linotype" w:cs="Palatino Linotype"/>
          <w:sz w:val="22"/>
          <w:szCs w:val="22"/>
        </w:rPr>
        <w:lastRenderedPageBreak/>
        <w:t xml:space="preserve">a la Comisionada </w:t>
      </w:r>
      <w:r w:rsidRPr="00F326FC">
        <w:rPr>
          <w:rFonts w:ascii="Palatino Linotype" w:eastAsia="Palatino Linotype" w:hAnsi="Palatino Linotype" w:cs="Palatino Linotype"/>
          <w:b/>
          <w:sz w:val="22"/>
          <w:szCs w:val="22"/>
        </w:rPr>
        <w:t xml:space="preserve">Guadalupe Ramírez Peña, </w:t>
      </w:r>
      <w:r w:rsidRPr="00F326FC">
        <w:rPr>
          <w:rFonts w:ascii="Palatino Linotype" w:eastAsia="Palatino Linotype" w:hAnsi="Palatino Linotype" w:cs="Palatino Linotype"/>
          <w:sz w:val="22"/>
          <w:szCs w:val="22"/>
        </w:rPr>
        <w:t xml:space="preserve">a efecto de que analizara sobre su admisión o su </w:t>
      </w:r>
      <w:proofErr w:type="spellStart"/>
      <w:r w:rsidRPr="00F326FC">
        <w:rPr>
          <w:rFonts w:ascii="Palatino Linotype" w:eastAsia="Palatino Linotype" w:hAnsi="Palatino Linotype" w:cs="Palatino Linotype"/>
          <w:sz w:val="22"/>
          <w:szCs w:val="22"/>
        </w:rPr>
        <w:t>desechamiento</w:t>
      </w:r>
      <w:proofErr w:type="spellEnd"/>
      <w:r w:rsidRPr="00F326FC">
        <w:rPr>
          <w:rFonts w:ascii="Palatino Linotype" w:eastAsia="Palatino Linotype" w:hAnsi="Palatino Linotype" w:cs="Palatino Linotype"/>
          <w:sz w:val="22"/>
          <w:szCs w:val="22"/>
        </w:rPr>
        <w:t>.</w:t>
      </w:r>
    </w:p>
    <w:p w14:paraId="0F7154BA" w14:textId="27BD2DDB" w:rsidR="00562A90" w:rsidRPr="00F326FC" w:rsidRDefault="0062255D" w:rsidP="006772F0">
      <w:pPr>
        <w:spacing w:before="240" w:after="240" w:line="360" w:lineRule="auto"/>
        <w:jc w:val="both"/>
        <w:rPr>
          <w:rFonts w:ascii="Palatino Linotype" w:eastAsia="Palatino Linotype" w:hAnsi="Palatino Linotype" w:cs="Palatino Linotype"/>
          <w:b/>
          <w:sz w:val="22"/>
          <w:szCs w:val="22"/>
        </w:rPr>
      </w:pPr>
      <w:r w:rsidRPr="00F326FC">
        <w:rPr>
          <w:rFonts w:ascii="Palatino Linotype" w:eastAsia="Palatino Linotype" w:hAnsi="Palatino Linotype" w:cs="Palatino Linotype"/>
          <w:b/>
          <w:sz w:val="22"/>
          <w:szCs w:val="22"/>
        </w:rPr>
        <w:t>5. Admisión del Recurso de revisión.</w:t>
      </w:r>
      <w:r w:rsidRPr="00F326FC">
        <w:rPr>
          <w:rFonts w:ascii="Palatino Linotype" w:eastAsia="Palatino Linotype" w:hAnsi="Palatino Linotype" w:cs="Palatino Linotype"/>
          <w:sz w:val="22"/>
          <w:szCs w:val="22"/>
        </w:rPr>
        <w:t xml:space="preserve"> El</w:t>
      </w:r>
      <w:r w:rsidRPr="00F326FC">
        <w:rPr>
          <w:rFonts w:ascii="Palatino Linotype" w:eastAsia="Palatino Linotype" w:hAnsi="Palatino Linotype" w:cs="Palatino Linotype"/>
          <w:b/>
          <w:sz w:val="22"/>
          <w:szCs w:val="22"/>
        </w:rPr>
        <w:t xml:space="preserve"> </w:t>
      </w:r>
      <w:r w:rsidR="00203405" w:rsidRPr="00F326FC">
        <w:rPr>
          <w:rFonts w:ascii="Palatino Linotype" w:eastAsia="Palatino Linotype" w:hAnsi="Palatino Linotype" w:cs="Palatino Linotype"/>
          <w:b/>
          <w:sz w:val="22"/>
          <w:szCs w:val="22"/>
        </w:rPr>
        <w:t xml:space="preserve">quince de </w:t>
      </w:r>
      <w:r w:rsidR="00766D6D" w:rsidRPr="00F326FC">
        <w:rPr>
          <w:rFonts w:ascii="Palatino Linotype" w:eastAsia="Palatino Linotype" w:hAnsi="Palatino Linotype" w:cs="Palatino Linotype"/>
          <w:b/>
          <w:sz w:val="22"/>
          <w:szCs w:val="22"/>
        </w:rPr>
        <w:t>agosto</w:t>
      </w:r>
      <w:r w:rsidR="00203405"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b/>
          <w:sz w:val="22"/>
          <w:szCs w:val="22"/>
        </w:rPr>
        <w:t xml:space="preserve">de dos mil </w:t>
      </w:r>
      <w:r w:rsidR="00FE6D14" w:rsidRPr="00F326FC">
        <w:rPr>
          <w:rFonts w:ascii="Palatino Linotype" w:eastAsia="Palatino Linotype" w:hAnsi="Palatino Linotype" w:cs="Palatino Linotype"/>
          <w:b/>
          <w:sz w:val="22"/>
          <w:szCs w:val="22"/>
        </w:rPr>
        <w:t>veinti</w:t>
      </w:r>
      <w:r w:rsidR="00203405" w:rsidRPr="00F326FC">
        <w:rPr>
          <w:rFonts w:ascii="Palatino Linotype" w:eastAsia="Palatino Linotype" w:hAnsi="Palatino Linotype" w:cs="Palatino Linotype"/>
          <w:b/>
          <w:sz w:val="22"/>
          <w:szCs w:val="22"/>
        </w:rPr>
        <w:t>cinco</w:t>
      </w:r>
      <w:r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presentara su informe justificado.</w:t>
      </w:r>
    </w:p>
    <w:p w14:paraId="2E123CC8" w14:textId="3690D8E3" w:rsidR="008D5B06" w:rsidRPr="00F326FC" w:rsidRDefault="0062255D" w:rsidP="006772F0">
      <w:pPr>
        <w:widowControl w:val="0"/>
        <w:spacing w:before="240" w:after="240" w:line="360" w:lineRule="auto"/>
        <w:ind w:right="49"/>
        <w:jc w:val="both"/>
        <w:rPr>
          <w:rFonts w:ascii="Palatino Linotype" w:eastAsia="Palatino Linotype" w:hAnsi="Palatino Linotype" w:cs="Palatino Linotype"/>
          <w:sz w:val="22"/>
          <w:szCs w:val="22"/>
        </w:rPr>
      </w:pPr>
      <w:bookmarkStart w:id="7" w:name="_heading=h.2s8eyo1" w:colFirst="0" w:colLast="0"/>
      <w:bookmarkEnd w:id="7"/>
      <w:r w:rsidRPr="00F326FC">
        <w:rPr>
          <w:rFonts w:ascii="Palatino Linotype" w:eastAsia="Palatino Linotype" w:hAnsi="Palatino Linotype" w:cs="Palatino Linotype"/>
          <w:b/>
          <w:sz w:val="22"/>
          <w:szCs w:val="22"/>
        </w:rPr>
        <w:t>6. Manifestaciones</w:t>
      </w:r>
      <w:r w:rsidRPr="00F326FC">
        <w:rPr>
          <w:rFonts w:ascii="Palatino Linotype" w:eastAsia="Palatino Linotype" w:hAnsi="Palatino Linotype" w:cs="Palatino Linotype"/>
          <w:sz w:val="22"/>
          <w:szCs w:val="22"/>
        </w:rPr>
        <w:t xml:space="preserve">. </w:t>
      </w:r>
      <w:r w:rsidR="00766D6D" w:rsidRPr="00F326FC">
        <w:rPr>
          <w:rFonts w:ascii="Palatino Linotype" w:eastAsia="Palatino Linotype" w:hAnsi="Palatino Linotype" w:cs="Palatino Linotype"/>
          <w:sz w:val="22"/>
          <w:szCs w:val="22"/>
        </w:rPr>
        <w:t xml:space="preserve">El </w:t>
      </w:r>
      <w:r w:rsidR="00766D6D" w:rsidRPr="00F326FC">
        <w:rPr>
          <w:rFonts w:ascii="Palatino Linotype" w:eastAsia="Palatino Linotype" w:hAnsi="Palatino Linotype" w:cs="Palatino Linotype"/>
          <w:b/>
          <w:sz w:val="22"/>
          <w:szCs w:val="22"/>
        </w:rPr>
        <w:t>veintiséis y veintiocho de agosto</w:t>
      </w:r>
      <w:r w:rsidR="00766D6D" w:rsidRPr="00F326FC">
        <w:rPr>
          <w:rFonts w:ascii="Palatino Linotype" w:eastAsia="Palatino Linotype" w:hAnsi="Palatino Linotype" w:cs="Palatino Linotype"/>
          <w:sz w:val="22"/>
          <w:szCs w:val="22"/>
        </w:rPr>
        <w:t xml:space="preserve"> </w:t>
      </w:r>
      <w:r w:rsidR="00793F2B" w:rsidRPr="00F326FC">
        <w:rPr>
          <w:rFonts w:ascii="Palatino Linotype" w:eastAsia="Palatino Linotype" w:hAnsi="Palatino Linotype" w:cs="Palatino Linotype"/>
          <w:b/>
          <w:sz w:val="22"/>
          <w:szCs w:val="22"/>
        </w:rPr>
        <w:t>de dos mil veintiséis</w:t>
      </w:r>
      <w:r w:rsidR="00793F2B" w:rsidRPr="00F326FC">
        <w:rPr>
          <w:rFonts w:ascii="Palatino Linotype" w:eastAsia="Palatino Linotype" w:hAnsi="Palatino Linotype" w:cs="Palatino Linotype"/>
          <w:sz w:val="22"/>
          <w:szCs w:val="22"/>
        </w:rPr>
        <w:t xml:space="preserve">, </w:t>
      </w:r>
      <w:r w:rsidR="00DC5A4F" w:rsidRPr="00F326FC">
        <w:rPr>
          <w:rFonts w:ascii="Palatino Linotype" w:eastAsia="Palatino Linotype" w:hAnsi="Palatino Linotype" w:cs="Palatino Linotype"/>
          <w:sz w:val="22"/>
          <w:szCs w:val="22"/>
        </w:rPr>
        <w:t xml:space="preserve">el </w:t>
      </w:r>
      <w:r w:rsidR="00DC5A4F" w:rsidRPr="00F326FC">
        <w:rPr>
          <w:rFonts w:ascii="Palatino Linotype" w:eastAsia="Palatino Linotype" w:hAnsi="Palatino Linotype" w:cs="Palatino Linotype"/>
          <w:b/>
          <w:sz w:val="22"/>
          <w:szCs w:val="22"/>
        </w:rPr>
        <w:t>Sujeto Obligado</w:t>
      </w:r>
      <w:r w:rsidR="00DC5A4F" w:rsidRPr="00F326FC">
        <w:rPr>
          <w:rFonts w:ascii="Palatino Linotype" w:eastAsia="Palatino Linotype" w:hAnsi="Palatino Linotype" w:cs="Palatino Linotype"/>
          <w:sz w:val="22"/>
          <w:szCs w:val="22"/>
        </w:rPr>
        <w:t xml:space="preserve"> remitió, a través de SAIMEX, </w:t>
      </w:r>
      <w:r w:rsidR="008D5B06" w:rsidRPr="00F326FC">
        <w:rPr>
          <w:rFonts w:ascii="Palatino Linotype" w:eastAsia="Palatino Linotype" w:hAnsi="Palatino Linotype" w:cs="Palatino Linotype"/>
          <w:sz w:val="22"/>
          <w:szCs w:val="22"/>
        </w:rPr>
        <w:t>su</w:t>
      </w:r>
      <w:r w:rsidR="0076335B" w:rsidRPr="00F326FC">
        <w:rPr>
          <w:rFonts w:ascii="Palatino Linotype" w:eastAsia="Palatino Linotype" w:hAnsi="Palatino Linotype" w:cs="Palatino Linotype"/>
          <w:sz w:val="22"/>
          <w:szCs w:val="22"/>
        </w:rPr>
        <w:t xml:space="preserve"> informe justificado, mediante el cual</w:t>
      </w:r>
      <w:r w:rsidR="00766D6D" w:rsidRPr="00F326FC">
        <w:rPr>
          <w:rFonts w:ascii="Palatino Linotype" w:eastAsia="Palatino Linotype" w:hAnsi="Palatino Linotype" w:cs="Palatino Linotype"/>
          <w:sz w:val="22"/>
          <w:szCs w:val="22"/>
        </w:rPr>
        <w:t>, por conducto del Departamento de Acceso a la Información Pública,</w:t>
      </w:r>
      <w:r w:rsidR="0076335B" w:rsidRPr="00F326FC">
        <w:rPr>
          <w:rFonts w:ascii="Palatino Linotype" w:eastAsia="Palatino Linotype" w:hAnsi="Palatino Linotype" w:cs="Palatino Linotype"/>
          <w:sz w:val="22"/>
          <w:szCs w:val="22"/>
        </w:rPr>
        <w:t xml:space="preserve"> </w:t>
      </w:r>
      <w:r w:rsidR="006D4993" w:rsidRPr="00F326FC">
        <w:rPr>
          <w:rFonts w:ascii="Palatino Linotype" w:eastAsia="Palatino Linotype" w:hAnsi="Palatino Linotype" w:cs="Palatino Linotype"/>
          <w:sz w:val="22"/>
          <w:szCs w:val="22"/>
        </w:rPr>
        <w:t>ratificó en lo sustancial la respuesta proporcionada</w:t>
      </w:r>
      <w:r w:rsidR="00766D6D" w:rsidRPr="00F326FC">
        <w:rPr>
          <w:rFonts w:ascii="Palatino Linotype" w:eastAsia="Palatino Linotype" w:hAnsi="Palatino Linotype" w:cs="Palatino Linotype"/>
          <w:sz w:val="22"/>
          <w:szCs w:val="22"/>
        </w:rPr>
        <w:t xml:space="preserve"> en primera instancia</w:t>
      </w:r>
    </w:p>
    <w:p w14:paraId="1649FE72" w14:textId="03D8367E" w:rsidR="00B43319" w:rsidRPr="00F326FC" w:rsidRDefault="00B43319" w:rsidP="00C468E1">
      <w:pPr>
        <w:widowControl w:val="0"/>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Asimismo, adjuntó nuevamente el Acta de la Noningentésima Vigésima Novena Sesión Extraordinaria 2025 del Comité de Transparencia</w:t>
      </w:r>
    </w:p>
    <w:p w14:paraId="368A1C0F" w14:textId="625956D5" w:rsidR="00DC5A4F" w:rsidRPr="00F326FC" w:rsidRDefault="00C468E1" w:rsidP="00C468E1">
      <w:pPr>
        <w:widowControl w:val="0"/>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D</w:t>
      </w:r>
      <w:r w:rsidR="00DC5A4F" w:rsidRPr="00F326FC">
        <w:rPr>
          <w:rFonts w:ascii="Palatino Linotype" w:eastAsia="Palatino Linotype" w:hAnsi="Palatino Linotype" w:cs="Palatino Linotype"/>
          <w:sz w:val="22"/>
          <w:szCs w:val="22"/>
        </w:rPr>
        <w:t>icha información se hizo del conocimiento de la persona solicitante a efecto de que manifestara lo que a su derecho estimara conveniente, siendo omisa en ejercer dicha prerrogativa.</w:t>
      </w:r>
    </w:p>
    <w:p w14:paraId="21157F40" w14:textId="7300E8DE" w:rsidR="00810341" w:rsidRPr="00F326FC" w:rsidRDefault="00C24FCC" w:rsidP="00810341">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7</w:t>
      </w:r>
      <w:r w:rsidR="00B40080" w:rsidRPr="00F326FC">
        <w:rPr>
          <w:rFonts w:ascii="Palatino Linotype" w:eastAsia="Palatino Linotype" w:hAnsi="Palatino Linotype" w:cs="Palatino Linotype"/>
          <w:b/>
          <w:sz w:val="22"/>
          <w:szCs w:val="22"/>
        </w:rPr>
        <w:t xml:space="preserve">. </w:t>
      </w:r>
      <w:r w:rsidR="00810341" w:rsidRPr="00F326FC">
        <w:rPr>
          <w:rFonts w:ascii="Palatino Linotype" w:eastAsia="Palatino Linotype" w:hAnsi="Palatino Linotype" w:cs="Palatino Linotype"/>
          <w:b/>
          <w:sz w:val="22"/>
          <w:szCs w:val="22"/>
        </w:rPr>
        <w:t>Ampliación del término para resolver</w:t>
      </w:r>
      <w:r w:rsidR="00810341" w:rsidRPr="00F326FC">
        <w:rPr>
          <w:rFonts w:ascii="Palatino Linotype" w:eastAsia="Palatino Linotype" w:hAnsi="Palatino Linotype" w:cs="Palatino Linotype"/>
          <w:sz w:val="22"/>
          <w:szCs w:val="22"/>
        </w:rPr>
        <w:t xml:space="preserve">. El </w:t>
      </w:r>
      <w:r w:rsidR="00B43319" w:rsidRPr="00F326FC">
        <w:rPr>
          <w:rFonts w:ascii="Palatino Linotype" w:eastAsia="Palatino Linotype" w:hAnsi="Palatino Linotype" w:cs="Palatino Linotype"/>
          <w:b/>
          <w:sz w:val="22"/>
          <w:szCs w:val="22"/>
        </w:rPr>
        <w:t xml:space="preserve">veinticinco </w:t>
      </w:r>
      <w:r w:rsidR="00810341" w:rsidRPr="00F326FC">
        <w:rPr>
          <w:rFonts w:ascii="Palatino Linotype" w:eastAsia="Palatino Linotype" w:hAnsi="Palatino Linotype" w:cs="Palatino Linotype"/>
          <w:b/>
          <w:sz w:val="22"/>
          <w:szCs w:val="22"/>
        </w:rPr>
        <w:t>de febrero de dos mil veinticinco</w:t>
      </w:r>
      <w:r w:rsidR="00810341" w:rsidRPr="00F326FC">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7DE566A3"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649F8229"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56513DFA"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05C38CEB"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3A01D8D5" w14:textId="77777777" w:rsidR="00402FCF" w:rsidRPr="00F326FC" w:rsidRDefault="00402FCF" w:rsidP="00402FCF">
      <w:pPr>
        <w:spacing w:before="240" w:after="240" w:line="360" w:lineRule="auto"/>
        <w:jc w:val="both"/>
        <w:rPr>
          <w:rFonts w:ascii="Palatino Linotype" w:eastAsia="Palatino Linotype" w:hAnsi="Palatino Linotype" w:cs="Palatino Linotype"/>
          <w:strike/>
          <w:sz w:val="22"/>
          <w:szCs w:val="22"/>
        </w:rPr>
      </w:pPr>
      <w:r w:rsidRPr="00F326FC">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73E82576" w14:textId="77777777" w:rsidR="00402FCF" w:rsidRPr="00F326FC" w:rsidRDefault="00402FCF" w:rsidP="00402FCF">
      <w:pPr>
        <w:numPr>
          <w:ilvl w:val="0"/>
          <w:numId w:val="10"/>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Complejidad del Asunto: La complejidad de la prueba, la pluralidad de sujetos procesales, el tiempo transcurrido, las características y contexto del recurso. </w:t>
      </w:r>
    </w:p>
    <w:p w14:paraId="2BF22803" w14:textId="77777777" w:rsidR="00402FCF" w:rsidRPr="00F326FC" w:rsidRDefault="00402FCF" w:rsidP="00402FCF">
      <w:pPr>
        <w:numPr>
          <w:ilvl w:val="0"/>
          <w:numId w:val="10"/>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Actividad Procesal del interesado. Acciones u omisiones del interesado.</w:t>
      </w:r>
    </w:p>
    <w:p w14:paraId="03F5D695" w14:textId="77777777" w:rsidR="00402FCF" w:rsidRPr="00F326FC" w:rsidRDefault="00402FCF" w:rsidP="00402FCF">
      <w:pPr>
        <w:numPr>
          <w:ilvl w:val="0"/>
          <w:numId w:val="10"/>
        </w:numP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Conducta de la Autoridad: Las Acciones u omisiones realizadas en el procedimiento. Así como si la autoridad actuó con la debida diligencia.</w:t>
      </w:r>
    </w:p>
    <w:p w14:paraId="0935BD4B" w14:textId="77777777" w:rsidR="00402FCF" w:rsidRPr="00F326FC" w:rsidRDefault="00402FCF" w:rsidP="00402FCF">
      <w:pPr>
        <w:tabs>
          <w:tab w:val="left" w:pos="567"/>
        </w:tabs>
        <w:spacing w:before="240" w:after="240" w:line="360" w:lineRule="auto"/>
        <w:ind w:left="284"/>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d) La afectación generada en la situación jurídica de la persona involucrada en el proceso: Violación a sus derechos humanos.</w:t>
      </w:r>
    </w:p>
    <w:p w14:paraId="6DAB8B55"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90D38B5" w14:textId="77777777" w:rsidR="00402FCF" w:rsidRPr="00F326FC" w:rsidRDefault="00402FCF" w:rsidP="00402FCF">
      <w:pPr>
        <w:spacing w:before="240" w:after="240" w:line="360" w:lineRule="auto"/>
        <w:jc w:val="both"/>
        <w:rPr>
          <w:rFonts w:ascii="Palatino Linotype" w:eastAsia="Palatino Linotype" w:hAnsi="Palatino Linotype" w:cs="Palatino Linotype"/>
          <w:b/>
          <w:sz w:val="22"/>
          <w:szCs w:val="22"/>
        </w:rPr>
      </w:pPr>
      <w:r w:rsidRPr="00F326FC">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F326FC">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F326FC">
        <w:rPr>
          <w:rFonts w:ascii="Palatino Linotype" w:eastAsia="Palatino Linotype" w:hAnsi="Palatino Linotype" w:cs="Palatino Linotype"/>
          <w:sz w:val="22"/>
          <w:szCs w:val="22"/>
        </w:rPr>
        <w:t>, visible en la Gaceta del Seminario Judicial de la Federación con el registro digital 205635.</w:t>
      </w:r>
    </w:p>
    <w:p w14:paraId="3B456945"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0E45D05"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3D18AAC" w14:textId="77777777" w:rsidR="00402FCF" w:rsidRPr="00F326FC" w:rsidRDefault="00402FCF" w:rsidP="00402FCF">
      <w:pPr>
        <w:spacing w:before="120" w:after="120"/>
        <w:ind w:left="851" w:right="902"/>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 </w:t>
      </w: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PLAZO RAZONABLE PARA RESOLVER. DIMENSIÓN Y EFECTOS DE ESTE CONCEPTO CUANDO SE ADUCE EXCESIVA CARGA DE TRABAJO</w:t>
      </w: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sz w:val="22"/>
          <w:szCs w:val="22"/>
        </w:rPr>
        <w:t xml:space="preserve"> consultable en el Seminario Judicial de la Federación y su gaceta, con el registro digital 2002351.</w:t>
      </w:r>
    </w:p>
    <w:p w14:paraId="18C193B9" w14:textId="77777777" w:rsidR="00402FCF" w:rsidRPr="00F326FC" w:rsidRDefault="00402FCF" w:rsidP="00402FCF">
      <w:pPr>
        <w:spacing w:before="120" w:after="120"/>
        <w:ind w:left="851" w:right="902"/>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sz w:val="22"/>
          <w:szCs w:val="22"/>
        </w:rPr>
        <w:t>, visible en el Seminario Judicial de la Federación y su gaceta, con el registro digital 2002350.</w:t>
      </w:r>
    </w:p>
    <w:p w14:paraId="554CCC44" w14:textId="77777777" w:rsidR="00402FCF" w:rsidRPr="00F326FC" w:rsidRDefault="00402FCF" w:rsidP="00402FCF">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720A8DCA" w14:textId="6135C0E0" w:rsidR="004579DF" w:rsidRPr="00F326FC" w:rsidRDefault="00810341" w:rsidP="004579DF">
      <w:pPr>
        <w:widowControl w:val="0"/>
        <w:spacing w:before="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 xml:space="preserve">8. </w:t>
      </w:r>
      <w:r w:rsidR="005D5DC9" w:rsidRPr="00F326FC">
        <w:rPr>
          <w:rFonts w:ascii="Palatino Linotype" w:eastAsia="Palatino Linotype" w:hAnsi="Palatino Linotype" w:cs="Palatino Linotype"/>
          <w:b/>
          <w:sz w:val="22"/>
          <w:szCs w:val="22"/>
        </w:rPr>
        <w:t xml:space="preserve">Cierre de instrucción. </w:t>
      </w:r>
      <w:r w:rsidR="005D5DC9" w:rsidRPr="00F326FC">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654FDE" w:rsidRPr="00F326FC">
        <w:rPr>
          <w:rFonts w:ascii="Palatino Linotype" w:eastAsia="Palatino Linotype" w:hAnsi="Palatino Linotype" w:cs="Palatino Linotype"/>
          <w:b/>
          <w:bCs/>
          <w:sz w:val="22"/>
          <w:szCs w:val="22"/>
        </w:rPr>
        <w:t>tres de marzo</w:t>
      </w:r>
      <w:r w:rsidR="00B40080" w:rsidRPr="00F326FC">
        <w:rPr>
          <w:rFonts w:ascii="Palatino Linotype" w:eastAsia="Palatino Linotype" w:hAnsi="Palatino Linotype" w:cs="Palatino Linotype"/>
          <w:b/>
          <w:bCs/>
          <w:sz w:val="22"/>
          <w:szCs w:val="22"/>
        </w:rPr>
        <w:t xml:space="preserve"> de dos mil veintiséis</w:t>
      </w:r>
      <w:r w:rsidR="005D5DC9" w:rsidRPr="00F326FC">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7B0FA1BD" w14:textId="77777777" w:rsidR="00562A90" w:rsidRPr="00F326FC" w:rsidRDefault="0062255D">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1BCBDF5" w14:textId="77777777" w:rsidR="00562A90" w:rsidRPr="00F326FC" w:rsidRDefault="0062255D">
      <w:pPr>
        <w:widowControl w:val="0"/>
        <w:spacing w:before="240" w:after="240" w:line="360" w:lineRule="auto"/>
        <w:jc w:val="center"/>
        <w:rPr>
          <w:rFonts w:ascii="Palatino Linotype" w:eastAsia="Palatino Linotype" w:hAnsi="Palatino Linotype" w:cs="Palatino Linotype"/>
          <w:b/>
          <w:sz w:val="22"/>
          <w:szCs w:val="22"/>
        </w:rPr>
      </w:pPr>
      <w:r w:rsidRPr="00F326FC">
        <w:rPr>
          <w:rFonts w:ascii="Palatino Linotype" w:eastAsia="Palatino Linotype" w:hAnsi="Palatino Linotype" w:cs="Palatino Linotype"/>
          <w:b/>
          <w:sz w:val="22"/>
          <w:szCs w:val="22"/>
        </w:rPr>
        <w:t>II. C O N S I D E R A N D O S</w:t>
      </w:r>
    </w:p>
    <w:p w14:paraId="60D021DD" w14:textId="6369A956" w:rsidR="00562A90" w:rsidRPr="00F326FC" w:rsidRDefault="0062255D">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Primero. Competencia.</w:t>
      </w:r>
      <w:r w:rsidRPr="00F326F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5D5DC9" w:rsidRPr="00F326FC">
        <w:rPr>
          <w:rFonts w:ascii="Palatino Linotype" w:eastAsia="Palatino Linotype" w:hAnsi="Palatino Linotype" w:cs="Palatino Linotype"/>
          <w:sz w:val="22"/>
          <w:szCs w:val="22"/>
        </w:rPr>
        <w:t>5</w:t>
      </w:r>
      <w:r w:rsidR="000E700F" w:rsidRPr="00F326FC">
        <w:rPr>
          <w:rFonts w:ascii="Palatino Linotype" w:eastAsia="Palatino Linotype" w:hAnsi="Palatino Linotype" w:cs="Palatino Linotype"/>
          <w:sz w:val="22"/>
          <w:szCs w:val="22"/>
        </w:rPr>
        <w:t>,</w:t>
      </w:r>
      <w:r w:rsidR="005D5DC9" w:rsidRPr="00F326FC">
        <w:rPr>
          <w:rFonts w:ascii="Palatino Linotype" w:eastAsia="Palatino Linotype" w:hAnsi="Palatino Linotype" w:cs="Palatino Linotype"/>
          <w:sz w:val="22"/>
          <w:szCs w:val="22"/>
        </w:rPr>
        <w:t xml:space="preserve"> párrafos </w:t>
      </w:r>
      <w:r w:rsidR="000E700F" w:rsidRPr="00F326FC">
        <w:rPr>
          <w:rFonts w:ascii="Palatino Linotype" w:eastAsia="Palatino Linotype" w:hAnsi="Palatino Linotype" w:cs="Palatino Linotype"/>
          <w:sz w:val="22"/>
          <w:szCs w:val="22"/>
        </w:rPr>
        <w:t>cuadragésimo cuarto, cuadragésimo quinto cuadragésimo sexto,</w:t>
      </w:r>
      <w:r w:rsidR="005D5DC9" w:rsidRPr="00F326FC">
        <w:rPr>
          <w:rFonts w:ascii="Palatino Linotype" w:eastAsia="Palatino Linotype" w:hAnsi="Palatino Linotype" w:cs="Palatino Linotype"/>
          <w:sz w:val="22"/>
          <w:szCs w:val="22"/>
        </w:rPr>
        <w:t xml:space="preserve"> fracciones IV y V de la Constitución Política del Estado Libre y Soberano de México; Transitorio Cuarto, párrafo segundo del Decreto número 198 de la “LXII” Legislatura del Estado de México;</w:t>
      </w:r>
      <w:r w:rsidRPr="00F326FC">
        <w:rPr>
          <w:rFonts w:ascii="Palatino Linotype" w:eastAsia="Palatino Linotype" w:hAnsi="Palatino Linotype" w:cs="Palatino Linotype"/>
          <w:sz w:val="22"/>
          <w:szCs w:val="22"/>
        </w:rPr>
        <w:t xml:space="preserve">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BB00E87" w14:textId="77777777" w:rsidR="00562A90" w:rsidRPr="00F326FC" w:rsidRDefault="0062255D">
      <w:pPr>
        <w:spacing w:before="240" w:after="240" w:line="360" w:lineRule="auto"/>
        <w:jc w:val="both"/>
        <w:rPr>
          <w:rFonts w:ascii="Palatino Linotype" w:eastAsia="Palatino Linotype" w:hAnsi="Palatino Linotype" w:cs="Palatino Linotype"/>
          <w:sz w:val="22"/>
          <w:szCs w:val="22"/>
        </w:rPr>
      </w:pPr>
      <w:bookmarkStart w:id="8" w:name="_heading=h.tyjcwt" w:colFirst="0" w:colLast="0"/>
      <w:bookmarkEnd w:id="8"/>
      <w:r w:rsidRPr="00F326FC">
        <w:rPr>
          <w:rFonts w:ascii="Palatino Linotype" w:eastAsia="Palatino Linotype" w:hAnsi="Palatino Linotype" w:cs="Palatino Linotype"/>
          <w:b/>
          <w:sz w:val="22"/>
          <w:szCs w:val="22"/>
        </w:rPr>
        <w:t xml:space="preserve">Segundo. Oportunidad y </w:t>
      </w:r>
      <w:proofErr w:type="spellStart"/>
      <w:r w:rsidRPr="00F326FC">
        <w:rPr>
          <w:rFonts w:ascii="Palatino Linotype" w:eastAsia="Palatino Linotype" w:hAnsi="Palatino Linotype" w:cs="Palatino Linotype"/>
          <w:b/>
          <w:sz w:val="22"/>
          <w:szCs w:val="22"/>
        </w:rPr>
        <w:t>Procedibilidad</w:t>
      </w:r>
      <w:proofErr w:type="spellEnd"/>
      <w:r w:rsidRPr="00F326FC">
        <w:rPr>
          <w:rFonts w:ascii="Palatino Linotype" w:eastAsia="Palatino Linotype" w:hAnsi="Palatino Linotype" w:cs="Palatino Linotype"/>
          <w:b/>
          <w:sz w:val="22"/>
          <w:szCs w:val="22"/>
        </w:rPr>
        <w:t xml:space="preserve"> del Recurso de Revisión</w:t>
      </w:r>
      <w:r w:rsidRPr="00F326FC">
        <w:rPr>
          <w:rFonts w:ascii="Palatino Linotype" w:eastAsia="Palatino Linotype" w:hAnsi="Palatino Linotype" w:cs="Palatino Linotype"/>
          <w:sz w:val="22"/>
          <w:szCs w:val="22"/>
        </w:rPr>
        <w:t xml:space="preserve">. Previo al estudio del fondo del asunto, se procede a analizar los requisitos de oportunidad y </w:t>
      </w:r>
      <w:proofErr w:type="spellStart"/>
      <w:r w:rsidRPr="00F326FC">
        <w:rPr>
          <w:rFonts w:ascii="Palatino Linotype" w:eastAsia="Palatino Linotype" w:hAnsi="Palatino Linotype" w:cs="Palatino Linotype"/>
          <w:sz w:val="22"/>
          <w:szCs w:val="22"/>
        </w:rPr>
        <w:t>procedibilidad</w:t>
      </w:r>
      <w:proofErr w:type="spellEnd"/>
      <w:r w:rsidRPr="00F326FC">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1C2A1275" w14:textId="6E78FE7A" w:rsidR="00562A90" w:rsidRPr="00F326FC" w:rsidRDefault="0062255D">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 xml:space="preserve">remitió la respuesta a la solicitud de información el día </w:t>
      </w:r>
      <w:r w:rsidR="00275038" w:rsidRPr="00F326FC">
        <w:rPr>
          <w:rFonts w:ascii="Palatino Linotype" w:eastAsia="Palatino Linotype" w:hAnsi="Palatino Linotype" w:cs="Palatino Linotype"/>
          <w:b/>
          <w:sz w:val="22"/>
          <w:szCs w:val="22"/>
        </w:rPr>
        <w:t>once de agosto</w:t>
      </w:r>
      <w:r w:rsidR="00E95A79" w:rsidRPr="00F326FC">
        <w:rPr>
          <w:rFonts w:ascii="Palatino Linotype" w:eastAsia="Palatino Linotype" w:hAnsi="Palatino Linotype" w:cs="Palatino Linotype"/>
          <w:b/>
          <w:sz w:val="22"/>
          <w:szCs w:val="22"/>
        </w:rPr>
        <w:t xml:space="preserve"> </w:t>
      </w:r>
      <w:r w:rsidR="00AF72B6" w:rsidRPr="00F326FC">
        <w:rPr>
          <w:rFonts w:ascii="Palatino Linotype" w:eastAsia="Palatino Linotype" w:hAnsi="Palatino Linotype" w:cs="Palatino Linotype"/>
          <w:b/>
          <w:sz w:val="22"/>
          <w:szCs w:val="22"/>
        </w:rPr>
        <w:t>de dos mil veinticinco</w:t>
      </w:r>
      <w:r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sz w:val="22"/>
          <w:szCs w:val="22"/>
        </w:rPr>
        <w:t xml:space="preserve">mientras que el recurso de revisión interpuesto por la parte </w:t>
      </w:r>
      <w:r w:rsidRPr="00F326FC">
        <w:rPr>
          <w:rFonts w:ascii="Palatino Linotype" w:eastAsia="Palatino Linotype" w:hAnsi="Palatino Linotype" w:cs="Palatino Linotype"/>
          <w:b/>
          <w:sz w:val="22"/>
          <w:szCs w:val="22"/>
        </w:rPr>
        <w:t xml:space="preserve">Recurrente, </w:t>
      </w:r>
      <w:r w:rsidRPr="00F326FC">
        <w:rPr>
          <w:rFonts w:ascii="Palatino Linotype" w:eastAsia="Palatino Linotype" w:hAnsi="Palatino Linotype" w:cs="Palatino Linotype"/>
          <w:sz w:val="22"/>
          <w:szCs w:val="22"/>
        </w:rPr>
        <w:t>se tuvo por presentado el día</w:t>
      </w:r>
      <w:r w:rsidR="009E66E4" w:rsidRPr="00F326FC">
        <w:rPr>
          <w:rFonts w:ascii="Palatino Linotype" w:eastAsia="Palatino Linotype" w:hAnsi="Palatino Linotype" w:cs="Palatino Linotype"/>
          <w:b/>
          <w:sz w:val="22"/>
          <w:szCs w:val="22"/>
        </w:rPr>
        <w:t xml:space="preserve"> </w:t>
      </w:r>
      <w:r w:rsidR="00275038" w:rsidRPr="00F326FC">
        <w:rPr>
          <w:rFonts w:ascii="Palatino Linotype" w:eastAsia="Palatino Linotype" w:hAnsi="Palatino Linotype" w:cs="Palatino Linotype"/>
          <w:b/>
          <w:sz w:val="22"/>
          <w:szCs w:val="22"/>
        </w:rPr>
        <w:t>doce de agosto</w:t>
      </w:r>
      <w:r w:rsidR="004B4E67" w:rsidRPr="00F326FC">
        <w:rPr>
          <w:rFonts w:ascii="Palatino Linotype" w:eastAsia="Palatino Linotype" w:hAnsi="Palatino Linotype" w:cs="Palatino Linotype"/>
          <w:b/>
          <w:sz w:val="22"/>
          <w:szCs w:val="22"/>
        </w:rPr>
        <w:t xml:space="preserve"> de dos mil veinticinco</w:t>
      </w:r>
      <w:r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sz w:val="22"/>
          <w:szCs w:val="22"/>
        </w:rPr>
        <w:t>esto es</w:t>
      </w:r>
      <w:r w:rsidR="00AF72B6" w:rsidRPr="00F326FC">
        <w:rPr>
          <w:rFonts w:ascii="Palatino Linotype" w:eastAsia="Palatino Linotype" w:hAnsi="Palatino Linotype" w:cs="Palatino Linotype"/>
          <w:sz w:val="22"/>
          <w:szCs w:val="22"/>
        </w:rPr>
        <w:t xml:space="preserve">, </w:t>
      </w:r>
      <w:r w:rsidR="00D57BFA" w:rsidRPr="00F326FC">
        <w:rPr>
          <w:rFonts w:ascii="Palatino Linotype" w:eastAsia="Palatino Linotype" w:hAnsi="Palatino Linotype" w:cs="Palatino Linotype"/>
          <w:sz w:val="22"/>
          <w:szCs w:val="22"/>
        </w:rPr>
        <w:t xml:space="preserve">al </w:t>
      </w:r>
      <w:r w:rsidR="00275038" w:rsidRPr="00F326FC">
        <w:rPr>
          <w:rFonts w:ascii="Palatino Linotype" w:eastAsia="Palatino Linotype" w:hAnsi="Palatino Linotype" w:cs="Palatino Linotype"/>
          <w:sz w:val="22"/>
          <w:szCs w:val="22"/>
        </w:rPr>
        <w:t xml:space="preserve">siguiente día hábil </w:t>
      </w:r>
      <w:r w:rsidR="00D57BFA" w:rsidRPr="00F326FC">
        <w:rPr>
          <w:rFonts w:ascii="Palatino Linotype" w:eastAsia="Palatino Linotype" w:hAnsi="Palatino Linotype" w:cs="Palatino Linotype"/>
          <w:sz w:val="22"/>
          <w:szCs w:val="22"/>
        </w:rPr>
        <w:t>posterior</w:t>
      </w:r>
      <w:r w:rsidR="00275038" w:rsidRPr="00F326FC">
        <w:rPr>
          <w:rFonts w:ascii="Palatino Linotype" w:eastAsia="Palatino Linotype" w:hAnsi="Palatino Linotype" w:cs="Palatino Linotype"/>
          <w:sz w:val="22"/>
          <w:szCs w:val="22"/>
        </w:rPr>
        <w:t xml:space="preserve"> a aquel en el que tuvo en el que tuvo conocimiento de la respuesta impugnada</w:t>
      </w:r>
      <w:r w:rsidRPr="00F326FC">
        <w:rPr>
          <w:rFonts w:ascii="Palatino Linotype" w:eastAsia="Palatino Linotype" w:hAnsi="Palatino Linotype" w:cs="Palatino Linotype"/>
          <w:sz w:val="22"/>
          <w:szCs w:val="22"/>
        </w:rPr>
        <w:t>. En este sentido, se concluye que el presente recurso de revisión se encuentra dentro de los márgenes temporales previstos en las disposiciones legales referidas.</w:t>
      </w:r>
    </w:p>
    <w:p w14:paraId="02CC735F" w14:textId="77777777" w:rsidR="003B7759" w:rsidRPr="00F326FC" w:rsidRDefault="003B7759" w:rsidP="003B7759">
      <w:pPr>
        <w:spacing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Además, por cuanto hace a la </w:t>
      </w:r>
      <w:proofErr w:type="spellStart"/>
      <w:r w:rsidRPr="00F326FC">
        <w:rPr>
          <w:rFonts w:ascii="Palatino Linotype" w:eastAsia="Palatino Linotype" w:hAnsi="Palatino Linotype" w:cs="Palatino Linotype"/>
          <w:sz w:val="22"/>
          <w:szCs w:val="22"/>
        </w:rPr>
        <w:t>procedibilidad</w:t>
      </w:r>
      <w:proofErr w:type="spellEnd"/>
      <w:r w:rsidRPr="00F326FC">
        <w:rPr>
          <w:rFonts w:ascii="Palatino Linotype" w:eastAsia="Palatino Linotype" w:hAnsi="Palatino Linotype" w:cs="Palatino Linotype"/>
          <w:sz w:val="22"/>
          <w:szCs w:val="22"/>
        </w:rPr>
        <w:t xml:space="preserve"> del recurso de revisión, es de suma importancia señalar que </w:t>
      </w:r>
      <w:r w:rsidRPr="00F326FC">
        <w:rPr>
          <w:rFonts w:ascii="Palatino Linotype" w:eastAsia="Palatino Linotype" w:hAnsi="Palatino Linotype" w:cs="Palatino Linotype"/>
          <w:bCs/>
          <w:sz w:val="22"/>
          <w:szCs w:val="22"/>
        </w:rPr>
        <w:t>la parte</w:t>
      </w:r>
      <w:r w:rsidRPr="00F326FC">
        <w:rPr>
          <w:rFonts w:ascii="Palatino Linotype" w:eastAsia="Palatino Linotype" w:hAnsi="Palatino Linotype" w:cs="Palatino Linotype"/>
          <w:b/>
          <w:sz w:val="22"/>
          <w:szCs w:val="22"/>
        </w:rPr>
        <w:t xml:space="preserve"> Recurrente</w:t>
      </w:r>
      <w:r w:rsidRPr="00F326FC">
        <w:rPr>
          <w:rFonts w:ascii="Palatino Linotype" w:eastAsia="Palatino Linotype" w:hAnsi="Palatino Linotype" w:cs="Palatino Linotype"/>
          <w:sz w:val="22"/>
          <w:szCs w:val="22"/>
        </w:rPr>
        <w:t xml:space="preserve">, no señaló un </w:t>
      </w:r>
      <w:r w:rsidRPr="00F326FC">
        <w:rPr>
          <w:rFonts w:ascii="Palatino Linotype" w:eastAsia="Palatino Linotype" w:hAnsi="Palatino Linotype" w:cs="Palatino Linotype"/>
          <w:b/>
          <w:bCs/>
          <w:sz w:val="22"/>
          <w:szCs w:val="22"/>
        </w:rPr>
        <w:t>nombre</w:t>
      </w:r>
      <w:r w:rsidRPr="00F326FC">
        <w:rPr>
          <w:rFonts w:ascii="Palatino Linotype" w:eastAsia="Palatino Linotype" w:hAnsi="Palatino Linotype" w:cs="Palatino Linotype"/>
          <w:sz w:val="22"/>
          <w:szCs w:val="22"/>
        </w:rPr>
        <w:t xml:space="preserve"> con el cual desea ser identificado, como se advierte en el detalle de seguimiento del SAIMEX, no obstante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7872B137" w14:textId="77777777" w:rsidR="003B7759" w:rsidRPr="00F326FC" w:rsidRDefault="003B7759" w:rsidP="003B775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Las solicitudes anónimas</w:t>
      </w:r>
      <w:r w:rsidRPr="00F326FC">
        <w:rPr>
          <w:rFonts w:ascii="Palatino Linotype" w:eastAsia="Palatino Linotype" w:hAnsi="Palatino Linotype" w:cs="Palatino Linotype"/>
          <w:i/>
          <w:sz w:val="22"/>
          <w:szCs w:val="22"/>
        </w:rPr>
        <w:t xml:space="preserve">, con nombre incompleto o </w:t>
      </w:r>
      <w:r w:rsidRPr="00F326FC">
        <w:rPr>
          <w:rFonts w:ascii="Palatino Linotype" w:eastAsia="Palatino Linotype" w:hAnsi="Palatino Linotype" w:cs="Palatino Linotype"/>
          <w:b/>
          <w:i/>
          <w:sz w:val="22"/>
          <w:szCs w:val="22"/>
        </w:rPr>
        <w:t>seudónimo</w:t>
      </w:r>
      <w:r w:rsidRPr="00F326FC">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6305838A" w14:textId="77777777" w:rsidR="003B7759" w:rsidRPr="00F326FC" w:rsidRDefault="003B7759" w:rsidP="003B7759">
      <w:pPr>
        <w:spacing w:before="240" w:after="240" w:line="360" w:lineRule="auto"/>
        <w:jc w:val="both"/>
        <w:rPr>
          <w:rFonts w:ascii="Palatino Linotype" w:eastAsia="Palatino Linotype" w:hAnsi="Palatino Linotype" w:cs="Palatino Linotype"/>
          <w:b/>
          <w:sz w:val="22"/>
          <w:szCs w:val="22"/>
        </w:rPr>
      </w:pPr>
      <w:r w:rsidRPr="00F326FC">
        <w:rPr>
          <w:rFonts w:ascii="Palatino Linotype" w:eastAsia="Palatino Linotype" w:hAnsi="Palatino Linotype" w:cs="Palatino Linotype"/>
          <w:sz w:val="22"/>
          <w:szCs w:val="22"/>
        </w:rPr>
        <w:t xml:space="preserve">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w:t>
      </w:r>
      <w:r w:rsidRPr="00F326FC">
        <w:rPr>
          <w:rFonts w:ascii="Palatino Linotype" w:eastAsia="Palatino Linotype" w:hAnsi="Palatino Linotype" w:cs="Palatino Linotype"/>
          <w:bCs/>
          <w:sz w:val="22"/>
          <w:szCs w:val="22"/>
        </w:rPr>
        <w:t>el</w:t>
      </w:r>
      <w:r w:rsidRPr="00F326FC">
        <w:rPr>
          <w:rFonts w:ascii="Palatino Linotype" w:eastAsia="Palatino Linotype" w:hAnsi="Palatino Linotype" w:cs="Palatino Linotype"/>
          <w:b/>
          <w:sz w:val="22"/>
          <w:szCs w:val="22"/>
        </w:rPr>
        <w:t xml:space="preserve"> SAIMEX.</w:t>
      </w:r>
    </w:p>
    <w:p w14:paraId="190980DF" w14:textId="0CEC5D95" w:rsidR="00077C62" w:rsidRPr="00F326FC" w:rsidRDefault="00077C62" w:rsidP="00077C62">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F326FC">
        <w:rPr>
          <w:rFonts w:ascii="Palatino Linotype" w:eastAsia="Palatino Linotype" w:hAnsi="Palatino Linotype" w:cs="Palatino Linotype"/>
          <w:b/>
          <w:bCs/>
          <w:sz w:val="22"/>
          <w:szCs w:val="22"/>
        </w:rPr>
        <w:t>Recurrente</w:t>
      </w:r>
      <w:r w:rsidRPr="00F326FC">
        <w:rPr>
          <w:rFonts w:ascii="Palatino Linotype" w:eastAsia="Palatino Linotype" w:hAnsi="Palatino Linotype" w:cs="Palatino Linotype"/>
          <w:sz w:val="22"/>
          <w:szCs w:val="22"/>
        </w:rPr>
        <w:t xml:space="preserve"> en sus motivos de inconformidad, de acuerdo al artículo 179, fracción </w:t>
      </w:r>
      <w:r w:rsidR="004B4E67" w:rsidRPr="00F326FC">
        <w:rPr>
          <w:rFonts w:ascii="Palatino Linotype" w:eastAsia="Palatino Linotype" w:hAnsi="Palatino Linotype" w:cs="Palatino Linotype"/>
          <w:sz w:val="22"/>
          <w:szCs w:val="22"/>
        </w:rPr>
        <w:t xml:space="preserve">I </w:t>
      </w:r>
      <w:r w:rsidRPr="00F326FC">
        <w:rPr>
          <w:rFonts w:ascii="Palatino Linotype" w:eastAsia="Palatino Linotype" w:hAnsi="Palatino Linotype" w:cs="Palatino Linotype"/>
          <w:sz w:val="22"/>
          <w:szCs w:val="22"/>
        </w:rPr>
        <w:t>del ordenamiento legal citado, que a la letra dice: </w:t>
      </w:r>
    </w:p>
    <w:p w14:paraId="39AB3B04" w14:textId="77777777" w:rsidR="00562A90" w:rsidRPr="00F326FC" w:rsidRDefault="0062255D" w:rsidP="00AF51BA">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179.</w:t>
      </w:r>
      <w:r w:rsidRPr="00F326FC">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17B120C" w14:textId="3A0700CE" w:rsidR="00562A90" w:rsidRPr="00F326FC" w:rsidRDefault="004B4E67" w:rsidP="00AF51BA">
      <w:pPr>
        <w:tabs>
          <w:tab w:val="left" w:pos="7938"/>
        </w:tabs>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La negativa a la información solicitada;</w:t>
      </w:r>
      <w:r w:rsidR="0062255D" w:rsidRPr="00F326FC">
        <w:rPr>
          <w:rFonts w:ascii="Palatino Linotype" w:eastAsia="Palatino Linotype" w:hAnsi="Palatino Linotype" w:cs="Palatino Linotype"/>
          <w:i/>
          <w:sz w:val="22"/>
          <w:szCs w:val="22"/>
        </w:rPr>
        <w:t>”</w:t>
      </w:r>
    </w:p>
    <w:p w14:paraId="09700F89" w14:textId="77777777" w:rsidR="00562A90" w:rsidRPr="00F326FC" w:rsidRDefault="0062255D">
      <w:pPr>
        <w:spacing w:before="240" w:after="240" w:line="360" w:lineRule="auto"/>
        <w:jc w:val="both"/>
        <w:rPr>
          <w:rFonts w:ascii="Palatino Linotype" w:eastAsia="Palatino Linotype" w:hAnsi="Palatino Linotype" w:cs="Palatino Linotype"/>
          <w:b/>
          <w:sz w:val="22"/>
          <w:szCs w:val="22"/>
        </w:rPr>
      </w:pPr>
      <w:r w:rsidRPr="00F326FC">
        <w:rPr>
          <w:rFonts w:ascii="Palatino Linotype" w:eastAsia="Palatino Linotype" w:hAnsi="Palatino Linotype" w:cs="Palatino Linotype"/>
          <w:b/>
          <w:sz w:val="22"/>
          <w:szCs w:val="22"/>
        </w:rPr>
        <w:t xml:space="preserve">Tercero. Materia de la revisión. </w:t>
      </w:r>
      <w:r w:rsidRPr="00F326FC">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F326FC">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F326FC">
        <w:rPr>
          <w:rFonts w:ascii="Palatino Linotype" w:eastAsia="Palatino Linotype" w:hAnsi="Palatino Linotype" w:cs="Palatino Linotype"/>
          <w:sz w:val="22"/>
          <w:szCs w:val="22"/>
        </w:rPr>
        <w:t xml:space="preserve">de la parte </w:t>
      </w:r>
      <w:r w:rsidRPr="00F326FC">
        <w:rPr>
          <w:rFonts w:ascii="Palatino Linotype" w:eastAsia="Palatino Linotype" w:hAnsi="Palatino Linotype" w:cs="Palatino Linotype"/>
          <w:b/>
          <w:sz w:val="22"/>
          <w:szCs w:val="22"/>
        </w:rPr>
        <w:t>Recurrente</w:t>
      </w:r>
      <w:r w:rsidRPr="00F326FC">
        <w:rPr>
          <w:rFonts w:ascii="Palatino Linotype" w:eastAsia="Palatino Linotype" w:hAnsi="Palatino Linotype" w:cs="Palatino Linotype"/>
          <w:sz w:val="22"/>
          <w:szCs w:val="22"/>
        </w:rPr>
        <w:t>, o en su defecto, en caso de ser procedente, ordenar la entrega de información.</w:t>
      </w:r>
    </w:p>
    <w:p w14:paraId="373F5BFC" w14:textId="77777777" w:rsidR="00CA384E" w:rsidRPr="00F326FC" w:rsidRDefault="0062255D" w:rsidP="00CA384E">
      <w:pPr>
        <w:spacing w:before="240" w:after="240" w:line="360" w:lineRule="auto"/>
        <w:jc w:val="both"/>
        <w:rPr>
          <w:rFonts w:ascii="Palatino Linotype" w:eastAsia="Palatino Linotype" w:hAnsi="Palatino Linotype" w:cs="Palatino Linotype"/>
          <w:sz w:val="22"/>
          <w:szCs w:val="22"/>
        </w:rPr>
      </w:pPr>
      <w:bookmarkStart w:id="9" w:name="_heading=h.2et92p0" w:colFirst="0" w:colLast="0"/>
      <w:bookmarkEnd w:id="9"/>
      <w:r w:rsidRPr="00F326FC">
        <w:rPr>
          <w:rFonts w:ascii="Palatino Linotype" w:eastAsia="Palatino Linotype" w:hAnsi="Palatino Linotype" w:cs="Palatino Linotype"/>
          <w:b/>
          <w:sz w:val="22"/>
          <w:szCs w:val="22"/>
        </w:rPr>
        <w:t xml:space="preserve">Cuarto. Estudio del asunto. </w:t>
      </w:r>
      <w:r w:rsidR="00CA384E" w:rsidRPr="00F326FC">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4B8B528"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4</w:t>
      </w:r>
      <w:r w:rsidRPr="00F326FC">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D0A8B83"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F326FC">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6896DB1B"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F326FC">
        <w:rPr>
          <w:rFonts w:ascii="Palatino Linotype" w:eastAsia="Palatino Linotype" w:hAnsi="Palatino Linotype" w:cs="Palatino Linotype"/>
          <w:i/>
          <w:sz w:val="22"/>
          <w:szCs w:val="22"/>
        </w:rPr>
        <w:t>.”</w:t>
      </w:r>
    </w:p>
    <w:p w14:paraId="7E6095B0" w14:textId="77777777" w:rsidR="00CA384E" w:rsidRPr="00F326FC" w:rsidRDefault="00CA384E" w:rsidP="00CA384E">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5A5B7CF1"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“Artículo 12.-</w:t>
      </w:r>
      <w:r w:rsidRPr="00F326FC">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02D51B12"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447C3C22" w14:textId="77777777" w:rsidR="00CA384E" w:rsidRPr="00F326FC" w:rsidRDefault="00CA384E" w:rsidP="00CA384E">
      <w:pPr>
        <w:spacing w:before="240" w:after="240" w:line="360" w:lineRule="auto"/>
        <w:ind w:right="-93"/>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6D1BBFD7" w14:textId="77777777" w:rsidR="00CA384E" w:rsidRPr="00F326FC" w:rsidRDefault="00CA384E" w:rsidP="00CA384E">
      <w:pPr>
        <w:spacing w:before="240" w:after="240" w:line="360" w:lineRule="auto"/>
        <w:jc w:val="both"/>
        <w:rPr>
          <w:rFonts w:ascii="Palatino Linotype" w:eastAsia="Palatino Linotype" w:hAnsi="Palatino Linotype" w:cs="Palatino Linotype"/>
          <w:b/>
          <w:sz w:val="22"/>
          <w:szCs w:val="22"/>
        </w:rPr>
      </w:pPr>
      <w:r w:rsidRPr="00F326FC">
        <w:rPr>
          <w:rFonts w:ascii="Palatino Linotype" w:eastAsia="Palatino Linotype" w:hAnsi="Palatino Linotype" w:cs="Palatino Linotype"/>
          <w:sz w:val="22"/>
          <w:szCs w:val="22"/>
        </w:rPr>
        <w:t xml:space="preserve">Sirve de apoyo a lo anterior, el criterio orientador con clave de control SO/003/2017, emitido por el entonces Instituto Nacional de Transparencia, Acceso a la Información y Protección de Datos Personales, </w:t>
      </w:r>
      <w:proofErr w:type="gramStart"/>
      <w:r w:rsidRPr="00F326FC">
        <w:rPr>
          <w:rFonts w:ascii="Palatino Linotype" w:eastAsia="Palatino Linotype" w:hAnsi="Palatino Linotype" w:cs="Palatino Linotype"/>
          <w:sz w:val="22"/>
          <w:szCs w:val="22"/>
        </w:rPr>
        <w:t>que</w:t>
      </w:r>
      <w:proofErr w:type="gramEnd"/>
      <w:r w:rsidRPr="00F326FC">
        <w:rPr>
          <w:rFonts w:ascii="Palatino Linotype" w:eastAsia="Palatino Linotype" w:hAnsi="Palatino Linotype" w:cs="Palatino Linotype"/>
          <w:sz w:val="22"/>
          <w:szCs w:val="22"/>
        </w:rPr>
        <w:t xml:space="preserve"> por rubro y texto, dispone lo siguiente:</w:t>
      </w:r>
      <w:r w:rsidRPr="00F326FC">
        <w:rPr>
          <w:rFonts w:ascii="Palatino Linotype" w:eastAsia="Palatino Linotype" w:hAnsi="Palatino Linotype" w:cs="Palatino Linotype"/>
          <w:b/>
          <w:sz w:val="22"/>
          <w:szCs w:val="22"/>
        </w:rPr>
        <w:t xml:space="preserve"> </w:t>
      </w:r>
    </w:p>
    <w:p w14:paraId="5C9B83A1" w14:textId="77777777" w:rsidR="00CA384E" w:rsidRPr="00F326FC" w:rsidRDefault="00CA384E" w:rsidP="00CA384E">
      <w:pPr>
        <w:spacing w:before="120" w:after="120"/>
        <w:ind w:left="1134"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No existe obligación de elaborar documentos ad hoc para atender las solicitudes de acceso a la información.</w:t>
      </w:r>
      <w:r w:rsidRPr="00F326FC">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515A050" w14:textId="77777777" w:rsidR="00CA384E" w:rsidRPr="00F326FC" w:rsidRDefault="00CA384E" w:rsidP="00CA384E">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9B3FB53" w14:textId="77777777" w:rsidR="00CA384E" w:rsidRPr="00F326FC" w:rsidRDefault="00CA384E" w:rsidP="00CA384E">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48BD65F6"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 xml:space="preserve">Artículo 3. </w:t>
      </w:r>
      <w:r w:rsidRPr="00F326FC">
        <w:rPr>
          <w:rFonts w:ascii="Palatino Linotype" w:eastAsia="Palatino Linotype" w:hAnsi="Palatino Linotype" w:cs="Palatino Linotype"/>
          <w:i/>
          <w:sz w:val="22"/>
          <w:szCs w:val="22"/>
        </w:rPr>
        <w:t>Para los efectos de la presente Ley se entenderá por:</w:t>
      </w:r>
    </w:p>
    <w:p w14:paraId="24FD5ACC"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26910214"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XI. Documento:</w:t>
      </w:r>
      <w:r w:rsidRPr="00F326FC">
        <w:rPr>
          <w:rFonts w:ascii="Palatino Linotype" w:eastAsia="Palatino Linotype" w:hAnsi="Palatino Linotype" w:cs="Palatino Linotype"/>
          <w:i/>
          <w:sz w:val="22"/>
          <w:szCs w:val="22"/>
        </w:rPr>
        <w:t xml:space="preserve"> Los expedientes, reportes, estudios, actas</w:t>
      </w:r>
      <w:r w:rsidRPr="00F326FC">
        <w:rPr>
          <w:rFonts w:ascii="Palatino Linotype" w:eastAsia="Palatino Linotype" w:hAnsi="Palatino Linotype" w:cs="Palatino Linotype"/>
          <w:b/>
          <w:i/>
          <w:sz w:val="22"/>
          <w:szCs w:val="22"/>
        </w:rPr>
        <w:t>,</w:t>
      </w:r>
      <w:r w:rsidRPr="00F326FC">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2409750F" w14:textId="77777777" w:rsidR="00CA384E" w:rsidRPr="00F326FC" w:rsidRDefault="00CA384E" w:rsidP="00CA384E">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19DC9858"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sz w:val="22"/>
          <w:szCs w:val="22"/>
        </w:rPr>
        <w:t>“</w:t>
      </w:r>
      <w:r w:rsidRPr="00F326FC">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F326FC">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ECD1DEB"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En </w:t>
      </w:r>
      <w:proofErr w:type="gramStart"/>
      <w:r w:rsidRPr="00F326FC">
        <w:rPr>
          <w:rFonts w:ascii="Palatino Linotype" w:eastAsia="Palatino Linotype" w:hAnsi="Palatino Linotype" w:cs="Palatino Linotype"/>
          <w:i/>
          <w:sz w:val="22"/>
          <w:szCs w:val="22"/>
        </w:rPr>
        <w:t>consecuencia</w:t>
      </w:r>
      <w:proofErr w:type="gramEnd"/>
      <w:r w:rsidRPr="00F326FC">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5E0191D1"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1) Que se trate de información registrada en cualquier soporte documental, </w:t>
      </w:r>
      <w:proofErr w:type="gramStart"/>
      <w:r w:rsidRPr="00F326FC">
        <w:rPr>
          <w:rFonts w:ascii="Palatino Linotype" w:eastAsia="Palatino Linotype" w:hAnsi="Palatino Linotype" w:cs="Palatino Linotype"/>
          <w:i/>
          <w:sz w:val="22"/>
          <w:szCs w:val="22"/>
        </w:rPr>
        <w:t>que</w:t>
      </w:r>
      <w:proofErr w:type="gramEnd"/>
      <w:r w:rsidRPr="00F326FC">
        <w:rPr>
          <w:rFonts w:ascii="Palatino Linotype" w:eastAsia="Palatino Linotype" w:hAnsi="Palatino Linotype" w:cs="Palatino Linotype"/>
          <w:i/>
          <w:sz w:val="22"/>
          <w:szCs w:val="22"/>
        </w:rPr>
        <w:t xml:space="preserve"> en ejercicio de las atribuciones conferidas, sea generada por los Sujetos Obligados;</w:t>
      </w:r>
    </w:p>
    <w:p w14:paraId="7D43E9C5"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2) Que se trate de información registrada en cualquier soporte documental, </w:t>
      </w:r>
      <w:proofErr w:type="gramStart"/>
      <w:r w:rsidRPr="00F326FC">
        <w:rPr>
          <w:rFonts w:ascii="Palatino Linotype" w:eastAsia="Palatino Linotype" w:hAnsi="Palatino Linotype" w:cs="Palatino Linotype"/>
          <w:i/>
          <w:sz w:val="22"/>
          <w:szCs w:val="22"/>
        </w:rPr>
        <w:t>que</w:t>
      </w:r>
      <w:proofErr w:type="gramEnd"/>
      <w:r w:rsidRPr="00F326FC">
        <w:rPr>
          <w:rFonts w:ascii="Palatino Linotype" w:eastAsia="Palatino Linotype" w:hAnsi="Palatino Linotype" w:cs="Palatino Linotype"/>
          <w:i/>
          <w:sz w:val="22"/>
          <w:szCs w:val="22"/>
        </w:rPr>
        <w:t xml:space="preserve"> en ejercicio de las atribuciones conferidas, sea administrada por los Sujetos Obligados, y</w:t>
      </w:r>
    </w:p>
    <w:p w14:paraId="316C2B85" w14:textId="77777777" w:rsidR="00CA384E" w:rsidRPr="00F326FC" w:rsidRDefault="00CA384E" w:rsidP="00CA384E">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3) Que se trate de información registrada en cualquier soporte documental, </w:t>
      </w:r>
      <w:proofErr w:type="gramStart"/>
      <w:r w:rsidRPr="00F326FC">
        <w:rPr>
          <w:rFonts w:ascii="Palatino Linotype" w:eastAsia="Palatino Linotype" w:hAnsi="Palatino Linotype" w:cs="Palatino Linotype"/>
          <w:i/>
          <w:sz w:val="22"/>
          <w:szCs w:val="22"/>
        </w:rPr>
        <w:t>que</w:t>
      </w:r>
      <w:proofErr w:type="gramEnd"/>
      <w:r w:rsidRPr="00F326FC">
        <w:rPr>
          <w:rFonts w:ascii="Palatino Linotype" w:eastAsia="Palatino Linotype" w:hAnsi="Palatino Linotype" w:cs="Palatino Linotype"/>
          <w:i/>
          <w:sz w:val="22"/>
          <w:szCs w:val="22"/>
        </w:rPr>
        <w:t xml:space="preserve"> en ejercicio de las atribuciones conferidas, se encuentre en posesión de los Sujetos Obligados.”</w:t>
      </w:r>
    </w:p>
    <w:p w14:paraId="1DCE5806" w14:textId="77777777" w:rsidR="00CA384E" w:rsidRPr="00F326FC" w:rsidRDefault="00CA384E" w:rsidP="00CA384E">
      <w:pPr>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0139555" w14:textId="77777777" w:rsidR="00CA384E" w:rsidRPr="00F326FC" w:rsidRDefault="00CA384E" w:rsidP="00CA384E">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778D366B" w14:textId="77777777" w:rsidR="00CA384E" w:rsidRPr="00F326FC" w:rsidRDefault="00CA384E" w:rsidP="00CA384E">
      <w:pPr>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Ahora bien, del análisis de las solicitudes de información, motivo de los recursos de revisión que ahora se resuelven, se advierte que la parte </w:t>
      </w:r>
      <w:r w:rsidRPr="00F326FC">
        <w:rPr>
          <w:rFonts w:ascii="Palatino Linotype" w:eastAsia="Palatino Linotype" w:hAnsi="Palatino Linotype" w:cs="Palatino Linotype"/>
          <w:b/>
          <w:sz w:val="22"/>
          <w:szCs w:val="22"/>
        </w:rPr>
        <w:t>Recurrente</w:t>
      </w:r>
      <w:r w:rsidRPr="00F326FC">
        <w:rPr>
          <w:rFonts w:ascii="Palatino Linotype" w:eastAsia="Palatino Linotype" w:hAnsi="Palatino Linotype" w:cs="Palatino Linotype"/>
          <w:sz w:val="22"/>
          <w:szCs w:val="22"/>
        </w:rPr>
        <w:t xml:space="preserve"> requirió al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le proporcione lo siguiente:</w:t>
      </w:r>
    </w:p>
    <w:p w14:paraId="1A3AFFF8" w14:textId="4FF07073" w:rsidR="00CE5A4B" w:rsidRPr="00F326FC" w:rsidRDefault="00CE5A4B" w:rsidP="00CE5A4B">
      <w:pPr>
        <w:spacing w:before="240" w:after="240" w:line="360" w:lineRule="auto"/>
        <w:ind w:left="284"/>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1. Cantidad de solicitudes de información que fueron recibidas en el ayuntamiento y respondidas durante los ejercicios 2018, 2019, 2020, 2021, 2022,2023, 2024 </w:t>
      </w:r>
      <w:r w:rsidR="00275038" w:rsidRPr="00F326FC">
        <w:rPr>
          <w:rFonts w:ascii="Palatino Linotype" w:eastAsia="Palatino Linotype" w:hAnsi="Palatino Linotype" w:cs="Palatino Linotype"/>
          <w:sz w:val="22"/>
          <w:szCs w:val="22"/>
        </w:rPr>
        <w:t xml:space="preserve">y primer semestre de </w:t>
      </w:r>
      <w:r w:rsidRPr="00F326FC">
        <w:rPr>
          <w:rFonts w:ascii="Palatino Linotype" w:eastAsia="Palatino Linotype" w:hAnsi="Palatino Linotype" w:cs="Palatino Linotype"/>
          <w:sz w:val="22"/>
          <w:szCs w:val="22"/>
        </w:rPr>
        <w:t>2025.</w:t>
      </w:r>
    </w:p>
    <w:p w14:paraId="13A64F13" w14:textId="6CCF524F" w:rsidR="00CE5A4B" w:rsidRPr="00F326FC" w:rsidRDefault="00CE5A4B" w:rsidP="00CE5A4B">
      <w:pPr>
        <w:spacing w:before="240" w:after="240" w:line="360" w:lineRule="auto"/>
        <w:ind w:left="284"/>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2. Qué sanciones aplican a los servidores públicos y/o sujetos obligados que incumplen con la publicación de la información que exige la plataforma nacional de transparencia o que evadan dar respuestas a las solicitudes de información de forma clara, oportuna y comprobable, especifique por favor con detalle y señale disposiciones legales aplicables.</w:t>
      </w:r>
    </w:p>
    <w:p w14:paraId="260978F8" w14:textId="3A747F33" w:rsidR="007C4F76" w:rsidRPr="00F326FC" w:rsidRDefault="001F63A8" w:rsidP="006E00E6">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En respuesta, por conducto de la </w:t>
      </w:r>
      <w:r w:rsidR="007C4F76" w:rsidRPr="00F326FC">
        <w:rPr>
          <w:rFonts w:ascii="Palatino Linotype" w:eastAsia="Palatino Linotype" w:hAnsi="Palatino Linotype" w:cs="Palatino Linotype"/>
          <w:sz w:val="22"/>
          <w:szCs w:val="22"/>
        </w:rPr>
        <w:t>Unidad de Transparencia,</w:t>
      </w:r>
      <w:r w:rsidR="006D6D5A" w:rsidRPr="00F326FC">
        <w:rPr>
          <w:rFonts w:ascii="Palatino Linotype" w:eastAsia="Palatino Linotype" w:hAnsi="Palatino Linotype" w:cs="Palatino Linotype"/>
          <w:sz w:val="22"/>
          <w:szCs w:val="22"/>
        </w:rPr>
        <w:t xml:space="preserve"> </w:t>
      </w:r>
      <w:r w:rsidR="00EE5EDD" w:rsidRPr="00F326FC">
        <w:rPr>
          <w:rFonts w:ascii="Palatino Linotype" w:eastAsia="Palatino Linotype" w:hAnsi="Palatino Linotype" w:cs="Palatino Linotype"/>
          <w:sz w:val="22"/>
          <w:szCs w:val="22"/>
        </w:rPr>
        <w:t xml:space="preserve">respecto al punto 1 de la solicitud, </w:t>
      </w:r>
      <w:r w:rsidR="006D6D5A" w:rsidRPr="00F326FC">
        <w:rPr>
          <w:rFonts w:ascii="Palatino Linotype" w:eastAsia="Palatino Linotype" w:hAnsi="Palatino Linotype" w:cs="Palatino Linotype"/>
          <w:sz w:val="22"/>
          <w:szCs w:val="22"/>
        </w:rPr>
        <w:t xml:space="preserve">señaló que no se encontró </w:t>
      </w:r>
      <w:r w:rsidR="00EE5EDD" w:rsidRPr="00F326FC">
        <w:rPr>
          <w:rFonts w:ascii="Palatino Linotype" w:eastAsia="Palatino Linotype" w:hAnsi="Palatino Linotype" w:cs="Palatino Linotype"/>
          <w:sz w:val="22"/>
          <w:szCs w:val="22"/>
        </w:rPr>
        <w:t xml:space="preserve">información alguna del ejercicio 2018, cuya inexistencia se sustenta con el Acta de la Noningentésima Vigésima Novena Sesión Extraordinaria 2025 del Comité de Transparencia, </w:t>
      </w:r>
      <w:r w:rsidR="007C4F76" w:rsidRPr="00F326FC">
        <w:rPr>
          <w:rFonts w:ascii="Palatino Linotype" w:eastAsia="Palatino Linotype" w:hAnsi="Palatino Linotype" w:cs="Palatino Linotype"/>
          <w:sz w:val="22"/>
          <w:szCs w:val="22"/>
        </w:rPr>
        <w:t xml:space="preserve">proporcionó </w:t>
      </w:r>
      <w:r w:rsidR="002A3A90" w:rsidRPr="00F326FC">
        <w:rPr>
          <w:rFonts w:ascii="Palatino Linotype" w:eastAsia="Palatino Linotype" w:hAnsi="Palatino Linotype" w:cs="Palatino Linotype"/>
          <w:sz w:val="22"/>
          <w:szCs w:val="22"/>
        </w:rPr>
        <w:t>el número de solicitudes recibidas en los ejercicios 2019, 2020, 2021, 2022, 2023 y 2024</w:t>
      </w:r>
      <w:r w:rsidR="006E00E6" w:rsidRPr="00F326FC">
        <w:rPr>
          <w:rFonts w:ascii="Palatino Linotype" w:eastAsia="Palatino Linotype" w:hAnsi="Palatino Linotype" w:cs="Palatino Linotype"/>
          <w:sz w:val="22"/>
          <w:szCs w:val="22"/>
        </w:rPr>
        <w:t>; y respecto del punto 2 de la solicitud refirió como fundamento legal los artículos 222 y 223 de la Ley de Transparencia y Acceso a la Información Pública del Estado de México y Municipios.</w:t>
      </w:r>
    </w:p>
    <w:p w14:paraId="72B91EDD" w14:textId="77777777" w:rsidR="008D013F" w:rsidRPr="00F326FC" w:rsidRDefault="00BE4209" w:rsidP="005613A2">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Sin embargo, al no estar conforme con los términos de la respuesta proporcionada, la parte </w:t>
      </w:r>
      <w:r w:rsidRPr="00F326FC">
        <w:rPr>
          <w:rFonts w:ascii="Palatino Linotype" w:eastAsia="Palatino Linotype" w:hAnsi="Palatino Linotype" w:cs="Palatino Linotype"/>
          <w:b/>
          <w:sz w:val="22"/>
          <w:szCs w:val="22"/>
        </w:rPr>
        <w:t xml:space="preserve">Recurrente </w:t>
      </w:r>
      <w:r w:rsidRPr="00F326FC">
        <w:rPr>
          <w:rFonts w:ascii="Palatino Linotype" w:eastAsia="Palatino Linotype" w:hAnsi="Palatino Linotype" w:cs="Palatino Linotype"/>
          <w:sz w:val="22"/>
          <w:szCs w:val="22"/>
        </w:rPr>
        <w:t xml:space="preserve">presentó el recurso de revisión que nos ocupa, </w:t>
      </w:r>
      <w:r w:rsidR="00D41A71" w:rsidRPr="00F326FC">
        <w:rPr>
          <w:rFonts w:ascii="Palatino Linotype" w:eastAsia="Palatino Linotype" w:hAnsi="Palatino Linotype" w:cs="Palatino Linotype"/>
          <w:sz w:val="22"/>
          <w:szCs w:val="22"/>
        </w:rPr>
        <w:t xml:space="preserve">donde alegó </w:t>
      </w:r>
      <w:r w:rsidR="00C77299" w:rsidRPr="00F326FC">
        <w:rPr>
          <w:rFonts w:ascii="Palatino Linotype" w:eastAsia="Palatino Linotype" w:hAnsi="Palatino Linotype" w:cs="Palatino Linotype"/>
          <w:sz w:val="22"/>
          <w:szCs w:val="22"/>
        </w:rPr>
        <w:t xml:space="preserve">que la </w:t>
      </w:r>
      <w:r w:rsidR="008D013F" w:rsidRPr="00F326FC">
        <w:rPr>
          <w:rFonts w:ascii="Palatino Linotype" w:eastAsia="Palatino Linotype" w:hAnsi="Palatino Linotype" w:cs="Palatino Linotype"/>
          <w:sz w:val="22"/>
          <w:szCs w:val="22"/>
        </w:rPr>
        <w:t>Unidad de Transparencia no entregó la información.</w:t>
      </w:r>
    </w:p>
    <w:p w14:paraId="12C996CA" w14:textId="4B6E267B" w:rsidR="00426B2D" w:rsidRPr="00F326FC" w:rsidRDefault="00426B2D" w:rsidP="00426B2D">
      <w:pPr>
        <w:spacing w:before="240" w:after="240" w:line="360" w:lineRule="auto"/>
        <w:jc w:val="both"/>
        <w:rPr>
          <w:rFonts w:ascii="Palatino Linotype" w:eastAsia="Palatino Linotype" w:hAnsi="Palatino Linotype" w:cs="Palatino Linotype"/>
          <w:b/>
          <w:sz w:val="22"/>
          <w:szCs w:val="22"/>
          <w:u w:val="single"/>
        </w:rPr>
      </w:pPr>
      <w:r w:rsidRPr="00F326FC">
        <w:rPr>
          <w:rFonts w:ascii="Palatino Linotype" w:eastAsia="Palatino Linotype" w:hAnsi="Palatino Linotype" w:cs="Palatino Linotype"/>
          <w:sz w:val="22"/>
          <w:szCs w:val="22"/>
        </w:rPr>
        <w:t>En</w:t>
      </w:r>
      <w:r w:rsidR="0042102E" w:rsidRPr="00F326FC">
        <w:rPr>
          <w:rFonts w:ascii="Palatino Linotype" w:eastAsia="Palatino Linotype" w:hAnsi="Palatino Linotype" w:cs="Palatino Linotype"/>
          <w:sz w:val="22"/>
          <w:szCs w:val="22"/>
        </w:rPr>
        <w:t xml:space="preserve"> la etapa de manifestaciones la Unidad de Transparencia ratificó en lo sustancial la respuesta proporcionada en primera instancia</w:t>
      </w:r>
    </w:p>
    <w:p w14:paraId="12AB3CB8" w14:textId="77777777" w:rsidR="00736820" w:rsidRPr="00F326FC" w:rsidRDefault="00736820" w:rsidP="00736820">
      <w:pPr>
        <w:spacing w:before="280" w:after="28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Una vez establecidas las posturas de las partes, se procede al análisis del requerimiento de información, así como la información proporcionada por el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 xml:space="preserve">en contraposición con el motivo de inconformidad alegado por la parte </w:t>
      </w:r>
      <w:r w:rsidRPr="00F326FC">
        <w:rPr>
          <w:rFonts w:ascii="Palatino Linotype" w:eastAsia="Palatino Linotype" w:hAnsi="Palatino Linotype" w:cs="Palatino Linotype"/>
          <w:b/>
          <w:sz w:val="22"/>
          <w:szCs w:val="22"/>
        </w:rPr>
        <w:t xml:space="preserve">Recurrente, </w:t>
      </w:r>
      <w:r w:rsidRPr="00F326FC">
        <w:rPr>
          <w:rFonts w:ascii="Palatino Linotype" w:eastAsia="Palatino Linotype" w:hAnsi="Palatino Linotype" w:cs="Palatino Linotype"/>
          <w:sz w:val="22"/>
          <w:szCs w:val="22"/>
        </w:rPr>
        <w:t>con la finalidad de determinar si el Derecho de acceso de esta se satisfizo, o en su defecto, señalar los documentos que en el ejercicio de sus atribuciones pudo haber generado, y que, de manera enunciativa más no limitativa, pudieran colmar dicho derecho, en caso de ser procedente.</w:t>
      </w:r>
    </w:p>
    <w:p w14:paraId="36DC928F" w14:textId="371320A1" w:rsidR="00EE61AB" w:rsidRPr="00F326FC" w:rsidRDefault="001273BA" w:rsidP="00C50021">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En este tenor, </w:t>
      </w:r>
      <w:r w:rsidR="00EE61AB" w:rsidRPr="00F326FC">
        <w:rPr>
          <w:rFonts w:ascii="Palatino Linotype" w:eastAsia="Palatino Linotype" w:hAnsi="Palatino Linotype" w:cs="Palatino Linotype"/>
          <w:sz w:val="22"/>
          <w:szCs w:val="22"/>
        </w:rPr>
        <w:t>es de señalar que la solicitud</w:t>
      </w:r>
      <w:r w:rsidR="00C50021" w:rsidRPr="00F326FC">
        <w:rPr>
          <w:rFonts w:ascii="Palatino Linotype" w:eastAsia="Palatino Linotype" w:hAnsi="Palatino Linotype" w:cs="Palatino Linotype"/>
          <w:sz w:val="22"/>
          <w:szCs w:val="22"/>
        </w:rPr>
        <w:t xml:space="preserve"> fue atendida por la Unidad de Transparencia al ser la dependencia responsable de Recibir, tramitar y dar respuesta a las solicitudes de acceso a la </w:t>
      </w:r>
      <w:proofErr w:type="gramStart"/>
      <w:r w:rsidR="00C50021" w:rsidRPr="00F326FC">
        <w:rPr>
          <w:rFonts w:ascii="Palatino Linotype" w:eastAsia="Palatino Linotype" w:hAnsi="Palatino Linotype" w:cs="Palatino Linotype"/>
          <w:sz w:val="22"/>
          <w:szCs w:val="22"/>
        </w:rPr>
        <w:t>información</w:t>
      </w:r>
      <w:proofErr w:type="gramEnd"/>
      <w:r w:rsidR="00C50021" w:rsidRPr="00F326FC">
        <w:rPr>
          <w:rFonts w:ascii="Palatino Linotype" w:eastAsia="Palatino Linotype" w:hAnsi="Palatino Linotype" w:cs="Palatino Linotype"/>
          <w:sz w:val="22"/>
          <w:szCs w:val="22"/>
        </w:rPr>
        <w:t xml:space="preserve"> así como de llevar un registro de las solicitudes de acceso a la información y sus respuestas, de conformidad con los artículos 50 y 53 fracciones II y IX de la Ley de Transparencia y Acceso a la Información Pública del Estado de México y Municipios.</w:t>
      </w:r>
    </w:p>
    <w:p w14:paraId="29AA60A2" w14:textId="4A4C2B45" w:rsidR="007B0317" w:rsidRPr="00F326FC" w:rsidRDefault="007B0317" w:rsidP="00C50021">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De tal manera que, en el ámbito de sus competencias hizo entrega del </w:t>
      </w:r>
      <w:r w:rsidRPr="00F326FC">
        <w:rPr>
          <w:rFonts w:ascii="Palatino Linotype" w:eastAsia="Palatino Linotype" w:hAnsi="Palatino Linotype" w:cs="Palatino Linotype"/>
          <w:b/>
          <w:sz w:val="22"/>
          <w:szCs w:val="22"/>
        </w:rPr>
        <w:t>número de solicitudes recibidas durante los ejercicios 2019, 2020, 2021, 2022, 2023 y 2024</w:t>
      </w:r>
      <w:r w:rsidRPr="00F326FC">
        <w:rPr>
          <w:rFonts w:ascii="Palatino Linotype" w:eastAsia="Palatino Linotype" w:hAnsi="Palatino Linotype" w:cs="Palatino Linotype"/>
          <w:sz w:val="22"/>
          <w:szCs w:val="22"/>
        </w:rPr>
        <w:t>, como a continuación se ilustra:</w:t>
      </w:r>
    </w:p>
    <w:p w14:paraId="1FA55FC3" w14:textId="77777777" w:rsidR="007B0317" w:rsidRPr="00F326FC" w:rsidRDefault="007B0317" w:rsidP="00D51FC3">
      <w:pPr>
        <w:pBdr>
          <w:top w:val="nil"/>
          <w:left w:val="nil"/>
          <w:bottom w:val="nil"/>
          <w:right w:val="nil"/>
          <w:between w:val="nil"/>
        </w:pBdr>
        <w:jc w:val="center"/>
        <w:rPr>
          <w:rFonts w:ascii="Palatino Linotype" w:eastAsia="Palatino Linotype" w:hAnsi="Palatino Linotype" w:cs="Palatino Linotype"/>
          <w:sz w:val="22"/>
          <w:szCs w:val="22"/>
        </w:rPr>
      </w:pPr>
      <w:r w:rsidRPr="00F326FC">
        <w:rPr>
          <w:rFonts w:ascii="Palatino Linotype" w:eastAsia="Palatino Linotype" w:hAnsi="Palatino Linotype" w:cs="Palatino Linotype"/>
          <w:noProof/>
          <w:sz w:val="22"/>
          <w:szCs w:val="22"/>
        </w:rPr>
        <w:drawing>
          <wp:inline distT="0" distB="0" distL="0" distR="0" wp14:anchorId="759BA85D" wp14:editId="56C0B45B">
            <wp:extent cx="1440000" cy="176073"/>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94130"/>
                    <a:stretch/>
                  </pic:blipFill>
                  <pic:spPr bwMode="auto">
                    <a:xfrm>
                      <a:off x="0" y="0"/>
                      <a:ext cx="1440000" cy="176073"/>
                    </a:xfrm>
                    <a:prstGeom prst="rect">
                      <a:avLst/>
                    </a:prstGeom>
                    <a:ln>
                      <a:noFill/>
                    </a:ln>
                    <a:extLst>
                      <a:ext uri="{53640926-AAD7-44D8-BBD7-CCE9431645EC}">
                        <a14:shadowObscured xmlns:a14="http://schemas.microsoft.com/office/drawing/2010/main"/>
                      </a:ext>
                    </a:extLst>
                  </pic:spPr>
                </pic:pic>
              </a:graphicData>
            </a:graphic>
          </wp:inline>
        </w:drawing>
      </w:r>
    </w:p>
    <w:p w14:paraId="35E898D1" w14:textId="77777777" w:rsidR="007B0317" w:rsidRPr="00F326FC" w:rsidRDefault="007B0317" w:rsidP="007B0317">
      <w:pPr>
        <w:pBdr>
          <w:top w:val="nil"/>
          <w:left w:val="nil"/>
          <w:bottom w:val="nil"/>
          <w:right w:val="nil"/>
          <w:between w:val="nil"/>
        </w:pBdr>
        <w:jc w:val="both"/>
        <w:rPr>
          <w:rFonts w:ascii="Palatino Linotype" w:eastAsia="Palatino Linotype" w:hAnsi="Palatino Linotype" w:cs="Palatino Linotype"/>
          <w:sz w:val="22"/>
          <w:szCs w:val="22"/>
        </w:rPr>
      </w:pPr>
    </w:p>
    <w:p w14:paraId="17BA729C" w14:textId="265780DA" w:rsidR="007B0317" w:rsidRPr="00F326FC" w:rsidRDefault="007B0317" w:rsidP="00D51FC3">
      <w:pPr>
        <w:pBdr>
          <w:top w:val="nil"/>
          <w:left w:val="nil"/>
          <w:bottom w:val="nil"/>
          <w:right w:val="nil"/>
          <w:between w:val="nil"/>
        </w:pBdr>
        <w:jc w:val="center"/>
        <w:rPr>
          <w:rFonts w:ascii="Palatino Linotype" w:eastAsia="Palatino Linotype" w:hAnsi="Palatino Linotype" w:cs="Palatino Linotype"/>
          <w:sz w:val="22"/>
          <w:szCs w:val="22"/>
        </w:rPr>
      </w:pPr>
      <w:r w:rsidRPr="00F326FC">
        <w:rPr>
          <w:rFonts w:ascii="Palatino Linotype" w:eastAsia="Palatino Linotype" w:hAnsi="Palatino Linotype" w:cs="Palatino Linotype"/>
          <w:noProof/>
          <w:sz w:val="22"/>
          <w:szCs w:val="22"/>
        </w:rPr>
        <w:drawing>
          <wp:inline distT="0" distB="0" distL="0" distR="0" wp14:anchorId="1DE57247" wp14:editId="0C96B078">
            <wp:extent cx="1440000" cy="1339386"/>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5346"/>
                    <a:stretch/>
                  </pic:blipFill>
                  <pic:spPr bwMode="auto">
                    <a:xfrm>
                      <a:off x="0" y="0"/>
                      <a:ext cx="1440000" cy="1339386"/>
                    </a:xfrm>
                    <a:prstGeom prst="rect">
                      <a:avLst/>
                    </a:prstGeom>
                    <a:ln>
                      <a:noFill/>
                    </a:ln>
                    <a:extLst>
                      <a:ext uri="{53640926-AAD7-44D8-BBD7-CCE9431645EC}">
                        <a14:shadowObscured xmlns:a14="http://schemas.microsoft.com/office/drawing/2010/main"/>
                      </a:ext>
                    </a:extLst>
                  </pic:spPr>
                </pic:pic>
              </a:graphicData>
            </a:graphic>
          </wp:inline>
        </w:drawing>
      </w:r>
    </w:p>
    <w:p w14:paraId="4D330FA5" w14:textId="0EEA455F" w:rsidR="00D51FC3" w:rsidRPr="00F326FC" w:rsidRDefault="00D51FC3" w:rsidP="00C50021">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Y, respecto del ejercicio 2018, manifestó que </w:t>
      </w:r>
      <w:r w:rsidR="00B57D8A" w:rsidRPr="00F326FC">
        <w:rPr>
          <w:rFonts w:ascii="Palatino Linotype" w:eastAsia="Palatino Linotype" w:hAnsi="Palatino Linotype" w:cs="Palatino Linotype"/>
          <w:sz w:val="22"/>
          <w:szCs w:val="22"/>
        </w:rPr>
        <w:t>no se encontró información alguna de dicho ejercicio, por lo que procedió a emitir, por conducto del Comité de Transparencia, el acuerdo de inexistencia de dicha información.</w:t>
      </w:r>
    </w:p>
    <w:p w14:paraId="6E7636F8" w14:textId="275FCD7F" w:rsidR="00651DD1" w:rsidRPr="00F326FC" w:rsidRDefault="00651DD1" w:rsidP="00C50021">
      <w:pPr>
        <w:pBdr>
          <w:top w:val="nil"/>
          <w:left w:val="nil"/>
          <w:bottom w:val="nil"/>
          <w:right w:val="nil"/>
          <w:between w:val="nil"/>
        </w:pBdr>
        <w:spacing w:before="280" w:after="280" w:line="360" w:lineRule="auto"/>
        <w:jc w:val="both"/>
        <w:rPr>
          <w:rFonts w:ascii="Palatino Linotype" w:eastAsia="Palatino Linotype" w:hAnsi="Palatino Linotype" w:cs="Palatino Linotype"/>
          <w:b/>
          <w:sz w:val="22"/>
          <w:szCs w:val="22"/>
        </w:rPr>
      </w:pPr>
      <w:r w:rsidRPr="00F326FC">
        <w:rPr>
          <w:rFonts w:ascii="Palatino Linotype" w:eastAsia="Palatino Linotype" w:hAnsi="Palatino Linotype" w:cs="Palatino Linotype"/>
          <w:sz w:val="22"/>
          <w:szCs w:val="22"/>
        </w:rPr>
        <w:t>No obstante, es de señalar que dicha i</w:t>
      </w:r>
      <w:r w:rsidR="00D51FC3" w:rsidRPr="00F326FC">
        <w:rPr>
          <w:rFonts w:ascii="Palatino Linotype" w:eastAsia="Palatino Linotype" w:hAnsi="Palatino Linotype" w:cs="Palatino Linotype"/>
          <w:sz w:val="22"/>
          <w:szCs w:val="22"/>
        </w:rPr>
        <w:t xml:space="preserve">nformación </w:t>
      </w:r>
      <w:proofErr w:type="gramStart"/>
      <w:r w:rsidR="00D51FC3" w:rsidRPr="00F326FC">
        <w:rPr>
          <w:rFonts w:ascii="Palatino Linotype" w:eastAsia="Palatino Linotype" w:hAnsi="Palatino Linotype" w:cs="Palatino Linotype"/>
          <w:sz w:val="22"/>
          <w:szCs w:val="22"/>
        </w:rPr>
        <w:t>que</w:t>
      </w:r>
      <w:proofErr w:type="gramEnd"/>
      <w:r w:rsidR="00D51FC3" w:rsidRPr="00F326FC">
        <w:rPr>
          <w:rFonts w:ascii="Palatino Linotype" w:eastAsia="Palatino Linotype" w:hAnsi="Palatino Linotype" w:cs="Palatino Linotype"/>
          <w:sz w:val="22"/>
          <w:szCs w:val="22"/>
        </w:rPr>
        <w:t xml:space="preserve"> si bien guarda relación con lo solicitado,</w:t>
      </w:r>
      <w:r w:rsidRPr="00F326FC">
        <w:rPr>
          <w:rFonts w:ascii="Palatino Linotype" w:eastAsia="Palatino Linotype" w:hAnsi="Palatino Linotype" w:cs="Palatino Linotype"/>
          <w:sz w:val="22"/>
          <w:szCs w:val="22"/>
        </w:rPr>
        <w:t xml:space="preserve"> satisface parcialmente el requerimiento de información en análisis, </w:t>
      </w:r>
      <w:r w:rsidRPr="00F326FC">
        <w:rPr>
          <w:rFonts w:ascii="Palatino Linotype" w:eastAsia="Palatino Linotype" w:hAnsi="Palatino Linotype" w:cs="Palatino Linotype"/>
          <w:b/>
          <w:sz w:val="22"/>
          <w:szCs w:val="22"/>
        </w:rPr>
        <w:t>al no haberse pronunciado respecto de</w:t>
      </w:r>
      <w:r w:rsidR="008C415F" w:rsidRPr="00F326FC">
        <w:rPr>
          <w:rFonts w:ascii="Palatino Linotype" w:eastAsia="Palatino Linotype" w:hAnsi="Palatino Linotype" w:cs="Palatino Linotype"/>
          <w:b/>
          <w:sz w:val="22"/>
          <w:szCs w:val="22"/>
        </w:rPr>
        <w:t xml:space="preserve">l número de </w:t>
      </w:r>
      <w:r w:rsidRPr="00F326FC">
        <w:rPr>
          <w:rFonts w:ascii="Palatino Linotype" w:eastAsia="Palatino Linotype" w:hAnsi="Palatino Linotype" w:cs="Palatino Linotype"/>
          <w:b/>
          <w:sz w:val="22"/>
          <w:szCs w:val="22"/>
          <w:u w:val="single"/>
        </w:rPr>
        <w:t xml:space="preserve">solicitudes recibidas </w:t>
      </w:r>
      <w:r w:rsidR="00275038" w:rsidRPr="00F326FC">
        <w:rPr>
          <w:rFonts w:ascii="Palatino Linotype" w:eastAsia="Palatino Linotype" w:hAnsi="Palatino Linotype" w:cs="Palatino Linotype"/>
          <w:b/>
          <w:sz w:val="22"/>
          <w:szCs w:val="22"/>
          <w:u w:val="single"/>
        </w:rPr>
        <w:t>en el primer semestre de</w:t>
      </w:r>
      <w:r w:rsidRPr="00F326FC">
        <w:rPr>
          <w:rFonts w:ascii="Palatino Linotype" w:eastAsia="Palatino Linotype" w:hAnsi="Palatino Linotype" w:cs="Palatino Linotype"/>
          <w:b/>
          <w:sz w:val="22"/>
          <w:szCs w:val="22"/>
          <w:u w:val="single"/>
        </w:rPr>
        <w:t xml:space="preserve"> </w:t>
      </w:r>
      <w:r w:rsidR="00092018" w:rsidRPr="00F326FC">
        <w:rPr>
          <w:rFonts w:ascii="Palatino Linotype" w:eastAsia="Palatino Linotype" w:hAnsi="Palatino Linotype" w:cs="Palatino Linotype"/>
          <w:b/>
          <w:sz w:val="22"/>
          <w:szCs w:val="22"/>
          <w:u w:val="single"/>
        </w:rPr>
        <w:t>2025</w:t>
      </w:r>
      <w:r w:rsidRPr="00F326FC">
        <w:rPr>
          <w:rFonts w:ascii="Palatino Linotype" w:eastAsia="Palatino Linotype" w:hAnsi="Palatino Linotype" w:cs="Palatino Linotype"/>
          <w:b/>
          <w:sz w:val="22"/>
          <w:szCs w:val="22"/>
        </w:rPr>
        <w:t xml:space="preserve">, </w:t>
      </w:r>
      <w:r w:rsidRPr="00F326FC">
        <w:rPr>
          <w:rFonts w:ascii="Palatino Linotype" w:eastAsia="Palatino Linotype" w:hAnsi="Palatino Linotype" w:cs="Palatino Linotype"/>
          <w:sz w:val="22"/>
          <w:szCs w:val="22"/>
        </w:rPr>
        <w:t xml:space="preserve">así como </w:t>
      </w:r>
      <w:r w:rsidRPr="00F326FC">
        <w:rPr>
          <w:rFonts w:ascii="Palatino Linotype" w:eastAsia="Palatino Linotype" w:hAnsi="Palatino Linotype" w:cs="Palatino Linotype"/>
          <w:b/>
          <w:sz w:val="22"/>
          <w:szCs w:val="22"/>
        </w:rPr>
        <w:t>de</w:t>
      </w:r>
      <w:r w:rsidR="008C415F" w:rsidRPr="00F326FC">
        <w:rPr>
          <w:rFonts w:ascii="Palatino Linotype" w:eastAsia="Palatino Linotype" w:hAnsi="Palatino Linotype" w:cs="Palatino Linotype"/>
          <w:b/>
          <w:sz w:val="22"/>
          <w:szCs w:val="22"/>
        </w:rPr>
        <w:t>l número de</w:t>
      </w:r>
      <w:r w:rsidR="00401B0D" w:rsidRPr="00F326FC">
        <w:rPr>
          <w:rFonts w:ascii="Palatino Linotype" w:eastAsia="Palatino Linotype" w:hAnsi="Palatino Linotype" w:cs="Palatino Linotype"/>
          <w:b/>
          <w:sz w:val="22"/>
          <w:szCs w:val="22"/>
        </w:rPr>
        <w:t xml:space="preserve"> solicitudes </w:t>
      </w:r>
      <w:r w:rsidR="00401B0D" w:rsidRPr="00F326FC">
        <w:rPr>
          <w:rFonts w:ascii="Palatino Linotype" w:eastAsia="Palatino Linotype" w:hAnsi="Palatino Linotype" w:cs="Palatino Linotype"/>
          <w:b/>
          <w:sz w:val="22"/>
          <w:szCs w:val="22"/>
          <w:u w:val="single"/>
        </w:rPr>
        <w:t>respondidas o atendidas</w:t>
      </w:r>
      <w:r w:rsidR="00401B0D" w:rsidRPr="00F326FC">
        <w:rPr>
          <w:rFonts w:ascii="Palatino Linotype" w:eastAsia="Palatino Linotype" w:hAnsi="Palatino Linotype" w:cs="Palatino Linotype"/>
          <w:b/>
          <w:sz w:val="22"/>
          <w:szCs w:val="22"/>
        </w:rPr>
        <w:t xml:space="preserve"> en los ejercicios 2018, 2019, 2020, 2021, 2022, 2023, 2024 y </w:t>
      </w:r>
      <w:r w:rsidR="00275038" w:rsidRPr="00F326FC">
        <w:rPr>
          <w:rFonts w:ascii="Palatino Linotype" w:eastAsia="Palatino Linotype" w:hAnsi="Palatino Linotype" w:cs="Palatino Linotype"/>
          <w:b/>
          <w:sz w:val="22"/>
          <w:szCs w:val="22"/>
        </w:rPr>
        <w:t>del primer semestre</w:t>
      </w:r>
      <w:r w:rsidR="00092018" w:rsidRPr="00F326FC">
        <w:rPr>
          <w:rFonts w:ascii="Palatino Linotype" w:eastAsia="Palatino Linotype" w:hAnsi="Palatino Linotype" w:cs="Palatino Linotype"/>
          <w:b/>
          <w:sz w:val="22"/>
          <w:szCs w:val="22"/>
        </w:rPr>
        <w:t xml:space="preserve"> de 2025.</w:t>
      </w:r>
    </w:p>
    <w:p w14:paraId="0ACE2DC9" w14:textId="36534FF2" w:rsidR="00F50CC5" w:rsidRPr="00F326FC" w:rsidRDefault="008C415F" w:rsidP="00C50021">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Asimismo, por respecto de la declaratoria de inexistencia del número de solicitudes recibidas en el ejercicio 2018, es de señalar que </w:t>
      </w:r>
      <w:r w:rsidR="00C61DA2" w:rsidRPr="00F326FC">
        <w:rPr>
          <w:rFonts w:ascii="Palatino Linotype" w:eastAsia="Palatino Linotype" w:hAnsi="Palatino Linotype" w:cs="Palatino Linotype"/>
          <w:sz w:val="22"/>
          <w:szCs w:val="22"/>
        </w:rPr>
        <w:t xml:space="preserve">del análisis de dicho acuerdo se concluyó que este </w:t>
      </w:r>
      <w:r w:rsidR="00C61DA2" w:rsidRPr="00F326FC">
        <w:rPr>
          <w:rFonts w:ascii="Palatino Linotype" w:eastAsia="Palatino Linotype" w:hAnsi="Palatino Linotype" w:cs="Palatino Linotype"/>
          <w:b/>
          <w:sz w:val="22"/>
          <w:szCs w:val="22"/>
        </w:rPr>
        <w:t>no expone de manera clara l</w:t>
      </w:r>
      <w:r w:rsidR="00C61DA2" w:rsidRPr="00F326FC">
        <w:rPr>
          <w:rFonts w:ascii="Palatino Linotype" w:eastAsia="Palatino Linotype" w:hAnsi="Palatino Linotype" w:cs="Palatino Linotype"/>
          <w:b/>
          <w:sz w:val="22"/>
          <w:szCs w:val="22"/>
          <w:u w:val="single"/>
        </w:rPr>
        <w:t>as razones por las cuales no se localizó información</w:t>
      </w:r>
      <w:r w:rsidR="00C61DA2" w:rsidRPr="00F326FC">
        <w:rPr>
          <w:rFonts w:ascii="Palatino Linotype" w:eastAsia="Palatino Linotype" w:hAnsi="Palatino Linotype" w:cs="Palatino Linotype"/>
          <w:b/>
          <w:sz w:val="22"/>
          <w:szCs w:val="22"/>
        </w:rPr>
        <w:t xml:space="preserve">, así como </w:t>
      </w:r>
      <w:r w:rsidR="00C61DA2" w:rsidRPr="00F326FC">
        <w:rPr>
          <w:rFonts w:ascii="Palatino Linotype" w:eastAsia="Palatino Linotype" w:hAnsi="Palatino Linotype" w:cs="Palatino Linotype"/>
          <w:b/>
          <w:sz w:val="22"/>
          <w:szCs w:val="22"/>
          <w:u w:val="single"/>
        </w:rPr>
        <w:t xml:space="preserve">tampoco precisa las áreas en las cuales se realizó la </w:t>
      </w:r>
      <w:r w:rsidR="00F50CC5" w:rsidRPr="00F326FC">
        <w:rPr>
          <w:rFonts w:ascii="Palatino Linotype" w:eastAsia="Palatino Linotype" w:hAnsi="Palatino Linotype" w:cs="Palatino Linotype"/>
          <w:b/>
          <w:sz w:val="22"/>
          <w:szCs w:val="22"/>
          <w:u w:val="single"/>
        </w:rPr>
        <w:t>búsqueda</w:t>
      </w:r>
      <w:r w:rsidR="00F50CC5" w:rsidRPr="00F326FC">
        <w:rPr>
          <w:rFonts w:ascii="Palatino Linotype" w:eastAsia="Palatino Linotype" w:hAnsi="Palatino Linotype" w:cs="Palatino Linotype"/>
          <w:sz w:val="22"/>
          <w:szCs w:val="22"/>
        </w:rPr>
        <w:t xml:space="preserve">, o si esta se instauró en los archivos físicos y electrónicos a cargo de la Unidad de Transparencia, así como en el archivo de trámite, concentración e histórico, sin perder de vista que </w:t>
      </w:r>
      <w:r w:rsidR="00F50CC5" w:rsidRPr="00F326FC">
        <w:rPr>
          <w:rFonts w:ascii="Palatino Linotype" w:eastAsia="Palatino Linotype" w:hAnsi="Palatino Linotype" w:cs="Palatino Linotype"/>
          <w:b/>
          <w:sz w:val="22"/>
          <w:szCs w:val="22"/>
        </w:rPr>
        <w:t xml:space="preserve">una de las razones por las cuales alegó la inexistencia de la información, </w:t>
      </w:r>
      <w:r w:rsidR="00F50CC5" w:rsidRPr="00F326FC">
        <w:rPr>
          <w:rFonts w:ascii="Palatino Linotype" w:eastAsia="Palatino Linotype" w:hAnsi="Palatino Linotype" w:cs="Palatino Linotype"/>
          <w:b/>
          <w:sz w:val="22"/>
          <w:szCs w:val="22"/>
          <w:u w:val="single"/>
        </w:rPr>
        <w:t>lo es que esta no se generó</w:t>
      </w:r>
      <w:r w:rsidR="00732D13" w:rsidRPr="00F326FC">
        <w:rPr>
          <w:rFonts w:ascii="Palatino Linotype" w:eastAsia="Palatino Linotype" w:hAnsi="Palatino Linotype" w:cs="Palatino Linotype"/>
          <w:b/>
          <w:sz w:val="22"/>
          <w:szCs w:val="22"/>
        </w:rPr>
        <w:t xml:space="preserve">, </w:t>
      </w:r>
      <w:r w:rsidR="00732D13" w:rsidRPr="00F326FC">
        <w:rPr>
          <w:rFonts w:ascii="Palatino Linotype" w:eastAsia="Palatino Linotype" w:hAnsi="Palatino Linotype" w:cs="Palatino Linotype"/>
          <w:sz w:val="22"/>
          <w:szCs w:val="22"/>
        </w:rPr>
        <w:t>por lo tanto, no puede tenerse por válida dicha declaratoria de inexistencia.</w:t>
      </w:r>
    </w:p>
    <w:p w14:paraId="67246124" w14:textId="52DDE915" w:rsidR="00F50CC5" w:rsidRPr="00F326FC" w:rsidRDefault="00F50CC5" w:rsidP="00C50021">
      <w:pPr>
        <w:pBdr>
          <w:top w:val="nil"/>
          <w:left w:val="nil"/>
          <w:bottom w:val="nil"/>
          <w:right w:val="nil"/>
          <w:between w:val="nil"/>
        </w:pBdr>
        <w:spacing w:before="280" w:after="280" w:line="360" w:lineRule="auto"/>
        <w:jc w:val="both"/>
        <w:rPr>
          <w:rFonts w:ascii="Palatino Linotype" w:hAnsi="Palatino Linotype"/>
          <w:sz w:val="22"/>
          <w:szCs w:val="22"/>
        </w:rPr>
      </w:pPr>
      <w:r w:rsidRPr="00F326FC">
        <w:rPr>
          <w:rFonts w:ascii="Palatino Linotype" w:eastAsia="Palatino Linotype" w:hAnsi="Palatino Linotype" w:cs="Palatino Linotype"/>
          <w:sz w:val="22"/>
          <w:szCs w:val="22"/>
        </w:rPr>
        <w:t xml:space="preserve">Al respecto, es de suma importancia mencionar que la información solicitada, se relaciona con la obligación de transparencia prevista en la fracción XVII del artículo 92 de la </w:t>
      </w:r>
      <w:r w:rsidRPr="00F326FC">
        <w:rPr>
          <w:rFonts w:ascii="Palatino Linotype" w:hAnsi="Palatino Linotype"/>
          <w:sz w:val="22"/>
          <w:szCs w:val="22"/>
        </w:rPr>
        <w:t>Ley de Transparencia y Acceso a la Información Pública del Estado de México y Municipios, que dispone lo siguiente:</w:t>
      </w:r>
    </w:p>
    <w:p w14:paraId="2ACFF00F" w14:textId="3F5F001C" w:rsidR="00F50CC5" w:rsidRPr="00F326FC" w:rsidRDefault="00F50CC5" w:rsidP="00F50CC5">
      <w:pPr>
        <w:pBdr>
          <w:top w:val="nil"/>
          <w:left w:val="nil"/>
          <w:bottom w:val="nil"/>
          <w:right w:val="nil"/>
          <w:between w:val="nil"/>
        </w:pBdr>
        <w:spacing w:before="120" w:after="120"/>
        <w:ind w:left="851" w:right="902"/>
        <w:jc w:val="both"/>
        <w:rPr>
          <w:rFonts w:ascii="Palatino Linotype" w:hAnsi="Palatino Linotype"/>
          <w:i/>
          <w:sz w:val="22"/>
          <w:szCs w:val="22"/>
        </w:rPr>
      </w:pPr>
      <w:r w:rsidRPr="00F326FC">
        <w:rPr>
          <w:rFonts w:ascii="Palatino Linotype" w:hAnsi="Palatino Linotype"/>
          <w:i/>
          <w:sz w:val="22"/>
          <w:szCs w:val="22"/>
        </w:rPr>
        <w:t>“</w:t>
      </w:r>
      <w:r w:rsidRPr="00F326FC">
        <w:rPr>
          <w:rFonts w:ascii="Palatino Linotype" w:hAnsi="Palatino Linotype"/>
          <w:b/>
          <w:i/>
          <w:sz w:val="22"/>
          <w:szCs w:val="22"/>
        </w:rPr>
        <w:t>Artículo 92</w:t>
      </w:r>
      <w:r w:rsidRPr="00F326FC">
        <w:rPr>
          <w:rFonts w:ascii="Palatino Linotype" w:hAnsi="Palatino Linotype"/>
          <w:i/>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F7F6561" w14:textId="4016DB7B" w:rsidR="00F50CC5" w:rsidRPr="00F326FC" w:rsidRDefault="00F50CC5" w:rsidP="00F50CC5">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hAnsi="Palatino Linotype"/>
          <w:i/>
          <w:sz w:val="22"/>
          <w:szCs w:val="22"/>
        </w:rPr>
        <w:t>...</w:t>
      </w:r>
    </w:p>
    <w:p w14:paraId="063940FA" w14:textId="43EBB242" w:rsidR="00F50CC5" w:rsidRPr="00F326FC" w:rsidRDefault="00F50CC5" w:rsidP="00F50CC5">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hAnsi="Palatino Linotype"/>
          <w:b/>
          <w:i/>
          <w:sz w:val="22"/>
          <w:szCs w:val="22"/>
        </w:rPr>
        <w:t xml:space="preserve">XVII. </w:t>
      </w:r>
      <w:r w:rsidRPr="00F326FC">
        <w:rPr>
          <w:rFonts w:ascii="Palatino Linotype" w:hAnsi="Palatino Linotype"/>
          <w:i/>
          <w:sz w:val="22"/>
          <w:szCs w:val="22"/>
        </w:rPr>
        <w:t xml:space="preserve">Dirección electrónica donde podrán recibirse las </w:t>
      </w:r>
      <w:r w:rsidRPr="00F326FC">
        <w:rPr>
          <w:rFonts w:ascii="Palatino Linotype" w:hAnsi="Palatino Linotype"/>
          <w:b/>
          <w:i/>
          <w:sz w:val="22"/>
          <w:szCs w:val="22"/>
        </w:rPr>
        <w:t>solicitudes para obtener la información</w:t>
      </w:r>
      <w:r w:rsidRPr="00F326FC">
        <w:rPr>
          <w:rFonts w:ascii="Palatino Linotype" w:hAnsi="Palatino Linotype"/>
          <w:i/>
          <w:sz w:val="22"/>
          <w:szCs w:val="22"/>
        </w:rPr>
        <w:t xml:space="preserve">, así como </w:t>
      </w:r>
      <w:r w:rsidRPr="00F326FC">
        <w:rPr>
          <w:rFonts w:ascii="Palatino Linotype" w:hAnsi="Palatino Linotype"/>
          <w:b/>
          <w:i/>
          <w:sz w:val="22"/>
          <w:szCs w:val="22"/>
          <w:u w:val="single"/>
        </w:rPr>
        <w:t>el registro de las solicitudes recibidas y atendidas</w:t>
      </w:r>
      <w:r w:rsidRPr="00F326FC">
        <w:rPr>
          <w:rFonts w:ascii="Palatino Linotype" w:hAnsi="Palatino Linotype"/>
          <w:i/>
          <w:sz w:val="22"/>
          <w:szCs w:val="22"/>
        </w:rPr>
        <w:t>;”</w:t>
      </w:r>
    </w:p>
    <w:p w14:paraId="3BC05A3F" w14:textId="77777777" w:rsidR="007A4FE9" w:rsidRPr="00F326FC" w:rsidRDefault="007A4FE9" w:rsidP="007A4FE9">
      <w:pPr>
        <w:spacing w:before="240" w:after="240" w:line="360" w:lineRule="auto"/>
        <w:ind w:right="49"/>
        <w:jc w:val="both"/>
        <w:rPr>
          <w:rFonts w:ascii="Palatino Linotype" w:eastAsia="Palatino Linotype" w:hAnsi="Palatino Linotype" w:cs="Palatino Linotype"/>
          <w:sz w:val="22"/>
          <w:szCs w:val="22"/>
          <w:lang w:val="es-ES"/>
        </w:rPr>
      </w:pPr>
      <w:r w:rsidRPr="00F326FC">
        <w:rPr>
          <w:rFonts w:ascii="Palatino Linotype" w:eastAsia="Palatino Linotype" w:hAnsi="Palatino Linotype" w:cs="Palatino Linotype"/>
          <w:sz w:val="22"/>
          <w:szCs w:val="22"/>
          <w:lang w:val="es-ES"/>
        </w:rPr>
        <w:t xml:space="preserve">Dicho lo anterior, es necesario traer a contexto los artículos 75, 76, 77, 79, 82, 88 de la Ley de Transparencia y Acceso a la Información Pública del Estado de México y Municipios vigente: </w:t>
      </w:r>
    </w:p>
    <w:p w14:paraId="5D52EA5E"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b/>
          <w:i/>
          <w:sz w:val="22"/>
          <w:szCs w:val="22"/>
          <w:lang w:val="es-ES"/>
        </w:rPr>
        <w:t>“Artículo 75.</w:t>
      </w:r>
      <w:r w:rsidRPr="00F326FC">
        <w:rPr>
          <w:rFonts w:ascii="Palatino Linotype" w:eastAsia="Palatino Linotype" w:hAnsi="Palatino Linotype" w:cs="Palatino Linotype"/>
          <w:i/>
          <w:sz w:val="22"/>
          <w:szCs w:val="22"/>
          <w:lang w:val="es-ES"/>
        </w:rPr>
        <w:t xml:space="preserve"> Es obligación de los sujetos obligados el poner a disposición de los particulares la información a que se refiere esta Ley a través de sus sitios de Internet y de la Plataforma Nacional. </w:t>
      </w:r>
    </w:p>
    <w:p w14:paraId="50F5FCED"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i/>
          <w:sz w:val="22"/>
          <w:szCs w:val="22"/>
          <w:lang w:val="es-ES"/>
        </w:rPr>
        <w:t>La Plataforma electrónica promoverá el uso de la información original escaneada y las versiones en datos abiertos y/o formatos editables, según corresponda, de los documentos fuente.</w:t>
      </w:r>
    </w:p>
    <w:p w14:paraId="07F4F5B4"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b/>
          <w:i/>
          <w:sz w:val="22"/>
          <w:szCs w:val="22"/>
          <w:lang w:val="es-ES"/>
        </w:rPr>
        <w:t>Artículo 76.</w:t>
      </w:r>
      <w:r w:rsidRPr="00F326FC">
        <w:rPr>
          <w:rFonts w:ascii="Palatino Linotype" w:eastAsia="Palatino Linotype" w:hAnsi="Palatino Linotype" w:cs="Palatino Linotype"/>
          <w:i/>
          <w:sz w:val="22"/>
          <w:szCs w:val="22"/>
          <w:lang w:val="es-ES"/>
        </w:rPr>
        <w:t xml:space="preserve"> La publicación de la información derivada de las obligaciones de transparencia a que se refiere esta Ley, deberá realizarse conforme a los criterios establecidos por la misma, además de observar los lineamientos técnicos que emita el Sistema Nacional respecto a los formatos de publicación de la información para asegurar que la información sea veraz, confiable, oportuna, congruente, integral, actualizada, accesible, comprensible y verificable.</w:t>
      </w:r>
    </w:p>
    <w:p w14:paraId="5B82B98E"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i/>
          <w:sz w:val="22"/>
          <w:szCs w:val="22"/>
          <w:lang w:val="es-ES"/>
        </w:rPr>
        <w:t>La publicación de la información derivada de las obligaciones de transparencia deberá sujetarse a los lineamientos para la homologación en la presentación de la información a la que hace referencia este Título por parte de los sujetos obligados.</w:t>
      </w:r>
    </w:p>
    <w:p w14:paraId="41155B25"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b/>
          <w:i/>
          <w:sz w:val="22"/>
          <w:szCs w:val="22"/>
          <w:lang w:val="es-ES"/>
        </w:rPr>
        <w:t>Artículo 77.</w:t>
      </w:r>
      <w:r w:rsidRPr="00F326FC">
        <w:rPr>
          <w:rFonts w:ascii="Palatino Linotype" w:eastAsia="Palatino Linotype" w:hAnsi="Palatino Linotype" w:cs="Palatino Linotype"/>
          <w:i/>
          <w:sz w:val="22"/>
          <w:szCs w:val="22"/>
          <w:lang w:val="es-ES"/>
        </w:rPr>
        <w:t xml:space="preserve"> La información correspondiente a las obligaciones de transparencia deberá actualizarse por lo menos cada tres meses, salvo que en la presente Ley o en otra disposición normativa se establezca un plazo diverso. El Sistema Nacional y el Instituto emitirán los criterios para determinar el plazo mínimo que deberá permanecer disponible y accesible la información, atendiendo a las cualidades de la misma. </w:t>
      </w:r>
    </w:p>
    <w:p w14:paraId="6B567D1F"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i/>
          <w:sz w:val="22"/>
          <w:szCs w:val="22"/>
          <w:lang w:val="es-ES"/>
        </w:rPr>
        <w:t>La publicación de la información deberá indicar el sujeto obligado encargado de generarla, así como la fecha de su última actualización.</w:t>
      </w:r>
    </w:p>
    <w:p w14:paraId="700AF091"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b/>
          <w:i/>
          <w:sz w:val="22"/>
          <w:szCs w:val="22"/>
          <w:lang w:val="es-ES"/>
        </w:rPr>
        <w:t>Artículo 79.</w:t>
      </w:r>
      <w:r w:rsidRPr="00F326FC">
        <w:rPr>
          <w:rFonts w:ascii="Palatino Linotype" w:eastAsia="Palatino Linotype" w:hAnsi="Palatino Linotype" w:cs="Palatino Linotype"/>
          <w:i/>
          <w:sz w:val="22"/>
          <w:szCs w:val="22"/>
          <w:lang w:val="es-ES"/>
        </w:rPr>
        <w:t xml:space="preserve"> La página de inicio de los portales de Internet de los sujetos obligados tendrá un vínculo de acceso directo al sitio donde se encuentra la información pública a la que se refiere este Título, el cual deberá contar con un buscador, que permitan acceder de manera sencilla a la información que en ellas se contenga</w:t>
      </w:r>
    </w:p>
    <w:p w14:paraId="6EBBD080"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b/>
          <w:i/>
          <w:sz w:val="22"/>
          <w:szCs w:val="22"/>
          <w:lang w:val="es-ES"/>
        </w:rPr>
        <w:t>Artículo 82.</w:t>
      </w:r>
      <w:r w:rsidRPr="00F326FC">
        <w:rPr>
          <w:rFonts w:ascii="Palatino Linotype" w:eastAsia="Palatino Linotype" w:hAnsi="Palatino Linotype" w:cs="Palatino Linotype"/>
          <w:i/>
          <w:sz w:val="22"/>
          <w:szCs w:val="22"/>
          <w:lang w:val="es-ES"/>
        </w:rPr>
        <w:t xml:space="preserve"> Los sujetos obligados deberán llevar a cabo el proceso de sistematización correspondiente para la debida generación, integración y actualización del listado de información que debe ponerse a disposición, según corresponda a cada sujeto obligado. </w:t>
      </w:r>
    </w:p>
    <w:p w14:paraId="363AB902" w14:textId="77777777" w:rsidR="007A4FE9" w:rsidRPr="00F326FC" w:rsidRDefault="007A4FE9" w:rsidP="007A4FE9">
      <w:pPr>
        <w:spacing w:before="120" w:after="120"/>
        <w:ind w:left="567" w:right="618"/>
        <w:jc w:val="both"/>
        <w:rPr>
          <w:rFonts w:ascii="Palatino Linotype" w:eastAsia="Palatino Linotype" w:hAnsi="Palatino Linotype" w:cs="Palatino Linotype"/>
          <w:b/>
          <w:i/>
          <w:sz w:val="22"/>
          <w:szCs w:val="22"/>
          <w:u w:val="thick"/>
          <w:lang w:val="es-ES"/>
        </w:rPr>
      </w:pPr>
      <w:r w:rsidRPr="00F326FC">
        <w:rPr>
          <w:rFonts w:ascii="Palatino Linotype" w:eastAsia="Palatino Linotype" w:hAnsi="Palatino Linotype" w:cs="Palatino Linotype"/>
          <w:b/>
          <w:i/>
          <w:sz w:val="22"/>
          <w:szCs w:val="22"/>
          <w:u w:val="thick"/>
          <w:lang w:val="es-ES"/>
        </w:rPr>
        <w:t>La publicación de la información referida a las obligaciones de transparencia, deberá indicar la unidad administrativa responsable de generarla o poseerla y que son responsables de publicar y actualizar la información.</w:t>
      </w:r>
    </w:p>
    <w:p w14:paraId="05D85AF8" w14:textId="77777777" w:rsidR="007A4FE9" w:rsidRPr="00F326FC" w:rsidRDefault="007A4FE9" w:rsidP="007A4FE9">
      <w:pPr>
        <w:spacing w:before="120" w:after="120"/>
        <w:ind w:left="567" w:right="618"/>
        <w:jc w:val="both"/>
        <w:rPr>
          <w:rFonts w:ascii="Palatino Linotype" w:eastAsia="Palatino Linotype" w:hAnsi="Palatino Linotype" w:cs="Palatino Linotype"/>
          <w:i/>
          <w:sz w:val="22"/>
          <w:szCs w:val="22"/>
          <w:lang w:val="es-ES"/>
        </w:rPr>
      </w:pPr>
      <w:r w:rsidRPr="00F326FC">
        <w:rPr>
          <w:rFonts w:ascii="Palatino Linotype" w:eastAsia="Palatino Linotype" w:hAnsi="Palatino Linotype" w:cs="Palatino Linotype"/>
          <w:b/>
          <w:i/>
          <w:sz w:val="22"/>
          <w:szCs w:val="22"/>
          <w:lang w:val="es-ES"/>
        </w:rPr>
        <w:t>Artículo 88.</w:t>
      </w:r>
      <w:r w:rsidRPr="00F326FC">
        <w:rPr>
          <w:rFonts w:ascii="Palatino Linotype" w:eastAsia="Palatino Linotype" w:hAnsi="Palatino Linotype" w:cs="Palatino Linotype"/>
          <w:i/>
          <w:sz w:val="22"/>
          <w:szCs w:val="22"/>
          <w:lang w:val="es-ES"/>
        </w:rPr>
        <w:t xml:space="preserve"> La información referente a las obligaciones de transparencia será puesta a disposición de los particulares por cualquier medio que facilite su acceso, dando preferencia al uso de sistemas computacionales y las nuevas tecnologías de información.”</w:t>
      </w:r>
    </w:p>
    <w:p w14:paraId="58269C62" w14:textId="77777777" w:rsidR="007A4FE9" w:rsidRPr="00F326FC" w:rsidRDefault="007A4FE9" w:rsidP="007A4FE9">
      <w:pPr>
        <w:spacing w:before="240" w:after="240" w:line="360" w:lineRule="auto"/>
        <w:ind w:right="49"/>
        <w:jc w:val="both"/>
        <w:rPr>
          <w:rFonts w:ascii="Palatino Linotype" w:eastAsia="Palatino Linotype" w:hAnsi="Palatino Linotype" w:cs="Palatino Linotype"/>
          <w:b/>
          <w:sz w:val="22"/>
          <w:szCs w:val="22"/>
          <w:lang w:val="es-ES"/>
        </w:rPr>
      </w:pPr>
      <w:r w:rsidRPr="00F326FC">
        <w:rPr>
          <w:rFonts w:ascii="Palatino Linotype" w:eastAsia="Palatino Linotype" w:hAnsi="Palatino Linotype" w:cs="Palatino Linotype"/>
          <w:sz w:val="22"/>
          <w:szCs w:val="22"/>
          <w:lang w:val="es-ES"/>
        </w:rPr>
        <w:t xml:space="preserve">Así, la información correspondiente a las obligaciones de transparencia se pondrá a disposición de los Recurrentes en los sitios de internet y en la Plataforma Nacional, utilizando versiones en formatos abiertos y accesibles, debiendo actualizar dicha información, por lo menos cada tres meses. </w:t>
      </w:r>
      <w:r w:rsidRPr="00F326FC">
        <w:rPr>
          <w:rFonts w:ascii="Palatino Linotype" w:eastAsia="Palatino Linotype" w:hAnsi="Palatino Linotype" w:cs="Palatino Linotype"/>
          <w:b/>
          <w:sz w:val="22"/>
          <w:szCs w:val="22"/>
          <w:lang w:val="es-ES"/>
        </w:rPr>
        <w:t>La publicación de la información debe incluir la unidad administrativa responsable de generarla o poseerla y que son responsables de publicar y actualizar la información.</w:t>
      </w:r>
    </w:p>
    <w:p w14:paraId="5C4A2F98" w14:textId="77777777" w:rsidR="007A4FE9" w:rsidRPr="00F326FC" w:rsidRDefault="007A4FE9" w:rsidP="007A4FE9">
      <w:pPr>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hAnsi="Palatino Linotype"/>
          <w:sz w:val="22"/>
          <w:szCs w:val="22"/>
          <w:lang w:val="es-ES"/>
        </w:rPr>
        <w:t xml:space="preserve">De lo anterior, se concluye que </w:t>
      </w:r>
      <w:r w:rsidRPr="00F326FC">
        <w:rPr>
          <w:rFonts w:ascii="Palatino Linotype" w:eastAsia="Palatino Linotype" w:hAnsi="Palatino Linotype" w:cs="Palatino Linotype"/>
          <w:sz w:val="22"/>
          <w:szCs w:val="22"/>
        </w:rPr>
        <w:t>el registro de las solicitudes recibidas y atendidas, al tratarse de una obligación de transparencia, es información que debe encontrarse disponible en  medios electrónicos de manera permanente y actualizada, siendo la Unidad de Transparencia, a través de su titular, el área responsable de su publicación y actualización en los portales electrónicos de Transparencia, concretamente en el portal de Información Pública de Oficio Mexiquense, IPOMEX, en el apartado destinado al Sujeto Obligado.</w:t>
      </w:r>
    </w:p>
    <w:p w14:paraId="2510CBD0" w14:textId="77777777" w:rsidR="007A4FE9" w:rsidRPr="00F326FC" w:rsidRDefault="007A4FE9" w:rsidP="007A4FE9">
      <w:pPr>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Por otro lado, no obsta mencionar que la publicación de dicha información debe atender a lo dispuesto en los LINEAMIENTOS TÉCNICOS PARA LA PUBLICACIÓN, HOMOLOGACIÓN Y ESTANDARIZACIÓN DE LA INFORMACIÓN ESTABLECIDA EN EL TÍTULO QUINTO, CAPÍTULOS II, III Y IV, Y EL TÍTULO NOVENO DE LA LEY DE TRANSPARENCIA Y ACCESO A LA INFORMACIÓN PÚBLICA DEL ESTADO DE MÉXICO Y MUNICIPIOS; ADICIONAL DE AQUELLA CONTEMPLADA EN EL TÍTULO QUINTO DE LA LEY GENERAL DE TRANSPARENCIA Y ACCESO A LA INFORMACIÓN PÚBLICA, aprobados por el Pleno de este Instituto, los cuales disponen lo siguiente en su parte conducente:</w:t>
      </w:r>
    </w:p>
    <w:p w14:paraId="1067AC21" w14:textId="77777777" w:rsidR="007A4FE9" w:rsidRPr="00F326FC" w:rsidRDefault="007A4FE9" w:rsidP="007A4FE9">
      <w:pPr>
        <w:spacing w:before="120" w:after="120"/>
        <w:ind w:left="851" w:right="900"/>
        <w:jc w:val="both"/>
        <w:rPr>
          <w:rFonts w:ascii="Palatino Linotype" w:hAnsi="Palatino Linotype"/>
          <w:i/>
          <w:sz w:val="22"/>
          <w:szCs w:val="22"/>
        </w:rPr>
      </w:pPr>
      <w:r w:rsidRPr="00F326FC">
        <w:rPr>
          <w:rFonts w:ascii="Palatino Linotype" w:hAnsi="Palatino Linotype"/>
          <w:i/>
          <w:sz w:val="22"/>
          <w:szCs w:val="22"/>
        </w:rPr>
        <w:t xml:space="preserve">“En términos de los artículos 152 y 153 de la Ley de Transparencia y Acceso a la Información Pública del Estado de México y Municipios; cualquier persona, por sí misma o a través de su representante, podrá presentar solicitud de acceso a información ante las Unidades de Transparencia de los sujetos obligados; a través del sistema electrónico establecido para tal efecto o de la Plataforma Nacional de Transparencia; en la oficina u oficinas designadas para ello; vía correo electrónico, correo postal, mensajería, telégrafo, verbalmente o cualquier medio aprobado por el Instituto o por el Sistema Nacional de Transparencia, Acceso a la Información y Protección de Datos Personales. </w:t>
      </w:r>
    </w:p>
    <w:p w14:paraId="74431EFD" w14:textId="77777777" w:rsidR="007A4FE9" w:rsidRPr="00F326FC" w:rsidRDefault="007A4FE9" w:rsidP="007A4FE9">
      <w:pPr>
        <w:spacing w:before="120" w:after="120"/>
        <w:ind w:left="851" w:right="900"/>
        <w:jc w:val="both"/>
        <w:rPr>
          <w:rFonts w:ascii="Palatino Linotype" w:hAnsi="Palatino Linotype"/>
          <w:b/>
          <w:i/>
          <w:sz w:val="22"/>
          <w:szCs w:val="22"/>
        </w:rPr>
      </w:pPr>
      <w:r w:rsidRPr="00F326FC">
        <w:rPr>
          <w:rFonts w:ascii="Palatino Linotype" w:hAnsi="Palatino Linotype"/>
          <w:i/>
          <w:sz w:val="22"/>
          <w:szCs w:val="22"/>
        </w:rPr>
        <w:t xml:space="preserve">De conformidad con los numerales Segundo, fracción LII, Cuadragésimo y Cuadragésimo quinto de los Lineamientos para la Implementación y Operación de la Plataforma Nacional de Transparencia; el Sistema de Solicitudes de Acceso a la Información (SISAI y SAIMEX) es la herramienta electrónica de la Plataforma Nacional de Transparencia, mediante la cual las personas podrán presentar sus solicitudes de acceso a la información; asimismo, es la herramienta para el registro y captura de todas las solicitudes recibidas por los sujetos obligados a través de los medios señalados en la Ley General. </w:t>
      </w:r>
      <w:r w:rsidRPr="00F326FC">
        <w:rPr>
          <w:rFonts w:ascii="Palatino Linotype" w:hAnsi="Palatino Linotype"/>
          <w:b/>
          <w:i/>
          <w:sz w:val="22"/>
          <w:szCs w:val="22"/>
        </w:rPr>
        <w:t xml:space="preserve">Las Unidades de Transparencia deberán registrar la recepción de las solicitudes de información, procesarlas y darles trámite a través de la Plataforma Nacional de Transparencia, independientemente del medio de recepción. </w:t>
      </w:r>
    </w:p>
    <w:p w14:paraId="4E08C82B" w14:textId="77777777" w:rsidR="007A4FE9" w:rsidRPr="00F326FC" w:rsidRDefault="007A4FE9" w:rsidP="007A4FE9">
      <w:pPr>
        <w:spacing w:before="120" w:after="120"/>
        <w:ind w:left="851" w:right="900"/>
        <w:jc w:val="both"/>
        <w:rPr>
          <w:rFonts w:ascii="Palatino Linotype" w:hAnsi="Palatino Linotype"/>
          <w:i/>
          <w:sz w:val="22"/>
          <w:szCs w:val="22"/>
        </w:rPr>
      </w:pPr>
      <w:r w:rsidRPr="00F326FC">
        <w:rPr>
          <w:rFonts w:ascii="Palatino Linotype" w:hAnsi="Palatino Linotype"/>
          <w:b/>
          <w:i/>
          <w:sz w:val="22"/>
          <w:szCs w:val="22"/>
        </w:rPr>
        <w:t xml:space="preserve">Los sujetos obligados publicarán, en el Formato 5 previsto en los presentes Lineamientos, </w:t>
      </w:r>
      <w:r w:rsidRPr="00F326FC">
        <w:rPr>
          <w:rFonts w:ascii="Palatino Linotype" w:hAnsi="Palatino Linotype"/>
          <w:b/>
          <w:i/>
          <w:sz w:val="22"/>
          <w:szCs w:val="22"/>
          <w:u w:val="single"/>
        </w:rPr>
        <w:t>la información correspondiente a todas las solicitudes de acceso a la información recibidas y atendidas</w:t>
      </w:r>
      <w:r w:rsidRPr="00F326FC">
        <w:rPr>
          <w:rFonts w:ascii="Palatino Linotype" w:hAnsi="Palatino Linotype"/>
          <w:i/>
          <w:sz w:val="22"/>
          <w:szCs w:val="22"/>
        </w:rPr>
        <w:t xml:space="preserve">, así como la respuesta proporcionada a cada una de ellas, adjuntando los documentos que se hayan acompañado a dicha respuesta. En caso de que la referida información contenga datos personales, los documentos respectivos se deberán difundir en versión pública. </w:t>
      </w:r>
    </w:p>
    <w:p w14:paraId="41F407FE" w14:textId="77777777" w:rsidR="007A4FE9" w:rsidRPr="00F326FC" w:rsidRDefault="007A4FE9" w:rsidP="007A4FE9">
      <w:pPr>
        <w:spacing w:before="120" w:after="120"/>
        <w:ind w:left="851" w:right="900"/>
        <w:jc w:val="both"/>
        <w:rPr>
          <w:rFonts w:ascii="Palatino Linotype" w:hAnsi="Palatino Linotype"/>
          <w:i/>
          <w:sz w:val="22"/>
          <w:szCs w:val="22"/>
        </w:rPr>
      </w:pPr>
      <w:r w:rsidRPr="00F326FC">
        <w:rPr>
          <w:rFonts w:ascii="Palatino Linotype" w:hAnsi="Palatino Linotype"/>
          <w:i/>
          <w:sz w:val="22"/>
          <w:szCs w:val="22"/>
        </w:rPr>
        <w:t>El hipervínculo al SISAI y SAIMEX o al sistema electrónico establecido para la presentación, registro, captura y trámite de las solicitudes de acceso a la información, se publicará en cumplimiento al criterio 8 del Formato 13 LGT_Art_70_Fr_XIII, establecido en los Lineamientos Técnicos Generales, con sujeción a los dispuesto en dicho ordenamiento.”</w:t>
      </w:r>
    </w:p>
    <w:p w14:paraId="49E3641A" w14:textId="77777777" w:rsidR="007A4FE9" w:rsidRPr="00F326FC" w:rsidRDefault="007A4FE9" w:rsidP="007A4FE9">
      <w:pPr>
        <w:spacing w:before="120" w:after="120"/>
        <w:ind w:right="49"/>
        <w:jc w:val="both"/>
        <w:rPr>
          <w:rFonts w:ascii="Palatino Linotype" w:hAnsi="Palatino Linotype"/>
          <w:i/>
          <w:sz w:val="22"/>
          <w:szCs w:val="22"/>
        </w:rPr>
      </w:pPr>
    </w:p>
    <w:p w14:paraId="33842891" w14:textId="77777777" w:rsidR="007A4FE9" w:rsidRPr="00F326FC" w:rsidRDefault="007A4FE9" w:rsidP="007A4FE9">
      <w:pPr>
        <w:spacing w:before="120" w:after="120"/>
        <w:ind w:right="49"/>
        <w:jc w:val="center"/>
        <w:rPr>
          <w:rFonts w:ascii="Palatino Linotype" w:hAnsi="Palatino Linotype"/>
          <w:noProof/>
          <w:sz w:val="22"/>
          <w:szCs w:val="22"/>
        </w:rPr>
      </w:pPr>
      <w:r w:rsidRPr="00F326FC">
        <w:rPr>
          <w:rFonts w:ascii="Palatino Linotype" w:eastAsia="Palatino Linotype" w:hAnsi="Palatino Linotype" w:cs="Palatino Linotype"/>
          <w:i/>
          <w:noProof/>
          <w:sz w:val="22"/>
          <w:szCs w:val="22"/>
        </w:rPr>
        <w:drawing>
          <wp:inline distT="0" distB="0" distL="0" distR="0" wp14:anchorId="00A69DB1" wp14:editId="12FC390A">
            <wp:extent cx="4944165" cy="2600688"/>
            <wp:effectExtent l="0" t="0" r="889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44165" cy="2600688"/>
                    </a:xfrm>
                    <a:prstGeom prst="rect">
                      <a:avLst/>
                    </a:prstGeom>
                  </pic:spPr>
                </pic:pic>
              </a:graphicData>
            </a:graphic>
          </wp:inline>
        </w:drawing>
      </w:r>
      <w:r w:rsidRPr="00F326FC">
        <w:rPr>
          <w:rFonts w:ascii="Palatino Linotype" w:hAnsi="Palatino Linotype"/>
          <w:noProof/>
          <w:sz w:val="22"/>
          <w:szCs w:val="22"/>
        </w:rPr>
        <w:t xml:space="preserve"> </w:t>
      </w:r>
      <w:r w:rsidRPr="00F326FC">
        <w:rPr>
          <w:rFonts w:ascii="Palatino Linotype" w:eastAsia="Palatino Linotype" w:hAnsi="Palatino Linotype" w:cs="Palatino Linotype"/>
          <w:i/>
          <w:noProof/>
          <w:sz w:val="22"/>
          <w:szCs w:val="22"/>
        </w:rPr>
        <w:drawing>
          <wp:inline distT="0" distB="0" distL="0" distR="0" wp14:anchorId="7124EEC7" wp14:editId="30E92BD6">
            <wp:extent cx="4887007" cy="1390844"/>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87007" cy="1390844"/>
                    </a:xfrm>
                    <a:prstGeom prst="rect">
                      <a:avLst/>
                    </a:prstGeom>
                  </pic:spPr>
                </pic:pic>
              </a:graphicData>
            </a:graphic>
          </wp:inline>
        </w:drawing>
      </w:r>
    </w:p>
    <w:p w14:paraId="70150476" w14:textId="77777777" w:rsidR="007A4FE9" w:rsidRPr="00F326FC" w:rsidRDefault="007A4FE9" w:rsidP="007A4FE9">
      <w:pPr>
        <w:spacing w:before="120" w:after="120"/>
        <w:ind w:right="49"/>
        <w:jc w:val="center"/>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noProof/>
          <w:sz w:val="22"/>
          <w:szCs w:val="22"/>
        </w:rPr>
        <w:drawing>
          <wp:inline distT="0" distB="0" distL="0" distR="0" wp14:anchorId="7C438362" wp14:editId="45145437">
            <wp:extent cx="4953691" cy="207674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53691" cy="2076740"/>
                    </a:xfrm>
                    <a:prstGeom prst="rect">
                      <a:avLst/>
                    </a:prstGeom>
                  </pic:spPr>
                </pic:pic>
              </a:graphicData>
            </a:graphic>
          </wp:inline>
        </w:drawing>
      </w:r>
    </w:p>
    <w:p w14:paraId="3F4DC4AE" w14:textId="403EB32C" w:rsidR="007A4FE9" w:rsidRPr="00F326FC" w:rsidRDefault="007A4FE9" w:rsidP="007A4FE9">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lang w:eastAsia="en-US"/>
        </w:rPr>
      </w:pPr>
      <w:r w:rsidRPr="00F326FC">
        <w:rPr>
          <w:rFonts w:ascii="Palatino Linotype" w:eastAsia="Palatino Linotype" w:hAnsi="Palatino Linotype" w:cs="Palatino Linotype"/>
          <w:sz w:val="22"/>
          <w:szCs w:val="22"/>
        </w:rPr>
        <w:t>Por consiguiente, se concluye</w:t>
      </w:r>
      <w:r w:rsidRPr="00F326FC">
        <w:rPr>
          <w:rFonts w:ascii="Palatino Linotype" w:eastAsia="Palatino Linotype" w:hAnsi="Palatino Linotype" w:cs="Palatino Linotype"/>
          <w:sz w:val="22"/>
          <w:szCs w:val="22"/>
          <w:lang w:eastAsia="en-US"/>
        </w:rPr>
        <w:t xml:space="preserve"> que existe fuente obligacional para contar con documentos en los que se advierta el número de solicitudes recibidas y atendidas faltantes.</w:t>
      </w:r>
    </w:p>
    <w:p w14:paraId="171B80D8" w14:textId="5A00E9A5" w:rsidR="006631D6" w:rsidRPr="00F326FC" w:rsidRDefault="00732D13" w:rsidP="006631D6">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lang w:eastAsia="en-US"/>
        </w:rPr>
        <w:t xml:space="preserve">Por otro lado, por lo que se refiere a la temporalidad en la conservación de los archivos, </w:t>
      </w:r>
      <w:r w:rsidR="006631D6" w:rsidRPr="00F326FC">
        <w:rPr>
          <w:rFonts w:ascii="Palatino Linotype" w:eastAsia="Palatino Linotype" w:hAnsi="Palatino Linotype" w:cs="Palatino Linotype"/>
          <w:sz w:val="22"/>
          <w:szCs w:val="22"/>
        </w:rPr>
        <w:t xml:space="preserve">es conveniente señalar los siguientes conceptos de acuerdo a los Lineamientos para la Organización y Conservación de Archivos, emitidos por el </w:t>
      </w:r>
      <w:r w:rsidR="006631D6" w:rsidRPr="00F326FC">
        <w:rPr>
          <w:rFonts w:ascii="Palatino Linotype" w:hAnsi="Palatino Linotype" w:cs="Arial"/>
          <w:sz w:val="22"/>
          <w:szCs w:val="22"/>
        </w:rPr>
        <w:t>Sistema Nacional de Transparencia, Acceso a la Información Pública y Protección de Datos Personales</w:t>
      </w:r>
      <w:r w:rsidR="006631D6" w:rsidRPr="00F326FC">
        <w:rPr>
          <w:rFonts w:ascii="Palatino Linotype" w:eastAsia="Palatino Linotype" w:hAnsi="Palatino Linotype" w:cs="Palatino Linotype"/>
          <w:sz w:val="22"/>
          <w:szCs w:val="22"/>
        </w:rPr>
        <w:t xml:space="preserve">, cuyo objeto es “establecer las políticas y criterios para la sistematización y digitalización, así como para </w:t>
      </w:r>
      <w:r w:rsidR="006631D6" w:rsidRPr="00F326FC">
        <w:rPr>
          <w:rFonts w:ascii="Palatino Linotype" w:eastAsia="Palatino Linotype" w:hAnsi="Palatino Linotype" w:cs="Palatino Linotype"/>
          <w:b/>
          <w:sz w:val="22"/>
          <w:szCs w:val="22"/>
        </w:rPr>
        <w:t>la custodia y conservación de los archivos</w:t>
      </w:r>
      <w:r w:rsidR="006631D6" w:rsidRPr="00F326FC">
        <w:rPr>
          <w:rFonts w:ascii="Palatino Linotype" w:eastAsia="Palatino Linotype" w:hAnsi="Palatino Linotype" w:cs="Palatino Linotype"/>
          <w:sz w:val="22"/>
          <w:szCs w:val="22"/>
        </w:rPr>
        <w:t xml:space="preserve"> en posesión de los sujetos obligados, con la finalidad de garantizar la disponibilidad, la localización eficiente de la información generada, obtenida, adquirida, transformada y contar con sistemas de información, ágiles y eficientes”, al tenor de lo siguiente:</w:t>
      </w:r>
    </w:p>
    <w:p w14:paraId="152AA62E"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Cuarto.</w:t>
      </w:r>
    </w:p>
    <w:p w14:paraId="2035DFAC"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4DD27C5C"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 Archivo</w:t>
      </w:r>
      <w:r w:rsidRPr="00F326FC">
        <w:rPr>
          <w:rFonts w:ascii="Palatino Linotype" w:eastAsia="Palatino Linotype" w:hAnsi="Palatino Linotype" w:cs="Palatino Linotype"/>
          <w:i/>
          <w:sz w:val="22"/>
          <w:szCs w:val="22"/>
        </w:rPr>
        <w:t>: El conjunto orgánico de documentos en cualquier soporte, que son producidos o recibidos por los sujetos obligados o los particulares en el ejercicio de sus atribuciones o en el desarrollo de sus actividades;</w:t>
      </w:r>
    </w:p>
    <w:p w14:paraId="1EF9BC13"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 Archivo de concentración</w:t>
      </w:r>
      <w:r w:rsidRPr="00F326FC">
        <w:rPr>
          <w:rFonts w:ascii="Palatino Linotype" w:eastAsia="Palatino Linotype" w:hAnsi="Palatino Linotype" w:cs="Palatino Linotype"/>
          <w:i/>
          <w:sz w:val="22"/>
          <w:szCs w:val="22"/>
        </w:rPr>
        <w:t>: La unidad de la administración de documentos cuya consulta es esporádica y que permanecen en ella hasta su transferencia secundaria o baja documental;</w:t>
      </w:r>
    </w:p>
    <w:p w14:paraId="6DB0F8E5"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IV. Archivo histórico</w:t>
      </w:r>
      <w:r w:rsidRPr="00F326FC">
        <w:rPr>
          <w:rFonts w:ascii="Palatino Linotype" w:eastAsia="Palatino Linotype" w:hAnsi="Palatino Linotype" w:cs="Palatino Linotype"/>
          <w:i/>
          <w:sz w:val="22"/>
          <w:szCs w:val="22"/>
        </w:rPr>
        <w:t>. La unidad responsable de la administración de los documentos de conservación permanente y que son fuente de acceso público;</w:t>
      </w:r>
    </w:p>
    <w:p w14:paraId="39495AC9"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V. Archivo de trámite</w:t>
      </w:r>
      <w:r w:rsidRPr="00F326FC">
        <w:rPr>
          <w:rFonts w:ascii="Palatino Linotype" w:eastAsia="Palatino Linotype" w:hAnsi="Palatino Linotype" w:cs="Palatino Linotype"/>
          <w:i/>
          <w:sz w:val="22"/>
          <w:szCs w:val="22"/>
        </w:rPr>
        <w:t>: La unidad responsable de la administración de documentos de uso cotidiano y necesario para el ejercicio de las atribuciones de una unidad administrativa, los cuales permanecen en ella hasta su transferencia primaria;</w:t>
      </w:r>
    </w:p>
    <w:p w14:paraId="4E2C9295"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VIII. Baja documental</w:t>
      </w:r>
      <w:r w:rsidRPr="00F326FC">
        <w:rPr>
          <w:rFonts w:ascii="Palatino Linotype" w:eastAsia="Palatino Linotype" w:hAnsi="Palatino Linotype" w:cs="Palatino Linotype"/>
          <w:i/>
          <w:sz w:val="22"/>
          <w:szCs w:val="22"/>
        </w:rPr>
        <w:t>. La eliminación de aquella documentación que haya prescrito en sus valores administrativos, legales, fiscales, contables, y que no contenga valores históricos;</w:t>
      </w:r>
    </w:p>
    <w:p w14:paraId="1F00357F"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66111B08"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 Ciclo vital del documento</w:t>
      </w:r>
      <w:r w:rsidRPr="00F326FC">
        <w:rPr>
          <w:rFonts w:ascii="Palatino Linotype" w:eastAsia="Palatino Linotype" w:hAnsi="Palatino Linotype" w:cs="Palatino Linotype"/>
          <w:i/>
          <w:sz w:val="22"/>
          <w:szCs w:val="22"/>
        </w:rPr>
        <w:t xml:space="preserve">: </w:t>
      </w:r>
      <w:proofErr w:type="gramStart"/>
      <w:r w:rsidRPr="00F326FC">
        <w:rPr>
          <w:rFonts w:ascii="Palatino Linotype" w:eastAsia="Palatino Linotype" w:hAnsi="Palatino Linotype" w:cs="Palatino Linotype"/>
          <w:i/>
          <w:sz w:val="22"/>
          <w:szCs w:val="22"/>
        </w:rPr>
        <w:t>La etapas</w:t>
      </w:r>
      <w:proofErr w:type="gramEnd"/>
      <w:r w:rsidRPr="00F326FC">
        <w:rPr>
          <w:rFonts w:ascii="Palatino Linotype" w:eastAsia="Palatino Linotype" w:hAnsi="Palatino Linotype" w:cs="Palatino Linotype"/>
          <w:i/>
          <w:sz w:val="22"/>
          <w:szCs w:val="22"/>
        </w:rPr>
        <w:t xml:space="preserve"> de los documentos desde su producción o recepción hasta su baja o transferencia a un archivo histórico;</w:t>
      </w:r>
    </w:p>
    <w:p w14:paraId="3946F034"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7179BCC0" w14:textId="77777777" w:rsidR="006631D6" w:rsidRPr="00F326FC" w:rsidRDefault="006631D6" w:rsidP="006631D6">
      <w:pPr>
        <w:tabs>
          <w:tab w:val="left" w:pos="7938"/>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XLVIII. Transferencia documental</w:t>
      </w:r>
      <w:r w:rsidRPr="00F326FC">
        <w:rPr>
          <w:rFonts w:ascii="Palatino Linotype" w:eastAsia="Palatino Linotype" w:hAnsi="Palatino Linotype" w:cs="Palatino Linotype"/>
          <w:i/>
          <w:sz w:val="22"/>
          <w:szCs w:val="22"/>
        </w:rPr>
        <w:t>: El 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p w14:paraId="664B04FD" w14:textId="77777777" w:rsidR="006631D6" w:rsidRPr="00F326FC" w:rsidRDefault="006631D6" w:rsidP="006631D6">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Por lo expuesto, se colige que los documentos cuentan con un ciclo vital, entendiéndose como las etapas a las que se someten desde su producción o recepción hasta su baja o transferencia a un archivo histórico; siendo el Archivo de Trámite la primera etapa, en la que se depositan todos los archivos de uso cotidiano y que son necesarios para el ejercicio de las atribuciones de una entidad administrativa, y en la que permanecen hasta su transferencia primaria al Archivo de Concentración; en esta etapa se mantienen los archivos de consulta esporádica y permanecen allí hasta su transferencia secundaria al Archivo Histórico o su baja documental.</w:t>
      </w:r>
    </w:p>
    <w:p w14:paraId="670B45D5" w14:textId="77777777" w:rsidR="006631D6" w:rsidRPr="00F326FC" w:rsidRDefault="006631D6" w:rsidP="006631D6">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Por su parte, los Lineamientos para la Valoración, Selección y Baja de los Documentos, Expedientes y Series de Trámite Concluido en los Archivos del Estado de México, </w:t>
      </w:r>
      <w:r w:rsidRPr="00F326FC">
        <w:rPr>
          <w:rFonts w:ascii="Palatino Linotype" w:eastAsia="Calibri" w:hAnsi="Palatino Linotype" w:cs="Arial"/>
          <w:sz w:val="22"/>
          <w:szCs w:val="22"/>
        </w:rPr>
        <w:t xml:space="preserve">emitidos por la Comisión Dictaminadora de Depuración de Documentos, </w:t>
      </w:r>
      <w:r w:rsidRPr="00F326FC">
        <w:rPr>
          <w:rFonts w:ascii="Palatino Linotype" w:eastAsia="Palatino Linotype" w:hAnsi="Palatino Linotype" w:cs="Palatino Linotype"/>
          <w:sz w:val="22"/>
          <w:szCs w:val="22"/>
        </w:rPr>
        <w:t>establecen lo siguiente en su parte conducente:</w:t>
      </w:r>
    </w:p>
    <w:p w14:paraId="3682FA1C"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20.</w:t>
      </w:r>
      <w:r w:rsidRPr="00F326FC">
        <w:rPr>
          <w:rFonts w:ascii="Palatino Linotype" w:eastAsia="Palatino Linotype" w:hAnsi="Palatino Linotype" w:cs="Palatino Linotype"/>
          <w:i/>
          <w:sz w:val="22"/>
          <w:szCs w:val="22"/>
        </w:rPr>
        <w:t xml:space="preserve"> Los expedientes de trámite concluido y los desclasificados se mantendrán íntegros por un periodo de dos años en los Archivos de Trámite de las Unidades Administrativas. Cumplido este plazo se podrá proceder a su selección preliminar y transferencia al Archivo de Concentración.”</w:t>
      </w:r>
    </w:p>
    <w:p w14:paraId="59C1D611"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El periodo señalado se computará a partir del día siguiente a la fecha del documento con el cual se dé por concluido el asunto por el que los expedientes fueron creados.</w:t>
      </w:r>
    </w:p>
    <w:p w14:paraId="7C3E3878"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7A093BD1"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Artículo 27</w:t>
      </w:r>
      <w:r w:rsidRPr="00F326FC">
        <w:rPr>
          <w:rFonts w:ascii="Palatino Linotype" w:eastAsia="Palatino Linotype" w:hAnsi="Palatino Linotype" w:cs="Palatino Linotype"/>
          <w:i/>
          <w:sz w:val="22"/>
          <w:szCs w:val="22"/>
        </w:rPr>
        <w:t xml:space="preserve">.- Las Unidades Administrativas al realizar la transferencia de los expedientes de trámite concluido, señalarán en el Inventario correspondiente los plazos de conservación </w:t>
      </w:r>
      <w:proofErr w:type="spellStart"/>
      <w:r w:rsidRPr="00F326FC">
        <w:rPr>
          <w:rFonts w:ascii="Palatino Linotype" w:eastAsia="Palatino Linotype" w:hAnsi="Palatino Linotype" w:cs="Palatino Linotype"/>
          <w:i/>
          <w:sz w:val="22"/>
          <w:szCs w:val="22"/>
        </w:rPr>
        <w:t>precaucional</w:t>
      </w:r>
      <w:proofErr w:type="spellEnd"/>
      <w:r w:rsidRPr="00F326FC">
        <w:rPr>
          <w:rFonts w:ascii="Palatino Linotype" w:eastAsia="Palatino Linotype" w:hAnsi="Palatino Linotype" w:cs="Palatino Linotype"/>
          <w:i/>
          <w:sz w:val="22"/>
          <w:szCs w:val="22"/>
        </w:rPr>
        <w:t xml:space="preserve"> de éstos en el Archivo de Concentración.</w:t>
      </w:r>
    </w:p>
    <w:p w14:paraId="4F48B43D"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Para determinar el plazo de conservación </w:t>
      </w:r>
      <w:proofErr w:type="spellStart"/>
      <w:r w:rsidRPr="00F326FC">
        <w:rPr>
          <w:rFonts w:ascii="Palatino Linotype" w:eastAsia="Palatino Linotype" w:hAnsi="Palatino Linotype" w:cs="Palatino Linotype"/>
          <w:i/>
          <w:sz w:val="22"/>
          <w:szCs w:val="22"/>
        </w:rPr>
        <w:t>precaucional</w:t>
      </w:r>
      <w:proofErr w:type="spellEnd"/>
      <w:r w:rsidRPr="00F326FC">
        <w:rPr>
          <w:rFonts w:ascii="Palatino Linotype" w:eastAsia="Palatino Linotype" w:hAnsi="Palatino Linotype" w:cs="Palatino Linotype"/>
          <w:i/>
          <w:sz w:val="22"/>
          <w:szCs w:val="22"/>
        </w:rPr>
        <w:t xml:space="preserve"> deberán considerar el marco legal o administrativo bajo el cual se produjeron o recibieron los documentos y los siguientes períodos:</w:t>
      </w:r>
    </w:p>
    <w:p w14:paraId="333776FB"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6 años para expedientes con información administrativa;</w:t>
      </w:r>
    </w:p>
    <w:p w14:paraId="71DC4775"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xml:space="preserve"> 6 años como mínimo para expedientes con información fiscal y presupuestal contable;</w:t>
      </w:r>
    </w:p>
    <w:p w14:paraId="2AAE5043"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w:t>
      </w:r>
      <w:r w:rsidRPr="00F326FC">
        <w:rPr>
          <w:rFonts w:ascii="Palatino Linotype" w:eastAsia="Palatino Linotype" w:hAnsi="Palatino Linotype" w:cs="Palatino Linotype"/>
          <w:i/>
          <w:sz w:val="22"/>
          <w:szCs w:val="22"/>
        </w:rPr>
        <w:t>. 12 años como mínimo para expedientes con información jurídico-legal, obra pública y activo fijo; y</w:t>
      </w:r>
    </w:p>
    <w:p w14:paraId="7C49DE72"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IV.</w:t>
      </w:r>
      <w:r w:rsidRPr="00F326FC">
        <w:rPr>
          <w:rFonts w:ascii="Palatino Linotype" w:eastAsia="Palatino Linotype" w:hAnsi="Palatino Linotype" w:cs="Palatino Linotype"/>
          <w:i/>
          <w:sz w:val="22"/>
          <w:szCs w:val="22"/>
        </w:rPr>
        <w:t xml:space="preserve"> Cuando en la legislación se establezcan períodos de conservación mayores a los señalados en las fracciones I, II y III, se considerarán los estipulados en dicha legislación para efectos de realización del proceso de selección final.</w:t>
      </w:r>
    </w:p>
    <w:p w14:paraId="38E7BFE3" w14:textId="77777777" w:rsidR="006631D6" w:rsidRPr="00F326FC" w:rsidRDefault="006631D6" w:rsidP="006631D6">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V</w:t>
      </w:r>
      <w:r w:rsidRPr="00F326FC">
        <w:rPr>
          <w:rFonts w:ascii="Palatino Linotype" w:eastAsia="Palatino Linotype" w:hAnsi="Palatino Linotype" w:cs="Palatino Linotype"/>
          <w:i/>
          <w:sz w:val="22"/>
          <w:szCs w:val="22"/>
        </w:rPr>
        <w:t xml:space="preserve">. Cuando las Unidades Administrativas no indique el plazo de conservación </w:t>
      </w:r>
      <w:proofErr w:type="spellStart"/>
      <w:r w:rsidRPr="00F326FC">
        <w:rPr>
          <w:rFonts w:ascii="Palatino Linotype" w:eastAsia="Palatino Linotype" w:hAnsi="Palatino Linotype" w:cs="Palatino Linotype"/>
          <w:i/>
          <w:sz w:val="22"/>
          <w:szCs w:val="22"/>
        </w:rPr>
        <w:t>precaucional</w:t>
      </w:r>
      <w:proofErr w:type="spellEnd"/>
      <w:r w:rsidRPr="00F326FC">
        <w:rPr>
          <w:rFonts w:ascii="Palatino Linotype" w:eastAsia="Palatino Linotype" w:hAnsi="Palatino Linotype" w:cs="Palatino Linotype"/>
          <w:i/>
          <w:sz w:val="22"/>
          <w:szCs w:val="22"/>
        </w:rPr>
        <w:t xml:space="preserve"> de sus expedientes en el Inventario correspondiente, los Archivos de Concentración podrán rechazar la transferencia de los expedientes.”</w:t>
      </w:r>
    </w:p>
    <w:p w14:paraId="2DB946B3" w14:textId="77777777" w:rsidR="006631D6" w:rsidRPr="00F326FC" w:rsidRDefault="006631D6" w:rsidP="006631D6">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En apego de lo anterior, se tiene que una </w:t>
      </w:r>
      <w:r w:rsidRPr="00F326FC">
        <w:rPr>
          <w:rFonts w:ascii="Palatino Linotype" w:eastAsia="Palatino Linotype" w:hAnsi="Palatino Linotype" w:cs="Palatino Linotype"/>
          <w:b/>
          <w:sz w:val="22"/>
          <w:szCs w:val="22"/>
        </w:rPr>
        <w:t xml:space="preserve">vez que los documentos generados se consideran como trámite concluido, </w:t>
      </w:r>
      <w:r w:rsidRPr="00F326FC">
        <w:rPr>
          <w:rFonts w:ascii="Palatino Linotype" w:eastAsia="Palatino Linotype" w:hAnsi="Palatino Linotype" w:cs="Palatino Linotype"/>
          <w:b/>
          <w:sz w:val="22"/>
          <w:szCs w:val="22"/>
          <w:u w:val="single"/>
        </w:rPr>
        <w:t>pasan a formar parte del Archivo de Trámite por dos años</w:t>
      </w:r>
      <w:r w:rsidRPr="00F326FC">
        <w:rPr>
          <w:rFonts w:ascii="Palatino Linotype" w:eastAsia="Palatino Linotype" w:hAnsi="Palatino Linotype" w:cs="Palatino Linotype"/>
          <w:b/>
          <w:sz w:val="22"/>
          <w:szCs w:val="22"/>
        </w:rPr>
        <w:t xml:space="preserve">; concluido el plazo, </w:t>
      </w:r>
      <w:r w:rsidRPr="00F326FC">
        <w:rPr>
          <w:rFonts w:ascii="Palatino Linotype" w:eastAsia="Palatino Linotype" w:hAnsi="Palatino Linotype" w:cs="Palatino Linotype"/>
          <w:b/>
          <w:sz w:val="22"/>
          <w:szCs w:val="22"/>
          <w:u w:val="single"/>
        </w:rPr>
        <w:t>se transfieren al Archivo de Concentración para mantenerse</w:t>
      </w:r>
      <w:r w:rsidRPr="00F326FC">
        <w:rPr>
          <w:rFonts w:ascii="Palatino Linotype" w:eastAsia="Palatino Linotype" w:hAnsi="Palatino Linotype" w:cs="Palatino Linotype"/>
          <w:sz w:val="22"/>
          <w:szCs w:val="22"/>
          <w:u w:val="single"/>
        </w:rPr>
        <w:t xml:space="preserve"> </w:t>
      </w:r>
      <w:r w:rsidRPr="00F326FC">
        <w:rPr>
          <w:rFonts w:ascii="Palatino Linotype" w:eastAsia="Palatino Linotype" w:hAnsi="Palatino Linotype" w:cs="Palatino Linotype"/>
          <w:b/>
          <w:sz w:val="22"/>
          <w:szCs w:val="22"/>
          <w:u w:val="single"/>
        </w:rPr>
        <w:t>allí por seis años</w:t>
      </w:r>
      <w:r w:rsidRPr="00F326FC">
        <w:rPr>
          <w:rFonts w:ascii="Palatino Linotype" w:eastAsia="Palatino Linotype" w:hAnsi="Palatino Linotype" w:cs="Palatino Linotype"/>
          <w:b/>
          <w:sz w:val="22"/>
          <w:szCs w:val="22"/>
        </w:rPr>
        <w:t xml:space="preserve"> cuando los expedientes contengan información administrativa; y una vez que concluye dicho periodo, los documentos pueden causar baja documental</w:t>
      </w:r>
      <w:r w:rsidRPr="00F326FC">
        <w:rPr>
          <w:rFonts w:ascii="Palatino Linotype" w:eastAsia="Palatino Linotype" w:hAnsi="Palatino Linotype" w:cs="Palatino Linotype"/>
          <w:sz w:val="22"/>
          <w:szCs w:val="22"/>
        </w:rPr>
        <w:t xml:space="preserve"> o bien, formar parte del Archivo Histórico.</w:t>
      </w:r>
    </w:p>
    <w:p w14:paraId="37DA15B2" w14:textId="77777777" w:rsidR="006631D6" w:rsidRPr="00F326FC" w:rsidRDefault="006631D6" w:rsidP="006631D6">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Es de señalar </w:t>
      </w:r>
      <w:proofErr w:type="gramStart"/>
      <w:r w:rsidRPr="00F326FC">
        <w:rPr>
          <w:rFonts w:ascii="Palatino Linotype" w:eastAsia="Palatino Linotype" w:hAnsi="Palatino Linotype" w:cs="Palatino Linotype"/>
          <w:sz w:val="22"/>
          <w:szCs w:val="22"/>
        </w:rPr>
        <w:t>que</w:t>
      </w:r>
      <w:proofErr w:type="gramEnd"/>
      <w:r w:rsidRPr="00F326FC">
        <w:rPr>
          <w:rFonts w:ascii="Palatino Linotype" w:eastAsia="Palatino Linotype" w:hAnsi="Palatino Linotype" w:cs="Palatino Linotype"/>
          <w:sz w:val="22"/>
          <w:szCs w:val="22"/>
        </w:rPr>
        <w:t xml:space="preserve"> para efectuar la baja, deberá emitirse el acta de baja documental, el cual se concibe como el documento por el que el Comité de Selección Documental o el titular de la Unidad Administrativa a la cual se encuentre adscrito el Archivo de Trámite, autoriza la baja de los documentos resultantes del proceso de selección preliminar aplicado a los expedientes de trámite concluido, como paso previo a su transferencia a un Archivo de Concentración.</w:t>
      </w:r>
    </w:p>
    <w:p w14:paraId="447F313E" w14:textId="31889522" w:rsidR="006631D6" w:rsidRPr="00F326FC" w:rsidRDefault="006631D6" w:rsidP="006631D6">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bookmarkStart w:id="10" w:name="_Hlk222997810"/>
      <w:r w:rsidRPr="00F326FC">
        <w:rPr>
          <w:rFonts w:ascii="Palatino Linotype" w:eastAsia="Palatino Linotype" w:hAnsi="Palatino Linotype" w:cs="Palatino Linotype"/>
          <w:sz w:val="22"/>
          <w:szCs w:val="22"/>
        </w:rPr>
        <w:t xml:space="preserve">En ese sentido, tenemos que la información requerida en este punto de la solicitud, por lo que se refiere al ejercicio 2018, pudiera encontrarse en el supuesto de que agotaron su vida útil y/o no se consideraron de importancia para formar parte del Archivo Histórico, </w:t>
      </w:r>
      <w:r w:rsidRPr="00F326FC">
        <w:rPr>
          <w:rFonts w:ascii="Palatino Linotype" w:eastAsia="Palatino Linotype" w:hAnsi="Palatino Linotype" w:cs="Palatino Linotype"/>
          <w:b/>
          <w:sz w:val="22"/>
          <w:szCs w:val="22"/>
          <w:u w:val="single"/>
        </w:rPr>
        <w:t>pudiendo haber causado baja.</w:t>
      </w:r>
      <w:r w:rsidRPr="00F326FC">
        <w:rPr>
          <w:rFonts w:ascii="Palatino Linotype" w:eastAsia="Palatino Linotype" w:hAnsi="Palatino Linotype" w:cs="Palatino Linotype"/>
          <w:sz w:val="22"/>
          <w:szCs w:val="22"/>
        </w:rPr>
        <w:t> </w:t>
      </w:r>
    </w:p>
    <w:p w14:paraId="5E9100B9" w14:textId="77777777" w:rsidR="006631D6" w:rsidRPr="00F326FC" w:rsidRDefault="006631D6" w:rsidP="006631D6">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Sin embargo, cabe mencionar que el referir esto, no colma el derecho de acceso a la información de los ciudadanos; es decir, el simple pronunciamiento de las autoridades respecto a la baja documental o el hacer entrega al ciudadano del acta de baja como justificación de la negativa de la información, no es suficiente para satisfacer el ejercicio del derecho de acceso.</w:t>
      </w:r>
    </w:p>
    <w:p w14:paraId="7BD593F1" w14:textId="16F4B474" w:rsidR="006631D6" w:rsidRPr="00F326FC" w:rsidRDefault="006631D6" w:rsidP="006631D6">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Atento a lo anterior, si derivado de la búsqueda que se efectúe, 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no  llegara a localizar la totalidad de la información respecto del ejercicio 2018, </w:t>
      </w:r>
      <w:r w:rsidRPr="00F326FC">
        <w:rPr>
          <w:rFonts w:ascii="Palatino Linotype" w:hAnsi="Palatino Linotype"/>
          <w:sz w:val="22"/>
          <w:szCs w:val="22"/>
        </w:rPr>
        <w:t>se deberá acreditar el destino de la misma, es decir; se deberá precisar si esta se envió a su archivo histórico o se procedió a su baja permanente, asimismo, deberá señalar las circunstancias de modo, tiempo y lugar que precedieron a la inexistencia de la información, con la finalidad de otorgar certeza jurídica a la persona solicitante.</w:t>
      </w:r>
    </w:p>
    <w:p w14:paraId="4B99837B" w14:textId="6183197C" w:rsidR="006631D6" w:rsidRPr="00F326FC" w:rsidRDefault="006631D6" w:rsidP="006631D6">
      <w:pPr>
        <w:spacing w:before="240" w:after="240" w:line="360" w:lineRule="auto"/>
        <w:jc w:val="both"/>
        <w:rPr>
          <w:rFonts w:ascii="Palatino Linotype" w:hAnsi="Palatino Linotype"/>
          <w:sz w:val="22"/>
          <w:szCs w:val="22"/>
        </w:rPr>
      </w:pPr>
      <w:r w:rsidRPr="00F326FC">
        <w:rPr>
          <w:rFonts w:ascii="Palatino Linotype" w:hAnsi="Palatino Linotype"/>
          <w:sz w:val="22"/>
          <w:szCs w:val="22"/>
        </w:rPr>
        <w:t xml:space="preserve">Sirve de apoyo a lo anterior </w:t>
      </w:r>
      <w:r w:rsidR="00AB3149" w:rsidRPr="00F326FC">
        <w:rPr>
          <w:rFonts w:ascii="Palatino Linotype" w:hAnsi="Palatino Linotype"/>
          <w:sz w:val="22"/>
          <w:szCs w:val="22"/>
        </w:rPr>
        <w:t>el c</w:t>
      </w:r>
      <w:r w:rsidRPr="00F326FC">
        <w:rPr>
          <w:rFonts w:ascii="Palatino Linotype" w:hAnsi="Palatino Linotype"/>
          <w:sz w:val="22"/>
          <w:szCs w:val="22"/>
        </w:rPr>
        <w:t>riterio</w:t>
      </w:r>
      <w:r w:rsidR="00AB3149" w:rsidRPr="00F326FC">
        <w:rPr>
          <w:rFonts w:ascii="Palatino Linotype" w:hAnsi="Palatino Linotype"/>
          <w:sz w:val="22"/>
          <w:szCs w:val="22"/>
        </w:rPr>
        <w:t xml:space="preserve"> orientador</w:t>
      </w:r>
      <w:r w:rsidRPr="00F326FC">
        <w:rPr>
          <w:rFonts w:ascii="Palatino Linotype" w:hAnsi="Palatino Linotype"/>
          <w:sz w:val="22"/>
          <w:szCs w:val="22"/>
        </w:rPr>
        <w:t xml:space="preserve"> </w:t>
      </w:r>
      <w:r w:rsidR="00AB3149" w:rsidRPr="00F326FC">
        <w:rPr>
          <w:rFonts w:ascii="Palatino Linotype" w:hAnsi="Palatino Linotype"/>
          <w:sz w:val="22"/>
          <w:szCs w:val="22"/>
        </w:rPr>
        <w:t>con clave de control SO/014/20</w:t>
      </w:r>
      <w:r w:rsidRPr="00F326FC">
        <w:rPr>
          <w:rFonts w:ascii="Palatino Linotype" w:hAnsi="Palatino Linotype"/>
          <w:sz w:val="22"/>
          <w:szCs w:val="22"/>
        </w:rPr>
        <w:t>09 que emitió el</w:t>
      </w:r>
      <w:r w:rsidR="00AB3149" w:rsidRPr="00F326FC">
        <w:rPr>
          <w:rFonts w:ascii="Palatino Linotype" w:hAnsi="Palatino Linotype"/>
          <w:sz w:val="22"/>
          <w:szCs w:val="22"/>
        </w:rPr>
        <w:t xml:space="preserve"> entonces</w:t>
      </w:r>
      <w:r w:rsidRPr="00F326FC">
        <w:rPr>
          <w:rFonts w:ascii="Palatino Linotype" w:hAnsi="Palatino Linotype"/>
          <w:sz w:val="22"/>
          <w:szCs w:val="22"/>
        </w:rPr>
        <w:t xml:space="preserve"> Instituto Nacional de Transparencia, Acceso a la Información y Protección de Datos Personales que a la letra dice:</w:t>
      </w:r>
    </w:p>
    <w:p w14:paraId="5B55D422" w14:textId="77777777" w:rsidR="006631D6" w:rsidRPr="00F326FC" w:rsidRDefault="006631D6" w:rsidP="006631D6">
      <w:pPr>
        <w:spacing w:before="240" w:after="240"/>
        <w:ind w:left="850" w:right="901"/>
        <w:jc w:val="both"/>
        <w:rPr>
          <w:rFonts w:ascii="Palatino Linotype" w:hAnsi="Palatino Linotype"/>
          <w:sz w:val="22"/>
          <w:szCs w:val="22"/>
        </w:rPr>
      </w:pPr>
      <w:r w:rsidRPr="00F326FC">
        <w:rPr>
          <w:rFonts w:ascii="Palatino Linotype" w:hAnsi="Palatino Linotype"/>
          <w:b/>
          <w:bCs/>
          <w:i/>
          <w:iCs/>
          <w:sz w:val="22"/>
          <w:szCs w:val="22"/>
        </w:rPr>
        <w:t>“Baja documental</w:t>
      </w:r>
      <w:r w:rsidRPr="00F326FC">
        <w:rPr>
          <w:rFonts w:ascii="Palatino Linotype" w:hAnsi="Palatino Linotype"/>
          <w:i/>
          <w:iCs/>
          <w:sz w:val="22"/>
          <w:szCs w:val="22"/>
        </w:rPr>
        <w:t xml:space="preserve">. Las dependencias y entidades deben proporcionar a los particulares el documento que acredite dicha situación. De conformidad con lo previsto en los artículos 24 y 46 de la Ley Federal de Transparencia y Acceso a la Información Pública Gubernamental 70, fracción V y 78, fracción III de su Reglamento, </w:t>
      </w:r>
      <w:r w:rsidRPr="00F326FC">
        <w:rPr>
          <w:rFonts w:ascii="Palatino Linotype" w:hAnsi="Palatino Linotype"/>
          <w:b/>
          <w:bCs/>
          <w:i/>
          <w:iCs/>
          <w:sz w:val="22"/>
          <w:szCs w:val="22"/>
          <w:u w:val="single"/>
        </w:rPr>
        <w:t>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w:t>
      </w:r>
      <w:r w:rsidRPr="00F326FC">
        <w:rPr>
          <w:rFonts w:ascii="Palatino Linotype" w:hAnsi="Palatino Linotype"/>
          <w:i/>
          <w:iCs/>
          <w:sz w:val="22"/>
          <w:szCs w:val="22"/>
        </w:rPr>
        <w:t xml:space="preserve"> en todos aquellos casos en los que la normatividad en materia archivística prevea que la misma debe existir</w:t>
      </w:r>
      <w:proofErr w:type="gramStart"/>
      <w:r w:rsidRPr="00F326FC">
        <w:rPr>
          <w:rFonts w:ascii="Palatino Linotype" w:hAnsi="Palatino Linotype"/>
          <w:i/>
          <w:iCs/>
          <w:sz w:val="22"/>
          <w:szCs w:val="22"/>
        </w:rPr>
        <w:t>.”(</w:t>
      </w:r>
      <w:proofErr w:type="gramEnd"/>
      <w:r w:rsidRPr="00F326FC">
        <w:rPr>
          <w:rFonts w:ascii="Palatino Linotype" w:hAnsi="Palatino Linotype"/>
          <w:i/>
          <w:iCs/>
          <w:sz w:val="22"/>
          <w:szCs w:val="22"/>
        </w:rPr>
        <w:t>Sic)</w:t>
      </w:r>
    </w:p>
    <w:p w14:paraId="06B7FD03" w14:textId="77777777" w:rsidR="006631D6" w:rsidRPr="00F326FC" w:rsidRDefault="006631D6" w:rsidP="006631D6">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En tal caso la declaratoria formal de la inexistencia a la que se hace referencia deberá realizarse en términos de lo que señala el artículo 19, tercer párrafo, 49, fracciones II y XIII; 169 y 170 de la Ley de Transparencia y Acceso a la Información Pública del Estado de México y Municipios, que se leen como sigue:</w:t>
      </w:r>
    </w:p>
    <w:p w14:paraId="5B721BB4"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19.</w:t>
      </w:r>
      <w:r w:rsidRPr="00F326FC">
        <w:rPr>
          <w:rFonts w:ascii="Palatino Linotype" w:eastAsia="Palatino Linotype" w:hAnsi="Palatino Linotype" w:cs="Palatino Linotype"/>
          <w:i/>
          <w:sz w:val="22"/>
          <w:szCs w:val="22"/>
        </w:rPr>
        <w:t xml:space="preserve"> (…)</w:t>
      </w:r>
    </w:p>
    <w:p w14:paraId="439DAA66"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Si el sujeto obligado, en el ejercicio de sus atribuciones, debía generar, poseer o administrar la información, pero ésta no se encuentra, el Comité de transparencia deberá emitir un acuerdo de inexistencia</w:t>
      </w:r>
      <w:r w:rsidRPr="00F326FC">
        <w:rPr>
          <w:rFonts w:ascii="Palatino Linotype" w:eastAsia="Palatino Linotype" w:hAnsi="Palatino Linotype" w:cs="Palatino Linotype"/>
          <w:i/>
          <w:sz w:val="22"/>
          <w:szCs w:val="22"/>
        </w:rPr>
        <w:t>, debidamente fundado y motivado, en el que detalle las razones del por qué no obra en sus archivos.”</w:t>
      </w:r>
    </w:p>
    <w:p w14:paraId="129ED503"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49.</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Los Comités de Transparencia</w:t>
      </w:r>
      <w:r w:rsidRPr="00F326FC">
        <w:rPr>
          <w:rFonts w:ascii="Palatino Linotype" w:eastAsia="Palatino Linotype" w:hAnsi="Palatino Linotype" w:cs="Palatino Linotype"/>
          <w:i/>
          <w:sz w:val="22"/>
          <w:szCs w:val="22"/>
        </w:rPr>
        <w:t xml:space="preserve"> tendrán las siguientes </w:t>
      </w:r>
      <w:r w:rsidRPr="00F326FC">
        <w:rPr>
          <w:rFonts w:ascii="Palatino Linotype" w:eastAsia="Palatino Linotype" w:hAnsi="Palatino Linotype" w:cs="Palatino Linotype"/>
          <w:b/>
          <w:i/>
          <w:sz w:val="22"/>
          <w:szCs w:val="22"/>
        </w:rPr>
        <w:t>atribuciones</w:t>
      </w:r>
      <w:r w:rsidRPr="00F326FC">
        <w:rPr>
          <w:rFonts w:ascii="Palatino Linotype" w:eastAsia="Palatino Linotype" w:hAnsi="Palatino Linotype" w:cs="Palatino Linotype"/>
          <w:i/>
          <w:sz w:val="22"/>
          <w:szCs w:val="22"/>
        </w:rPr>
        <w:t>:</w:t>
      </w:r>
    </w:p>
    <w:p w14:paraId="725E9247"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 xml:space="preserve">Confirmar, modificar o revocar las determinaciones </w:t>
      </w:r>
      <w:proofErr w:type="gramStart"/>
      <w:r w:rsidRPr="00F326FC">
        <w:rPr>
          <w:rFonts w:ascii="Palatino Linotype" w:eastAsia="Palatino Linotype" w:hAnsi="Palatino Linotype" w:cs="Palatino Linotype"/>
          <w:b/>
          <w:i/>
          <w:sz w:val="22"/>
          <w:szCs w:val="22"/>
        </w:rPr>
        <w:t>que</w:t>
      </w:r>
      <w:proofErr w:type="gramEnd"/>
      <w:r w:rsidRPr="00F326FC">
        <w:rPr>
          <w:rFonts w:ascii="Palatino Linotype" w:eastAsia="Palatino Linotype" w:hAnsi="Palatino Linotype" w:cs="Palatino Linotype"/>
          <w:b/>
          <w:i/>
          <w:sz w:val="22"/>
          <w:szCs w:val="22"/>
        </w:rPr>
        <w:t xml:space="preserve"> en materia de</w:t>
      </w:r>
      <w:r w:rsidRPr="00F326FC">
        <w:rPr>
          <w:rFonts w:ascii="Palatino Linotype" w:eastAsia="Palatino Linotype" w:hAnsi="Palatino Linotype" w:cs="Palatino Linotype"/>
          <w:i/>
          <w:sz w:val="22"/>
          <w:szCs w:val="22"/>
        </w:rPr>
        <w:t xml:space="preserve"> ampliación del plazo de respuesta, clasificación de la información y </w:t>
      </w:r>
      <w:r w:rsidRPr="00F326FC">
        <w:rPr>
          <w:rFonts w:ascii="Palatino Linotype" w:eastAsia="Palatino Linotype" w:hAnsi="Palatino Linotype" w:cs="Palatino Linotype"/>
          <w:b/>
          <w:i/>
          <w:sz w:val="22"/>
          <w:szCs w:val="22"/>
        </w:rPr>
        <w:t>declaración de inexistencia</w:t>
      </w:r>
      <w:r w:rsidRPr="00F326FC">
        <w:rPr>
          <w:rFonts w:ascii="Palatino Linotype" w:eastAsia="Palatino Linotype" w:hAnsi="Palatino Linotype" w:cs="Palatino Linotype"/>
          <w:i/>
          <w:sz w:val="22"/>
          <w:szCs w:val="22"/>
        </w:rPr>
        <w:t xml:space="preserve"> o de incompetencia realicen los titulares de las áreas de los sujetos obligados;</w:t>
      </w:r>
    </w:p>
    <w:p w14:paraId="311EA4DB"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XIII.</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Dictaminar las declaratorias de inexistencia de la información</w:t>
      </w:r>
      <w:r w:rsidRPr="00F326FC">
        <w:rPr>
          <w:rFonts w:ascii="Palatino Linotype" w:eastAsia="Palatino Linotype" w:hAnsi="Palatino Linotype" w:cs="Palatino Linotype"/>
          <w:i/>
          <w:sz w:val="22"/>
          <w:szCs w:val="22"/>
        </w:rPr>
        <w:t xml:space="preserve"> que les remitan las unidades administrativas y resolver en consecuencia…”</w:t>
      </w:r>
    </w:p>
    <w:p w14:paraId="7FA73128"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169</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Cuando la información no se encuentre en los archivos del sujeto obligado, el Comité de Transparencia</w:t>
      </w:r>
      <w:r w:rsidRPr="00F326FC">
        <w:rPr>
          <w:rFonts w:ascii="Palatino Linotype" w:eastAsia="Palatino Linotype" w:hAnsi="Palatino Linotype" w:cs="Palatino Linotype"/>
          <w:i/>
          <w:sz w:val="22"/>
          <w:szCs w:val="22"/>
        </w:rPr>
        <w:t xml:space="preserve">: </w:t>
      </w:r>
    </w:p>
    <w:p w14:paraId="4C15D64C"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xml:space="preserve"> Analizará el caso y tomará las medidas necesarias para localizar la información; </w:t>
      </w:r>
    </w:p>
    <w:p w14:paraId="7CCB0ABB"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Expedirá una resolución que confirme la inexistencia del documento</w:t>
      </w:r>
      <w:r w:rsidRPr="00F326FC">
        <w:rPr>
          <w:rFonts w:ascii="Palatino Linotype" w:eastAsia="Palatino Linotype" w:hAnsi="Palatino Linotype" w:cs="Palatino Linotype"/>
          <w:i/>
          <w:sz w:val="22"/>
          <w:szCs w:val="22"/>
        </w:rPr>
        <w:t xml:space="preserve">; </w:t>
      </w:r>
    </w:p>
    <w:p w14:paraId="1467A212"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w:t>
      </w:r>
      <w:r w:rsidRPr="00F326FC">
        <w:rPr>
          <w:rFonts w:ascii="Palatino Linotype" w:eastAsia="Palatino Linotype" w:hAnsi="Palatino Linotype" w:cs="Palatino Linotype"/>
          <w:i/>
          <w:sz w:val="22"/>
          <w:szCs w:val="22"/>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66C14303"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 xml:space="preserve">IV. </w:t>
      </w:r>
      <w:r w:rsidRPr="00F326FC">
        <w:rPr>
          <w:rFonts w:ascii="Palatino Linotype" w:eastAsia="Palatino Linotype" w:hAnsi="Palatino Linotype" w:cs="Palatino Linotype"/>
          <w:i/>
          <w:sz w:val="22"/>
          <w:szCs w:val="22"/>
        </w:rPr>
        <w:t xml:space="preserve">Notificará al órgano interno de control o equivalente del sujeto obligado quien, en su caso, deberá iniciar el procedimiento de responsabilidad administrativa que corresponda. </w:t>
      </w:r>
    </w:p>
    <w:p w14:paraId="1F34A5F4"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La Unidad de Transparencia deberá notificarlo al solicitante por escrito, en un plazo que no exceda de quince días hábiles contados a partir del día siguiente a la presentación de la solicitud. </w:t>
      </w:r>
    </w:p>
    <w:p w14:paraId="41CF4FA4"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Este plazo podrá ampliarse hasta por otros siete días hábiles, siempre que existan razones para ello, debiendo notificarse por escrito al solicitante.”</w:t>
      </w:r>
    </w:p>
    <w:p w14:paraId="492F23CA" w14:textId="77777777" w:rsidR="006631D6" w:rsidRPr="00F326FC" w:rsidRDefault="006631D6" w:rsidP="00AB3149">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170.</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La resolución del Comité de Transparencia que confirme la inexistencia de la información solicitada contendrá los elementos mínimos</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que permitan al solicitante tener la certeza de que se utilizó un criterio de búsqueda exhaustivo</w:t>
      </w:r>
      <w:r w:rsidRPr="00F326FC">
        <w:rPr>
          <w:rFonts w:ascii="Palatino Linotype" w:eastAsia="Palatino Linotype" w:hAnsi="Palatino Linotype" w:cs="Palatino Linotype"/>
          <w:i/>
          <w:sz w:val="22"/>
          <w:szCs w:val="22"/>
        </w:rPr>
        <w:t>, además de señalar las circunstancias de tiempo, modo y lugar que generaron la existencia en cuestión y señalará al servidor público responsable de contar con la misma.”</w:t>
      </w:r>
    </w:p>
    <w:p w14:paraId="307CD4B9" w14:textId="77777777" w:rsidR="006631D6" w:rsidRPr="00F326FC" w:rsidRDefault="006631D6" w:rsidP="006631D6">
      <w:pPr>
        <w:spacing w:before="240" w:after="240" w:line="360" w:lineRule="auto"/>
        <w:jc w:val="both"/>
        <w:rPr>
          <w:rFonts w:ascii="Palatino Linotype" w:hAnsi="Palatino Linotype"/>
          <w:sz w:val="22"/>
          <w:szCs w:val="22"/>
        </w:rPr>
      </w:pPr>
      <w:r w:rsidRPr="00F326FC">
        <w:rPr>
          <w:rFonts w:ascii="Palatino Linotype" w:hAnsi="Palatino Linotype"/>
          <w:sz w:val="22"/>
          <w:szCs w:val="22"/>
        </w:rPr>
        <w:t>Lo anterior, como se precisa, resulta necesario ya que el Acuerdo de Inexistencia emitido por el Comité de Transparencia, da certeza de las razones o motivos por las cuales no se localizó la información y del proceso realizado para localizar la misma, acreditando en un primer momento la búsqueda exhaustiva y razonable de la información en las áreas administrativas, lo cual constará mediante los oficios emitidos y las respuestas por parte de los servidores públicos de las áreas correspondientes, ello con la finalidad de que se informe si los documentos solicitados habían causado baja documental.</w:t>
      </w:r>
    </w:p>
    <w:p w14:paraId="3FF99CF7" w14:textId="77777777" w:rsidR="006631D6" w:rsidRPr="00F326FC" w:rsidRDefault="006631D6" w:rsidP="006631D6">
      <w:pPr>
        <w:spacing w:before="240" w:after="240" w:line="360" w:lineRule="auto"/>
        <w:jc w:val="both"/>
        <w:rPr>
          <w:rFonts w:ascii="Palatino Linotype" w:hAnsi="Palatino Linotype"/>
          <w:sz w:val="22"/>
          <w:szCs w:val="22"/>
        </w:rPr>
      </w:pPr>
      <w:r w:rsidRPr="00F326FC">
        <w:rPr>
          <w:rFonts w:ascii="Palatino Linotype" w:hAnsi="Palatino Linotype"/>
          <w:sz w:val="22"/>
          <w:szCs w:val="22"/>
        </w:rPr>
        <w:t>Asimismo, resulta aplicable el Criterio reiterado número 08/19 emitido por Acuerdo del Pleno del Instituto de Transparencia y Acceso a la Información Pública del Estado de México y Municipios, que precisa:</w:t>
      </w:r>
    </w:p>
    <w:p w14:paraId="66078ED0" w14:textId="77777777" w:rsidR="006631D6" w:rsidRPr="00F326FC" w:rsidRDefault="006631D6" w:rsidP="006631D6">
      <w:pPr>
        <w:spacing w:before="120" w:after="120"/>
        <w:ind w:left="851" w:right="902"/>
        <w:jc w:val="both"/>
        <w:rPr>
          <w:rFonts w:ascii="Palatino Linotype" w:hAnsi="Palatino Linotype"/>
          <w:i/>
          <w:sz w:val="22"/>
          <w:szCs w:val="22"/>
        </w:rPr>
      </w:pPr>
      <w:r w:rsidRPr="00F326FC">
        <w:rPr>
          <w:rFonts w:ascii="Palatino Linotype" w:hAnsi="Palatino Linotype"/>
          <w:i/>
          <w:sz w:val="22"/>
          <w:szCs w:val="22"/>
        </w:rPr>
        <w:t>“</w:t>
      </w:r>
      <w:r w:rsidRPr="00F326FC">
        <w:rPr>
          <w:rFonts w:ascii="Palatino Linotype" w:hAnsi="Palatino Linotype"/>
          <w:b/>
          <w:i/>
          <w:sz w:val="22"/>
          <w:szCs w:val="22"/>
        </w:rPr>
        <w:t>INEXISTENCIA DE LA INFORMACIÓN. SUPUESTOS PARA EMITIR LA RESOLUCIÓN DE LA</w:t>
      </w:r>
      <w:r w:rsidRPr="00F326FC">
        <w:rPr>
          <w:rFonts w:ascii="Palatino Linotype" w:hAnsi="Palatino Linotype"/>
          <w:i/>
          <w:sz w:val="22"/>
          <w:szCs w:val="22"/>
        </w:rPr>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4AFEAEA8" w14:textId="77777777" w:rsidR="006631D6" w:rsidRPr="00F326FC" w:rsidRDefault="006631D6" w:rsidP="006631D6">
      <w:pPr>
        <w:spacing w:before="240" w:after="240" w:line="360" w:lineRule="auto"/>
        <w:jc w:val="both"/>
        <w:rPr>
          <w:rFonts w:ascii="Palatino Linotype" w:hAnsi="Palatino Linotype"/>
          <w:sz w:val="22"/>
          <w:szCs w:val="22"/>
        </w:rPr>
      </w:pPr>
      <w:r w:rsidRPr="00F326FC">
        <w:rPr>
          <w:rFonts w:ascii="Palatino Linotype" w:hAnsi="Palatino Linotype"/>
          <w:sz w:val="22"/>
          <w:szCs w:val="22"/>
        </w:rPr>
        <w:t>Lo anterior, obedece a lo establecido por el artículo 12 de la Ley de Transparencia y Acceso a la Información Pública del Estado de México y Municipios, el cual destaca que quienes generen, recopilen, administren, manejen, procesen, archiven o conserven información pública serán responsables de esta; vinculando inminentemente al servidor público con los documentos que por el ejercicio de sus funciones obra en su poder, lo que impone un compromiso en su cuidado y resguardo.</w:t>
      </w:r>
    </w:p>
    <w:p w14:paraId="7A8717DB" w14:textId="4281381D" w:rsidR="00AB3149" w:rsidRPr="00F326FC" w:rsidRDefault="00AB3149" w:rsidP="006631D6">
      <w:pPr>
        <w:spacing w:before="240" w:after="240" w:line="360" w:lineRule="auto"/>
        <w:jc w:val="both"/>
        <w:rPr>
          <w:rFonts w:ascii="Palatino Linotype" w:hAnsi="Palatino Linotype"/>
          <w:sz w:val="22"/>
          <w:szCs w:val="22"/>
        </w:rPr>
      </w:pPr>
      <w:r w:rsidRPr="00F326FC">
        <w:rPr>
          <w:rFonts w:ascii="Palatino Linotype" w:hAnsi="Palatino Linotype"/>
          <w:sz w:val="22"/>
          <w:szCs w:val="22"/>
        </w:rPr>
        <w:t>En consecuencia, se estima dable ordenar que previa búsqueda exhaustiva y razonable se haga entrega de</w:t>
      </w:r>
      <w:r w:rsidR="00011B18" w:rsidRPr="00F326FC">
        <w:rPr>
          <w:rFonts w:ascii="Palatino Linotype" w:hAnsi="Palatino Linotype"/>
          <w:sz w:val="22"/>
          <w:szCs w:val="22"/>
        </w:rPr>
        <w:t>l o los documentos que den cuenta de</w:t>
      </w:r>
      <w:r w:rsidR="0047605D" w:rsidRPr="00F326FC">
        <w:rPr>
          <w:rFonts w:ascii="Palatino Linotype" w:hAnsi="Palatino Linotype"/>
          <w:sz w:val="22"/>
          <w:szCs w:val="22"/>
        </w:rPr>
        <w:t xml:space="preserve">l número de solicitudes recibidas en el ejercicio </w:t>
      </w:r>
      <w:proofErr w:type="gramStart"/>
      <w:r w:rsidR="0047605D" w:rsidRPr="00F326FC">
        <w:rPr>
          <w:rFonts w:ascii="Palatino Linotype" w:hAnsi="Palatino Linotype"/>
          <w:sz w:val="22"/>
          <w:szCs w:val="22"/>
        </w:rPr>
        <w:t>2018  y</w:t>
      </w:r>
      <w:proofErr w:type="gramEnd"/>
      <w:r w:rsidR="0047605D" w:rsidRPr="00F326FC">
        <w:rPr>
          <w:rFonts w:ascii="Palatino Linotype" w:hAnsi="Palatino Linotype"/>
          <w:sz w:val="22"/>
          <w:szCs w:val="22"/>
        </w:rPr>
        <w:t xml:space="preserve"> del uno de enero al siete de julio de 2025, así como el número de solicitudes atendidas en los ejercicios 2018, 2019, 2020, 2021, 2022, 2023, 2024 y del </w:t>
      </w:r>
      <w:r w:rsidRPr="00F326FC">
        <w:rPr>
          <w:rFonts w:ascii="Palatino Linotype" w:hAnsi="Palatino Linotype"/>
          <w:sz w:val="22"/>
          <w:szCs w:val="22"/>
        </w:rPr>
        <w:t xml:space="preserve"> </w:t>
      </w:r>
      <w:r w:rsidR="0047605D" w:rsidRPr="00F326FC">
        <w:rPr>
          <w:rFonts w:ascii="Palatino Linotype" w:hAnsi="Palatino Linotype"/>
          <w:sz w:val="22"/>
          <w:szCs w:val="22"/>
        </w:rPr>
        <w:t>uno de enero al siete de julio de 2025.</w:t>
      </w:r>
    </w:p>
    <w:bookmarkEnd w:id="10"/>
    <w:p w14:paraId="0476EDA9" w14:textId="38A1F3A2" w:rsidR="00806125" w:rsidRPr="00F326FC" w:rsidRDefault="00806125" w:rsidP="006631D6">
      <w:pPr>
        <w:spacing w:before="240" w:after="240" w:line="360" w:lineRule="auto"/>
        <w:jc w:val="both"/>
        <w:rPr>
          <w:rFonts w:ascii="Palatino Linotype" w:eastAsia="Palatino Linotype" w:hAnsi="Palatino Linotype" w:cs="Palatino Linotype"/>
          <w:sz w:val="22"/>
          <w:szCs w:val="22"/>
        </w:rPr>
      </w:pPr>
      <w:r w:rsidRPr="00F326FC">
        <w:rPr>
          <w:rFonts w:ascii="Palatino Linotype" w:hAnsi="Palatino Linotype"/>
          <w:sz w:val="22"/>
          <w:szCs w:val="22"/>
        </w:rPr>
        <w:t xml:space="preserve">Por lo que respecta al punto 2 de la solicitud, relativo a las sanciones que se aplican a los </w:t>
      </w:r>
      <w:r w:rsidRPr="00F326FC">
        <w:rPr>
          <w:rFonts w:ascii="Palatino Linotype" w:eastAsia="Palatino Linotype" w:hAnsi="Palatino Linotype" w:cs="Palatino Linotype"/>
          <w:sz w:val="22"/>
          <w:szCs w:val="22"/>
        </w:rPr>
        <w:t xml:space="preserve">servidores públicos y/o sujetos obligados que incumplen con la publicación de la información que exige la plataforma nacional de transparencia o que evadan dar respuestas a las solicitudes de información de forma clara, oportuna y comprobable, </w:t>
      </w:r>
      <w:r w:rsidR="00DF54CE" w:rsidRPr="00F326FC">
        <w:rPr>
          <w:rFonts w:ascii="Palatino Linotype" w:eastAsia="Palatino Linotype" w:hAnsi="Palatino Linotype" w:cs="Palatino Linotype"/>
          <w:sz w:val="22"/>
          <w:szCs w:val="22"/>
        </w:rPr>
        <w:t>la persona servidora pública habilitada hizo referencia a los artículos 222 y 223 de la Ley de Transparencia y Acceso a la Información Pública del Estado de México y Municipios, que disponen lo siguiente:</w:t>
      </w:r>
    </w:p>
    <w:p w14:paraId="4FB77F3A" w14:textId="696DE9DD" w:rsidR="0088066A"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b/>
          <w:i/>
          <w:sz w:val="22"/>
        </w:rPr>
        <w:t>“</w:t>
      </w:r>
      <w:r w:rsidR="0088066A" w:rsidRPr="00F326FC">
        <w:rPr>
          <w:rFonts w:ascii="Palatino Linotype" w:hAnsi="Palatino Linotype"/>
          <w:b/>
          <w:i/>
          <w:sz w:val="22"/>
        </w:rPr>
        <w:t>Artículo 222.</w:t>
      </w:r>
      <w:r w:rsidR="0088066A" w:rsidRPr="00F326FC">
        <w:rPr>
          <w:rFonts w:ascii="Palatino Linotype" w:hAnsi="Palatino Linotype"/>
          <w:i/>
          <w:sz w:val="22"/>
        </w:rPr>
        <w:t xml:space="preserve"> Son causas de responsabilidad administrativa de los servidores públicos de los sujetos obligados, por incumplimiento de las obligaciones establecidas en la materia de la presente Ley, las siguientes: </w:t>
      </w:r>
    </w:p>
    <w:p w14:paraId="7562F4AB" w14:textId="77777777" w:rsidR="0088066A" w:rsidRPr="00F326FC" w:rsidRDefault="0088066A" w:rsidP="00C321CE">
      <w:pPr>
        <w:spacing w:before="120" w:after="120"/>
        <w:ind w:left="851" w:right="902"/>
        <w:jc w:val="both"/>
        <w:rPr>
          <w:rFonts w:ascii="Palatino Linotype" w:hAnsi="Palatino Linotype"/>
          <w:b/>
          <w:i/>
          <w:sz w:val="22"/>
        </w:rPr>
      </w:pPr>
      <w:r w:rsidRPr="00F326FC">
        <w:rPr>
          <w:rFonts w:ascii="Palatino Linotype" w:hAnsi="Palatino Linotype"/>
          <w:b/>
          <w:i/>
          <w:sz w:val="22"/>
        </w:rPr>
        <w:t xml:space="preserve">I. Cualquier acto u omisión que provoque la suspensión o deficiencia en la atención de las solicitudes de información; </w:t>
      </w:r>
    </w:p>
    <w:p w14:paraId="69D69354" w14:textId="77777777" w:rsidR="0088066A" w:rsidRPr="00F326FC" w:rsidRDefault="0088066A" w:rsidP="00C321CE">
      <w:pPr>
        <w:spacing w:before="120" w:after="120"/>
        <w:ind w:left="851" w:right="902"/>
        <w:jc w:val="both"/>
        <w:rPr>
          <w:rFonts w:ascii="Palatino Linotype" w:hAnsi="Palatino Linotype"/>
          <w:b/>
          <w:i/>
          <w:sz w:val="22"/>
        </w:rPr>
      </w:pPr>
      <w:r w:rsidRPr="00F326FC">
        <w:rPr>
          <w:rFonts w:ascii="Palatino Linotype" w:hAnsi="Palatino Linotype"/>
          <w:b/>
          <w:i/>
          <w:sz w:val="22"/>
        </w:rPr>
        <w:t xml:space="preserve">II. La falta de respuesta a las solicitudes de información en los plazos señalados en la normatividad aplicable; </w:t>
      </w:r>
    </w:p>
    <w:p w14:paraId="6D3D359B"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III. Actuar con negligencia, dolo o mala fe en la clasificación o desclasificación de la información, así como durante la sustanciación de las solicitudes en materia de acceso a la información o bien, al no difundir la información relativa a las obligaciones de transparencia prevista en la presente Ley;</w:t>
      </w:r>
    </w:p>
    <w:p w14:paraId="71B48D65"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IV. Entregar información clasificada como reservada; </w:t>
      </w:r>
    </w:p>
    <w:p w14:paraId="4A521581" w14:textId="36A15D3E"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V. Entregar información clasificada como confidencial fuera de los casos previstos por esta Ley;</w:t>
      </w:r>
    </w:p>
    <w:p w14:paraId="22E071DA"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VI. Vender, sustraer o publicitar la información reservada; </w:t>
      </w:r>
    </w:p>
    <w:p w14:paraId="1E54D377"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VII. Hacer caso omiso de los requerimientos y resoluciones del Instituto; </w:t>
      </w:r>
    </w:p>
    <w:p w14:paraId="5CC42DEC"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VIII. Incumplir los plazos de atención previstos en la presente Ley; </w:t>
      </w:r>
    </w:p>
    <w:p w14:paraId="63C6156A"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IX. Usar, sustraer, divulgar, ocultar, alterar, mutilar, destruir o inutilizar, total o parcialmente, sin causa legítima, conforme a las facultades correspondientes, la información que se encuentre bajo la custodia de los sujetos obligados y de sus servidores públicos o a la cual tengan acceso o conocimiento con motivo de su empleo, cargo o comisión; </w:t>
      </w:r>
    </w:p>
    <w:p w14:paraId="7B4B4508"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 Entregar información incomprensible, incompleta, en un formato no accesible, una modalidad de envío o de entrega diferente a la solicitada previamente por el usuario en su solicitud de acceso a la información, al responder sin la debida motivación y fundamentación establecidas en esta Ley; </w:t>
      </w:r>
    </w:p>
    <w:p w14:paraId="62C21B5A" w14:textId="77777777" w:rsidR="0088066A" w:rsidRPr="00F326FC" w:rsidRDefault="0088066A" w:rsidP="00C321CE">
      <w:pPr>
        <w:spacing w:before="120" w:after="120"/>
        <w:ind w:left="851" w:right="902"/>
        <w:jc w:val="both"/>
        <w:rPr>
          <w:rFonts w:ascii="Palatino Linotype" w:hAnsi="Palatino Linotype"/>
          <w:b/>
          <w:i/>
          <w:sz w:val="22"/>
        </w:rPr>
      </w:pPr>
      <w:r w:rsidRPr="00F326FC">
        <w:rPr>
          <w:rFonts w:ascii="Palatino Linotype" w:hAnsi="Palatino Linotype"/>
          <w:b/>
          <w:i/>
          <w:sz w:val="22"/>
        </w:rPr>
        <w:t xml:space="preserve">XI. No actualizar la información correspondiente a las obligaciones de transparencia en los plazos previstos en la presente Ley; </w:t>
      </w:r>
    </w:p>
    <w:p w14:paraId="5D45027A"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XII. Declarar con dolo o negligencia la inexistencia de información cuando el sujeto obligado deba generarla, derivado del ejercicio de sus facultades, competencias o funciones; </w:t>
      </w:r>
    </w:p>
    <w:p w14:paraId="44A8CDEE"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XIII. Declarar la inexistencia de la información cuando exista total o parcialmente en sus archivos; </w:t>
      </w:r>
    </w:p>
    <w:p w14:paraId="2BBC12EE" w14:textId="77777777" w:rsidR="0088066A" w:rsidRPr="00F326FC" w:rsidRDefault="0088066A"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XIV. No documentar, el ejercicio de sus facultades, competencias, funciones o actos de autoridad, de conformidad con las disposiciones jurídicas aplicables; </w:t>
      </w:r>
    </w:p>
    <w:p w14:paraId="6782EF9C" w14:textId="692EF259" w:rsidR="0088066A" w:rsidRPr="00F326FC" w:rsidRDefault="0088066A" w:rsidP="00C321CE">
      <w:pPr>
        <w:spacing w:before="120" w:after="120"/>
        <w:ind w:left="851" w:right="902"/>
        <w:jc w:val="both"/>
        <w:rPr>
          <w:rFonts w:ascii="Palatino Linotype" w:hAnsi="Palatino Linotype"/>
          <w:i/>
          <w:sz w:val="20"/>
          <w:szCs w:val="22"/>
        </w:rPr>
      </w:pPr>
      <w:r w:rsidRPr="00F326FC">
        <w:rPr>
          <w:rFonts w:ascii="Palatino Linotype" w:hAnsi="Palatino Linotype"/>
          <w:i/>
          <w:sz w:val="22"/>
        </w:rPr>
        <w:t>XV. Realizar actos para intimidar a los solicitantes de información o inhibir el ejercicio del derecho;</w:t>
      </w:r>
    </w:p>
    <w:p w14:paraId="774B6CE7"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XVI. Denegar intencionalmente información que no se encuentre clasificada como reservada o confidencial; </w:t>
      </w:r>
    </w:p>
    <w:p w14:paraId="7AE7FBDE"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XVII. Clasificar como reservada, con dolo o negligencia, la información sin que se cumplan las características señaladas en la presente Ley. La sanción procederá cuando exista una resolución previa del Instituto, que haya quedado firme; </w:t>
      </w:r>
    </w:p>
    <w:p w14:paraId="63535AD5" w14:textId="5738D42A"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i/>
          <w:sz w:val="22"/>
        </w:rPr>
        <w:t>XVIII.</w:t>
      </w:r>
      <w:r w:rsidR="00931F02" w:rsidRPr="00F326FC">
        <w:rPr>
          <w:rFonts w:ascii="Palatino Linotype" w:hAnsi="Palatino Linotype"/>
          <w:i/>
          <w:sz w:val="22"/>
        </w:rPr>
        <w:t xml:space="preserve"> </w:t>
      </w:r>
      <w:r w:rsidRPr="00F326FC">
        <w:rPr>
          <w:rFonts w:ascii="Palatino Linotype" w:hAnsi="Palatino Linotype"/>
          <w:i/>
          <w:sz w:val="22"/>
        </w:rPr>
        <w:t xml:space="preserve">No desclasificar la información como reservada cuando los motivos que le dieron origen ya no existan o haya fenecido el plazo, cuando el Instituto determine que existe una causa de interés público que persiste o no se solicite la prórroga al Comité de Transparencia; </w:t>
      </w:r>
    </w:p>
    <w:p w14:paraId="4FA4E109"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XIX. No atender los requerimientos establecidos en la presente Ley, emitidos por el Instituto; </w:t>
      </w:r>
    </w:p>
    <w:p w14:paraId="2D238AEC"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XX. No acatar las resoluciones emitidas por el Instituto, en ejercicio de sus funciones; y </w:t>
      </w:r>
    </w:p>
    <w:p w14:paraId="452A6A23"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i/>
          <w:sz w:val="22"/>
        </w:rPr>
        <w:t xml:space="preserve">XXI. En general, dejar de cumplir con las disposiciones de esta Ley. </w:t>
      </w:r>
    </w:p>
    <w:p w14:paraId="568BD778"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b/>
          <w:i/>
          <w:sz w:val="22"/>
        </w:rPr>
        <w:t xml:space="preserve">Las sanciones </w:t>
      </w:r>
      <w:r w:rsidRPr="00F326FC">
        <w:rPr>
          <w:rFonts w:ascii="Palatino Linotype" w:hAnsi="Palatino Linotype"/>
          <w:b/>
          <w:i/>
          <w:sz w:val="22"/>
          <w:u w:val="single"/>
        </w:rPr>
        <w:t>se deberán aplicar atendiendo a la gravedad de la falta</w:t>
      </w:r>
      <w:r w:rsidRPr="00F326FC">
        <w:rPr>
          <w:rFonts w:ascii="Palatino Linotype" w:hAnsi="Palatino Linotype"/>
          <w:b/>
          <w:i/>
          <w:sz w:val="22"/>
        </w:rPr>
        <w:t xml:space="preserve"> y, en su caso, </w:t>
      </w:r>
      <w:r w:rsidRPr="00F326FC">
        <w:rPr>
          <w:rFonts w:ascii="Palatino Linotype" w:hAnsi="Palatino Linotype"/>
          <w:b/>
          <w:i/>
          <w:sz w:val="22"/>
          <w:u w:val="single"/>
        </w:rPr>
        <w:t>las condiciones económicas del presunto responsable</w:t>
      </w:r>
      <w:r w:rsidRPr="00F326FC">
        <w:rPr>
          <w:rFonts w:ascii="Palatino Linotype" w:hAnsi="Palatino Linotype"/>
          <w:i/>
          <w:sz w:val="22"/>
        </w:rPr>
        <w:t xml:space="preserve">. </w:t>
      </w:r>
    </w:p>
    <w:p w14:paraId="61881C32" w14:textId="4DD605A3" w:rsidR="00806125"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i/>
          <w:sz w:val="22"/>
        </w:rPr>
        <w:t>El Instituto deberá considerar como elemento agravante la reincidencia en que incurran los servidores públicos al momento de determinar la aplicación de la sanción correspondiente.</w:t>
      </w:r>
    </w:p>
    <w:p w14:paraId="40E857BF" w14:textId="5155852E"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b/>
          <w:i/>
          <w:sz w:val="22"/>
        </w:rPr>
        <w:t>Artículo 223</w:t>
      </w:r>
      <w:r w:rsidRPr="00F326FC">
        <w:rPr>
          <w:rFonts w:ascii="Palatino Linotype" w:hAnsi="Palatino Linotype"/>
          <w:i/>
          <w:sz w:val="22"/>
        </w:rPr>
        <w:t xml:space="preserve">. </w:t>
      </w:r>
      <w:r w:rsidRPr="00F326FC">
        <w:rPr>
          <w:rFonts w:ascii="Palatino Linotype" w:hAnsi="Palatino Linotype"/>
          <w:b/>
          <w:i/>
          <w:sz w:val="22"/>
        </w:rPr>
        <w:t xml:space="preserve">El Instituto dará vista a la </w:t>
      </w:r>
      <w:r w:rsidRPr="00F326FC">
        <w:rPr>
          <w:rFonts w:ascii="Palatino Linotype" w:hAnsi="Palatino Linotype"/>
          <w:b/>
          <w:i/>
          <w:sz w:val="22"/>
          <w:u w:val="single"/>
        </w:rPr>
        <w:t>Contraloría Interna y Órgano de Control y Vigilancia</w:t>
      </w:r>
      <w:r w:rsidRPr="00F326FC">
        <w:rPr>
          <w:rFonts w:ascii="Palatino Linotype" w:hAnsi="Palatino Linotype"/>
          <w:b/>
          <w:i/>
          <w:sz w:val="22"/>
        </w:rPr>
        <w:t xml:space="preserve"> en términos de la Ley de Responsabilidades de los Servidores Públicos del Estado y Municipios, para que determine el grado de responsabilidad de quienes incumplan con las obligaciones de la presente Ley.</w:t>
      </w:r>
    </w:p>
    <w:p w14:paraId="36C09557"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b/>
          <w:i/>
          <w:sz w:val="22"/>
        </w:rPr>
        <w:t>El Instituto emitirá las resoluciones que impongan sanciones</w:t>
      </w:r>
      <w:r w:rsidRPr="00F326FC">
        <w:rPr>
          <w:rFonts w:ascii="Palatino Linotype" w:hAnsi="Palatino Linotype"/>
          <w:i/>
          <w:sz w:val="22"/>
        </w:rPr>
        <w:t xml:space="preserve"> para efectos de registro a la Secretaría de la Contraloría del Gobierno del Estado de México y a las instancias homólogas de los demás sujetos obligados. </w:t>
      </w:r>
    </w:p>
    <w:p w14:paraId="3EC8B644" w14:textId="152DEE7E"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b/>
          <w:i/>
          <w:sz w:val="22"/>
        </w:rPr>
        <w:t xml:space="preserve">El Instituto, por acuerdo del Pleno podrá realizar un </w:t>
      </w:r>
      <w:r w:rsidRPr="00F326FC">
        <w:rPr>
          <w:rFonts w:ascii="Palatino Linotype" w:hAnsi="Palatino Linotype"/>
          <w:b/>
          <w:i/>
          <w:sz w:val="22"/>
          <w:u w:val="single"/>
        </w:rPr>
        <w:t>extrañamiento público</w:t>
      </w:r>
      <w:r w:rsidRPr="00F326FC">
        <w:rPr>
          <w:rFonts w:ascii="Palatino Linotype" w:hAnsi="Palatino Linotype"/>
          <w:b/>
          <w:i/>
          <w:sz w:val="22"/>
        </w:rPr>
        <w:t xml:space="preserve"> al sujeto obligado que actualice alguna de las causas de responsabilidad administrativa,</w:t>
      </w:r>
      <w:r w:rsidRPr="00F326FC">
        <w:rPr>
          <w:rFonts w:ascii="Palatino Linotype" w:hAnsi="Palatino Linotype"/>
          <w:i/>
          <w:sz w:val="22"/>
        </w:rPr>
        <w:t xml:space="preserve"> establecidas en esta Ley y en la Ley de Responsabilidades de los Servidores Públicos del Estado y Municipios, sin necesidad de que inicie el procedimiento administrativo disciplinario. </w:t>
      </w:r>
    </w:p>
    <w:p w14:paraId="1EC97283" w14:textId="77777777" w:rsidR="00C321CE" w:rsidRPr="00F326FC" w:rsidRDefault="00C321CE" w:rsidP="00C321CE">
      <w:pPr>
        <w:spacing w:before="120" w:after="120"/>
        <w:ind w:left="851" w:right="902"/>
        <w:jc w:val="both"/>
        <w:rPr>
          <w:rFonts w:ascii="Palatino Linotype" w:hAnsi="Palatino Linotype"/>
          <w:i/>
          <w:sz w:val="22"/>
        </w:rPr>
      </w:pPr>
      <w:r w:rsidRPr="00F326FC">
        <w:rPr>
          <w:rFonts w:ascii="Palatino Linotype" w:hAnsi="Palatino Linotype"/>
          <w:b/>
          <w:i/>
          <w:sz w:val="22"/>
          <w:u w:val="single"/>
        </w:rPr>
        <w:t>Las sanciones de carácter económico</w:t>
      </w:r>
      <w:r w:rsidRPr="00F326FC">
        <w:rPr>
          <w:rFonts w:ascii="Palatino Linotype" w:hAnsi="Palatino Linotype"/>
          <w:i/>
          <w:sz w:val="22"/>
        </w:rPr>
        <w:t xml:space="preserve"> no podrán ser cubiertas con recursos públicos. </w:t>
      </w:r>
    </w:p>
    <w:p w14:paraId="58E31877" w14:textId="6F2A966A" w:rsidR="00C321CE" w:rsidRPr="00F326FC" w:rsidRDefault="00C321CE" w:rsidP="00C321CE">
      <w:pPr>
        <w:spacing w:before="120" w:after="120"/>
        <w:ind w:left="851" w:right="902"/>
        <w:jc w:val="both"/>
        <w:rPr>
          <w:rFonts w:ascii="Palatino Linotype" w:hAnsi="Palatino Linotype"/>
          <w:i/>
          <w:sz w:val="20"/>
          <w:szCs w:val="22"/>
        </w:rPr>
      </w:pPr>
      <w:r w:rsidRPr="00F326FC">
        <w:rPr>
          <w:rFonts w:ascii="Palatino Linotype" w:hAnsi="Palatino Linotype"/>
          <w:b/>
          <w:i/>
          <w:sz w:val="22"/>
        </w:rPr>
        <w:t>Las conductas a que se refiere este artículo serán sancionadas por el Instituto</w:t>
      </w:r>
      <w:r w:rsidRPr="00F326FC">
        <w:rPr>
          <w:rFonts w:ascii="Palatino Linotype" w:hAnsi="Palatino Linotype"/>
          <w:i/>
          <w:sz w:val="22"/>
        </w:rPr>
        <w:t xml:space="preserve">, de conformidad con lo previsto en la Ley de Responsabilidades de los Servidores Públicos del Estado de México y Municipios. </w:t>
      </w:r>
      <w:r w:rsidRPr="00F326FC">
        <w:rPr>
          <w:rFonts w:ascii="Palatino Linotype" w:hAnsi="Palatino Linotype"/>
          <w:b/>
          <w:i/>
          <w:sz w:val="22"/>
          <w:u w:val="single"/>
        </w:rPr>
        <w:t>En su caso, darán vista a la autoridad competente para que imponga o ejecute la sanción</w:t>
      </w:r>
      <w:r w:rsidRPr="00F326FC">
        <w:rPr>
          <w:rFonts w:ascii="Palatino Linotype" w:hAnsi="Palatino Linotype"/>
          <w:i/>
          <w:sz w:val="22"/>
        </w:rPr>
        <w:t>.”</w:t>
      </w:r>
    </w:p>
    <w:p w14:paraId="03816F74" w14:textId="61AFF8C4" w:rsidR="005B1A3E" w:rsidRPr="00F326FC" w:rsidRDefault="00931F02" w:rsidP="00022CE2">
      <w:pPr>
        <w:spacing w:before="240" w:after="240" w:line="360" w:lineRule="auto"/>
        <w:jc w:val="both"/>
        <w:rPr>
          <w:rFonts w:ascii="Palatino Linotype" w:hAnsi="Palatino Linotype"/>
          <w:sz w:val="22"/>
          <w:szCs w:val="22"/>
        </w:rPr>
      </w:pPr>
      <w:r w:rsidRPr="00F326FC">
        <w:rPr>
          <w:rFonts w:ascii="Palatino Linotype" w:hAnsi="Palatino Linotype"/>
          <w:sz w:val="22"/>
          <w:szCs w:val="22"/>
        </w:rPr>
        <w:t xml:space="preserve">Como se advierte, </w:t>
      </w:r>
      <w:r w:rsidR="005A363E" w:rsidRPr="00F326FC">
        <w:rPr>
          <w:rFonts w:ascii="Palatino Linotype" w:hAnsi="Palatino Linotype"/>
          <w:sz w:val="22"/>
          <w:szCs w:val="22"/>
        </w:rPr>
        <w:t xml:space="preserve">los preceptos citados por el </w:t>
      </w:r>
      <w:r w:rsidR="005A363E" w:rsidRPr="00F326FC">
        <w:rPr>
          <w:rFonts w:ascii="Palatino Linotype" w:hAnsi="Palatino Linotype"/>
          <w:b/>
          <w:sz w:val="22"/>
          <w:szCs w:val="22"/>
        </w:rPr>
        <w:t xml:space="preserve">Sujeto Obligado </w:t>
      </w:r>
      <w:r w:rsidR="005A363E" w:rsidRPr="00F326FC">
        <w:rPr>
          <w:rFonts w:ascii="Palatino Linotype" w:hAnsi="Palatino Linotype"/>
          <w:sz w:val="22"/>
          <w:szCs w:val="22"/>
        </w:rPr>
        <w:t>refieren</w:t>
      </w:r>
      <w:r w:rsidR="00A810BD" w:rsidRPr="00F326FC">
        <w:rPr>
          <w:rFonts w:ascii="Palatino Linotype" w:hAnsi="Palatino Linotype"/>
          <w:sz w:val="22"/>
          <w:szCs w:val="22"/>
        </w:rPr>
        <w:t xml:space="preserve"> las conductas que son </w:t>
      </w:r>
      <w:r w:rsidR="0097726A" w:rsidRPr="00F326FC">
        <w:rPr>
          <w:rFonts w:ascii="Palatino Linotype" w:hAnsi="Palatino Linotype"/>
          <w:sz w:val="22"/>
          <w:szCs w:val="22"/>
        </w:rPr>
        <w:t xml:space="preserve">causas de responsabilidad administrativa por incumplimiento de las obligaciones establecidas en la materia de la Ley de Transparencia y Acceso a la Información Pública del Estado de México y Municipios, las cuales </w:t>
      </w:r>
      <w:r w:rsidR="0097726A" w:rsidRPr="00F326FC">
        <w:rPr>
          <w:rFonts w:ascii="Palatino Linotype" w:hAnsi="Palatino Linotype"/>
          <w:b/>
          <w:sz w:val="22"/>
          <w:szCs w:val="22"/>
          <w:u w:val="single"/>
        </w:rPr>
        <w:t>son sancionadas</w:t>
      </w:r>
      <w:r w:rsidR="005B1A3E" w:rsidRPr="00F326FC">
        <w:rPr>
          <w:rFonts w:ascii="Palatino Linotype" w:hAnsi="Palatino Linotype"/>
          <w:b/>
          <w:sz w:val="22"/>
          <w:szCs w:val="22"/>
          <w:u w:val="single"/>
        </w:rPr>
        <w:t xml:space="preserve"> </w:t>
      </w:r>
      <w:r w:rsidR="007A384E" w:rsidRPr="00F326FC">
        <w:rPr>
          <w:rFonts w:ascii="Palatino Linotype" w:hAnsi="Palatino Linotype"/>
          <w:b/>
          <w:sz w:val="22"/>
          <w:szCs w:val="22"/>
          <w:u w:val="single"/>
        </w:rPr>
        <w:t>económicas</w:t>
      </w:r>
      <w:r w:rsidR="0097726A" w:rsidRPr="00F326FC">
        <w:rPr>
          <w:rFonts w:ascii="Palatino Linotype" w:hAnsi="Palatino Linotype"/>
          <w:b/>
          <w:sz w:val="22"/>
          <w:szCs w:val="22"/>
          <w:u w:val="single"/>
        </w:rPr>
        <w:t xml:space="preserve"> por este Instituto</w:t>
      </w:r>
      <w:r w:rsidR="00FF0283" w:rsidRPr="00F326FC">
        <w:rPr>
          <w:rFonts w:ascii="Palatino Linotype" w:hAnsi="Palatino Linotype"/>
          <w:b/>
          <w:sz w:val="22"/>
          <w:szCs w:val="22"/>
          <w:u w:val="single"/>
        </w:rPr>
        <w:t xml:space="preserve"> mediante una resolución</w:t>
      </w:r>
      <w:r w:rsidR="00FF0283" w:rsidRPr="00F326FC">
        <w:rPr>
          <w:rFonts w:ascii="Palatino Linotype" w:hAnsi="Palatino Linotype"/>
          <w:sz w:val="22"/>
          <w:szCs w:val="22"/>
        </w:rPr>
        <w:t xml:space="preserve">, </w:t>
      </w:r>
      <w:r w:rsidR="00022CE2" w:rsidRPr="00F326FC">
        <w:rPr>
          <w:rFonts w:ascii="Palatino Linotype" w:hAnsi="Palatino Linotype"/>
          <w:sz w:val="22"/>
          <w:szCs w:val="22"/>
        </w:rPr>
        <w:t xml:space="preserve">para efectos de registro a la Secretaría de la Contraloría del Gobierno del Estado de México y </w:t>
      </w:r>
      <w:r w:rsidR="00E56047" w:rsidRPr="00F326FC">
        <w:rPr>
          <w:rFonts w:ascii="Palatino Linotype" w:hAnsi="Palatino Linotype"/>
          <w:sz w:val="22"/>
          <w:szCs w:val="22"/>
        </w:rPr>
        <w:t>en</w:t>
      </w:r>
      <w:r w:rsidR="00022CE2" w:rsidRPr="00F326FC">
        <w:rPr>
          <w:rFonts w:ascii="Palatino Linotype" w:hAnsi="Palatino Linotype"/>
          <w:sz w:val="22"/>
          <w:szCs w:val="22"/>
        </w:rPr>
        <w:t xml:space="preserve"> las instancias homólogas de los demás sujetos obligados</w:t>
      </w:r>
      <w:r w:rsidR="00E56047" w:rsidRPr="00F326FC">
        <w:rPr>
          <w:rFonts w:ascii="Palatino Linotype" w:hAnsi="Palatino Linotype"/>
          <w:sz w:val="22"/>
          <w:szCs w:val="22"/>
        </w:rPr>
        <w:t xml:space="preserve">, sin embargo, </w:t>
      </w:r>
      <w:r w:rsidR="00E56047" w:rsidRPr="00F326FC">
        <w:rPr>
          <w:rFonts w:ascii="Palatino Linotype" w:hAnsi="Palatino Linotype"/>
          <w:b/>
          <w:sz w:val="22"/>
          <w:szCs w:val="22"/>
          <w:u w:val="single"/>
        </w:rPr>
        <w:t xml:space="preserve">dichas sanciones se aplican atendiendo a la gravedad de la falta y, en su caso, las condiciones económicas del presunto responsable, asimismo, se toma en consideración la reincidencia en que incurran los servidores públicos al momento de determinar la aplicación </w:t>
      </w:r>
      <w:r w:rsidR="005B1A3E" w:rsidRPr="00F326FC">
        <w:rPr>
          <w:rFonts w:ascii="Palatino Linotype" w:hAnsi="Palatino Linotype"/>
          <w:b/>
          <w:sz w:val="22"/>
          <w:szCs w:val="22"/>
          <w:u w:val="single"/>
        </w:rPr>
        <w:t>de la sanción correspondiente</w:t>
      </w:r>
      <w:r w:rsidR="005B1A3E" w:rsidRPr="00F326FC">
        <w:rPr>
          <w:rFonts w:ascii="Palatino Linotype" w:hAnsi="Palatino Linotype"/>
          <w:sz w:val="22"/>
          <w:szCs w:val="22"/>
        </w:rPr>
        <w:t>, por consiguiente, se tiene por satisfecho el punto en análisis.</w:t>
      </w:r>
    </w:p>
    <w:p w14:paraId="4BFB9A72" w14:textId="4DA4A37E" w:rsidR="00142073" w:rsidRPr="00F326FC" w:rsidRDefault="00142073" w:rsidP="00142073">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De lo hasta aquí expuesto, se concluye que los motivos de inconformidad de la parte </w:t>
      </w:r>
      <w:r w:rsidRPr="00F326FC">
        <w:rPr>
          <w:rFonts w:ascii="Palatino Linotype" w:eastAsia="Palatino Linotype" w:hAnsi="Palatino Linotype" w:cs="Palatino Linotype"/>
          <w:b/>
          <w:sz w:val="22"/>
          <w:szCs w:val="22"/>
        </w:rPr>
        <w:t xml:space="preserve">Recurrente </w:t>
      </w:r>
      <w:r w:rsidRPr="00F326FC">
        <w:rPr>
          <w:rFonts w:ascii="Palatino Linotype" w:eastAsia="Palatino Linotype" w:hAnsi="Palatino Linotype" w:cs="Palatino Linotype"/>
          <w:sz w:val="22"/>
          <w:szCs w:val="22"/>
        </w:rPr>
        <w:t xml:space="preserve">devienen fundados, siendo procedente </w:t>
      </w:r>
      <w:r w:rsidR="005B1A3E" w:rsidRPr="00F326FC">
        <w:rPr>
          <w:rFonts w:ascii="Palatino Linotype" w:eastAsia="Palatino Linotype" w:hAnsi="Palatino Linotype" w:cs="Palatino Linotype"/>
          <w:i/>
          <w:iCs/>
          <w:sz w:val="22"/>
          <w:szCs w:val="22"/>
        </w:rPr>
        <w:t>Modificar</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sz w:val="22"/>
          <w:szCs w:val="22"/>
        </w:rPr>
        <w:t xml:space="preserve">la respuesta proporcionada por el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en términos del artículo 186 fracción III de la Ley de Transparencia y Acceso a la Información Pública del Estado de México y Municipios.</w:t>
      </w:r>
    </w:p>
    <w:p w14:paraId="7AD84F9D" w14:textId="77777777" w:rsidR="00142073" w:rsidRPr="00F326FC" w:rsidRDefault="00142073" w:rsidP="00142073">
      <w:pPr>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 xml:space="preserve">Quinto. Versión Pública. </w:t>
      </w:r>
      <w:r w:rsidRPr="00F326FC">
        <w:rPr>
          <w:rFonts w:ascii="Palatino Linotype" w:eastAsia="Palatino Linotype" w:hAnsi="Palatino Linotype" w:cs="Palatino Linotype"/>
          <w:sz w:val="22"/>
          <w:szCs w:val="22"/>
        </w:rPr>
        <w:t>Como fue debidamente apuntado, 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77333B8" w14:textId="77777777" w:rsidR="00142073" w:rsidRPr="00F326FC" w:rsidRDefault="00142073" w:rsidP="00142073">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7993F315" w14:textId="77777777" w:rsidR="00142073" w:rsidRPr="00F326FC" w:rsidRDefault="00142073" w:rsidP="00142073">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3BE15348" w14:textId="77777777" w:rsidR="00142073" w:rsidRPr="00F326FC" w:rsidRDefault="00142073" w:rsidP="00142073">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4E44C54D"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sz w:val="22"/>
          <w:szCs w:val="22"/>
        </w:rPr>
        <w:t> </w:t>
      </w: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3.</w:t>
      </w:r>
      <w:r w:rsidRPr="00F326FC">
        <w:rPr>
          <w:rFonts w:ascii="Palatino Linotype" w:eastAsia="Palatino Linotype" w:hAnsi="Palatino Linotype" w:cs="Palatino Linotype"/>
          <w:i/>
          <w:sz w:val="22"/>
          <w:szCs w:val="22"/>
        </w:rPr>
        <w:t xml:space="preserve"> Para los efectos de la presente Ley se entenderá por:</w:t>
      </w:r>
    </w:p>
    <w:p w14:paraId="3F51F423"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460FC266"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IX. Datos personales</w:t>
      </w:r>
      <w:r w:rsidRPr="00F326FC">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65A19B2B"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03CAB1D7"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XX. Información clasificada</w:t>
      </w:r>
      <w:r w:rsidRPr="00F326FC">
        <w:rPr>
          <w:rFonts w:ascii="Palatino Linotype" w:eastAsia="Palatino Linotype" w:hAnsi="Palatino Linotype" w:cs="Palatino Linotype"/>
          <w:i/>
          <w:sz w:val="22"/>
          <w:szCs w:val="22"/>
        </w:rPr>
        <w:t>: Aquella considerada por la presente Ley como reservada o confidencial;</w:t>
      </w:r>
    </w:p>
    <w:p w14:paraId="12154A31"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XXI. Información confidencial</w:t>
      </w:r>
      <w:r w:rsidRPr="00F326FC">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5CBFF68"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0E122F2C"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XXXII. Protección de Datos Personales</w:t>
      </w:r>
      <w:r w:rsidRPr="00F326FC">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6AA85E28"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5831270E" w14:textId="77777777" w:rsidR="00142073" w:rsidRPr="00F326FC" w:rsidRDefault="00142073" w:rsidP="00142073">
      <w:pPr>
        <w:tabs>
          <w:tab w:val="left" w:pos="1276"/>
        </w:tabs>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XLV. Versión pública</w:t>
      </w:r>
      <w:r w:rsidRPr="00F326FC">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70B42DF5"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 Artículo 6</w:t>
      </w:r>
      <w:r w:rsidRPr="00F326FC">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B540318"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7107898E"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Artículo 91.</w:t>
      </w:r>
      <w:r w:rsidRPr="00F326FC">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F326FC">
        <w:rPr>
          <w:rFonts w:ascii="Palatino Linotype" w:eastAsia="Palatino Linotype" w:hAnsi="Palatino Linotype" w:cs="Palatino Linotype"/>
          <w:i/>
          <w:sz w:val="22"/>
          <w:szCs w:val="22"/>
        </w:rPr>
        <w:br/>
        <w:t>…</w:t>
      </w:r>
    </w:p>
    <w:p w14:paraId="4935049F"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Artículo 132.</w:t>
      </w:r>
      <w:r w:rsidRPr="00F326FC">
        <w:rPr>
          <w:rFonts w:ascii="Palatino Linotype" w:eastAsia="Palatino Linotype" w:hAnsi="Palatino Linotype" w:cs="Palatino Linotype"/>
          <w:i/>
          <w:sz w:val="22"/>
          <w:szCs w:val="22"/>
        </w:rPr>
        <w:t xml:space="preserve"> La clasificación de la información se llevará a cabo en el momento en que:</w:t>
      </w:r>
    </w:p>
    <w:p w14:paraId="11FF214E"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Se reciba una solicitud de acceso a la información;</w:t>
      </w:r>
    </w:p>
    <w:p w14:paraId="03AD6323"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xml:space="preserve"> Se determine mediante resolución de autoridad competente; o</w:t>
      </w:r>
    </w:p>
    <w:p w14:paraId="2DC0F93A"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w:t>
      </w:r>
      <w:r w:rsidRPr="00F326FC">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5F25F2CC"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w:t>
      </w:r>
    </w:p>
    <w:p w14:paraId="4DE055F3"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Artículo 137.</w:t>
      </w:r>
      <w:r w:rsidRPr="00F326FC">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324E1CF3"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 Artículo 143.</w:t>
      </w:r>
      <w:r w:rsidRPr="00F326FC">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79B96FAA"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59FDC158" w14:textId="77777777" w:rsidR="00142073" w:rsidRPr="00F326FC" w:rsidRDefault="00142073" w:rsidP="00142073">
      <w:pPr>
        <w:spacing w:before="240" w:after="240" w:line="360" w:lineRule="auto"/>
        <w:ind w:right="50"/>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6EF3F15" w14:textId="77777777" w:rsidR="00142073" w:rsidRPr="00F326FC" w:rsidRDefault="00142073" w:rsidP="00142073">
      <w:pPr>
        <w:spacing w:before="240" w:after="240" w:line="360" w:lineRule="auto"/>
        <w:ind w:right="50"/>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5353FAF8" w14:textId="77777777" w:rsidR="00142073" w:rsidRPr="00F326FC" w:rsidRDefault="00142073" w:rsidP="00142073">
      <w:pPr>
        <w:spacing w:before="240" w:after="240" w:line="360" w:lineRule="auto"/>
        <w:ind w:right="50"/>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7CFDD20"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“Artículo 49.</w:t>
      </w:r>
      <w:r w:rsidRPr="00F326FC">
        <w:rPr>
          <w:rFonts w:ascii="Palatino Linotype" w:eastAsia="Palatino Linotype" w:hAnsi="Palatino Linotype" w:cs="Palatino Linotype"/>
          <w:i/>
          <w:sz w:val="22"/>
          <w:szCs w:val="22"/>
        </w:rPr>
        <w:t xml:space="preserve"> </w:t>
      </w:r>
      <w:r w:rsidRPr="00F326FC">
        <w:rPr>
          <w:rFonts w:ascii="Palatino Linotype" w:eastAsia="Palatino Linotype" w:hAnsi="Palatino Linotype" w:cs="Palatino Linotype"/>
          <w:b/>
          <w:i/>
          <w:sz w:val="22"/>
          <w:szCs w:val="22"/>
        </w:rPr>
        <w:t>Los Comités de Transparencia</w:t>
      </w:r>
      <w:r w:rsidRPr="00F326FC">
        <w:rPr>
          <w:rFonts w:ascii="Palatino Linotype" w:eastAsia="Palatino Linotype" w:hAnsi="Palatino Linotype" w:cs="Palatino Linotype"/>
          <w:i/>
          <w:sz w:val="22"/>
          <w:szCs w:val="22"/>
        </w:rPr>
        <w:t xml:space="preserve"> tendrán las siguientes atribuciones:</w:t>
      </w:r>
    </w:p>
    <w:p w14:paraId="5C62F714"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VIII. Aprobar, modificar o revocar la clasificación de la información</w:t>
      </w:r>
      <w:r w:rsidRPr="00F326FC">
        <w:rPr>
          <w:rFonts w:ascii="Palatino Linotype" w:eastAsia="Palatino Linotype" w:hAnsi="Palatino Linotype" w:cs="Palatino Linotype"/>
          <w:i/>
          <w:sz w:val="22"/>
          <w:szCs w:val="22"/>
        </w:rPr>
        <w:t>…”</w:t>
      </w:r>
    </w:p>
    <w:p w14:paraId="5BADAE07"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53.</w:t>
      </w:r>
      <w:r w:rsidRPr="00F326FC">
        <w:rPr>
          <w:rFonts w:ascii="Palatino Linotype" w:eastAsia="Palatino Linotype" w:hAnsi="Palatino Linotype" w:cs="Palatino Linotype"/>
          <w:i/>
          <w:sz w:val="22"/>
          <w:szCs w:val="22"/>
        </w:rPr>
        <w:t xml:space="preserve"> Las </w:t>
      </w:r>
      <w:r w:rsidRPr="00F326FC">
        <w:rPr>
          <w:rFonts w:ascii="Palatino Linotype" w:eastAsia="Palatino Linotype" w:hAnsi="Palatino Linotype" w:cs="Palatino Linotype"/>
          <w:b/>
          <w:i/>
          <w:sz w:val="22"/>
          <w:szCs w:val="22"/>
        </w:rPr>
        <w:t>Unidades de Transparencia</w:t>
      </w:r>
      <w:r w:rsidRPr="00F326FC">
        <w:rPr>
          <w:rFonts w:ascii="Palatino Linotype" w:eastAsia="Palatino Linotype" w:hAnsi="Palatino Linotype" w:cs="Palatino Linotype"/>
          <w:i/>
          <w:sz w:val="22"/>
          <w:szCs w:val="22"/>
        </w:rPr>
        <w:t xml:space="preserve"> tendrán las siguientes </w:t>
      </w:r>
      <w:r w:rsidRPr="00F326FC">
        <w:rPr>
          <w:rFonts w:ascii="Palatino Linotype" w:eastAsia="Palatino Linotype" w:hAnsi="Palatino Linotype" w:cs="Palatino Linotype"/>
          <w:b/>
          <w:i/>
          <w:sz w:val="22"/>
          <w:szCs w:val="22"/>
        </w:rPr>
        <w:t>funciones</w:t>
      </w:r>
      <w:r w:rsidRPr="00F326FC">
        <w:rPr>
          <w:rFonts w:ascii="Palatino Linotype" w:eastAsia="Palatino Linotype" w:hAnsi="Palatino Linotype" w:cs="Palatino Linotype"/>
          <w:i/>
          <w:sz w:val="22"/>
          <w:szCs w:val="22"/>
        </w:rPr>
        <w:t>:</w:t>
      </w:r>
    </w:p>
    <w:p w14:paraId="30FA34BC"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X. Presentar ante el Comité, el proyecto de clasificación de información</w:t>
      </w:r>
      <w:r w:rsidRPr="00F326FC">
        <w:rPr>
          <w:rFonts w:ascii="Palatino Linotype" w:eastAsia="Palatino Linotype" w:hAnsi="Palatino Linotype" w:cs="Palatino Linotype"/>
          <w:i/>
          <w:sz w:val="22"/>
          <w:szCs w:val="22"/>
        </w:rPr>
        <w:t xml:space="preserve">…” </w:t>
      </w:r>
    </w:p>
    <w:p w14:paraId="09C5E33F"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“Artículo 59.</w:t>
      </w:r>
      <w:r w:rsidRPr="00F326FC">
        <w:rPr>
          <w:rFonts w:ascii="Palatino Linotype" w:eastAsia="Palatino Linotype" w:hAnsi="Palatino Linotype" w:cs="Palatino Linotype"/>
          <w:i/>
          <w:sz w:val="22"/>
          <w:szCs w:val="22"/>
        </w:rPr>
        <w:t xml:space="preserve"> Los </w:t>
      </w:r>
      <w:r w:rsidRPr="00F326FC">
        <w:rPr>
          <w:rFonts w:ascii="Palatino Linotype" w:eastAsia="Palatino Linotype" w:hAnsi="Palatino Linotype" w:cs="Palatino Linotype"/>
          <w:b/>
          <w:i/>
          <w:sz w:val="22"/>
          <w:szCs w:val="22"/>
        </w:rPr>
        <w:t>servidores públicos habilitados</w:t>
      </w:r>
      <w:r w:rsidRPr="00F326FC">
        <w:rPr>
          <w:rFonts w:ascii="Palatino Linotype" w:eastAsia="Palatino Linotype" w:hAnsi="Palatino Linotype" w:cs="Palatino Linotype"/>
          <w:i/>
          <w:sz w:val="22"/>
          <w:szCs w:val="22"/>
        </w:rPr>
        <w:t xml:space="preserve"> tendrán las </w:t>
      </w:r>
      <w:r w:rsidRPr="00F326FC">
        <w:rPr>
          <w:rFonts w:ascii="Palatino Linotype" w:eastAsia="Palatino Linotype" w:hAnsi="Palatino Linotype" w:cs="Palatino Linotype"/>
          <w:b/>
          <w:i/>
          <w:sz w:val="22"/>
          <w:szCs w:val="22"/>
        </w:rPr>
        <w:t>funciones</w:t>
      </w:r>
      <w:r w:rsidRPr="00F326FC">
        <w:rPr>
          <w:rFonts w:ascii="Palatino Linotype" w:eastAsia="Palatino Linotype" w:hAnsi="Palatino Linotype" w:cs="Palatino Linotype"/>
          <w:i/>
          <w:sz w:val="22"/>
          <w:szCs w:val="22"/>
        </w:rPr>
        <w:t xml:space="preserve"> siguientes:</w:t>
      </w:r>
    </w:p>
    <w:p w14:paraId="07AB9E4A"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F326FC">
        <w:rPr>
          <w:rFonts w:ascii="Palatino Linotype" w:eastAsia="Palatino Linotype" w:hAnsi="Palatino Linotype" w:cs="Palatino Linotype"/>
          <w:i/>
          <w:sz w:val="22"/>
          <w:szCs w:val="22"/>
        </w:rPr>
        <w:t>, la cual tendrá los fundamentos y argumentos en que se basa dicha propuesta…”</w:t>
      </w:r>
    </w:p>
    <w:p w14:paraId="5DE42B69" w14:textId="77777777" w:rsidR="00142073" w:rsidRPr="00F326FC" w:rsidRDefault="00142073" w:rsidP="00142073">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56253A2" w14:textId="77777777" w:rsidR="00142073" w:rsidRPr="00F326FC" w:rsidRDefault="00142073" w:rsidP="00142073">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A su vez, en el caso de información de carácter confidencial, se debe atender a lo que señala el artículo 149 de la Ley de Transparencia Local vigente, que se lee como sigue:</w:t>
      </w:r>
    </w:p>
    <w:p w14:paraId="782F2452"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Artículo 149.</w:t>
      </w:r>
      <w:r w:rsidRPr="00F326FC">
        <w:rPr>
          <w:rFonts w:ascii="Palatino Linotype" w:eastAsia="Palatino Linotype" w:hAnsi="Palatino Linotype" w:cs="Palatino Linotype"/>
          <w:i/>
          <w:sz w:val="22"/>
          <w:szCs w:val="22"/>
        </w:rPr>
        <w:t xml:space="preserve"> El </w:t>
      </w:r>
      <w:r w:rsidRPr="00F326FC">
        <w:rPr>
          <w:rFonts w:ascii="Palatino Linotype" w:eastAsia="Palatino Linotype" w:hAnsi="Palatino Linotype" w:cs="Palatino Linotype"/>
          <w:b/>
          <w:i/>
          <w:sz w:val="22"/>
          <w:szCs w:val="22"/>
        </w:rPr>
        <w:t>acuerdo que clasifique la información como confidencial</w:t>
      </w:r>
      <w:r w:rsidRPr="00F326FC">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43916004" w14:textId="77777777" w:rsidR="00142073" w:rsidRPr="00F326FC" w:rsidRDefault="00142073" w:rsidP="00142073">
      <w:pPr>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Es decir, 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3B1D479B" w14:textId="77777777" w:rsidR="00142073" w:rsidRPr="00F326FC" w:rsidRDefault="00142073" w:rsidP="00142073">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D50CA17"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 xml:space="preserve"> “Quincuagésimo. </w:t>
      </w:r>
      <w:r w:rsidRPr="00F326FC">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F65CAD1"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 xml:space="preserve">Quincuagésimo primero. </w:t>
      </w:r>
      <w:r w:rsidRPr="00F326FC">
        <w:rPr>
          <w:rFonts w:ascii="Palatino Linotype" w:eastAsia="Palatino Linotype" w:hAnsi="Palatino Linotype" w:cs="Palatino Linotype"/>
          <w:i/>
          <w:sz w:val="22"/>
          <w:szCs w:val="22"/>
        </w:rPr>
        <w:t xml:space="preserve">Toda acta del Comité de Transparencia deberá contener: </w:t>
      </w:r>
    </w:p>
    <w:p w14:paraId="0F229483"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xml:space="preserve"> El número de sesión y fecha; </w:t>
      </w:r>
    </w:p>
    <w:p w14:paraId="3CA81E3C"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xml:space="preserve">. El nombre del área que solicitó la clasificación de información; </w:t>
      </w:r>
    </w:p>
    <w:p w14:paraId="189CC9ED"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w:t>
      </w:r>
      <w:r w:rsidRPr="00F326FC">
        <w:rPr>
          <w:rFonts w:ascii="Palatino Linotype" w:eastAsia="Palatino Linotype" w:hAnsi="Palatino Linotype" w:cs="Palatino Linotype"/>
          <w:i/>
          <w:sz w:val="22"/>
          <w:szCs w:val="22"/>
        </w:rPr>
        <w:t xml:space="preserve">. La fundamentación legal y motivación correspondiente; </w:t>
      </w:r>
    </w:p>
    <w:p w14:paraId="51FB52AD"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IV</w:t>
      </w:r>
      <w:r w:rsidRPr="00F326FC">
        <w:rPr>
          <w:rFonts w:ascii="Palatino Linotype" w:eastAsia="Palatino Linotype" w:hAnsi="Palatino Linotype" w:cs="Palatino Linotype"/>
          <w:i/>
          <w:sz w:val="22"/>
          <w:szCs w:val="22"/>
        </w:rPr>
        <w:t xml:space="preserve">. La resolución o resoluciones aprobadas; y </w:t>
      </w:r>
    </w:p>
    <w:p w14:paraId="319F9EED"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V</w:t>
      </w:r>
      <w:r w:rsidRPr="00F326FC">
        <w:rPr>
          <w:rFonts w:ascii="Palatino Linotype" w:eastAsia="Palatino Linotype" w:hAnsi="Palatino Linotype" w:cs="Palatino Linotype"/>
          <w:i/>
          <w:sz w:val="22"/>
          <w:szCs w:val="22"/>
        </w:rPr>
        <w:t xml:space="preserve">. La rúbrica o firma digital de cada integrante del Comité de Transparencia. </w:t>
      </w:r>
    </w:p>
    <w:p w14:paraId="53A0A909"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5581AE49"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xml:space="preserve"> Los motivos y razonamientos que sustenten la confirmación o modificación de la prueba de daño;</w:t>
      </w:r>
    </w:p>
    <w:p w14:paraId="6B081590"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b/>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Descripción de las partes o secciones reservadas, en caso de clasificación parcial</w:t>
      </w:r>
      <w:r w:rsidRPr="00F326FC">
        <w:rPr>
          <w:rFonts w:ascii="Palatino Linotype" w:eastAsia="Palatino Linotype" w:hAnsi="Palatino Linotype" w:cs="Palatino Linotype"/>
          <w:b/>
          <w:i/>
          <w:sz w:val="22"/>
          <w:szCs w:val="22"/>
        </w:rPr>
        <w:t xml:space="preserve">; </w:t>
      </w:r>
    </w:p>
    <w:p w14:paraId="3030167F"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w:t>
      </w:r>
      <w:r w:rsidRPr="00F326FC">
        <w:rPr>
          <w:rFonts w:ascii="Palatino Linotype" w:eastAsia="Palatino Linotype" w:hAnsi="Palatino Linotype" w:cs="Palatino Linotype"/>
          <w:i/>
          <w:sz w:val="22"/>
          <w:szCs w:val="22"/>
        </w:rPr>
        <w:t xml:space="preserve"> El periodo por el que mantendrá su clasificación y fecha de expiración; y </w:t>
      </w:r>
    </w:p>
    <w:p w14:paraId="3FDBD03E"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IV.</w:t>
      </w:r>
      <w:r w:rsidRPr="00F326FC">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6ED0A6A6"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55961D1F" w14:textId="77777777" w:rsidR="00142073" w:rsidRPr="00F326FC" w:rsidRDefault="00142073" w:rsidP="00142073">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7AE820F9" w14:textId="77777777" w:rsidR="00142073" w:rsidRPr="00F326FC" w:rsidRDefault="00142073" w:rsidP="00142073">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3645F42F"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r w:rsidRPr="00F326FC">
        <w:rPr>
          <w:rFonts w:ascii="Palatino Linotype" w:eastAsia="Palatino Linotype" w:hAnsi="Palatino Linotype" w:cs="Palatino Linotype"/>
          <w:b/>
          <w:i/>
          <w:sz w:val="22"/>
          <w:szCs w:val="22"/>
        </w:rPr>
        <w:t>Quincuagésimo segundo</w:t>
      </w:r>
      <w:r w:rsidRPr="00F326FC">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F326FC">
        <w:rPr>
          <w:rFonts w:ascii="Palatino Linotype" w:eastAsia="Palatino Linotype" w:hAnsi="Palatino Linotype" w:cs="Palatino Linotype"/>
          <w:i/>
          <w:sz w:val="22"/>
          <w:szCs w:val="22"/>
        </w:rPr>
        <w:t>sobreposición</w:t>
      </w:r>
      <w:proofErr w:type="spellEnd"/>
      <w:r w:rsidRPr="00F326FC">
        <w:rPr>
          <w:rFonts w:ascii="Palatino Linotype" w:eastAsia="Palatino Linotype" w:hAnsi="Palatino Linotype" w:cs="Palatino Linotype"/>
          <w:i/>
          <w:sz w:val="22"/>
          <w:szCs w:val="22"/>
        </w:rPr>
        <w:t xml:space="preserve"> de contenido distinto al autorizado por el Comité.</w:t>
      </w:r>
    </w:p>
    <w:p w14:paraId="34B56F24"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2F75772B"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48698436"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1301F26C"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w:t>
      </w:r>
      <w:r w:rsidRPr="00F326FC">
        <w:rPr>
          <w:rFonts w:ascii="Palatino Linotype" w:eastAsia="Palatino Linotype" w:hAnsi="Palatino Linotype" w:cs="Palatino Linotype"/>
          <w:i/>
          <w:sz w:val="22"/>
          <w:szCs w:val="22"/>
        </w:rPr>
        <w:t xml:space="preserve"> Señalar las personas o instancias autorizadas a acceder a la información clasificada.</w:t>
      </w:r>
    </w:p>
    <w:p w14:paraId="4CBDD4CD" w14:textId="77777777" w:rsidR="00142073" w:rsidRPr="00F326FC" w:rsidRDefault="00142073" w:rsidP="00142073">
      <w:pP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2999A5D3" w14:textId="77777777" w:rsidR="00142073" w:rsidRPr="00F326FC" w:rsidRDefault="00142073" w:rsidP="00142073">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w:t>
      </w:r>
    </w:p>
    <w:p w14:paraId="067B51F8" w14:textId="77777777" w:rsidR="00142073" w:rsidRPr="00F326FC" w:rsidRDefault="00142073" w:rsidP="00142073">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F326FC">
        <w:rPr>
          <w:rFonts w:ascii="Palatino Linotype" w:eastAsia="Palatino Linotype" w:hAnsi="Palatino Linotype" w:cs="Palatino Linotype"/>
          <w:b/>
          <w:i/>
          <w:sz w:val="22"/>
          <w:szCs w:val="22"/>
        </w:rPr>
        <w:t xml:space="preserve">Quincuagésimo cuarto. </w:t>
      </w:r>
      <w:r w:rsidRPr="00F326FC">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F326FC">
        <w:rPr>
          <w:rFonts w:ascii="Palatino Linotype" w:eastAsia="Palatino Linotype" w:hAnsi="Palatino Linotype" w:cs="Palatino Linotype"/>
          <w:b/>
          <w:i/>
          <w:sz w:val="22"/>
          <w:szCs w:val="22"/>
        </w:rPr>
        <w:t xml:space="preserve"> </w:t>
      </w:r>
    </w:p>
    <w:p w14:paraId="4404410E"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 xml:space="preserve">Quincuagésimo quinto. </w:t>
      </w:r>
      <w:r w:rsidRPr="00F326FC">
        <w:rPr>
          <w:rFonts w:ascii="Palatino Linotype" w:eastAsia="Palatino Linotype" w:hAnsi="Palatino Linotype" w:cs="Palatino Linotype"/>
          <w:i/>
          <w:sz w:val="22"/>
          <w:szCs w:val="22"/>
        </w:rPr>
        <w:t xml:space="preserve">Cada área del sujeto obligado podrá designar formalmente a una o más personas como responsables del </w:t>
      </w:r>
      <w:proofErr w:type="spellStart"/>
      <w:r w:rsidRPr="00F326FC">
        <w:rPr>
          <w:rFonts w:ascii="Palatino Linotype" w:eastAsia="Palatino Linotype" w:hAnsi="Palatino Linotype" w:cs="Palatino Linotype"/>
          <w:i/>
          <w:sz w:val="22"/>
          <w:szCs w:val="22"/>
        </w:rPr>
        <w:t>testado</w:t>
      </w:r>
      <w:proofErr w:type="spellEnd"/>
      <w:r w:rsidRPr="00F326FC">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2408522" w14:textId="77777777" w:rsidR="00142073" w:rsidRPr="00F326FC" w:rsidRDefault="00142073" w:rsidP="00142073">
      <w:pPr>
        <w:spacing w:before="120" w:after="120"/>
        <w:ind w:left="851" w:right="902"/>
        <w:jc w:val="both"/>
        <w:rPr>
          <w:rFonts w:ascii="Palatino Linotype" w:eastAsia="Palatino Linotype" w:hAnsi="Palatino Linotype" w:cs="Palatino Linotype"/>
          <w:b/>
          <w:i/>
          <w:sz w:val="22"/>
          <w:szCs w:val="22"/>
        </w:rPr>
      </w:pPr>
      <w:r w:rsidRPr="00F326FC">
        <w:rPr>
          <w:rFonts w:ascii="Palatino Linotype" w:eastAsia="Palatino Linotype" w:hAnsi="Palatino Linotype" w:cs="Palatino Linotype"/>
          <w:b/>
          <w:i/>
          <w:sz w:val="22"/>
          <w:szCs w:val="22"/>
        </w:rPr>
        <w:t>...</w:t>
      </w:r>
    </w:p>
    <w:p w14:paraId="30405B65"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Quincuagésimo séptimo</w:t>
      </w:r>
      <w:r w:rsidRPr="00F326FC">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FFEF6DA"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w:t>
      </w:r>
      <w:r w:rsidRPr="00F326FC">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6350D5C5"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w:t>
      </w:r>
      <w:r w:rsidRPr="00F326FC">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2F25D8D5"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III</w:t>
      </w:r>
      <w:r w:rsidRPr="00F326FC">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9FC3D4B"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CC83EE3" w14:textId="77777777" w:rsidR="00142073" w:rsidRPr="00F326FC" w:rsidRDefault="00142073" w:rsidP="00142073">
      <w:pPr>
        <w:spacing w:before="120" w:after="120"/>
        <w:ind w:left="851" w:right="902"/>
        <w:jc w:val="both"/>
        <w:rPr>
          <w:rFonts w:ascii="Palatino Linotype" w:eastAsia="Palatino Linotype" w:hAnsi="Palatino Linotype" w:cs="Palatino Linotype"/>
          <w:i/>
          <w:sz w:val="22"/>
          <w:szCs w:val="22"/>
        </w:rPr>
      </w:pPr>
      <w:r w:rsidRPr="00F326FC">
        <w:rPr>
          <w:rFonts w:ascii="Palatino Linotype" w:eastAsia="Palatino Linotype" w:hAnsi="Palatino Linotype" w:cs="Palatino Linotype"/>
          <w:b/>
          <w:i/>
          <w:sz w:val="22"/>
          <w:szCs w:val="22"/>
        </w:rPr>
        <w:t>Quincuagésimo octavo</w:t>
      </w:r>
      <w:r w:rsidRPr="00F326FC">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378EF624" w14:textId="3930BF0D" w:rsidR="00193AE1" w:rsidRPr="00F326FC" w:rsidRDefault="00193AE1" w:rsidP="00193AE1">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Así, con fundamento en lo prescrito en los artículos </w:t>
      </w:r>
      <w:r w:rsidR="005D5DC9" w:rsidRPr="00F326FC">
        <w:rPr>
          <w:rFonts w:ascii="Palatino Linotype" w:eastAsia="Palatino Linotype" w:hAnsi="Palatino Linotype" w:cs="Palatino Linotype"/>
          <w:sz w:val="22"/>
          <w:szCs w:val="22"/>
        </w:rPr>
        <w:t xml:space="preserve">5 párrafos </w:t>
      </w:r>
      <w:r w:rsidR="000E700F" w:rsidRPr="00F326FC">
        <w:rPr>
          <w:rFonts w:ascii="Palatino Linotype" w:eastAsia="Palatino Linotype" w:hAnsi="Palatino Linotype" w:cs="Palatino Linotype"/>
          <w:sz w:val="22"/>
          <w:szCs w:val="22"/>
        </w:rPr>
        <w:t xml:space="preserve">cuadragésimo cuarto, cuadragésimo quinto cuadragésimo sexto, de la </w:t>
      </w:r>
      <w:r w:rsidR="005D5DC9" w:rsidRPr="00F326FC">
        <w:rPr>
          <w:rFonts w:ascii="Palatino Linotype" w:eastAsia="Palatino Linotype" w:hAnsi="Palatino Linotype" w:cs="Palatino Linotype"/>
          <w:sz w:val="22"/>
          <w:szCs w:val="22"/>
        </w:rPr>
        <w:t>Constitución Política del Estado Libre y Soberano de México; Transitorio Cuarto, párrafo segundo del Decreto número 198 de la “LXII” Legislatura del Estado de México;</w:t>
      </w:r>
      <w:r w:rsidRPr="00F326FC">
        <w:rPr>
          <w:rFonts w:ascii="Palatino Linotype" w:eastAsia="Palatino Linotype" w:hAnsi="Palatino Linotype" w:cs="Palatino Linotype"/>
          <w:sz w:val="22"/>
          <w:szCs w:val="22"/>
        </w:rPr>
        <w:t xml:space="preserve"> 2, fracción II; 29, 36 fracciones I y II; 176, 178, 181, 185 y 186 fracción II de la Ley de Transparencia y Acceso a la Información Pública del Estado de México y Municipios, este Pleno:</w:t>
      </w:r>
    </w:p>
    <w:p w14:paraId="4DE292A1" w14:textId="77777777" w:rsidR="00163B9E" w:rsidRPr="00F326FC" w:rsidRDefault="00163B9E" w:rsidP="00193AE1">
      <w:pPr>
        <w:spacing w:before="240" w:after="240" w:line="360" w:lineRule="auto"/>
        <w:jc w:val="both"/>
        <w:rPr>
          <w:rFonts w:ascii="Palatino Linotype" w:eastAsia="Palatino Linotype" w:hAnsi="Palatino Linotype" w:cs="Palatino Linotype"/>
          <w:sz w:val="22"/>
          <w:szCs w:val="22"/>
        </w:rPr>
      </w:pPr>
    </w:p>
    <w:p w14:paraId="0285A7B6" w14:textId="77777777" w:rsidR="00193AE1" w:rsidRPr="00F326FC" w:rsidRDefault="00193AE1" w:rsidP="00193AE1">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F326FC">
        <w:rPr>
          <w:rFonts w:ascii="Palatino Linotype" w:eastAsia="Palatino Linotype" w:hAnsi="Palatino Linotype" w:cs="Palatino Linotype"/>
          <w:b/>
          <w:sz w:val="22"/>
          <w:szCs w:val="22"/>
        </w:rPr>
        <w:t>III. R E S U E L V E</w:t>
      </w:r>
    </w:p>
    <w:p w14:paraId="077342EF" w14:textId="2EDF6962" w:rsidR="00BC7E6C" w:rsidRPr="00F326FC" w:rsidRDefault="00BC7E6C" w:rsidP="00BC7E6C">
      <w:pPr>
        <w:spacing w:before="240" w:after="240" w:line="360" w:lineRule="auto"/>
        <w:jc w:val="both"/>
        <w:rPr>
          <w:rFonts w:ascii="Palatino Linotype" w:eastAsia="Palatino Linotype" w:hAnsi="Palatino Linotype" w:cs="Palatino Linotype"/>
          <w:sz w:val="22"/>
          <w:szCs w:val="22"/>
        </w:rPr>
      </w:pPr>
      <w:bookmarkStart w:id="11" w:name="_heading=h.26in1rg" w:colFirst="0" w:colLast="0"/>
      <w:bookmarkStart w:id="12" w:name="_heading=h.lnxbz9" w:colFirst="0" w:colLast="0"/>
      <w:bookmarkEnd w:id="11"/>
      <w:bookmarkEnd w:id="12"/>
      <w:r w:rsidRPr="00F326FC">
        <w:rPr>
          <w:rFonts w:ascii="Palatino Linotype" w:eastAsia="Palatino Linotype" w:hAnsi="Palatino Linotype" w:cs="Palatino Linotype"/>
          <w:b/>
          <w:sz w:val="22"/>
          <w:szCs w:val="22"/>
        </w:rPr>
        <w:t xml:space="preserve">Primero. </w:t>
      </w:r>
      <w:r w:rsidRPr="00F326FC">
        <w:rPr>
          <w:rFonts w:ascii="Palatino Linotype" w:eastAsia="Palatino Linotype" w:hAnsi="Palatino Linotype" w:cs="Palatino Linotype"/>
          <w:sz w:val="22"/>
          <w:szCs w:val="22"/>
        </w:rPr>
        <w:t>Resultan</w:t>
      </w:r>
      <w:r w:rsidRPr="00F326FC">
        <w:rPr>
          <w:rFonts w:ascii="Palatino Linotype" w:eastAsia="Palatino Linotype" w:hAnsi="Palatino Linotype" w:cs="Palatino Linotype"/>
          <w:b/>
          <w:sz w:val="22"/>
          <w:szCs w:val="22"/>
        </w:rPr>
        <w:t xml:space="preserve"> fundadas</w:t>
      </w:r>
      <w:r w:rsidRPr="00F326FC">
        <w:rPr>
          <w:rFonts w:ascii="Palatino Linotype" w:eastAsia="Palatino Linotype" w:hAnsi="Palatino Linotype" w:cs="Palatino Linotype"/>
          <w:sz w:val="22"/>
          <w:szCs w:val="22"/>
        </w:rPr>
        <w:t xml:space="preserve"> las razones o motivos de inconformidad hechos valer por la parte</w:t>
      </w:r>
      <w:r w:rsidRPr="00F326FC">
        <w:rPr>
          <w:rFonts w:ascii="Palatino Linotype" w:eastAsia="Palatino Linotype" w:hAnsi="Palatino Linotype" w:cs="Palatino Linotype"/>
          <w:b/>
          <w:sz w:val="22"/>
          <w:szCs w:val="22"/>
        </w:rPr>
        <w:t xml:space="preserve"> Recurrente</w:t>
      </w:r>
      <w:r w:rsidRPr="00F326FC">
        <w:rPr>
          <w:rFonts w:ascii="Palatino Linotype" w:eastAsia="Palatino Linotype" w:hAnsi="Palatino Linotype" w:cs="Palatino Linotype"/>
          <w:sz w:val="22"/>
          <w:szCs w:val="22"/>
        </w:rPr>
        <w:t xml:space="preserve"> en el recurso de revisión </w:t>
      </w:r>
      <w:r w:rsidR="00163B9E" w:rsidRPr="00F326FC">
        <w:rPr>
          <w:rFonts w:ascii="Palatino Linotype" w:eastAsia="Palatino Linotype" w:hAnsi="Palatino Linotype" w:cs="Palatino Linotype"/>
          <w:b/>
          <w:sz w:val="22"/>
          <w:szCs w:val="22"/>
        </w:rPr>
        <w:t>094</w:t>
      </w:r>
      <w:r w:rsidR="007D7DDE" w:rsidRPr="00F326FC">
        <w:rPr>
          <w:rFonts w:ascii="Palatino Linotype" w:eastAsia="Palatino Linotype" w:hAnsi="Palatino Linotype" w:cs="Palatino Linotype"/>
          <w:b/>
          <w:sz w:val="22"/>
          <w:szCs w:val="22"/>
        </w:rPr>
        <w:t>04</w:t>
      </w:r>
      <w:r w:rsidRPr="00F326FC">
        <w:rPr>
          <w:rFonts w:ascii="Palatino Linotype" w:eastAsia="Palatino Linotype" w:hAnsi="Palatino Linotype" w:cs="Palatino Linotype"/>
          <w:b/>
          <w:sz w:val="22"/>
          <w:szCs w:val="22"/>
        </w:rPr>
        <w:t>/INFOEM/IP/RR/2025</w:t>
      </w:r>
      <w:r w:rsidRPr="00F326FC">
        <w:rPr>
          <w:rFonts w:ascii="Palatino Linotype" w:eastAsia="Palatino Linotype" w:hAnsi="Palatino Linotype" w:cs="Palatino Linotype"/>
          <w:sz w:val="22"/>
          <w:szCs w:val="22"/>
        </w:rPr>
        <w:t xml:space="preserve">; por lo que, en términos del </w:t>
      </w:r>
      <w:r w:rsidRPr="00F326FC">
        <w:rPr>
          <w:rFonts w:ascii="Palatino Linotype" w:eastAsia="Palatino Linotype" w:hAnsi="Palatino Linotype" w:cs="Palatino Linotype"/>
          <w:b/>
          <w:sz w:val="22"/>
          <w:szCs w:val="22"/>
        </w:rPr>
        <w:t>Considerando</w:t>
      </w:r>
      <w:r w:rsidRPr="00F326FC">
        <w:rPr>
          <w:rFonts w:ascii="Palatino Linotype" w:eastAsia="Palatino Linotype" w:hAnsi="Palatino Linotype" w:cs="Palatino Linotype"/>
          <w:sz w:val="22"/>
          <w:szCs w:val="22"/>
        </w:rPr>
        <w:t xml:space="preserve"> </w:t>
      </w:r>
      <w:r w:rsidRPr="00F326FC">
        <w:rPr>
          <w:rFonts w:ascii="Palatino Linotype" w:eastAsia="Palatino Linotype" w:hAnsi="Palatino Linotype" w:cs="Palatino Linotype"/>
          <w:b/>
          <w:sz w:val="22"/>
          <w:szCs w:val="22"/>
        </w:rPr>
        <w:t xml:space="preserve">Cuarto </w:t>
      </w:r>
      <w:r w:rsidRPr="00F326FC">
        <w:rPr>
          <w:rFonts w:ascii="Palatino Linotype" w:eastAsia="Palatino Linotype" w:hAnsi="Palatino Linotype" w:cs="Palatino Linotype"/>
          <w:sz w:val="22"/>
          <w:szCs w:val="22"/>
        </w:rPr>
        <w:t xml:space="preserve">de esta resolución, se </w:t>
      </w:r>
      <w:r w:rsidR="00696C01" w:rsidRPr="00F326FC">
        <w:rPr>
          <w:rFonts w:ascii="Palatino Linotype" w:eastAsia="Palatino Linotype" w:hAnsi="Palatino Linotype" w:cs="Palatino Linotype"/>
          <w:b/>
          <w:sz w:val="22"/>
          <w:szCs w:val="22"/>
        </w:rPr>
        <w:t>Modifica</w:t>
      </w:r>
      <w:r w:rsidRPr="00F326FC">
        <w:rPr>
          <w:rFonts w:ascii="Palatino Linotype" w:eastAsia="Palatino Linotype" w:hAnsi="Palatino Linotype" w:cs="Palatino Linotype"/>
          <w:sz w:val="22"/>
          <w:szCs w:val="22"/>
        </w:rPr>
        <w:t xml:space="preserve"> la respuesta emitida por el </w:t>
      </w:r>
      <w:r w:rsidRPr="00F326FC">
        <w:rPr>
          <w:rFonts w:ascii="Palatino Linotype" w:eastAsia="Palatino Linotype" w:hAnsi="Palatino Linotype" w:cs="Palatino Linotype"/>
          <w:b/>
          <w:sz w:val="22"/>
          <w:szCs w:val="22"/>
        </w:rPr>
        <w:t xml:space="preserve">Sujeto Obligado. </w:t>
      </w:r>
    </w:p>
    <w:p w14:paraId="6BDB77DB" w14:textId="36BDD5D1" w:rsidR="00BC7E6C" w:rsidRPr="00F326FC" w:rsidRDefault="00BC7E6C" w:rsidP="00BC7E6C">
      <w:pPr>
        <w:spacing w:before="240" w:after="240" w:line="360" w:lineRule="auto"/>
        <w:ind w:right="49"/>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 xml:space="preserve">Segundo. </w:t>
      </w:r>
      <w:r w:rsidRPr="00F326FC">
        <w:rPr>
          <w:rFonts w:ascii="Palatino Linotype" w:eastAsia="Palatino Linotype" w:hAnsi="Palatino Linotype" w:cs="Palatino Linotype"/>
          <w:sz w:val="22"/>
          <w:szCs w:val="22"/>
        </w:rPr>
        <w:t xml:space="preserve">Se </w:t>
      </w:r>
      <w:r w:rsidRPr="00F326FC">
        <w:rPr>
          <w:rFonts w:ascii="Palatino Linotype" w:eastAsia="Palatino Linotype" w:hAnsi="Palatino Linotype" w:cs="Palatino Linotype"/>
          <w:b/>
          <w:sz w:val="22"/>
          <w:szCs w:val="22"/>
        </w:rPr>
        <w:t xml:space="preserve">Ordena </w:t>
      </w:r>
      <w:r w:rsidRPr="00F326FC">
        <w:rPr>
          <w:rFonts w:ascii="Palatino Linotype" w:eastAsia="Palatino Linotype" w:hAnsi="Palatino Linotype" w:cs="Palatino Linotype"/>
          <w:sz w:val="22"/>
          <w:szCs w:val="22"/>
        </w:rPr>
        <w:t xml:space="preserve">al </w:t>
      </w:r>
      <w:r w:rsidRPr="00F326FC">
        <w:rPr>
          <w:rFonts w:ascii="Palatino Linotype" w:eastAsia="Palatino Linotype" w:hAnsi="Palatino Linotype" w:cs="Palatino Linotype"/>
          <w:b/>
          <w:sz w:val="22"/>
          <w:szCs w:val="22"/>
        </w:rPr>
        <w:t xml:space="preserve">Sujeto Obligado, </w:t>
      </w:r>
      <w:r w:rsidRPr="00F326FC">
        <w:rPr>
          <w:rFonts w:ascii="Palatino Linotype" w:eastAsia="Palatino Linotype" w:hAnsi="Palatino Linotype" w:cs="Palatino Linotype"/>
          <w:sz w:val="22"/>
          <w:szCs w:val="22"/>
        </w:rPr>
        <w:t xml:space="preserve">en términos de los </w:t>
      </w:r>
      <w:r w:rsidRPr="00F326FC">
        <w:rPr>
          <w:rFonts w:ascii="Palatino Linotype" w:eastAsia="Palatino Linotype" w:hAnsi="Palatino Linotype" w:cs="Palatino Linotype"/>
          <w:b/>
          <w:sz w:val="22"/>
          <w:szCs w:val="22"/>
        </w:rPr>
        <w:t>Considerandos</w:t>
      </w:r>
      <w:r w:rsidRPr="00F326FC">
        <w:rPr>
          <w:rFonts w:ascii="Palatino Linotype" w:eastAsia="Palatino Linotype" w:hAnsi="Palatino Linotype" w:cs="Palatino Linotype"/>
          <w:sz w:val="22"/>
          <w:szCs w:val="22"/>
        </w:rPr>
        <w:t xml:space="preserve"> </w:t>
      </w:r>
      <w:r w:rsidRPr="00F326FC">
        <w:rPr>
          <w:rFonts w:ascii="Palatino Linotype" w:eastAsia="Palatino Linotype" w:hAnsi="Palatino Linotype" w:cs="Palatino Linotype"/>
          <w:b/>
          <w:sz w:val="22"/>
          <w:szCs w:val="22"/>
        </w:rPr>
        <w:t xml:space="preserve">Cuarto </w:t>
      </w:r>
      <w:r w:rsidRPr="00F326FC">
        <w:rPr>
          <w:rFonts w:ascii="Palatino Linotype" w:eastAsia="Palatino Linotype" w:hAnsi="Palatino Linotype" w:cs="Palatino Linotype"/>
          <w:sz w:val="22"/>
          <w:szCs w:val="22"/>
        </w:rPr>
        <w:t xml:space="preserve">y </w:t>
      </w:r>
      <w:r w:rsidRPr="00F326FC">
        <w:rPr>
          <w:rFonts w:ascii="Palatino Linotype" w:eastAsia="Palatino Linotype" w:hAnsi="Palatino Linotype" w:cs="Palatino Linotype"/>
          <w:b/>
          <w:sz w:val="22"/>
          <w:szCs w:val="22"/>
        </w:rPr>
        <w:t xml:space="preserve">Quinto </w:t>
      </w:r>
      <w:r w:rsidRPr="00F326FC">
        <w:rPr>
          <w:rFonts w:ascii="Palatino Linotype" w:eastAsia="Palatino Linotype" w:hAnsi="Palatino Linotype" w:cs="Palatino Linotype"/>
          <w:sz w:val="22"/>
          <w:szCs w:val="22"/>
        </w:rPr>
        <w:t xml:space="preserve">de esta resolución, haga entrega, vía </w:t>
      </w:r>
      <w:r w:rsidRPr="00F326FC">
        <w:rPr>
          <w:rFonts w:ascii="Palatino Linotype" w:eastAsia="Palatino Linotype" w:hAnsi="Palatino Linotype" w:cs="Palatino Linotype"/>
          <w:b/>
          <w:sz w:val="22"/>
          <w:szCs w:val="22"/>
        </w:rPr>
        <w:t>SAIMEX</w:t>
      </w:r>
      <w:r w:rsidRPr="00F326FC">
        <w:rPr>
          <w:rFonts w:ascii="Palatino Linotype" w:eastAsia="Palatino Linotype" w:hAnsi="Palatino Linotype" w:cs="Palatino Linotype"/>
          <w:sz w:val="22"/>
          <w:szCs w:val="22"/>
        </w:rPr>
        <w:t xml:space="preserve">, </w:t>
      </w:r>
      <w:r w:rsidR="000B07EC" w:rsidRPr="00F326FC">
        <w:rPr>
          <w:rFonts w:ascii="Palatino Linotype" w:eastAsia="Palatino Linotype" w:hAnsi="Palatino Linotype" w:cs="Palatino Linotype"/>
          <w:sz w:val="22"/>
          <w:szCs w:val="22"/>
        </w:rPr>
        <w:t xml:space="preserve">previa búsqueda exhaustiva y razonable </w:t>
      </w:r>
      <w:r w:rsidRPr="00F326FC">
        <w:rPr>
          <w:rFonts w:ascii="Palatino Linotype" w:eastAsia="Palatino Linotype" w:hAnsi="Palatino Linotype" w:cs="Palatino Linotype"/>
          <w:sz w:val="22"/>
          <w:szCs w:val="22"/>
        </w:rPr>
        <w:t>en versión pública de ser necesario, de lo siguiente:</w:t>
      </w:r>
    </w:p>
    <w:p w14:paraId="7923D5CC" w14:textId="0F86A4A6" w:rsidR="00696C01" w:rsidRPr="00F326FC" w:rsidRDefault="00696C01" w:rsidP="00696C01">
      <w:pPr>
        <w:spacing w:before="240" w:after="240" w:line="360" w:lineRule="auto"/>
        <w:ind w:left="284"/>
        <w:jc w:val="both"/>
        <w:rPr>
          <w:rFonts w:ascii="Palatino Linotype" w:hAnsi="Palatino Linotype"/>
          <w:sz w:val="22"/>
          <w:szCs w:val="22"/>
        </w:rPr>
      </w:pPr>
      <w:bookmarkStart w:id="13" w:name="_heading=h.1fob9te" w:colFirst="0" w:colLast="0"/>
      <w:bookmarkEnd w:id="13"/>
      <w:r w:rsidRPr="00F326FC">
        <w:rPr>
          <w:rFonts w:ascii="Palatino Linotype" w:hAnsi="Palatino Linotype"/>
          <w:sz w:val="22"/>
          <w:szCs w:val="22"/>
        </w:rPr>
        <w:t xml:space="preserve">1. El o los documentos que den cuenta del número de solicitudes recibidas en el ejercicio 2018 y del uno de enero al </w:t>
      </w:r>
      <w:r w:rsidR="00863B95" w:rsidRPr="00F326FC">
        <w:rPr>
          <w:rFonts w:ascii="Palatino Linotype" w:hAnsi="Palatino Linotype"/>
          <w:sz w:val="22"/>
          <w:szCs w:val="22"/>
        </w:rPr>
        <w:t xml:space="preserve">treinta de </w:t>
      </w:r>
      <w:r w:rsidRPr="00F326FC">
        <w:rPr>
          <w:rFonts w:ascii="Palatino Linotype" w:hAnsi="Palatino Linotype"/>
          <w:sz w:val="22"/>
          <w:szCs w:val="22"/>
        </w:rPr>
        <w:t>ju</w:t>
      </w:r>
      <w:r w:rsidR="00863B95" w:rsidRPr="00F326FC">
        <w:rPr>
          <w:rFonts w:ascii="Palatino Linotype" w:hAnsi="Palatino Linotype"/>
          <w:sz w:val="22"/>
          <w:szCs w:val="22"/>
        </w:rPr>
        <w:t xml:space="preserve">nio </w:t>
      </w:r>
      <w:r w:rsidRPr="00F326FC">
        <w:rPr>
          <w:rFonts w:ascii="Palatino Linotype" w:hAnsi="Palatino Linotype"/>
          <w:sz w:val="22"/>
          <w:szCs w:val="22"/>
        </w:rPr>
        <w:t>de 2025.</w:t>
      </w:r>
    </w:p>
    <w:p w14:paraId="7C7E88E4" w14:textId="025966C0" w:rsidR="00696C01" w:rsidRPr="00F326FC" w:rsidRDefault="00696C01" w:rsidP="00696C01">
      <w:pPr>
        <w:spacing w:before="240" w:after="240" w:line="360" w:lineRule="auto"/>
        <w:ind w:left="284"/>
        <w:jc w:val="both"/>
        <w:rPr>
          <w:rFonts w:ascii="Palatino Linotype" w:hAnsi="Palatino Linotype"/>
          <w:sz w:val="22"/>
          <w:szCs w:val="22"/>
        </w:rPr>
      </w:pPr>
      <w:r w:rsidRPr="00F326FC">
        <w:rPr>
          <w:rFonts w:ascii="Palatino Linotype" w:hAnsi="Palatino Linotype"/>
          <w:sz w:val="22"/>
          <w:szCs w:val="22"/>
        </w:rPr>
        <w:t xml:space="preserve">2. El o los documentos que den cuenta del número de solicitudes atendidas en los ejercicios 2018, 2019, 2020, 2021, 2022, 2023, 2024 y </w:t>
      </w:r>
      <w:r w:rsidR="00863B95" w:rsidRPr="00F326FC">
        <w:rPr>
          <w:rFonts w:ascii="Palatino Linotype" w:hAnsi="Palatino Linotype"/>
          <w:sz w:val="22"/>
          <w:szCs w:val="22"/>
        </w:rPr>
        <w:t>del uno de enero al treinta de junio de 2025</w:t>
      </w:r>
      <w:r w:rsidRPr="00F326FC">
        <w:rPr>
          <w:rFonts w:ascii="Palatino Linotype" w:hAnsi="Palatino Linotype"/>
          <w:sz w:val="22"/>
          <w:szCs w:val="22"/>
        </w:rPr>
        <w:t>.</w:t>
      </w:r>
    </w:p>
    <w:p w14:paraId="381985D0" w14:textId="77777777" w:rsidR="00346067" w:rsidRPr="00F326FC" w:rsidRDefault="00BC7E6C" w:rsidP="00346067">
      <w:pPr>
        <w:spacing w:before="240" w:after="240"/>
        <w:ind w:left="284"/>
        <w:jc w:val="both"/>
        <w:rPr>
          <w:rFonts w:ascii="Palatino Linotype" w:eastAsia="Palatino Linotype" w:hAnsi="Palatino Linotype" w:cs="Palatino Linotype"/>
          <w:i/>
          <w:sz w:val="20"/>
          <w:szCs w:val="22"/>
        </w:rPr>
      </w:pPr>
      <w:r w:rsidRPr="00F326FC">
        <w:rPr>
          <w:rFonts w:ascii="Palatino Linotype" w:eastAsia="Palatino Linotype" w:hAnsi="Palatino Linotype" w:cs="Palatino Linotype"/>
          <w:i/>
          <w:sz w:val="20"/>
          <w:szCs w:val="22"/>
        </w:rPr>
        <w:t>Para la entrega de información en versión pública, se deberá emitir el Acuerdo del Comité de Transparencia de acuerdo con la Ley de Transparencia y Acceso a la Información Pública del Estado de México y Municipios, en el que funde y motive las razones sobre los datos que se supriman, mismo que también hará de conocimiento del particular.</w:t>
      </w:r>
      <w:bookmarkStart w:id="14" w:name="_heading=h.hnzxsch5gysz" w:colFirst="0" w:colLast="0"/>
      <w:bookmarkEnd w:id="14"/>
    </w:p>
    <w:p w14:paraId="0F1949A9" w14:textId="3AC7862D" w:rsidR="00696C01" w:rsidRPr="00F326FC" w:rsidRDefault="00696C01" w:rsidP="00696C01">
      <w:pPr>
        <w:spacing w:before="240" w:after="240"/>
        <w:ind w:left="284" w:right="49"/>
        <w:jc w:val="both"/>
        <w:rPr>
          <w:rFonts w:ascii="Palatino Linotype" w:eastAsia="Palatino Linotype" w:hAnsi="Palatino Linotype" w:cs="Palatino Linotype"/>
          <w:i/>
          <w:sz w:val="20"/>
          <w:szCs w:val="20"/>
        </w:rPr>
      </w:pPr>
      <w:r w:rsidRPr="00F326FC">
        <w:rPr>
          <w:rFonts w:ascii="Palatino Linotype" w:eastAsia="Palatino Linotype" w:hAnsi="Palatino Linotype" w:cs="Palatino Linotype"/>
          <w:i/>
          <w:sz w:val="20"/>
          <w:szCs w:val="20"/>
        </w:rPr>
        <w:t xml:space="preserve">Para el caso de que la información ordenada respecto del ejercicio 2018, por cualquier circunstancia ya no obre en los archivos el </w:t>
      </w:r>
      <w:r w:rsidRPr="00F326FC">
        <w:rPr>
          <w:rFonts w:ascii="Palatino Linotype" w:eastAsia="Palatino Linotype" w:hAnsi="Palatino Linotype" w:cs="Palatino Linotype"/>
          <w:b/>
          <w:i/>
          <w:sz w:val="20"/>
          <w:szCs w:val="20"/>
        </w:rPr>
        <w:t>Sujeto Obligado</w:t>
      </w:r>
      <w:r w:rsidRPr="00F326FC">
        <w:rPr>
          <w:rFonts w:ascii="Palatino Linotype" w:eastAsia="Palatino Linotype" w:hAnsi="Palatino Linotype" w:cs="Palatino Linotype"/>
          <w:i/>
          <w:sz w:val="20"/>
          <w:szCs w:val="20"/>
        </w:rPr>
        <w:t>, deberá emitir el Acuerdo de Inexistencia, en términos de los artículos 169 y 170 de la Ley de Transparencia y Acceso a la Información Pública del Estado de México y Municipios.</w:t>
      </w:r>
    </w:p>
    <w:p w14:paraId="6C6F0CD3" w14:textId="77777777" w:rsidR="00BC7E6C" w:rsidRPr="00F326FC" w:rsidRDefault="00BC7E6C" w:rsidP="00BC7E6C">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b/>
          <w:sz w:val="22"/>
          <w:szCs w:val="22"/>
        </w:rPr>
        <w:t xml:space="preserve">Tercero. Notifíquese, </w:t>
      </w:r>
      <w:r w:rsidRPr="00F326FC">
        <w:rPr>
          <w:rFonts w:ascii="Palatino Linotype" w:eastAsia="Palatino Linotype" w:hAnsi="Palatino Linotype" w:cs="Palatino Linotype"/>
          <w:sz w:val="22"/>
          <w:szCs w:val="22"/>
        </w:rPr>
        <w:t xml:space="preserve">vía </w:t>
      </w:r>
      <w:r w:rsidRPr="00F326FC">
        <w:rPr>
          <w:rFonts w:ascii="Palatino Linotype" w:eastAsia="Palatino Linotype" w:hAnsi="Palatino Linotype" w:cs="Palatino Linotype"/>
          <w:b/>
          <w:sz w:val="22"/>
          <w:szCs w:val="22"/>
        </w:rPr>
        <w:t>SAIMEX</w:t>
      </w:r>
      <w:r w:rsidRPr="00F326FC">
        <w:rPr>
          <w:rFonts w:ascii="Palatino Linotype" w:eastAsia="Palatino Linotype" w:hAnsi="Palatino Linotype" w:cs="Palatino Linotype"/>
          <w:sz w:val="22"/>
          <w:szCs w:val="22"/>
        </w:rPr>
        <w:t xml:space="preserve">, al Titular de la Unidad de Transparencia del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B4BF455" w14:textId="77777777" w:rsidR="00BC7E6C" w:rsidRPr="00F326FC" w:rsidRDefault="00BC7E6C" w:rsidP="00BC7E6C">
      <w:pPr>
        <w:spacing w:before="240" w:after="240" w:line="360" w:lineRule="auto"/>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F326FC">
        <w:rPr>
          <w:rFonts w:ascii="Palatino Linotype" w:eastAsia="Palatino Linotype" w:hAnsi="Palatino Linotype" w:cs="Palatino Linotype"/>
          <w:b/>
          <w:sz w:val="22"/>
          <w:szCs w:val="22"/>
        </w:rPr>
        <w:t>Sujeto Obligado</w:t>
      </w:r>
      <w:r w:rsidRPr="00F326FC">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2BE9607C" w14:textId="77777777" w:rsidR="00BC7E6C" w:rsidRPr="00F326FC" w:rsidRDefault="00BC7E6C" w:rsidP="00BC7E6C">
      <w:pPr>
        <w:spacing w:before="240" w:after="240" w:line="360" w:lineRule="auto"/>
        <w:jc w:val="both"/>
        <w:rPr>
          <w:rFonts w:ascii="Palatino Linotype" w:eastAsia="Palatino Linotype" w:hAnsi="Palatino Linotype" w:cs="Palatino Linotype"/>
          <w:sz w:val="22"/>
          <w:szCs w:val="22"/>
        </w:rPr>
      </w:pPr>
      <w:bookmarkStart w:id="15" w:name="_heading=h.ot3qq6vxa08f" w:colFirst="0" w:colLast="0"/>
      <w:bookmarkEnd w:id="15"/>
      <w:r w:rsidRPr="00F326FC">
        <w:rPr>
          <w:rFonts w:ascii="Palatino Linotype" w:eastAsia="Palatino Linotype" w:hAnsi="Palatino Linotype" w:cs="Palatino Linotype"/>
          <w:b/>
          <w:sz w:val="22"/>
          <w:szCs w:val="22"/>
        </w:rPr>
        <w:t xml:space="preserve">Cuarto.  Notifíquese, </w:t>
      </w:r>
      <w:r w:rsidRPr="00F326FC">
        <w:rPr>
          <w:rFonts w:ascii="Palatino Linotype" w:eastAsia="Palatino Linotype" w:hAnsi="Palatino Linotype" w:cs="Palatino Linotype"/>
          <w:sz w:val="22"/>
          <w:szCs w:val="22"/>
        </w:rPr>
        <w:t xml:space="preserve">vía </w:t>
      </w:r>
      <w:r w:rsidRPr="00F326FC">
        <w:rPr>
          <w:rFonts w:ascii="Palatino Linotype" w:eastAsia="Palatino Linotype" w:hAnsi="Palatino Linotype" w:cs="Palatino Linotype"/>
          <w:b/>
          <w:sz w:val="22"/>
          <w:szCs w:val="22"/>
        </w:rPr>
        <w:t>SAIMEX</w:t>
      </w:r>
      <w:r w:rsidRPr="00F326FC">
        <w:rPr>
          <w:rFonts w:ascii="Palatino Linotype" w:eastAsia="Palatino Linotype" w:hAnsi="Palatino Linotype" w:cs="Palatino Linotype"/>
          <w:sz w:val="22"/>
          <w:szCs w:val="22"/>
        </w:rPr>
        <w:t xml:space="preserve"> a la parte </w:t>
      </w:r>
      <w:r w:rsidRPr="00F326FC">
        <w:rPr>
          <w:rFonts w:ascii="Palatino Linotype" w:eastAsia="Palatino Linotype" w:hAnsi="Palatino Linotype" w:cs="Palatino Linotype"/>
          <w:b/>
          <w:sz w:val="22"/>
          <w:szCs w:val="22"/>
        </w:rPr>
        <w:t>Recurrente</w:t>
      </w:r>
      <w:r w:rsidRPr="00F326FC">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vía Juicio de Amparo en los términos de las leyes aplicables.</w:t>
      </w:r>
    </w:p>
    <w:p w14:paraId="4D598642" w14:textId="1F49501A" w:rsidR="00562A90" w:rsidRPr="00F326FC" w:rsidRDefault="0062255D">
      <w:pPr>
        <w:tabs>
          <w:tab w:val="left" w:pos="8647"/>
        </w:tabs>
        <w:spacing w:before="240" w:after="240" w:line="360" w:lineRule="auto"/>
        <w:ind w:right="51"/>
        <w:jc w:val="both"/>
        <w:rPr>
          <w:rFonts w:ascii="Palatino Linotype" w:eastAsia="Palatino Linotype" w:hAnsi="Palatino Linotype" w:cs="Palatino Linotype"/>
          <w:sz w:val="22"/>
          <w:szCs w:val="22"/>
        </w:rPr>
      </w:pPr>
      <w:r w:rsidRPr="00F326FC">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C3967" w:rsidRPr="00F326FC">
        <w:rPr>
          <w:rFonts w:ascii="Palatino Linotype" w:eastAsia="Palatino Linotype" w:hAnsi="Palatino Linotype" w:cs="Palatino Linotype"/>
          <w:sz w:val="22"/>
          <w:szCs w:val="22"/>
        </w:rPr>
        <w:t>OCTAVA</w:t>
      </w:r>
      <w:r w:rsidR="00057D78" w:rsidRPr="00F326FC">
        <w:rPr>
          <w:rFonts w:ascii="Palatino Linotype" w:eastAsia="Palatino Linotype" w:hAnsi="Palatino Linotype" w:cs="Palatino Linotype"/>
          <w:sz w:val="22"/>
          <w:szCs w:val="22"/>
        </w:rPr>
        <w:t xml:space="preserve"> </w:t>
      </w:r>
      <w:r w:rsidRPr="00F326FC">
        <w:rPr>
          <w:rFonts w:ascii="Palatino Linotype" w:eastAsia="Palatino Linotype" w:hAnsi="Palatino Linotype" w:cs="Palatino Linotype"/>
          <w:sz w:val="22"/>
          <w:szCs w:val="22"/>
        </w:rPr>
        <w:t xml:space="preserve">SESIÓN ORDINARIA CELEBRADA EL </w:t>
      </w:r>
      <w:r w:rsidR="00057D78" w:rsidRPr="00F326FC">
        <w:rPr>
          <w:rFonts w:ascii="Palatino Linotype" w:eastAsia="Palatino Linotype" w:hAnsi="Palatino Linotype" w:cs="Palatino Linotype"/>
          <w:sz w:val="22"/>
          <w:szCs w:val="22"/>
        </w:rPr>
        <w:t>CINCO</w:t>
      </w:r>
      <w:r w:rsidR="006B45DE" w:rsidRPr="00F326FC">
        <w:rPr>
          <w:rFonts w:ascii="Palatino Linotype" w:eastAsia="Palatino Linotype" w:hAnsi="Palatino Linotype" w:cs="Palatino Linotype"/>
          <w:sz w:val="22"/>
          <w:szCs w:val="22"/>
        </w:rPr>
        <w:t xml:space="preserve"> DE </w:t>
      </w:r>
      <w:r w:rsidR="001C3967" w:rsidRPr="00F326FC">
        <w:rPr>
          <w:rFonts w:ascii="Palatino Linotype" w:eastAsia="Palatino Linotype" w:hAnsi="Palatino Linotype" w:cs="Palatino Linotype"/>
          <w:sz w:val="22"/>
          <w:szCs w:val="22"/>
        </w:rPr>
        <w:t>MARZO</w:t>
      </w:r>
      <w:r w:rsidR="006B45DE" w:rsidRPr="00F326FC">
        <w:rPr>
          <w:rFonts w:ascii="Palatino Linotype" w:eastAsia="Palatino Linotype" w:hAnsi="Palatino Linotype" w:cs="Palatino Linotype"/>
          <w:sz w:val="22"/>
          <w:szCs w:val="22"/>
        </w:rPr>
        <w:t xml:space="preserve"> </w:t>
      </w:r>
      <w:r w:rsidRPr="00F326FC">
        <w:rPr>
          <w:rFonts w:ascii="Palatino Linotype" w:eastAsia="Palatino Linotype" w:hAnsi="Palatino Linotype" w:cs="Palatino Linotype"/>
          <w:sz w:val="22"/>
          <w:szCs w:val="22"/>
        </w:rPr>
        <w:t>DE DOS MIL VEINTI</w:t>
      </w:r>
      <w:r w:rsidR="00DF4FB7" w:rsidRPr="00F326FC">
        <w:rPr>
          <w:rFonts w:ascii="Palatino Linotype" w:eastAsia="Palatino Linotype" w:hAnsi="Palatino Linotype" w:cs="Palatino Linotype"/>
          <w:sz w:val="22"/>
          <w:szCs w:val="22"/>
        </w:rPr>
        <w:t>SÉIS</w:t>
      </w:r>
      <w:r w:rsidRPr="00F326FC">
        <w:rPr>
          <w:rFonts w:ascii="Palatino Linotype" w:eastAsia="Palatino Linotype" w:hAnsi="Palatino Linotype" w:cs="Palatino Linotype"/>
          <w:sz w:val="22"/>
          <w:szCs w:val="22"/>
        </w:rPr>
        <w:t>, ANTE EL SECRETARIO TÉCNICO DEL PLENO ALEXIS TAPIA RAMÍREZ.</w:t>
      </w:r>
    </w:p>
    <w:p w14:paraId="7E80776D"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21728E8E" w14:textId="77777777" w:rsidR="00562A90" w:rsidRPr="00F326FC" w:rsidRDefault="00562A90">
      <w:pPr>
        <w:spacing w:line="360" w:lineRule="auto"/>
        <w:jc w:val="center"/>
        <w:rPr>
          <w:rFonts w:ascii="Palatino Linotype" w:eastAsia="Palatino Linotype" w:hAnsi="Palatino Linotype" w:cs="Palatino Linotype"/>
          <w:sz w:val="22"/>
          <w:szCs w:val="22"/>
        </w:rPr>
      </w:pPr>
    </w:p>
    <w:p w14:paraId="42D39E19"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4B650DFB"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7ED63B69"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7BB21431"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79BD8F1D"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78283A5A"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3A538169"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30987695"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6409F902"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6DA2BB7C"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16FF6442"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5EB5F424"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056403D1"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68F30A44"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4EDDCC63"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2DF6CB35"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6FDE708A"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4390587E" w14:textId="77777777" w:rsidR="00562A90" w:rsidRPr="00F326FC" w:rsidRDefault="00562A90">
      <w:pPr>
        <w:spacing w:line="360" w:lineRule="auto"/>
        <w:jc w:val="both"/>
        <w:rPr>
          <w:rFonts w:ascii="Palatino Linotype" w:eastAsia="Palatino Linotype" w:hAnsi="Palatino Linotype" w:cs="Palatino Linotype"/>
          <w:sz w:val="22"/>
          <w:szCs w:val="22"/>
        </w:rPr>
      </w:pPr>
    </w:p>
    <w:p w14:paraId="5F867AD1" w14:textId="77777777" w:rsidR="00CD09AE" w:rsidRPr="00F326FC" w:rsidRDefault="00CD09AE">
      <w:pPr>
        <w:spacing w:line="360" w:lineRule="auto"/>
        <w:jc w:val="both"/>
        <w:rPr>
          <w:rFonts w:ascii="Palatino Linotype" w:eastAsia="Palatino Linotype" w:hAnsi="Palatino Linotype" w:cs="Palatino Linotype"/>
          <w:sz w:val="22"/>
          <w:szCs w:val="22"/>
        </w:rPr>
      </w:pPr>
    </w:p>
    <w:p w14:paraId="45229870" w14:textId="77777777" w:rsidR="00CD09AE" w:rsidRPr="00F326FC" w:rsidRDefault="00CD09AE">
      <w:pPr>
        <w:spacing w:line="360" w:lineRule="auto"/>
        <w:jc w:val="both"/>
        <w:rPr>
          <w:rFonts w:ascii="Palatino Linotype" w:eastAsia="Palatino Linotype" w:hAnsi="Palatino Linotype" w:cs="Palatino Linotype"/>
          <w:sz w:val="22"/>
          <w:szCs w:val="22"/>
        </w:rPr>
      </w:pPr>
    </w:p>
    <w:p w14:paraId="5B3EEBD5" w14:textId="77777777" w:rsidR="00CD09AE" w:rsidRPr="00F326FC" w:rsidRDefault="00CD09AE">
      <w:pPr>
        <w:spacing w:line="360" w:lineRule="auto"/>
        <w:jc w:val="both"/>
        <w:rPr>
          <w:rFonts w:ascii="Palatino Linotype" w:eastAsia="Palatino Linotype" w:hAnsi="Palatino Linotype" w:cs="Palatino Linotype"/>
          <w:sz w:val="22"/>
          <w:szCs w:val="22"/>
        </w:rPr>
      </w:pPr>
    </w:p>
    <w:p w14:paraId="1A4BB454" w14:textId="77777777" w:rsidR="00F0773D" w:rsidRPr="00F326FC" w:rsidRDefault="00F0773D">
      <w:pPr>
        <w:spacing w:line="360" w:lineRule="auto"/>
        <w:jc w:val="both"/>
        <w:rPr>
          <w:rFonts w:ascii="Palatino Linotype" w:eastAsia="Palatino Linotype" w:hAnsi="Palatino Linotype" w:cs="Palatino Linotype"/>
          <w:sz w:val="22"/>
          <w:szCs w:val="22"/>
        </w:rPr>
      </w:pPr>
    </w:p>
    <w:p w14:paraId="557E6D6B" w14:textId="77777777" w:rsidR="00CA384E" w:rsidRPr="00F326FC" w:rsidRDefault="00CA384E">
      <w:pPr>
        <w:spacing w:line="360" w:lineRule="auto"/>
        <w:jc w:val="both"/>
        <w:rPr>
          <w:rFonts w:ascii="Palatino Linotype" w:eastAsia="Palatino Linotype" w:hAnsi="Palatino Linotype" w:cs="Palatino Linotype"/>
          <w:sz w:val="22"/>
          <w:szCs w:val="22"/>
        </w:rPr>
      </w:pPr>
    </w:p>
    <w:p w14:paraId="04205803" w14:textId="77777777" w:rsidR="00E876C5" w:rsidRPr="00F326FC" w:rsidRDefault="00E876C5">
      <w:pPr>
        <w:spacing w:line="360" w:lineRule="auto"/>
        <w:jc w:val="both"/>
        <w:rPr>
          <w:rFonts w:ascii="Palatino Linotype" w:eastAsia="Palatino Linotype" w:hAnsi="Palatino Linotype" w:cs="Palatino Linotype"/>
          <w:sz w:val="22"/>
          <w:szCs w:val="22"/>
        </w:rPr>
      </w:pPr>
    </w:p>
    <w:sectPr w:rsidR="00E876C5" w:rsidRPr="00F326FC">
      <w:headerReference w:type="default" r:id="rId13"/>
      <w:footerReference w:type="default" r:id="rId14"/>
      <w:headerReference w:type="first" r:id="rId15"/>
      <w:footerReference w:type="first" r:id="rId16"/>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B3A4D" w14:textId="77777777" w:rsidR="006675CA" w:rsidRDefault="006675CA">
      <w:r>
        <w:separator/>
      </w:r>
    </w:p>
  </w:endnote>
  <w:endnote w:type="continuationSeparator" w:id="0">
    <w:p w14:paraId="0053BD85" w14:textId="77777777" w:rsidR="006675CA" w:rsidRDefault="0066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2E014" w14:textId="3E0F179C" w:rsidR="006D6D5A" w:rsidRDefault="006D6D5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428A6">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428A6">
      <w:rPr>
        <w:rFonts w:ascii="Palatino Linotype" w:eastAsia="Palatino Linotype" w:hAnsi="Palatino Linotype" w:cs="Palatino Linotype"/>
        <w:b/>
        <w:noProof/>
        <w:color w:val="000000"/>
        <w:sz w:val="20"/>
        <w:szCs w:val="20"/>
      </w:rPr>
      <w:t>40</w:t>
    </w:r>
    <w:r>
      <w:rPr>
        <w:rFonts w:ascii="Palatino Linotype" w:eastAsia="Palatino Linotype" w:hAnsi="Palatino Linotype" w:cs="Palatino Linotype"/>
        <w:b/>
        <w:color w:val="000000"/>
        <w:sz w:val="20"/>
        <w:szCs w:val="20"/>
      </w:rPr>
      <w:fldChar w:fldCharType="end"/>
    </w:r>
  </w:p>
  <w:p w14:paraId="49CB52A8" w14:textId="77777777" w:rsidR="006D6D5A" w:rsidRDefault="006D6D5A">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9AB5" w14:textId="2E5499F4" w:rsidR="006D6D5A" w:rsidRDefault="006D6D5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428A6">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428A6">
      <w:rPr>
        <w:rFonts w:ascii="Palatino Linotype" w:eastAsia="Palatino Linotype" w:hAnsi="Palatino Linotype" w:cs="Palatino Linotype"/>
        <w:b/>
        <w:noProof/>
        <w:color w:val="000000"/>
        <w:sz w:val="20"/>
        <w:szCs w:val="20"/>
      </w:rPr>
      <w:t>40</w:t>
    </w:r>
    <w:r>
      <w:rPr>
        <w:rFonts w:ascii="Palatino Linotype" w:eastAsia="Palatino Linotype" w:hAnsi="Palatino Linotype" w:cs="Palatino Linotype"/>
        <w:b/>
        <w:color w:val="000000"/>
        <w:sz w:val="20"/>
        <w:szCs w:val="20"/>
      </w:rPr>
      <w:fldChar w:fldCharType="end"/>
    </w:r>
  </w:p>
  <w:p w14:paraId="21ECF124" w14:textId="77777777" w:rsidR="006D6D5A" w:rsidRDefault="006D6D5A">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C880D" w14:textId="77777777" w:rsidR="006675CA" w:rsidRDefault="006675CA">
      <w:r>
        <w:separator/>
      </w:r>
    </w:p>
  </w:footnote>
  <w:footnote w:type="continuationSeparator" w:id="0">
    <w:p w14:paraId="7869F805" w14:textId="77777777" w:rsidR="006675CA" w:rsidRDefault="006675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AF42" w14:textId="77777777" w:rsidR="006D6D5A" w:rsidRDefault="006D6D5A">
    <w:pPr>
      <w:rPr>
        <w:rFonts w:ascii="Cambria" w:eastAsia="Cambria" w:hAnsi="Cambria" w:cs="Cambria"/>
        <w:color w:val="000000"/>
      </w:rPr>
    </w:pPr>
    <w:r>
      <w:rPr>
        <w:noProof/>
      </w:rPr>
      <w:drawing>
        <wp:anchor distT="0" distB="0" distL="0" distR="0" simplePos="0" relativeHeight="251658240" behindDoc="1" locked="0" layoutInCell="1" hidden="0" allowOverlap="1" wp14:anchorId="5A33C493" wp14:editId="0F090F1A">
          <wp:simplePos x="0" y="0"/>
          <wp:positionH relativeFrom="column">
            <wp:posOffset>-1080091</wp:posOffset>
          </wp:positionH>
          <wp:positionV relativeFrom="paragraph">
            <wp:posOffset>-488262</wp:posOffset>
          </wp:positionV>
          <wp:extent cx="7809865" cy="1016571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a"/>
      <w:tblW w:w="5953" w:type="dxa"/>
      <w:tblInd w:w="3261" w:type="dxa"/>
      <w:tblLayout w:type="fixed"/>
      <w:tblLook w:val="0400" w:firstRow="0" w:lastRow="0" w:firstColumn="0" w:lastColumn="0" w:noHBand="0" w:noVBand="1"/>
    </w:tblPr>
    <w:tblGrid>
      <w:gridCol w:w="2489"/>
      <w:gridCol w:w="3464"/>
    </w:tblGrid>
    <w:tr w:rsidR="006D6D5A" w14:paraId="4679E995" w14:textId="77777777">
      <w:tc>
        <w:tcPr>
          <w:tcW w:w="2489" w:type="dxa"/>
        </w:tcPr>
        <w:p w14:paraId="1CBA62BA" w14:textId="77777777" w:rsidR="006D6D5A" w:rsidRDefault="006D6D5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56A34D7" w14:textId="21E4F2B4" w:rsidR="006D6D5A" w:rsidRDefault="006D6D5A" w:rsidP="006B45DE">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09404/INFOEM/IP/RR/2025</w:t>
          </w:r>
        </w:p>
      </w:tc>
    </w:tr>
    <w:tr w:rsidR="006D6D5A" w14:paraId="6CFA67DE" w14:textId="77777777">
      <w:trPr>
        <w:trHeight w:val="228"/>
      </w:trPr>
      <w:tc>
        <w:tcPr>
          <w:tcW w:w="2489" w:type="dxa"/>
          <w:vAlign w:val="center"/>
        </w:tcPr>
        <w:p w14:paraId="4E02CBED" w14:textId="77777777" w:rsidR="006D6D5A" w:rsidRDefault="006D6D5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5C5611EC" w14:textId="3739B9A5" w:rsidR="006D6D5A" w:rsidRDefault="006D6D5A">
          <w:pPr>
            <w:ind w:left="-45" w:right="176"/>
            <w:jc w:val="both"/>
            <w:rPr>
              <w:rFonts w:ascii="Palatino Linotype" w:eastAsia="Palatino Linotype" w:hAnsi="Palatino Linotype" w:cs="Palatino Linotype"/>
              <w:b/>
              <w:sz w:val="22"/>
              <w:szCs w:val="22"/>
            </w:rPr>
          </w:pPr>
          <w:r w:rsidRPr="006B45DE">
            <w:rPr>
              <w:rFonts w:ascii="Palatino Linotype" w:eastAsia="Palatino Linotype" w:hAnsi="Palatino Linotype" w:cs="Palatino Linotype"/>
              <w:b/>
              <w:sz w:val="22"/>
              <w:szCs w:val="22"/>
            </w:rPr>
            <w:t>Ayuntamiento de Toluca</w:t>
          </w:r>
        </w:p>
      </w:tc>
    </w:tr>
    <w:tr w:rsidR="006D6D5A" w14:paraId="6FF09322" w14:textId="77777777">
      <w:tc>
        <w:tcPr>
          <w:tcW w:w="2489" w:type="dxa"/>
          <w:vAlign w:val="center"/>
        </w:tcPr>
        <w:p w14:paraId="5D6FA762" w14:textId="77777777" w:rsidR="006D6D5A" w:rsidRDefault="006D6D5A">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1F753EA2" w14:textId="77777777" w:rsidR="006D6D5A" w:rsidRDefault="006D6D5A">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B4967B9" w14:textId="77777777" w:rsidR="006D6D5A" w:rsidRDefault="006D6D5A">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5ECA" w14:textId="0F37943D" w:rsidR="006D6D5A" w:rsidRDefault="006D6D5A">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69951343" wp14:editId="64F27E03">
          <wp:simplePos x="0" y="0"/>
          <wp:positionH relativeFrom="column">
            <wp:posOffset>-1080134</wp:posOffset>
          </wp:positionH>
          <wp:positionV relativeFrom="paragraph">
            <wp:posOffset>-369892</wp:posOffset>
          </wp:positionV>
          <wp:extent cx="7809865" cy="1016571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fb"/>
      <w:tblW w:w="5953" w:type="dxa"/>
      <w:tblInd w:w="3261" w:type="dxa"/>
      <w:tblLayout w:type="fixed"/>
      <w:tblLook w:val="0400" w:firstRow="0" w:lastRow="0" w:firstColumn="0" w:lastColumn="0" w:noHBand="0" w:noVBand="1"/>
    </w:tblPr>
    <w:tblGrid>
      <w:gridCol w:w="2489"/>
      <w:gridCol w:w="3464"/>
    </w:tblGrid>
    <w:tr w:rsidR="006D6D5A" w14:paraId="0800C61A" w14:textId="77777777">
      <w:tc>
        <w:tcPr>
          <w:tcW w:w="2489" w:type="dxa"/>
        </w:tcPr>
        <w:p w14:paraId="45AA4645" w14:textId="77777777" w:rsidR="006D6D5A" w:rsidRDefault="006D6D5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056AB92" w14:textId="12BA4F51" w:rsidR="006D6D5A" w:rsidRDefault="006D6D5A" w:rsidP="006B45DE">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09404/INFOEM/IP/RR/2025</w:t>
          </w:r>
        </w:p>
      </w:tc>
    </w:tr>
    <w:tr w:rsidR="006D6D5A" w14:paraId="62298F76" w14:textId="77777777">
      <w:tc>
        <w:tcPr>
          <w:tcW w:w="2489" w:type="dxa"/>
        </w:tcPr>
        <w:p w14:paraId="20BC808E" w14:textId="77777777" w:rsidR="006D6D5A" w:rsidRDefault="006D6D5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7A9C8865" w14:textId="79824224" w:rsidR="006D6D5A" w:rsidRPr="00606C35" w:rsidRDefault="006D6D5A">
          <w:pPr>
            <w:ind w:right="175"/>
            <w:jc w:val="both"/>
            <w:rPr>
              <w:rFonts w:ascii="Palatino Linotype" w:eastAsia="Palatino Linotype" w:hAnsi="Palatino Linotype" w:cs="Palatino Linotype"/>
              <w:b/>
              <w:sz w:val="22"/>
              <w:szCs w:val="22"/>
              <w:highlight w:val="yellow"/>
            </w:rPr>
          </w:pPr>
        </w:p>
      </w:tc>
    </w:tr>
    <w:tr w:rsidR="006D6D5A" w14:paraId="356DF698" w14:textId="77777777">
      <w:trPr>
        <w:trHeight w:val="228"/>
      </w:trPr>
      <w:tc>
        <w:tcPr>
          <w:tcW w:w="2489" w:type="dxa"/>
          <w:vAlign w:val="center"/>
        </w:tcPr>
        <w:p w14:paraId="6F719CF9" w14:textId="77777777" w:rsidR="006D6D5A" w:rsidRDefault="006D6D5A">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49FE701" w14:textId="3124CEFF" w:rsidR="006D6D5A" w:rsidRDefault="006D6D5A">
          <w:pPr>
            <w:ind w:left="-45" w:right="176"/>
            <w:jc w:val="both"/>
            <w:rPr>
              <w:rFonts w:ascii="Palatino Linotype" w:eastAsia="Palatino Linotype" w:hAnsi="Palatino Linotype" w:cs="Palatino Linotype"/>
              <w:b/>
              <w:sz w:val="22"/>
              <w:szCs w:val="22"/>
            </w:rPr>
          </w:pPr>
          <w:r w:rsidRPr="006B45DE">
            <w:rPr>
              <w:rFonts w:ascii="Palatino Linotype" w:eastAsia="Palatino Linotype" w:hAnsi="Palatino Linotype" w:cs="Palatino Linotype"/>
              <w:b/>
              <w:sz w:val="22"/>
              <w:szCs w:val="22"/>
            </w:rPr>
            <w:t>Ayuntamiento de Toluca</w:t>
          </w:r>
        </w:p>
      </w:tc>
    </w:tr>
    <w:tr w:rsidR="006D6D5A" w14:paraId="70857C53" w14:textId="77777777">
      <w:tc>
        <w:tcPr>
          <w:tcW w:w="2489" w:type="dxa"/>
          <w:vAlign w:val="center"/>
        </w:tcPr>
        <w:p w14:paraId="5699E7FB" w14:textId="77777777" w:rsidR="006D6D5A" w:rsidRDefault="006D6D5A">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69655BF4" w14:textId="77777777" w:rsidR="006D6D5A" w:rsidRDefault="006D6D5A">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BFF7071" w14:textId="77777777" w:rsidR="006D6D5A" w:rsidRDefault="006D6D5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1E8B"/>
    <w:multiLevelType w:val="multilevel"/>
    <w:tmpl w:val="C9264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5329F5"/>
    <w:multiLevelType w:val="multilevel"/>
    <w:tmpl w:val="A6488AC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A915B4D"/>
    <w:multiLevelType w:val="multilevel"/>
    <w:tmpl w:val="DFECD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52695F"/>
    <w:multiLevelType w:val="multilevel"/>
    <w:tmpl w:val="54FA6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84782"/>
    <w:multiLevelType w:val="hybridMultilevel"/>
    <w:tmpl w:val="6A5CB0CE"/>
    <w:lvl w:ilvl="0" w:tplc="783622CA">
      <w:start w:val="1"/>
      <w:numFmt w:val="decimal"/>
      <w:lvlText w:val="%1."/>
      <w:lvlJc w:val="left"/>
      <w:pPr>
        <w:ind w:left="644" w:hanging="360"/>
      </w:pPr>
      <w:rPr>
        <w:rFonts w:hint="default"/>
        <w:b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2BFA62C2"/>
    <w:multiLevelType w:val="multilevel"/>
    <w:tmpl w:val="DCC88850"/>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4ED225A3"/>
    <w:multiLevelType w:val="hybridMultilevel"/>
    <w:tmpl w:val="189C6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6C364D"/>
    <w:multiLevelType w:val="hybridMultilevel"/>
    <w:tmpl w:val="7B608ACC"/>
    <w:lvl w:ilvl="0" w:tplc="F676A41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49A655F"/>
    <w:multiLevelType w:val="multilevel"/>
    <w:tmpl w:val="5DBC5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4E1354D"/>
    <w:multiLevelType w:val="multilevel"/>
    <w:tmpl w:val="0270FEBC"/>
    <w:lvl w:ilvl="0">
      <w:start w:val="1"/>
      <w:numFmt w:val="bullet"/>
      <w:lvlText w:val="-"/>
      <w:lvlJc w:val="left"/>
      <w:pPr>
        <w:ind w:left="3195" w:hanging="359"/>
      </w:pPr>
      <w:rPr>
        <w:rFonts w:ascii="Palatino Linotype" w:eastAsia="Palatino Linotype" w:hAnsi="Palatino Linotype" w:cs="Palatino Linotype"/>
      </w:rPr>
    </w:lvl>
    <w:lvl w:ilvl="1">
      <w:start w:val="1"/>
      <w:numFmt w:val="bullet"/>
      <w:lvlText w:val="o"/>
      <w:lvlJc w:val="left"/>
      <w:pPr>
        <w:ind w:left="3915" w:hanging="360"/>
      </w:pPr>
      <w:rPr>
        <w:rFonts w:ascii="Courier New" w:eastAsia="Courier New" w:hAnsi="Courier New" w:cs="Courier New"/>
      </w:rPr>
    </w:lvl>
    <w:lvl w:ilvl="2">
      <w:start w:val="1"/>
      <w:numFmt w:val="bullet"/>
      <w:lvlText w:val="▪"/>
      <w:lvlJc w:val="left"/>
      <w:pPr>
        <w:ind w:left="4635" w:hanging="360"/>
      </w:pPr>
      <w:rPr>
        <w:rFonts w:ascii="Noto Sans Symbols" w:eastAsia="Noto Sans Symbols" w:hAnsi="Noto Sans Symbols" w:cs="Noto Sans Symbols"/>
      </w:rPr>
    </w:lvl>
    <w:lvl w:ilvl="3">
      <w:start w:val="1"/>
      <w:numFmt w:val="bullet"/>
      <w:lvlText w:val="●"/>
      <w:lvlJc w:val="left"/>
      <w:pPr>
        <w:ind w:left="5355" w:hanging="360"/>
      </w:pPr>
      <w:rPr>
        <w:rFonts w:ascii="Noto Sans Symbols" w:eastAsia="Noto Sans Symbols" w:hAnsi="Noto Sans Symbols" w:cs="Noto Sans Symbols"/>
      </w:rPr>
    </w:lvl>
    <w:lvl w:ilvl="4">
      <w:start w:val="1"/>
      <w:numFmt w:val="bullet"/>
      <w:lvlText w:val="o"/>
      <w:lvlJc w:val="left"/>
      <w:pPr>
        <w:ind w:left="6075" w:hanging="360"/>
      </w:pPr>
      <w:rPr>
        <w:rFonts w:ascii="Courier New" w:eastAsia="Courier New" w:hAnsi="Courier New" w:cs="Courier New"/>
      </w:rPr>
    </w:lvl>
    <w:lvl w:ilvl="5">
      <w:start w:val="1"/>
      <w:numFmt w:val="bullet"/>
      <w:lvlText w:val="▪"/>
      <w:lvlJc w:val="left"/>
      <w:pPr>
        <w:ind w:left="6795" w:hanging="360"/>
      </w:pPr>
      <w:rPr>
        <w:rFonts w:ascii="Noto Sans Symbols" w:eastAsia="Noto Sans Symbols" w:hAnsi="Noto Sans Symbols" w:cs="Noto Sans Symbols"/>
      </w:rPr>
    </w:lvl>
    <w:lvl w:ilvl="6">
      <w:start w:val="1"/>
      <w:numFmt w:val="bullet"/>
      <w:lvlText w:val="●"/>
      <w:lvlJc w:val="left"/>
      <w:pPr>
        <w:ind w:left="7515" w:hanging="360"/>
      </w:pPr>
      <w:rPr>
        <w:rFonts w:ascii="Noto Sans Symbols" w:eastAsia="Noto Sans Symbols" w:hAnsi="Noto Sans Symbols" w:cs="Noto Sans Symbols"/>
      </w:rPr>
    </w:lvl>
    <w:lvl w:ilvl="7">
      <w:start w:val="1"/>
      <w:numFmt w:val="bullet"/>
      <w:lvlText w:val="o"/>
      <w:lvlJc w:val="left"/>
      <w:pPr>
        <w:ind w:left="8235" w:hanging="360"/>
      </w:pPr>
      <w:rPr>
        <w:rFonts w:ascii="Courier New" w:eastAsia="Courier New" w:hAnsi="Courier New" w:cs="Courier New"/>
      </w:rPr>
    </w:lvl>
    <w:lvl w:ilvl="8">
      <w:start w:val="1"/>
      <w:numFmt w:val="bullet"/>
      <w:lvlText w:val="▪"/>
      <w:lvlJc w:val="left"/>
      <w:pPr>
        <w:ind w:left="8955" w:hanging="360"/>
      </w:pPr>
      <w:rPr>
        <w:rFonts w:ascii="Noto Sans Symbols" w:eastAsia="Noto Sans Symbols" w:hAnsi="Noto Sans Symbols" w:cs="Noto Sans Symbols"/>
      </w:rPr>
    </w:lvl>
  </w:abstractNum>
  <w:abstractNum w:abstractNumId="10" w15:restartNumberingAfterBreak="0">
    <w:nsid w:val="7ED3330D"/>
    <w:multiLevelType w:val="multilevel"/>
    <w:tmpl w:val="7CAE87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
  </w:num>
  <w:num w:numId="2">
    <w:abstractNumId w:val="4"/>
  </w:num>
  <w:num w:numId="3">
    <w:abstractNumId w:val="1"/>
  </w:num>
  <w:num w:numId="4">
    <w:abstractNumId w:val="8"/>
  </w:num>
  <w:num w:numId="5">
    <w:abstractNumId w:val="9"/>
  </w:num>
  <w:num w:numId="6">
    <w:abstractNumId w:val="2"/>
  </w:num>
  <w:num w:numId="7">
    <w:abstractNumId w:val="7"/>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90"/>
    <w:rsid w:val="00002978"/>
    <w:rsid w:val="00004DC4"/>
    <w:rsid w:val="000060FD"/>
    <w:rsid w:val="00007B60"/>
    <w:rsid w:val="0001097C"/>
    <w:rsid w:val="00011B18"/>
    <w:rsid w:val="00013B28"/>
    <w:rsid w:val="000154BF"/>
    <w:rsid w:val="00015CA9"/>
    <w:rsid w:val="00016E26"/>
    <w:rsid w:val="0002069B"/>
    <w:rsid w:val="00020759"/>
    <w:rsid w:val="00022CE2"/>
    <w:rsid w:val="00024E98"/>
    <w:rsid w:val="00027B35"/>
    <w:rsid w:val="000301F3"/>
    <w:rsid w:val="0003374F"/>
    <w:rsid w:val="0003465A"/>
    <w:rsid w:val="00035057"/>
    <w:rsid w:val="00036EE0"/>
    <w:rsid w:val="000427D6"/>
    <w:rsid w:val="00042B5C"/>
    <w:rsid w:val="00044464"/>
    <w:rsid w:val="000477B0"/>
    <w:rsid w:val="00052C54"/>
    <w:rsid w:val="00056BCC"/>
    <w:rsid w:val="00057964"/>
    <w:rsid w:val="00057965"/>
    <w:rsid w:val="00057D78"/>
    <w:rsid w:val="0006630B"/>
    <w:rsid w:val="0007137F"/>
    <w:rsid w:val="00076801"/>
    <w:rsid w:val="00077C62"/>
    <w:rsid w:val="00080D86"/>
    <w:rsid w:val="00080F70"/>
    <w:rsid w:val="00081F9E"/>
    <w:rsid w:val="00082489"/>
    <w:rsid w:val="00082F4B"/>
    <w:rsid w:val="000868CF"/>
    <w:rsid w:val="00092018"/>
    <w:rsid w:val="00093AE0"/>
    <w:rsid w:val="00097563"/>
    <w:rsid w:val="000A1C75"/>
    <w:rsid w:val="000A48FE"/>
    <w:rsid w:val="000B07EC"/>
    <w:rsid w:val="000B3672"/>
    <w:rsid w:val="000B73B6"/>
    <w:rsid w:val="000C2629"/>
    <w:rsid w:val="000C37C6"/>
    <w:rsid w:val="000D6DE3"/>
    <w:rsid w:val="000E17C7"/>
    <w:rsid w:val="000E25BE"/>
    <w:rsid w:val="000E598C"/>
    <w:rsid w:val="000E700F"/>
    <w:rsid w:val="000E725A"/>
    <w:rsid w:val="000F3C05"/>
    <w:rsid w:val="000F5A12"/>
    <w:rsid w:val="000F6357"/>
    <w:rsid w:val="000F7088"/>
    <w:rsid w:val="0010490E"/>
    <w:rsid w:val="001050DE"/>
    <w:rsid w:val="001062CC"/>
    <w:rsid w:val="001106B2"/>
    <w:rsid w:val="00110B6D"/>
    <w:rsid w:val="001128C8"/>
    <w:rsid w:val="00116DA6"/>
    <w:rsid w:val="00117A90"/>
    <w:rsid w:val="00120133"/>
    <w:rsid w:val="0012179F"/>
    <w:rsid w:val="00123D9A"/>
    <w:rsid w:val="001273BA"/>
    <w:rsid w:val="00132C47"/>
    <w:rsid w:val="001341AF"/>
    <w:rsid w:val="00142073"/>
    <w:rsid w:val="00142B50"/>
    <w:rsid w:val="00145E45"/>
    <w:rsid w:val="00145E8B"/>
    <w:rsid w:val="00152629"/>
    <w:rsid w:val="00153870"/>
    <w:rsid w:val="00153F24"/>
    <w:rsid w:val="0015439E"/>
    <w:rsid w:val="00154635"/>
    <w:rsid w:val="0015794F"/>
    <w:rsid w:val="00163A18"/>
    <w:rsid w:val="00163B9E"/>
    <w:rsid w:val="001702CE"/>
    <w:rsid w:val="00172883"/>
    <w:rsid w:val="0017486E"/>
    <w:rsid w:val="001772A1"/>
    <w:rsid w:val="00177FD6"/>
    <w:rsid w:val="00185230"/>
    <w:rsid w:val="00187EDF"/>
    <w:rsid w:val="00193AE1"/>
    <w:rsid w:val="00195067"/>
    <w:rsid w:val="0019581B"/>
    <w:rsid w:val="00196087"/>
    <w:rsid w:val="0019691D"/>
    <w:rsid w:val="00196B7D"/>
    <w:rsid w:val="00197136"/>
    <w:rsid w:val="00197AEA"/>
    <w:rsid w:val="001A41F7"/>
    <w:rsid w:val="001A60C5"/>
    <w:rsid w:val="001B0D75"/>
    <w:rsid w:val="001C3967"/>
    <w:rsid w:val="001C4A1D"/>
    <w:rsid w:val="001C64FA"/>
    <w:rsid w:val="001D186F"/>
    <w:rsid w:val="001E2948"/>
    <w:rsid w:val="001E76A9"/>
    <w:rsid w:val="001F0BCC"/>
    <w:rsid w:val="001F1281"/>
    <w:rsid w:val="001F281A"/>
    <w:rsid w:val="001F3478"/>
    <w:rsid w:val="001F63A8"/>
    <w:rsid w:val="001F63F4"/>
    <w:rsid w:val="00203405"/>
    <w:rsid w:val="00205321"/>
    <w:rsid w:val="00213988"/>
    <w:rsid w:val="00215F4B"/>
    <w:rsid w:val="002217B7"/>
    <w:rsid w:val="002236CC"/>
    <w:rsid w:val="00227EDF"/>
    <w:rsid w:val="002305F2"/>
    <w:rsid w:val="002309D5"/>
    <w:rsid w:val="0024129B"/>
    <w:rsid w:val="002434BC"/>
    <w:rsid w:val="00246F01"/>
    <w:rsid w:val="00252EAE"/>
    <w:rsid w:val="00255A8A"/>
    <w:rsid w:val="00256EBD"/>
    <w:rsid w:val="00257D93"/>
    <w:rsid w:val="00260B20"/>
    <w:rsid w:val="00262599"/>
    <w:rsid w:val="002638B1"/>
    <w:rsid w:val="00267A30"/>
    <w:rsid w:val="002733D6"/>
    <w:rsid w:val="00273FF8"/>
    <w:rsid w:val="00275038"/>
    <w:rsid w:val="00276F9D"/>
    <w:rsid w:val="00277C5E"/>
    <w:rsid w:val="002823C6"/>
    <w:rsid w:val="002835A4"/>
    <w:rsid w:val="00285C22"/>
    <w:rsid w:val="00286DF8"/>
    <w:rsid w:val="00290056"/>
    <w:rsid w:val="002905AC"/>
    <w:rsid w:val="00290744"/>
    <w:rsid w:val="00290CED"/>
    <w:rsid w:val="00291724"/>
    <w:rsid w:val="00291E03"/>
    <w:rsid w:val="00291EFB"/>
    <w:rsid w:val="002929C0"/>
    <w:rsid w:val="0029329E"/>
    <w:rsid w:val="002A3A90"/>
    <w:rsid w:val="002A4C4F"/>
    <w:rsid w:val="002A59D9"/>
    <w:rsid w:val="002B3CD9"/>
    <w:rsid w:val="002B4E65"/>
    <w:rsid w:val="002C329E"/>
    <w:rsid w:val="002C4768"/>
    <w:rsid w:val="002C6E33"/>
    <w:rsid w:val="002C71C1"/>
    <w:rsid w:val="002C7F26"/>
    <w:rsid w:val="002D01B9"/>
    <w:rsid w:val="002D1845"/>
    <w:rsid w:val="002D2C56"/>
    <w:rsid w:val="002D5889"/>
    <w:rsid w:val="002E21A8"/>
    <w:rsid w:val="002E233E"/>
    <w:rsid w:val="002E51F9"/>
    <w:rsid w:val="002E55CB"/>
    <w:rsid w:val="002E5C5A"/>
    <w:rsid w:val="002F0D5B"/>
    <w:rsid w:val="002F1DF9"/>
    <w:rsid w:val="002F3B52"/>
    <w:rsid w:val="002F4005"/>
    <w:rsid w:val="002F452A"/>
    <w:rsid w:val="002F6352"/>
    <w:rsid w:val="00300116"/>
    <w:rsid w:val="00300FC1"/>
    <w:rsid w:val="00304015"/>
    <w:rsid w:val="00307B3A"/>
    <w:rsid w:val="00312226"/>
    <w:rsid w:val="0031337A"/>
    <w:rsid w:val="0031523E"/>
    <w:rsid w:val="00316C2A"/>
    <w:rsid w:val="0032051B"/>
    <w:rsid w:val="003223EE"/>
    <w:rsid w:val="00323E61"/>
    <w:rsid w:val="00326FD1"/>
    <w:rsid w:val="00331EE8"/>
    <w:rsid w:val="00332040"/>
    <w:rsid w:val="003337F4"/>
    <w:rsid w:val="00335BF1"/>
    <w:rsid w:val="003366B5"/>
    <w:rsid w:val="00336B49"/>
    <w:rsid w:val="00337A67"/>
    <w:rsid w:val="00337D82"/>
    <w:rsid w:val="00340F3F"/>
    <w:rsid w:val="00341DF0"/>
    <w:rsid w:val="00343411"/>
    <w:rsid w:val="003441C4"/>
    <w:rsid w:val="00346067"/>
    <w:rsid w:val="0034706E"/>
    <w:rsid w:val="00351795"/>
    <w:rsid w:val="003637C7"/>
    <w:rsid w:val="00365716"/>
    <w:rsid w:val="003659A8"/>
    <w:rsid w:val="003705B7"/>
    <w:rsid w:val="00370886"/>
    <w:rsid w:val="00370D9C"/>
    <w:rsid w:val="0037155B"/>
    <w:rsid w:val="00381A61"/>
    <w:rsid w:val="00381B66"/>
    <w:rsid w:val="00381FF6"/>
    <w:rsid w:val="00383558"/>
    <w:rsid w:val="003838BA"/>
    <w:rsid w:val="003846F2"/>
    <w:rsid w:val="0038512D"/>
    <w:rsid w:val="003858D1"/>
    <w:rsid w:val="00387924"/>
    <w:rsid w:val="00397A1B"/>
    <w:rsid w:val="003A0AEB"/>
    <w:rsid w:val="003A3BA9"/>
    <w:rsid w:val="003A5391"/>
    <w:rsid w:val="003A6202"/>
    <w:rsid w:val="003B0BF1"/>
    <w:rsid w:val="003B3D17"/>
    <w:rsid w:val="003B453E"/>
    <w:rsid w:val="003B7759"/>
    <w:rsid w:val="003C1851"/>
    <w:rsid w:val="003C2C96"/>
    <w:rsid w:val="003C71C4"/>
    <w:rsid w:val="003C7F09"/>
    <w:rsid w:val="003D2176"/>
    <w:rsid w:val="003D3DF6"/>
    <w:rsid w:val="003D4AF1"/>
    <w:rsid w:val="003D5BB6"/>
    <w:rsid w:val="003D68F4"/>
    <w:rsid w:val="003E1AAB"/>
    <w:rsid w:val="003E2960"/>
    <w:rsid w:val="003E43DE"/>
    <w:rsid w:val="003E764C"/>
    <w:rsid w:val="003F1645"/>
    <w:rsid w:val="003F35A0"/>
    <w:rsid w:val="003F3678"/>
    <w:rsid w:val="00401B0D"/>
    <w:rsid w:val="00402FCF"/>
    <w:rsid w:val="0040335D"/>
    <w:rsid w:val="0040394B"/>
    <w:rsid w:val="00410A4F"/>
    <w:rsid w:val="0042102E"/>
    <w:rsid w:val="004237B3"/>
    <w:rsid w:val="00425597"/>
    <w:rsid w:val="00425F35"/>
    <w:rsid w:val="00425FD0"/>
    <w:rsid w:val="00426B2D"/>
    <w:rsid w:val="0042740D"/>
    <w:rsid w:val="004315B9"/>
    <w:rsid w:val="004320A0"/>
    <w:rsid w:val="0044023F"/>
    <w:rsid w:val="00442099"/>
    <w:rsid w:val="004428A6"/>
    <w:rsid w:val="00445C80"/>
    <w:rsid w:val="00446A9F"/>
    <w:rsid w:val="00447DB1"/>
    <w:rsid w:val="00447FC0"/>
    <w:rsid w:val="0045021F"/>
    <w:rsid w:val="0045092C"/>
    <w:rsid w:val="00453D2A"/>
    <w:rsid w:val="00455D36"/>
    <w:rsid w:val="0045614F"/>
    <w:rsid w:val="004579DF"/>
    <w:rsid w:val="00462D56"/>
    <w:rsid w:val="00464621"/>
    <w:rsid w:val="00466C45"/>
    <w:rsid w:val="00467D58"/>
    <w:rsid w:val="0047605D"/>
    <w:rsid w:val="00480D7E"/>
    <w:rsid w:val="00481FE9"/>
    <w:rsid w:val="00482F68"/>
    <w:rsid w:val="004845CF"/>
    <w:rsid w:val="0048481C"/>
    <w:rsid w:val="0048548C"/>
    <w:rsid w:val="004863E5"/>
    <w:rsid w:val="004864B2"/>
    <w:rsid w:val="004918B1"/>
    <w:rsid w:val="004978A1"/>
    <w:rsid w:val="004A01CE"/>
    <w:rsid w:val="004A0762"/>
    <w:rsid w:val="004A3940"/>
    <w:rsid w:val="004A3C73"/>
    <w:rsid w:val="004A5F1A"/>
    <w:rsid w:val="004B0051"/>
    <w:rsid w:val="004B105A"/>
    <w:rsid w:val="004B31C3"/>
    <w:rsid w:val="004B4E67"/>
    <w:rsid w:val="004B50C3"/>
    <w:rsid w:val="004B5B37"/>
    <w:rsid w:val="004C1C4B"/>
    <w:rsid w:val="004C3F3F"/>
    <w:rsid w:val="004C4A0F"/>
    <w:rsid w:val="004D0444"/>
    <w:rsid w:val="004D04B1"/>
    <w:rsid w:val="004D5240"/>
    <w:rsid w:val="004E07A1"/>
    <w:rsid w:val="004E3DD0"/>
    <w:rsid w:val="004E3F9B"/>
    <w:rsid w:val="004E4C62"/>
    <w:rsid w:val="004E4E0D"/>
    <w:rsid w:val="004E64AF"/>
    <w:rsid w:val="004E7E13"/>
    <w:rsid w:val="004F017B"/>
    <w:rsid w:val="004F3270"/>
    <w:rsid w:val="004F3F24"/>
    <w:rsid w:val="004F7818"/>
    <w:rsid w:val="005011D0"/>
    <w:rsid w:val="0050281B"/>
    <w:rsid w:val="00503188"/>
    <w:rsid w:val="00503745"/>
    <w:rsid w:val="005039C8"/>
    <w:rsid w:val="00510AAC"/>
    <w:rsid w:val="00510F72"/>
    <w:rsid w:val="0051150E"/>
    <w:rsid w:val="00512DC5"/>
    <w:rsid w:val="00513DE9"/>
    <w:rsid w:val="00515D5A"/>
    <w:rsid w:val="00520D54"/>
    <w:rsid w:val="00521A92"/>
    <w:rsid w:val="00521E0D"/>
    <w:rsid w:val="00525AB4"/>
    <w:rsid w:val="00527F51"/>
    <w:rsid w:val="00530097"/>
    <w:rsid w:val="00531B5E"/>
    <w:rsid w:val="005375DC"/>
    <w:rsid w:val="005376D9"/>
    <w:rsid w:val="00540C60"/>
    <w:rsid w:val="00542C41"/>
    <w:rsid w:val="00544C53"/>
    <w:rsid w:val="00544F28"/>
    <w:rsid w:val="0054733E"/>
    <w:rsid w:val="00547C93"/>
    <w:rsid w:val="00547D5A"/>
    <w:rsid w:val="005504B5"/>
    <w:rsid w:val="00554CDE"/>
    <w:rsid w:val="00557BA9"/>
    <w:rsid w:val="00560092"/>
    <w:rsid w:val="005613A2"/>
    <w:rsid w:val="00561B43"/>
    <w:rsid w:val="005626F7"/>
    <w:rsid w:val="00562A90"/>
    <w:rsid w:val="0056342B"/>
    <w:rsid w:val="005635E0"/>
    <w:rsid w:val="005713DF"/>
    <w:rsid w:val="005725CD"/>
    <w:rsid w:val="005759CD"/>
    <w:rsid w:val="005833F1"/>
    <w:rsid w:val="00585B4C"/>
    <w:rsid w:val="0058638D"/>
    <w:rsid w:val="005867AF"/>
    <w:rsid w:val="00590684"/>
    <w:rsid w:val="00591691"/>
    <w:rsid w:val="00593F06"/>
    <w:rsid w:val="00594299"/>
    <w:rsid w:val="0059522D"/>
    <w:rsid w:val="005A363E"/>
    <w:rsid w:val="005A5876"/>
    <w:rsid w:val="005A6655"/>
    <w:rsid w:val="005B1A3E"/>
    <w:rsid w:val="005B66EA"/>
    <w:rsid w:val="005C0585"/>
    <w:rsid w:val="005C122B"/>
    <w:rsid w:val="005C40B8"/>
    <w:rsid w:val="005C7AE4"/>
    <w:rsid w:val="005D062E"/>
    <w:rsid w:val="005D0945"/>
    <w:rsid w:val="005D134C"/>
    <w:rsid w:val="005D261D"/>
    <w:rsid w:val="005D2646"/>
    <w:rsid w:val="005D5307"/>
    <w:rsid w:val="005D5DC9"/>
    <w:rsid w:val="005D7519"/>
    <w:rsid w:val="005E5D01"/>
    <w:rsid w:val="005E6298"/>
    <w:rsid w:val="005E7086"/>
    <w:rsid w:val="005F0996"/>
    <w:rsid w:val="005F4254"/>
    <w:rsid w:val="005F497B"/>
    <w:rsid w:val="005F5898"/>
    <w:rsid w:val="005F5F2E"/>
    <w:rsid w:val="006014E6"/>
    <w:rsid w:val="0060166D"/>
    <w:rsid w:val="00602A56"/>
    <w:rsid w:val="006035E6"/>
    <w:rsid w:val="00603BA1"/>
    <w:rsid w:val="00604040"/>
    <w:rsid w:val="00606953"/>
    <w:rsid w:val="00606C35"/>
    <w:rsid w:val="0060733C"/>
    <w:rsid w:val="0060796E"/>
    <w:rsid w:val="00611C4A"/>
    <w:rsid w:val="00612A2D"/>
    <w:rsid w:val="00613EAD"/>
    <w:rsid w:val="00614F6E"/>
    <w:rsid w:val="00617944"/>
    <w:rsid w:val="00621F2F"/>
    <w:rsid w:val="0062255D"/>
    <w:rsid w:val="00625B99"/>
    <w:rsid w:val="0062658A"/>
    <w:rsid w:val="00630B2A"/>
    <w:rsid w:val="006339DE"/>
    <w:rsid w:val="006341A1"/>
    <w:rsid w:val="00634D1C"/>
    <w:rsid w:val="006422BD"/>
    <w:rsid w:val="006436C6"/>
    <w:rsid w:val="00651DD1"/>
    <w:rsid w:val="006525F8"/>
    <w:rsid w:val="00652E8E"/>
    <w:rsid w:val="00654FDE"/>
    <w:rsid w:val="00656465"/>
    <w:rsid w:val="00660BE7"/>
    <w:rsid w:val="006631D6"/>
    <w:rsid w:val="00665064"/>
    <w:rsid w:val="006653FA"/>
    <w:rsid w:val="006675CA"/>
    <w:rsid w:val="0067401E"/>
    <w:rsid w:val="00675309"/>
    <w:rsid w:val="0067664B"/>
    <w:rsid w:val="006772F0"/>
    <w:rsid w:val="00680BBB"/>
    <w:rsid w:val="00685FA0"/>
    <w:rsid w:val="0068770D"/>
    <w:rsid w:val="00690386"/>
    <w:rsid w:val="00691286"/>
    <w:rsid w:val="00694274"/>
    <w:rsid w:val="00696C01"/>
    <w:rsid w:val="006A6DAE"/>
    <w:rsid w:val="006B080B"/>
    <w:rsid w:val="006B2BCC"/>
    <w:rsid w:val="006B3E15"/>
    <w:rsid w:val="006B45DE"/>
    <w:rsid w:val="006B7FBA"/>
    <w:rsid w:val="006C0A45"/>
    <w:rsid w:val="006C1457"/>
    <w:rsid w:val="006C5A09"/>
    <w:rsid w:val="006C6546"/>
    <w:rsid w:val="006C71DF"/>
    <w:rsid w:val="006D08E6"/>
    <w:rsid w:val="006D3005"/>
    <w:rsid w:val="006D4993"/>
    <w:rsid w:val="006D6D5A"/>
    <w:rsid w:val="006D7A13"/>
    <w:rsid w:val="006E00E6"/>
    <w:rsid w:val="006E1160"/>
    <w:rsid w:val="006E1F52"/>
    <w:rsid w:val="006E3826"/>
    <w:rsid w:val="006E4FFF"/>
    <w:rsid w:val="006F3A78"/>
    <w:rsid w:val="006F4620"/>
    <w:rsid w:val="006F4B4A"/>
    <w:rsid w:val="0070132B"/>
    <w:rsid w:val="007014FE"/>
    <w:rsid w:val="00701A9C"/>
    <w:rsid w:val="00702363"/>
    <w:rsid w:val="007042D2"/>
    <w:rsid w:val="0071417D"/>
    <w:rsid w:val="007146B1"/>
    <w:rsid w:val="007169CC"/>
    <w:rsid w:val="00725A92"/>
    <w:rsid w:val="007271E9"/>
    <w:rsid w:val="007275A6"/>
    <w:rsid w:val="00730FC6"/>
    <w:rsid w:val="00732D13"/>
    <w:rsid w:val="00736820"/>
    <w:rsid w:val="00736B85"/>
    <w:rsid w:val="00736F00"/>
    <w:rsid w:val="0073736A"/>
    <w:rsid w:val="00745DB8"/>
    <w:rsid w:val="00745EE8"/>
    <w:rsid w:val="007476C4"/>
    <w:rsid w:val="0075193B"/>
    <w:rsid w:val="00751EDF"/>
    <w:rsid w:val="00753FF9"/>
    <w:rsid w:val="00754910"/>
    <w:rsid w:val="007561CE"/>
    <w:rsid w:val="00760868"/>
    <w:rsid w:val="007610BD"/>
    <w:rsid w:val="00761295"/>
    <w:rsid w:val="00761DA1"/>
    <w:rsid w:val="0076335B"/>
    <w:rsid w:val="0076666E"/>
    <w:rsid w:val="0076674E"/>
    <w:rsid w:val="00766D6D"/>
    <w:rsid w:val="00770EF5"/>
    <w:rsid w:val="0077463E"/>
    <w:rsid w:val="00776DCE"/>
    <w:rsid w:val="00777A7F"/>
    <w:rsid w:val="00780601"/>
    <w:rsid w:val="007810E7"/>
    <w:rsid w:val="00781313"/>
    <w:rsid w:val="00786A11"/>
    <w:rsid w:val="00792513"/>
    <w:rsid w:val="00793F2B"/>
    <w:rsid w:val="00794FE1"/>
    <w:rsid w:val="007A1919"/>
    <w:rsid w:val="007A196A"/>
    <w:rsid w:val="007A1E0D"/>
    <w:rsid w:val="007A384E"/>
    <w:rsid w:val="007A4FE9"/>
    <w:rsid w:val="007A57B6"/>
    <w:rsid w:val="007B0317"/>
    <w:rsid w:val="007B3742"/>
    <w:rsid w:val="007B46BD"/>
    <w:rsid w:val="007B7E38"/>
    <w:rsid w:val="007C4E54"/>
    <w:rsid w:val="007C4F76"/>
    <w:rsid w:val="007C51FC"/>
    <w:rsid w:val="007C5355"/>
    <w:rsid w:val="007C556D"/>
    <w:rsid w:val="007C7BBE"/>
    <w:rsid w:val="007D1B31"/>
    <w:rsid w:val="007D7DDE"/>
    <w:rsid w:val="007E0A49"/>
    <w:rsid w:val="007F0B2A"/>
    <w:rsid w:val="007F1E1C"/>
    <w:rsid w:val="00801532"/>
    <w:rsid w:val="00802B29"/>
    <w:rsid w:val="008033F8"/>
    <w:rsid w:val="008033FC"/>
    <w:rsid w:val="00804B3D"/>
    <w:rsid w:val="00804C97"/>
    <w:rsid w:val="008056FE"/>
    <w:rsid w:val="00806125"/>
    <w:rsid w:val="008074DC"/>
    <w:rsid w:val="0081008D"/>
    <w:rsid w:val="00810341"/>
    <w:rsid w:val="00811020"/>
    <w:rsid w:val="00812F33"/>
    <w:rsid w:val="0081782B"/>
    <w:rsid w:val="00817D68"/>
    <w:rsid w:val="008203F2"/>
    <w:rsid w:val="00822720"/>
    <w:rsid w:val="00825399"/>
    <w:rsid w:val="008308C0"/>
    <w:rsid w:val="00835BDB"/>
    <w:rsid w:val="00835E7D"/>
    <w:rsid w:val="00836233"/>
    <w:rsid w:val="00836596"/>
    <w:rsid w:val="00840940"/>
    <w:rsid w:val="00840B11"/>
    <w:rsid w:val="00841FE2"/>
    <w:rsid w:val="008436C5"/>
    <w:rsid w:val="008525DE"/>
    <w:rsid w:val="00854903"/>
    <w:rsid w:val="00854A18"/>
    <w:rsid w:val="00855AAC"/>
    <w:rsid w:val="00856962"/>
    <w:rsid w:val="00863B95"/>
    <w:rsid w:val="00864C68"/>
    <w:rsid w:val="00866013"/>
    <w:rsid w:val="008715C7"/>
    <w:rsid w:val="00871F31"/>
    <w:rsid w:val="00873066"/>
    <w:rsid w:val="0087690A"/>
    <w:rsid w:val="00877B8B"/>
    <w:rsid w:val="0088066A"/>
    <w:rsid w:val="0088183C"/>
    <w:rsid w:val="00885D6D"/>
    <w:rsid w:val="00890D4E"/>
    <w:rsid w:val="00897996"/>
    <w:rsid w:val="008A065E"/>
    <w:rsid w:val="008A13FF"/>
    <w:rsid w:val="008A7390"/>
    <w:rsid w:val="008A7B4A"/>
    <w:rsid w:val="008B0B99"/>
    <w:rsid w:val="008B2009"/>
    <w:rsid w:val="008B3908"/>
    <w:rsid w:val="008B686C"/>
    <w:rsid w:val="008C0285"/>
    <w:rsid w:val="008C3AAF"/>
    <w:rsid w:val="008C415F"/>
    <w:rsid w:val="008C5299"/>
    <w:rsid w:val="008C617D"/>
    <w:rsid w:val="008D013F"/>
    <w:rsid w:val="008D3666"/>
    <w:rsid w:val="008D52CE"/>
    <w:rsid w:val="008D5B06"/>
    <w:rsid w:val="008D5E7B"/>
    <w:rsid w:val="008E45DF"/>
    <w:rsid w:val="008E7F0E"/>
    <w:rsid w:val="00904214"/>
    <w:rsid w:val="00904E27"/>
    <w:rsid w:val="00904EA5"/>
    <w:rsid w:val="00905AF2"/>
    <w:rsid w:val="00906AC0"/>
    <w:rsid w:val="009124A3"/>
    <w:rsid w:val="009125DE"/>
    <w:rsid w:val="0091308C"/>
    <w:rsid w:val="00913B59"/>
    <w:rsid w:val="00915F25"/>
    <w:rsid w:val="009165C9"/>
    <w:rsid w:val="00920130"/>
    <w:rsid w:val="00921BA8"/>
    <w:rsid w:val="00923B69"/>
    <w:rsid w:val="009300FE"/>
    <w:rsid w:val="00931F02"/>
    <w:rsid w:val="00934BA2"/>
    <w:rsid w:val="00934D15"/>
    <w:rsid w:val="009374BB"/>
    <w:rsid w:val="00940C41"/>
    <w:rsid w:val="00950C06"/>
    <w:rsid w:val="009544B1"/>
    <w:rsid w:val="00955078"/>
    <w:rsid w:val="0095725B"/>
    <w:rsid w:val="00957E45"/>
    <w:rsid w:val="00962C60"/>
    <w:rsid w:val="009702EC"/>
    <w:rsid w:val="00971AD4"/>
    <w:rsid w:val="00971F18"/>
    <w:rsid w:val="00972387"/>
    <w:rsid w:val="00972CBB"/>
    <w:rsid w:val="009731A8"/>
    <w:rsid w:val="0097379F"/>
    <w:rsid w:val="00974192"/>
    <w:rsid w:val="00974540"/>
    <w:rsid w:val="00974B1D"/>
    <w:rsid w:val="0097726A"/>
    <w:rsid w:val="00984498"/>
    <w:rsid w:val="00985285"/>
    <w:rsid w:val="00990A5B"/>
    <w:rsid w:val="009923CC"/>
    <w:rsid w:val="009924A9"/>
    <w:rsid w:val="00992890"/>
    <w:rsid w:val="009954F3"/>
    <w:rsid w:val="009A0DF3"/>
    <w:rsid w:val="009A2F51"/>
    <w:rsid w:val="009A40F1"/>
    <w:rsid w:val="009A6CA6"/>
    <w:rsid w:val="009B47F1"/>
    <w:rsid w:val="009B7ACC"/>
    <w:rsid w:val="009C1089"/>
    <w:rsid w:val="009C39CD"/>
    <w:rsid w:val="009C557D"/>
    <w:rsid w:val="009C6A3A"/>
    <w:rsid w:val="009D0071"/>
    <w:rsid w:val="009D3876"/>
    <w:rsid w:val="009D40BF"/>
    <w:rsid w:val="009D41F5"/>
    <w:rsid w:val="009D530A"/>
    <w:rsid w:val="009E3866"/>
    <w:rsid w:val="009E66E4"/>
    <w:rsid w:val="009E7EAF"/>
    <w:rsid w:val="009F1730"/>
    <w:rsid w:val="009F387F"/>
    <w:rsid w:val="009F66A2"/>
    <w:rsid w:val="009F704A"/>
    <w:rsid w:val="00A003FF"/>
    <w:rsid w:val="00A00FA7"/>
    <w:rsid w:val="00A0520F"/>
    <w:rsid w:val="00A072B7"/>
    <w:rsid w:val="00A127F7"/>
    <w:rsid w:val="00A211BA"/>
    <w:rsid w:val="00A21B6E"/>
    <w:rsid w:val="00A23330"/>
    <w:rsid w:val="00A24523"/>
    <w:rsid w:val="00A252A8"/>
    <w:rsid w:val="00A32CD1"/>
    <w:rsid w:val="00A332E5"/>
    <w:rsid w:val="00A4255E"/>
    <w:rsid w:val="00A43F2F"/>
    <w:rsid w:val="00A4550B"/>
    <w:rsid w:val="00A51AA4"/>
    <w:rsid w:val="00A56BC6"/>
    <w:rsid w:val="00A56C4E"/>
    <w:rsid w:val="00A574A1"/>
    <w:rsid w:val="00A62CD6"/>
    <w:rsid w:val="00A63029"/>
    <w:rsid w:val="00A643B3"/>
    <w:rsid w:val="00A6526A"/>
    <w:rsid w:val="00A673CB"/>
    <w:rsid w:val="00A70CE2"/>
    <w:rsid w:val="00A73A90"/>
    <w:rsid w:val="00A74149"/>
    <w:rsid w:val="00A76C70"/>
    <w:rsid w:val="00A810BD"/>
    <w:rsid w:val="00A8219B"/>
    <w:rsid w:val="00A84BFD"/>
    <w:rsid w:val="00A86924"/>
    <w:rsid w:val="00A878CB"/>
    <w:rsid w:val="00A90456"/>
    <w:rsid w:val="00A9184A"/>
    <w:rsid w:val="00A936F7"/>
    <w:rsid w:val="00AA5ECB"/>
    <w:rsid w:val="00AB07A5"/>
    <w:rsid w:val="00AB2069"/>
    <w:rsid w:val="00AB26A9"/>
    <w:rsid w:val="00AB3149"/>
    <w:rsid w:val="00AB3181"/>
    <w:rsid w:val="00AB3E7B"/>
    <w:rsid w:val="00AB67EC"/>
    <w:rsid w:val="00AB7648"/>
    <w:rsid w:val="00AC1667"/>
    <w:rsid w:val="00AC64C0"/>
    <w:rsid w:val="00AC69AD"/>
    <w:rsid w:val="00AC6B34"/>
    <w:rsid w:val="00AC6FF0"/>
    <w:rsid w:val="00AD051E"/>
    <w:rsid w:val="00AD3DC9"/>
    <w:rsid w:val="00AE2679"/>
    <w:rsid w:val="00AE2F40"/>
    <w:rsid w:val="00AE4EEE"/>
    <w:rsid w:val="00AF03E6"/>
    <w:rsid w:val="00AF0A6C"/>
    <w:rsid w:val="00AF3F55"/>
    <w:rsid w:val="00AF4C28"/>
    <w:rsid w:val="00AF4F07"/>
    <w:rsid w:val="00AF51BA"/>
    <w:rsid w:val="00AF72B6"/>
    <w:rsid w:val="00B00A28"/>
    <w:rsid w:val="00B11851"/>
    <w:rsid w:val="00B163DC"/>
    <w:rsid w:val="00B20319"/>
    <w:rsid w:val="00B246E3"/>
    <w:rsid w:val="00B2755C"/>
    <w:rsid w:val="00B3138D"/>
    <w:rsid w:val="00B331A7"/>
    <w:rsid w:val="00B35DED"/>
    <w:rsid w:val="00B40080"/>
    <w:rsid w:val="00B42DC6"/>
    <w:rsid w:val="00B43319"/>
    <w:rsid w:val="00B45DEA"/>
    <w:rsid w:val="00B506C5"/>
    <w:rsid w:val="00B5072A"/>
    <w:rsid w:val="00B51D4D"/>
    <w:rsid w:val="00B57D8A"/>
    <w:rsid w:val="00B63CDB"/>
    <w:rsid w:val="00B710C9"/>
    <w:rsid w:val="00B750C7"/>
    <w:rsid w:val="00B750F3"/>
    <w:rsid w:val="00B7673A"/>
    <w:rsid w:val="00B767CD"/>
    <w:rsid w:val="00B83A15"/>
    <w:rsid w:val="00B84F30"/>
    <w:rsid w:val="00B90458"/>
    <w:rsid w:val="00B906D5"/>
    <w:rsid w:val="00BA0AD1"/>
    <w:rsid w:val="00BA1FD9"/>
    <w:rsid w:val="00BA35E4"/>
    <w:rsid w:val="00BA39B7"/>
    <w:rsid w:val="00BA4170"/>
    <w:rsid w:val="00BA61EA"/>
    <w:rsid w:val="00BA6E27"/>
    <w:rsid w:val="00BB55AD"/>
    <w:rsid w:val="00BB63D7"/>
    <w:rsid w:val="00BB6C52"/>
    <w:rsid w:val="00BC20F4"/>
    <w:rsid w:val="00BC4A18"/>
    <w:rsid w:val="00BC6C45"/>
    <w:rsid w:val="00BC7E6C"/>
    <w:rsid w:val="00BD0133"/>
    <w:rsid w:val="00BD4189"/>
    <w:rsid w:val="00BD56A8"/>
    <w:rsid w:val="00BD56DD"/>
    <w:rsid w:val="00BD5CEC"/>
    <w:rsid w:val="00BD775F"/>
    <w:rsid w:val="00BE3ACA"/>
    <w:rsid w:val="00BE4209"/>
    <w:rsid w:val="00BF1DE2"/>
    <w:rsid w:val="00BF57BE"/>
    <w:rsid w:val="00C015CD"/>
    <w:rsid w:val="00C018C9"/>
    <w:rsid w:val="00C03654"/>
    <w:rsid w:val="00C04D79"/>
    <w:rsid w:val="00C06105"/>
    <w:rsid w:val="00C07426"/>
    <w:rsid w:val="00C11552"/>
    <w:rsid w:val="00C13F03"/>
    <w:rsid w:val="00C1737F"/>
    <w:rsid w:val="00C24FCC"/>
    <w:rsid w:val="00C25549"/>
    <w:rsid w:val="00C321CE"/>
    <w:rsid w:val="00C3322F"/>
    <w:rsid w:val="00C3555D"/>
    <w:rsid w:val="00C41418"/>
    <w:rsid w:val="00C42014"/>
    <w:rsid w:val="00C42D18"/>
    <w:rsid w:val="00C43492"/>
    <w:rsid w:val="00C43D28"/>
    <w:rsid w:val="00C4409A"/>
    <w:rsid w:val="00C468E1"/>
    <w:rsid w:val="00C50021"/>
    <w:rsid w:val="00C5257C"/>
    <w:rsid w:val="00C52BF5"/>
    <w:rsid w:val="00C560F8"/>
    <w:rsid w:val="00C602CE"/>
    <w:rsid w:val="00C60EA2"/>
    <w:rsid w:val="00C6149F"/>
    <w:rsid w:val="00C61B47"/>
    <w:rsid w:val="00C61B54"/>
    <w:rsid w:val="00C61DA2"/>
    <w:rsid w:val="00C65EA4"/>
    <w:rsid w:val="00C715CA"/>
    <w:rsid w:val="00C726DC"/>
    <w:rsid w:val="00C74322"/>
    <w:rsid w:val="00C75235"/>
    <w:rsid w:val="00C754EE"/>
    <w:rsid w:val="00C77299"/>
    <w:rsid w:val="00C77809"/>
    <w:rsid w:val="00C8383A"/>
    <w:rsid w:val="00C86242"/>
    <w:rsid w:val="00C905EB"/>
    <w:rsid w:val="00C90DA2"/>
    <w:rsid w:val="00C91D47"/>
    <w:rsid w:val="00C93C73"/>
    <w:rsid w:val="00C96926"/>
    <w:rsid w:val="00C97E1B"/>
    <w:rsid w:val="00CA1F90"/>
    <w:rsid w:val="00CA384E"/>
    <w:rsid w:val="00CA4193"/>
    <w:rsid w:val="00CA763A"/>
    <w:rsid w:val="00CB0F0E"/>
    <w:rsid w:val="00CB0FBB"/>
    <w:rsid w:val="00CB25F3"/>
    <w:rsid w:val="00CB4379"/>
    <w:rsid w:val="00CB575B"/>
    <w:rsid w:val="00CB6CDB"/>
    <w:rsid w:val="00CC7899"/>
    <w:rsid w:val="00CD084A"/>
    <w:rsid w:val="00CD09AE"/>
    <w:rsid w:val="00CD1A1F"/>
    <w:rsid w:val="00CD41CF"/>
    <w:rsid w:val="00CD6C80"/>
    <w:rsid w:val="00CE15B5"/>
    <w:rsid w:val="00CE1A9C"/>
    <w:rsid w:val="00CE27CB"/>
    <w:rsid w:val="00CE3378"/>
    <w:rsid w:val="00CE5A4B"/>
    <w:rsid w:val="00CE5C58"/>
    <w:rsid w:val="00CF32C9"/>
    <w:rsid w:val="00CF49DF"/>
    <w:rsid w:val="00CF5084"/>
    <w:rsid w:val="00D00363"/>
    <w:rsid w:val="00D00489"/>
    <w:rsid w:val="00D03477"/>
    <w:rsid w:val="00D05004"/>
    <w:rsid w:val="00D11705"/>
    <w:rsid w:val="00D12F62"/>
    <w:rsid w:val="00D14EE5"/>
    <w:rsid w:val="00D20443"/>
    <w:rsid w:val="00D276A6"/>
    <w:rsid w:val="00D27D92"/>
    <w:rsid w:val="00D3362E"/>
    <w:rsid w:val="00D33A1D"/>
    <w:rsid w:val="00D3468F"/>
    <w:rsid w:val="00D35F60"/>
    <w:rsid w:val="00D40E95"/>
    <w:rsid w:val="00D41A71"/>
    <w:rsid w:val="00D4252D"/>
    <w:rsid w:val="00D4404C"/>
    <w:rsid w:val="00D4452C"/>
    <w:rsid w:val="00D44F47"/>
    <w:rsid w:val="00D45893"/>
    <w:rsid w:val="00D5007D"/>
    <w:rsid w:val="00D5083F"/>
    <w:rsid w:val="00D509FA"/>
    <w:rsid w:val="00D51FC3"/>
    <w:rsid w:val="00D53A30"/>
    <w:rsid w:val="00D54429"/>
    <w:rsid w:val="00D57BFA"/>
    <w:rsid w:val="00D70645"/>
    <w:rsid w:val="00D732FB"/>
    <w:rsid w:val="00D73336"/>
    <w:rsid w:val="00D741C6"/>
    <w:rsid w:val="00D800D2"/>
    <w:rsid w:val="00D83A14"/>
    <w:rsid w:val="00D85BEA"/>
    <w:rsid w:val="00DA16F6"/>
    <w:rsid w:val="00DA2EBC"/>
    <w:rsid w:val="00DA57A4"/>
    <w:rsid w:val="00DB0DB9"/>
    <w:rsid w:val="00DB2090"/>
    <w:rsid w:val="00DB3A94"/>
    <w:rsid w:val="00DB5B9D"/>
    <w:rsid w:val="00DB7EEE"/>
    <w:rsid w:val="00DC246F"/>
    <w:rsid w:val="00DC5A4F"/>
    <w:rsid w:val="00DC662E"/>
    <w:rsid w:val="00DC69BC"/>
    <w:rsid w:val="00DD1979"/>
    <w:rsid w:val="00DD25BC"/>
    <w:rsid w:val="00DD2A99"/>
    <w:rsid w:val="00DD773C"/>
    <w:rsid w:val="00DE191D"/>
    <w:rsid w:val="00DE1FB1"/>
    <w:rsid w:val="00DE3527"/>
    <w:rsid w:val="00DE5163"/>
    <w:rsid w:val="00DE5790"/>
    <w:rsid w:val="00DE62BB"/>
    <w:rsid w:val="00DF0C0B"/>
    <w:rsid w:val="00DF4FB7"/>
    <w:rsid w:val="00DF54CE"/>
    <w:rsid w:val="00DF5DA7"/>
    <w:rsid w:val="00DF5E2A"/>
    <w:rsid w:val="00E00F27"/>
    <w:rsid w:val="00E02AE5"/>
    <w:rsid w:val="00E02B47"/>
    <w:rsid w:val="00E03ECC"/>
    <w:rsid w:val="00E046E0"/>
    <w:rsid w:val="00E1174C"/>
    <w:rsid w:val="00E15A1A"/>
    <w:rsid w:val="00E15DF2"/>
    <w:rsid w:val="00E2174F"/>
    <w:rsid w:val="00E278F0"/>
    <w:rsid w:val="00E27E7C"/>
    <w:rsid w:val="00E30613"/>
    <w:rsid w:val="00E3205B"/>
    <w:rsid w:val="00E34062"/>
    <w:rsid w:val="00E35449"/>
    <w:rsid w:val="00E407AA"/>
    <w:rsid w:val="00E42547"/>
    <w:rsid w:val="00E5266D"/>
    <w:rsid w:val="00E55C63"/>
    <w:rsid w:val="00E55F9B"/>
    <w:rsid w:val="00E56047"/>
    <w:rsid w:val="00E57F7C"/>
    <w:rsid w:val="00E669EA"/>
    <w:rsid w:val="00E6787E"/>
    <w:rsid w:val="00E70382"/>
    <w:rsid w:val="00E715FC"/>
    <w:rsid w:val="00E719C8"/>
    <w:rsid w:val="00E748EC"/>
    <w:rsid w:val="00E777A8"/>
    <w:rsid w:val="00E80390"/>
    <w:rsid w:val="00E85496"/>
    <w:rsid w:val="00E876C5"/>
    <w:rsid w:val="00E904FD"/>
    <w:rsid w:val="00E90EA0"/>
    <w:rsid w:val="00E91AB7"/>
    <w:rsid w:val="00E9255D"/>
    <w:rsid w:val="00E95A79"/>
    <w:rsid w:val="00EA1728"/>
    <w:rsid w:val="00EA3726"/>
    <w:rsid w:val="00EA7C22"/>
    <w:rsid w:val="00EB0315"/>
    <w:rsid w:val="00EB0F34"/>
    <w:rsid w:val="00EC2F59"/>
    <w:rsid w:val="00EC3036"/>
    <w:rsid w:val="00EC4146"/>
    <w:rsid w:val="00EC4586"/>
    <w:rsid w:val="00EC49ED"/>
    <w:rsid w:val="00ED0825"/>
    <w:rsid w:val="00ED47F2"/>
    <w:rsid w:val="00ED5FA2"/>
    <w:rsid w:val="00ED6CB7"/>
    <w:rsid w:val="00EE024A"/>
    <w:rsid w:val="00EE5EDD"/>
    <w:rsid w:val="00EE61AB"/>
    <w:rsid w:val="00EF0D72"/>
    <w:rsid w:val="00EF18BF"/>
    <w:rsid w:val="00EF1F34"/>
    <w:rsid w:val="00EF48EA"/>
    <w:rsid w:val="00EF4EFE"/>
    <w:rsid w:val="00EF5073"/>
    <w:rsid w:val="00EF6EA6"/>
    <w:rsid w:val="00F013DA"/>
    <w:rsid w:val="00F03141"/>
    <w:rsid w:val="00F05842"/>
    <w:rsid w:val="00F05851"/>
    <w:rsid w:val="00F0658B"/>
    <w:rsid w:val="00F07312"/>
    <w:rsid w:val="00F07495"/>
    <w:rsid w:val="00F0773D"/>
    <w:rsid w:val="00F14216"/>
    <w:rsid w:val="00F14BC9"/>
    <w:rsid w:val="00F1606F"/>
    <w:rsid w:val="00F16F95"/>
    <w:rsid w:val="00F2456A"/>
    <w:rsid w:val="00F26D2F"/>
    <w:rsid w:val="00F31CEB"/>
    <w:rsid w:val="00F326FC"/>
    <w:rsid w:val="00F34997"/>
    <w:rsid w:val="00F37905"/>
    <w:rsid w:val="00F40B24"/>
    <w:rsid w:val="00F4372C"/>
    <w:rsid w:val="00F456A7"/>
    <w:rsid w:val="00F46798"/>
    <w:rsid w:val="00F47A8D"/>
    <w:rsid w:val="00F50AEB"/>
    <w:rsid w:val="00F50CC5"/>
    <w:rsid w:val="00F54E36"/>
    <w:rsid w:val="00F550B5"/>
    <w:rsid w:val="00F5663D"/>
    <w:rsid w:val="00F622A0"/>
    <w:rsid w:val="00F6238C"/>
    <w:rsid w:val="00F64878"/>
    <w:rsid w:val="00F65DCF"/>
    <w:rsid w:val="00F6604C"/>
    <w:rsid w:val="00F700B4"/>
    <w:rsid w:val="00F70798"/>
    <w:rsid w:val="00F757B7"/>
    <w:rsid w:val="00F83945"/>
    <w:rsid w:val="00F8454B"/>
    <w:rsid w:val="00F84D2C"/>
    <w:rsid w:val="00F84EDF"/>
    <w:rsid w:val="00F866FE"/>
    <w:rsid w:val="00F86742"/>
    <w:rsid w:val="00F8691F"/>
    <w:rsid w:val="00F869F7"/>
    <w:rsid w:val="00F86EEC"/>
    <w:rsid w:val="00F87495"/>
    <w:rsid w:val="00F952FA"/>
    <w:rsid w:val="00F967D2"/>
    <w:rsid w:val="00FA1BC1"/>
    <w:rsid w:val="00FB3D2C"/>
    <w:rsid w:val="00FD0ED3"/>
    <w:rsid w:val="00FD60CA"/>
    <w:rsid w:val="00FE08D5"/>
    <w:rsid w:val="00FE6D14"/>
    <w:rsid w:val="00FE6E80"/>
    <w:rsid w:val="00FF0283"/>
    <w:rsid w:val="00FF0C43"/>
    <w:rsid w:val="00FF2516"/>
    <w:rsid w:val="00FF3183"/>
    <w:rsid w:val="00FF3E31"/>
    <w:rsid w:val="00FF41E7"/>
    <w:rsid w:val="00FF6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8B14"/>
  <w15:docId w15:val="{416C2562-28EE-4A6C-AC10-AB1C5EB5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a">
    <w:basedOn w:val="TableNormalf1"/>
    <w:tblPr>
      <w:tblStyleRowBandSize w:val="1"/>
      <w:tblStyleColBandSize w:val="1"/>
      <w:tblCellMar>
        <w:left w:w="115" w:type="dxa"/>
        <w:right w:w="115" w:type="dxa"/>
      </w:tblCellMar>
    </w:tblPr>
  </w:style>
  <w:style w:type="table" w:customStyle="1" w:styleId="a0">
    <w:basedOn w:val="TableNormalf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0"/>
    <w:tblPr>
      <w:tblStyleRowBandSize w:val="1"/>
      <w:tblStyleColBandSize w:val="1"/>
      <w:tblCellMar>
        <w:left w:w="115" w:type="dxa"/>
        <w:right w:w="115" w:type="dxa"/>
      </w:tblCellMar>
    </w:tblPr>
  </w:style>
  <w:style w:type="table" w:customStyle="1" w:styleId="a4">
    <w:basedOn w:val="TableNormalf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
    <w:tblPr>
      <w:tblStyleRowBandSize w:val="1"/>
      <w:tblStyleColBandSize w:val="1"/>
      <w:tblCellMar>
        <w:left w:w="108" w:type="dxa"/>
        <w:right w:w="108" w:type="dxa"/>
      </w:tblCellMar>
    </w:tblPr>
  </w:style>
  <w:style w:type="table" w:customStyle="1" w:styleId="a6">
    <w:basedOn w:val="TableNormalf"/>
    <w:tblPr>
      <w:tblStyleRowBandSize w:val="1"/>
      <w:tblStyleColBandSize w:val="1"/>
      <w:tblCellMar>
        <w:left w:w="108" w:type="dxa"/>
        <w:right w:w="108" w:type="dxa"/>
      </w:tblCellMar>
    </w:tblPr>
  </w:style>
  <w:style w:type="table" w:customStyle="1" w:styleId="a7">
    <w:basedOn w:val="TableNormalf"/>
    <w:tblPr>
      <w:tblStyleRowBandSize w:val="1"/>
      <w:tblStyleColBandSize w:val="1"/>
      <w:tblCellMar>
        <w:left w:w="108" w:type="dxa"/>
        <w:right w:w="108" w:type="dxa"/>
      </w:tblCellMar>
    </w:tblPr>
  </w:style>
  <w:style w:type="table" w:customStyle="1" w:styleId="a8">
    <w:basedOn w:val="TableNormalf"/>
    <w:tblPr>
      <w:tblStyleRowBandSize w:val="1"/>
      <w:tblStyleColBandSize w:val="1"/>
      <w:tblCellMar>
        <w:left w:w="108" w:type="dxa"/>
        <w:right w:w="108" w:type="dxa"/>
      </w:tblCellMar>
    </w:tblPr>
  </w:style>
  <w:style w:type="table" w:customStyle="1" w:styleId="a9">
    <w:basedOn w:val="TableNormalf"/>
    <w:tblPr>
      <w:tblStyleRowBandSize w:val="1"/>
      <w:tblStyleColBandSize w:val="1"/>
      <w:tblCellMar>
        <w:left w:w="108" w:type="dxa"/>
        <w:right w:w="108" w:type="dxa"/>
      </w:tblCellMar>
    </w:tblPr>
  </w:style>
  <w:style w:type="table" w:customStyle="1" w:styleId="aa">
    <w:basedOn w:val="TableNormalf"/>
    <w:tblPr>
      <w:tblStyleRowBandSize w:val="1"/>
      <w:tblStyleColBandSize w:val="1"/>
      <w:tblCellMar>
        <w:left w:w="115" w:type="dxa"/>
        <w:right w:w="115" w:type="dxa"/>
      </w:tblCellMar>
    </w:tblPr>
  </w:style>
  <w:style w:type="table" w:customStyle="1" w:styleId="ab">
    <w:basedOn w:val="TableNormalf"/>
    <w:tblPr>
      <w:tblStyleRowBandSize w:val="1"/>
      <w:tblStyleColBandSize w:val="1"/>
      <w:tblCellMar>
        <w:left w:w="115" w:type="dxa"/>
        <w:right w:w="115" w:type="dxa"/>
      </w:tblCellMar>
    </w:tblPr>
  </w:style>
  <w:style w:type="table" w:customStyle="1" w:styleId="ac">
    <w:basedOn w:val="TableNormale"/>
    <w:tblPr>
      <w:tblStyleRowBandSize w:val="1"/>
      <w:tblStyleColBandSize w:val="1"/>
      <w:tblCellMar>
        <w:left w:w="108" w:type="dxa"/>
        <w:right w:w="108" w:type="dxa"/>
      </w:tblCellMar>
    </w:tblPr>
  </w:style>
  <w:style w:type="table" w:customStyle="1" w:styleId="ad">
    <w:basedOn w:val="TableNormale"/>
    <w:tblPr>
      <w:tblStyleRowBandSize w:val="1"/>
      <w:tblStyleColBandSize w:val="1"/>
      <w:tblCellMar>
        <w:left w:w="115" w:type="dxa"/>
        <w:right w:w="115" w:type="dxa"/>
      </w:tblCellMar>
    </w:tblPr>
  </w:style>
  <w:style w:type="table" w:customStyle="1" w:styleId="ae">
    <w:basedOn w:val="TableNormale"/>
    <w:tblPr>
      <w:tblStyleRowBandSize w:val="1"/>
      <w:tblStyleColBandSize w:val="1"/>
      <w:tblCellMar>
        <w:left w:w="115" w:type="dxa"/>
        <w:right w:w="115" w:type="dxa"/>
      </w:tblCellMar>
    </w:tblPr>
  </w:style>
  <w:style w:type="table" w:customStyle="1" w:styleId="af">
    <w:basedOn w:val="TableNormald"/>
    <w:tblPr>
      <w:tblStyleRowBandSize w:val="1"/>
      <w:tblStyleColBandSize w:val="1"/>
      <w:tblCellMar>
        <w:left w:w="115" w:type="dxa"/>
        <w:right w:w="115" w:type="dxa"/>
      </w:tblCellMar>
    </w:tblPr>
  </w:style>
  <w:style w:type="table" w:customStyle="1" w:styleId="af0">
    <w:basedOn w:val="TableNormald"/>
    <w:tblPr>
      <w:tblStyleRowBandSize w:val="1"/>
      <w:tblStyleColBandSize w:val="1"/>
      <w:tblCellMar>
        <w:left w:w="115" w:type="dxa"/>
        <w:right w:w="115" w:type="dxa"/>
      </w:tblCellMar>
    </w:tblPr>
  </w:style>
  <w:style w:type="table" w:customStyle="1" w:styleId="af1">
    <w:basedOn w:val="TableNormald"/>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b"/>
    <w:tblPr>
      <w:tblStyleRowBandSize w:val="1"/>
      <w:tblStyleColBandSize w:val="1"/>
      <w:tblCellMar>
        <w:left w:w="115" w:type="dxa"/>
        <w:right w:w="115" w:type="dxa"/>
      </w:tblCellMar>
    </w:tblPr>
  </w:style>
  <w:style w:type="table" w:customStyle="1" w:styleId="af5">
    <w:basedOn w:val="TableNormalb"/>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9"/>
    <w:tblPr>
      <w:tblStyleRowBandSize w:val="1"/>
      <w:tblStyleColBandSize w:val="1"/>
      <w:tblCellMar>
        <w:left w:w="115" w:type="dxa"/>
        <w:right w:w="115"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8"/>
    <w:tblPr>
      <w:tblStyleRowBandSize w:val="1"/>
      <w:tblStyleColBandSize w:val="1"/>
      <w:tblCellMar>
        <w:left w:w="115" w:type="dxa"/>
        <w:right w:w="115" w:type="dxa"/>
      </w:tblCellMar>
    </w:tblPr>
  </w:style>
  <w:style w:type="table" w:customStyle="1" w:styleId="afb">
    <w:basedOn w:val="TableNormal8"/>
    <w:tblPr>
      <w:tblStyleRowBandSize w:val="1"/>
      <w:tblStyleColBandSize w:val="1"/>
      <w:tblCellMar>
        <w:left w:w="115" w:type="dxa"/>
        <w:right w:w="115" w:type="dxa"/>
      </w:tblCellMar>
    </w:tblPr>
  </w:style>
  <w:style w:type="table" w:customStyle="1" w:styleId="afc">
    <w:basedOn w:val="TableNormal7"/>
    <w:tblPr>
      <w:tblStyleRowBandSize w:val="1"/>
      <w:tblStyleColBandSize w:val="1"/>
      <w:tblCellMar>
        <w:left w:w="115" w:type="dxa"/>
        <w:right w:w="115" w:type="dxa"/>
      </w:tblCellMar>
    </w:tblPr>
  </w:style>
  <w:style w:type="table" w:customStyle="1" w:styleId="afd">
    <w:basedOn w:val="TableNormal7"/>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6"/>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160458">
      <w:bodyDiv w:val="1"/>
      <w:marLeft w:val="0"/>
      <w:marRight w:val="0"/>
      <w:marTop w:val="0"/>
      <w:marBottom w:val="0"/>
      <w:divBdr>
        <w:top w:val="none" w:sz="0" w:space="0" w:color="auto"/>
        <w:left w:val="none" w:sz="0" w:space="0" w:color="auto"/>
        <w:bottom w:val="none" w:sz="0" w:space="0" w:color="auto"/>
        <w:right w:val="none" w:sz="0" w:space="0" w:color="auto"/>
      </w:divBdr>
    </w:div>
    <w:div w:id="160622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wJaCJCy7O9JGy830EkbZ7Q/Jg==">CgMxLjAyCWguM3JkY3JqbjIOaC5kYWozajJ4bzZxNjYyCGguZ2pkZ3hzMgloLjNkeTZ2a20yCWguMzBqMHpsbDIJaC4yczhleW8xMghoLnR5amN3dDIJaC4yZXQ5MnAwMg5oLmgydzd1eXAyZDU5YjIJaC4xdDNoNXNmMgloLjFmb2I5dGUyDmguaG56eHNjaDVneXN6Mg5oLm90M3FxNnZ4YTA4ZjIIaC5sbnhiejk4AHIhMUFJNmZEOE5kY3VESlVnRFJaeWo0bThuWmExSndnbU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7114E5-A549-4FDB-A490-5D488243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11376</Words>
  <Characters>62571</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dcterms:created xsi:type="dcterms:W3CDTF">2026-04-07T18:13:00Z</dcterms:created>
  <dcterms:modified xsi:type="dcterms:W3CDTF">2026-04-07T18:13:00Z</dcterms:modified>
</cp:coreProperties>
</file>