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D816C44" w:rsidR="00A970D5" w:rsidRPr="0022282D" w:rsidRDefault="00A970D5" w:rsidP="00297D07">
      <w:pPr>
        <w:pStyle w:val="NormalINFOEM"/>
      </w:pPr>
      <w:r w:rsidRPr="0022282D">
        <w:t>Resolución del Pleno del Instituto de Transparencia, Acceso a la Información Pública y Protección de Datos Personales del Estado de México</w:t>
      </w:r>
      <w:r w:rsidR="00FD2A3F" w:rsidRPr="0022282D">
        <w:t xml:space="preserve"> </w:t>
      </w:r>
      <w:r w:rsidRPr="0022282D">
        <w:t xml:space="preserve">y Municipios, con domicilio en Metepec, Estado de </w:t>
      </w:r>
      <w:r w:rsidR="008B2951" w:rsidRPr="0022282D">
        <w:t xml:space="preserve">México, </w:t>
      </w:r>
      <w:r w:rsidR="000D2E93" w:rsidRPr="0022282D">
        <w:t>a</w:t>
      </w:r>
      <w:r w:rsidR="0011108B" w:rsidRPr="0022282D">
        <w:t xml:space="preserve"> </w:t>
      </w:r>
      <w:r w:rsidR="00BC2E3C" w:rsidRPr="0022282D">
        <w:t>veinticinco de junio de dos mil veintiséis</w:t>
      </w:r>
      <w:r w:rsidR="0011108B" w:rsidRPr="0022282D">
        <w:t>.</w:t>
      </w:r>
    </w:p>
    <w:p w14:paraId="60399B74"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 w:val="22"/>
        </w:rPr>
      </w:pPr>
    </w:p>
    <w:p w14:paraId="1D0D9BD7" w14:textId="288C42C8" w:rsidR="00A970D5" w:rsidRPr="0022282D" w:rsidRDefault="70652167" w:rsidP="00297D07">
      <w:pPr>
        <w:pBdr>
          <w:top w:val="nil"/>
          <w:left w:val="nil"/>
          <w:bottom w:val="nil"/>
          <w:right w:val="nil"/>
          <w:between w:val="nil"/>
        </w:pBdr>
        <w:contextualSpacing/>
        <w:rPr>
          <w:rFonts w:eastAsia="Palatino Linotype" w:cs="Palatino Linotype"/>
          <w:b/>
          <w:bCs/>
          <w:color w:val="000000"/>
          <w:lang w:val="es-ES"/>
        </w:rPr>
      </w:pPr>
      <w:r w:rsidRPr="0022282D">
        <w:rPr>
          <w:rFonts w:eastAsia="Palatino Linotype" w:cs="Palatino Linotype"/>
          <w:b/>
          <w:bCs/>
          <w:color w:val="000000" w:themeColor="text1"/>
          <w:lang w:val="es-ES"/>
        </w:rPr>
        <w:t>VISTO</w:t>
      </w:r>
      <w:r w:rsidRPr="0022282D">
        <w:rPr>
          <w:rFonts w:eastAsia="Palatino Linotype" w:cs="Palatino Linotype"/>
          <w:color w:val="000000" w:themeColor="text1"/>
          <w:lang w:val="es-ES"/>
        </w:rPr>
        <w:t xml:space="preserve"> el expediente electrónico formado con motivo del recurso de revisión número </w:t>
      </w:r>
      <w:bookmarkStart w:id="0" w:name="_GoBack"/>
      <w:r w:rsidR="005D0E71" w:rsidRPr="0022282D">
        <w:rPr>
          <w:rFonts w:eastAsia="Palatino Linotype" w:cs="Palatino Linotype"/>
          <w:b/>
          <w:bCs/>
          <w:color w:val="000000" w:themeColor="text1"/>
          <w:lang w:val="es-ES"/>
        </w:rPr>
        <w:t>12255</w:t>
      </w:r>
      <w:r w:rsidR="007926DC" w:rsidRPr="0022282D">
        <w:rPr>
          <w:rFonts w:eastAsia="Palatino Linotype" w:cs="Palatino Linotype"/>
          <w:b/>
          <w:bCs/>
          <w:color w:val="000000" w:themeColor="text1"/>
          <w:lang w:val="es-ES"/>
        </w:rPr>
        <w:t>/INFOEM/IP/RR/2025</w:t>
      </w:r>
      <w:bookmarkEnd w:id="0"/>
      <w:r w:rsidRPr="0022282D">
        <w:rPr>
          <w:rFonts w:eastAsia="Palatino Linotype" w:cs="Palatino Linotype"/>
          <w:color w:val="000000" w:themeColor="text1"/>
          <w:lang w:val="es-ES"/>
        </w:rPr>
        <w:t>, interpuesto por</w:t>
      </w:r>
      <w:r w:rsidR="005D0E71" w:rsidRPr="0022282D">
        <w:rPr>
          <w:rFonts w:eastAsia="Palatino Linotype" w:cs="Palatino Linotype"/>
          <w:color w:val="000000" w:themeColor="text1"/>
          <w:lang w:val="es-ES"/>
        </w:rPr>
        <w:t xml:space="preserve"> </w:t>
      </w:r>
      <w:r w:rsidR="00476F2B" w:rsidRPr="0022282D">
        <w:rPr>
          <w:rFonts w:eastAsia="Palatino Linotype" w:cs="Palatino Linotype"/>
          <w:color w:val="000000" w:themeColor="text1"/>
          <w:lang w:val="es-ES"/>
        </w:rPr>
        <w:t>l</w:t>
      </w:r>
      <w:r w:rsidR="005D0E71" w:rsidRPr="0022282D">
        <w:rPr>
          <w:rFonts w:eastAsia="Palatino Linotype" w:cs="Palatino Linotype"/>
          <w:color w:val="000000" w:themeColor="text1"/>
          <w:lang w:val="es-ES"/>
        </w:rPr>
        <w:t>a</w:t>
      </w:r>
      <w:r w:rsidR="00476F2B" w:rsidRPr="0022282D">
        <w:rPr>
          <w:rFonts w:eastAsia="Palatino Linotype" w:cs="Palatino Linotype"/>
          <w:color w:val="000000" w:themeColor="text1"/>
          <w:lang w:val="es-ES"/>
        </w:rPr>
        <w:t xml:space="preserve"> C.</w:t>
      </w:r>
      <w:r w:rsidRPr="0022282D">
        <w:rPr>
          <w:rFonts w:eastAsia="Palatino Linotype" w:cs="Palatino Linotype"/>
          <w:color w:val="000000" w:themeColor="text1"/>
          <w:lang w:val="es-ES"/>
        </w:rPr>
        <w:t xml:space="preserve"> </w:t>
      </w:r>
      <w:proofErr w:type="spellStart"/>
      <w:r w:rsidR="000A5458">
        <w:rPr>
          <w:rFonts w:eastAsia="Palatino Linotype" w:cs="Palatino Linotype"/>
          <w:b/>
          <w:bCs/>
          <w:color w:val="000000" w:themeColor="text1"/>
          <w:lang w:val="es-ES"/>
        </w:rPr>
        <w:t>xxxxxxxxxxxxxxxxxxxxxxxxxx</w:t>
      </w:r>
      <w:proofErr w:type="spellEnd"/>
      <w:r w:rsidR="005D0E71" w:rsidRPr="0022282D">
        <w:rPr>
          <w:rFonts w:eastAsia="Palatino Linotype" w:cs="Palatino Linotype"/>
          <w:b/>
          <w:bCs/>
          <w:color w:val="000000" w:themeColor="text1"/>
          <w:lang w:val="es-ES"/>
        </w:rPr>
        <w:t xml:space="preserve"> </w:t>
      </w:r>
      <w:proofErr w:type="spellStart"/>
      <w:r w:rsidR="000A5458">
        <w:rPr>
          <w:rFonts w:eastAsia="Palatino Linotype" w:cs="Palatino Linotype"/>
          <w:b/>
          <w:bCs/>
          <w:color w:val="000000" w:themeColor="text1"/>
          <w:lang w:val="es-ES"/>
        </w:rPr>
        <w:t>xxxxxxxx</w:t>
      </w:r>
      <w:proofErr w:type="spellEnd"/>
      <w:r w:rsidR="00E97C2F" w:rsidRPr="0022282D">
        <w:rPr>
          <w:rFonts w:eastAsia="Palatino Linotype" w:cs="Palatino Linotype"/>
          <w:color w:val="000000" w:themeColor="text1"/>
          <w:lang w:val="es-ES"/>
        </w:rPr>
        <w:t>, en lo su</w:t>
      </w:r>
      <w:r w:rsidR="00771E23" w:rsidRPr="0022282D">
        <w:rPr>
          <w:rFonts w:eastAsia="Palatino Linotype" w:cs="Palatino Linotype"/>
          <w:color w:val="000000" w:themeColor="text1"/>
          <w:lang w:val="es-ES"/>
        </w:rPr>
        <w:t>cesivo el</w:t>
      </w:r>
      <w:r w:rsidRPr="0022282D">
        <w:rPr>
          <w:rFonts w:eastAsia="Palatino Linotype" w:cs="Palatino Linotype"/>
          <w:color w:val="000000" w:themeColor="text1"/>
          <w:lang w:val="es-ES"/>
        </w:rPr>
        <w:t xml:space="preserve"> </w:t>
      </w:r>
      <w:r w:rsidRPr="0022282D">
        <w:rPr>
          <w:rFonts w:eastAsia="Palatino Linotype" w:cs="Palatino Linotype"/>
          <w:b/>
          <w:bCs/>
          <w:color w:val="000000" w:themeColor="text1"/>
          <w:lang w:val="es-ES"/>
        </w:rPr>
        <w:t>Recurrente</w:t>
      </w:r>
      <w:r w:rsidRPr="0022282D">
        <w:rPr>
          <w:rFonts w:eastAsia="Palatino Linotype" w:cs="Palatino Linotype"/>
          <w:color w:val="000000" w:themeColor="text1"/>
          <w:lang w:val="es-ES"/>
        </w:rPr>
        <w:t>, en contra de la respuesta de</w:t>
      </w:r>
      <w:r w:rsidR="00920835" w:rsidRPr="0022282D">
        <w:rPr>
          <w:rFonts w:eastAsia="Palatino Linotype" w:cs="Palatino Linotype"/>
          <w:color w:val="000000" w:themeColor="text1"/>
          <w:lang w:val="es-ES"/>
        </w:rPr>
        <w:t>l</w:t>
      </w:r>
      <w:r w:rsidRPr="0022282D">
        <w:rPr>
          <w:rFonts w:eastAsia="Palatino Linotype" w:cs="Palatino Linotype"/>
          <w:color w:val="000000" w:themeColor="text1"/>
          <w:lang w:val="es-ES"/>
        </w:rPr>
        <w:t xml:space="preserve"> </w:t>
      </w:r>
      <w:r w:rsidR="005D0E71" w:rsidRPr="0022282D">
        <w:rPr>
          <w:rFonts w:eastAsia="Palatino Linotype" w:cs="Palatino Linotype"/>
          <w:b/>
          <w:bCs/>
          <w:color w:val="000000" w:themeColor="text1"/>
          <w:lang w:val="es-ES"/>
        </w:rPr>
        <w:t>Ayuntamiento de Ecatepec de Morelos</w:t>
      </w:r>
      <w:r w:rsidR="00771E23" w:rsidRPr="0022282D">
        <w:rPr>
          <w:rFonts w:eastAsia="Palatino Linotype" w:cs="Palatino Linotype"/>
          <w:b/>
          <w:bCs/>
          <w:color w:val="000000" w:themeColor="text1"/>
          <w:lang w:val="es-ES"/>
        </w:rPr>
        <w:t>,</w:t>
      </w:r>
      <w:r w:rsidR="00920835" w:rsidRPr="0022282D">
        <w:rPr>
          <w:rFonts w:eastAsia="Palatino Linotype" w:cs="Palatino Linotype"/>
          <w:b/>
          <w:bCs/>
          <w:color w:val="000000" w:themeColor="text1"/>
          <w:lang w:val="es-ES"/>
        </w:rPr>
        <w:t xml:space="preserve"> </w:t>
      </w:r>
      <w:r w:rsidRPr="0022282D">
        <w:rPr>
          <w:rFonts w:eastAsia="Palatino Linotype" w:cs="Palatino Linotype"/>
          <w:color w:val="000000" w:themeColor="text1"/>
          <w:lang w:val="es-ES"/>
        </w:rPr>
        <w:t>en lo subsecuente</w:t>
      </w:r>
      <w:r w:rsidRPr="0022282D">
        <w:rPr>
          <w:rFonts w:eastAsia="Palatino Linotype" w:cs="Palatino Linotype"/>
          <w:b/>
          <w:bCs/>
          <w:color w:val="000000" w:themeColor="text1"/>
          <w:lang w:val="es-ES"/>
        </w:rPr>
        <w:t xml:space="preserve"> </w:t>
      </w:r>
      <w:r w:rsidRPr="0022282D">
        <w:rPr>
          <w:rFonts w:eastAsia="Palatino Linotype" w:cs="Palatino Linotype"/>
          <w:color w:val="000000" w:themeColor="text1"/>
          <w:lang w:val="es-ES"/>
        </w:rPr>
        <w:t>el</w:t>
      </w:r>
      <w:r w:rsidRPr="0022282D">
        <w:rPr>
          <w:rFonts w:eastAsia="Palatino Linotype" w:cs="Palatino Linotype"/>
          <w:b/>
          <w:bCs/>
          <w:color w:val="000000" w:themeColor="text1"/>
          <w:lang w:val="es-ES"/>
        </w:rPr>
        <w:t xml:space="preserve"> Sujeto Obligado, </w:t>
      </w:r>
      <w:r w:rsidRPr="0022282D">
        <w:rPr>
          <w:rFonts w:eastAsia="Palatino Linotype" w:cs="Palatino Linotype"/>
          <w:color w:val="000000" w:themeColor="text1"/>
          <w:lang w:val="es-ES"/>
        </w:rPr>
        <w:t>se procede a dictar la presente resolución.</w:t>
      </w:r>
    </w:p>
    <w:p w14:paraId="2E2053C2"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 w:val="22"/>
        </w:rPr>
      </w:pPr>
    </w:p>
    <w:p w14:paraId="293A0C59" w14:textId="77777777" w:rsidR="00A970D5" w:rsidRPr="0022282D" w:rsidRDefault="00A970D5" w:rsidP="00297D07">
      <w:pPr>
        <w:pStyle w:val="Ttulo1"/>
        <w:rPr>
          <w:rFonts w:eastAsia="Palatino Linotype"/>
          <w:lang w:val="es-ES_tradnl"/>
        </w:rPr>
      </w:pPr>
      <w:r w:rsidRPr="0022282D">
        <w:rPr>
          <w:rFonts w:eastAsia="Palatino Linotype"/>
          <w:lang w:val="es-ES_tradnl"/>
        </w:rPr>
        <w:t>A N T E C E D E N T E S</w:t>
      </w:r>
    </w:p>
    <w:p w14:paraId="32F88820"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 w:val="22"/>
        </w:rPr>
      </w:pPr>
    </w:p>
    <w:p w14:paraId="038B0CA5" w14:textId="5C9CB8F2" w:rsidR="00A970D5" w:rsidRPr="0022282D" w:rsidRDefault="00A970D5" w:rsidP="00297D07">
      <w:pPr>
        <w:pStyle w:val="Ttulo2"/>
        <w:rPr>
          <w:rFonts w:eastAsia="Palatino Linotype"/>
        </w:rPr>
      </w:pPr>
      <w:r w:rsidRPr="0022282D">
        <w:rPr>
          <w:rFonts w:eastAsia="Palatino Linotype"/>
        </w:rPr>
        <w:t xml:space="preserve">PRIMERO. De la </w:t>
      </w:r>
      <w:r w:rsidR="00A24D3F" w:rsidRPr="0022282D">
        <w:rPr>
          <w:rFonts w:eastAsia="Palatino Linotype"/>
        </w:rPr>
        <w:t>s</w:t>
      </w:r>
      <w:r w:rsidRPr="0022282D">
        <w:rPr>
          <w:rFonts w:eastAsia="Palatino Linotype"/>
        </w:rPr>
        <w:t xml:space="preserve">olicitud de </w:t>
      </w:r>
      <w:r w:rsidR="00A24D3F" w:rsidRPr="0022282D">
        <w:rPr>
          <w:rFonts w:eastAsia="Palatino Linotype"/>
        </w:rPr>
        <w:t>i</w:t>
      </w:r>
      <w:r w:rsidRPr="0022282D">
        <w:rPr>
          <w:rFonts w:eastAsia="Palatino Linotype"/>
        </w:rPr>
        <w:t>nformación.</w:t>
      </w:r>
    </w:p>
    <w:p w14:paraId="0870C154" w14:textId="50C9EF3C" w:rsidR="00A970D5" w:rsidRPr="0022282D" w:rsidRDefault="00B36B86"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Con fecha</w:t>
      </w:r>
      <w:r w:rsidR="00AA6C98" w:rsidRPr="0022282D">
        <w:rPr>
          <w:rFonts w:eastAsia="Palatino Linotype" w:cs="Palatino Linotype"/>
          <w:color w:val="000000"/>
          <w:szCs w:val="24"/>
        </w:rPr>
        <w:t xml:space="preserve"> </w:t>
      </w:r>
      <w:r w:rsidR="005D0E71" w:rsidRPr="0022282D">
        <w:rPr>
          <w:rFonts w:eastAsia="Palatino Linotype" w:cs="Palatino Linotype"/>
          <w:color w:val="000000"/>
          <w:szCs w:val="24"/>
        </w:rPr>
        <w:t xml:space="preserve">veinticuatro de septiembre </w:t>
      </w:r>
      <w:r w:rsidR="00AC4CAF" w:rsidRPr="0022282D">
        <w:rPr>
          <w:rFonts w:eastAsia="Palatino Linotype" w:cs="Palatino Linotype"/>
          <w:color w:val="000000"/>
          <w:szCs w:val="24"/>
        </w:rPr>
        <w:t>de dos mil veinticinco</w:t>
      </w:r>
      <w:r w:rsidR="00B54BC7" w:rsidRPr="0022282D">
        <w:rPr>
          <w:rFonts w:eastAsia="Palatino Linotype" w:cs="Palatino Linotype"/>
          <w:color w:val="000000"/>
          <w:szCs w:val="24"/>
        </w:rPr>
        <w:t xml:space="preserve">, </w:t>
      </w:r>
      <w:r w:rsidR="00771E23" w:rsidRPr="0022282D">
        <w:rPr>
          <w:rFonts w:eastAsia="Palatino Linotype" w:cs="Palatino Linotype"/>
          <w:color w:val="000000"/>
          <w:szCs w:val="24"/>
        </w:rPr>
        <w:t>el</w:t>
      </w:r>
      <w:r w:rsidR="00A970D5" w:rsidRPr="0022282D">
        <w:rPr>
          <w:rFonts w:eastAsia="Palatino Linotype" w:cs="Palatino Linotype"/>
          <w:color w:val="000000"/>
          <w:szCs w:val="24"/>
        </w:rPr>
        <w:t xml:space="preserve"> Recurrente presentó </w:t>
      </w:r>
      <w:r w:rsidR="00597C06" w:rsidRPr="0022282D">
        <w:rPr>
          <w:rFonts w:eastAsia="Palatino Linotype" w:cs="Palatino Linotype"/>
          <w:color w:val="000000"/>
          <w:szCs w:val="24"/>
        </w:rPr>
        <w:t xml:space="preserve">solicitud de información que fue registrada en </w:t>
      </w:r>
      <w:r w:rsidR="00A970D5" w:rsidRPr="0022282D">
        <w:rPr>
          <w:rFonts w:eastAsia="Palatino Linotype" w:cs="Palatino Linotype"/>
          <w:color w:val="000000"/>
          <w:szCs w:val="24"/>
        </w:rPr>
        <w:t>el Sistema de Acceso a la Información Mexiquense (SAIMEX) con el número</w:t>
      </w:r>
      <w:r w:rsidR="00642669" w:rsidRPr="0022282D">
        <w:rPr>
          <w:rFonts w:eastAsia="Palatino Linotype" w:cs="Palatino Linotype"/>
          <w:b/>
          <w:bCs/>
          <w:color w:val="000000"/>
          <w:szCs w:val="24"/>
        </w:rPr>
        <w:t xml:space="preserve"> </w:t>
      </w:r>
      <w:r w:rsidR="005D0E71" w:rsidRPr="0022282D">
        <w:rPr>
          <w:rFonts w:eastAsia="Palatino Linotype" w:cs="Palatino Linotype"/>
          <w:b/>
          <w:bCs/>
          <w:color w:val="000000"/>
          <w:szCs w:val="24"/>
        </w:rPr>
        <w:t>00764/ECATEPEC/IP/2025</w:t>
      </w:r>
      <w:r w:rsidR="00A970D5" w:rsidRPr="0022282D">
        <w:rPr>
          <w:rFonts w:eastAsia="Palatino Linotype" w:cs="Palatino Linotype"/>
          <w:color w:val="000000"/>
          <w:szCs w:val="24"/>
        </w:rPr>
        <w:t>,</w:t>
      </w:r>
      <w:r w:rsidR="00A970D5" w:rsidRPr="0022282D">
        <w:rPr>
          <w:rFonts w:eastAsia="Palatino Linotype" w:cs="Palatino Linotype"/>
          <w:b/>
          <w:color w:val="000000"/>
          <w:szCs w:val="24"/>
        </w:rPr>
        <w:t xml:space="preserve"> </w:t>
      </w:r>
      <w:r w:rsidR="00A970D5" w:rsidRPr="0022282D">
        <w:rPr>
          <w:rFonts w:eastAsia="Palatino Linotype" w:cs="Palatino Linotype"/>
          <w:color w:val="000000"/>
          <w:szCs w:val="24"/>
        </w:rPr>
        <w:t xml:space="preserve">mediante la cual solicitó </w:t>
      </w:r>
      <w:r w:rsidR="00531CE5" w:rsidRPr="0022282D">
        <w:rPr>
          <w:rFonts w:eastAsia="Palatino Linotype" w:cs="Palatino Linotype"/>
          <w:color w:val="000000"/>
          <w:szCs w:val="24"/>
        </w:rPr>
        <w:t xml:space="preserve">lo </w:t>
      </w:r>
      <w:r w:rsidR="00A970D5" w:rsidRPr="0022282D">
        <w:rPr>
          <w:rFonts w:eastAsia="Palatino Linotype" w:cs="Palatino Linotype"/>
          <w:color w:val="000000"/>
          <w:szCs w:val="24"/>
        </w:rPr>
        <w:t>siguiente:</w:t>
      </w:r>
    </w:p>
    <w:p w14:paraId="68B56D82"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Cs w:val="24"/>
        </w:rPr>
      </w:pPr>
    </w:p>
    <w:p w14:paraId="133704B2" w14:textId="55EDC9FE" w:rsidR="00A970D5" w:rsidRPr="0022282D" w:rsidRDefault="70652167" w:rsidP="00297D07">
      <w:pPr>
        <w:pStyle w:val="Fundamentos"/>
      </w:pPr>
      <w:r w:rsidRPr="0022282D">
        <w:rPr>
          <w:lang w:val="es-ES"/>
        </w:rPr>
        <w:t>«</w:t>
      </w:r>
      <w:r w:rsidR="005D0E71" w:rsidRPr="0022282D">
        <w:t xml:space="preserve"> </w:t>
      </w:r>
      <w:r w:rsidR="005D0E71" w:rsidRPr="0022282D">
        <w:rPr>
          <w:lang w:val="es-ES"/>
        </w:rPr>
        <w:t xml:space="preserve">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En los archivos físicos y/o electrónicos, del Municipio de Ecatepec de Morelos, se cuenta con información sobre el seguimiento y continuidad de parte de la Dirección de Medio Ambiente y Ecología al 22 de septiembre de 2025. Consideren que el OFICIO No. DPCB/ECA/1368/2025 de fecha 03 de junio de 2025, dirigido al C. Luis Ángel Hernández </w:t>
      </w:r>
      <w:r w:rsidR="005D0E71" w:rsidRPr="0022282D">
        <w:rPr>
          <w:lang w:val="es-ES"/>
        </w:rPr>
        <w:lastRenderedPageBreak/>
        <w:t>Soto, Titular de la Unidad de Transparencia, suscrito por el C. Ing. Juan Jesús Clara González, Director de Protección Civil y Bomberos, es INFORMACION PÚBLICA.</w:t>
      </w:r>
      <w:r w:rsidRPr="0022282D">
        <w:rPr>
          <w:lang w:val="es-ES"/>
        </w:rPr>
        <w:t>» (Sic)</w:t>
      </w:r>
    </w:p>
    <w:p w14:paraId="40BBECCB"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22282D" w:rsidRDefault="00A970D5" w:rsidP="00297D07">
      <w:pPr>
        <w:pBdr>
          <w:top w:val="nil"/>
          <w:left w:val="nil"/>
          <w:bottom w:val="nil"/>
          <w:right w:val="nil"/>
          <w:between w:val="nil"/>
        </w:pBdr>
        <w:contextualSpacing/>
        <w:rPr>
          <w:rFonts w:eastAsia="Palatino Linotype" w:cs="Palatino Linotype"/>
          <w:b/>
          <w:color w:val="000000"/>
          <w:szCs w:val="24"/>
        </w:rPr>
      </w:pPr>
      <w:r w:rsidRPr="0022282D">
        <w:rPr>
          <w:rFonts w:eastAsia="Palatino Linotype" w:cs="Palatino Linotype"/>
          <w:color w:val="000000"/>
          <w:szCs w:val="24"/>
        </w:rPr>
        <w:t xml:space="preserve">Modalidad de entrega: </w:t>
      </w:r>
      <w:r w:rsidR="004A6F01" w:rsidRPr="0022282D">
        <w:rPr>
          <w:rFonts w:eastAsia="Palatino Linotype" w:cs="Palatino Linotype"/>
          <w:b/>
          <w:color w:val="000000"/>
          <w:szCs w:val="24"/>
        </w:rPr>
        <w:t>A través del SAIMEX</w:t>
      </w:r>
    </w:p>
    <w:p w14:paraId="1063B60E" w14:textId="77777777" w:rsidR="007B7C73" w:rsidRPr="0022282D" w:rsidRDefault="007B7C73" w:rsidP="00297D07">
      <w:pPr>
        <w:pBdr>
          <w:top w:val="nil"/>
          <w:left w:val="nil"/>
          <w:bottom w:val="nil"/>
          <w:right w:val="nil"/>
          <w:between w:val="nil"/>
        </w:pBdr>
        <w:contextualSpacing/>
        <w:rPr>
          <w:rFonts w:eastAsia="Palatino Linotype" w:cs="Palatino Linotype"/>
          <w:color w:val="000000"/>
          <w:szCs w:val="24"/>
        </w:rPr>
      </w:pPr>
    </w:p>
    <w:p w14:paraId="1AEDC68E" w14:textId="1BB561AD" w:rsidR="00A970D5" w:rsidRPr="0022282D" w:rsidRDefault="007926DC" w:rsidP="00297D07">
      <w:pPr>
        <w:pStyle w:val="Ttulo2"/>
        <w:rPr>
          <w:rFonts w:eastAsia="Palatino Linotype"/>
        </w:rPr>
      </w:pPr>
      <w:r w:rsidRPr="0022282D">
        <w:rPr>
          <w:rFonts w:eastAsia="Palatino Linotype"/>
        </w:rPr>
        <w:t xml:space="preserve">SEGUNDO. </w:t>
      </w:r>
      <w:r w:rsidR="00A970D5" w:rsidRPr="0022282D">
        <w:rPr>
          <w:rFonts w:eastAsia="Palatino Linotype"/>
        </w:rPr>
        <w:t>De la respuesta del Sujeto Obligado.</w:t>
      </w:r>
    </w:p>
    <w:p w14:paraId="2EE6F294" w14:textId="5AC3561B" w:rsidR="00A970D5" w:rsidRPr="0022282D" w:rsidRDefault="00A970D5"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De las constancias que obran en el expediente electrónico, se observa qu</w:t>
      </w:r>
      <w:r w:rsidR="008B2951" w:rsidRPr="0022282D">
        <w:rPr>
          <w:rFonts w:eastAsia="Palatino Linotype" w:cs="Palatino Linotype"/>
          <w:color w:val="000000"/>
          <w:szCs w:val="24"/>
        </w:rPr>
        <w:t>e el día</w:t>
      </w:r>
      <w:r w:rsidR="004A3367" w:rsidRPr="0022282D">
        <w:rPr>
          <w:rFonts w:eastAsia="Palatino Linotype" w:cs="Palatino Linotype"/>
          <w:color w:val="000000"/>
          <w:szCs w:val="24"/>
        </w:rPr>
        <w:t xml:space="preserve"> </w:t>
      </w:r>
      <w:r w:rsidR="005D0E71" w:rsidRPr="0022282D">
        <w:rPr>
          <w:rFonts w:eastAsia="Palatino Linotype" w:cs="Palatino Linotype"/>
          <w:color w:val="000000"/>
          <w:szCs w:val="24"/>
        </w:rPr>
        <w:t xml:space="preserve">ocho de octubre </w:t>
      </w:r>
      <w:r w:rsidR="004A5EE6" w:rsidRPr="0022282D">
        <w:rPr>
          <w:rFonts w:eastAsia="Palatino Linotype" w:cs="Palatino Linotype"/>
          <w:color w:val="000000"/>
          <w:szCs w:val="24"/>
        </w:rPr>
        <w:t>de dos mil veinticinco</w:t>
      </w:r>
      <w:r w:rsidRPr="0022282D">
        <w:rPr>
          <w:rFonts w:eastAsia="Palatino Linotype" w:cs="Palatino Linotype"/>
          <w:color w:val="000000"/>
          <w:szCs w:val="24"/>
        </w:rPr>
        <w:t>, el Sujeto Obligado dio respuest</w:t>
      </w:r>
      <w:r w:rsidR="009F4FF4" w:rsidRPr="0022282D">
        <w:rPr>
          <w:rFonts w:eastAsia="Palatino Linotype" w:cs="Palatino Linotype"/>
          <w:color w:val="000000"/>
          <w:szCs w:val="24"/>
        </w:rPr>
        <w:t>a a la solicitud de información</w:t>
      </w:r>
      <w:r w:rsidRPr="0022282D">
        <w:rPr>
          <w:rFonts w:eastAsia="Palatino Linotype" w:cs="Palatino Linotype"/>
          <w:color w:val="000000"/>
          <w:szCs w:val="24"/>
        </w:rPr>
        <w:t xml:space="preserve"> manifestando lo siguiente:</w:t>
      </w:r>
    </w:p>
    <w:p w14:paraId="6CF4EC0F"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Cs w:val="24"/>
        </w:rPr>
      </w:pPr>
    </w:p>
    <w:p w14:paraId="1E238DAE" w14:textId="6DBD6120" w:rsidR="005D0E71" w:rsidRPr="0022282D" w:rsidRDefault="23740614" w:rsidP="005D0E71">
      <w:pPr>
        <w:pStyle w:val="Fundamentos"/>
        <w:jc w:val="right"/>
        <w:rPr>
          <w:lang w:val="es-ES"/>
        </w:rPr>
      </w:pPr>
      <w:r w:rsidRPr="0022282D">
        <w:rPr>
          <w:lang w:val="es-ES"/>
        </w:rPr>
        <w:t>«</w:t>
      </w:r>
      <w:r w:rsidR="005D0E71" w:rsidRPr="0022282D">
        <w:rPr>
          <w:lang w:val="es-ES"/>
        </w:rPr>
        <w:t>Folio de la solicitud: 00764/ECATEPEC/IP/2025</w:t>
      </w:r>
    </w:p>
    <w:p w14:paraId="54FF1E08" w14:textId="77777777" w:rsidR="005D0E71" w:rsidRPr="0022282D" w:rsidRDefault="005D0E71" w:rsidP="005D0E71">
      <w:pPr>
        <w:pStyle w:val="Fundamentos"/>
        <w:spacing w:line="360" w:lineRule="auto"/>
        <w:rPr>
          <w:lang w:val="es-ES"/>
        </w:rPr>
      </w:pPr>
      <w:r w:rsidRPr="0022282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8E3D62" w14:textId="77777777" w:rsidR="005D0E71" w:rsidRPr="0022282D" w:rsidRDefault="005D0E71" w:rsidP="005D0E71">
      <w:pPr>
        <w:pStyle w:val="Fundamentos"/>
        <w:spacing w:line="360" w:lineRule="auto"/>
        <w:rPr>
          <w:lang w:val="es-ES"/>
        </w:rPr>
      </w:pPr>
    </w:p>
    <w:p w14:paraId="5A30003B" w14:textId="311DBAA6" w:rsidR="005D0E71" w:rsidRPr="0022282D" w:rsidRDefault="005D0E71" w:rsidP="005D0E71">
      <w:pPr>
        <w:pStyle w:val="Fundamentos"/>
        <w:spacing w:line="360" w:lineRule="auto"/>
        <w:rPr>
          <w:lang w:val="es-ES"/>
        </w:rPr>
      </w:pPr>
      <w:proofErr w:type="gramStart"/>
      <w:r w:rsidRPr="0022282D">
        <w:rPr>
          <w:lang w:val="es-ES"/>
        </w:rPr>
        <w:t>se</w:t>
      </w:r>
      <w:proofErr w:type="gramEnd"/>
      <w:r w:rsidRPr="0022282D">
        <w:rPr>
          <w:lang w:val="es-ES"/>
        </w:rPr>
        <w:t xml:space="preserve"> anexa </w:t>
      </w:r>
      <w:proofErr w:type="spellStart"/>
      <w:r w:rsidRPr="0022282D">
        <w:rPr>
          <w:lang w:val="es-ES"/>
        </w:rPr>
        <w:t>oficoo</w:t>
      </w:r>
      <w:proofErr w:type="spellEnd"/>
    </w:p>
    <w:p w14:paraId="1D935690" w14:textId="77777777" w:rsidR="005D0E71" w:rsidRPr="0022282D" w:rsidRDefault="005D0E71" w:rsidP="005D0E71">
      <w:pPr>
        <w:pStyle w:val="Fundamentos"/>
        <w:spacing w:line="360" w:lineRule="auto"/>
        <w:rPr>
          <w:lang w:val="es-ES"/>
        </w:rPr>
      </w:pPr>
    </w:p>
    <w:p w14:paraId="7E85C3C7" w14:textId="3FC90360" w:rsidR="005D0E71" w:rsidRPr="0022282D" w:rsidRDefault="005D0E71" w:rsidP="005D0E71">
      <w:pPr>
        <w:pStyle w:val="Fundamentos"/>
        <w:spacing w:line="360" w:lineRule="auto"/>
        <w:rPr>
          <w:lang w:val="es-ES"/>
        </w:rPr>
      </w:pPr>
      <w:r w:rsidRPr="0022282D">
        <w:rPr>
          <w:lang w:val="es-ES"/>
        </w:rPr>
        <w:t>ATENTAMENTE</w:t>
      </w:r>
    </w:p>
    <w:p w14:paraId="3FE4A9EF" w14:textId="6CB49C28" w:rsidR="00A970D5" w:rsidRPr="0022282D" w:rsidRDefault="005D0E71" w:rsidP="005D0E71">
      <w:pPr>
        <w:pStyle w:val="Fundamentos"/>
        <w:spacing w:line="360" w:lineRule="auto"/>
        <w:rPr>
          <w:lang w:val="es-MX"/>
        </w:rPr>
      </w:pPr>
      <w:r w:rsidRPr="0022282D">
        <w:rPr>
          <w:lang w:val="es-ES"/>
        </w:rPr>
        <w:t>Cristina Muñoz Gallardo</w:t>
      </w:r>
      <w:r w:rsidR="00311EF3" w:rsidRPr="0022282D">
        <w:rPr>
          <w:lang w:val="es-ES"/>
        </w:rPr>
        <w:t>»</w:t>
      </w:r>
      <w:r w:rsidR="00A970D5" w:rsidRPr="0022282D">
        <w:rPr>
          <w:lang w:val="es-MX"/>
        </w:rPr>
        <w:t xml:space="preserve"> (Sic)</w:t>
      </w:r>
    </w:p>
    <w:p w14:paraId="2EAB8352" w14:textId="3B77EF6C" w:rsidR="001107C4" w:rsidRPr="0022282D" w:rsidRDefault="001107C4" w:rsidP="00297D07">
      <w:pPr>
        <w:pBdr>
          <w:top w:val="nil"/>
          <w:left w:val="nil"/>
          <w:bottom w:val="nil"/>
          <w:right w:val="nil"/>
          <w:between w:val="nil"/>
        </w:pBdr>
        <w:contextualSpacing/>
        <w:rPr>
          <w:rFonts w:eastAsia="Palatino Linotype" w:cs="Palatino Linotype"/>
          <w:color w:val="000000"/>
          <w:szCs w:val="24"/>
          <w:lang w:val="es-MX"/>
        </w:rPr>
      </w:pPr>
    </w:p>
    <w:p w14:paraId="7A5E46B1" w14:textId="5D820045" w:rsidR="00476F2B" w:rsidRPr="0022282D" w:rsidRDefault="00476F2B" w:rsidP="00297D07">
      <w:pPr>
        <w:pBdr>
          <w:top w:val="nil"/>
          <w:left w:val="nil"/>
          <w:bottom w:val="nil"/>
          <w:right w:val="nil"/>
          <w:between w:val="nil"/>
        </w:pBdr>
        <w:spacing w:line="480" w:lineRule="auto"/>
        <w:contextualSpacing/>
        <w:rPr>
          <w:rFonts w:eastAsia="Palatino Linotype" w:cs="Palatino Linotype"/>
          <w:color w:val="000000"/>
          <w:szCs w:val="24"/>
          <w:lang w:val="es-MX"/>
        </w:rPr>
      </w:pPr>
      <w:r w:rsidRPr="0022282D">
        <w:rPr>
          <w:rFonts w:eastAsia="Palatino Linotype" w:cs="Palatino Linotype"/>
          <w:color w:val="000000"/>
          <w:szCs w:val="24"/>
          <w:lang w:val="es-MX"/>
        </w:rPr>
        <w:t>Asimismo</w:t>
      </w:r>
      <w:r w:rsidR="005D0E71" w:rsidRPr="0022282D">
        <w:rPr>
          <w:rFonts w:eastAsia="Palatino Linotype" w:cs="Palatino Linotype"/>
          <w:color w:val="000000"/>
          <w:szCs w:val="24"/>
          <w:lang w:val="es-MX"/>
        </w:rPr>
        <w:t>,</w:t>
      </w:r>
      <w:r w:rsidRPr="0022282D">
        <w:rPr>
          <w:rFonts w:eastAsia="Palatino Linotype" w:cs="Palatino Linotype"/>
          <w:color w:val="000000"/>
          <w:szCs w:val="24"/>
          <w:lang w:val="es-MX"/>
        </w:rPr>
        <w:t xml:space="preserve"> adjuntó </w:t>
      </w:r>
      <w:r w:rsidR="005D0E71" w:rsidRPr="0022282D">
        <w:rPr>
          <w:rFonts w:eastAsia="Palatino Linotype" w:cs="Palatino Linotype"/>
          <w:color w:val="000000"/>
          <w:szCs w:val="24"/>
          <w:lang w:val="es-MX"/>
        </w:rPr>
        <w:t>los documentos electrónicos denominados</w:t>
      </w:r>
      <w:r w:rsidRPr="0022282D">
        <w:rPr>
          <w:rFonts w:eastAsia="Palatino Linotype" w:cs="Palatino Linotype"/>
          <w:color w:val="000000"/>
          <w:szCs w:val="24"/>
          <w:lang w:val="es-MX"/>
        </w:rPr>
        <w:t xml:space="preserve"> </w:t>
      </w:r>
      <w:r w:rsidRPr="0022282D">
        <w:rPr>
          <w:rFonts w:eastAsia="Palatino Linotype" w:cs="Palatino Linotype"/>
          <w:b/>
          <w:i/>
          <w:color w:val="000000"/>
          <w:szCs w:val="24"/>
          <w:lang w:val="es-MX"/>
        </w:rPr>
        <w:t>“</w:t>
      </w:r>
      <w:r w:rsidR="005D0E71" w:rsidRPr="0022282D">
        <w:rPr>
          <w:rFonts w:eastAsia="Palatino Linotype" w:cs="Palatino Linotype"/>
          <w:b/>
          <w:i/>
          <w:color w:val="000000"/>
          <w:szCs w:val="24"/>
          <w:lang w:val="es-MX"/>
        </w:rPr>
        <w:t>Respuesta Solicitud 764.pdf” y “Oficio 1368 de fecha 03 de junio 2025.pdf</w:t>
      </w:r>
      <w:r w:rsidRPr="0022282D">
        <w:rPr>
          <w:rFonts w:eastAsia="Palatino Linotype" w:cs="Palatino Linotype"/>
          <w:b/>
          <w:i/>
          <w:color w:val="000000"/>
          <w:szCs w:val="24"/>
          <w:lang w:val="es-MX"/>
        </w:rPr>
        <w:t xml:space="preserve">”, </w:t>
      </w:r>
      <w:r w:rsidRPr="0022282D">
        <w:rPr>
          <w:rFonts w:eastAsia="Palatino Linotype" w:cs="Palatino Linotype"/>
          <w:color w:val="000000"/>
          <w:szCs w:val="24"/>
          <w:lang w:val="es-MX"/>
        </w:rPr>
        <w:t>el cual será materia de análisis en el considerando respectivo.</w:t>
      </w:r>
    </w:p>
    <w:p w14:paraId="0969DD87" w14:textId="77777777" w:rsidR="00476F2B" w:rsidRPr="0022282D" w:rsidRDefault="00476F2B" w:rsidP="00297D07">
      <w:pPr>
        <w:pBdr>
          <w:top w:val="nil"/>
          <w:left w:val="nil"/>
          <w:bottom w:val="nil"/>
          <w:right w:val="nil"/>
          <w:between w:val="nil"/>
        </w:pBdr>
        <w:spacing w:line="480" w:lineRule="auto"/>
        <w:contextualSpacing/>
        <w:rPr>
          <w:rFonts w:eastAsia="Palatino Linotype" w:cs="Palatino Linotype"/>
          <w:color w:val="000000"/>
          <w:szCs w:val="24"/>
          <w:lang w:val="es-MX"/>
        </w:rPr>
      </w:pPr>
    </w:p>
    <w:p w14:paraId="58FA11DD" w14:textId="027CB17A" w:rsidR="00A970D5" w:rsidRPr="0022282D" w:rsidRDefault="00476F2B" w:rsidP="00297D07">
      <w:pPr>
        <w:pStyle w:val="Ttulo2"/>
        <w:rPr>
          <w:rFonts w:eastAsia="Palatino Linotype"/>
        </w:rPr>
      </w:pPr>
      <w:r w:rsidRPr="0022282D">
        <w:rPr>
          <w:rFonts w:eastAsia="Palatino Linotype"/>
        </w:rPr>
        <w:lastRenderedPageBreak/>
        <w:t>TERCERO</w:t>
      </w:r>
      <w:r w:rsidR="00A970D5" w:rsidRPr="0022282D">
        <w:rPr>
          <w:rFonts w:eastAsia="Palatino Linotype"/>
        </w:rPr>
        <w:t>. Del recurso de revisión.</w:t>
      </w:r>
    </w:p>
    <w:p w14:paraId="7AA0C9F4" w14:textId="7DDFFFBB" w:rsidR="00A970D5" w:rsidRPr="0022282D" w:rsidRDefault="0090115A"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Inconforme con la respuesta emitida</w:t>
      </w:r>
      <w:r w:rsidR="006726AD" w:rsidRPr="0022282D">
        <w:rPr>
          <w:rFonts w:eastAsia="Palatino Linotype" w:cs="Palatino Linotype"/>
          <w:color w:val="000000"/>
          <w:szCs w:val="24"/>
        </w:rPr>
        <w:t>, el</w:t>
      </w:r>
      <w:r w:rsidRPr="0022282D">
        <w:rPr>
          <w:rFonts w:eastAsia="Palatino Linotype" w:cs="Palatino Linotype"/>
          <w:color w:val="000000"/>
          <w:szCs w:val="24"/>
        </w:rPr>
        <w:t xml:space="preserve"> Recurrente interpuso el presente recurso de revisión el </w:t>
      </w:r>
      <w:r w:rsidR="005D0E71" w:rsidRPr="0022282D">
        <w:rPr>
          <w:rFonts w:eastAsia="Palatino Linotype" w:cs="Palatino Linotype"/>
          <w:color w:val="000000"/>
          <w:szCs w:val="24"/>
        </w:rPr>
        <w:t xml:space="preserve">veintisiete de octubre </w:t>
      </w:r>
      <w:r w:rsidR="00DE2889" w:rsidRPr="0022282D">
        <w:rPr>
          <w:rFonts w:eastAsia="Palatino Linotype" w:cs="Palatino Linotype"/>
          <w:color w:val="000000"/>
          <w:szCs w:val="24"/>
        </w:rPr>
        <w:t>de dos mil veinticinco</w:t>
      </w:r>
      <w:r w:rsidRPr="0022282D">
        <w:rPr>
          <w:rFonts w:eastAsia="Palatino Linotype" w:cs="Palatino Linotype"/>
          <w:color w:val="000000"/>
          <w:szCs w:val="24"/>
        </w:rPr>
        <w:t>, el cual se registró en el SAIMEX con el expediente número</w:t>
      </w:r>
      <w:r w:rsidR="00A970D5" w:rsidRPr="0022282D">
        <w:rPr>
          <w:rFonts w:eastAsia="Palatino Linotype" w:cs="Palatino Linotype"/>
          <w:color w:val="000000"/>
          <w:szCs w:val="24"/>
        </w:rPr>
        <w:t xml:space="preserve"> </w:t>
      </w:r>
      <w:r w:rsidR="005D0E71" w:rsidRPr="0022282D">
        <w:rPr>
          <w:rFonts w:eastAsia="Palatino Linotype" w:cs="Palatino Linotype"/>
          <w:b/>
          <w:color w:val="000000"/>
          <w:szCs w:val="24"/>
        </w:rPr>
        <w:t>12255</w:t>
      </w:r>
      <w:r w:rsidR="007926DC" w:rsidRPr="0022282D">
        <w:rPr>
          <w:rFonts w:eastAsia="Palatino Linotype" w:cs="Palatino Linotype"/>
          <w:b/>
          <w:color w:val="000000"/>
          <w:szCs w:val="24"/>
        </w:rPr>
        <w:t>/INFOEM/IP/RR/2025</w:t>
      </w:r>
      <w:r w:rsidR="00A06896" w:rsidRPr="0022282D">
        <w:rPr>
          <w:rFonts w:eastAsia="Palatino Linotype" w:cs="Palatino Linotype"/>
          <w:color w:val="000000"/>
          <w:szCs w:val="24"/>
        </w:rPr>
        <w:t xml:space="preserve">, </w:t>
      </w:r>
      <w:r w:rsidRPr="0022282D">
        <w:rPr>
          <w:rFonts w:eastAsia="Palatino Linotype" w:cs="Palatino Linotype"/>
          <w:color w:val="000000"/>
          <w:szCs w:val="24"/>
        </w:rPr>
        <w:t>en el que manifestó</w:t>
      </w:r>
      <w:r w:rsidR="00A970D5" w:rsidRPr="0022282D">
        <w:rPr>
          <w:rFonts w:eastAsia="Palatino Linotype" w:cs="Palatino Linotype"/>
          <w:color w:val="000000"/>
          <w:szCs w:val="24"/>
        </w:rPr>
        <w:t xml:space="preserve"> lo siguiente:</w:t>
      </w:r>
    </w:p>
    <w:p w14:paraId="0ECF4A54" w14:textId="77777777" w:rsidR="005D0E71" w:rsidRPr="0022282D" w:rsidRDefault="005D0E71" w:rsidP="00297D07">
      <w:pPr>
        <w:contextualSpacing/>
        <w:rPr>
          <w:rFonts w:eastAsia="Palatino Linotype" w:cs="Palatino Linotype"/>
          <w:b/>
        </w:rPr>
      </w:pPr>
    </w:p>
    <w:p w14:paraId="3A1919EA" w14:textId="7E4DEECE" w:rsidR="00004014" w:rsidRPr="0022282D" w:rsidRDefault="00A970D5" w:rsidP="00297D07">
      <w:pPr>
        <w:contextualSpacing/>
        <w:rPr>
          <w:rFonts w:eastAsia="Palatino Linotype" w:cs="Palatino Linotype"/>
          <w:b/>
        </w:rPr>
      </w:pPr>
      <w:r w:rsidRPr="0022282D">
        <w:rPr>
          <w:rFonts w:eastAsia="Palatino Linotype" w:cs="Palatino Linotype"/>
          <w:b/>
        </w:rPr>
        <w:t>Acto Impugnado:</w:t>
      </w:r>
      <w:r w:rsidR="00655007" w:rsidRPr="0022282D">
        <w:rPr>
          <w:rFonts w:eastAsia="Palatino Linotype" w:cs="Palatino Linotype"/>
          <w:b/>
        </w:rPr>
        <w:t xml:space="preserve"> </w:t>
      </w:r>
    </w:p>
    <w:p w14:paraId="4A0EFE5A" w14:textId="0C15F1AF" w:rsidR="00A970D5" w:rsidRPr="0022282D" w:rsidRDefault="5C35490E" w:rsidP="00297D07">
      <w:pPr>
        <w:pStyle w:val="Fundamentos"/>
        <w:rPr>
          <w:b/>
          <w:bCs/>
          <w:lang w:val="es-ES"/>
        </w:rPr>
      </w:pPr>
      <w:r w:rsidRPr="0022282D">
        <w:rPr>
          <w:lang w:val="es-ES"/>
        </w:rPr>
        <w:t>«</w:t>
      </w:r>
      <w:r w:rsidR="005D0E71" w:rsidRPr="0022282D">
        <w:rPr>
          <w:lang w:val="es-ES"/>
        </w:rPr>
        <w:t xml:space="preserve">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En los archivos físicos y/o electrónicos, del Municipio de Ecatepec de Morelos, se cuenta con información sobre el seguimiento y continuidad de parte de la Dirección de Medio Ambiente y Ecología al 22 de septiembre de 2025. Consideren que el OFICIO No. DPCB/ECA/1368/2025 de fecha 03 de junio de 2025, dirigido al C. Luis Ángel Hernández Soto, Titular de la Unidad de Transparencia, suscrito por el C. Ing. Juan Jesús Clara González, Director de Protección Civil y </w:t>
      </w:r>
      <w:proofErr w:type="spellStart"/>
      <w:r w:rsidR="005D0E71" w:rsidRPr="0022282D">
        <w:rPr>
          <w:lang w:val="es-ES"/>
        </w:rPr>
        <w:t>Bombe</w:t>
      </w:r>
      <w:proofErr w:type="spellEnd"/>
      <w:r w:rsidRPr="0022282D">
        <w:rPr>
          <w:lang w:val="es-ES"/>
        </w:rPr>
        <w:t>» (Sic)</w:t>
      </w:r>
    </w:p>
    <w:p w14:paraId="3C40A441" w14:textId="0B2599C4" w:rsidR="00A970D5" w:rsidRPr="0022282D" w:rsidRDefault="00A970D5" w:rsidP="00297D07">
      <w:pPr>
        <w:tabs>
          <w:tab w:val="left" w:pos="2515"/>
        </w:tabs>
        <w:contextualSpacing/>
        <w:rPr>
          <w:rFonts w:eastAsia="Palatino Linotype" w:cs="Palatino Linotype"/>
          <w:iCs/>
          <w:szCs w:val="24"/>
          <w:lang w:val="es-ES"/>
        </w:rPr>
      </w:pPr>
    </w:p>
    <w:p w14:paraId="0F6CFE30" w14:textId="719FCACE" w:rsidR="00300EA0" w:rsidRPr="0022282D" w:rsidRDefault="002B6B0F" w:rsidP="00297D07">
      <w:pPr>
        <w:contextualSpacing/>
        <w:rPr>
          <w:rFonts w:eastAsia="Palatino Linotype" w:cs="Palatino Linotype"/>
          <w:b/>
        </w:rPr>
      </w:pPr>
      <w:r w:rsidRPr="0022282D">
        <w:rPr>
          <w:rFonts w:eastAsia="Palatino Linotype" w:cs="Palatino Linotype"/>
          <w:b/>
        </w:rPr>
        <w:t>Razones o motivos de inconformidad</w:t>
      </w:r>
      <w:r w:rsidR="00300EA0" w:rsidRPr="0022282D">
        <w:rPr>
          <w:rFonts w:eastAsia="Palatino Linotype" w:cs="Palatino Linotype"/>
          <w:b/>
        </w:rPr>
        <w:t xml:space="preserve">: </w:t>
      </w:r>
    </w:p>
    <w:p w14:paraId="636038ED" w14:textId="179F4134" w:rsidR="00300EA0" w:rsidRPr="0022282D" w:rsidRDefault="00300EA0" w:rsidP="0019646C">
      <w:pPr>
        <w:pStyle w:val="Fundamentos"/>
        <w:rPr>
          <w:b/>
          <w:bCs/>
          <w:lang w:val="es-ES"/>
        </w:rPr>
      </w:pPr>
      <w:r w:rsidRPr="0022282D">
        <w:rPr>
          <w:lang w:val="es-ES"/>
        </w:rPr>
        <w:t>«</w:t>
      </w:r>
      <w:r w:rsidR="005D0E71" w:rsidRPr="0022282D">
        <w:rPr>
          <w:lang w:val="es-ES"/>
        </w:rPr>
        <w:t>No se da respuesta a mi pregunta "En los archivos físicos y/o electrónicos, del Municipio de Ecatepec de Morelos, se cuenta con información sobre el seguimiento y continuidad de parte de la Dirección de Medio Ambiente y Ecología al 22 de septiembre de 2025." Consideren que es información pública.</w:t>
      </w:r>
      <w:r w:rsidRPr="0022282D">
        <w:rPr>
          <w:lang w:val="es-ES"/>
        </w:rPr>
        <w:t>» (Sic)</w:t>
      </w:r>
    </w:p>
    <w:p w14:paraId="0A3CE1C1" w14:textId="77777777" w:rsidR="00390EBF" w:rsidRPr="0022282D" w:rsidRDefault="00390EBF" w:rsidP="00297D07">
      <w:pPr>
        <w:contextualSpacing/>
        <w:rPr>
          <w:rFonts w:eastAsia="Palatino Linotype" w:cs="Palatino Linotype"/>
          <w:iCs/>
          <w:szCs w:val="24"/>
          <w:lang w:val="es-ES"/>
        </w:rPr>
      </w:pPr>
    </w:p>
    <w:p w14:paraId="11D7F189" w14:textId="7491F729" w:rsidR="00A970D5" w:rsidRPr="0022282D" w:rsidRDefault="00476F2B" w:rsidP="00297D07">
      <w:pPr>
        <w:pStyle w:val="Ttulo2"/>
        <w:rPr>
          <w:rFonts w:eastAsia="Palatino Linotype"/>
        </w:rPr>
      </w:pPr>
      <w:r w:rsidRPr="0022282D">
        <w:rPr>
          <w:rFonts w:eastAsia="Palatino Linotype"/>
        </w:rPr>
        <w:t>CUARTO</w:t>
      </w:r>
      <w:r w:rsidR="00A970D5" w:rsidRPr="0022282D">
        <w:rPr>
          <w:rFonts w:eastAsia="Palatino Linotype"/>
        </w:rPr>
        <w:t>. Del turno y admisión del recurso de revisión.</w:t>
      </w:r>
    </w:p>
    <w:p w14:paraId="2459DEBA" w14:textId="057AF64D" w:rsidR="00A970D5" w:rsidRPr="0022282D" w:rsidRDefault="70652167" w:rsidP="00297D07">
      <w:pPr>
        <w:pBdr>
          <w:top w:val="nil"/>
          <w:left w:val="nil"/>
          <w:bottom w:val="nil"/>
          <w:right w:val="nil"/>
          <w:between w:val="nil"/>
        </w:pBdr>
        <w:contextualSpacing/>
        <w:rPr>
          <w:rFonts w:eastAsia="Palatino Linotype" w:cs="Palatino Linotype"/>
          <w:color w:val="000000"/>
          <w:lang w:val="es-ES"/>
        </w:rPr>
      </w:pPr>
      <w:r w:rsidRPr="0022282D">
        <w:rPr>
          <w:rFonts w:eastAsia="Palatino Linotype" w:cs="Palatino Linotype"/>
          <w:color w:val="000000" w:themeColor="text1"/>
          <w:lang w:val="es-ES"/>
        </w:rPr>
        <w:t xml:space="preserve">Medio de impugnación que le fue turnado al </w:t>
      </w:r>
      <w:r w:rsidRPr="0022282D">
        <w:rPr>
          <w:rFonts w:eastAsia="Palatino Linotype" w:cs="Palatino Linotype"/>
          <w:b/>
          <w:bCs/>
          <w:color w:val="000000" w:themeColor="text1"/>
          <w:lang w:val="es-ES"/>
        </w:rPr>
        <w:t>Comisionado Presidente José Martínez Vilchis</w:t>
      </w:r>
      <w:r w:rsidRPr="0022282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22282D">
        <w:rPr>
          <w:rFonts w:eastAsia="Palatino Linotype" w:cs="Palatino Linotype"/>
          <w:color w:val="000000" w:themeColor="text1"/>
          <w:lang w:val="es-ES"/>
        </w:rPr>
        <w:t xml:space="preserve"> admisión de fecha </w:t>
      </w:r>
      <w:r w:rsidR="005D0E71" w:rsidRPr="0022282D">
        <w:rPr>
          <w:rFonts w:eastAsia="Palatino Linotype" w:cs="Palatino Linotype"/>
          <w:color w:val="000000" w:themeColor="text1"/>
          <w:lang w:val="es-ES"/>
        </w:rPr>
        <w:t>tres de noviembre</w:t>
      </w:r>
      <w:r w:rsidR="00774AC3" w:rsidRPr="0022282D">
        <w:rPr>
          <w:rFonts w:eastAsia="Palatino Linotype" w:cs="Palatino Linotype"/>
          <w:color w:val="000000" w:themeColor="text1"/>
          <w:lang w:val="es-ES"/>
        </w:rPr>
        <w:t xml:space="preserve"> de dos mil </w:t>
      </w:r>
      <w:r w:rsidR="00774AC3" w:rsidRPr="0022282D">
        <w:rPr>
          <w:rFonts w:eastAsia="Palatino Linotype" w:cs="Palatino Linotype"/>
          <w:color w:val="000000" w:themeColor="text1"/>
          <w:lang w:val="es-ES"/>
        </w:rPr>
        <w:lastRenderedPageBreak/>
        <w:t>veinticinco</w:t>
      </w:r>
      <w:r w:rsidRPr="0022282D">
        <w:rPr>
          <w:rFonts w:eastAsia="Palatino Linotype" w:cs="Palatino Linotype"/>
          <w:color w:val="000000" w:themeColor="text1"/>
          <w:lang w:val="es-ES"/>
        </w:rPr>
        <w:t xml:space="preserve">, </w:t>
      </w:r>
      <w:r w:rsidRPr="0022282D">
        <w:rPr>
          <w:rFonts w:eastAsia="Palatino Linotype" w:cs="Palatino Linotype"/>
          <w:lang w:val="es-ES"/>
        </w:rPr>
        <w:t>otorgándose</w:t>
      </w:r>
      <w:r w:rsidRPr="0022282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 w:val="22"/>
        </w:rPr>
      </w:pPr>
    </w:p>
    <w:p w14:paraId="05AE608B" w14:textId="29B8D089" w:rsidR="00A970D5" w:rsidRPr="0022282D" w:rsidRDefault="00476F2B" w:rsidP="00297D07">
      <w:pPr>
        <w:pStyle w:val="Ttulo2"/>
        <w:rPr>
          <w:rFonts w:eastAsia="Palatino Linotype"/>
        </w:rPr>
      </w:pPr>
      <w:r w:rsidRPr="0022282D">
        <w:rPr>
          <w:rFonts w:eastAsia="Palatino Linotype"/>
        </w:rPr>
        <w:t>QUINTO</w:t>
      </w:r>
      <w:r w:rsidR="00A970D5" w:rsidRPr="0022282D">
        <w:rPr>
          <w:rFonts w:eastAsia="Palatino Linotype"/>
        </w:rPr>
        <w:t>. De la etapa de instrucción.</w:t>
      </w:r>
    </w:p>
    <w:p w14:paraId="696DE695" w14:textId="331B4EA9" w:rsidR="008432F9" w:rsidRPr="0022282D" w:rsidRDefault="008432F9" w:rsidP="00297D07">
      <w:pPr>
        <w:pBdr>
          <w:top w:val="nil"/>
          <w:left w:val="nil"/>
          <w:bottom w:val="nil"/>
          <w:right w:val="nil"/>
          <w:between w:val="nil"/>
        </w:pBdr>
        <w:contextualSpacing/>
        <w:rPr>
          <w:rFonts w:eastAsia="Palatino Linotype" w:cs="Palatino Linotype"/>
          <w:color w:val="000000"/>
        </w:rPr>
      </w:pPr>
      <w:r w:rsidRPr="0022282D">
        <w:rPr>
          <w:rFonts w:eastAsia="Palatino Linotype" w:cs="Palatino Linotype"/>
          <w:color w:val="000000" w:themeColor="text1"/>
        </w:rPr>
        <w:t xml:space="preserve">Se observa que el Sujeto Obligado </w:t>
      </w:r>
      <w:r w:rsidR="00476F2B" w:rsidRPr="0022282D">
        <w:rPr>
          <w:rFonts w:eastAsia="Palatino Linotype" w:cs="Palatino Linotype"/>
          <w:color w:val="000000" w:themeColor="text1"/>
        </w:rPr>
        <w:t>tuvo a bien</w:t>
      </w:r>
      <w:r w:rsidRPr="0022282D">
        <w:rPr>
          <w:rFonts w:eastAsia="Palatino Linotype" w:cs="Palatino Linotype"/>
          <w:color w:val="000000" w:themeColor="text1"/>
        </w:rPr>
        <w:t xml:space="preserve"> rendir el Informe Justificado</w:t>
      </w:r>
      <w:r w:rsidR="00476F2B" w:rsidRPr="0022282D">
        <w:rPr>
          <w:rFonts w:eastAsia="Palatino Linotype" w:cs="Palatino Linotype"/>
          <w:color w:val="000000" w:themeColor="text1"/>
        </w:rPr>
        <w:t xml:space="preserve"> mediante documento electrónico denominado </w:t>
      </w:r>
      <w:r w:rsidR="00476F2B" w:rsidRPr="0022282D">
        <w:rPr>
          <w:rFonts w:eastAsia="Palatino Linotype" w:cs="Palatino Linotype"/>
          <w:b/>
          <w:i/>
          <w:color w:val="000000" w:themeColor="text1"/>
        </w:rPr>
        <w:t>“</w:t>
      </w:r>
      <w:r w:rsidR="005D0E71" w:rsidRPr="0022282D">
        <w:rPr>
          <w:rFonts w:eastAsia="Palatino Linotype" w:cs="Palatino Linotype"/>
          <w:b/>
          <w:i/>
          <w:color w:val="000000" w:themeColor="text1"/>
        </w:rPr>
        <w:t>CT_UT_ECA_1216_2025 informe justificado RR12255.pdf</w:t>
      </w:r>
      <w:r w:rsidR="00476F2B" w:rsidRPr="0022282D">
        <w:rPr>
          <w:rFonts w:eastAsia="Palatino Linotype" w:cs="Palatino Linotype"/>
          <w:color w:val="000000" w:themeColor="text1"/>
        </w:rPr>
        <w:t xml:space="preserve">”, el cual fue puesto a la vista del Recurrente, en fecha </w:t>
      </w:r>
      <w:r w:rsidR="005D0E71" w:rsidRPr="0022282D">
        <w:rPr>
          <w:rFonts w:eastAsia="Palatino Linotype" w:cs="Palatino Linotype"/>
          <w:color w:val="000000" w:themeColor="text1"/>
        </w:rPr>
        <w:t>dieciséis de junio de dos mil veintiséis</w:t>
      </w:r>
      <w:r w:rsidRPr="0022282D">
        <w:rPr>
          <w:rFonts w:eastAsia="Palatino Linotype" w:cs="Palatino Linotype"/>
          <w:color w:val="000000" w:themeColor="text1"/>
        </w:rPr>
        <w:t xml:space="preserve">. Por su parte, el Recurrente </w:t>
      </w:r>
      <w:r w:rsidR="00167CC3" w:rsidRPr="0022282D">
        <w:rPr>
          <w:rFonts w:eastAsia="Palatino Linotype" w:cs="Palatino Linotype"/>
          <w:color w:val="000000" w:themeColor="text1"/>
        </w:rPr>
        <w:t>adjuntó el documento remitido en informe justificado por el Sujeto Obligado</w:t>
      </w:r>
      <w:r w:rsidRPr="0022282D">
        <w:rPr>
          <w:rFonts w:eastAsia="Palatino Linotype" w:cs="Palatino Linotype"/>
          <w:color w:val="000000" w:themeColor="text1"/>
        </w:rPr>
        <w:t>.</w:t>
      </w:r>
    </w:p>
    <w:p w14:paraId="5B536618" w14:textId="7ED50870" w:rsidR="00C02596" w:rsidRPr="0022282D" w:rsidRDefault="00C02596" w:rsidP="00297D07">
      <w:pPr>
        <w:pBdr>
          <w:top w:val="nil"/>
          <w:left w:val="nil"/>
          <w:bottom w:val="nil"/>
          <w:right w:val="nil"/>
          <w:between w:val="nil"/>
        </w:pBdr>
        <w:contextualSpacing/>
        <w:rPr>
          <w:rFonts w:eastAsia="Palatino Linotype" w:cs="Palatino Linotype"/>
          <w:color w:val="000000"/>
          <w:sz w:val="22"/>
        </w:rPr>
      </w:pPr>
    </w:p>
    <w:p w14:paraId="79C6B9C9" w14:textId="77777777" w:rsidR="005D0E71" w:rsidRPr="0022282D" w:rsidRDefault="00476F2B" w:rsidP="005D0E71">
      <w:pPr>
        <w:pStyle w:val="Ttulo2"/>
        <w:rPr>
          <w:rFonts w:eastAsiaTheme="minorHAnsi"/>
          <w:lang w:eastAsia="en-US"/>
        </w:rPr>
      </w:pPr>
      <w:r w:rsidRPr="0022282D">
        <w:rPr>
          <w:rFonts w:eastAsia="Palatino Linotype"/>
        </w:rPr>
        <w:t>SEXTO</w:t>
      </w:r>
      <w:r w:rsidR="00A970D5" w:rsidRPr="0022282D">
        <w:rPr>
          <w:rFonts w:eastAsia="Palatino Linotype"/>
        </w:rPr>
        <w:t xml:space="preserve">. </w:t>
      </w:r>
      <w:r w:rsidR="005D0E71" w:rsidRPr="0022282D">
        <w:rPr>
          <w:rFonts w:eastAsiaTheme="minorHAnsi"/>
          <w:lang w:eastAsia="en-US"/>
        </w:rPr>
        <w:t>De la ampliación del término para resolver.</w:t>
      </w:r>
    </w:p>
    <w:p w14:paraId="2456F4BD" w14:textId="4682C13C" w:rsidR="00A970D5" w:rsidRPr="0022282D" w:rsidRDefault="005D0E71" w:rsidP="005D0E71">
      <w:pPr>
        <w:pStyle w:val="Ttulo2"/>
        <w:rPr>
          <w:rFonts w:eastAsia="Palatino Linotype" w:cs="Palatino Linotype"/>
          <w:b w:val="0"/>
          <w:color w:val="000000"/>
          <w:sz w:val="24"/>
          <w:szCs w:val="24"/>
        </w:rPr>
      </w:pPr>
      <w:r w:rsidRPr="0022282D">
        <w:rPr>
          <w:rFonts w:eastAsiaTheme="minorHAnsi" w:cstheme="minorBidi"/>
          <w:b w:val="0"/>
          <w:sz w:val="24"/>
          <w:szCs w:val="24"/>
          <w:lang w:eastAsia="en-US"/>
        </w:rPr>
        <w:t xml:space="preserve">De las constancias que integran el expediente electrónico, se advierte que ha transcurrido el término de Ley para la emisión de la resolución en el presente recurso de revisión, por lo que el </w:t>
      </w:r>
      <w:r w:rsidR="00167CC3" w:rsidRPr="0022282D">
        <w:rPr>
          <w:rFonts w:eastAsiaTheme="minorHAnsi" w:cstheme="minorBidi"/>
          <w:b w:val="0"/>
          <w:sz w:val="24"/>
          <w:szCs w:val="24"/>
          <w:lang w:eastAsia="en-US"/>
        </w:rPr>
        <w:t>nueve de marzo de dos mil veintiséis</w:t>
      </w:r>
      <w:r w:rsidRPr="0022282D">
        <w:rPr>
          <w:rFonts w:eastAsiaTheme="minorHAnsi" w:cstheme="minorBidi"/>
          <w:b w:val="0"/>
          <w:sz w:val="24"/>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22282D" w:rsidRDefault="00EB1CF4" w:rsidP="00297D07">
      <w:pPr>
        <w:pBdr>
          <w:top w:val="nil"/>
          <w:left w:val="nil"/>
          <w:bottom w:val="nil"/>
          <w:right w:val="nil"/>
          <w:between w:val="nil"/>
        </w:pBdr>
        <w:contextualSpacing/>
        <w:rPr>
          <w:rFonts w:eastAsia="Palatino Linotype" w:cs="Palatino Linotype"/>
          <w:color w:val="000000"/>
          <w:szCs w:val="24"/>
        </w:rPr>
      </w:pPr>
    </w:p>
    <w:p w14:paraId="02B837E7" w14:textId="77777777" w:rsidR="005D0E71" w:rsidRPr="0022282D" w:rsidRDefault="00476F2B" w:rsidP="005D0E71">
      <w:pPr>
        <w:pStyle w:val="Ttulo2"/>
        <w:rPr>
          <w:rFonts w:eastAsia="Palatino Linotype"/>
        </w:rPr>
      </w:pPr>
      <w:r w:rsidRPr="0022282D">
        <w:rPr>
          <w:rFonts w:eastAsia="Palatino Linotype"/>
        </w:rPr>
        <w:t>SÉPTIMO</w:t>
      </w:r>
      <w:r w:rsidR="00EB1CF4" w:rsidRPr="0022282D">
        <w:rPr>
          <w:rFonts w:eastAsiaTheme="minorHAnsi"/>
          <w:lang w:eastAsia="en-US"/>
        </w:rPr>
        <w:t xml:space="preserve">. </w:t>
      </w:r>
      <w:r w:rsidR="005D0E71" w:rsidRPr="0022282D">
        <w:rPr>
          <w:rFonts w:eastAsia="Palatino Linotype"/>
        </w:rPr>
        <w:t>Del cierre de instrucción.</w:t>
      </w:r>
    </w:p>
    <w:p w14:paraId="3D8F26C7" w14:textId="2B588DF3" w:rsidR="00EB1CF4" w:rsidRPr="0022282D" w:rsidRDefault="005D0E71"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 xml:space="preserve">Así, una vez transcurrido el término legal, se decretó el cierre de instrucción el veintidós de </w:t>
      </w:r>
      <w:r w:rsidR="00167CC3" w:rsidRPr="0022282D">
        <w:rPr>
          <w:rFonts w:eastAsia="Palatino Linotype" w:cs="Palatino Linotype"/>
          <w:color w:val="000000"/>
          <w:szCs w:val="24"/>
        </w:rPr>
        <w:t>junio de dos mil veintiséis</w:t>
      </w:r>
      <w:r w:rsidRPr="0022282D">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22282D" w:rsidRDefault="009A70F6" w:rsidP="00297D0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2282D" w:rsidRDefault="00A970D5" w:rsidP="00297D07">
      <w:pPr>
        <w:pStyle w:val="Ttulo1"/>
        <w:rPr>
          <w:rFonts w:eastAsia="Palatino Linotype"/>
          <w:lang w:val="es-ES_tradnl"/>
        </w:rPr>
      </w:pPr>
      <w:r w:rsidRPr="0022282D">
        <w:rPr>
          <w:rFonts w:eastAsia="Palatino Linotype"/>
          <w:lang w:val="es-ES_tradnl"/>
        </w:rPr>
        <w:t>C O N S I D E R A N D O</w:t>
      </w:r>
    </w:p>
    <w:p w14:paraId="32546275"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2282D" w:rsidRDefault="00A970D5" w:rsidP="00297D07">
      <w:pPr>
        <w:pStyle w:val="Ttulo2"/>
        <w:rPr>
          <w:rFonts w:eastAsia="Palatino Linotype"/>
        </w:rPr>
      </w:pPr>
      <w:r w:rsidRPr="0022282D">
        <w:rPr>
          <w:rFonts w:eastAsia="Palatino Linotype"/>
        </w:rPr>
        <w:t>PRIMERO. De la competencia.</w:t>
      </w:r>
    </w:p>
    <w:p w14:paraId="615C5B79" w14:textId="77777777" w:rsidR="00E63F1C" w:rsidRPr="0022282D" w:rsidRDefault="00E63F1C"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22282D" w:rsidRDefault="00A970D5" w:rsidP="00297D07">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22282D" w:rsidRDefault="00A970D5" w:rsidP="00297D07">
      <w:pPr>
        <w:pStyle w:val="Ttulo2"/>
        <w:rPr>
          <w:rFonts w:eastAsia="Palatino Linotype"/>
        </w:rPr>
      </w:pPr>
      <w:r w:rsidRPr="0022282D">
        <w:rPr>
          <w:rFonts w:eastAsia="Palatino Linotype"/>
        </w:rPr>
        <w:t xml:space="preserve">SEGUNDO. Sobre los alcances del recurso de revisión. </w:t>
      </w:r>
    </w:p>
    <w:p w14:paraId="132CB116" w14:textId="77777777" w:rsidR="00A970D5" w:rsidRPr="0022282D" w:rsidRDefault="00A970D5" w:rsidP="00297D07">
      <w:r w:rsidRPr="0022282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22282D" w:rsidRDefault="00FE7B8E" w:rsidP="00297D07"/>
    <w:p w14:paraId="684A29E7" w14:textId="77777777" w:rsidR="00DA0841" w:rsidRPr="0022282D" w:rsidRDefault="00DA0841" w:rsidP="00297D07">
      <w:pPr>
        <w:pStyle w:val="Ttulo2"/>
      </w:pPr>
      <w:r w:rsidRPr="0022282D">
        <w:lastRenderedPageBreak/>
        <w:t xml:space="preserve">TERCERO. Cuestiones de previo y especial pronunciamiento. </w:t>
      </w:r>
    </w:p>
    <w:p w14:paraId="0036689A" w14:textId="77777777" w:rsidR="00DA0841" w:rsidRPr="0022282D" w:rsidRDefault="00DA0841" w:rsidP="00297D07">
      <w:pPr>
        <w:rPr>
          <w:rFonts w:eastAsia="Palatino Linotype" w:cs="Palatino Linotype"/>
        </w:rPr>
      </w:pPr>
      <w:r w:rsidRPr="0022282D">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22282D" w:rsidRDefault="00DA0841" w:rsidP="00297D07">
      <w:pPr>
        <w:rPr>
          <w:rFonts w:eastAsia="Palatino Linotype" w:cs="Palatino Linotype"/>
        </w:rPr>
      </w:pPr>
    </w:p>
    <w:p w14:paraId="3131F5EC"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 xml:space="preserve">Artículo 180. </w:t>
      </w:r>
      <w:r w:rsidRPr="0022282D">
        <w:rPr>
          <w:rFonts w:eastAsia="Palatino Linotype" w:cs="Palatino Linotype"/>
          <w:i/>
          <w:sz w:val="22"/>
        </w:rPr>
        <w:t>El recurso de revisión contendrá:</w:t>
      </w:r>
    </w:p>
    <w:p w14:paraId="64B429D0"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I. El sujeto obligado ante la cual se presentó la solicitud;</w:t>
      </w:r>
    </w:p>
    <w:p w14:paraId="6EB4EA8D"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II. El nombre del solicitante que recurre</w:t>
      </w:r>
      <w:r w:rsidRPr="0022282D">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III. El número de folio de respuesta de la solicitud de acceso;</w:t>
      </w:r>
    </w:p>
    <w:p w14:paraId="15547687"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V. El acto que se recurre;</w:t>
      </w:r>
    </w:p>
    <w:p w14:paraId="01F8CC88"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VI. Las razones o motivos de inconformidad;</w:t>
      </w:r>
    </w:p>
    <w:p w14:paraId="40CB202C"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VIII. Firma del recurrente, en su caso, cuando se presente por escrito, requisito sin el cual se dará trámite al recurso.</w:t>
      </w:r>
    </w:p>
    <w:p w14:paraId="0BBCA1B5" w14:textId="77777777" w:rsidR="00DA0841" w:rsidRPr="0022282D" w:rsidRDefault="00DA0841" w:rsidP="00297D07">
      <w:pPr>
        <w:spacing w:line="240" w:lineRule="auto"/>
        <w:ind w:left="567" w:right="567"/>
        <w:rPr>
          <w:rFonts w:eastAsia="Palatino Linotype" w:cs="Palatino Linotype"/>
          <w:i/>
          <w:sz w:val="22"/>
        </w:rPr>
      </w:pPr>
    </w:p>
    <w:p w14:paraId="5E945B18"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Adicionalmente, se podrán anexar las pruebas y demás elementos que considere procedentes someter a juicio del Instituto.</w:t>
      </w:r>
    </w:p>
    <w:p w14:paraId="7C77865A" w14:textId="77777777" w:rsidR="00DA0841" w:rsidRPr="0022282D" w:rsidRDefault="00DA0841" w:rsidP="00297D07">
      <w:pPr>
        <w:spacing w:line="240" w:lineRule="auto"/>
        <w:ind w:left="567" w:right="567"/>
        <w:rPr>
          <w:rFonts w:eastAsia="Palatino Linotype" w:cs="Palatino Linotype"/>
          <w:i/>
          <w:sz w:val="22"/>
        </w:rPr>
      </w:pPr>
    </w:p>
    <w:p w14:paraId="106A1459"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En ningún caso será necesario que el particular ratifique el recurso de revisión interpuesto.</w:t>
      </w:r>
    </w:p>
    <w:p w14:paraId="509B524E" w14:textId="77777777" w:rsidR="00DA0841" w:rsidRPr="0022282D" w:rsidRDefault="00DA0841" w:rsidP="00297D07">
      <w:pPr>
        <w:spacing w:line="240" w:lineRule="auto"/>
        <w:ind w:left="567" w:right="567"/>
        <w:rPr>
          <w:rFonts w:eastAsia="Palatino Linotype" w:cs="Palatino Linotype"/>
          <w:i/>
          <w:sz w:val="22"/>
        </w:rPr>
      </w:pPr>
    </w:p>
    <w:p w14:paraId="71B1481C" w14:textId="77777777" w:rsidR="00DA0841" w:rsidRPr="0022282D" w:rsidRDefault="00DA0841" w:rsidP="00297D07">
      <w:pPr>
        <w:spacing w:line="240" w:lineRule="auto"/>
        <w:ind w:left="567" w:right="567"/>
        <w:rPr>
          <w:rFonts w:eastAsia="Palatino Linotype" w:cs="Palatino Linotype"/>
          <w:i/>
          <w:iCs/>
          <w:sz w:val="22"/>
          <w:lang w:val="es-ES"/>
        </w:rPr>
      </w:pPr>
      <w:r w:rsidRPr="0022282D">
        <w:rPr>
          <w:rFonts w:eastAsia="Palatino Linotype" w:cs="Palatino Linotype"/>
          <w:b/>
          <w:bCs/>
          <w:i/>
          <w:iCs/>
          <w:sz w:val="22"/>
          <w:lang w:val="es-ES"/>
        </w:rPr>
        <w:t>En caso de que el recurso se interponga de manera electrónica no será indispensable que contengan los requisitos establecidos en las fracciones II</w:t>
      </w:r>
      <w:r w:rsidRPr="0022282D">
        <w:rPr>
          <w:rFonts w:eastAsia="Palatino Linotype" w:cs="Palatino Linotype"/>
          <w:i/>
          <w:iCs/>
          <w:sz w:val="22"/>
          <w:lang w:val="es-ES"/>
        </w:rPr>
        <w:t>, IV, VII y VIII.</w:t>
      </w:r>
    </w:p>
    <w:p w14:paraId="392848D7" w14:textId="77777777" w:rsidR="00DA0841" w:rsidRPr="0022282D" w:rsidRDefault="00DA0841" w:rsidP="00297D07">
      <w:pPr>
        <w:rPr>
          <w:rFonts w:eastAsia="Palatino Linotype" w:cs="Palatino Linotype"/>
          <w:b/>
          <w:i/>
        </w:rPr>
      </w:pPr>
    </w:p>
    <w:p w14:paraId="597F44E2" w14:textId="77777777" w:rsidR="00DA0841" w:rsidRPr="0022282D" w:rsidRDefault="00DA0841" w:rsidP="00297D07">
      <w:pPr>
        <w:rPr>
          <w:rFonts w:eastAsia="Palatino Linotype" w:cs="Palatino Linotype"/>
          <w:lang w:val="es-ES"/>
        </w:rPr>
      </w:pPr>
      <w:r w:rsidRPr="0022282D">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22282D" w:rsidRDefault="00DA0841" w:rsidP="00297D07">
      <w:pPr>
        <w:rPr>
          <w:rFonts w:eastAsia="Palatino Linotype" w:cs="Palatino Linotype"/>
        </w:rPr>
      </w:pPr>
    </w:p>
    <w:p w14:paraId="623719EB"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Artículo 155.</w:t>
      </w:r>
      <w:r w:rsidRPr="0022282D">
        <w:rPr>
          <w:rFonts w:eastAsia="Palatino Linotype" w:cs="Palatino Linotype"/>
          <w:i/>
          <w:sz w:val="22"/>
        </w:rPr>
        <w:t xml:space="preserve"> […]</w:t>
      </w:r>
    </w:p>
    <w:p w14:paraId="76EA2AEE" w14:textId="77777777" w:rsidR="00DA0841" w:rsidRPr="0022282D" w:rsidRDefault="00DA0841" w:rsidP="00297D07">
      <w:pPr>
        <w:spacing w:line="240" w:lineRule="auto"/>
        <w:ind w:left="567" w:right="567"/>
        <w:rPr>
          <w:rFonts w:eastAsia="Palatino Linotype" w:cs="Palatino Linotype"/>
          <w:i/>
          <w:sz w:val="22"/>
        </w:rPr>
      </w:pPr>
    </w:p>
    <w:p w14:paraId="107DE626"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w:t>
      </w:r>
    </w:p>
    <w:p w14:paraId="2B54E3DD" w14:textId="77777777" w:rsidR="00DA0841" w:rsidRPr="0022282D" w:rsidRDefault="00DA0841" w:rsidP="00297D07">
      <w:pPr>
        <w:rPr>
          <w:rFonts w:eastAsia="Palatino Linotype" w:cs="Palatino Linotype"/>
        </w:rPr>
      </w:pPr>
    </w:p>
    <w:p w14:paraId="72B66947" w14:textId="77777777" w:rsidR="00DA0841" w:rsidRPr="0022282D" w:rsidRDefault="00DA0841" w:rsidP="00297D07">
      <w:pPr>
        <w:rPr>
          <w:rFonts w:eastAsia="Palatino Linotype" w:cs="Palatino Linotype"/>
        </w:rPr>
      </w:pPr>
      <w:r w:rsidRPr="0022282D">
        <w:rPr>
          <w:rFonts w:eastAsia="Palatino Linotype" w:cs="Palatino Linotype"/>
        </w:rPr>
        <w:t>Robusteciendo lo anterior se encuentra lo dispuesto en el artículo 5 párrafos vigésimo, vigésimo primero y vigésimo segundo, de la Constitución Política del Estado Libre y Soberano de México, se establece lo siguiente:</w:t>
      </w:r>
    </w:p>
    <w:p w14:paraId="5AF1BA62" w14:textId="77777777" w:rsidR="00DA0841" w:rsidRPr="0022282D" w:rsidRDefault="00DA0841" w:rsidP="00297D07">
      <w:pPr>
        <w:rPr>
          <w:rFonts w:eastAsia="Palatino Linotype" w:cs="Palatino Linotype"/>
        </w:rPr>
      </w:pPr>
    </w:p>
    <w:p w14:paraId="06882988"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Artículo 5</w:t>
      </w:r>
      <w:r w:rsidRPr="0022282D">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w:t>
      </w:r>
    </w:p>
    <w:p w14:paraId="1CF9490B" w14:textId="77777777" w:rsidR="00DA0841" w:rsidRPr="0022282D" w:rsidRDefault="00DA0841" w:rsidP="00297D07">
      <w:pPr>
        <w:spacing w:line="240" w:lineRule="auto"/>
        <w:ind w:left="567" w:right="567"/>
        <w:rPr>
          <w:rFonts w:eastAsia="Palatino Linotype" w:cs="Palatino Linotype"/>
          <w:i/>
          <w:iCs/>
          <w:sz w:val="22"/>
          <w:lang w:val="es-ES"/>
        </w:rPr>
      </w:pPr>
      <w:r w:rsidRPr="0022282D">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w:t>
      </w:r>
    </w:p>
    <w:p w14:paraId="553B5652"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22282D" w:rsidRDefault="00DA0841" w:rsidP="00297D07">
      <w:pPr>
        <w:spacing w:line="240" w:lineRule="auto"/>
        <w:ind w:left="567" w:right="567"/>
        <w:rPr>
          <w:rFonts w:eastAsia="Palatino Linotype" w:cs="Palatino Linotype"/>
          <w:i/>
          <w:sz w:val="22"/>
        </w:rPr>
      </w:pPr>
    </w:p>
    <w:p w14:paraId="165BA352" w14:textId="77777777" w:rsidR="00DA0841" w:rsidRPr="0022282D" w:rsidRDefault="00DA0841" w:rsidP="00297D07">
      <w:pPr>
        <w:spacing w:line="240" w:lineRule="auto"/>
        <w:ind w:left="567" w:right="567"/>
        <w:rPr>
          <w:rFonts w:eastAsia="Palatino Linotype" w:cs="Palatino Linotype"/>
          <w:i/>
          <w:iCs/>
          <w:sz w:val="22"/>
          <w:lang w:val="es-ES"/>
        </w:rPr>
      </w:pPr>
      <w:r w:rsidRPr="0022282D">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22282D" w:rsidRDefault="00DA0841" w:rsidP="00297D07">
      <w:pPr>
        <w:spacing w:line="240" w:lineRule="auto"/>
        <w:ind w:left="567" w:right="567"/>
        <w:rPr>
          <w:rFonts w:eastAsia="Palatino Linotype" w:cs="Palatino Linotype"/>
          <w:i/>
          <w:sz w:val="22"/>
        </w:rPr>
      </w:pPr>
    </w:p>
    <w:p w14:paraId="7E4D207B"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Este derecho se regirá por los principios y bases siguientes:</w:t>
      </w:r>
    </w:p>
    <w:p w14:paraId="6FE3FC3A"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w:t>
      </w:r>
    </w:p>
    <w:p w14:paraId="18502C7E"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III.</w:t>
      </w:r>
      <w:r w:rsidRPr="0022282D">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lastRenderedPageBreak/>
        <w:t>IV.</w:t>
      </w:r>
      <w:r w:rsidRPr="0022282D">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w:t>
      </w:r>
    </w:p>
    <w:p w14:paraId="53CF5A70"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VIII.</w:t>
      </w:r>
      <w:r w:rsidRPr="0022282D">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w:t>
      </w:r>
    </w:p>
    <w:p w14:paraId="655E6322" w14:textId="77777777" w:rsidR="00DA0841" w:rsidRPr="0022282D" w:rsidRDefault="00DA0841" w:rsidP="00297D07">
      <w:pPr>
        <w:ind w:left="567" w:right="567"/>
        <w:rPr>
          <w:rFonts w:eastAsia="Palatino Linotype" w:cs="Palatino Linotype"/>
        </w:rPr>
      </w:pPr>
    </w:p>
    <w:p w14:paraId="710E0463" w14:textId="77777777" w:rsidR="00DA0841" w:rsidRPr="0022282D" w:rsidRDefault="00DA0841" w:rsidP="00297D07">
      <w:pPr>
        <w:rPr>
          <w:rFonts w:eastAsia="Palatino Linotype" w:cs="Palatino Linotype"/>
        </w:rPr>
      </w:pPr>
      <w:r w:rsidRPr="0022282D">
        <w:rPr>
          <w:rFonts w:eastAsia="Palatino Linotype" w:cs="Palatino Linotype"/>
        </w:rPr>
        <w:t>Por otra parte, del contenido del artículo 1 de la Constitución Política de los Estados Unidos Mexicanos, se destaca lo siguiente:</w:t>
      </w:r>
    </w:p>
    <w:p w14:paraId="41CB3F87" w14:textId="77777777" w:rsidR="00DA0841" w:rsidRPr="0022282D" w:rsidRDefault="00DA0841" w:rsidP="00297D07">
      <w:pPr>
        <w:spacing w:line="240" w:lineRule="auto"/>
        <w:ind w:left="567" w:right="567"/>
        <w:rPr>
          <w:rFonts w:eastAsia="Palatino Linotype" w:cs="Palatino Linotype"/>
        </w:rPr>
      </w:pPr>
    </w:p>
    <w:p w14:paraId="2D50F7BC"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b/>
          <w:i/>
          <w:sz w:val="22"/>
        </w:rPr>
        <w:t>Artículo 1o</w:t>
      </w:r>
      <w:r w:rsidRPr="0022282D">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22282D" w:rsidRDefault="00DA0841" w:rsidP="00297D07">
      <w:pPr>
        <w:spacing w:line="240" w:lineRule="auto"/>
        <w:ind w:left="567" w:right="567"/>
        <w:rPr>
          <w:rFonts w:eastAsia="Palatino Linotype" w:cs="Palatino Linotype"/>
          <w:i/>
          <w:sz w:val="22"/>
        </w:rPr>
      </w:pPr>
    </w:p>
    <w:p w14:paraId="307A338A"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22282D" w:rsidRDefault="00DA0841" w:rsidP="00297D07">
      <w:pPr>
        <w:spacing w:line="240" w:lineRule="auto"/>
        <w:ind w:left="567" w:right="567"/>
        <w:rPr>
          <w:rFonts w:eastAsia="Palatino Linotype" w:cs="Palatino Linotype"/>
          <w:i/>
          <w:sz w:val="22"/>
        </w:rPr>
      </w:pPr>
    </w:p>
    <w:p w14:paraId="4328ED78" w14:textId="77777777" w:rsidR="00DA0841" w:rsidRPr="0022282D" w:rsidRDefault="00DA0841" w:rsidP="00297D07">
      <w:pPr>
        <w:spacing w:line="240" w:lineRule="auto"/>
        <w:ind w:left="567" w:right="567"/>
        <w:rPr>
          <w:rFonts w:eastAsia="Palatino Linotype" w:cs="Palatino Linotype"/>
          <w:i/>
          <w:sz w:val="22"/>
        </w:rPr>
      </w:pPr>
      <w:r w:rsidRPr="0022282D">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22282D" w:rsidRDefault="00DA0841" w:rsidP="00297D07">
      <w:pPr>
        <w:ind w:left="567" w:right="567"/>
        <w:rPr>
          <w:rFonts w:eastAsia="Palatino Linotype" w:cs="Palatino Linotype"/>
        </w:rPr>
      </w:pPr>
    </w:p>
    <w:p w14:paraId="4C635D02" w14:textId="77777777" w:rsidR="00DA0841" w:rsidRPr="0022282D" w:rsidRDefault="00DA0841" w:rsidP="00297D07">
      <w:pPr>
        <w:rPr>
          <w:rFonts w:eastAsia="Palatino Linotype" w:cs="Palatino Linotype"/>
        </w:rPr>
      </w:pPr>
      <w:r w:rsidRPr="0022282D">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22282D">
        <w:rPr>
          <w:rFonts w:eastAsia="Palatino Linotype" w:cs="Palatino Linotype"/>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22282D" w:rsidRDefault="00DA0841" w:rsidP="00297D07">
      <w:pPr>
        <w:rPr>
          <w:rFonts w:eastAsia="Palatino Linotype" w:cs="Palatino Linotype"/>
        </w:rPr>
      </w:pPr>
    </w:p>
    <w:p w14:paraId="19F58DF7" w14:textId="77777777" w:rsidR="00DA0841" w:rsidRPr="0022282D" w:rsidRDefault="00DA0841" w:rsidP="00297D07">
      <w:r w:rsidRPr="0022282D">
        <w:t xml:space="preserve">En conclusión, se cubrieron los requisitos de procedencia y </w:t>
      </w:r>
      <w:proofErr w:type="spellStart"/>
      <w:r w:rsidRPr="0022282D">
        <w:t>procedibilidad</w:t>
      </w:r>
      <w:proofErr w:type="spellEnd"/>
      <w:r w:rsidRPr="0022282D">
        <w:t>, conforme a las constancias que obran en el expediente.</w:t>
      </w:r>
    </w:p>
    <w:p w14:paraId="716FC7A0" w14:textId="77777777" w:rsidR="00DA0841" w:rsidRPr="0022282D" w:rsidRDefault="00DA0841" w:rsidP="00297D07"/>
    <w:p w14:paraId="7E828C31" w14:textId="2DDA13D4" w:rsidR="00454915" w:rsidRPr="0022282D" w:rsidRDefault="00DA0841" w:rsidP="00297D07">
      <w:pPr>
        <w:pStyle w:val="Ttulo2"/>
        <w:rPr>
          <w:rFonts w:eastAsia="Palatino Linotype"/>
        </w:rPr>
      </w:pPr>
      <w:r w:rsidRPr="0022282D">
        <w:rPr>
          <w:rFonts w:eastAsia="Palatino Linotype"/>
        </w:rPr>
        <w:t>CUARTO</w:t>
      </w:r>
      <w:r w:rsidR="00454915" w:rsidRPr="0022282D">
        <w:rPr>
          <w:rFonts w:eastAsia="Palatino Linotype"/>
        </w:rPr>
        <w:t>. De las causas de improcedencia.</w:t>
      </w:r>
    </w:p>
    <w:p w14:paraId="714929BC" w14:textId="77777777" w:rsidR="00454915" w:rsidRPr="0022282D" w:rsidRDefault="00454915"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22282D">
        <w:rPr>
          <w:rFonts w:eastAsia="Palatino Linotype" w:cs="Palatino Linotype"/>
          <w:color w:val="000000"/>
          <w:szCs w:val="24"/>
        </w:rPr>
        <w:t>procedibilidad</w:t>
      </w:r>
      <w:proofErr w:type="spellEnd"/>
      <w:r w:rsidRPr="0022282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22282D" w:rsidRDefault="00454915" w:rsidP="00297D07">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22282D" w:rsidRDefault="00454915" w:rsidP="00297D07">
      <w:pPr>
        <w:pBdr>
          <w:top w:val="nil"/>
          <w:left w:val="nil"/>
          <w:bottom w:val="nil"/>
          <w:right w:val="nil"/>
          <w:between w:val="nil"/>
        </w:pBdr>
        <w:contextualSpacing/>
        <w:rPr>
          <w:rFonts w:eastAsia="Palatino Linotype" w:cs="Palatino Linotype"/>
          <w:color w:val="000000"/>
          <w:lang w:val="es-ES"/>
        </w:rPr>
      </w:pPr>
      <w:r w:rsidRPr="0022282D">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22282D">
        <w:rPr>
          <w:rFonts w:eastAsia="Palatino Linotype" w:cs="Palatino Linotype"/>
          <w:color w:val="000000"/>
          <w:lang w:val="es-ES"/>
        </w:rPr>
        <w:t>Resolutor</w:t>
      </w:r>
      <w:proofErr w:type="spellEnd"/>
      <w:r w:rsidRPr="0022282D">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22282D">
        <w:rPr>
          <w:rFonts w:eastAsia="Palatino Linotype" w:cs="Palatino Linotype"/>
          <w:color w:val="000000"/>
          <w:vertAlign w:val="superscript"/>
          <w:lang w:val="es-ES"/>
        </w:rPr>
        <w:footnoteReference w:id="2"/>
      </w:r>
      <w:r w:rsidRPr="0022282D">
        <w:rPr>
          <w:rFonts w:eastAsia="Palatino Linotype" w:cs="Palatino Linotype"/>
          <w:color w:val="000000"/>
          <w:lang w:val="es-ES"/>
        </w:rPr>
        <w:t xml:space="preserve">, la cual permite dilucidar alguna </w:t>
      </w:r>
      <w:r w:rsidRPr="0022282D">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22282D" w:rsidRDefault="00454915" w:rsidP="00297D07">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22282D" w:rsidRDefault="00454915"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22282D" w:rsidRDefault="00454915" w:rsidP="00297D07">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22282D" w:rsidRDefault="00DA0841" w:rsidP="00297D07">
      <w:pPr>
        <w:pStyle w:val="Ttulo2"/>
        <w:rPr>
          <w:rFonts w:eastAsia="Palatino Linotype"/>
        </w:rPr>
      </w:pPr>
      <w:r w:rsidRPr="0022282D">
        <w:rPr>
          <w:rFonts w:eastAsia="Palatino Linotype"/>
        </w:rPr>
        <w:lastRenderedPageBreak/>
        <w:t>QUIN</w:t>
      </w:r>
      <w:r w:rsidR="00F45971" w:rsidRPr="0022282D">
        <w:rPr>
          <w:rFonts w:eastAsia="Palatino Linotype"/>
        </w:rPr>
        <w:t>TO</w:t>
      </w:r>
      <w:r w:rsidR="00454915" w:rsidRPr="0022282D">
        <w:rPr>
          <w:rFonts w:eastAsia="Palatino Linotype"/>
        </w:rPr>
        <w:t>. Estudio y resolución del asunto.</w:t>
      </w:r>
    </w:p>
    <w:p w14:paraId="78A9F94F" w14:textId="77777777" w:rsidR="00454915" w:rsidRPr="0022282D" w:rsidRDefault="00454915" w:rsidP="00297D07">
      <w:pPr>
        <w:pBdr>
          <w:top w:val="nil"/>
          <w:left w:val="nil"/>
          <w:bottom w:val="nil"/>
          <w:right w:val="nil"/>
          <w:between w:val="nil"/>
        </w:pBdr>
        <w:contextualSpacing/>
        <w:rPr>
          <w:rFonts w:eastAsia="Palatino Linotype" w:cs="Palatino Linotype"/>
          <w:color w:val="000000"/>
          <w:szCs w:val="24"/>
        </w:rPr>
      </w:pPr>
      <w:r w:rsidRPr="0022282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2282D" w:rsidRDefault="004A3367" w:rsidP="00297D07">
      <w:pPr>
        <w:rPr>
          <w:rFonts w:eastAsiaTheme="minorHAnsi" w:cstheme="minorBidi"/>
          <w:sz w:val="22"/>
          <w:lang w:eastAsia="en-US"/>
        </w:rPr>
      </w:pPr>
    </w:p>
    <w:p w14:paraId="5F186F42" w14:textId="77777777" w:rsidR="00476F2B" w:rsidRPr="0022282D" w:rsidRDefault="00476F2B" w:rsidP="00297D07">
      <w:pPr>
        <w:pStyle w:val="Sinespaciado"/>
        <w:spacing w:line="360" w:lineRule="auto"/>
        <w:jc w:val="both"/>
        <w:rPr>
          <w:rFonts w:ascii="Palatino Linotype" w:hAnsi="Palatino Linotype"/>
          <w:lang w:val="es-ES_tradnl"/>
        </w:rPr>
      </w:pPr>
      <w:r w:rsidRPr="0022282D">
        <w:rPr>
          <w:rFonts w:ascii="Palatino Linotype" w:hAnsi="Palatino Linotype"/>
          <w:lang w:val="es-ES_tradnl"/>
        </w:rPr>
        <w:t xml:space="preserve">Por tanto, es conveniente recordar que el hoy </w:t>
      </w:r>
      <w:r w:rsidRPr="0022282D">
        <w:rPr>
          <w:rFonts w:ascii="Palatino Linotype" w:hAnsi="Palatino Linotype"/>
          <w:b/>
          <w:bCs/>
          <w:lang w:val="es-ES_tradnl"/>
        </w:rPr>
        <w:t>Recurrente</w:t>
      </w:r>
      <w:r w:rsidRPr="0022282D">
        <w:rPr>
          <w:rFonts w:ascii="Palatino Linotype" w:hAnsi="Palatino Linotype"/>
          <w:lang w:val="es-ES_tradnl"/>
        </w:rPr>
        <w:t xml:space="preserve"> requirió medularmente se le proporcionara, el o los documentos en donde conste lo siguiente:</w:t>
      </w:r>
    </w:p>
    <w:p w14:paraId="47712C3D" w14:textId="77777777" w:rsidR="00476F2B" w:rsidRPr="0022282D" w:rsidRDefault="00476F2B" w:rsidP="00297D07">
      <w:pPr>
        <w:pStyle w:val="Sinespaciado"/>
        <w:spacing w:line="360" w:lineRule="auto"/>
        <w:jc w:val="both"/>
        <w:rPr>
          <w:rFonts w:ascii="Palatino Linotype" w:hAnsi="Palatino Linotype"/>
          <w:lang w:val="es-ES_tradnl"/>
        </w:rPr>
      </w:pPr>
    </w:p>
    <w:p w14:paraId="50217705" w14:textId="04E00211" w:rsidR="0048549E" w:rsidRPr="0022282D" w:rsidRDefault="00686E2A" w:rsidP="00686E2A">
      <w:pPr>
        <w:pStyle w:val="Prrafodelista"/>
        <w:numPr>
          <w:ilvl w:val="0"/>
          <w:numId w:val="65"/>
        </w:numPr>
      </w:pPr>
      <w:r w:rsidRPr="0022282D">
        <w:t xml:space="preserve">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En los archivos físicos y/o electrónicos, del Municipio de Ecatepec de Morelos, se cuenta con información sobre el seguimiento y continuidad de parte de la Dirección de Medio Ambiente y Ecología al 22 de septiembre de 2025. Consideren que el OFICIO No. DPCB/ECA/1368/2025 de fecha 03 de junio de 2025, dirigido al C. Luis Ángel Hernández Soto, Titular de la Unidad de Transparencia, suscrito por el C. Ing. </w:t>
      </w:r>
      <w:r w:rsidRPr="0022282D">
        <w:lastRenderedPageBreak/>
        <w:t>Juan Jesús Clara González, Director de Protección Civil y Bomberos, es INFORMACION PÚBLICA.</w:t>
      </w:r>
    </w:p>
    <w:p w14:paraId="0BA425C7" w14:textId="77777777" w:rsidR="00476F2B" w:rsidRPr="0022282D" w:rsidRDefault="00476F2B" w:rsidP="00297D07">
      <w:pPr>
        <w:pStyle w:val="Sinespaciado"/>
        <w:spacing w:line="360" w:lineRule="auto"/>
        <w:jc w:val="both"/>
        <w:rPr>
          <w:rFonts w:ascii="Palatino Linotype" w:hAnsi="Palatino Linotype"/>
          <w:lang w:val="es-ES_tradnl"/>
        </w:rPr>
      </w:pPr>
    </w:p>
    <w:p w14:paraId="49F684AB" w14:textId="41DEDFBD" w:rsidR="00476F2B" w:rsidRPr="0022282D" w:rsidRDefault="00476F2B" w:rsidP="00297D07">
      <w:pPr>
        <w:pStyle w:val="Sinespaciado"/>
        <w:spacing w:line="360" w:lineRule="auto"/>
        <w:jc w:val="both"/>
        <w:rPr>
          <w:rFonts w:ascii="Palatino Linotype" w:hAnsi="Palatino Linotype"/>
          <w:lang w:val="es-ES_tradnl"/>
        </w:rPr>
      </w:pPr>
      <w:r w:rsidRPr="0022282D">
        <w:rPr>
          <w:rFonts w:ascii="Palatino Linotype" w:hAnsi="Palatino Linotype"/>
          <w:lang w:val="es-ES_tradnl"/>
        </w:rPr>
        <w:t xml:space="preserve">El </w:t>
      </w:r>
      <w:r w:rsidRPr="0022282D">
        <w:rPr>
          <w:rFonts w:ascii="Palatino Linotype" w:hAnsi="Palatino Linotype"/>
          <w:b/>
          <w:bCs/>
          <w:lang w:val="es-ES_tradnl"/>
        </w:rPr>
        <w:t>Sujeto Obligado</w:t>
      </w:r>
      <w:r w:rsidRPr="0022282D">
        <w:rPr>
          <w:rFonts w:ascii="Palatino Linotype" w:hAnsi="Palatino Linotype"/>
          <w:lang w:val="es-ES_tradnl"/>
        </w:rPr>
        <w:t xml:space="preserve"> turnó la solicitud a las unidades administrativas que consideró competentes y remitió un archivo electrónico, del cual se detalla su contenido enseguida:</w:t>
      </w:r>
    </w:p>
    <w:p w14:paraId="114C7A07" w14:textId="77777777" w:rsidR="00476F2B" w:rsidRPr="0022282D" w:rsidRDefault="00476F2B" w:rsidP="00297D07">
      <w:pPr>
        <w:pStyle w:val="Sinespaciado"/>
        <w:spacing w:line="360" w:lineRule="auto"/>
        <w:jc w:val="both"/>
        <w:rPr>
          <w:rFonts w:ascii="Palatino Linotype" w:hAnsi="Palatino Linotype"/>
          <w:lang w:val="es-ES_tradnl"/>
        </w:rPr>
      </w:pPr>
    </w:p>
    <w:p w14:paraId="1F54020D" w14:textId="361AC865" w:rsidR="00476F2B" w:rsidRPr="0022282D" w:rsidRDefault="00686E2A" w:rsidP="00B352C8">
      <w:pPr>
        <w:pStyle w:val="Sinespaciado"/>
        <w:numPr>
          <w:ilvl w:val="0"/>
          <w:numId w:val="66"/>
        </w:numPr>
        <w:spacing w:line="360" w:lineRule="auto"/>
        <w:jc w:val="both"/>
        <w:rPr>
          <w:rFonts w:ascii="Palatino Linotype" w:hAnsi="Palatino Linotype"/>
          <w:lang w:val="es-ES_tradnl"/>
        </w:rPr>
      </w:pPr>
      <w:r w:rsidRPr="0022282D">
        <w:rPr>
          <w:rFonts w:ascii="Palatino Linotype" w:hAnsi="Palatino Linotype"/>
          <w:b/>
          <w:bCs/>
          <w:lang w:val="es-ES_tradnl"/>
        </w:rPr>
        <w:t>Respuesta Solicitud 764.pdf</w:t>
      </w:r>
      <w:r w:rsidR="00476F2B" w:rsidRPr="0022282D">
        <w:rPr>
          <w:rFonts w:ascii="Palatino Linotype" w:hAnsi="Palatino Linotype"/>
          <w:b/>
          <w:bCs/>
          <w:lang w:val="es-ES_tradnl"/>
        </w:rPr>
        <w:t xml:space="preserve">: </w:t>
      </w:r>
      <w:r w:rsidRPr="0022282D">
        <w:rPr>
          <w:rFonts w:ascii="Palatino Linotype" w:hAnsi="Palatino Linotype"/>
          <w:lang w:val="es-ES_tradnl"/>
        </w:rPr>
        <w:t xml:space="preserve">Consta de un documento emitido por el Titular de la Unidad de Transparencia y Acceso a la Información Pública, mediante el cual refiere que el oficio DPCB/ECA/1368/2025 suscrito por el Servidor Público Habilitado de la Dirección de Protección Civil y Bomberos, motivo de esta solicitud, es un oficio de respuesta de dicha Área para esta Unidad de Transparencia, como resultado de una solicitud anterior, es decir, concluyo una solicitud de información, por lo tanto, </w:t>
      </w:r>
      <w:r w:rsidRPr="0022282D">
        <w:rPr>
          <w:rFonts w:ascii="Palatino Linotype" w:hAnsi="Palatino Linotype"/>
          <w:b/>
          <w:u w:val="single"/>
          <w:lang w:val="es-ES_tradnl"/>
        </w:rPr>
        <w:t>esta Unidad no da seguimiento a los oficios que se reciben como respuestas por parte de las diversas áreas una vez concluidos los tramites de acceso a la información</w:t>
      </w:r>
      <w:r w:rsidRPr="0022282D">
        <w:rPr>
          <w:rFonts w:ascii="Palatino Linotype" w:hAnsi="Palatino Linotype"/>
          <w:lang w:val="es-ES_tradnl"/>
        </w:rPr>
        <w:t>; por otro lado y en aras de coadyuvar con el derecho de acceso a la información pública y para un mejor proveer, se anexa el mismo oficio DPCB/ECA/1368/2025 en su correcta versión pública a fin de solventar la solicitud 00764/ECATEPEC/IP/2025.</w:t>
      </w:r>
    </w:p>
    <w:p w14:paraId="3C8689DB" w14:textId="66A20037" w:rsidR="00CD5FB4" w:rsidRPr="0022282D" w:rsidRDefault="00CD5FB4" w:rsidP="00CD5FB4">
      <w:pPr>
        <w:pStyle w:val="Sinespaciado"/>
        <w:numPr>
          <w:ilvl w:val="0"/>
          <w:numId w:val="66"/>
        </w:numPr>
        <w:spacing w:line="360" w:lineRule="auto"/>
        <w:jc w:val="both"/>
        <w:rPr>
          <w:rFonts w:ascii="Palatino Linotype" w:hAnsi="Palatino Linotype"/>
          <w:lang w:val="es-ES_tradnl"/>
        </w:rPr>
      </w:pPr>
      <w:r w:rsidRPr="0022282D">
        <w:rPr>
          <w:rFonts w:ascii="Palatino Linotype" w:hAnsi="Palatino Linotype"/>
          <w:b/>
          <w:lang w:val="es-ES_tradnl"/>
        </w:rPr>
        <w:t>Oficio 1368 de fecha 03 de junio 2025.pdf</w:t>
      </w:r>
      <w:r w:rsidRPr="0022282D">
        <w:rPr>
          <w:rFonts w:ascii="Palatino Linotype" w:hAnsi="Palatino Linotype"/>
          <w:lang w:val="es-ES_tradnl"/>
        </w:rPr>
        <w:t>: Consta del oficio remitido anteriormente.</w:t>
      </w:r>
    </w:p>
    <w:p w14:paraId="5AA5F34B" w14:textId="77777777" w:rsidR="00297D07" w:rsidRPr="0022282D" w:rsidRDefault="00297D07" w:rsidP="00297D07">
      <w:pPr>
        <w:pStyle w:val="Sinespaciado"/>
        <w:spacing w:line="360" w:lineRule="auto"/>
        <w:ind w:left="1080"/>
        <w:jc w:val="both"/>
        <w:rPr>
          <w:rFonts w:ascii="Palatino Linotype" w:hAnsi="Palatino Linotype"/>
          <w:lang w:val="es-ES_tradnl"/>
        </w:rPr>
      </w:pPr>
    </w:p>
    <w:p w14:paraId="56F3E64E" w14:textId="77777777" w:rsidR="00344178" w:rsidRPr="0022282D" w:rsidRDefault="00344178" w:rsidP="00344178">
      <w:pPr>
        <w:rPr>
          <w:lang w:val="es-MX"/>
        </w:rPr>
      </w:pPr>
      <w:r w:rsidRPr="0022282D">
        <w:rPr>
          <w:rFonts w:eastAsiaTheme="minorHAnsi" w:cs="Arial"/>
          <w:bCs/>
          <w:lang w:val="es-MX" w:eastAsia="en-US"/>
        </w:rPr>
        <w:t xml:space="preserve">Por lo que, </w:t>
      </w:r>
      <w:r w:rsidRPr="0022282D">
        <w:rPr>
          <w:rFonts w:cs="Tahoma"/>
          <w:bCs/>
          <w:iCs/>
          <w:lang w:val="es-MX"/>
        </w:rPr>
        <w:t xml:space="preserve">es necesario hacer referencia al procedimiento de búsqueda </w:t>
      </w:r>
      <w:r w:rsidRPr="0022282D">
        <w:rPr>
          <w:rFonts w:cs="Tahoma"/>
          <w:bCs/>
          <w:lang w:val="es-MX"/>
        </w:rPr>
        <w:t xml:space="preserve">que deben de seguir los Sujetos Obligados para localizar la información, el cual se encuentra previsto </w:t>
      </w:r>
      <w:r w:rsidRPr="0022282D">
        <w:rPr>
          <w:rFonts w:cs="Tahoma"/>
          <w:bCs/>
          <w:lang w:val="es-MX"/>
        </w:rPr>
        <w:lastRenderedPageBreak/>
        <w:t>en los artículos 160 y 162 de la Ley de Transparencia y Acceso a la Información Pública del Estado de México y Municipios, mismo que es el siguiente:</w:t>
      </w:r>
    </w:p>
    <w:p w14:paraId="65D726EF" w14:textId="77777777" w:rsidR="00344178" w:rsidRPr="0022282D" w:rsidRDefault="00344178" w:rsidP="00344178">
      <w:pPr>
        <w:contextualSpacing/>
        <w:rPr>
          <w:rFonts w:cs="Tahoma"/>
          <w:bCs/>
          <w:sz w:val="22"/>
          <w:lang w:val="es-MX"/>
        </w:rPr>
      </w:pPr>
    </w:p>
    <w:p w14:paraId="09FD8E8C" w14:textId="77777777" w:rsidR="00344178" w:rsidRPr="0022282D" w:rsidRDefault="00344178" w:rsidP="00344178">
      <w:pPr>
        <w:numPr>
          <w:ilvl w:val="0"/>
          <w:numId w:val="70"/>
        </w:numPr>
        <w:contextualSpacing/>
        <w:rPr>
          <w:rFonts w:cs="Tahoma"/>
          <w:bCs/>
          <w:lang w:val="es-MX"/>
        </w:rPr>
      </w:pPr>
      <w:r w:rsidRPr="0022282D">
        <w:rPr>
          <w:rFonts w:cs="Tahoma"/>
          <w:bCs/>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523DAA" w14:textId="77777777" w:rsidR="00344178" w:rsidRPr="0022282D" w:rsidRDefault="00344178" w:rsidP="00344178">
      <w:pPr>
        <w:contextualSpacing/>
        <w:rPr>
          <w:rFonts w:cs="Tahoma"/>
          <w:bCs/>
          <w:lang w:val="es-MX"/>
        </w:rPr>
      </w:pPr>
    </w:p>
    <w:p w14:paraId="7114946C" w14:textId="77777777" w:rsidR="00344178" w:rsidRPr="0022282D" w:rsidRDefault="00344178" w:rsidP="00344178">
      <w:pPr>
        <w:numPr>
          <w:ilvl w:val="0"/>
          <w:numId w:val="70"/>
        </w:numPr>
        <w:contextualSpacing/>
        <w:rPr>
          <w:rFonts w:cs="Tahoma"/>
          <w:bCs/>
          <w:lang w:val="es-MX"/>
        </w:rPr>
      </w:pPr>
      <w:r w:rsidRPr="0022282D">
        <w:rPr>
          <w:rFonts w:cs="Tahoma"/>
          <w:bCs/>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D8EE221" w14:textId="77777777" w:rsidR="00344178" w:rsidRPr="0022282D" w:rsidRDefault="00344178" w:rsidP="00344178">
      <w:pPr>
        <w:rPr>
          <w:rFonts w:cs="Tahoma"/>
          <w:bCs/>
          <w:iCs/>
          <w:lang w:val="es-MX"/>
        </w:rPr>
      </w:pPr>
    </w:p>
    <w:p w14:paraId="2D85DF3C" w14:textId="77777777" w:rsidR="00344178" w:rsidRPr="0022282D" w:rsidRDefault="00344178" w:rsidP="00344178">
      <w:pPr>
        <w:rPr>
          <w:rFonts w:cs="Tahoma"/>
          <w:bCs/>
          <w:iCs/>
          <w:lang w:val="es-MX"/>
        </w:rPr>
      </w:pPr>
      <w:r w:rsidRPr="0022282D">
        <w:rPr>
          <w:rFonts w:cs="Tahoma"/>
          <w:bCs/>
          <w:iCs/>
          <w:lang w:val="es-MX"/>
        </w:rPr>
        <w:t xml:space="preserve">Así se logra vislumbrar que, el </w:t>
      </w:r>
      <w:r w:rsidRPr="0022282D">
        <w:rPr>
          <w:rFonts w:cs="Tahoma"/>
          <w:b/>
          <w:bCs/>
          <w:iCs/>
          <w:lang w:val="es-MX"/>
        </w:rPr>
        <w:t>Sujeto Obligado</w:t>
      </w:r>
      <w:r w:rsidRPr="0022282D">
        <w:rPr>
          <w:rFonts w:cs="Tahoma"/>
          <w:bCs/>
          <w:iCs/>
          <w:lang w:val="es-MX"/>
        </w:rPr>
        <w:t xml:space="preserve"> no cumplió con el procedimiento de búsqueda establecido en el artículo 162 de la Ley de Transparencia y Acceso a la Información Pública del Estado de México y Municipios, ya que, no turnó la solicitud de información al área competente; por lo que, no </w:t>
      </w:r>
      <w:r w:rsidRPr="0022282D">
        <w:rPr>
          <w:rFonts w:cs="Arial"/>
        </w:rPr>
        <w:t xml:space="preserve">se agotó la búsqueda exhaustiva y razonable por parte del </w:t>
      </w:r>
      <w:r w:rsidRPr="0022282D">
        <w:rPr>
          <w:rFonts w:cs="Arial"/>
          <w:b/>
          <w:bCs/>
        </w:rPr>
        <w:t>Sujeto Obligado</w:t>
      </w:r>
      <w:r w:rsidRPr="0022282D">
        <w:rPr>
          <w:rFonts w:cs="Arial"/>
        </w:rPr>
        <w:t xml:space="preserve">; asimismo, es de precisar que, aunque la solicitud de información y la respuesta estén dirigidas y atendidas por un </w:t>
      </w:r>
      <w:r w:rsidRPr="0022282D">
        <w:rPr>
          <w:rFonts w:cs="Arial"/>
          <w:b/>
        </w:rPr>
        <w:t>Sujeto Obligado</w:t>
      </w:r>
      <w:r w:rsidRPr="0022282D">
        <w:rPr>
          <w:rFonts w:cs="Arial"/>
        </w:rPr>
        <w:t xml:space="preserve">, lo cierto es que también tienen diversas Unidades Administrativas y cada área cuenta con un </w:t>
      </w:r>
      <w:r w:rsidRPr="0022282D">
        <w:rPr>
          <w:rFonts w:cs="Arial"/>
          <w:b/>
        </w:rPr>
        <w:t>Servidor Público Habilitado</w:t>
      </w:r>
      <w:r w:rsidRPr="0022282D">
        <w:rPr>
          <w:rFonts w:cs="Arial"/>
        </w:rPr>
        <w:t xml:space="preserve">, que es la persona encargada de apoyar, gestionar y entregar la información o datos personales que se ubiquen en la misma, a sus respectivas unidades de transparencia; respecto de las solicitudes presentadas y aportar </w:t>
      </w:r>
      <w:r w:rsidRPr="0022282D">
        <w:rPr>
          <w:rFonts w:cs="Arial"/>
        </w:rPr>
        <w:lastRenderedPageBreak/>
        <w:t>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3D1D312" w14:textId="77777777" w:rsidR="00344178" w:rsidRPr="0022282D" w:rsidRDefault="00344178" w:rsidP="00344178"/>
    <w:p w14:paraId="239B1DF3"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Artículo 3.</w:t>
      </w:r>
      <w:r w:rsidRPr="0022282D">
        <w:rPr>
          <w:rFonts w:cs="Arial"/>
          <w:i/>
          <w:sz w:val="22"/>
        </w:rPr>
        <w:t xml:space="preserve"> Para los efectos de la presente Ley se entenderá por:</w:t>
      </w:r>
    </w:p>
    <w:p w14:paraId="10D8C6E7"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w:t>
      </w:r>
    </w:p>
    <w:p w14:paraId="6753344D"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 xml:space="preserve">XXXIX. Servidor público habilitado: </w:t>
      </w:r>
      <w:r w:rsidRPr="0022282D">
        <w:rPr>
          <w:rFonts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E0A6A80"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w:t>
      </w:r>
    </w:p>
    <w:p w14:paraId="70A4AC5B"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Artículo 58.</w:t>
      </w:r>
      <w:r w:rsidRPr="0022282D">
        <w:rPr>
          <w:rFonts w:cs="Arial"/>
          <w:i/>
          <w:sz w:val="22"/>
        </w:rPr>
        <w:t xml:space="preserve"> Los servidores públicos habilitados serán designados por el titular del sujeto obligado a propuesta del responsable de la Unidad de Transparencia.</w:t>
      </w:r>
    </w:p>
    <w:p w14:paraId="787502A3" w14:textId="77777777" w:rsidR="00344178" w:rsidRPr="0022282D" w:rsidRDefault="00344178" w:rsidP="00344178">
      <w:pPr>
        <w:autoSpaceDE w:val="0"/>
        <w:autoSpaceDN w:val="0"/>
        <w:adjustRightInd w:val="0"/>
        <w:ind w:left="567" w:right="708"/>
        <w:rPr>
          <w:rFonts w:cs="Arial"/>
          <w:i/>
          <w:sz w:val="22"/>
        </w:rPr>
      </w:pPr>
    </w:p>
    <w:p w14:paraId="3BF3107D"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Artículo 59.</w:t>
      </w:r>
      <w:r w:rsidRPr="0022282D">
        <w:rPr>
          <w:rFonts w:cs="Arial"/>
          <w:i/>
          <w:sz w:val="22"/>
        </w:rPr>
        <w:t xml:space="preserve"> </w:t>
      </w:r>
      <w:r w:rsidRPr="0022282D">
        <w:rPr>
          <w:rFonts w:cs="Arial"/>
          <w:b/>
          <w:i/>
          <w:sz w:val="22"/>
          <w:u w:val="single"/>
        </w:rPr>
        <w:t>Los servidores públicos habilitados</w:t>
      </w:r>
      <w:r w:rsidRPr="0022282D">
        <w:rPr>
          <w:rFonts w:cs="Arial"/>
          <w:i/>
          <w:sz w:val="22"/>
        </w:rPr>
        <w:t xml:space="preserve"> tendrán las funciones siguientes:</w:t>
      </w:r>
    </w:p>
    <w:p w14:paraId="76CC6D30"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 xml:space="preserve">I. </w:t>
      </w:r>
      <w:r w:rsidRPr="0022282D">
        <w:rPr>
          <w:rFonts w:cs="Arial"/>
          <w:b/>
          <w:i/>
          <w:sz w:val="22"/>
          <w:u w:val="single"/>
        </w:rPr>
        <w:t>Localizar la información que le solicite la Unidad de Transparencia</w:t>
      </w:r>
      <w:r w:rsidRPr="0022282D">
        <w:rPr>
          <w:rFonts w:cs="Arial"/>
          <w:i/>
          <w:sz w:val="22"/>
        </w:rPr>
        <w:t>;</w:t>
      </w:r>
    </w:p>
    <w:p w14:paraId="1B85CC37" w14:textId="77777777" w:rsidR="00344178" w:rsidRPr="0022282D" w:rsidRDefault="00344178" w:rsidP="00344178">
      <w:pPr>
        <w:autoSpaceDE w:val="0"/>
        <w:autoSpaceDN w:val="0"/>
        <w:adjustRightInd w:val="0"/>
        <w:ind w:left="567" w:right="708"/>
        <w:rPr>
          <w:rFonts w:cs="Arial"/>
          <w:i/>
          <w:sz w:val="22"/>
        </w:rPr>
      </w:pPr>
    </w:p>
    <w:p w14:paraId="76F82488"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 xml:space="preserve">II. </w:t>
      </w:r>
      <w:r w:rsidRPr="0022282D">
        <w:rPr>
          <w:rFonts w:cs="Arial"/>
          <w:b/>
          <w:i/>
          <w:sz w:val="22"/>
          <w:u w:val="single"/>
        </w:rPr>
        <w:t>Proporcionar la información que obre en los archivos y que le sea solicitada por la Unidad de Transparencia</w:t>
      </w:r>
      <w:r w:rsidRPr="0022282D">
        <w:rPr>
          <w:rFonts w:cs="Arial"/>
          <w:i/>
          <w:sz w:val="22"/>
        </w:rPr>
        <w:t>;</w:t>
      </w:r>
    </w:p>
    <w:p w14:paraId="289E6B58" w14:textId="77777777" w:rsidR="00344178" w:rsidRPr="0022282D" w:rsidRDefault="00344178" w:rsidP="00344178">
      <w:pPr>
        <w:autoSpaceDE w:val="0"/>
        <w:autoSpaceDN w:val="0"/>
        <w:adjustRightInd w:val="0"/>
        <w:ind w:left="567" w:right="708"/>
        <w:rPr>
          <w:rFonts w:cs="Arial"/>
          <w:i/>
          <w:sz w:val="22"/>
        </w:rPr>
      </w:pPr>
    </w:p>
    <w:p w14:paraId="6088E536"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III. Apoyar a la Unidad de Transparencia en lo que esta le solicite para el cumplimiento de sus funciones;</w:t>
      </w:r>
    </w:p>
    <w:p w14:paraId="7ECE2513" w14:textId="77777777" w:rsidR="00344178" w:rsidRPr="0022282D" w:rsidRDefault="00344178" w:rsidP="00344178">
      <w:pPr>
        <w:autoSpaceDE w:val="0"/>
        <w:autoSpaceDN w:val="0"/>
        <w:adjustRightInd w:val="0"/>
        <w:ind w:left="567" w:right="708"/>
        <w:rPr>
          <w:rFonts w:cs="Arial"/>
          <w:i/>
          <w:sz w:val="22"/>
        </w:rPr>
      </w:pPr>
    </w:p>
    <w:p w14:paraId="45714FA6"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lastRenderedPageBreak/>
        <w:t>IV. Proporcionar a la Unidad de Transparencia, las modificaciones a la información pública de oficio que obre en su poder;</w:t>
      </w:r>
    </w:p>
    <w:p w14:paraId="270975FD" w14:textId="77777777" w:rsidR="00344178" w:rsidRPr="0022282D" w:rsidRDefault="00344178" w:rsidP="00344178">
      <w:pPr>
        <w:autoSpaceDE w:val="0"/>
        <w:autoSpaceDN w:val="0"/>
        <w:adjustRightInd w:val="0"/>
        <w:ind w:left="567" w:right="708"/>
        <w:rPr>
          <w:rFonts w:cs="Arial"/>
          <w:i/>
          <w:sz w:val="22"/>
        </w:rPr>
      </w:pPr>
    </w:p>
    <w:p w14:paraId="310026DB"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V. Integrar y presentar al responsable de la Unidad de Transparencia la propuesta de clasificación de información, la cual tendrá los fundamentos y argumentos en que se basa dicha propuesta;</w:t>
      </w:r>
    </w:p>
    <w:p w14:paraId="6DDF5F05" w14:textId="77777777" w:rsidR="00344178" w:rsidRPr="0022282D" w:rsidRDefault="00344178" w:rsidP="00344178">
      <w:pPr>
        <w:autoSpaceDE w:val="0"/>
        <w:autoSpaceDN w:val="0"/>
        <w:adjustRightInd w:val="0"/>
        <w:ind w:left="567" w:right="708"/>
        <w:rPr>
          <w:rFonts w:cs="Arial"/>
          <w:i/>
          <w:sz w:val="22"/>
        </w:rPr>
      </w:pPr>
    </w:p>
    <w:p w14:paraId="2D4D3D40"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VI. Verificar, una vez analizado el contenido de la información, que no se encuentre en los supuestos de información clasificada; y</w:t>
      </w:r>
    </w:p>
    <w:p w14:paraId="0733929A" w14:textId="77777777" w:rsidR="00344178" w:rsidRPr="0022282D" w:rsidRDefault="00344178" w:rsidP="00344178">
      <w:pPr>
        <w:autoSpaceDE w:val="0"/>
        <w:autoSpaceDN w:val="0"/>
        <w:adjustRightInd w:val="0"/>
        <w:ind w:left="567" w:right="708"/>
        <w:rPr>
          <w:rFonts w:cs="Arial"/>
          <w:i/>
          <w:sz w:val="22"/>
        </w:rPr>
      </w:pPr>
    </w:p>
    <w:p w14:paraId="608BC2F5"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VII. Dar cuenta a la Unidad de Transparencia del vencimiento de los plazos de reserva.</w:t>
      </w:r>
    </w:p>
    <w:p w14:paraId="6B273EA1" w14:textId="77777777" w:rsidR="00344178" w:rsidRPr="0022282D" w:rsidRDefault="00344178" w:rsidP="00297D07">
      <w:pPr>
        <w:rPr>
          <w:rFonts w:cs="Arial"/>
          <w:bCs/>
          <w:szCs w:val="24"/>
        </w:rPr>
      </w:pPr>
    </w:p>
    <w:p w14:paraId="5B9AA68A" w14:textId="77777777" w:rsidR="00344178" w:rsidRPr="0022282D" w:rsidRDefault="00344178" w:rsidP="00297D07">
      <w:pPr>
        <w:rPr>
          <w:rFonts w:cs="Arial"/>
          <w:bCs/>
          <w:szCs w:val="24"/>
        </w:rPr>
      </w:pPr>
    </w:p>
    <w:p w14:paraId="74DF80F0" w14:textId="70BD704A" w:rsidR="00476F2B" w:rsidRPr="0022282D" w:rsidRDefault="00476F2B" w:rsidP="00297D07">
      <w:pPr>
        <w:rPr>
          <w:rFonts w:cs="Arial"/>
          <w:bCs/>
          <w:i/>
          <w:szCs w:val="24"/>
        </w:rPr>
      </w:pPr>
      <w:r w:rsidRPr="0022282D">
        <w:rPr>
          <w:rFonts w:cs="Arial"/>
          <w:bCs/>
          <w:szCs w:val="24"/>
        </w:rPr>
        <w:t>Es así que</w:t>
      </w:r>
      <w:r w:rsidR="00CD5FB4" w:rsidRPr="0022282D">
        <w:rPr>
          <w:rFonts w:cs="Arial"/>
          <w:bCs/>
          <w:szCs w:val="24"/>
        </w:rPr>
        <w:t>,</w:t>
      </w:r>
      <w:r w:rsidRPr="0022282D">
        <w:rPr>
          <w:rFonts w:cs="Arial"/>
          <w:bCs/>
          <w:szCs w:val="24"/>
        </w:rPr>
        <w:t xml:space="preserve"> derivado de la respuesta emitida por </w:t>
      </w:r>
      <w:r w:rsidRPr="0022282D">
        <w:rPr>
          <w:rFonts w:cs="Arial"/>
          <w:b/>
          <w:bCs/>
          <w:szCs w:val="24"/>
        </w:rPr>
        <w:t>El Sujeto Obligado</w:t>
      </w:r>
      <w:r w:rsidRPr="0022282D">
        <w:rPr>
          <w:rFonts w:cs="Arial"/>
          <w:bCs/>
          <w:szCs w:val="24"/>
        </w:rPr>
        <w:t xml:space="preserve">, </w:t>
      </w:r>
      <w:r w:rsidRPr="0022282D">
        <w:rPr>
          <w:rFonts w:cs="Arial"/>
          <w:b/>
          <w:bCs/>
          <w:szCs w:val="24"/>
        </w:rPr>
        <w:t>El Recurrente</w:t>
      </w:r>
      <w:r w:rsidRPr="0022282D">
        <w:rPr>
          <w:rFonts w:cs="Arial"/>
          <w:bCs/>
          <w:szCs w:val="24"/>
        </w:rPr>
        <w:t xml:space="preserve">, interpuso el presente recurso de revisión, señalando sustancialmente como Razones o Motivos de Inconformidad, lo siguiente: </w:t>
      </w:r>
      <w:r w:rsidRPr="0022282D">
        <w:rPr>
          <w:rFonts w:cs="Arial"/>
          <w:bCs/>
          <w:i/>
          <w:szCs w:val="24"/>
        </w:rPr>
        <w:t>“</w:t>
      </w:r>
      <w:r w:rsidR="00686E2A" w:rsidRPr="0022282D">
        <w:rPr>
          <w:rFonts w:cs="Arial"/>
          <w:b/>
          <w:bCs/>
          <w:i/>
          <w:szCs w:val="24"/>
          <w:u w:val="single"/>
        </w:rPr>
        <w:t>No se da respuesta a mi pregunta "En los archivos físicos y/o electrónicos, del Municipio de Ecatepec de Morelos, se cuenta con información sobre el seguimiento y continuidad de parte de la Dirección de Medio Ambiente y Ecología al 22 de septiembre de 2025." Consideren que es información pública.</w:t>
      </w:r>
      <w:r w:rsidRPr="0022282D">
        <w:rPr>
          <w:rFonts w:cs="Arial"/>
          <w:bCs/>
          <w:i/>
          <w:szCs w:val="24"/>
        </w:rPr>
        <w:t>” (Sic).</w:t>
      </w:r>
    </w:p>
    <w:p w14:paraId="3D627DAF" w14:textId="77777777" w:rsidR="00476F2B" w:rsidRPr="0022282D" w:rsidRDefault="00476F2B" w:rsidP="00297D07">
      <w:pPr>
        <w:pStyle w:val="Sinespaciado"/>
        <w:spacing w:line="360" w:lineRule="auto"/>
        <w:jc w:val="both"/>
        <w:rPr>
          <w:rFonts w:ascii="Palatino Linotype" w:hAnsi="Palatino Linotype"/>
          <w:lang w:val="es-ES_tradnl"/>
        </w:rPr>
      </w:pPr>
    </w:p>
    <w:p w14:paraId="2A679139" w14:textId="771DDA67" w:rsidR="000D572A" w:rsidRPr="0022282D" w:rsidRDefault="00476F2B" w:rsidP="00297D07">
      <w:r w:rsidRPr="0022282D">
        <w:rPr>
          <w:rFonts w:cs="Arial"/>
          <w:bCs/>
          <w:szCs w:val="24"/>
          <w:lang w:val="es-MX"/>
        </w:rPr>
        <w:t xml:space="preserve">Por lo que, en la etapa de manifestaciones, el </w:t>
      </w:r>
      <w:r w:rsidRPr="0022282D">
        <w:rPr>
          <w:rFonts w:cs="Arial"/>
          <w:b/>
          <w:bCs/>
          <w:szCs w:val="24"/>
          <w:lang w:val="es-MX"/>
        </w:rPr>
        <w:t>Sujeto Obligado</w:t>
      </w:r>
      <w:r w:rsidRPr="0022282D">
        <w:rPr>
          <w:rFonts w:cs="Arial"/>
          <w:b/>
          <w:bCs/>
          <w:szCs w:val="24"/>
        </w:rPr>
        <w:t xml:space="preserve"> </w:t>
      </w:r>
      <w:r w:rsidRPr="0022282D">
        <w:rPr>
          <w:rFonts w:cs="Arial"/>
          <w:szCs w:val="24"/>
        </w:rPr>
        <w:t>rindió</w:t>
      </w:r>
      <w:r w:rsidRPr="0022282D">
        <w:rPr>
          <w:rFonts w:cs="Arial"/>
          <w:bCs/>
          <w:szCs w:val="24"/>
          <w:lang w:val="es-MX"/>
        </w:rPr>
        <w:t xml:space="preserve"> </w:t>
      </w:r>
      <w:r w:rsidRPr="0022282D">
        <w:rPr>
          <w:rFonts w:cs="Arial"/>
          <w:bCs/>
          <w:szCs w:val="24"/>
        </w:rPr>
        <w:t xml:space="preserve">su </w:t>
      </w:r>
      <w:r w:rsidRPr="0022282D">
        <w:rPr>
          <w:rFonts w:cs="Arial"/>
          <w:bCs/>
          <w:szCs w:val="24"/>
          <w:lang w:val="es-MX"/>
        </w:rPr>
        <w:t>informe justificado</w:t>
      </w:r>
      <w:r w:rsidRPr="0022282D">
        <w:rPr>
          <w:rFonts w:cs="Arial"/>
          <w:bCs/>
          <w:szCs w:val="24"/>
        </w:rPr>
        <w:t xml:space="preserve"> </w:t>
      </w:r>
      <w:r w:rsidRPr="0022282D">
        <w:rPr>
          <w:rFonts w:cs="Arial"/>
          <w:bCs/>
          <w:szCs w:val="24"/>
          <w:lang w:val="es-MX"/>
        </w:rPr>
        <w:t>a través del</w:t>
      </w:r>
      <w:r w:rsidRPr="0022282D">
        <w:rPr>
          <w:rFonts w:cs="Arial"/>
          <w:szCs w:val="24"/>
          <w:lang w:val="es-MX"/>
        </w:rPr>
        <w:t xml:space="preserve"> archivo electrónico denominado </w:t>
      </w:r>
      <w:r w:rsidRPr="0022282D">
        <w:rPr>
          <w:rFonts w:cs="Arial"/>
          <w:i/>
          <w:szCs w:val="24"/>
          <w:lang w:val="es-MX"/>
        </w:rPr>
        <w:t>“</w:t>
      </w:r>
      <w:r w:rsidR="00CD5FB4" w:rsidRPr="0022282D">
        <w:rPr>
          <w:rFonts w:cs="Arial"/>
          <w:b/>
          <w:bCs/>
          <w:i/>
          <w:szCs w:val="24"/>
        </w:rPr>
        <w:t>CT_UT_ECA_1216_2025 informe justificado RR12255.pdf</w:t>
      </w:r>
      <w:r w:rsidRPr="0022282D">
        <w:rPr>
          <w:rFonts w:cs="Arial"/>
          <w:i/>
          <w:szCs w:val="24"/>
          <w:lang w:val="es-MX"/>
        </w:rPr>
        <w:t>”</w:t>
      </w:r>
      <w:r w:rsidRPr="0022282D">
        <w:rPr>
          <w:rFonts w:cs="Arial"/>
          <w:bCs/>
          <w:szCs w:val="24"/>
        </w:rPr>
        <w:t>,</w:t>
      </w:r>
      <w:r w:rsidRPr="0022282D">
        <w:rPr>
          <w:rFonts w:cs="Arial"/>
          <w:bCs/>
          <w:szCs w:val="24"/>
          <w:lang w:val="es-MX"/>
        </w:rPr>
        <w:t xml:space="preserve"> con el</w:t>
      </w:r>
      <w:r w:rsidRPr="0022282D">
        <w:rPr>
          <w:rFonts w:cs="Arial"/>
          <w:bCs/>
          <w:szCs w:val="24"/>
        </w:rPr>
        <w:t xml:space="preserve"> cual</w:t>
      </w:r>
      <w:r w:rsidR="00297D07" w:rsidRPr="0022282D">
        <w:rPr>
          <w:rFonts w:cs="Arial"/>
          <w:bCs/>
          <w:szCs w:val="24"/>
        </w:rPr>
        <w:t xml:space="preserve"> medularmente, </w:t>
      </w:r>
      <w:r w:rsidRPr="0022282D">
        <w:rPr>
          <w:rFonts w:cs="Arial"/>
          <w:bCs/>
          <w:szCs w:val="24"/>
        </w:rPr>
        <w:t>ratifica la respuesta proporcionada.</w:t>
      </w:r>
    </w:p>
    <w:p w14:paraId="411D3E3E" w14:textId="6ED1E578" w:rsidR="00CD5FB4" w:rsidRPr="0022282D" w:rsidRDefault="00CD5FB4" w:rsidP="00862FC2">
      <w:pPr>
        <w:pStyle w:val="Sinespaciado"/>
        <w:spacing w:line="360" w:lineRule="auto"/>
        <w:jc w:val="both"/>
        <w:rPr>
          <w:rFonts w:ascii="Palatino Linotype" w:hAnsi="Palatino Linotype"/>
          <w:lang w:val="es-ES_tradnl"/>
        </w:rPr>
      </w:pPr>
    </w:p>
    <w:p w14:paraId="544BC1DB" w14:textId="77777777" w:rsidR="00344178" w:rsidRPr="0022282D" w:rsidRDefault="00344178" w:rsidP="00344178">
      <w:pPr>
        <w:rPr>
          <w:rFonts w:cs="Tahoma"/>
          <w:bCs/>
          <w:iCs/>
          <w:lang w:val="es-MX"/>
        </w:rPr>
      </w:pPr>
      <w:r w:rsidRPr="0022282D">
        <w:rPr>
          <w:rFonts w:cs="Tahoma"/>
          <w:bCs/>
          <w:iCs/>
          <w:lang w:val="es-MX"/>
        </w:rPr>
        <w:t xml:space="preserve">Así se logra vislumbrar que, el </w:t>
      </w:r>
      <w:r w:rsidRPr="0022282D">
        <w:rPr>
          <w:rFonts w:cs="Tahoma"/>
          <w:b/>
          <w:bCs/>
          <w:iCs/>
          <w:lang w:val="es-MX"/>
        </w:rPr>
        <w:t>Sujeto Obligado</w:t>
      </w:r>
      <w:r w:rsidRPr="0022282D">
        <w:rPr>
          <w:rFonts w:cs="Tahoma"/>
          <w:bCs/>
          <w:iCs/>
          <w:lang w:val="es-MX"/>
        </w:rPr>
        <w:t xml:space="preserve"> no cumplió con el procedimiento de búsqueda establecido en el artículo 162 de la Ley de Transparencia y Acceso a la Información Pública del Estado de México y Municipios, ya que, no turnó la solicitud de información al área competente; por lo que, no </w:t>
      </w:r>
      <w:r w:rsidRPr="0022282D">
        <w:rPr>
          <w:rFonts w:cs="Arial"/>
        </w:rPr>
        <w:t xml:space="preserve">se agotó la búsqueda exhaustiva y razonable por parte del </w:t>
      </w:r>
      <w:r w:rsidRPr="0022282D">
        <w:rPr>
          <w:rFonts w:cs="Arial"/>
          <w:b/>
          <w:bCs/>
        </w:rPr>
        <w:t>Sujeto Obligado</w:t>
      </w:r>
      <w:r w:rsidRPr="0022282D">
        <w:rPr>
          <w:rFonts w:cs="Arial"/>
        </w:rPr>
        <w:t xml:space="preserve">; asimismo, es de precisar que, aunque la solicitud de información y la respuesta estén dirigidas y atendidas por un </w:t>
      </w:r>
      <w:r w:rsidRPr="0022282D">
        <w:rPr>
          <w:rFonts w:cs="Arial"/>
          <w:b/>
        </w:rPr>
        <w:t>Sujeto Obligado</w:t>
      </w:r>
      <w:r w:rsidRPr="0022282D">
        <w:rPr>
          <w:rFonts w:cs="Arial"/>
        </w:rPr>
        <w:t xml:space="preserve">, lo cierto es que también tienen diversas Unidades Administrativas y cada área cuenta con un </w:t>
      </w:r>
      <w:r w:rsidRPr="0022282D">
        <w:rPr>
          <w:rFonts w:cs="Arial"/>
          <w:b/>
        </w:rPr>
        <w:t>Servidor Público Habilitado</w:t>
      </w:r>
      <w:r w:rsidRPr="0022282D">
        <w:rPr>
          <w:rFonts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58CD7D" w14:textId="77777777" w:rsidR="00344178" w:rsidRPr="0022282D" w:rsidRDefault="00344178" w:rsidP="00344178"/>
    <w:p w14:paraId="5ED039EE"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Artículo 3.</w:t>
      </w:r>
      <w:r w:rsidRPr="0022282D">
        <w:rPr>
          <w:rFonts w:cs="Arial"/>
          <w:i/>
          <w:sz w:val="22"/>
        </w:rPr>
        <w:t xml:space="preserve"> Para los efectos de la presente Ley se entenderá por:</w:t>
      </w:r>
    </w:p>
    <w:p w14:paraId="754B53AC"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w:t>
      </w:r>
    </w:p>
    <w:p w14:paraId="65D5E31F"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 xml:space="preserve">XXXIX. Servidor público habilitado: </w:t>
      </w:r>
      <w:r w:rsidRPr="0022282D">
        <w:rPr>
          <w:rFonts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976FCFE"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w:t>
      </w:r>
    </w:p>
    <w:p w14:paraId="44D48938"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lastRenderedPageBreak/>
        <w:t>Artículo 58.</w:t>
      </w:r>
      <w:r w:rsidRPr="0022282D">
        <w:rPr>
          <w:rFonts w:cs="Arial"/>
          <w:i/>
          <w:sz w:val="22"/>
        </w:rPr>
        <w:t xml:space="preserve"> Los servidores públicos habilitados serán designados por el titular del sujeto obligado a propuesta del responsable de la Unidad de Transparencia.</w:t>
      </w:r>
    </w:p>
    <w:p w14:paraId="28A1073B" w14:textId="77777777" w:rsidR="00344178" w:rsidRPr="0022282D" w:rsidRDefault="00344178" w:rsidP="00344178">
      <w:pPr>
        <w:autoSpaceDE w:val="0"/>
        <w:autoSpaceDN w:val="0"/>
        <w:adjustRightInd w:val="0"/>
        <w:ind w:left="567" w:right="708"/>
        <w:rPr>
          <w:rFonts w:cs="Arial"/>
          <w:i/>
          <w:sz w:val="22"/>
        </w:rPr>
      </w:pPr>
    </w:p>
    <w:p w14:paraId="449F2CC3" w14:textId="77777777" w:rsidR="00344178" w:rsidRPr="0022282D" w:rsidRDefault="00344178" w:rsidP="00344178">
      <w:pPr>
        <w:autoSpaceDE w:val="0"/>
        <w:autoSpaceDN w:val="0"/>
        <w:adjustRightInd w:val="0"/>
        <w:ind w:left="567" w:right="708"/>
        <w:rPr>
          <w:rFonts w:cs="Arial"/>
          <w:i/>
          <w:sz w:val="22"/>
        </w:rPr>
      </w:pPr>
      <w:r w:rsidRPr="0022282D">
        <w:rPr>
          <w:rFonts w:cs="Arial"/>
          <w:b/>
          <w:i/>
          <w:sz w:val="22"/>
        </w:rPr>
        <w:t>Artículo 59.</w:t>
      </w:r>
      <w:r w:rsidRPr="0022282D">
        <w:rPr>
          <w:rFonts w:cs="Arial"/>
          <w:i/>
          <w:sz w:val="22"/>
        </w:rPr>
        <w:t xml:space="preserve"> </w:t>
      </w:r>
      <w:r w:rsidRPr="0022282D">
        <w:rPr>
          <w:rFonts w:cs="Arial"/>
          <w:b/>
          <w:i/>
          <w:sz w:val="22"/>
          <w:u w:val="single"/>
        </w:rPr>
        <w:t>Los servidores públicos habilitados</w:t>
      </w:r>
      <w:r w:rsidRPr="0022282D">
        <w:rPr>
          <w:rFonts w:cs="Arial"/>
          <w:i/>
          <w:sz w:val="22"/>
        </w:rPr>
        <w:t xml:space="preserve"> tendrán las funciones siguientes:</w:t>
      </w:r>
    </w:p>
    <w:p w14:paraId="298515E0"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 xml:space="preserve">I. </w:t>
      </w:r>
      <w:r w:rsidRPr="0022282D">
        <w:rPr>
          <w:rFonts w:cs="Arial"/>
          <w:b/>
          <w:i/>
          <w:sz w:val="22"/>
          <w:u w:val="single"/>
        </w:rPr>
        <w:t>Localizar la información que le solicite la Unidad de Transparencia</w:t>
      </w:r>
      <w:r w:rsidRPr="0022282D">
        <w:rPr>
          <w:rFonts w:cs="Arial"/>
          <w:i/>
          <w:sz w:val="22"/>
        </w:rPr>
        <w:t>;</w:t>
      </w:r>
    </w:p>
    <w:p w14:paraId="71A4EE77" w14:textId="77777777" w:rsidR="00344178" w:rsidRPr="0022282D" w:rsidRDefault="00344178" w:rsidP="00344178">
      <w:pPr>
        <w:autoSpaceDE w:val="0"/>
        <w:autoSpaceDN w:val="0"/>
        <w:adjustRightInd w:val="0"/>
        <w:ind w:left="567" w:right="708"/>
        <w:rPr>
          <w:rFonts w:cs="Arial"/>
          <w:i/>
          <w:sz w:val="22"/>
        </w:rPr>
      </w:pPr>
    </w:p>
    <w:p w14:paraId="5F5D3EFE"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 xml:space="preserve">II. </w:t>
      </w:r>
      <w:r w:rsidRPr="0022282D">
        <w:rPr>
          <w:rFonts w:cs="Arial"/>
          <w:b/>
          <w:i/>
          <w:sz w:val="22"/>
          <w:u w:val="single"/>
        </w:rPr>
        <w:t>Proporcionar la información que obre en los archivos y que le sea solicitada por la Unidad de Transparencia</w:t>
      </w:r>
      <w:r w:rsidRPr="0022282D">
        <w:rPr>
          <w:rFonts w:cs="Arial"/>
          <w:i/>
          <w:sz w:val="22"/>
        </w:rPr>
        <w:t>;</w:t>
      </w:r>
    </w:p>
    <w:p w14:paraId="1746888B" w14:textId="77777777" w:rsidR="00344178" w:rsidRPr="0022282D" w:rsidRDefault="00344178" w:rsidP="00344178">
      <w:pPr>
        <w:autoSpaceDE w:val="0"/>
        <w:autoSpaceDN w:val="0"/>
        <w:adjustRightInd w:val="0"/>
        <w:ind w:left="567" w:right="708"/>
        <w:rPr>
          <w:rFonts w:cs="Arial"/>
          <w:i/>
          <w:sz w:val="22"/>
        </w:rPr>
      </w:pPr>
    </w:p>
    <w:p w14:paraId="07F0F00D"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III. Apoyar a la Unidad de Transparencia en lo que esta le solicite para el cumplimiento de sus funciones;</w:t>
      </w:r>
    </w:p>
    <w:p w14:paraId="4135D500" w14:textId="77777777" w:rsidR="00344178" w:rsidRPr="0022282D" w:rsidRDefault="00344178" w:rsidP="00344178">
      <w:pPr>
        <w:autoSpaceDE w:val="0"/>
        <w:autoSpaceDN w:val="0"/>
        <w:adjustRightInd w:val="0"/>
        <w:ind w:left="567" w:right="708"/>
        <w:rPr>
          <w:rFonts w:cs="Arial"/>
          <w:i/>
          <w:sz w:val="22"/>
        </w:rPr>
      </w:pPr>
    </w:p>
    <w:p w14:paraId="49393645"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IV. Proporcionar a la Unidad de Transparencia, las modificaciones a la información pública de oficio que obre en su poder;</w:t>
      </w:r>
    </w:p>
    <w:p w14:paraId="32E3C3AB" w14:textId="77777777" w:rsidR="00344178" w:rsidRPr="0022282D" w:rsidRDefault="00344178" w:rsidP="00344178">
      <w:pPr>
        <w:autoSpaceDE w:val="0"/>
        <w:autoSpaceDN w:val="0"/>
        <w:adjustRightInd w:val="0"/>
        <w:ind w:left="567" w:right="708"/>
        <w:rPr>
          <w:rFonts w:cs="Arial"/>
          <w:i/>
          <w:sz w:val="22"/>
        </w:rPr>
      </w:pPr>
    </w:p>
    <w:p w14:paraId="66D63F5A"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V. Integrar y presentar al responsable de la Unidad de Transparencia la propuesta de clasificación de información, la cual tendrá los fundamentos y argumentos en que se basa dicha propuesta;</w:t>
      </w:r>
    </w:p>
    <w:p w14:paraId="44493D6E" w14:textId="77777777" w:rsidR="00344178" w:rsidRPr="0022282D" w:rsidRDefault="00344178" w:rsidP="00344178">
      <w:pPr>
        <w:autoSpaceDE w:val="0"/>
        <w:autoSpaceDN w:val="0"/>
        <w:adjustRightInd w:val="0"/>
        <w:ind w:left="567" w:right="708"/>
        <w:rPr>
          <w:rFonts w:cs="Arial"/>
          <w:i/>
          <w:sz w:val="22"/>
        </w:rPr>
      </w:pPr>
    </w:p>
    <w:p w14:paraId="48C687B7"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VI. Verificar, una vez analizado el contenido de la información, que no se encuentre en los supuestos de información clasificada; y</w:t>
      </w:r>
    </w:p>
    <w:p w14:paraId="035160C2" w14:textId="77777777" w:rsidR="00344178" w:rsidRPr="0022282D" w:rsidRDefault="00344178" w:rsidP="00344178">
      <w:pPr>
        <w:autoSpaceDE w:val="0"/>
        <w:autoSpaceDN w:val="0"/>
        <w:adjustRightInd w:val="0"/>
        <w:ind w:left="567" w:right="708"/>
        <w:rPr>
          <w:rFonts w:cs="Arial"/>
          <w:i/>
          <w:sz w:val="22"/>
        </w:rPr>
      </w:pPr>
    </w:p>
    <w:p w14:paraId="63F9ADD1" w14:textId="77777777" w:rsidR="00344178" w:rsidRPr="0022282D" w:rsidRDefault="00344178" w:rsidP="00344178">
      <w:pPr>
        <w:autoSpaceDE w:val="0"/>
        <w:autoSpaceDN w:val="0"/>
        <w:adjustRightInd w:val="0"/>
        <w:ind w:left="567" w:right="708"/>
        <w:rPr>
          <w:rFonts w:cs="Arial"/>
          <w:i/>
          <w:sz w:val="22"/>
        </w:rPr>
      </w:pPr>
      <w:r w:rsidRPr="0022282D">
        <w:rPr>
          <w:rFonts w:cs="Arial"/>
          <w:i/>
          <w:sz w:val="22"/>
        </w:rPr>
        <w:t>VII. Dar cuenta a la Unidad de Transparencia del vencimiento de los plazos de reserva.</w:t>
      </w:r>
    </w:p>
    <w:p w14:paraId="7C8E25BB" w14:textId="77777777" w:rsidR="00344178" w:rsidRPr="0022282D" w:rsidRDefault="00344178" w:rsidP="00344178">
      <w:pPr>
        <w:ind w:right="141"/>
        <w:rPr>
          <w:rFonts w:eastAsiaTheme="minorHAnsi" w:cs="Arial"/>
          <w:iCs/>
          <w:lang w:val="es-MX" w:eastAsia="en-US"/>
        </w:rPr>
      </w:pPr>
    </w:p>
    <w:p w14:paraId="744A82F9" w14:textId="77777777" w:rsidR="00344178" w:rsidRPr="0022282D" w:rsidRDefault="00344178" w:rsidP="00344178">
      <w:pPr>
        <w:ind w:right="141"/>
        <w:rPr>
          <w:rFonts w:cs="Arial"/>
          <w:lang w:val="es-ES"/>
        </w:rPr>
      </w:pPr>
      <w:r w:rsidRPr="0022282D">
        <w:rPr>
          <w:rFonts w:cs="Arial"/>
          <w:lang w:val="es-ES"/>
        </w:rPr>
        <w:lastRenderedPageBreak/>
        <w:t>Toda vez que únicamente se pronunció al respecto la Dirección de Medio Ambiente y Ecología, sin embargo derivado de la solicitud de información, se observa que la Secretaría del Ayuntamiento también podría contar con la información solicitada.</w:t>
      </w:r>
    </w:p>
    <w:p w14:paraId="698F7707" w14:textId="77777777" w:rsidR="00344178" w:rsidRPr="0022282D" w:rsidRDefault="00344178" w:rsidP="00344178">
      <w:pPr>
        <w:ind w:right="141"/>
        <w:rPr>
          <w:rFonts w:cs="Arial"/>
          <w:lang w:val="es-ES"/>
        </w:rPr>
      </w:pPr>
    </w:p>
    <w:p w14:paraId="3FD62906" w14:textId="77777777" w:rsidR="00344178" w:rsidRPr="0022282D" w:rsidRDefault="00344178" w:rsidP="00344178">
      <w:pPr>
        <w:ind w:right="141"/>
        <w:rPr>
          <w:rFonts w:cs="Arial"/>
          <w:lang w:val="es-ES"/>
        </w:rPr>
      </w:pPr>
      <w:r w:rsidRPr="0022282D">
        <w:rPr>
          <w:rFonts w:cs="Arial"/>
          <w:lang w:val="es-ES"/>
        </w:rPr>
        <w:t>Precisado lo anterior, es de señalar que el artículo 4, párrafo segundo de la Ley de Transparencia y Acceso a la Información Pública del Estado de México y Municipios, dispone:</w:t>
      </w:r>
    </w:p>
    <w:p w14:paraId="15F0B116" w14:textId="77777777" w:rsidR="00344178" w:rsidRPr="0022282D" w:rsidRDefault="00344178" w:rsidP="00344178">
      <w:pPr>
        <w:ind w:right="141"/>
        <w:rPr>
          <w:rFonts w:eastAsiaTheme="minorHAnsi" w:cs="Arial"/>
          <w:bCs/>
          <w:lang w:val="es-ES" w:eastAsia="en-US"/>
        </w:rPr>
      </w:pPr>
    </w:p>
    <w:p w14:paraId="4DC64DAB" w14:textId="77777777" w:rsidR="00344178" w:rsidRPr="0022282D" w:rsidRDefault="00344178" w:rsidP="00344178">
      <w:pPr>
        <w:ind w:left="567" w:right="616"/>
        <w:rPr>
          <w:rFonts w:cs="Arial"/>
          <w:i/>
          <w:sz w:val="22"/>
          <w:lang w:val="es-ES"/>
        </w:rPr>
      </w:pPr>
      <w:r w:rsidRPr="0022282D">
        <w:rPr>
          <w:rFonts w:cs="Arial"/>
          <w:i/>
          <w:sz w:val="22"/>
          <w:lang w:val="es-ES"/>
        </w:rPr>
        <w:t>“</w:t>
      </w:r>
      <w:r w:rsidRPr="0022282D">
        <w:rPr>
          <w:rFonts w:cs="Arial"/>
          <w:b/>
          <w:i/>
          <w:sz w:val="22"/>
          <w:lang w:val="es-ES"/>
        </w:rPr>
        <w:t xml:space="preserve">Artículo 4. </w:t>
      </w:r>
      <w:r w:rsidRPr="0022282D">
        <w:rPr>
          <w:rFonts w:cs="Arial"/>
          <w:i/>
          <w:sz w:val="22"/>
          <w:lang w:val="es-ES"/>
        </w:rPr>
        <w:t xml:space="preserve">… </w:t>
      </w:r>
    </w:p>
    <w:p w14:paraId="4B9E6732" w14:textId="77777777" w:rsidR="00344178" w:rsidRPr="0022282D" w:rsidRDefault="00344178" w:rsidP="00344178">
      <w:pPr>
        <w:ind w:left="567" w:right="616"/>
        <w:rPr>
          <w:rFonts w:cs="Arial"/>
          <w:i/>
          <w:sz w:val="22"/>
          <w:lang w:val="es-ES"/>
        </w:rPr>
      </w:pPr>
      <w:r w:rsidRPr="0022282D">
        <w:rPr>
          <w:rFonts w:cs="Arial"/>
          <w:i/>
          <w:sz w:val="22"/>
          <w:lang w:val="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E9CD59" w14:textId="77777777" w:rsidR="00344178" w:rsidRPr="0022282D" w:rsidRDefault="00344178" w:rsidP="00344178">
      <w:pPr>
        <w:tabs>
          <w:tab w:val="left" w:pos="709"/>
        </w:tabs>
        <w:contextualSpacing/>
        <w:rPr>
          <w:rFonts w:cs="Arial"/>
          <w:lang w:val="es-ES"/>
        </w:rPr>
      </w:pPr>
    </w:p>
    <w:p w14:paraId="22777D31" w14:textId="77777777" w:rsidR="00344178" w:rsidRPr="0022282D" w:rsidRDefault="00344178" w:rsidP="00344178">
      <w:pPr>
        <w:tabs>
          <w:tab w:val="left" w:pos="709"/>
        </w:tabs>
        <w:contextualSpacing/>
        <w:rPr>
          <w:rFonts w:cs="Arial"/>
          <w:lang w:val="es-ES"/>
        </w:rPr>
      </w:pPr>
      <w:r w:rsidRPr="0022282D">
        <w:rPr>
          <w:rFonts w:cs="Arial"/>
          <w:lang w:val="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D0A7A92" w14:textId="77777777" w:rsidR="00344178" w:rsidRPr="0022282D" w:rsidRDefault="00344178" w:rsidP="00344178">
      <w:pPr>
        <w:tabs>
          <w:tab w:val="left" w:pos="709"/>
        </w:tabs>
        <w:contextualSpacing/>
        <w:rPr>
          <w:rFonts w:cs="Arial"/>
          <w:lang w:val="es-ES"/>
        </w:rPr>
      </w:pPr>
    </w:p>
    <w:p w14:paraId="760D0E99" w14:textId="77777777" w:rsidR="00344178" w:rsidRPr="0022282D" w:rsidRDefault="00344178" w:rsidP="00344178">
      <w:pPr>
        <w:tabs>
          <w:tab w:val="left" w:pos="709"/>
        </w:tabs>
        <w:contextualSpacing/>
        <w:rPr>
          <w:rFonts w:cs="Arial"/>
          <w:lang w:val="es-ES"/>
        </w:rPr>
      </w:pPr>
      <w:r w:rsidRPr="0022282D">
        <w:rPr>
          <w:rFonts w:cs="Arial"/>
          <w:lang w:val="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22282D">
        <w:rPr>
          <w:rFonts w:cs="Arial"/>
          <w:lang w:val="es-ES"/>
        </w:rPr>
        <w:lastRenderedPageBreak/>
        <w:t xml:space="preserve">archivos, en el estado en el que se encuentre, sin la obligación de generarla, resumirla, efectuar cálculos o practicar investigaciones; tal y como se señala a continuación: </w:t>
      </w:r>
    </w:p>
    <w:p w14:paraId="6DF6026F" w14:textId="77777777" w:rsidR="00344178" w:rsidRPr="0022282D" w:rsidRDefault="00344178" w:rsidP="00344178">
      <w:pPr>
        <w:ind w:left="567" w:right="567"/>
        <w:rPr>
          <w:i/>
          <w:sz w:val="16"/>
          <w:lang w:eastAsia="es-ES"/>
        </w:rPr>
      </w:pPr>
    </w:p>
    <w:p w14:paraId="11C84A19" w14:textId="77777777" w:rsidR="00344178" w:rsidRPr="0022282D" w:rsidRDefault="00344178" w:rsidP="00344178">
      <w:pPr>
        <w:ind w:left="567" w:right="616"/>
        <w:rPr>
          <w:rFonts w:cs="Arial"/>
          <w:i/>
          <w:sz w:val="22"/>
          <w:lang w:val="es-ES"/>
        </w:rPr>
      </w:pPr>
      <w:r w:rsidRPr="0022282D">
        <w:rPr>
          <w:rFonts w:cs="Arial"/>
          <w:i/>
          <w:sz w:val="22"/>
          <w:lang w:val="es-ES"/>
        </w:rPr>
        <w:t>“</w:t>
      </w:r>
      <w:r w:rsidRPr="0022282D">
        <w:rPr>
          <w:rFonts w:cs="Arial"/>
          <w:b/>
          <w:i/>
          <w:sz w:val="22"/>
          <w:lang w:val="es-ES"/>
        </w:rPr>
        <w:t>Artículo 12.</w:t>
      </w:r>
      <w:r w:rsidRPr="0022282D">
        <w:rPr>
          <w:rFonts w:cs="Arial"/>
          <w:i/>
          <w:sz w:val="22"/>
          <w:lang w:val="es-ES"/>
        </w:rPr>
        <w:t xml:space="preserve"> Quienes generen, recopilen, administren, manejen, procesen, archiven o conserven información pública serán responsables de la misma en los términos de las disposiciones jurídicas aplicables. </w:t>
      </w:r>
    </w:p>
    <w:p w14:paraId="4BCF589A" w14:textId="77777777" w:rsidR="00344178" w:rsidRPr="0022282D" w:rsidRDefault="00344178" w:rsidP="00344178">
      <w:pPr>
        <w:ind w:left="567" w:right="616"/>
        <w:rPr>
          <w:rFonts w:cs="Arial"/>
          <w:i/>
          <w:sz w:val="22"/>
          <w:lang w:val="es-ES"/>
        </w:rPr>
      </w:pPr>
    </w:p>
    <w:p w14:paraId="6C86FCA3" w14:textId="77777777" w:rsidR="00344178" w:rsidRPr="0022282D" w:rsidRDefault="00344178" w:rsidP="00344178">
      <w:pPr>
        <w:ind w:left="567" w:right="616"/>
        <w:rPr>
          <w:rFonts w:cs="Arial"/>
          <w:i/>
          <w:sz w:val="22"/>
          <w:lang w:val="es-ES"/>
        </w:rPr>
      </w:pPr>
      <w:r w:rsidRPr="0022282D">
        <w:rPr>
          <w:rFonts w:cs="Arial"/>
          <w:i/>
          <w:sz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96DA40" w14:textId="77777777" w:rsidR="00344178" w:rsidRPr="0022282D" w:rsidRDefault="00344178" w:rsidP="00344178">
      <w:pPr>
        <w:tabs>
          <w:tab w:val="left" w:pos="709"/>
        </w:tabs>
        <w:contextualSpacing/>
        <w:rPr>
          <w:rFonts w:cs="Arial"/>
          <w:lang w:val="es-ES"/>
        </w:rPr>
      </w:pPr>
    </w:p>
    <w:p w14:paraId="633F856A" w14:textId="77777777" w:rsidR="00344178" w:rsidRPr="0022282D" w:rsidRDefault="00344178" w:rsidP="00344178">
      <w:pPr>
        <w:tabs>
          <w:tab w:val="left" w:pos="709"/>
        </w:tabs>
        <w:contextualSpacing/>
        <w:rPr>
          <w:rFonts w:cs="Arial"/>
          <w:lang w:val="es-ES"/>
        </w:rPr>
      </w:pPr>
      <w:r w:rsidRPr="0022282D">
        <w:rPr>
          <w:rFonts w:cs="Arial"/>
          <w:lang w:val="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EE2E3E" w14:textId="77777777" w:rsidR="00344178" w:rsidRPr="0022282D" w:rsidRDefault="00344178" w:rsidP="00344178">
      <w:pPr>
        <w:tabs>
          <w:tab w:val="left" w:pos="709"/>
        </w:tabs>
        <w:contextualSpacing/>
        <w:rPr>
          <w:rFonts w:cs="Arial"/>
          <w:lang w:val="es-ES"/>
        </w:rPr>
      </w:pPr>
    </w:p>
    <w:p w14:paraId="4A70C83B" w14:textId="77777777" w:rsidR="00344178" w:rsidRPr="0022282D" w:rsidRDefault="00344178" w:rsidP="00344178">
      <w:pPr>
        <w:tabs>
          <w:tab w:val="left" w:pos="709"/>
        </w:tabs>
        <w:contextualSpacing/>
        <w:rPr>
          <w:rFonts w:cs="Arial"/>
          <w:lang w:val="es-ES"/>
        </w:rPr>
      </w:pPr>
      <w:r w:rsidRPr="0022282D">
        <w:rPr>
          <w:rFonts w:cs="Arial"/>
          <w:lang w:val="es-ES"/>
        </w:rPr>
        <w:t xml:space="preserve">En esta misma tesitura, el derecho de acceso a la información pública, consiste en que la información solicitada conste en un soporte documental en cualquiera de sus formas, a saber: </w:t>
      </w:r>
      <w:r w:rsidRPr="0022282D">
        <w:rPr>
          <w:rFonts w:cs="Arial"/>
          <w:b/>
          <w:u w:val="single"/>
          <w:lang w:val="es-ES"/>
        </w:rPr>
        <w:t xml:space="preserve">expedientes, reportes, estudios, actas, resoluciones, oficios, correspondencia, acuerdos, directivas, directrices, circulares, contratos, convenios, instructivos, notas, </w:t>
      </w:r>
      <w:r w:rsidRPr="0022282D">
        <w:rPr>
          <w:rFonts w:cs="Arial"/>
          <w:b/>
          <w:u w:val="single"/>
          <w:lang w:val="es-ES"/>
        </w:rPr>
        <w:lastRenderedPageBreak/>
        <w:t>memorandos, estadísticas o bien, cualquier otro registro que documente el ejercicio de las facultades, funciones y competencias</w:t>
      </w:r>
      <w:r w:rsidRPr="0022282D">
        <w:rPr>
          <w:rFonts w:cs="Arial"/>
          <w:lang w:val="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3BE52C1" w14:textId="77777777" w:rsidR="00344178" w:rsidRPr="0022282D" w:rsidRDefault="00344178" w:rsidP="00344178">
      <w:pPr>
        <w:ind w:left="567" w:right="567"/>
        <w:rPr>
          <w:i/>
          <w:sz w:val="22"/>
          <w:lang w:eastAsia="es-ES"/>
        </w:rPr>
      </w:pPr>
    </w:p>
    <w:p w14:paraId="17798F5B" w14:textId="77777777" w:rsidR="00344178" w:rsidRPr="0022282D" w:rsidRDefault="00344178" w:rsidP="00344178">
      <w:pPr>
        <w:ind w:left="567" w:right="616"/>
        <w:rPr>
          <w:rFonts w:cs="Arial"/>
          <w:i/>
          <w:sz w:val="22"/>
          <w:lang w:val="es-ES"/>
        </w:rPr>
      </w:pPr>
      <w:r w:rsidRPr="0022282D">
        <w:rPr>
          <w:rFonts w:cs="Arial"/>
          <w:i/>
          <w:sz w:val="22"/>
          <w:lang w:val="es-ES"/>
        </w:rPr>
        <w:t>“</w:t>
      </w:r>
      <w:r w:rsidRPr="0022282D">
        <w:rPr>
          <w:rFonts w:cs="Arial"/>
          <w:b/>
          <w:i/>
          <w:sz w:val="22"/>
          <w:lang w:val="es-ES"/>
        </w:rPr>
        <w:t xml:space="preserve">Artículo 3. </w:t>
      </w:r>
      <w:r w:rsidRPr="0022282D">
        <w:rPr>
          <w:rFonts w:cs="Arial"/>
          <w:i/>
          <w:sz w:val="22"/>
          <w:lang w:val="es-ES"/>
        </w:rPr>
        <w:t>Para los efectos de la presente Ley se entenderá por:</w:t>
      </w:r>
    </w:p>
    <w:p w14:paraId="2D7D5659" w14:textId="77777777" w:rsidR="00344178" w:rsidRPr="0022282D" w:rsidRDefault="00344178" w:rsidP="00344178">
      <w:pPr>
        <w:ind w:left="567" w:right="616"/>
        <w:rPr>
          <w:rFonts w:cs="Arial"/>
          <w:i/>
          <w:sz w:val="22"/>
          <w:lang w:val="es-ES"/>
        </w:rPr>
      </w:pPr>
      <w:r w:rsidRPr="0022282D">
        <w:rPr>
          <w:rFonts w:cs="Arial"/>
          <w:i/>
          <w:sz w:val="22"/>
          <w:lang w:val="es-ES"/>
        </w:rPr>
        <w:t>(…)</w:t>
      </w:r>
    </w:p>
    <w:p w14:paraId="3C666854" w14:textId="77777777" w:rsidR="00344178" w:rsidRPr="0022282D" w:rsidRDefault="00344178" w:rsidP="00344178">
      <w:pPr>
        <w:ind w:left="567" w:right="616"/>
        <w:rPr>
          <w:rFonts w:cs="Arial"/>
          <w:i/>
          <w:sz w:val="22"/>
          <w:lang w:val="es-ES"/>
        </w:rPr>
      </w:pPr>
      <w:r w:rsidRPr="0022282D">
        <w:rPr>
          <w:rFonts w:cs="Arial"/>
          <w:b/>
          <w:i/>
          <w:sz w:val="22"/>
          <w:lang w:val="es-ES"/>
        </w:rPr>
        <w:t>XI. Documento:</w:t>
      </w:r>
      <w:r w:rsidRPr="0022282D">
        <w:rPr>
          <w:rFonts w:cs="Arial"/>
          <w:i/>
          <w:sz w:val="22"/>
          <w:lang w:val="es-ES"/>
        </w:rPr>
        <w:t xml:space="preserve"> Los expedientes, reportes, estudios, actas, resoluciones, oficios, correspondencia, acuerdos, directivas, directrices, circulares, contratos, convenios, instructivos, notas, memorandos, estadísticas o bien, cualquier otro </w:t>
      </w:r>
      <w:r w:rsidRPr="0022282D">
        <w:rPr>
          <w:rFonts w:cs="Arial"/>
          <w:b/>
          <w:i/>
          <w:sz w:val="22"/>
          <w:u w:val="single"/>
          <w:lang w:val="es-ES"/>
        </w:rPr>
        <w:t>registro que documente el ejercicio de las facultades, funciones y competencias de los sujetos obligados</w:t>
      </w:r>
      <w:r w:rsidRPr="0022282D">
        <w:rPr>
          <w:rFonts w:cs="Arial"/>
          <w:i/>
          <w:sz w:val="22"/>
          <w:u w:val="single"/>
          <w:lang w:val="es-ES"/>
        </w:rPr>
        <w:t>,</w:t>
      </w:r>
      <w:r w:rsidRPr="0022282D">
        <w:rPr>
          <w:rFonts w:cs="Arial"/>
          <w:i/>
          <w:sz w:val="22"/>
          <w:lang w:val="es-ES"/>
        </w:rPr>
        <w:t xml:space="preserve"> sus servidores públicos e integrantes, </w:t>
      </w:r>
      <w:r w:rsidRPr="0022282D">
        <w:rPr>
          <w:rFonts w:cs="Arial"/>
          <w:b/>
          <w:i/>
          <w:sz w:val="22"/>
          <w:u w:val="single"/>
          <w:lang w:val="es-ES"/>
        </w:rPr>
        <w:t>sin importar su fuente o fecha de elaboración.</w:t>
      </w:r>
      <w:r w:rsidRPr="0022282D">
        <w:rPr>
          <w:rFonts w:cs="Arial"/>
          <w:i/>
          <w:sz w:val="22"/>
          <w:lang w:val="es-ES"/>
        </w:rPr>
        <w:t xml:space="preserve"> Los documentos podrán estar en cualquier medio, sea escrito, impreso, sonoro, visual, electrónico, informático u holográfico;</w:t>
      </w:r>
    </w:p>
    <w:p w14:paraId="3FBD29BE" w14:textId="77777777" w:rsidR="00344178" w:rsidRPr="0022282D" w:rsidRDefault="00344178" w:rsidP="00344178">
      <w:pPr>
        <w:ind w:left="567" w:right="616"/>
        <w:rPr>
          <w:rFonts w:cs="Arial"/>
          <w:i/>
          <w:sz w:val="22"/>
          <w:lang w:val="es-ES"/>
        </w:rPr>
      </w:pPr>
      <w:r w:rsidRPr="0022282D">
        <w:rPr>
          <w:rFonts w:cs="Arial"/>
          <w:i/>
          <w:sz w:val="22"/>
          <w:lang w:val="es-ES"/>
        </w:rPr>
        <w:t>(…)”</w:t>
      </w:r>
    </w:p>
    <w:p w14:paraId="56F745F3" w14:textId="77777777" w:rsidR="00344178" w:rsidRPr="0022282D" w:rsidRDefault="00344178" w:rsidP="00344178">
      <w:pPr>
        <w:rPr>
          <w:lang w:val="es-ES"/>
        </w:rPr>
      </w:pPr>
    </w:p>
    <w:p w14:paraId="674352A4" w14:textId="77777777" w:rsidR="00344178" w:rsidRPr="0022282D" w:rsidRDefault="00344178" w:rsidP="00344178">
      <w:pPr>
        <w:ind w:right="49"/>
        <w:contextualSpacing/>
        <w:rPr>
          <w:rFonts w:cs="Arial"/>
          <w:lang w:val="es-ES"/>
        </w:rPr>
      </w:pPr>
      <w:r w:rsidRPr="0022282D">
        <w:rPr>
          <w:rFonts w:cs="Arial"/>
          <w:lang w:val="es-ES"/>
        </w:rPr>
        <w:t xml:space="preserve">Además, </w:t>
      </w:r>
      <w:r w:rsidRPr="0022282D">
        <w:rPr>
          <w:rFonts w:eastAsia="MS Mincho"/>
          <w:lang w:val="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w:t>
      </w:r>
      <w:r w:rsidRPr="0022282D">
        <w:rPr>
          <w:rFonts w:eastAsia="MS Mincho"/>
          <w:lang w:val="es-ES"/>
        </w:rPr>
        <w:lastRenderedPageBreak/>
        <w:t>o procesamiento, no presentarla conforme a los interés de los particulares, como de igual forma los Sujeto Obligados no deberán de generar, resumir o efectuar cálculos o practicar investigaciones.</w:t>
      </w:r>
    </w:p>
    <w:p w14:paraId="1CC655D7" w14:textId="77777777" w:rsidR="00344178" w:rsidRPr="0022282D" w:rsidRDefault="00344178" w:rsidP="00344178">
      <w:pPr>
        <w:ind w:left="851" w:right="616"/>
        <w:contextualSpacing/>
        <w:rPr>
          <w:rFonts w:cs="Arial"/>
          <w:i/>
          <w:lang w:val="es-ES" w:eastAsia="gl-ES"/>
        </w:rPr>
      </w:pPr>
    </w:p>
    <w:p w14:paraId="7FD7E108" w14:textId="77777777" w:rsidR="00344178" w:rsidRPr="0022282D" w:rsidRDefault="00344178" w:rsidP="00344178">
      <w:pPr>
        <w:contextualSpacing/>
        <w:rPr>
          <w:rFonts w:cs="Arial"/>
          <w:lang w:val="es-ES"/>
        </w:rPr>
      </w:pPr>
      <w:r w:rsidRPr="0022282D">
        <w:rPr>
          <w:rFonts w:cs="Arial"/>
          <w:bCs/>
          <w:lang w:val="es-ES"/>
        </w:rPr>
        <w:t xml:space="preserve">Además, </w:t>
      </w:r>
      <w:r w:rsidRPr="0022282D">
        <w:rPr>
          <w:rFonts w:cs="Arial"/>
          <w:lang w:val="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7E0FE7F" w14:textId="77777777" w:rsidR="00344178" w:rsidRPr="0022282D" w:rsidRDefault="00344178" w:rsidP="00344178">
      <w:pPr>
        <w:contextualSpacing/>
        <w:rPr>
          <w:rFonts w:cs="Arial"/>
          <w:lang w:val="es-ES"/>
        </w:rPr>
      </w:pPr>
    </w:p>
    <w:p w14:paraId="2D901B17" w14:textId="77777777" w:rsidR="00344178" w:rsidRPr="0022282D" w:rsidRDefault="00344178" w:rsidP="00344178">
      <w:pPr>
        <w:ind w:left="567" w:right="616"/>
        <w:contextualSpacing/>
        <w:rPr>
          <w:rFonts w:cs="Arial"/>
          <w:i/>
          <w:sz w:val="22"/>
          <w:lang w:val="es-ES"/>
        </w:rPr>
      </w:pPr>
      <w:r w:rsidRPr="0022282D">
        <w:rPr>
          <w:rFonts w:cs="Arial"/>
          <w:b/>
          <w:i/>
          <w:sz w:val="22"/>
          <w:lang w:val="es-ES"/>
        </w:rPr>
        <w:t>Artículo 23.</w:t>
      </w:r>
      <w:r w:rsidRPr="0022282D">
        <w:rPr>
          <w:rFonts w:cs="Arial"/>
          <w:i/>
          <w:sz w:val="22"/>
          <w:lang w:val="es-ES"/>
        </w:rPr>
        <w:t xml:space="preserve"> Son sujetos obligados a transparentar y permitir el acceso a su información y proteger los datos personales que obren en su poder:</w:t>
      </w:r>
    </w:p>
    <w:p w14:paraId="0C6C09BD" w14:textId="77777777" w:rsidR="00344178" w:rsidRPr="0022282D" w:rsidRDefault="00344178" w:rsidP="00344178">
      <w:pPr>
        <w:ind w:left="567" w:right="616"/>
        <w:contextualSpacing/>
        <w:rPr>
          <w:rFonts w:cs="Arial"/>
          <w:i/>
          <w:sz w:val="22"/>
          <w:lang w:val="es-ES"/>
        </w:rPr>
      </w:pPr>
      <w:r w:rsidRPr="0022282D">
        <w:rPr>
          <w:rFonts w:cs="Arial"/>
          <w:i/>
          <w:sz w:val="22"/>
          <w:lang w:val="es-ES"/>
        </w:rPr>
        <w:t>(…)</w:t>
      </w:r>
    </w:p>
    <w:p w14:paraId="27BE5CF8" w14:textId="77777777" w:rsidR="00344178" w:rsidRPr="0022282D" w:rsidRDefault="00344178" w:rsidP="00344178">
      <w:pPr>
        <w:ind w:left="567" w:right="616"/>
        <w:contextualSpacing/>
        <w:rPr>
          <w:rFonts w:eastAsiaTheme="minorHAnsi" w:cs="Bookman Old Style"/>
          <w:b/>
          <w:bCs/>
          <w:i/>
          <w:color w:val="000000"/>
          <w:sz w:val="22"/>
          <w:szCs w:val="20"/>
          <w:lang w:val="es-ES" w:eastAsia="en-US"/>
        </w:rPr>
      </w:pPr>
      <w:r w:rsidRPr="0022282D">
        <w:rPr>
          <w:rFonts w:eastAsiaTheme="minorHAnsi" w:cs="Bookman Old Style"/>
          <w:b/>
          <w:bCs/>
          <w:i/>
          <w:color w:val="000000"/>
          <w:sz w:val="22"/>
          <w:szCs w:val="20"/>
          <w:lang w:val="es-ES" w:eastAsia="en-US"/>
        </w:rPr>
        <w:t xml:space="preserve">IV. </w:t>
      </w:r>
      <w:r w:rsidRPr="0022282D">
        <w:rPr>
          <w:rFonts w:eastAsiaTheme="minorHAnsi" w:cs="Bookman Old Style"/>
          <w:i/>
          <w:color w:val="000000"/>
          <w:sz w:val="22"/>
          <w:szCs w:val="20"/>
          <w:lang w:val="es-ES" w:eastAsia="en-US"/>
        </w:rPr>
        <w:t xml:space="preserve">Los ayuntamientos y las dependencias, organismos, órganos y entidades de la administración municipal; </w:t>
      </w:r>
    </w:p>
    <w:p w14:paraId="4D01709B" w14:textId="77777777" w:rsidR="00344178" w:rsidRPr="0022282D" w:rsidRDefault="00344178" w:rsidP="00344178">
      <w:pPr>
        <w:rPr>
          <w:rFonts w:cs="Arial"/>
        </w:rPr>
      </w:pPr>
    </w:p>
    <w:p w14:paraId="4B49D455" w14:textId="77777777" w:rsidR="00344178" w:rsidRPr="0022282D" w:rsidRDefault="00344178" w:rsidP="00344178">
      <w:pPr>
        <w:rPr>
          <w:rFonts w:eastAsiaTheme="minorHAnsi" w:cs="Arial"/>
          <w:lang w:val="es-MX" w:eastAsia="en-US"/>
        </w:rPr>
      </w:pPr>
      <w:r w:rsidRPr="0022282D">
        <w:rPr>
          <w:rFonts w:eastAsiaTheme="minorHAnsi" w:cs="Arial"/>
          <w:lang w:val="es-MX" w:eastAsia="en-US"/>
        </w:rPr>
        <w:t>Derivado de lo anterior, es necesario traer a colación lo establecido en el Bando Municipal del H. Ayuntamiento, así como en la Ley Orgánica Municipal del Estado de México, porciones normativas que a la letra señalan lo siguiente:</w:t>
      </w:r>
    </w:p>
    <w:p w14:paraId="6A639B8A" w14:textId="77777777" w:rsidR="00344178" w:rsidRPr="0022282D" w:rsidRDefault="00344178" w:rsidP="00344178">
      <w:pPr>
        <w:rPr>
          <w:rFonts w:eastAsiaTheme="minorHAnsi" w:cs="Arial"/>
          <w:lang w:val="es-MX" w:eastAsia="en-US"/>
        </w:rPr>
      </w:pPr>
    </w:p>
    <w:p w14:paraId="0A52F519" w14:textId="77777777" w:rsidR="00344178" w:rsidRPr="0022282D" w:rsidRDefault="00344178" w:rsidP="00344178">
      <w:pPr>
        <w:ind w:left="567" w:right="567"/>
        <w:jc w:val="center"/>
        <w:rPr>
          <w:rFonts w:eastAsiaTheme="minorHAnsi" w:cs="Arial"/>
          <w:b/>
          <w:i/>
          <w:lang w:val="es-MX" w:eastAsia="en-US"/>
        </w:rPr>
      </w:pPr>
      <w:r w:rsidRPr="0022282D">
        <w:rPr>
          <w:rFonts w:eastAsiaTheme="minorHAnsi" w:cs="Arial"/>
          <w:i/>
          <w:lang w:val="es-MX" w:eastAsia="en-US"/>
        </w:rPr>
        <w:t>“</w:t>
      </w:r>
      <w:r w:rsidRPr="0022282D">
        <w:rPr>
          <w:rFonts w:eastAsiaTheme="minorHAnsi" w:cs="Arial"/>
          <w:b/>
          <w:i/>
          <w:lang w:val="es-MX" w:eastAsia="en-US"/>
        </w:rPr>
        <w:t>TÍTULO DÉCIMO</w:t>
      </w:r>
    </w:p>
    <w:p w14:paraId="2B916C24" w14:textId="77777777" w:rsidR="00344178" w:rsidRPr="0022282D" w:rsidRDefault="00344178" w:rsidP="00344178">
      <w:pPr>
        <w:ind w:left="567" w:right="567"/>
        <w:jc w:val="center"/>
        <w:rPr>
          <w:rFonts w:eastAsiaTheme="minorHAnsi" w:cs="Arial"/>
          <w:b/>
          <w:i/>
          <w:lang w:val="es-MX" w:eastAsia="en-US"/>
        </w:rPr>
      </w:pPr>
      <w:r w:rsidRPr="0022282D">
        <w:rPr>
          <w:rFonts w:eastAsiaTheme="minorHAnsi" w:cs="Arial"/>
          <w:b/>
          <w:i/>
          <w:lang w:val="es-MX" w:eastAsia="en-US"/>
        </w:rPr>
        <w:t>De las Dependencias de la Administración Pública Municipal</w:t>
      </w:r>
    </w:p>
    <w:p w14:paraId="04EE736E" w14:textId="77777777" w:rsidR="00344178" w:rsidRPr="0022282D" w:rsidRDefault="00344178" w:rsidP="00344178">
      <w:pPr>
        <w:ind w:left="567" w:right="567"/>
        <w:jc w:val="center"/>
        <w:rPr>
          <w:rFonts w:eastAsiaTheme="minorHAnsi" w:cs="Arial"/>
          <w:b/>
          <w:i/>
          <w:lang w:val="es-MX" w:eastAsia="en-US"/>
        </w:rPr>
      </w:pPr>
      <w:r w:rsidRPr="0022282D">
        <w:rPr>
          <w:rFonts w:eastAsiaTheme="minorHAnsi" w:cs="Arial"/>
          <w:b/>
          <w:i/>
          <w:lang w:val="es-MX" w:eastAsia="en-US"/>
        </w:rPr>
        <w:t>CAPÍTULO I</w:t>
      </w:r>
    </w:p>
    <w:p w14:paraId="4ACEE7FA" w14:textId="77777777" w:rsidR="00344178" w:rsidRPr="0022282D" w:rsidRDefault="00344178" w:rsidP="00344178">
      <w:pPr>
        <w:ind w:left="567" w:right="567"/>
        <w:jc w:val="center"/>
        <w:rPr>
          <w:rFonts w:eastAsiaTheme="minorHAnsi" w:cs="Arial"/>
          <w:b/>
          <w:i/>
          <w:lang w:val="es-MX" w:eastAsia="en-US"/>
        </w:rPr>
      </w:pPr>
      <w:r w:rsidRPr="0022282D">
        <w:rPr>
          <w:rFonts w:eastAsiaTheme="minorHAnsi" w:cs="Arial"/>
          <w:b/>
          <w:i/>
          <w:lang w:val="es-MX" w:eastAsia="en-US"/>
        </w:rPr>
        <w:t>Disposiciones Generales</w:t>
      </w:r>
    </w:p>
    <w:p w14:paraId="7EA63151" w14:textId="77777777" w:rsidR="00344178" w:rsidRPr="0022282D" w:rsidRDefault="00344178" w:rsidP="00344178">
      <w:pPr>
        <w:ind w:left="567" w:right="567"/>
        <w:rPr>
          <w:rFonts w:eastAsiaTheme="minorHAnsi" w:cs="Arial"/>
          <w:i/>
          <w:lang w:val="es-MX" w:eastAsia="en-US"/>
        </w:rPr>
      </w:pPr>
      <w:r w:rsidRPr="0022282D">
        <w:rPr>
          <w:rFonts w:eastAsiaTheme="minorHAnsi" w:cs="Arial"/>
          <w:b/>
          <w:i/>
          <w:lang w:val="es-MX" w:eastAsia="en-US"/>
        </w:rPr>
        <w:lastRenderedPageBreak/>
        <w:t>Artículo 44.</w:t>
      </w:r>
      <w:r w:rsidRPr="0022282D">
        <w:rPr>
          <w:rFonts w:eastAsiaTheme="minorHAnsi" w:cs="Arial"/>
          <w:i/>
          <w:lang w:val="es-MX" w:eastAsia="en-US"/>
        </w:rPr>
        <w:t xml:space="preserve"> Para el ejercicio de sus atribuciones, tanto el H. Ayuntamiento como la Presidenta Municipal, se auxiliarán de las siguientes dependencias que estarán subordinadas a esta última:</w:t>
      </w:r>
    </w:p>
    <w:p w14:paraId="48BEE5EA"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 Secretaría del Ayuntamiento;</w:t>
      </w:r>
    </w:p>
    <w:p w14:paraId="5E8714A7"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II. Tesorería Municipal;</w:t>
      </w:r>
    </w:p>
    <w:p w14:paraId="7F3031EA"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III. Contraloría Municipal;</w:t>
      </w:r>
    </w:p>
    <w:p w14:paraId="76F7E9BF"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IV. Las Direcciones de:</w:t>
      </w:r>
    </w:p>
    <w:p w14:paraId="1FCF3B73"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a. Administración;</w:t>
      </w:r>
    </w:p>
    <w:p w14:paraId="6C287661"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b. Bienestar;</w:t>
      </w:r>
    </w:p>
    <w:p w14:paraId="67524BA4"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c. Comunicación Social;</w:t>
      </w:r>
    </w:p>
    <w:p w14:paraId="5B2CBBB4"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d. Desarrollo Económico;</w:t>
      </w:r>
    </w:p>
    <w:p w14:paraId="5E29BC29"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e. Desarrollo Urbano;</w:t>
      </w:r>
    </w:p>
    <w:p w14:paraId="02244D96" w14:textId="77777777" w:rsidR="00344178" w:rsidRPr="0022282D" w:rsidRDefault="00344178" w:rsidP="00344178">
      <w:pPr>
        <w:ind w:left="567" w:right="567"/>
        <w:rPr>
          <w:rFonts w:eastAsiaTheme="minorHAnsi" w:cs="Arial"/>
          <w:b/>
          <w:i/>
          <w:u w:val="single"/>
          <w:lang w:val="es-MX" w:eastAsia="en-US"/>
        </w:rPr>
      </w:pPr>
      <w:r w:rsidRPr="0022282D">
        <w:rPr>
          <w:rFonts w:eastAsiaTheme="minorHAnsi" w:cs="Arial"/>
          <w:b/>
          <w:i/>
          <w:u w:val="single"/>
          <w:lang w:val="es-MX" w:eastAsia="en-US"/>
        </w:rPr>
        <w:t>f. Medio Ambiente y Ecología;</w:t>
      </w:r>
    </w:p>
    <w:p w14:paraId="45C11B0E"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g. Obras Públicas;</w:t>
      </w:r>
    </w:p>
    <w:p w14:paraId="1C37BE55"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h. Diversidad Sexual;</w:t>
      </w:r>
    </w:p>
    <w:p w14:paraId="218D8FFB"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 Educación;</w:t>
      </w:r>
    </w:p>
    <w:p w14:paraId="4ED96680"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j. Gobierno;</w:t>
      </w:r>
    </w:p>
    <w:p w14:paraId="053E1FEF"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k. Instituto Municipal de las Mujeres e Igualdad de Género;</w:t>
      </w:r>
    </w:p>
    <w:p w14:paraId="3B5BC8B9"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l. Consejería Jurídica;</w:t>
      </w:r>
    </w:p>
    <w:p w14:paraId="4B304430"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m. Mercados, Tianguis y Vía Pública;</w:t>
      </w:r>
    </w:p>
    <w:p w14:paraId="15B4BD42" w14:textId="77777777" w:rsidR="00344178" w:rsidRPr="0022282D" w:rsidRDefault="00344178" w:rsidP="00344178">
      <w:pPr>
        <w:ind w:left="567" w:right="567"/>
        <w:rPr>
          <w:rFonts w:eastAsiaTheme="minorHAnsi" w:cs="Arial"/>
          <w:i/>
          <w:lang w:val="es-MX" w:eastAsia="en-US"/>
        </w:rPr>
      </w:pPr>
      <w:proofErr w:type="gramStart"/>
      <w:r w:rsidRPr="0022282D">
        <w:rPr>
          <w:rFonts w:eastAsiaTheme="minorHAnsi" w:cs="Arial"/>
          <w:i/>
          <w:lang w:val="es-MX" w:eastAsia="en-US"/>
        </w:rPr>
        <w:t>n</w:t>
      </w:r>
      <w:proofErr w:type="gramEnd"/>
      <w:r w:rsidRPr="0022282D">
        <w:rPr>
          <w:rFonts w:eastAsiaTheme="minorHAnsi" w:cs="Arial"/>
          <w:i/>
          <w:lang w:val="es-MX" w:eastAsia="en-US"/>
        </w:rPr>
        <w:t>. Movilidad Urbana;</w:t>
      </w:r>
    </w:p>
    <w:p w14:paraId="51CD3BF5"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o. Protección Civil y Bomberos;</w:t>
      </w:r>
    </w:p>
    <w:p w14:paraId="4981FB92"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p. Servicios Públicos;</w:t>
      </w:r>
    </w:p>
    <w:p w14:paraId="1A9CFA84"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q. General de Seguridad Ciudadana y Tránsito Municipal; y</w:t>
      </w:r>
    </w:p>
    <w:p w14:paraId="134351B4"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lastRenderedPageBreak/>
        <w:t>r. Salud.</w:t>
      </w:r>
    </w:p>
    <w:p w14:paraId="18A21F44"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w:t>
      </w:r>
    </w:p>
    <w:p w14:paraId="40913628" w14:textId="1E49101A" w:rsidR="00344178" w:rsidRPr="0022282D" w:rsidRDefault="00344178" w:rsidP="00344178">
      <w:pPr>
        <w:ind w:left="567" w:right="567"/>
        <w:rPr>
          <w:rFonts w:eastAsiaTheme="minorHAnsi" w:cs="Arial"/>
          <w:i/>
          <w:lang w:val="es-MX" w:eastAsia="en-US"/>
        </w:rPr>
      </w:pPr>
    </w:p>
    <w:p w14:paraId="1DD77F5D" w14:textId="77777777" w:rsidR="00344178" w:rsidRPr="0022282D" w:rsidRDefault="00344178" w:rsidP="00344178">
      <w:pPr>
        <w:ind w:left="567" w:right="567"/>
        <w:rPr>
          <w:rFonts w:eastAsiaTheme="minorHAnsi" w:cs="Arial"/>
          <w:i/>
          <w:lang w:val="es-MX" w:eastAsia="en-US"/>
        </w:rPr>
      </w:pPr>
      <w:r w:rsidRPr="0022282D">
        <w:rPr>
          <w:rFonts w:eastAsiaTheme="minorHAnsi" w:cs="Arial"/>
          <w:b/>
          <w:i/>
          <w:lang w:val="es-MX" w:eastAsia="en-US"/>
        </w:rPr>
        <w:t>Artículo 60.</w:t>
      </w:r>
      <w:r w:rsidRPr="0022282D">
        <w:rPr>
          <w:rFonts w:eastAsiaTheme="minorHAnsi" w:cs="Arial"/>
          <w:i/>
          <w:lang w:val="es-MX" w:eastAsia="en-US"/>
        </w:rPr>
        <w:t xml:space="preserve"> </w:t>
      </w:r>
      <w:r w:rsidRPr="0022282D">
        <w:rPr>
          <w:rFonts w:eastAsiaTheme="minorHAnsi" w:cs="Arial"/>
          <w:b/>
          <w:i/>
          <w:u w:val="single"/>
          <w:lang w:val="es-MX" w:eastAsia="en-US"/>
        </w:rPr>
        <w:t>La Dirección de Medio Ambiente y Ecología</w:t>
      </w:r>
      <w:r w:rsidRPr="0022282D">
        <w:rPr>
          <w:rFonts w:eastAsiaTheme="minorHAnsi" w:cs="Arial"/>
          <w:i/>
          <w:lang w:val="es-MX" w:eastAsia="en-US"/>
        </w:rPr>
        <w:t xml:space="preserve"> tendrá las siguientes atribuciones:</w:t>
      </w:r>
    </w:p>
    <w:p w14:paraId="6F3DDCA9"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 Recibir, integrar, evaluar y, en su caso, expedir las autorizaciones, licencias, permisos y/o registros de carácter municipal, así como aquellos que son atribución de la Secretaría del Medio Ambiente del Gobierno del Estado de México y que, por los instrumentos legales, le hayan sido legalmente delegados al Municipio;</w:t>
      </w:r>
    </w:p>
    <w:p w14:paraId="33474358"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II. Aplicar las disposiciones jurídicas en materia de prevención y control de la contaminación atmosférica y auditiva generada por fuentes fijas que funcionen como establecimientos mercantiles o de servicios de jurisdicción municipal, así como fuentes de emisiones de contaminantes a la atmósfera, provenientes de fuentes móviles de su competencia, en términos de la Norma Oficial Mexicana NOM-081- SEMARNAT-1994, la cual establece los límites máximos permisibles y los horarios de acuerdo a la Unidad Económica;</w:t>
      </w:r>
    </w:p>
    <w:p w14:paraId="4FEF5BDD"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III. Aplicar las disposiciones jurídicas en materia de prevención¸ control y, en su caso, sanción por la disposición inadecuada de los residuos sólidos urbanos, contaminación de agua y suelo, maltrato animal y manejo inadecuado del arbolado urbano, en apego a lo dispuesto en las Leyes Generales, Normas Oficiales Mexicanas, Normas Técnicas, Códigos y Reglamentos locales aplicables en la materia;</w:t>
      </w:r>
    </w:p>
    <w:p w14:paraId="2CA3FF68"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IV. Participar en la evaluación del impacto ambiental de obras o actividades de competencia estatal, cuando estas se realicen dentro de los límites territoriales del municipio;</w:t>
      </w:r>
    </w:p>
    <w:p w14:paraId="2A8A159E"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lastRenderedPageBreak/>
        <w:t>V. Convocar, capacitar e integrar un padrón de podadores acreditados ante esta Dirección, los cuales serán los únicos autorizados que podrán ofrecer los servicios de poda, derribo trasplante y/o sustitución de arbolado urbano;</w:t>
      </w:r>
    </w:p>
    <w:p w14:paraId="0E6C2A44"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VI. Analizar y justificar técnicamente los dictámenes de riesgo emitidos por la Dirección de Protección Civil y Bomberos para la ejecución de trabajos en árboles que, por la magnitud del riesgo, se ejecuten sin previa autorización; asimismo, determinará en las autorizaciones que emita si se requiere la intervención de la Dirección de Protección Civil y Bomberos derivado del riesgo;</w:t>
      </w:r>
    </w:p>
    <w:p w14:paraId="669E1A57"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VII. Implementar campañas de reforestación y restauración dentro de las áreas naturales protegidas y zonas urbanas del Municipio, así como eventos de educación ambiental y bienestar animal;</w:t>
      </w:r>
    </w:p>
    <w:p w14:paraId="5A6558D1"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VIII. Realizar visitas de inspección con el objeto de constatar el cumplimiento del Código para la Biodiversidad del Estado de México y demás ordenamientos aplicables;</w:t>
      </w:r>
    </w:p>
    <w:p w14:paraId="7D0D2243" w14:textId="77777777"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IX. Formular, ejecutar y evaluar los Programas Municipales en Materia de Protección al Ambiente, Residuos Sólidos Urbanos, Cambio Climático y demás previstos en las leyes de la materia; y</w:t>
      </w:r>
    </w:p>
    <w:p w14:paraId="7BE86A75" w14:textId="68D4FE16" w:rsidR="00344178" w:rsidRPr="0022282D" w:rsidRDefault="00344178" w:rsidP="00344178">
      <w:pPr>
        <w:ind w:left="567" w:right="567"/>
        <w:rPr>
          <w:rFonts w:eastAsiaTheme="minorHAnsi" w:cs="Arial"/>
          <w:i/>
          <w:lang w:val="es-MX" w:eastAsia="en-US"/>
        </w:rPr>
      </w:pPr>
      <w:r w:rsidRPr="0022282D">
        <w:rPr>
          <w:rFonts w:eastAsiaTheme="minorHAnsi" w:cs="Arial"/>
          <w:i/>
          <w:lang w:val="es-MX" w:eastAsia="en-US"/>
        </w:rPr>
        <w:t>X. Contar con la Célula de Rescate de Fauna Silvestre y coordinar el manejo de las especies de vida silvestre bajo resguardo del municipio.</w:t>
      </w:r>
      <w:r w:rsidR="00980A13" w:rsidRPr="0022282D">
        <w:rPr>
          <w:rFonts w:eastAsiaTheme="minorHAnsi" w:cs="Arial"/>
          <w:i/>
          <w:lang w:val="es-MX" w:eastAsia="en-US"/>
        </w:rPr>
        <w:t>” (Sic)</w:t>
      </w:r>
    </w:p>
    <w:p w14:paraId="5C9E4C4B" w14:textId="7BD9241F" w:rsidR="00862FC2" w:rsidRPr="0022282D" w:rsidRDefault="00862FC2" w:rsidP="00862FC2">
      <w:pPr>
        <w:contextualSpacing/>
        <w:rPr>
          <w:rFonts w:eastAsia="Times New Roman" w:cs="Arial"/>
          <w:color w:val="000000"/>
          <w:szCs w:val="24"/>
          <w:lang w:eastAsia="es-ES"/>
        </w:rPr>
      </w:pPr>
    </w:p>
    <w:p w14:paraId="4EADEC5D" w14:textId="5387F7A0" w:rsidR="00344178" w:rsidRPr="0022282D" w:rsidRDefault="00344178" w:rsidP="00344178">
      <w:pPr>
        <w:autoSpaceDE w:val="0"/>
        <w:autoSpaceDN w:val="0"/>
        <w:adjustRightInd w:val="0"/>
      </w:pPr>
      <w:r w:rsidRPr="0022282D">
        <w:t>En las generalizaciones anteriores, se arriba a la conclusión de que mediante etapa de manifestaciones no se subsanó la violación al derecho de acceso a la información pública, resultando procedente ordenar una búsqueda exhaustiva y razonable</w:t>
      </w:r>
      <w:r w:rsidR="005003AC" w:rsidRPr="0022282D">
        <w:t xml:space="preserve"> en la Dirección de Medio Ambiente</w:t>
      </w:r>
      <w:r w:rsidRPr="0022282D">
        <w:t>, en versión pública de ser procedente, respecto de la siguiente información:</w:t>
      </w:r>
    </w:p>
    <w:p w14:paraId="015183C1" w14:textId="77777777" w:rsidR="00344178" w:rsidRPr="0022282D" w:rsidRDefault="00344178" w:rsidP="00344178">
      <w:pPr>
        <w:autoSpaceDE w:val="0"/>
        <w:autoSpaceDN w:val="0"/>
        <w:adjustRightInd w:val="0"/>
      </w:pPr>
    </w:p>
    <w:p w14:paraId="2F384008" w14:textId="2D4DEB08" w:rsidR="00344178" w:rsidRPr="0022282D" w:rsidRDefault="005003AC" w:rsidP="005003AC">
      <w:pPr>
        <w:pStyle w:val="Prrafodelista"/>
        <w:numPr>
          <w:ilvl w:val="0"/>
          <w:numId w:val="71"/>
        </w:numPr>
        <w:contextualSpacing/>
      </w:pPr>
      <w:r w:rsidRPr="0022282D">
        <w:t>Documento o documentos de seguimiento de parte de la Dirección de Medio Ambiente y Ecología al 22 de septiembre de 2025, al oficio No. DPCB/ECA/1368/2025 de fecha 03 de junio de 2025.</w:t>
      </w:r>
    </w:p>
    <w:p w14:paraId="1BFD403C" w14:textId="77777777" w:rsidR="00344178" w:rsidRPr="0022282D" w:rsidRDefault="00344178" w:rsidP="00344178">
      <w:pPr>
        <w:pStyle w:val="Prrafodelista"/>
        <w:ind w:left="775"/>
        <w:contextualSpacing/>
      </w:pPr>
    </w:p>
    <w:p w14:paraId="5D960E28" w14:textId="77777777" w:rsidR="00344178" w:rsidRPr="0022282D" w:rsidRDefault="00344178" w:rsidP="00344178">
      <w:pPr>
        <w:tabs>
          <w:tab w:val="left" w:pos="7470"/>
          <w:tab w:val="left" w:pos="7920"/>
          <w:tab w:val="left" w:pos="8370"/>
        </w:tabs>
        <w:ind w:right="72"/>
        <w:rPr>
          <w:rFonts w:cs="Tahoma"/>
        </w:rPr>
      </w:pPr>
      <w:r w:rsidRPr="0022282D">
        <w:rPr>
          <w:rFonts w:cs="Tahoma"/>
        </w:rPr>
        <w:t>En el supuesto de que la documentación descrita en el punto 3 no obre en los archivos de las áreas competentes del Sujeto Obligado, se deberá hacer entrega del Acuerdo emitido por el Comité de Transparencia mediante el cual, de manera fundada y motivada, se declare la inexistencia de la información, en términos de los artículos 19 tercer párrafo, 169 y 170 de la Ley de Transparencia y Acceso a la Información Pública del Estado de México y Municipios.</w:t>
      </w:r>
    </w:p>
    <w:p w14:paraId="60A9FA3F" w14:textId="77777777" w:rsidR="00344178" w:rsidRPr="0022282D" w:rsidRDefault="00344178" w:rsidP="00344178">
      <w:pPr>
        <w:autoSpaceDE w:val="0"/>
        <w:autoSpaceDN w:val="0"/>
        <w:adjustRightInd w:val="0"/>
      </w:pPr>
    </w:p>
    <w:p w14:paraId="73F21FA5" w14:textId="77777777" w:rsidR="00344178" w:rsidRPr="0022282D" w:rsidRDefault="00344178" w:rsidP="00344178">
      <w:pPr>
        <w:keepNext/>
        <w:keepLines/>
        <w:outlineLvl w:val="2"/>
        <w:rPr>
          <w:rFonts w:eastAsia="Palatino Linotype" w:cstheme="majorBidi"/>
          <w:b/>
          <w:i/>
          <w:color w:val="000000" w:themeColor="text1"/>
          <w:u w:val="single"/>
        </w:rPr>
      </w:pPr>
      <w:r w:rsidRPr="0022282D">
        <w:rPr>
          <w:rFonts w:eastAsia="Palatino Linotype" w:cstheme="majorBidi"/>
          <w:b/>
          <w:i/>
          <w:color w:val="000000" w:themeColor="text1"/>
          <w:u w:val="single"/>
        </w:rPr>
        <w:t>DE LA VERSIÓN PÚBLICA</w:t>
      </w:r>
    </w:p>
    <w:p w14:paraId="2AB4F833" w14:textId="77777777" w:rsidR="00344178" w:rsidRPr="0022282D" w:rsidRDefault="00344178" w:rsidP="00344178">
      <w:pPr>
        <w:rPr>
          <w:rFonts w:eastAsia="Palatino Linotype" w:cs="Palatino Linotype"/>
        </w:rPr>
      </w:pPr>
      <w:r w:rsidRPr="0022282D">
        <w:rPr>
          <w:rFonts w:eastAsia="Palatino Linotype" w:cs="Palatino Linotype"/>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7BA28EB8" w14:textId="77777777" w:rsidR="00344178" w:rsidRPr="0022282D" w:rsidRDefault="00344178" w:rsidP="00344178">
      <w:pPr>
        <w:rPr>
          <w:rFonts w:eastAsia="Palatino Linotype" w:cs="Palatino Linotype"/>
        </w:rPr>
      </w:pPr>
    </w:p>
    <w:p w14:paraId="264A3303"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Artículo 3.</w:t>
      </w:r>
      <w:r w:rsidRPr="0022282D">
        <w:rPr>
          <w:rFonts w:eastAsia="Palatino Linotype" w:cs="Palatino Linotype"/>
          <w:i/>
          <w:color w:val="000000"/>
          <w:sz w:val="22"/>
        </w:rPr>
        <w:t xml:space="preserve"> Para los efectos de la presente Ley se entenderá por:</w:t>
      </w:r>
    </w:p>
    <w:p w14:paraId="0793D1D6"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i/>
          <w:color w:val="000000"/>
          <w:sz w:val="22"/>
        </w:rPr>
        <w:t>[…]</w:t>
      </w:r>
    </w:p>
    <w:p w14:paraId="4CE5A6C1"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IX. Datos personales:</w:t>
      </w:r>
      <w:r w:rsidRPr="0022282D">
        <w:rPr>
          <w:rFonts w:eastAsia="Palatino Linotype" w:cs="Palatino Linotype"/>
          <w:i/>
          <w:color w:val="000000"/>
          <w:sz w:val="22"/>
        </w:rPr>
        <w:t xml:space="preserve"> La información concerniente a una persona, identificada o identificable según lo dispuesto por la Ley de Protección de Datos Personales del Estado de México; </w:t>
      </w:r>
    </w:p>
    <w:p w14:paraId="213B13CE"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lastRenderedPageBreak/>
        <w:t>XX.</w:t>
      </w:r>
      <w:r w:rsidRPr="0022282D">
        <w:rPr>
          <w:rFonts w:eastAsia="Palatino Linotype" w:cs="Palatino Linotype"/>
          <w:i/>
          <w:color w:val="000000"/>
          <w:sz w:val="22"/>
        </w:rPr>
        <w:t xml:space="preserve"> </w:t>
      </w:r>
      <w:r w:rsidRPr="0022282D">
        <w:rPr>
          <w:rFonts w:eastAsia="Palatino Linotype" w:cs="Palatino Linotype"/>
          <w:b/>
          <w:i/>
          <w:color w:val="000000"/>
          <w:sz w:val="22"/>
        </w:rPr>
        <w:t>Información clasificada:</w:t>
      </w:r>
      <w:r w:rsidRPr="0022282D">
        <w:rPr>
          <w:rFonts w:eastAsia="Palatino Linotype" w:cs="Palatino Linotype"/>
          <w:i/>
          <w:color w:val="000000"/>
          <w:sz w:val="22"/>
        </w:rPr>
        <w:t xml:space="preserve"> Aquella considerada por la presente Ley como reservada o confidencial;</w:t>
      </w:r>
    </w:p>
    <w:p w14:paraId="72738992"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XXI.</w:t>
      </w:r>
      <w:r w:rsidRPr="0022282D">
        <w:rPr>
          <w:rFonts w:eastAsia="Palatino Linotype" w:cs="Palatino Linotype"/>
          <w:i/>
          <w:color w:val="000000"/>
          <w:sz w:val="22"/>
        </w:rPr>
        <w:t xml:space="preserve"> </w:t>
      </w:r>
      <w:r w:rsidRPr="0022282D">
        <w:rPr>
          <w:rFonts w:eastAsia="Palatino Linotype" w:cs="Palatino Linotype"/>
          <w:b/>
          <w:i/>
          <w:color w:val="000000"/>
          <w:sz w:val="22"/>
        </w:rPr>
        <w:t>Información confidencial:</w:t>
      </w:r>
      <w:r w:rsidRPr="0022282D">
        <w:rPr>
          <w:rFonts w:eastAsia="Palatino Linotype" w:cs="Palatino Linotype"/>
          <w:i/>
          <w:color w:val="000000"/>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7187AB"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w:t>
      </w:r>
    </w:p>
    <w:p w14:paraId="7F6E9F0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XLV.</w:t>
      </w:r>
      <w:r w:rsidRPr="0022282D">
        <w:rPr>
          <w:rFonts w:eastAsia="Palatino Linotype" w:cs="Palatino Linotype"/>
          <w:i/>
          <w:color w:val="000000"/>
          <w:sz w:val="22"/>
        </w:rPr>
        <w:t xml:space="preserve"> </w:t>
      </w:r>
      <w:r w:rsidRPr="0022282D">
        <w:rPr>
          <w:rFonts w:eastAsia="Palatino Linotype" w:cs="Palatino Linotype"/>
          <w:b/>
          <w:i/>
          <w:color w:val="000000"/>
          <w:sz w:val="22"/>
        </w:rPr>
        <w:t>Versión pública:</w:t>
      </w:r>
      <w:r w:rsidRPr="0022282D">
        <w:rPr>
          <w:rFonts w:eastAsia="Palatino Linotype" w:cs="Palatino Linotype"/>
          <w:i/>
          <w:color w:val="000000"/>
          <w:sz w:val="22"/>
        </w:rPr>
        <w:t xml:space="preserve"> Documento en el que se elimine, suprime o borra la información clasificada como reservada o confidencial para permitir su acceso.</w:t>
      </w:r>
    </w:p>
    <w:p w14:paraId="51D7F60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i/>
          <w:color w:val="000000"/>
          <w:sz w:val="22"/>
        </w:rPr>
        <w:t>[…]</w:t>
      </w:r>
    </w:p>
    <w:p w14:paraId="6506821F"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45BACAB5"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 xml:space="preserve">Artículo 91. </w:t>
      </w:r>
      <w:r w:rsidRPr="0022282D">
        <w:rPr>
          <w:rFonts w:eastAsia="Palatino Linotype" w:cs="Palatino Linotype"/>
          <w:i/>
          <w:color w:val="000000"/>
          <w:sz w:val="22"/>
        </w:rPr>
        <w:t>El acceso a la información pública será restringido excepcionalmente, cuando ésta sea clasificada como reservada o confidencial.</w:t>
      </w:r>
    </w:p>
    <w:p w14:paraId="29FF6DBA"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4721489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Artículo 132.</w:t>
      </w:r>
      <w:r w:rsidRPr="0022282D">
        <w:rPr>
          <w:rFonts w:eastAsia="Palatino Linotype" w:cs="Palatino Linotype"/>
          <w:i/>
          <w:color w:val="000000"/>
          <w:sz w:val="22"/>
        </w:rPr>
        <w:t xml:space="preserve"> </w:t>
      </w:r>
      <w:r w:rsidRPr="0022282D">
        <w:rPr>
          <w:rFonts w:eastAsia="Palatino Linotype" w:cs="Palatino Linotype"/>
          <w:i/>
          <w:color w:val="000000"/>
          <w:sz w:val="22"/>
          <w:u w:val="single"/>
        </w:rPr>
        <w:t>La clasificación de la información se llevará a cabo en el momento en que</w:t>
      </w:r>
      <w:r w:rsidRPr="0022282D">
        <w:rPr>
          <w:rFonts w:eastAsia="Palatino Linotype" w:cs="Palatino Linotype"/>
          <w:i/>
          <w:color w:val="000000"/>
          <w:sz w:val="22"/>
        </w:rPr>
        <w:t>:</w:t>
      </w:r>
    </w:p>
    <w:p w14:paraId="62EAC8C2"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I.</w:t>
      </w:r>
      <w:r w:rsidRPr="0022282D">
        <w:rPr>
          <w:rFonts w:eastAsia="Palatino Linotype" w:cs="Palatino Linotype"/>
          <w:i/>
          <w:color w:val="000000"/>
          <w:sz w:val="22"/>
        </w:rPr>
        <w:t xml:space="preserve"> Se reciba una solicitud de acceso a la información;</w:t>
      </w:r>
    </w:p>
    <w:p w14:paraId="642496A3"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II.</w:t>
      </w:r>
      <w:r w:rsidRPr="0022282D">
        <w:rPr>
          <w:rFonts w:eastAsia="Palatino Linotype" w:cs="Palatino Linotype"/>
          <w:i/>
          <w:color w:val="000000"/>
          <w:sz w:val="22"/>
        </w:rPr>
        <w:t xml:space="preserve"> </w:t>
      </w:r>
      <w:r w:rsidRPr="0022282D">
        <w:rPr>
          <w:rFonts w:eastAsia="Palatino Linotype" w:cs="Palatino Linotype"/>
          <w:i/>
          <w:color w:val="000000"/>
          <w:sz w:val="22"/>
          <w:u w:val="single"/>
        </w:rPr>
        <w:t>Se determine mediante resolución de autoridad competente; o</w:t>
      </w:r>
    </w:p>
    <w:p w14:paraId="6AB3D516"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u w:val="single"/>
        </w:rPr>
      </w:pPr>
      <w:r w:rsidRPr="0022282D">
        <w:rPr>
          <w:rFonts w:eastAsia="Palatino Linotype" w:cs="Palatino Linotype"/>
          <w:b/>
          <w:i/>
          <w:color w:val="000000"/>
          <w:sz w:val="22"/>
        </w:rPr>
        <w:t>III.</w:t>
      </w:r>
      <w:r w:rsidRPr="0022282D">
        <w:rPr>
          <w:rFonts w:eastAsia="Palatino Linotype" w:cs="Palatino Linotype"/>
          <w:i/>
          <w:color w:val="000000"/>
          <w:sz w:val="22"/>
        </w:rPr>
        <w:t xml:space="preserve"> </w:t>
      </w:r>
      <w:r w:rsidRPr="0022282D">
        <w:rPr>
          <w:rFonts w:eastAsia="Palatino Linotype" w:cs="Palatino Linotype"/>
          <w:i/>
          <w:color w:val="000000"/>
          <w:sz w:val="22"/>
          <w:u w:val="single"/>
        </w:rPr>
        <w:t>Se generen versiones públicas para dar cumplimiento a las obligaciones de transparencia previstas en esta Ley.</w:t>
      </w:r>
    </w:p>
    <w:p w14:paraId="1002A016"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i/>
          <w:color w:val="000000"/>
          <w:sz w:val="22"/>
        </w:rPr>
        <w:t>[…]</w:t>
      </w:r>
    </w:p>
    <w:p w14:paraId="4FC41F7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31F81044"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Artículo 143.</w:t>
      </w:r>
      <w:r w:rsidRPr="0022282D">
        <w:rPr>
          <w:rFonts w:eastAsia="Palatino Linotype" w:cs="Palatino Linotype"/>
          <w:i/>
          <w:color w:val="000000"/>
          <w:sz w:val="22"/>
        </w:rPr>
        <w:t xml:space="preserve"> </w:t>
      </w:r>
      <w:r w:rsidRPr="0022282D">
        <w:rPr>
          <w:rFonts w:eastAsia="Palatino Linotype" w:cs="Palatino Linotype"/>
          <w:i/>
          <w:color w:val="000000"/>
          <w:sz w:val="22"/>
          <w:u w:val="single"/>
        </w:rPr>
        <w:t>Para los efectos de esta Ley se considera información confidencial, la clasificada como tal, de manera permanente, por su naturaleza, cuando</w:t>
      </w:r>
      <w:r w:rsidRPr="0022282D">
        <w:rPr>
          <w:rFonts w:eastAsia="Palatino Linotype" w:cs="Palatino Linotype"/>
          <w:i/>
          <w:color w:val="000000"/>
          <w:sz w:val="22"/>
        </w:rPr>
        <w:t>:</w:t>
      </w:r>
    </w:p>
    <w:p w14:paraId="1494DA1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I.</w:t>
      </w:r>
      <w:r w:rsidRPr="0022282D">
        <w:rPr>
          <w:rFonts w:eastAsia="Palatino Linotype" w:cs="Palatino Linotype"/>
          <w:i/>
          <w:color w:val="000000"/>
          <w:sz w:val="22"/>
        </w:rPr>
        <w:t xml:space="preserve"> </w:t>
      </w:r>
      <w:r w:rsidRPr="0022282D">
        <w:rPr>
          <w:rFonts w:eastAsia="Palatino Linotype" w:cs="Palatino Linotype"/>
          <w:i/>
          <w:color w:val="000000"/>
          <w:sz w:val="22"/>
          <w:u w:val="single"/>
        </w:rPr>
        <w:t xml:space="preserve">Se refiera a la información privada y los datos personales concernientes a una persona física o </w:t>
      </w:r>
      <w:proofErr w:type="gramStart"/>
      <w:r w:rsidRPr="0022282D">
        <w:rPr>
          <w:rFonts w:eastAsia="Palatino Linotype" w:cs="Palatino Linotype"/>
          <w:i/>
          <w:color w:val="000000"/>
          <w:sz w:val="22"/>
          <w:u w:val="single"/>
        </w:rPr>
        <w:t>jurídico</w:t>
      </w:r>
      <w:proofErr w:type="gramEnd"/>
      <w:r w:rsidRPr="0022282D">
        <w:rPr>
          <w:rFonts w:eastAsia="Palatino Linotype" w:cs="Palatino Linotype"/>
          <w:i/>
          <w:color w:val="000000"/>
          <w:sz w:val="22"/>
          <w:u w:val="single"/>
        </w:rPr>
        <w:t xml:space="preserve"> colectiva identificada o identificable</w:t>
      </w:r>
      <w:r w:rsidRPr="0022282D">
        <w:rPr>
          <w:rFonts w:eastAsia="Palatino Linotype" w:cs="Palatino Linotype"/>
          <w:i/>
          <w:color w:val="000000"/>
          <w:sz w:val="22"/>
        </w:rPr>
        <w:t>;</w:t>
      </w:r>
    </w:p>
    <w:p w14:paraId="2D7F98F2"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lastRenderedPageBreak/>
        <w:t>II.</w:t>
      </w:r>
      <w:r w:rsidRPr="0022282D">
        <w:rPr>
          <w:rFonts w:eastAsia="Palatino Linotype" w:cs="Palatino Linotype"/>
          <w:i/>
          <w:color w:val="000000"/>
          <w:sz w:val="22"/>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22282D">
        <w:rPr>
          <w:rFonts w:eastAsia="Palatino Linotype" w:cs="Palatino Linotype"/>
          <w:i/>
          <w:color w:val="000000"/>
          <w:sz w:val="22"/>
        </w:rPr>
        <w:t>; y</w:t>
      </w:r>
    </w:p>
    <w:p w14:paraId="131B47AB"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III.</w:t>
      </w:r>
      <w:r w:rsidRPr="0022282D">
        <w:rPr>
          <w:rFonts w:eastAsia="Palatino Linotype" w:cs="Palatino Linotype"/>
          <w:i/>
          <w:color w:val="000000"/>
          <w:sz w:val="22"/>
        </w:rPr>
        <w:t xml:space="preserve"> La que presenten los particulares a los sujetos obligados, de conformidad con lo dispuesto por las leyes o los tratados internacionales.</w:t>
      </w:r>
    </w:p>
    <w:p w14:paraId="1899371A"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iCs/>
          <w:color w:val="000000"/>
          <w:sz w:val="22"/>
          <w:lang w:val="es-ES"/>
        </w:rPr>
      </w:pPr>
      <w:r w:rsidRPr="0022282D">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48E39AF7"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iCs/>
          <w:color w:val="000000"/>
          <w:sz w:val="22"/>
          <w:lang w:val="es-ES"/>
        </w:rPr>
      </w:pPr>
      <w:r w:rsidRPr="0022282D">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5EBCCA3F" w14:textId="77777777" w:rsidR="00344178" w:rsidRPr="0022282D" w:rsidRDefault="00344178" w:rsidP="00344178">
      <w:pPr>
        <w:rPr>
          <w:rFonts w:eastAsia="Palatino Linotype" w:cs="Palatino Linotype"/>
          <w:iCs/>
        </w:rPr>
      </w:pPr>
    </w:p>
    <w:p w14:paraId="0BA7CEE6" w14:textId="77777777" w:rsidR="00344178" w:rsidRPr="0022282D" w:rsidRDefault="00344178" w:rsidP="00344178">
      <w:pPr>
        <w:rPr>
          <w:rFonts w:eastAsia="Palatino Linotype" w:cs="Palatino Linotype"/>
          <w:lang w:val="es-ES"/>
        </w:rPr>
      </w:pPr>
      <w:r w:rsidRPr="0022282D">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B8F245" w14:textId="77777777" w:rsidR="00344178" w:rsidRPr="0022282D" w:rsidRDefault="00344178" w:rsidP="00344178">
      <w:pPr>
        <w:rPr>
          <w:rFonts w:eastAsia="Palatino Linotype" w:cs="Palatino Linotype"/>
        </w:rPr>
      </w:pPr>
    </w:p>
    <w:p w14:paraId="35331B0E" w14:textId="77777777" w:rsidR="00344178" w:rsidRPr="0022282D" w:rsidRDefault="00344178" w:rsidP="00344178">
      <w:pPr>
        <w:rPr>
          <w:rFonts w:eastAsia="Palatino Linotype" w:cs="Palatino Linotype"/>
        </w:rPr>
      </w:pPr>
      <w:r w:rsidRPr="0022282D">
        <w:rPr>
          <w:rFonts w:eastAsia="Palatino Linotype" w:cs="Palatino Linotype"/>
        </w:rPr>
        <w:t xml:space="preserve">Por otro lado, los </w:t>
      </w:r>
      <w:r w:rsidRPr="0022282D">
        <w:rPr>
          <w:rFonts w:eastAsia="Palatino Linotype" w:cs="Palatino Linotype"/>
          <w:i/>
        </w:rPr>
        <w:t>Lineamientos Generales en Materia de Clasificación y Desclasificación de la Información, así como para la elaboración de Versiones Públicas</w:t>
      </w:r>
      <w:r w:rsidRPr="0022282D">
        <w:rPr>
          <w:rFonts w:eastAsia="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A1C7B3" w14:textId="77777777" w:rsidR="00344178" w:rsidRPr="0022282D" w:rsidRDefault="00344178" w:rsidP="00344178">
      <w:pPr>
        <w:rPr>
          <w:rFonts w:eastAsia="Palatino Linotype" w:cs="Palatino Linotype"/>
        </w:rPr>
      </w:pPr>
    </w:p>
    <w:p w14:paraId="4D76C8D0" w14:textId="77777777" w:rsidR="00344178" w:rsidRPr="0022282D" w:rsidRDefault="00344178" w:rsidP="00344178">
      <w:pPr>
        <w:rPr>
          <w:rFonts w:eastAsia="Palatino Linotype" w:cs="Palatino Linotype"/>
        </w:rPr>
      </w:pPr>
      <w:r w:rsidRPr="0022282D">
        <w:rPr>
          <w:rFonts w:eastAsia="Palatino Linotype" w:cs="Palatino Linotype"/>
        </w:rPr>
        <w:t>Asimismo, los Lineamientos Quincuagésimo sexto, Quincuagésimo séptimo y Quincuagésimo octavo, establecen lo siguiente:</w:t>
      </w:r>
    </w:p>
    <w:p w14:paraId="6102A289" w14:textId="77777777" w:rsidR="00344178" w:rsidRPr="0022282D" w:rsidRDefault="00344178" w:rsidP="00344178">
      <w:pPr>
        <w:rPr>
          <w:rFonts w:eastAsia="Palatino Linotype" w:cs="Palatino Linotype"/>
        </w:rPr>
      </w:pPr>
    </w:p>
    <w:p w14:paraId="3D224CD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lang w:val="es-MX"/>
        </w:rPr>
      </w:pPr>
      <w:r w:rsidRPr="0022282D">
        <w:rPr>
          <w:rFonts w:eastAsia="Palatino Linotype" w:cs="Palatino Linotype"/>
          <w:b/>
          <w:i/>
          <w:color w:val="000000"/>
          <w:sz w:val="22"/>
        </w:rPr>
        <w:t>Quincuagésimo sexto.</w:t>
      </w:r>
      <w:r w:rsidRPr="0022282D">
        <w:rPr>
          <w:rFonts w:eastAsia="Palatino Linotype" w:cs="Palatino Linotype"/>
          <w:i/>
          <w:color w:val="000000"/>
          <w:sz w:val="22"/>
        </w:rPr>
        <w:t xml:space="preserve"> </w:t>
      </w:r>
      <w:r w:rsidRPr="0022282D">
        <w:rPr>
          <w:rFonts w:eastAsia="Palatino Linotype" w:cs="Palatino Linotype"/>
          <w:i/>
          <w:color w:val="000000"/>
          <w:sz w:val="22"/>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7EAC399"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345EA936"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b/>
          <w:i/>
          <w:color w:val="000000"/>
          <w:sz w:val="22"/>
        </w:rPr>
        <w:t>Quincuagésimo séptimo.</w:t>
      </w:r>
      <w:r w:rsidRPr="0022282D">
        <w:rPr>
          <w:rFonts w:eastAsia="Palatino Linotype" w:cs="Palatino Linotype"/>
          <w:i/>
          <w:color w:val="000000"/>
          <w:sz w:val="22"/>
        </w:rPr>
        <w:t xml:space="preserve"> Se considera, en principio, como información pública y no podrá omitirse de las versiones públicas la siguiente:</w:t>
      </w:r>
    </w:p>
    <w:p w14:paraId="2E8E5449"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25443BEE"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i/>
          <w:color w:val="000000"/>
          <w:sz w:val="22"/>
        </w:rPr>
        <w:t xml:space="preserve">I. La relativa a las Obligaciones de Transparencia que contempla el Título V de la Ley General y las demás disposiciones legales aplicables; </w:t>
      </w:r>
    </w:p>
    <w:p w14:paraId="45BBD0E8"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i/>
          <w:color w:val="000000"/>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514A3E01"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iCs/>
          <w:color w:val="000000"/>
          <w:sz w:val="22"/>
          <w:lang w:val="es-ES"/>
        </w:rPr>
      </w:pPr>
      <w:r w:rsidRPr="0022282D">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8399185"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43905709"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r w:rsidRPr="0022282D">
        <w:rPr>
          <w:rFonts w:eastAsia="Palatino Linotype" w:cs="Palatino Linotype"/>
          <w:i/>
          <w:color w:val="000000"/>
          <w:sz w:val="22"/>
        </w:rPr>
        <w:t xml:space="preserve">Lo anterior, siempre y cuando no se acredite alguna causal de clasificación, prevista en las leyes o en los tratados internacionales suscritos por el Estado mexicano. </w:t>
      </w:r>
    </w:p>
    <w:p w14:paraId="1367C532"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color w:val="000000"/>
          <w:sz w:val="22"/>
        </w:rPr>
      </w:pPr>
    </w:p>
    <w:p w14:paraId="0F04C93D" w14:textId="77777777" w:rsidR="00344178" w:rsidRPr="0022282D" w:rsidRDefault="00344178" w:rsidP="00344178">
      <w:pPr>
        <w:pBdr>
          <w:top w:val="nil"/>
          <w:left w:val="nil"/>
          <w:bottom w:val="nil"/>
          <w:right w:val="nil"/>
          <w:between w:val="nil"/>
        </w:pBdr>
        <w:ind w:left="567" w:right="567"/>
        <w:contextualSpacing/>
        <w:rPr>
          <w:rFonts w:eastAsia="Palatino Linotype" w:cs="Palatino Linotype"/>
          <w:i/>
          <w:iCs/>
          <w:color w:val="000000"/>
          <w:sz w:val="22"/>
          <w:lang w:val="es-ES"/>
        </w:rPr>
      </w:pPr>
      <w:r w:rsidRPr="0022282D">
        <w:rPr>
          <w:rFonts w:eastAsia="Palatino Linotype" w:cs="Palatino Linotype"/>
          <w:b/>
          <w:bCs/>
          <w:i/>
          <w:iCs/>
          <w:color w:val="000000" w:themeColor="text1"/>
          <w:sz w:val="22"/>
          <w:lang w:val="es-ES"/>
        </w:rPr>
        <w:lastRenderedPageBreak/>
        <w:t>Quincuagésimo octavo.</w:t>
      </w:r>
      <w:r w:rsidRPr="0022282D">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5A8D3DF" w14:textId="77777777" w:rsidR="00344178" w:rsidRPr="0022282D" w:rsidRDefault="00344178" w:rsidP="00344178">
      <w:pPr>
        <w:rPr>
          <w:rFonts w:eastAsia="Palatino Linotype" w:cs="Palatino Linotype"/>
          <w:i/>
        </w:rPr>
      </w:pPr>
    </w:p>
    <w:p w14:paraId="78D4DA04" w14:textId="77777777" w:rsidR="00344178" w:rsidRPr="0022282D" w:rsidRDefault="00344178" w:rsidP="00344178">
      <w:pPr>
        <w:rPr>
          <w:rFonts w:eastAsia="Palatino Linotype" w:cs="Palatino Linotype"/>
          <w:lang w:val="es-ES"/>
        </w:rPr>
      </w:pPr>
      <w:r w:rsidRPr="0022282D">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18BCBAA6" w14:textId="77777777" w:rsidR="00344178" w:rsidRPr="0022282D" w:rsidRDefault="00344178" w:rsidP="00344178">
      <w:pPr>
        <w:rPr>
          <w:rFonts w:eastAsia="Palatino Linotype" w:cs="Palatino Linotype"/>
          <w:lang w:val="es-ES"/>
        </w:rPr>
      </w:pPr>
    </w:p>
    <w:p w14:paraId="1B513B10" w14:textId="77777777" w:rsidR="00344178" w:rsidRPr="0022282D" w:rsidRDefault="00344178" w:rsidP="00344178">
      <w:pPr>
        <w:rPr>
          <w:rFonts w:eastAsia="Palatino Linotype" w:cs="Palatino Linotype"/>
          <w:lang w:val="es-ES"/>
        </w:rPr>
      </w:pPr>
      <w:r w:rsidRPr="0022282D">
        <w:rPr>
          <w:rFonts w:eastAsia="Palatino Linotype" w:cs="Palatino Linotype"/>
          <w:lang w:val="es-ES"/>
        </w:rPr>
        <w:t>Por lo que respecta al Acuerdo del Comité de Transparencia que sustente la versión pública de la documentación a entregar, deberá ser notificado mediante el SAIMEX.</w:t>
      </w:r>
    </w:p>
    <w:p w14:paraId="1653969A" w14:textId="77777777" w:rsidR="00344178" w:rsidRPr="0022282D" w:rsidRDefault="00344178" w:rsidP="00344178"/>
    <w:p w14:paraId="1FC557DB" w14:textId="77777777" w:rsidR="00344178" w:rsidRPr="0022282D" w:rsidRDefault="00344178" w:rsidP="00344178">
      <w:pPr>
        <w:autoSpaceDE w:val="0"/>
        <w:autoSpaceDN w:val="0"/>
        <w:adjustRightInd w:val="0"/>
      </w:pPr>
      <w:r w:rsidRPr="0022282D">
        <w:rPr>
          <w:rFonts w:eastAsia="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0C83217" w14:textId="77777777" w:rsidR="00344178" w:rsidRPr="0022282D" w:rsidRDefault="00344178" w:rsidP="00344178">
      <w:pPr>
        <w:tabs>
          <w:tab w:val="left" w:pos="7797"/>
        </w:tabs>
        <w:rPr>
          <w:rFonts w:cs="Arial"/>
        </w:rPr>
      </w:pPr>
    </w:p>
    <w:p w14:paraId="4B368BC6" w14:textId="773F0C8B" w:rsidR="00344178" w:rsidRPr="0022282D" w:rsidRDefault="00901AC8" w:rsidP="00344178">
      <w:pPr>
        <w:tabs>
          <w:tab w:val="left" w:pos="709"/>
        </w:tabs>
        <w:ind w:right="51"/>
        <w:rPr>
          <w:bCs/>
        </w:rPr>
      </w:pPr>
      <w:r w:rsidRPr="0022282D">
        <w:lastRenderedPageBreak/>
        <w:t xml:space="preserve">Así, en mérito de lo expuesto en líneas anteriores, </w:t>
      </w:r>
      <w:r w:rsidRPr="0022282D">
        <w:rPr>
          <w:noProof/>
        </w:rPr>
        <w:t xml:space="preserve">resultan </w:t>
      </w:r>
      <w:r w:rsidRPr="0022282D">
        <w:rPr>
          <w:rFonts w:cs="Arial"/>
        </w:rPr>
        <w:t xml:space="preserve">fundadas las razones o motivos de inconformidad, así que, </w:t>
      </w:r>
      <w:r w:rsidRPr="0022282D">
        <w:rPr>
          <w:rFonts w:eastAsia="MS Mincho" w:cs="Arial"/>
          <w:lang w:eastAsia="en-US"/>
        </w:rPr>
        <w:t xml:space="preserve">con fundamento en la </w:t>
      </w:r>
      <w:r w:rsidRPr="0022282D">
        <w:rPr>
          <w:rFonts w:eastAsia="MS Mincho" w:cs="Arial"/>
          <w:i/>
          <w:iCs/>
          <w:lang w:eastAsia="en-US"/>
        </w:rPr>
        <w:t>primera</w:t>
      </w:r>
      <w:r w:rsidRPr="0022282D">
        <w:rPr>
          <w:rFonts w:eastAsia="MS Mincho" w:cs="Arial"/>
          <w:lang w:eastAsia="en-US"/>
        </w:rPr>
        <w:t xml:space="preserve"> </w:t>
      </w:r>
      <w:r w:rsidRPr="0022282D">
        <w:rPr>
          <w:rFonts w:eastAsia="MS Mincho" w:cs="Arial"/>
          <w:i/>
          <w:lang w:eastAsia="en-US"/>
        </w:rPr>
        <w:t>hipótesis</w:t>
      </w:r>
      <w:r w:rsidRPr="0022282D">
        <w:rPr>
          <w:rFonts w:eastAsia="MS Mincho" w:cs="Arial"/>
          <w:lang w:eastAsia="en-US"/>
        </w:rPr>
        <w:t xml:space="preserve"> de la fracción III, del artículo 186, de la Ley de Transparencia y Acceso a la Información Pública del Estado de México y Municipios, se </w:t>
      </w:r>
      <w:r w:rsidRPr="0022282D">
        <w:rPr>
          <w:rFonts w:eastAsia="MS Mincho" w:cs="Arial"/>
          <w:b/>
          <w:lang w:eastAsia="en-US"/>
        </w:rPr>
        <w:t>REVOCA</w:t>
      </w:r>
      <w:r w:rsidRPr="0022282D">
        <w:rPr>
          <w:rFonts w:eastAsia="MS Mincho" w:cs="Arial"/>
          <w:lang w:eastAsia="en-US"/>
        </w:rPr>
        <w:t xml:space="preserve"> la respuesta a la solicitud </w:t>
      </w:r>
      <w:r w:rsidR="00344178" w:rsidRPr="0022282D">
        <w:rPr>
          <w:bCs/>
        </w:rPr>
        <w:t xml:space="preserve">de información </w:t>
      </w:r>
      <w:r w:rsidR="005003AC" w:rsidRPr="0022282D">
        <w:rPr>
          <w:b/>
        </w:rPr>
        <w:t>00764/ECATEPEC/IP/2025</w:t>
      </w:r>
      <w:r w:rsidR="00344178" w:rsidRPr="0022282D">
        <w:rPr>
          <w:b/>
        </w:rPr>
        <w:t xml:space="preserve">, </w:t>
      </w:r>
      <w:r w:rsidR="00344178" w:rsidRPr="0022282D">
        <w:rPr>
          <w:bCs/>
        </w:rPr>
        <w:t xml:space="preserve">que ha sido materia del presente fallo. </w:t>
      </w:r>
    </w:p>
    <w:p w14:paraId="069D08AB" w14:textId="77777777" w:rsidR="00344178" w:rsidRPr="0022282D" w:rsidRDefault="00344178" w:rsidP="00344178">
      <w:pPr>
        <w:pStyle w:val="Prrafodelista"/>
        <w:ind w:left="0"/>
      </w:pPr>
      <w:r w:rsidRPr="0022282D">
        <w:t xml:space="preserve">Por lo antes expuesto y fundado es de resolverse y, </w:t>
      </w:r>
    </w:p>
    <w:p w14:paraId="51624483" w14:textId="77777777" w:rsidR="00344178" w:rsidRPr="0022282D" w:rsidRDefault="00344178" w:rsidP="00344178">
      <w:pPr>
        <w:pStyle w:val="Prrafodelista"/>
        <w:ind w:left="0"/>
      </w:pPr>
    </w:p>
    <w:p w14:paraId="41EB3EDD" w14:textId="77777777" w:rsidR="00344178" w:rsidRPr="0022282D" w:rsidRDefault="00344178" w:rsidP="00344178">
      <w:pPr>
        <w:jc w:val="center"/>
        <w:rPr>
          <w:b/>
          <w:bCs/>
          <w:spacing w:val="60"/>
        </w:rPr>
      </w:pPr>
      <w:r w:rsidRPr="0022282D">
        <w:rPr>
          <w:b/>
          <w:bCs/>
          <w:spacing w:val="60"/>
        </w:rPr>
        <w:t>SE    RESUELVE</w:t>
      </w:r>
    </w:p>
    <w:p w14:paraId="78D785FD" w14:textId="77777777" w:rsidR="00344178" w:rsidRPr="0022282D" w:rsidRDefault="00344178" w:rsidP="00344178">
      <w:pPr>
        <w:jc w:val="center"/>
        <w:rPr>
          <w:b/>
          <w:bCs/>
          <w:spacing w:val="60"/>
        </w:rPr>
      </w:pPr>
    </w:p>
    <w:p w14:paraId="7F3C35B7" w14:textId="7AAF7A47" w:rsidR="00344178" w:rsidRPr="0022282D" w:rsidRDefault="00344178" w:rsidP="00344178">
      <w:pPr>
        <w:tabs>
          <w:tab w:val="left" w:pos="8647"/>
        </w:tabs>
        <w:ind w:right="51"/>
        <w:rPr>
          <w:rFonts w:cs="Arial"/>
        </w:rPr>
      </w:pPr>
      <w:r w:rsidRPr="0022282D">
        <w:rPr>
          <w:rFonts w:eastAsiaTheme="minorEastAsia" w:cs="Arial"/>
          <w:b/>
          <w:sz w:val="28"/>
        </w:rPr>
        <w:t>PRIMERO.</w:t>
      </w:r>
      <w:r w:rsidRPr="0022282D">
        <w:rPr>
          <w:rFonts w:eastAsiaTheme="minorEastAsia" w:cs="Arial"/>
          <w:sz w:val="28"/>
        </w:rPr>
        <w:t xml:space="preserve"> </w:t>
      </w:r>
      <w:r w:rsidRPr="0022282D">
        <w:rPr>
          <w:rFonts w:cs="Arial"/>
        </w:rPr>
        <w:t xml:space="preserve">Se </w:t>
      </w:r>
      <w:r w:rsidR="00AA0016" w:rsidRPr="0022282D">
        <w:rPr>
          <w:rFonts w:cs="Arial"/>
          <w:b/>
        </w:rPr>
        <w:t>REVOCA</w:t>
      </w:r>
      <w:r w:rsidRPr="0022282D">
        <w:rPr>
          <w:rFonts w:cs="Arial"/>
          <w:b/>
        </w:rPr>
        <w:t xml:space="preserve"> </w:t>
      </w:r>
      <w:r w:rsidRPr="0022282D">
        <w:rPr>
          <w:rFonts w:cs="Arial"/>
          <w:bCs/>
        </w:rPr>
        <w:t xml:space="preserve">la respuesta entregada por </w:t>
      </w:r>
      <w:r w:rsidRPr="0022282D">
        <w:rPr>
          <w:rFonts w:cs="Arial"/>
          <w:b/>
        </w:rPr>
        <w:t xml:space="preserve">EL SUJETO OBLIGADO </w:t>
      </w:r>
      <w:r w:rsidRPr="0022282D">
        <w:rPr>
          <w:rFonts w:cs="Arial"/>
          <w:bCs/>
        </w:rPr>
        <w:t xml:space="preserve">a la solicitud de información </w:t>
      </w:r>
      <w:r w:rsidR="005003AC" w:rsidRPr="0022282D">
        <w:rPr>
          <w:b/>
        </w:rPr>
        <w:t>00764/ECATEPEC/IP/2025</w:t>
      </w:r>
      <w:r w:rsidRPr="0022282D">
        <w:rPr>
          <w:b/>
        </w:rPr>
        <w:t xml:space="preserve">, </w:t>
      </w:r>
      <w:r w:rsidRPr="0022282D">
        <w:rPr>
          <w:rFonts w:cs="Arial"/>
        </w:rPr>
        <w:t xml:space="preserve">por resultar fundados los motivos de inconformidad que arguye </w:t>
      </w:r>
      <w:r w:rsidRPr="0022282D">
        <w:rPr>
          <w:rFonts w:cs="Arial"/>
          <w:b/>
          <w:bCs/>
        </w:rPr>
        <w:t xml:space="preserve">EL RECURRENTE, </w:t>
      </w:r>
      <w:r w:rsidRPr="0022282D">
        <w:rPr>
          <w:rFonts w:cs="Arial"/>
        </w:rPr>
        <w:t xml:space="preserve">en términos del </w:t>
      </w:r>
      <w:r w:rsidRPr="0022282D">
        <w:rPr>
          <w:rFonts w:cs="Arial"/>
          <w:b/>
        </w:rPr>
        <w:t xml:space="preserve">Considerando CUARTO </w:t>
      </w:r>
      <w:r w:rsidRPr="0022282D">
        <w:rPr>
          <w:rFonts w:cs="Arial"/>
        </w:rPr>
        <w:t xml:space="preserve">de la presente resolución. </w:t>
      </w:r>
    </w:p>
    <w:p w14:paraId="43E5A298" w14:textId="77777777" w:rsidR="00344178" w:rsidRPr="0022282D" w:rsidRDefault="00344178" w:rsidP="00344178">
      <w:pPr>
        <w:tabs>
          <w:tab w:val="left" w:pos="8647"/>
        </w:tabs>
        <w:ind w:right="51"/>
        <w:rPr>
          <w:rFonts w:cs="Arial"/>
        </w:rPr>
      </w:pPr>
    </w:p>
    <w:p w14:paraId="5B9B7776" w14:textId="77777777" w:rsidR="00344178" w:rsidRPr="0022282D" w:rsidRDefault="00344178" w:rsidP="00344178">
      <w:pPr>
        <w:autoSpaceDE w:val="0"/>
        <w:autoSpaceDN w:val="0"/>
        <w:adjustRightInd w:val="0"/>
        <w:ind w:right="49"/>
        <w:rPr>
          <w:rFonts w:cs="Arial"/>
        </w:rPr>
      </w:pPr>
      <w:r w:rsidRPr="0022282D">
        <w:rPr>
          <w:rFonts w:cs="Arial"/>
          <w:b/>
          <w:sz w:val="28"/>
        </w:rPr>
        <w:t>SEGUNDO.</w:t>
      </w:r>
      <w:r w:rsidRPr="0022282D">
        <w:rPr>
          <w:rFonts w:cs="Arial"/>
          <w:sz w:val="28"/>
        </w:rPr>
        <w:t xml:space="preserve"> </w:t>
      </w:r>
      <w:r w:rsidRPr="0022282D">
        <w:rPr>
          <w:rFonts w:cs="Arial"/>
        </w:rPr>
        <w:t xml:space="preserve">Se </w:t>
      </w:r>
      <w:r w:rsidRPr="0022282D">
        <w:rPr>
          <w:rFonts w:cs="Arial"/>
          <w:b/>
        </w:rPr>
        <w:t>ORDENA</w:t>
      </w:r>
      <w:r w:rsidRPr="0022282D">
        <w:rPr>
          <w:rFonts w:cs="Arial"/>
        </w:rPr>
        <w:t xml:space="preserve"> al </w:t>
      </w:r>
      <w:r w:rsidRPr="0022282D">
        <w:rPr>
          <w:rFonts w:cs="Arial"/>
          <w:b/>
        </w:rPr>
        <w:t>SUJETO OBLIGADO</w:t>
      </w:r>
      <w:r w:rsidRPr="0022282D">
        <w:rPr>
          <w:rFonts w:cs="Arial"/>
        </w:rPr>
        <w:t xml:space="preserve"> realizar una búsqueda exhaustiva y razonable a fin de entregar al </w:t>
      </w:r>
      <w:r w:rsidRPr="0022282D">
        <w:rPr>
          <w:rFonts w:cs="Arial"/>
          <w:b/>
          <w:bCs/>
        </w:rPr>
        <w:t xml:space="preserve">RECURRENTE, </w:t>
      </w:r>
      <w:r w:rsidRPr="0022282D">
        <w:rPr>
          <w:rFonts w:cs="Arial"/>
        </w:rPr>
        <w:t xml:space="preserve">en términos del Considerando </w:t>
      </w:r>
      <w:r w:rsidRPr="0022282D">
        <w:rPr>
          <w:rFonts w:cs="Arial"/>
          <w:b/>
          <w:bCs/>
        </w:rPr>
        <w:t xml:space="preserve">CUARTO </w:t>
      </w:r>
      <w:r w:rsidRPr="0022282D">
        <w:rPr>
          <w:rFonts w:cs="Arial"/>
        </w:rPr>
        <w:t xml:space="preserve">de esta resolución, en versión pública de ser procedente, a través del Sistema de Acceso a la Información Mexiquense </w:t>
      </w:r>
      <w:r w:rsidRPr="0022282D">
        <w:rPr>
          <w:rFonts w:cs="Arial"/>
          <w:b/>
          <w:bCs/>
        </w:rPr>
        <w:t xml:space="preserve">(SAIMEX), </w:t>
      </w:r>
      <w:r w:rsidRPr="0022282D">
        <w:rPr>
          <w:rFonts w:cs="Arial"/>
        </w:rPr>
        <w:t xml:space="preserve">de lo siguiente: </w:t>
      </w:r>
    </w:p>
    <w:p w14:paraId="7642C653" w14:textId="77777777" w:rsidR="00344178" w:rsidRPr="0022282D" w:rsidRDefault="00344178" w:rsidP="00344178">
      <w:pPr>
        <w:autoSpaceDE w:val="0"/>
        <w:autoSpaceDN w:val="0"/>
        <w:adjustRightInd w:val="0"/>
        <w:ind w:right="49"/>
        <w:rPr>
          <w:rFonts w:cs="Arial"/>
        </w:rPr>
      </w:pPr>
    </w:p>
    <w:p w14:paraId="7ABF63E5" w14:textId="784E697B" w:rsidR="00344178" w:rsidRPr="0022282D" w:rsidRDefault="005003AC" w:rsidP="005003AC">
      <w:pPr>
        <w:pStyle w:val="Prrafodelista"/>
        <w:numPr>
          <w:ilvl w:val="0"/>
          <w:numId w:val="72"/>
        </w:numPr>
        <w:contextualSpacing/>
      </w:pPr>
      <w:r w:rsidRPr="0022282D">
        <w:t>Documento o documentos de seguimiento de parte de la Dirección de Medio Ambiente y Ecología al 22 de septiembre de 2025, al oficio No. DPCB/ECA/1368/2025 de fecha 03 de junio de 2025.</w:t>
      </w:r>
      <w:r w:rsidR="00344178" w:rsidRPr="0022282D">
        <w:rPr>
          <w:color w:val="000000"/>
        </w:rPr>
        <w:t xml:space="preserve"> </w:t>
      </w:r>
    </w:p>
    <w:p w14:paraId="1B68513D" w14:textId="77777777" w:rsidR="00344178" w:rsidRPr="0022282D" w:rsidRDefault="00344178" w:rsidP="00344178">
      <w:pPr>
        <w:pStyle w:val="Sinespaciado"/>
        <w:spacing w:line="360" w:lineRule="auto"/>
        <w:ind w:left="360"/>
        <w:jc w:val="both"/>
        <w:rPr>
          <w:rFonts w:ascii="Palatino Linotype" w:hAnsi="Palatino Linotype" w:cs="Arial"/>
          <w:i/>
        </w:rPr>
      </w:pPr>
    </w:p>
    <w:p w14:paraId="0C014D2E" w14:textId="77777777" w:rsidR="00344178" w:rsidRPr="0022282D" w:rsidRDefault="00344178" w:rsidP="00344178">
      <w:pPr>
        <w:pStyle w:val="NormalINFOEM"/>
        <w:ind w:left="567" w:right="567"/>
        <w:rPr>
          <w:i/>
          <w:szCs w:val="24"/>
        </w:rPr>
      </w:pPr>
      <w:r w:rsidRPr="0022282D">
        <w:rPr>
          <w:i/>
          <w:szCs w:val="24"/>
        </w:rPr>
        <w:lastRenderedPageBreak/>
        <w:t>De ser procedente, 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8FAA425" w14:textId="77777777" w:rsidR="00344178" w:rsidRPr="0022282D" w:rsidRDefault="00344178" w:rsidP="00344178">
      <w:pPr>
        <w:pStyle w:val="NormalINFOEM"/>
        <w:ind w:left="567" w:right="567"/>
        <w:rPr>
          <w:i/>
          <w:szCs w:val="24"/>
        </w:rPr>
      </w:pPr>
    </w:p>
    <w:p w14:paraId="3277EF64" w14:textId="77777777" w:rsidR="00344178" w:rsidRPr="0022282D" w:rsidRDefault="00344178" w:rsidP="00344178">
      <w:pPr>
        <w:pStyle w:val="NormalINFOEM"/>
        <w:ind w:left="567" w:right="567"/>
        <w:rPr>
          <w:i/>
          <w:szCs w:val="24"/>
        </w:rPr>
      </w:pPr>
      <w:r w:rsidRPr="0022282D">
        <w:rPr>
          <w:rFonts w:eastAsia="Palatino Linotype" w:cs="Palatino Linotype"/>
          <w:i/>
          <w:lang w:val="es-ES"/>
        </w:rPr>
        <w:t xml:space="preserve">En el supuesto de que la documentación descrita en el punto 1 no obre en los archivos de las áreas competentes del Sujeto Obligado, se </w:t>
      </w:r>
      <w:r w:rsidRPr="0022282D">
        <w:rPr>
          <w:i/>
          <w:szCs w:val="24"/>
        </w:rPr>
        <w:t>deberá hacer entrega del Acuerdo emitido por el Comité de Transparencia mediante el cual, de manera fundada y motivada, se declare la inexistencia de la información, en términos de los artículos 19 tercer párrafo, 169 y 170 de la Ley de Transparencia y Acceso a la Información Pública del Estado de México y Municipios.</w:t>
      </w:r>
    </w:p>
    <w:p w14:paraId="3E27A1E6" w14:textId="77777777" w:rsidR="00344178" w:rsidRPr="0022282D" w:rsidRDefault="00344178" w:rsidP="00344178">
      <w:pPr>
        <w:pStyle w:val="Citas"/>
        <w:spacing w:before="0" w:after="0"/>
        <w:ind w:left="360" w:right="0"/>
        <w:rPr>
          <w:sz w:val="24"/>
          <w:szCs w:val="24"/>
          <w:lang w:val="es-ES"/>
        </w:rPr>
      </w:pPr>
    </w:p>
    <w:p w14:paraId="117AD4D7" w14:textId="77777777" w:rsidR="00344178" w:rsidRPr="0022282D" w:rsidRDefault="00344178" w:rsidP="00344178">
      <w:pPr>
        <w:autoSpaceDE w:val="0"/>
        <w:autoSpaceDN w:val="0"/>
        <w:adjustRightInd w:val="0"/>
        <w:ind w:right="49"/>
        <w:rPr>
          <w:rFonts w:cstheme="minorHAnsi"/>
        </w:rPr>
      </w:pPr>
      <w:r w:rsidRPr="0022282D">
        <w:rPr>
          <w:rFonts w:cs="Arial"/>
          <w:b/>
          <w:sz w:val="28"/>
          <w:szCs w:val="28"/>
        </w:rPr>
        <w:t>TERCERO.</w:t>
      </w:r>
      <w:r w:rsidRPr="0022282D">
        <w:rPr>
          <w:rFonts w:cs="Arial"/>
          <w:b/>
        </w:rPr>
        <w:t xml:space="preserve"> </w:t>
      </w:r>
      <w:r w:rsidRPr="0022282D">
        <w:rPr>
          <w:rFonts w:cstheme="minorHAnsi"/>
          <w:b/>
        </w:rPr>
        <w:t>NOTIFÍQUESE</w:t>
      </w:r>
      <w:r w:rsidRPr="0022282D">
        <w:rPr>
          <w:rFonts w:cstheme="minorHAnsi"/>
          <w:i/>
        </w:rPr>
        <w:t xml:space="preserve"> </w:t>
      </w:r>
      <w:r w:rsidRPr="0022282D">
        <w:rPr>
          <w:rFonts w:cstheme="minorHAnsi"/>
        </w:rPr>
        <w:t xml:space="preserve">la presente resolución al Titular de la Unidad de Transparencia del Sujeto Obligado, </w:t>
      </w:r>
      <w:r w:rsidRPr="0022282D">
        <w:rPr>
          <w:rFonts w:cs="Arial"/>
          <w:b/>
          <w:lang w:eastAsia="es-ES"/>
        </w:rPr>
        <w:t xml:space="preserve">vía </w:t>
      </w:r>
      <w:r w:rsidRPr="0022282D">
        <w:rPr>
          <w:rFonts w:cs="Arial"/>
        </w:rPr>
        <w:t xml:space="preserve">Sistema de Acceso a la Información Mexiquense </w:t>
      </w:r>
      <w:r w:rsidRPr="0022282D">
        <w:rPr>
          <w:rFonts w:cs="Arial"/>
          <w:b/>
        </w:rPr>
        <w:t xml:space="preserve">(SAIMEX), </w:t>
      </w:r>
      <w:r w:rsidRPr="0022282D">
        <w:rPr>
          <w:rFonts w:cstheme="minorHAnsi"/>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43FF3E" w14:textId="77777777" w:rsidR="00344178" w:rsidRPr="0022282D" w:rsidRDefault="00344178" w:rsidP="00344178">
      <w:pPr>
        <w:autoSpaceDE w:val="0"/>
        <w:autoSpaceDN w:val="0"/>
        <w:adjustRightInd w:val="0"/>
        <w:ind w:right="49"/>
        <w:rPr>
          <w:rFonts w:cstheme="minorHAnsi"/>
        </w:rPr>
      </w:pPr>
    </w:p>
    <w:p w14:paraId="3BA3BDC6" w14:textId="77777777" w:rsidR="00344178" w:rsidRPr="0022282D" w:rsidRDefault="00344178" w:rsidP="00344178">
      <w:pPr>
        <w:autoSpaceDE w:val="0"/>
        <w:autoSpaceDN w:val="0"/>
        <w:adjustRightInd w:val="0"/>
        <w:rPr>
          <w:rFonts w:cs="Arial"/>
          <w:lang w:eastAsia="es-ES"/>
        </w:rPr>
      </w:pPr>
      <w:r w:rsidRPr="0022282D">
        <w:rPr>
          <w:rFonts w:cs="Arial"/>
          <w:b/>
          <w:sz w:val="28"/>
          <w:szCs w:val="28"/>
          <w:lang w:eastAsia="es-ES"/>
        </w:rPr>
        <w:lastRenderedPageBreak/>
        <w:t>CUARTO.</w:t>
      </w:r>
      <w:r w:rsidRPr="0022282D">
        <w:rPr>
          <w:rFonts w:cs="Arial"/>
          <w:b/>
          <w:lang w:eastAsia="es-ES"/>
        </w:rPr>
        <w:t xml:space="preserve"> </w:t>
      </w:r>
      <w:r w:rsidRPr="0022282D">
        <w:rPr>
          <w:rFonts w:cs="Arial"/>
          <w:lang w:eastAsia="es-ES"/>
        </w:rPr>
        <w:t xml:space="preserve">De conformidad con el artículo 198 de la Ley de Transparencia y Acceso a la Información Pública del Estado de México y Municipios, de considerarlo procedente, el </w:t>
      </w:r>
      <w:r w:rsidRPr="0022282D">
        <w:rPr>
          <w:rFonts w:cs="Arial"/>
          <w:b/>
          <w:lang w:eastAsia="es-ES"/>
        </w:rPr>
        <w:t>Sujeto Obligado</w:t>
      </w:r>
      <w:r w:rsidRPr="0022282D">
        <w:rPr>
          <w:rFonts w:cs="Arial"/>
          <w:lang w:eastAsia="es-ES"/>
        </w:rPr>
        <w:t xml:space="preserve"> de manera fundada y motivada, podrá solicitar una ampliación de plazo para el cumplimiento de la presente resolución.</w:t>
      </w:r>
    </w:p>
    <w:p w14:paraId="13B41D04" w14:textId="77777777" w:rsidR="00344178" w:rsidRPr="0022282D" w:rsidRDefault="00344178" w:rsidP="00344178">
      <w:pPr>
        <w:rPr>
          <w:rFonts w:cs="Arial"/>
          <w:b/>
          <w:sz w:val="28"/>
          <w:szCs w:val="28"/>
          <w:lang w:eastAsia="es-ES"/>
        </w:rPr>
      </w:pPr>
    </w:p>
    <w:p w14:paraId="6678700C" w14:textId="7FC9CBE3" w:rsidR="00862FC2" w:rsidRPr="0022282D" w:rsidRDefault="00344178" w:rsidP="00344178">
      <w:pPr>
        <w:pStyle w:val="Sinespaciado"/>
        <w:spacing w:line="360" w:lineRule="auto"/>
        <w:jc w:val="both"/>
        <w:rPr>
          <w:rFonts w:ascii="Palatino Linotype" w:hAnsi="Palatino Linotype"/>
          <w:lang w:val="es-ES_tradnl"/>
        </w:rPr>
      </w:pPr>
      <w:r w:rsidRPr="0022282D">
        <w:rPr>
          <w:rFonts w:ascii="Palatino Linotype" w:hAnsi="Palatino Linotype" w:cs="Arial"/>
          <w:b/>
          <w:sz w:val="28"/>
          <w:szCs w:val="28"/>
        </w:rPr>
        <w:t>QUINTO.</w:t>
      </w:r>
      <w:r w:rsidRPr="0022282D">
        <w:rPr>
          <w:rFonts w:ascii="Palatino Linotype" w:hAnsi="Palatino Linotype" w:cs="Arial"/>
          <w:b/>
        </w:rPr>
        <w:t xml:space="preserve"> NOTIFÍQUESE </w:t>
      </w:r>
      <w:r w:rsidRPr="0022282D">
        <w:rPr>
          <w:rFonts w:ascii="Palatino Linotype" w:hAnsi="Palatino Linotype" w:cs="Arial"/>
        </w:rPr>
        <w:t xml:space="preserve">la presente resolución al </w:t>
      </w:r>
      <w:r w:rsidRPr="0022282D">
        <w:rPr>
          <w:rFonts w:ascii="Palatino Linotype" w:hAnsi="Palatino Linotype" w:cs="Arial"/>
          <w:b/>
        </w:rPr>
        <w:t xml:space="preserve">RECURRENTE vía </w:t>
      </w:r>
      <w:r w:rsidRPr="0022282D">
        <w:rPr>
          <w:rFonts w:ascii="Palatino Linotype" w:hAnsi="Palatino Linotype" w:cs="Arial"/>
        </w:rPr>
        <w:t xml:space="preserve">Sistema de Acceso a la Información Mexiquense </w:t>
      </w:r>
      <w:r w:rsidRPr="0022282D">
        <w:rPr>
          <w:rFonts w:ascii="Palatino Linotype" w:hAnsi="Palatino Linotype" w:cs="Arial"/>
          <w:b/>
        </w:rPr>
        <w:t xml:space="preserve">(SAIMEX) </w:t>
      </w:r>
      <w:r w:rsidRPr="0022282D">
        <w:rPr>
          <w:rFonts w:ascii="Palatino Linotype" w:hAnsi="Palatino Linotype" w:cs="Arial"/>
        </w:rPr>
        <w:t xml:space="preserve">y hágase de su conocimiento que, </w:t>
      </w:r>
      <w:r w:rsidRPr="0022282D">
        <w:rPr>
          <w:rFonts w:ascii="Palatino Linotype" w:hAnsi="Palatino Linotype"/>
          <w:color w:val="222222"/>
          <w:shd w:val="clear" w:color="auto" w:fill="FFFFFF"/>
        </w:rPr>
        <w:t xml:space="preserve">de conformidad con lo </w:t>
      </w:r>
      <w:r w:rsidRPr="0022282D">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22282D">
        <w:rPr>
          <w:rFonts w:ascii="Palatino Linotype" w:hAnsi="Palatino Linotype"/>
          <w:color w:val="222222"/>
          <w:shd w:val="clear" w:color="auto" w:fill="FFFFFF"/>
        </w:rPr>
        <w:t xml:space="preserve">leyes </w:t>
      </w:r>
      <w:r w:rsidRPr="0022282D">
        <w:rPr>
          <w:rFonts w:ascii="Palatino Linotype" w:hAnsi="Palatino Linotype"/>
          <w:color w:val="222222"/>
        </w:rPr>
        <w:t>aplicables.</w:t>
      </w:r>
    </w:p>
    <w:p w14:paraId="6FBE17F9" w14:textId="77777777" w:rsidR="003D2B44" w:rsidRPr="0022282D" w:rsidRDefault="003D2B44" w:rsidP="00297D07">
      <w:pPr>
        <w:contextualSpacing/>
        <w:rPr>
          <w:lang w:val="es-MX"/>
        </w:rPr>
      </w:pPr>
    </w:p>
    <w:p w14:paraId="20573BFF" w14:textId="6101BA98" w:rsidR="00A970D5" w:rsidRPr="0022282D" w:rsidRDefault="0022282D" w:rsidP="00297D07">
      <w:pPr>
        <w:pBdr>
          <w:top w:val="nil"/>
          <w:left w:val="nil"/>
          <w:bottom w:val="nil"/>
          <w:right w:val="nil"/>
          <w:between w:val="nil"/>
        </w:pBdr>
        <w:contextualSpacing/>
        <w:rPr>
          <w:rFonts w:eastAsia="Palatino Linotype" w:cs="Palatino Linotype"/>
          <w:color w:val="000000"/>
          <w:szCs w:val="24"/>
        </w:rPr>
      </w:pPr>
      <w:r w:rsidRPr="0022282D">
        <w:rPr>
          <w:rFonts w:eastAsiaTheme="minorHAnsi" w:cs="Arial"/>
          <w:lang w:val="es-MX" w:eastAsia="en-US"/>
        </w:rPr>
        <w:t>ASÍ LO RESUELVE, POR UNANIMIDAD DE VOTOS, EL PLENO DEL</w:t>
      </w:r>
      <w:r w:rsidRPr="0022282D">
        <w:rPr>
          <w:rFonts w:eastAsia="Arial Unicode MS" w:cs="Arial"/>
          <w:lang w:val="es-MX" w:eastAsia="en-US"/>
        </w:rPr>
        <w:t xml:space="preserve"> INSTITUTO DE TRANSPARENCIA, ACCESO A LA INFORMACIÓN PÚBLICA Y PROTECCIÓN DE DATOS PERSONALES DEL ESTADO DE MÉXICO Y MUNICIPIOS</w:t>
      </w:r>
      <w:r w:rsidRPr="0022282D">
        <w:rPr>
          <w:rFonts w:eastAsiaTheme="minorHAnsi" w:cs="Arial"/>
          <w:lang w:val="es-MX" w:eastAsia="en-US"/>
        </w:rPr>
        <w:t xml:space="preserve">, CONFORMADO POR LOS COMISIONADOS JOSÉ MARTÍNEZ VILCHIS; MARÍA DEL ROSARIO MEJÍA AYALA; SHARON CRISTINA MORALES MARTÍNEZ; LUIS GUSTAVO PARRA NORIEGA Y GUADALUPE RAMÍREZ PEÑA; EN LA </w:t>
      </w:r>
      <w:r w:rsidRPr="0022282D">
        <w:rPr>
          <w:rFonts w:cs="Arial"/>
        </w:rPr>
        <w:t>VIGÉSIMA TERCERA SESIÓN ORDINARIA, CELEBRADA EL VEINTICINCO DE JUNIO DE DOS MIL VEINTISÉIS</w:t>
      </w:r>
      <w:r w:rsidRPr="0022282D">
        <w:rPr>
          <w:rFonts w:eastAsiaTheme="minorHAnsi" w:cs="Arial"/>
          <w:lang w:val="es-MX" w:eastAsia="en-US"/>
        </w:rPr>
        <w:t>, ANTE EL SECRETARIO TÉCNICO, ALEXIS TAPIA RAMÍREZ</w:t>
      </w:r>
      <w:r w:rsidR="00A970D5" w:rsidRPr="0022282D">
        <w:rPr>
          <w:rFonts w:eastAsia="Palatino Linotype" w:cs="Palatino Linotype"/>
          <w:color w:val="000000"/>
          <w:szCs w:val="24"/>
        </w:rPr>
        <w:t>.</w:t>
      </w:r>
      <w:r w:rsidR="001957CF" w:rsidRPr="0022282D">
        <w:rPr>
          <w:rFonts w:eastAsia="Palatino Linotype" w:cs="Palatino Linotype"/>
          <w:color w:val="000000"/>
          <w:szCs w:val="24"/>
        </w:rPr>
        <w:t>--------------</w:t>
      </w:r>
      <w:r w:rsidR="00C6512A" w:rsidRPr="0022282D">
        <w:rPr>
          <w:rFonts w:eastAsia="Palatino Linotype" w:cs="Palatino Linotype"/>
          <w:color w:val="000000"/>
          <w:szCs w:val="24"/>
        </w:rPr>
        <w:t>---------</w:t>
      </w:r>
      <w:r w:rsidR="00337FA1" w:rsidRPr="0022282D">
        <w:rPr>
          <w:rFonts w:eastAsia="Palatino Linotype" w:cs="Palatino Linotype"/>
          <w:color w:val="000000"/>
          <w:szCs w:val="24"/>
        </w:rPr>
        <w:t>-----</w:t>
      </w:r>
      <w:r w:rsidR="0075725A" w:rsidRPr="0022282D">
        <w:rPr>
          <w:rFonts w:eastAsia="Palatino Linotype" w:cs="Palatino Linotype"/>
          <w:color w:val="000000"/>
          <w:szCs w:val="24"/>
        </w:rPr>
        <w:t>-------------------------------------------------------------------------------------------------------------------------------------------------------------------------------------------------------------------------------------</w:t>
      </w:r>
      <w:r w:rsidR="00BC2E3C" w:rsidRPr="0022282D">
        <w:rPr>
          <w:rFonts w:eastAsia="Palatino Linotype" w:cs="Palatino Linotype"/>
          <w:color w:val="000000"/>
          <w:szCs w:val="24"/>
        </w:rPr>
        <w:t>------------------------------------------------------------------------------------------------------------</w:t>
      </w:r>
    </w:p>
    <w:p w14:paraId="4DA57669" w14:textId="41E4B324" w:rsidR="00A970D5" w:rsidRPr="004B7011" w:rsidRDefault="44E9108F" w:rsidP="00297D07">
      <w:pPr>
        <w:pBdr>
          <w:top w:val="nil"/>
          <w:left w:val="nil"/>
          <w:bottom w:val="nil"/>
          <w:right w:val="nil"/>
          <w:between w:val="nil"/>
        </w:pBdr>
        <w:contextualSpacing/>
        <w:rPr>
          <w:rFonts w:eastAsia="Palatino Linotype" w:cs="Palatino Linotype"/>
          <w:color w:val="000000"/>
          <w:sz w:val="20"/>
          <w:szCs w:val="20"/>
          <w:lang w:val="es-ES"/>
        </w:rPr>
      </w:pPr>
      <w:r w:rsidRPr="0022282D">
        <w:rPr>
          <w:rFonts w:eastAsia="Palatino Linotype" w:cs="Palatino Linotype"/>
          <w:color w:val="000000" w:themeColor="text1"/>
          <w:sz w:val="20"/>
          <w:szCs w:val="20"/>
          <w:lang w:val="es-ES"/>
        </w:rPr>
        <w:t>JMV/CCR/</w:t>
      </w:r>
    </w:p>
    <w:p w14:paraId="5FBC6CA4"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297D07">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297D07"/>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2C85A" w14:textId="77777777" w:rsidR="006C721D" w:rsidRDefault="006C721D" w:rsidP="00F2498E">
      <w:pPr>
        <w:spacing w:line="240" w:lineRule="auto"/>
      </w:pPr>
      <w:r>
        <w:separator/>
      </w:r>
    </w:p>
  </w:endnote>
  <w:endnote w:type="continuationSeparator" w:id="0">
    <w:p w14:paraId="2CF6DC8B" w14:textId="77777777" w:rsidR="006C721D" w:rsidRDefault="006C721D" w:rsidP="00F2498E">
      <w:pPr>
        <w:spacing w:line="240" w:lineRule="auto"/>
      </w:pPr>
      <w:r>
        <w:continuationSeparator/>
      </w:r>
    </w:p>
  </w:endnote>
  <w:endnote w:type="continuationNotice" w:id="1">
    <w:p w14:paraId="2391BEA8" w14:textId="77777777" w:rsidR="006C721D" w:rsidRDefault="006C72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A5A894B" w:rsidR="00862FC2" w:rsidRPr="00871A91" w:rsidRDefault="00862FC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5458">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5458">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FB9836B" w:rsidR="00862FC2" w:rsidRPr="00871A91" w:rsidRDefault="00862FC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545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5458">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51FAB" w14:textId="77777777" w:rsidR="006C721D" w:rsidRDefault="006C721D" w:rsidP="00F2498E">
      <w:pPr>
        <w:spacing w:line="240" w:lineRule="auto"/>
      </w:pPr>
      <w:r>
        <w:separator/>
      </w:r>
    </w:p>
  </w:footnote>
  <w:footnote w:type="continuationSeparator" w:id="0">
    <w:p w14:paraId="3185BCBD" w14:textId="77777777" w:rsidR="006C721D" w:rsidRDefault="006C721D" w:rsidP="00F2498E">
      <w:pPr>
        <w:spacing w:line="240" w:lineRule="auto"/>
      </w:pPr>
      <w:r>
        <w:continuationSeparator/>
      </w:r>
    </w:p>
  </w:footnote>
  <w:footnote w:type="continuationNotice" w:id="1">
    <w:p w14:paraId="74DFF566" w14:textId="77777777" w:rsidR="006C721D" w:rsidRDefault="006C721D">
      <w:pPr>
        <w:spacing w:line="240" w:lineRule="auto"/>
      </w:pPr>
    </w:p>
  </w:footnote>
  <w:footnote w:id="2">
    <w:p w14:paraId="2BCE50A0" w14:textId="77777777" w:rsidR="00862FC2" w:rsidRPr="0031280C" w:rsidRDefault="00862FC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62FC2" w:rsidRPr="0031280C" w:rsidRDefault="00862FC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62FC2" w:rsidRPr="0031280C" w:rsidRDefault="00862FC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62FC2" w:rsidRPr="0031280C" w:rsidRDefault="00862FC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62FC2" w:rsidRDefault="006C721D">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62FC2" w:rsidRPr="00B17577" w14:paraId="37B9EBDE" w14:textId="77777777" w:rsidTr="003938ED">
      <w:trPr>
        <w:trHeight w:val="227"/>
      </w:trPr>
      <w:tc>
        <w:tcPr>
          <w:tcW w:w="5103" w:type="dxa"/>
          <w:hideMark/>
        </w:tcPr>
        <w:p w14:paraId="4964FBC5" w14:textId="54CDA645" w:rsidR="00862FC2" w:rsidRPr="00096248" w:rsidRDefault="00862FC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E3C18F1" w:rsidR="00862FC2" w:rsidRPr="00096248" w:rsidRDefault="005D0E71" w:rsidP="00011C4D">
          <w:pPr>
            <w:spacing w:after="120" w:line="240" w:lineRule="auto"/>
            <w:ind w:right="71"/>
            <w:jc w:val="right"/>
            <w:rPr>
              <w:rFonts w:cs="Arial"/>
              <w:b/>
              <w:szCs w:val="24"/>
            </w:rPr>
          </w:pPr>
          <w:r>
            <w:rPr>
              <w:rFonts w:cs="Arial"/>
              <w:b/>
              <w:bCs/>
              <w:szCs w:val="24"/>
            </w:rPr>
            <w:t>12255</w:t>
          </w:r>
          <w:r w:rsidR="00862FC2">
            <w:rPr>
              <w:rFonts w:cs="Arial"/>
              <w:b/>
              <w:bCs/>
              <w:szCs w:val="24"/>
            </w:rPr>
            <w:t>/INFOEM/IP/RR/2025</w:t>
          </w:r>
        </w:p>
      </w:tc>
    </w:tr>
    <w:tr w:rsidR="00862FC2" w14:paraId="7591D3C9" w14:textId="77777777" w:rsidTr="003938ED">
      <w:trPr>
        <w:trHeight w:val="242"/>
      </w:trPr>
      <w:tc>
        <w:tcPr>
          <w:tcW w:w="5103" w:type="dxa"/>
          <w:hideMark/>
        </w:tcPr>
        <w:p w14:paraId="729A65A8" w14:textId="77777777" w:rsidR="00862FC2" w:rsidRPr="00096248" w:rsidRDefault="00862FC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634093C" w:rsidR="00862FC2" w:rsidRPr="00476F2B" w:rsidRDefault="005D0E71" w:rsidP="00011C4D">
          <w:pPr>
            <w:spacing w:after="120" w:line="240" w:lineRule="auto"/>
            <w:ind w:left="-81" w:right="71"/>
            <w:jc w:val="right"/>
            <w:rPr>
              <w:rFonts w:cs="Arial"/>
              <w:b/>
              <w:szCs w:val="24"/>
            </w:rPr>
          </w:pPr>
          <w:r w:rsidRPr="005D0E71">
            <w:rPr>
              <w:rFonts w:cs="Arial"/>
              <w:b/>
              <w:szCs w:val="24"/>
            </w:rPr>
            <w:t>Ayuntamiento de Ecatepec de Morelos</w:t>
          </w:r>
        </w:p>
      </w:tc>
    </w:tr>
    <w:tr w:rsidR="00862FC2" w:rsidRPr="00F63239" w14:paraId="037E914D" w14:textId="77777777" w:rsidTr="003938ED">
      <w:trPr>
        <w:trHeight w:val="342"/>
      </w:trPr>
      <w:tc>
        <w:tcPr>
          <w:tcW w:w="5103" w:type="dxa"/>
          <w:hideMark/>
        </w:tcPr>
        <w:p w14:paraId="7676B68F" w14:textId="64D69EAF" w:rsidR="00862FC2" w:rsidRPr="00096248" w:rsidRDefault="00862FC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62FC2" w:rsidRPr="00476F2B" w:rsidRDefault="00862FC2" w:rsidP="00011C4D">
          <w:pPr>
            <w:spacing w:after="120" w:line="240" w:lineRule="auto"/>
            <w:ind w:left="-486" w:right="71" w:firstLine="567"/>
            <w:jc w:val="right"/>
            <w:rPr>
              <w:rFonts w:cs="Arial"/>
              <w:b/>
              <w:szCs w:val="24"/>
            </w:rPr>
          </w:pPr>
          <w:r w:rsidRPr="00476F2B">
            <w:rPr>
              <w:rFonts w:cs="Arial"/>
              <w:b/>
              <w:szCs w:val="24"/>
            </w:rPr>
            <w:t>José Martínez Vilchis</w:t>
          </w:r>
        </w:p>
        <w:p w14:paraId="4346858F" w14:textId="5DD8E345" w:rsidR="00862FC2" w:rsidRPr="00476F2B" w:rsidRDefault="00862FC2" w:rsidP="00011C4D">
          <w:pPr>
            <w:spacing w:after="120" w:line="240" w:lineRule="auto"/>
            <w:ind w:left="-486" w:right="71" w:firstLine="567"/>
            <w:jc w:val="right"/>
            <w:rPr>
              <w:rFonts w:cs="Arial"/>
              <w:b/>
              <w:sz w:val="2"/>
              <w:szCs w:val="2"/>
            </w:rPr>
          </w:pPr>
        </w:p>
      </w:tc>
    </w:tr>
  </w:tbl>
  <w:p w14:paraId="2998DBFD" w14:textId="25A9F426" w:rsidR="00862FC2" w:rsidRPr="00871A91" w:rsidRDefault="006C721D">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62FC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62FC2" w14:paraId="0F9FE9B6" w14:textId="77777777" w:rsidTr="70652167">
      <w:trPr>
        <w:trHeight w:val="227"/>
      </w:trPr>
      <w:tc>
        <w:tcPr>
          <w:tcW w:w="5103" w:type="dxa"/>
          <w:hideMark/>
        </w:tcPr>
        <w:p w14:paraId="6D1D9D71" w14:textId="11150E5A" w:rsidR="00862FC2" w:rsidRPr="00663A37" w:rsidRDefault="00862FC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E595027" w:rsidR="00862FC2" w:rsidRPr="00C81ECD" w:rsidRDefault="005D0E71" w:rsidP="00011C4D">
          <w:pPr>
            <w:spacing w:after="120" w:line="240" w:lineRule="auto"/>
            <w:ind w:left="-486" w:right="68" w:firstLine="558"/>
            <w:jc w:val="right"/>
            <w:rPr>
              <w:rFonts w:cs="Arial"/>
              <w:b/>
              <w:szCs w:val="24"/>
            </w:rPr>
          </w:pPr>
          <w:r>
            <w:rPr>
              <w:rFonts w:cs="Arial"/>
              <w:b/>
              <w:bCs/>
              <w:szCs w:val="24"/>
            </w:rPr>
            <w:t>12255</w:t>
          </w:r>
          <w:r w:rsidR="00862FC2">
            <w:rPr>
              <w:rFonts w:cs="Arial"/>
              <w:b/>
              <w:bCs/>
              <w:szCs w:val="24"/>
            </w:rPr>
            <w:t>/INFOEM/IP/RR/2025</w:t>
          </w:r>
        </w:p>
      </w:tc>
    </w:tr>
    <w:tr w:rsidR="00862FC2" w:rsidRPr="001F57CD" w14:paraId="1377D264" w14:textId="77777777" w:rsidTr="70652167">
      <w:trPr>
        <w:trHeight w:val="196"/>
      </w:trPr>
      <w:tc>
        <w:tcPr>
          <w:tcW w:w="5103" w:type="dxa"/>
          <w:hideMark/>
        </w:tcPr>
        <w:p w14:paraId="04D597A1" w14:textId="77777777" w:rsidR="00862FC2" w:rsidRPr="00663A37" w:rsidRDefault="00862FC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F480AD3" w:rsidR="00862FC2" w:rsidRPr="00476F2B" w:rsidRDefault="000A5458" w:rsidP="70652167">
          <w:pPr>
            <w:spacing w:after="120" w:line="240" w:lineRule="auto"/>
            <w:ind w:right="68"/>
            <w:jc w:val="right"/>
            <w:rPr>
              <w:rFonts w:cs="Arial"/>
              <w:b/>
              <w:lang w:val="es-ES"/>
            </w:rPr>
          </w:pPr>
          <w:proofErr w:type="spellStart"/>
          <w:r>
            <w:rPr>
              <w:rFonts w:cs="Arial"/>
              <w:b/>
              <w:lang w:val="es-ES"/>
            </w:rPr>
            <w:t>xxxxxxxxxxxxxxxxxxxxxxxxxxxxxxxxxxxxxxxxxxx</w:t>
          </w:r>
          <w:proofErr w:type="spellEnd"/>
        </w:p>
      </w:tc>
    </w:tr>
    <w:tr w:rsidR="00862FC2" w14:paraId="4DC11993" w14:textId="77777777" w:rsidTr="70652167">
      <w:trPr>
        <w:trHeight w:val="242"/>
      </w:trPr>
      <w:tc>
        <w:tcPr>
          <w:tcW w:w="5103" w:type="dxa"/>
          <w:hideMark/>
        </w:tcPr>
        <w:p w14:paraId="76CEF1B5" w14:textId="77777777" w:rsidR="00862FC2" w:rsidRPr="00663A37" w:rsidRDefault="00862FC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77A3A68" w:rsidR="00862FC2" w:rsidRPr="00476F2B" w:rsidRDefault="005D0E71" w:rsidP="00771E23">
          <w:pPr>
            <w:spacing w:after="120" w:line="240" w:lineRule="auto"/>
            <w:ind w:left="-70" w:right="68"/>
            <w:jc w:val="right"/>
            <w:rPr>
              <w:rFonts w:cs="Arial"/>
              <w:b/>
              <w:szCs w:val="24"/>
            </w:rPr>
          </w:pPr>
          <w:r w:rsidRPr="005D0E71">
            <w:rPr>
              <w:rFonts w:cs="Arial"/>
              <w:b/>
              <w:szCs w:val="24"/>
            </w:rPr>
            <w:t>Ayuntamiento de Ecatepec de Morelos</w:t>
          </w:r>
        </w:p>
      </w:tc>
    </w:tr>
    <w:tr w:rsidR="00862FC2" w14:paraId="5C2B511D" w14:textId="77777777" w:rsidTr="70652167">
      <w:trPr>
        <w:trHeight w:val="342"/>
      </w:trPr>
      <w:tc>
        <w:tcPr>
          <w:tcW w:w="5103" w:type="dxa"/>
          <w:hideMark/>
        </w:tcPr>
        <w:p w14:paraId="03FEF68C" w14:textId="45E91CF4" w:rsidR="00862FC2" w:rsidRPr="00663A37" w:rsidRDefault="00862FC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62FC2" w:rsidRPr="00476F2B" w:rsidRDefault="00862FC2" w:rsidP="00011C4D">
          <w:pPr>
            <w:spacing w:after="120" w:line="240" w:lineRule="auto"/>
            <w:ind w:left="-486" w:right="68" w:firstLine="567"/>
            <w:jc w:val="right"/>
            <w:rPr>
              <w:rFonts w:cs="Arial"/>
              <w:b/>
              <w:szCs w:val="24"/>
            </w:rPr>
          </w:pPr>
          <w:r w:rsidRPr="00476F2B">
            <w:rPr>
              <w:rFonts w:cs="Arial"/>
              <w:b/>
              <w:szCs w:val="24"/>
            </w:rPr>
            <w:t>José Martínez Vilchis</w:t>
          </w:r>
        </w:p>
      </w:tc>
    </w:tr>
  </w:tbl>
  <w:p w14:paraId="04D3BBA0" w14:textId="1BA89CC1" w:rsidR="00862FC2" w:rsidRPr="00871A91" w:rsidRDefault="006C721D">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862FC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A702E2"/>
    <w:multiLevelType w:val="hybridMultilevel"/>
    <w:tmpl w:val="7DAA4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0696FA2"/>
    <w:multiLevelType w:val="hybridMultilevel"/>
    <w:tmpl w:val="021E83A6"/>
    <w:lvl w:ilvl="0" w:tplc="2A9ADA0E">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71147A5"/>
    <w:multiLevelType w:val="hybridMultilevel"/>
    <w:tmpl w:val="AC76D32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41568C"/>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E22641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2447E9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4D40E1"/>
    <w:multiLevelType w:val="hybridMultilevel"/>
    <w:tmpl w:val="0E1220FC"/>
    <w:lvl w:ilvl="0" w:tplc="F5A41CA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4057279"/>
    <w:multiLevelType w:val="hybridMultilevel"/>
    <w:tmpl w:val="EA74E536"/>
    <w:lvl w:ilvl="0" w:tplc="F97232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E205FA"/>
    <w:multiLevelType w:val="hybridMultilevel"/>
    <w:tmpl w:val="154687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3F07F0E"/>
    <w:multiLevelType w:val="hybridMultilevel"/>
    <w:tmpl w:val="31E2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19"/>
  </w:num>
  <w:num w:numId="4">
    <w:abstractNumId w:val="63"/>
  </w:num>
  <w:num w:numId="5">
    <w:abstractNumId w:val="8"/>
  </w:num>
  <w:num w:numId="6">
    <w:abstractNumId w:val="55"/>
  </w:num>
  <w:num w:numId="7">
    <w:abstractNumId w:val="16"/>
  </w:num>
  <w:num w:numId="8">
    <w:abstractNumId w:val="6"/>
  </w:num>
  <w:num w:numId="9">
    <w:abstractNumId w:val="26"/>
  </w:num>
  <w:num w:numId="10">
    <w:abstractNumId w:val="28"/>
  </w:num>
  <w:num w:numId="11">
    <w:abstractNumId w:val="68"/>
  </w:num>
  <w:num w:numId="12">
    <w:abstractNumId w:val="61"/>
  </w:num>
  <w:num w:numId="13">
    <w:abstractNumId w:val="43"/>
  </w:num>
  <w:num w:numId="14">
    <w:abstractNumId w:val="50"/>
  </w:num>
  <w:num w:numId="15">
    <w:abstractNumId w:val="23"/>
  </w:num>
  <w:num w:numId="16">
    <w:abstractNumId w:val="42"/>
  </w:num>
  <w:num w:numId="17">
    <w:abstractNumId w:val="21"/>
  </w:num>
  <w:num w:numId="18">
    <w:abstractNumId w:val="11"/>
  </w:num>
  <w:num w:numId="19">
    <w:abstractNumId w:val="12"/>
  </w:num>
  <w:num w:numId="20">
    <w:abstractNumId w:val="20"/>
  </w:num>
  <w:num w:numId="21">
    <w:abstractNumId w:val="34"/>
  </w:num>
  <w:num w:numId="22">
    <w:abstractNumId w:val="4"/>
  </w:num>
  <w:num w:numId="23">
    <w:abstractNumId w:val="46"/>
  </w:num>
  <w:num w:numId="24">
    <w:abstractNumId w:val="54"/>
  </w:num>
  <w:num w:numId="25">
    <w:abstractNumId w:val="62"/>
  </w:num>
  <w:num w:numId="26">
    <w:abstractNumId w:val="25"/>
  </w:num>
  <w:num w:numId="27">
    <w:abstractNumId w:val="57"/>
  </w:num>
  <w:num w:numId="28">
    <w:abstractNumId w:val="37"/>
  </w:num>
  <w:num w:numId="29">
    <w:abstractNumId w:val="32"/>
  </w:num>
  <w:num w:numId="30">
    <w:abstractNumId w:val="22"/>
  </w:num>
  <w:num w:numId="31">
    <w:abstractNumId w:val="48"/>
  </w:num>
  <w:num w:numId="32">
    <w:abstractNumId w:val="53"/>
  </w:num>
  <w:num w:numId="33">
    <w:abstractNumId w:val="10"/>
  </w:num>
  <w:num w:numId="34">
    <w:abstractNumId w:val="65"/>
  </w:num>
  <w:num w:numId="35">
    <w:abstractNumId w:val="70"/>
  </w:num>
  <w:num w:numId="36">
    <w:abstractNumId w:val="60"/>
  </w:num>
  <w:num w:numId="37">
    <w:abstractNumId w:val="13"/>
  </w:num>
  <w:num w:numId="38">
    <w:abstractNumId w:val="59"/>
  </w:num>
  <w:num w:numId="39">
    <w:abstractNumId w:val="14"/>
  </w:num>
  <w:num w:numId="40">
    <w:abstractNumId w:val="56"/>
  </w:num>
  <w:num w:numId="41">
    <w:abstractNumId w:val="64"/>
  </w:num>
  <w:num w:numId="42">
    <w:abstractNumId w:val="0"/>
  </w:num>
  <w:num w:numId="43">
    <w:abstractNumId w:val="3"/>
  </w:num>
  <w:num w:numId="44">
    <w:abstractNumId w:val="40"/>
  </w:num>
  <w:num w:numId="45">
    <w:abstractNumId w:val="24"/>
  </w:num>
  <w:num w:numId="46">
    <w:abstractNumId w:val="67"/>
  </w:num>
  <w:num w:numId="47">
    <w:abstractNumId w:val="35"/>
  </w:num>
  <w:num w:numId="48">
    <w:abstractNumId w:val="71"/>
  </w:num>
  <w:num w:numId="49">
    <w:abstractNumId w:val="1"/>
  </w:num>
  <w:num w:numId="50">
    <w:abstractNumId w:val="52"/>
  </w:num>
  <w:num w:numId="51">
    <w:abstractNumId w:val="15"/>
  </w:num>
  <w:num w:numId="52">
    <w:abstractNumId w:val="38"/>
  </w:num>
  <w:num w:numId="53">
    <w:abstractNumId w:val="30"/>
  </w:num>
  <w:num w:numId="54">
    <w:abstractNumId w:val="49"/>
  </w:num>
  <w:num w:numId="55">
    <w:abstractNumId w:val="5"/>
  </w:num>
  <w:num w:numId="56">
    <w:abstractNumId w:val="47"/>
  </w:num>
  <w:num w:numId="57">
    <w:abstractNumId w:val="17"/>
  </w:num>
  <w:num w:numId="58">
    <w:abstractNumId w:val="9"/>
  </w:num>
  <w:num w:numId="59">
    <w:abstractNumId w:val="58"/>
  </w:num>
  <w:num w:numId="60">
    <w:abstractNumId w:val="7"/>
  </w:num>
  <w:num w:numId="61">
    <w:abstractNumId w:val="44"/>
  </w:num>
  <w:num w:numId="62">
    <w:abstractNumId w:val="18"/>
  </w:num>
  <w:num w:numId="63">
    <w:abstractNumId w:val="41"/>
  </w:num>
  <w:num w:numId="64">
    <w:abstractNumId w:val="36"/>
  </w:num>
  <w:num w:numId="65">
    <w:abstractNumId w:val="66"/>
  </w:num>
  <w:num w:numId="66">
    <w:abstractNumId w:val="29"/>
  </w:num>
  <w:num w:numId="67">
    <w:abstractNumId w:val="33"/>
  </w:num>
  <w:num w:numId="68">
    <w:abstractNumId w:val="31"/>
  </w:num>
  <w:num w:numId="69">
    <w:abstractNumId w:val="69"/>
  </w:num>
  <w:num w:numId="70">
    <w:abstractNumId w:val="39"/>
  </w:num>
  <w:num w:numId="71">
    <w:abstractNumId w:val="2"/>
  </w:num>
  <w:num w:numId="72">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B53"/>
    <w:rsid w:val="00077D39"/>
    <w:rsid w:val="00077F28"/>
    <w:rsid w:val="0008029E"/>
    <w:rsid w:val="000802BA"/>
    <w:rsid w:val="0008134D"/>
    <w:rsid w:val="00081F52"/>
    <w:rsid w:val="00082E5D"/>
    <w:rsid w:val="00083498"/>
    <w:rsid w:val="0008496A"/>
    <w:rsid w:val="00084D1A"/>
    <w:rsid w:val="0008591E"/>
    <w:rsid w:val="00085EA2"/>
    <w:rsid w:val="0008628E"/>
    <w:rsid w:val="000864CC"/>
    <w:rsid w:val="00086FDB"/>
    <w:rsid w:val="0008737D"/>
    <w:rsid w:val="00087AFB"/>
    <w:rsid w:val="00087F54"/>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458"/>
    <w:rsid w:val="000A5EA1"/>
    <w:rsid w:val="000A6945"/>
    <w:rsid w:val="000A6B98"/>
    <w:rsid w:val="000A6F53"/>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57B"/>
    <w:rsid w:val="00136A94"/>
    <w:rsid w:val="00137807"/>
    <w:rsid w:val="0013783C"/>
    <w:rsid w:val="00140181"/>
    <w:rsid w:val="0014092A"/>
    <w:rsid w:val="00140A63"/>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CC3"/>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46C"/>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00E"/>
    <w:rsid w:val="0020257F"/>
    <w:rsid w:val="00204436"/>
    <w:rsid w:val="00204AA1"/>
    <w:rsid w:val="00205357"/>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810"/>
    <w:rsid w:val="0021698E"/>
    <w:rsid w:val="00216D13"/>
    <w:rsid w:val="00216F33"/>
    <w:rsid w:val="002207CF"/>
    <w:rsid w:val="0022145E"/>
    <w:rsid w:val="00221C04"/>
    <w:rsid w:val="0022245F"/>
    <w:rsid w:val="0022282D"/>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0AE4"/>
    <w:rsid w:val="00281167"/>
    <w:rsid w:val="002811E3"/>
    <w:rsid w:val="002813B2"/>
    <w:rsid w:val="00282431"/>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07"/>
    <w:rsid w:val="002A02E8"/>
    <w:rsid w:val="002A0A88"/>
    <w:rsid w:val="002A1797"/>
    <w:rsid w:val="002A1DA3"/>
    <w:rsid w:val="002A3211"/>
    <w:rsid w:val="002A3CE3"/>
    <w:rsid w:val="002A4174"/>
    <w:rsid w:val="002A4A05"/>
    <w:rsid w:val="002A51B8"/>
    <w:rsid w:val="002A564E"/>
    <w:rsid w:val="002A5ADD"/>
    <w:rsid w:val="002A5FDF"/>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178"/>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5F9"/>
    <w:rsid w:val="0037699E"/>
    <w:rsid w:val="00376C54"/>
    <w:rsid w:val="00381027"/>
    <w:rsid w:val="0038157C"/>
    <w:rsid w:val="00381BAB"/>
    <w:rsid w:val="00381FE7"/>
    <w:rsid w:val="0038209B"/>
    <w:rsid w:val="00383731"/>
    <w:rsid w:val="003837A2"/>
    <w:rsid w:val="003839F9"/>
    <w:rsid w:val="00383D8A"/>
    <w:rsid w:val="00384169"/>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2B44"/>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3911"/>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6F2B"/>
    <w:rsid w:val="00477958"/>
    <w:rsid w:val="00480212"/>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8C4"/>
    <w:rsid w:val="004F7CBE"/>
    <w:rsid w:val="005003AC"/>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4986"/>
    <w:rsid w:val="00524DB9"/>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5F8"/>
    <w:rsid w:val="00552326"/>
    <w:rsid w:val="005526E1"/>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0E71"/>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6E2A"/>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21D"/>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3C6D"/>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57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403"/>
    <w:rsid w:val="007C7C8B"/>
    <w:rsid w:val="007D0042"/>
    <w:rsid w:val="007D07B3"/>
    <w:rsid w:val="007D0DC4"/>
    <w:rsid w:val="007D1B1E"/>
    <w:rsid w:val="007D1D80"/>
    <w:rsid w:val="007D1F12"/>
    <w:rsid w:val="007D2550"/>
    <w:rsid w:val="007D2646"/>
    <w:rsid w:val="007D2B20"/>
    <w:rsid w:val="007D3117"/>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0E9"/>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FC2"/>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6CB"/>
    <w:rsid w:val="008B389B"/>
    <w:rsid w:val="008B3EFD"/>
    <w:rsid w:val="008B4FFE"/>
    <w:rsid w:val="008B507B"/>
    <w:rsid w:val="008B60D9"/>
    <w:rsid w:val="008B646D"/>
    <w:rsid w:val="008B6842"/>
    <w:rsid w:val="008B70C4"/>
    <w:rsid w:val="008B7348"/>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1AC8"/>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7D7"/>
    <w:rsid w:val="00970B7F"/>
    <w:rsid w:val="00970C38"/>
    <w:rsid w:val="00971614"/>
    <w:rsid w:val="00972340"/>
    <w:rsid w:val="009723DE"/>
    <w:rsid w:val="009725D2"/>
    <w:rsid w:val="00973B9F"/>
    <w:rsid w:val="00974A7A"/>
    <w:rsid w:val="00975014"/>
    <w:rsid w:val="009752FA"/>
    <w:rsid w:val="009754C3"/>
    <w:rsid w:val="009755CD"/>
    <w:rsid w:val="009758B1"/>
    <w:rsid w:val="00977693"/>
    <w:rsid w:val="00977A7D"/>
    <w:rsid w:val="00977AC6"/>
    <w:rsid w:val="00977BB1"/>
    <w:rsid w:val="00980A13"/>
    <w:rsid w:val="00980C24"/>
    <w:rsid w:val="009818E4"/>
    <w:rsid w:val="00982494"/>
    <w:rsid w:val="00983C60"/>
    <w:rsid w:val="009845F3"/>
    <w:rsid w:val="009845FD"/>
    <w:rsid w:val="009856E0"/>
    <w:rsid w:val="00986E0B"/>
    <w:rsid w:val="00986E68"/>
    <w:rsid w:val="00987C19"/>
    <w:rsid w:val="00990144"/>
    <w:rsid w:val="00990289"/>
    <w:rsid w:val="00990542"/>
    <w:rsid w:val="00990935"/>
    <w:rsid w:val="00990A99"/>
    <w:rsid w:val="00990AFD"/>
    <w:rsid w:val="00991001"/>
    <w:rsid w:val="00991069"/>
    <w:rsid w:val="00992771"/>
    <w:rsid w:val="009935AB"/>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5324"/>
    <w:rsid w:val="00A756C6"/>
    <w:rsid w:val="00A76999"/>
    <w:rsid w:val="00A77200"/>
    <w:rsid w:val="00A80093"/>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016"/>
    <w:rsid w:val="00AA0B4E"/>
    <w:rsid w:val="00AA1BBB"/>
    <w:rsid w:val="00AA1E74"/>
    <w:rsid w:val="00AA1EDE"/>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B93"/>
    <w:rsid w:val="00BB7DF0"/>
    <w:rsid w:val="00BB7F90"/>
    <w:rsid w:val="00BC0196"/>
    <w:rsid w:val="00BC0367"/>
    <w:rsid w:val="00BC1CAA"/>
    <w:rsid w:val="00BC219A"/>
    <w:rsid w:val="00BC2E3C"/>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B82"/>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86C"/>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5FB4"/>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C9F"/>
    <w:rsid w:val="00DC1727"/>
    <w:rsid w:val="00DC1843"/>
    <w:rsid w:val="00DC30E4"/>
    <w:rsid w:val="00DC33BA"/>
    <w:rsid w:val="00DC4064"/>
    <w:rsid w:val="00DC448E"/>
    <w:rsid w:val="00DC4957"/>
    <w:rsid w:val="00DC4959"/>
    <w:rsid w:val="00DC4AE2"/>
    <w:rsid w:val="00DC63B3"/>
    <w:rsid w:val="00DC6B6C"/>
    <w:rsid w:val="00DC757B"/>
    <w:rsid w:val="00DD0B5D"/>
    <w:rsid w:val="00DD0DD0"/>
    <w:rsid w:val="00DD2877"/>
    <w:rsid w:val="00DD29DC"/>
    <w:rsid w:val="00DD2EDE"/>
    <w:rsid w:val="00DD3144"/>
    <w:rsid w:val="00DD3886"/>
    <w:rsid w:val="00DD38A3"/>
    <w:rsid w:val="00DD38F0"/>
    <w:rsid w:val="00DD406B"/>
    <w:rsid w:val="00DD54B7"/>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E7819"/>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6B24"/>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1149"/>
    <w:rsid w:val="00E61239"/>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7DE"/>
    <w:rsid w:val="00EC6ABB"/>
    <w:rsid w:val="00EC747F"/>
    <w:rsid w:val="00EC7865"/>
    <w:rsid w:val="00EC7B44"/>
    <w:rsid w:val="00EC7B71"/>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E89"/>
    <w:rsid w:val="00F05F02"/>
    <w:rsid w:val="00F10169"/>
    <w:rsid w:val="00F10A38"/>
    <w:rsid w:val="00F1176A"/>
    <w:rsid w:val="00F11FF3"/>
    <w:rsid w:val="00F129F7"/>
    <w:rsid w:val="00F12BF1"/>
    <w:rsid w:val="00F12F4D"/>
    <w:rsid w:val="00F12FB0"/>
    <w:rsid w:val="00F13A10"/>
    <w:rsid w:val="00F13C4C"/>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149A"/>
    <w:rsid w:val="00F321EB"/>
    <w:rsid w:val="00F3332A"/>
    <w:rsid w:val="00F34068"/>
    <w:rsid w:val="00F3421F"/>
    <w:rsid w:val="00F34B64"/>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5939F9"/>
    <w:pPr>
      <w:numPr>
        <w:numId w:val="54"/>
      </w:numPr>
    </w:pPr>
  </w:style>
  <w:style w:type="numbering" w:customStyle="1" w:styleId="Listaactual34">
    <w:name w:val="Lista actual34"/>
    <w:uiPriority w:val="99"/>
    <w:rsid w:val="00C97BA2"/>
    <w:pPr>
      <w:numPr>
        <w:numId w:val="56"/>
      </w:numPr>
    </w:pPr>
  </w:style>
  <w:style w:type="numbering" w:customStyle="1" w:styleId="Listaactual35">
    <w:name w:val="Lista actual35"/>
    <w:uiPriority w:val="99"/>
    <w:rsid w:val="00A367F7"/>
    <w:pPr>
      <w:numPr>
        <w:numId w:val="58"/>
      </w:numPr>
    </w:pPr>
  </w:style>
  <w:style w:type="numbering" w:customStyle="1" w:styleId="Listaactual36">
    <w:name w:val="Lista actual36"/>
    <w:uiPriority w:val="99"/>
    <w:rsid w:val="008C1678"/>
    <w:pPr>
      <w:numPr>
        <w:numId w:val="60"/>
      </w:numPr>
    </w:pPr>
  </w:style>
  <w:style w:type="numbering" w:customStyle="1" w:styleId="Listaactual37">
    <w:name w:val="Lista actual37"/>
    <w:uiPriority w:val="99"/>
    <w:rsid w:val="00B05943"/>
    <w:pPr>
      <w:numPr>
        <w:numId w:val="61"/>
      </w:numPr>
    </w:pPr>
  </w:style>
  <w:style w:type="numbering" w:customStyle="1" w:styleId="Listaactual38">
    <w:name w:val="Lista actual38"/>
    <w:uiPriority w:val="99"/>
    <w:rsid w:val="003B3181"/>
    <w:pPr>
      <w:numPr>
        <w:numId w:val="62"/>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paragraph" w:customStyle="1" w:styleId="Citas">
    <w:name w:val="Citas"/>
    <w:basedOn w:val="Normal"/>
    <w:qFormat/>
    <w:rsid w:val="00CD5FB4"/>
    <w:pPr>
      <w:spacing w:before="240" w:after="160"/>
      <w:ind w:left="851" w:right="851"/>
    </w:pPr>
    <w:rPr>
      <w:rFonts w:eastAsiaTheme="minorHAnsi" w:cs="Arial"/>
      <w:i/>
      <w:sz w:val="22"/>
      <w:lang w:val="es-MX" w:eastAsia="en-US"/>
    </w:rPr>
  </w:style>
  <w:style w:type="table" w:customStyle="1" w:styleId="Tabladelista1clara-nfasis1115">
    <w:name w:val="Tabla de lista 1 clara - Énfasis 1115"/>
    <w:basedOn w:val="Tablanormal"/>
    <w:next w:val="Tabladelista1clara-nfasis1"/>
    <w:uiPriority w:val="46"/>
    <w:rsid w:val="00344178"/>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34417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480610789">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93754687">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32AF3-CB7F-4054-BA24-2EE2B8D6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7267</Words>
  <Characters>39971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2026-06-26T17:00:00Z</cp:lastPrinted>
  <dcterms:created xsi:type="dcterms:W3CDTF">2026-06-22T21:27:00Z</dcterms:created>
  <dcterms:modified xsi:type="dcterms:W3CDTF">2026-07-03T16:32:00Z</dcterms:modified>
</cp:coreProperties>
</file>