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A33" w:rsidRDefault="009E6A33">
      <w:pPr>
        <w:widowControl w:val="0"/>
        <w:pBdr>
          <w:top w:val="nil"/>
          <w:left w:val="nil"/>
          <w:bottom w:val="nil"/>
          <w:right w:val="nil"/>
          <w:between w:val="nil"/>
        </w:pBdr>
        <w:spacing w:after="0" w:line="276" w:lineRule="auto"/>
        <w:jc w:val="left"/>
      </w:pPr>
    </w:p>
    <w:p w:rsidR="009E6A33" w:rsidRDefault="009E6A33">
      <w:pPr>
        <w:tabs>
          <w:tab w:val="left" w:pos="8931"/>
        </w:tabs>
        <w:spacing w:after="0" w:line="360" w:lineRule="auto"/>
      </w:pPr>
    </w:p>
    <w:p w:rsidR="009E6A33" w:rsidRDefault="009834D6">
      <w:pPr>
        <w:keepNext/>
        <w:keepLines/>
        <w:pBdr>
          <w:top w:val="nil"/>
          <w:left w:val="nil"/>
          <w:bottom w:val="nil"/>
          <w:right w:val="nil"/>
          <w:between w:val="nil"/>
        </w:pBdr>
        <w:spacing w:after="0" w:line="360" w:lineRule="auto"/>
        <w:jc w:val="center"/>
        <w:rPr>
          <w:color w:val="000000"/>
        </w:rPr>
      </w:pPr>
      <w:r>
        <w:rPr>
          <w:color w:val="000000"/>
        </w:rPr>
        <w:t>RESOLUCIÓN DEL RECURSO DE REVISIÓN 06011/INFOEM/IP/RR/2025</w:t>
      </w:r>
    </w:p>
    <w:p w:rsidR="009E6A33" w:rsidRDefault="009E6A33">
      <w:pPr>
        <w:spacing w:after="0" w:line="360" w:lineRule="auto"/>
      </w:pPr>
    </w:p>
    <w:sdt>
      <w:sdtPr>
        <w:rPr>
          <w:rFonts w:ascii="Palatino Linotype" w:eastAsia="Palatino Linotype" w:hAnsi="Palatino Linotype" w:cs="Palatino Linotype"/>
          <w:color w:val="auto"/>
          <w:sz w:val="22"/>
          <w:szCs w:val="22"/>
          <w:lang w:val="es-ES"/>
        </w:rPr>
        <w:id w:val="1409875937"/>
        <w:docPartObj>
          <w:docPartGallery w:val="Table of Contents"/>
          <w:docPartUnique/>
        </w:docPartObj>
      </w:sdtPr>
      <w:sdtEndPr>
        <w:rPr>
          <w:b/>
          <w:bCs/>
        </w:rPr>
      </w:sdtEndPr>
      <w:sdtContent>
        <w:p w:rsidR="009D5CE3" w:rsidRDefault="009D5CE3">
          <w:pPr>
            <w:pStyle w:val="TtulodeTDC"/>
          </w:pPr>
        </w:p>
        <w:p w:rsidR="00F863AA" w:rsidRDefault="009D5CE3">
          <w:pPr>
            <w:pStyle w:val="TDC1"/>
            <w:tabs>
              <w:tab w:val="right" w:leader="dot" w:pos="8921"/>
            </w:tabs>
            <w:rPr>
              <w:rFonts w:asciiTheme="minorHAnsi" w:eastAsiaTheme="minorEastAsia" w:hAnsiTheme="minorHAnsi"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19991928" w:history="1">
            <w:r w:rsidR="00F863AA" w:rsidRPr="00C27699">
              <w:rPr>
                <w:rStyle w:val="Hipervnculo"/>
                <w:noProof/>
              </w:rPr>
              <w:t>A N T E C E D E N T E S</w:t>
            </w:r>
            <w:r w:rsidR="00F863AA">
              <w:rPr>
                <w:noProof/>
                <w:webHidden/>
              </w:rPr>
              <w:tab/>
            </w:r>
            <w:r w:rsidR="00F863AA">
              <w:rPr>
                <w:noProof/>
                <w:webHidden/>
              </w:rPr>
              <w:fldChar w:fldCharType="begin"/>
            </w:r>
            <w:r w:rsidR="00F863AA">
              <w:rPr>
                <w:noProof/>
                <w:webHidden/>
              </w:rPr>
              <w:instrText xml:space="preserve"> PAGEREF _Toc219991928 \h </w:instrText>
            </w:r>
            <w:r w:rsidR="00F863AA">
              <w:rPr>
                <w:noProof/>
                <w:webHidden/>
              </w:rPr>
            </w:r>
            <w:r w:rsidR="00F863AA">
              <w:rPr>
                <w:noProof/>
                <w:webHidden/>
              </w:rPr>
              <w:fldChar w:fldCharType="separate"/>
            </w:r>
            <w:r w:rsidR="000A0965">
              <w:rPr>
                <w:noProof/>
                <w:webHidden/>
              </w:rPr>
              <w:t>2</w:t>
            </w:r>
            <w:r w:rsidR="00F863AA">
              <w:rPr>
                <w:noProof/>
                <w:webHidden/>
              </w:rPr>
              <w:fldChar w:fldCharType="end"/>
            </w:r>
          </w:hyperlink>
        </w:p>
        <w:p w:rsidR="00F863AA" w:rsidRDefault="00953E07">
          <w:pPr>
            <w:pStyle w:val="TDC2"/>
            <w:tabs>
              <w:tab w:val="right" w:leader="dot" w:pos="8921"/>
            </w:tabs>
            <w:rPr>
              <w:rFonts w:asciiTheme="minorHAnsi" w:eastAsiaTheme="minorEastAsia" w:hAnsiTheme="minorHAnsi" w:cstheme="minorBidi"/>
              <w:noProof/>
            </w:rPr>
          </w:pPr>
          <w:hyperlink w:anchor="_Toc219991929" w:history="1">
            <w:r w:rsidR="00F863AA" w:rsidRPr="00C27699">
              <w:rPr>
                <w:rStyle w:val="Hipervnculo"/>
                <w:noProof/>
              </w:rPr>
              <w:t>I. Presentación de la solicitud de información</w:t>
            </w:r>
            <w:r w:rsidR="00F863AA">
              <w:rPr>
                <w:noProof/>
                <w:webHidden/>
              </w:rPr>
              <w:tab/>
            </w:r>
            <w:r w:rsidR="00F863AA">
              <w:rPr>
                <w:noProof/>
                <w:webHidden/>
              </w:rPr>
              <w:fldChar w:fldCharType="begin"/>
            </w:r>
            <w:r w:rsidR="00F863AA">
              <w:rPr>
                <w:noProof/>
                <w:webHidden/>
              </w:rPr>
              <w:instrText xml:space="preserve"> PAGEREF _Toc219991929 \h </w:instrText>
            </w:r>
            <w:r w:rsidR="00F863AA">
              <w:rPr>
                <w:noProof/>
                <w:webHidden/>
              </w:rPr>
            </w:r>
            <w:r w:rsidR="00F863AA">
              <w:rPr>
                <w:noProof/>
                <w:webHidden/>
              </w:rPr>
              <w:fldChar w:fldCharType="separate"/>
            </w:r>
            <w:r w:rsidR="000A0965">
              <w:rPr>
                <w:noProof/>
                <w:webHidden/>
              </w:rPr>
              <w:t>2</w:t>
            </w:r>
            <w:r w:rsidR="00F863AA">
              <w:rPr>
                <w:noProof/>
                <w:webHidden/>
              </w:rPr>
              <w:fldChar w:fldCharType="end"/>
            </w:r>
          </w:hyperlink>
        </w:p>
        <w:p w:rsidR="00F863AA" w:rsidRDefault="00953E07">
          <w:pPr>
            <w:pStyle w:val="TDC2"/>
            <w:tabs>
              <w:tab w:val="right" w:leader="dot" w:pos="8921"/>
            </w:tabs>
            <w:rPr>
              <w:rFonts w:asciiTheme="minorHAnsi" w:eastAsiaTheme="minorEastAsia" w:hAnsiTheme="minorHAnsi" w:cstheme="minorBidi"/>
              <w:noProof/>
            </w:rPr>
          </w:pPr>
          <w:hyperlink w:anchor="_Toc219991930" w:history="1">
            <w:r w:rsidR="00F863AA" w:rsidRPr="00C27699">
              <w:rPr>
                <w:rStyle w:val="Hipervnculo"/>
                <w:noProof/>
              </w:rPr>
              <w:t>II. Respuesta del Sujeto Obligado</w:t>
            </w:r>
            <w:r w:rsidR="00F863AA">
              <w:rPr>
                <w:noProof/>
                <w:webHidden/>
              </w:rPr>
              <w:tab/>
            </w:r>
            <w:r w:rsidR="00F863AA">
              <w:rPr>
                <w:noProof/>
                <w:webHidden/>
              </w:rPr>
              <w:fldChar w:fldCharType="begin"/>
            </w:r>
            <w:r w:rsidR="00F863AA">
              <w:rPr>
                <w:noProof/>
                <w:webHidden/>
              </w:rPr>
              <w:instrText xml:space="preserve"> PAGEREF _Toc219991930 \h </w:instrText>
            </w:r>
            <w:r w:rsidR="00F863AA">
              <w:rPr>
                <w:noProof/>
                <w:webHidden/>
              </w:rPr>
            </w:r>
            <w:r w:rsidR="00F863AA">
              <w:rPr>
                <w:noProof/>
                <w:webHidden/>
              </w:rPr>
              <w:fldChar w:fldCharType="separate"/>
            </w:r>
            <w:r w:rsidR="000A0965">
              <w:rPr>
                <w:noProof/>
                <w:webHidden/>
              </w:rPr>
              <w:t>3</w:t>
            </w:r>
            <w:r w:rsidR="00F863AA">
              <w:rPr>
                <w:noProof/>
                <w:webHidden/>
              </w:rPr>
              <w:fldChar w:fldCharType="end"/>
            </w:r>
          </w:hyperlink>
        </w:p>
        <w:p w:rsidR="00F863AA" w:rsidRDefault="00953E07">
          <w:pPr>
            <w:pStyle w:val="TDC2"/>
            <w:tabs>
              <w:tab w:val="right" w:leader="dot" w:pos="8921"/>
            </w:tabs>
            <w:rPr>
              <w:rFonts w:asciiTheme="minorHAnsi" w:eastAsiaTheme="minorEastAsia" w:hAnsiTheme="minorHAnsi" w:cstheme="minorBidi"/>
              <w:noProof/>
            </w:rPr>
          </w:pPr>
          <w:hyperlink w:anchor="_Toc219991931" w:history="1">
            <w:r w:rsidR="00F863AA" w:rsidRPr="00C27699">
              <w:rPr>
                <w:rStyle w:val="Hipervnculo"/>
                <w:noProof/>
              </w:rPr>
              <w:t>III. Interposición del Recurso de Revisión</w:t>
            </w:r>
            <w:r w:rsidR="00F863AA">
              <w:rPr>
                <w:noProof/>
                <w:webHidden/>
              </w:rPr>
              <w:tab/>
            </w:r>
            <w:r w:rsidR="00F863AA">
              <w:rPr>
                <w:noProof/>
                <w:webHidden/>
              </w:rPr>
              <w:fldChar w:fldCharType="begin"/>
            </w:r>
            <w:r w:rsidR="00F863AA">
              <w:rPr>
                <w:noProof/>
                <w:webHidden/>
              </w:rPr>
              <w:instrText xml:space="preserve"> PAGEREF _Toc219991931 \h </w:instrText>
            </w:r>
            <w:r w:rsidR="00F863AA">
              <w:rPr>
                <w:noProof/>
                <w:webHidden/>
              </w:rPr>
            </w:r>
            <w:r w:rsidR="00F863AA">
              <w:rPr>
                <w:noProof/>
                <w:webHidden/>
              </w:rPr>
              <w:fldChar w:fldCharType="separate"/>
            </w:r>
            <w:r w:rsidR="000A0965">
              <w:rPr>
                <w:noProof/>
                <w:webHidden/>
              </w:rPr>
              <w:t>5</w:t>
            </w:r>
            <w:r w:rsidR="00F863AA">
              <w:rPr>
                <w:noProof/>
                <w:webHidden/>
              </w:rPr>
              <w:fldChar w:fldCharType="end"/>
            </w:r>
          </w:hyperlink>
        </w:p>
        <w:p w:rsidR="00F863AA" w:rsidRDefault="00953E07">
          <w:pPr>
            <w:pStyle w:val="TDC2"/>
            <w:tabs>
              <w:tab w:val="right" w:leader="dot" w:pos="8921"/>
            </w:tabs>
            <w:rPr>
              <w:rFonts w:asciiTheme="minorHAnsi" w:eastAsiaTheme="minorEastAsia" w:hAnsiTheme="minorHAnsi" w:cstheme="minorBidi"/>
              <w:noProof/>
            </w:rPr>
          </w:pPr>
          <w:hyperlink w:anchor="_Toc219991932" w:history="1">
            <w:r w:rsidR="00F863AA" w:rsidRPr="00C27699">
              <w:rPr>
                <w:rStyle w:val="Hipervnculo"/>
                <w:noProof/>
              </w:rPr>
              <w:t>IV. Trámite del Recurso de Revisión ante este Instituto</w:t>
            </w:r>
            <w:r w:rsidR="00F863AA">
              <w:rPr>
                <w:noProof/>
                <w:webHidden/>
              </w:rPr>
              <w:tab/>
            </w:r>
            <w:r w:rsidR="00F863AA">
              <w:rPr>
                <w:noProof/>
                <w:webHidden/>
              </w:rPr>
              <w:fldChar w:fldCharType="begin"/>
            </w:r>
            <w:r w:rsidR="00F863AA">
              <w:rPr>
                <w:noProof/>
                <w:webHidden/>
              </w:rPr>
              <w:instrText xml:space="preserve"> PAGEREF _Toc219991932 \h </w:instrText>
            </w:r>
            <w:r w:rsidR="00F863AA">
              <w:rPr>
                <w:noProof/>
                <w:webHidden/>
              </w:rPr>
            </w:r>
            <w:r w:rsidR="00F863AA">
              <w:rPr>
                <w:noProof/>
                <w:webHidden/>
              </w:rPr>
              <w:fldChar w:fldCharType="separate"/>
            </w:r>
            <w:r w:rsidR="000A0965">
              <w:rPr>
                <w:noProof/>
                <w:webHidden/>
              </w:rPr>
              <w:t>5</w:t>
            </w:r>
            <w:r w:rsidR="00F863AA">
              <w:rPr>
                <w:noProof/>
                <w:webHidden/>
              </w:rPr>
              <w:fldChar w:fldCharType="end"/>
            </w:r>
          </w:hyperlink>
        </w:p>
        <w:p w:rsidR="00F863AA" w:rsidRDefault="00953E07">
          <w:pPr>
            <w:pStyle w:val="TDC1"/>
            <w:tabs>
              <w:tab w:val="right" w:leader="dot" w:pos="8921"/>
            </w:tabs>
            <w:rPr>
              <w:rFonts w:asciiTheme="minorHAnsi" w:eastAsiaTheme="minorEastAsia" w:hAnsiTheme="minorHAnsi" w:cstheme="minorBidi"/>
              <w:noProof/>
            </w:rPr>
          </w:pPr>
          <w:hyperlink w:anchor="_Toc219991933" w:history="1">
            <w:r w:rsidR="00F863AA" w:rsidRPr="00C27699">
              <w:rPr>
                <w:rStyle w:val="Hipervnculo"/>
                <w:noProof/>
              </w:rPr>
              <w:t>C O N S I D E R A N D O S</w:t>
            </w:r>
            <w:r w:rsidR="00F863AA">
              <w:rPr>
                <w:noProof/>
                <w:webHidden/>
              </w:rPr>
              <w:tab/>
            </w:r>
            <w:r w:rsidR="00F863AA">
              <w:rPr>
                <w:noProof/>
                <w:webHidden/>
              </w:rPr>
              <w:fldChar w:fldCharType="begin"/>
            </w:r>
            <w:r w:rsidR="00F863AA">
              <w:rPr>
                <w:noProof/>
                <w:webHidden/>
              </w:rPr>
              <w:instrText xml:space="preserve"> PAGEREF _Toc219991933 \h </w:instrText>
            </w:r>
            <w:r w:rsidR="00F863AA">
              <w:rPr>
                <w:noProof/>
                <w:webHidden/>
              </w:rPr>
            </w:r>
            <w:r w:rsidR="00F863AA">
              <w:rPr>
                <w:noProof/>
                <w:webHidden/>
              </w:rPr>
              <w:fldChar w:fldCharType="separate"/>
            </w:r>
            <w:r w:rsidR="000A0965">
              <w:rPr>
                <w:noProof/>
                <w:webHidden/>
              </w:rPr>
              <w:t>7</w:t>
            </w:r>
            <w:r w:rsidR="00F863AA">
              <w:rPr>
                <w:noProof/>
                <w:webHidden/>
              </w:rPr>
              <w:fldChar w:fldCharType="end"/>
            </w:r>
          </w:hyperlink>
        </w:p>
        <w:p w:rsidR="00F863AA" w:rsidRDefault="00953E07">
          <w:pPr>
            <w:pStyle w:val="TDC2"/>
            <w:tabs>
              <w:tab w:val="right" w:leader="dot" w:pos="8921"/>
            </w:tabs>
            <w:rPr>
              <w:rFonts w:asciiTheme="minorHAnsi" w:eastAsiaTheme="minorEastAsia" w:hAnsiTheme="minorHAnsi" w:cstheme="minorBidi"/>
              <w:noProof/>
            </w:rPr>
          </w:pPr>
          <w:hyperlink w:anchor="_Toc219991934" w:history="1">
            <w:r w:rsidR="00F863AA" w:rsidRPr="00C27699">
              <w:rPr>
                <w:rStyle w:val="Hipervnculo"/>
                <w:noProof/>
              </w:rPr>
              <w:t>PRIMERO. Competencia</w:t>
            </w:r>
            <w:r w:rsidR="00F863AA">
              <w:rPr>
                <w:noProof/>
                <w:webHidden/>
              </w:rPr>
              <w:tab/>
            </w:r>
            <w:r w:rsidR="00F863AA">
              <w:rPr>
                <w:noProof/>
                <w:webHidden/>
              </w:rPr>
              <w:fldChar w:fldCharType="begin"/>
            </w:r>
            <w:r w:rsidR="00F863AA">
              <w:rPr>
                <w:noProof/>
                <w:webHidden/>
              </w:rPr>
              <w:instrText xml:space="preserve"> PAGEREF _Toc219991934 \h </w:instrText>
            </w:r>
            <w:r w:rsidR="00F863AA">
              <w:rPr>
                <w:noProof/>
                <w:webHidden/>
              </w:rPr>
            </w:r>
            <w:r w:rsidR="00F863AA">
              <w:rPr>
                <w:noProof/>
                <w:webHidden/>
              </w:rPr>
              <w:fldChar w:fldCharType="separate"/>
            </w:r>
            <w:r w:rsidR="000A0965">
              <w:rPr>
                <w:noProof/>
                <w:webHidden/>
              </w:rPr>
              <w:t>7</w:t>
            </w:r>
            <w:r w:rsidR="00F863AA">
              <w:rPr>
                <w:noProof/>
                <w:webHidden/>
              </w:rPr>
              <w:fldChar w:fldCharType="end"/>
            </w:r>
          </w:hyperlink>
        </w:p>
        <w:p w:rsidR="00F863AA" w:rsidRDefault="00953E07">
          <w:pPr>
            <w:pStyle w:val="TDC2"/>
            <w:tabs>
              <w:tab w:val="right" w:leader="dot" w:pos="8921"/>
            </w:tabs>
            <w:rPr>
              <w:rFonts w:asciiTheme="minorHAnsi" w:eastAsiaTheme="minorEastAsia" w:hAnsiTheme="minorHAnsi" w:cstheme="minorBidi"/>
              <w:noProof/>
            </w:rPr>
          </w:pPr>
          <w:hyperlink w:anchor="_Toc219991935" w:history="1">
            <w:r w:rsidR="00F863AA" w:rsidRPr="00C27699">
              <w:rPr>
                <w:rStyle w:val="Hipervnculo"/>
                <w:noProof/>
              </w:rPr>
              <w:t>SEGUNDO. Causales de improcedencia y sobreseimiento</w:t>
            </w:r>
            <w:r w:rsidR="00F863AA">
              <w:rPr>
                <w:noProof/>
                <w:webHidden/>
              </w:rPr>
              <w:tab/>
            </w:r>
            <w:r w:rsidR="00F863AA">
              <w:rPr>
                <w:noProof/>
                <w:webHidden/>
              </w:rPr>
              <w:fldChar w:fldCharType="begin"/>
            </w:r>
            <w:r w:rsidR="00F863AA">
              <w:rPr>
                <w:noProof/>
                <w:webHidden/>
              </w:rPr>
              <w:instrText xml:space="preserve"> PAGEREF _Toc219991935 \h </w:instrText>
            </w:r>
            <w:r w:rsidR="00F863AA">
              <w:rPr>
                <w:noProof/>
                <w:webHidden/>
              </w:rPr>
            </w:r>
            <w:r w:rsidR="00F863AA">
              <w:rPr>
                <w:noProof/>
                <w:webHidden/>
              </w:rPr>
              <w:fldChar w:fldCharType="separate"/>
            </w:r>
            <w:r w:rsidR="000A0965">
              <w:rPr>
                <w:noProof/>
                <w:webHidden/>
              </w:rPr>
              <w:t>8</w:t>
            </w:r>
            <w:r w:rsidR="00F863AA">
              <w:rPr>
                <w:noProof/>
                <w:webHidden/>
              </w:rPr>
              <w:fldChar w:fldCharType="end"/>
            </w:r>
          </w:hyperlink>
        </w:p>
        <w:p w:rsidR="00F863AA" w:rsidRDefault="00953E07">
          <w:pPr>
            <w:pStyle w:val="TDC2"/>
            <w:tabs>
              <w:tab w:val="right" w:leader="dot" w:pos="8921"/>
            </w:tabs>
            <w:rPr>
              <w:rFonts w:asciiTheme="minorHAnsi" w:eastAsiaTheme="minorEastAsia" w:hAnsiTheme="minorHAnsi" w:cstheme="minorBidi"/>
              <w:noProof/>
            </w:rPr>
          </w:pPr>
          <w:hyperlink w:anchor="_Toc219991936" w:history="1">
            <w:r w:rsidR="00F863AA" w:rsidRPr="00C27699">
              <w:rPr>
                <w:rStyle w:val="Hipervnculo"/>
                <w:noProof/>
              </w:rPr>
              <w:t>TERCERO. Determinación de la Controversia</w:t>
            </w:r>
            <w:r w:rsidR="00F863AA">
              <w:rPr>
                <w:noProof/>
                <w:webHidden/>
              </w:rPr>
              <w:tab/>
            </w:r>
            <w:r w:rsidR="00F863AA">
              <w:rPr>
                <w:noProof/>
                <w:webHidden/>
              </w:rPr>
              <w:fldChar w:fldCharType="begin"/>
            </w:r>
            <w:r w:rsidR="00F863AA">
              <w:rPr>
                <w:noProof/>
                <w:webHidden/>
              </w:rPr>
              <w:instrText xml:space="preserve"> PAGEREF _Toc219991936 \h </w:instrText>
            </w:r>
            <w:r w:rsidR="00F863AA">
              <w:rPr>
                <w:noProof/>
                <w:webHidden/>
              </w:rPr>
            </w:r>
            <w:r w:rsidR="00F863AA">
              <w:rPr>
                <w:noProof/>
                <w:webHidden/>
              </w:rPr>
              <w:fldChar w:fldCharType="separate"/>
            </w:r>
            <w:r w:rsidR="000A0965">
              <w:rPr>
                <w:noProof/>
                <w:webHidden/>
              </w:rPr>
              <w:t>9</w:t>
            </w:r>
            <w:r w:rsidR="00F863AA">
              <w:rPr>
                <w:noProof/>
                <w:webHidden/>
              </w:rPr>
              <w:fldChar w:fldCharType="end"/>
            </w:r>
          </w:hyperlink>
        </w:p>
        <w:p w:rsidR="00F863AA" w:rsidRDefault="00953E07">
          <w:pPr>
            <w:pStyle w:val="TDC2"/>
            <w:tabs>
              <w:tab w:val="right" w:leader="dot" w:pos="8921"/>
            </w:tabs>
            <w:rPr>
              <w:rFonts w:asciiTheme="minorHAnsi" w:eastAsiaTheme="minorEastAsia" w:hAnsiTheme="minorHAnsi" w:cstheme="minorBidi"/>
              <w:noProof/>
            </w:rPr>
          </w:pPr>
          <w:hyperlink w:anchor="_Toc219991937" w:history="1">
            <w:r w:rsidR="00F863AA" w:rsidRPr="00C27699">
              <w:rPr>
                <w:rStyle w:val="Hipervnculo"/>
                <w:noProof/>
              </w:rPr>
              <w:t>CUARTO. Marco normativo aplicable en materia de transparencia y acceso a la información pública</w:t>
            </w:r>
            <w:r w:rsidR="00F863AA">
              <w:rPr>
                <w:noProof/>
                <w:webHidden/>
              </w:rPr>
              <w:tab/>
            </w:r>
            <w:r w:rsidR="00F863AA">
              <w:rPr>
                <w:noProof/>
                <w:webHidden/>
              </w:rPr>
              <w:fldChar w:fldCharType="begin"/>
            </w:r>
            <w:r w:rsidR="00F863AA">
              <w:rPr>
                <w:noProof/>
                <w:webHidden/>
              </w:rPr>
              <w:instrText xml:space="preserve"> PAGEREF _Toc219991937 \h </w:instrText>
            </w:r>
            <w:r w:rsidR="00F863AA">
              <w:rPr>
                <w:noProof/>
                <w:webHidden/>
              </w:rPr>
            </w:r>
            <w:r w:rsidR="00F863AA">
              <w:rPr>
                <w:noProof/>
                <w:webHidden/>
              </w:rPr>
              <w:fldChar w:fldCharType="separate"/>
            </w:r>
            <w:r w:rsidR="000A0965">
              <w:rPr>
                <w:noProof/>
                <w:webHidden/>
              </w:rPr>
              <w:t>10</w:t>
            </w:r>
            <w:r w:rsidR="00F863AA">
              <w:rPr>
                <w:noProof/>
                <w:webHidden/>
              </w:rPr>
              <w:fldChar w:fldCharType="end"/>
            </w:r>
          </w:hyperlink>
        </w:p>
        <w:p w:rsidR="00F863AA" w:rsidRDefault="00953E07">
          <w:pPr>
            <w:pStyle w:val="TDC2"/>
            <w:tabs>
              <w:tab w:val="right" w:leader="dot" w:pos="8921"/>
            </w:tabs>
            <w:rPr>
              <w:rFonts w:asciiTheme="minorHAnsi" w:eastAsiaTheme="minorEastAsia" w:hAnsiTheme="minorHAnsi" w:cstheme="minorBidi"/>
              <w:noProof/>
            </w:rPr>
          </w:pPr>
          <w:hyperlink w:anchor="_Toc219991938" w:history="1">
            <w:r w:rsidR="00F863AA" w:rsidRPr="00C27699">
              <w:rPr>
                <w:rStyle w:val="Hipervnculo"/>
                <w:noProof/>
              </w:rPr>
              <w:t>QUINTO. Estudio de Fondo</w:t>
            </w:r>
            <w:r w:rsidR="00F863AA">
              <w:rPr>
                <w:noProof/>
                <w:webHidden/>
              </w:rPr>
              <w:tab/>
            </w:r>
            <w:r w:rsidR="00F863AA">
              <w:rPr>
                <w:noProof/>
                <w:webHidden/>
              </w:rPr>
              <w:fldChar w:fldCharType="begin"/>
            </w:r>
            <w:r w:rsidR="00F863AA">
              <w:rPr>
                <w:noProof/>
                <w:webHidden/>
              </w:rPr>
              <w:instrText xml:space="preserve"> PAGEREF _Toc219991938 \h </w:instrText>
            </w:r>
            <w:r w:rsidR="00F863AA">
              <w:rPr>
                <w:noProof/>
                <w:webHidden/>
              </w:rPr>
            </w:r>
            <w:r w:rsidR="00F863AA">
              <w:rPr>
                <w:noProof/>
                <w:webHidden/>
              </w:rPr>
              <w:fldChar w:fldCharType="separate"/>
            </w:r>
            <w:r w:rsidR="000A0965">
              <w:rPr>
                <w:noProof/>
                <w:webHidden/>
              </w:rPr>
              <w:t>12</w:t>
            </w:r>
            <w:r w:rsidR="00F863AA">
              <w:rPr>
                <w:noProof/>
                <w:webHidden/>
              </w:rPr>
              <w:fldChar w:fldCharType="end"/>
            </w:r>
          </w:hyperlink>
        </w:p>
        <w:p w:rsidR="00F863AA" w:rsidRDefault="00953E07">
          <w:pPr>
            <w:pStyle w:val="TDC1"/>
            <w:tabs>
              <w:tab w:val="right" w:leader="dot" w:pos="8921"/>
            </w:tabs>
            <w:rPr>
              <w:rFonts w:asciiTheme="minorHAnsi" w:eastAsiaTheme="minorEastAsia" w:hAnsiTheme="minorHAnsi" w:cstheme="minorBidi"/>
              <w:noProof/>
            </w:rPr>
          </w:pPr>
          <w:hyperlink w:anchor="_Toc219991939" w:history="1">
            <w:r w:rsidR="00F863AA" w:rsidRPr="00C27699">
              <w:rPr>
                <w:rStyle w:val="Hipervnculo"/>
                <w:noProof/>
              </w:rPr>
              <w:t>R E S U E L V E</w:t>
            </w:r>
            <w:r w:rsidR="00F863AA">
              <w:rPr>
                <w:noProof/>
                <w:webHidden/>
              </w:rPr>
              <w:tab/>
            </w:r>
            <w:r w:rsidR="00F863AA">
              <w:rPr>
                <w:noProof/>
                <w:webHidden/>
              </w:rPr>
              <w:fldChar w:fldCharType="begin"/>
            </w:r>
            <w:r w:rsidR="00F863AA">
              <w:rPr>
                <w:noProof/>
                <w:webHidden/>
              </w:rPr>
              <w:instrText xml:space="preserve"> PAGEREF _Toc219991939 \h </w:instrText>
            </w:r>
            <w:r w:rsidR="00F863AA">
              <w:rPr>
                <w:noProof/>
                <w:webHidden/>
              </w:rPr>
            </w:r>
            <w:r w:rsidR="00F863AA">
              <w:rPr>
                <w:noProof/>
                <w:webHidden/>
              </w:rPr>
              <w:fldChar w:fldCharType="separate"/>
            </w:r>
            <w:r w:rsidR="000A0965">
              <w:rPr>
                <w:noProof/>
                <w:webHidden/>
              </w:rPr>
              <w:t>5</w:t>
            </w:r>
            <w:r w:rsidR="00F863AA">
              <w:rPr>
                <w:noProof/>
                <w:webHidden/>
              </w:rPr>
              <w:fldChar w:fldCharType="end"/>
            </w:r>
          </w:hyperlink>
        </w:p>
        <w:p w:rsidR="009D5CE3" w:rsidRDefault="009D5CE3">
          <w:r>
            <w:rPr>
              <w:b/>
              <w:bCs/>
              <w:lang w:val="es-ES"/>
            </w:rPr>
            <w:fldChar w:fldCharType="end"/>
          </w:r>
        </w:p>
      </w:sdtContent>
    </w:sdt>
    <w:p w:rsidR="009E6A33" w:rsidRDefault="009E6A33">
      <w:pPr>
        <w:tabs>
          <w:tab w:val="left" w:pos="8931"/>
        </w:tabs>
        <w:spacing w:after="0" w:line="360" w:lineRule="auto"/>
      </w:pPr>
    </w:p>
    <w:p w:rsidR="009D5CE3" w:rsidRDefault="009D5CE3">
      <w:pPr>
        <w:tabs>
          <w:tab w:val="left" w:pos="8931"/>
        </w:tabs>
        <w:spacing w:after="0" w:line="360" w:lineRule="auto"/>
      </w:pPr>
    </w:p>
    <w:p w:rsidR="009D5CE3" w:rsidRDefault="009D5CE3">
      <w:pPr>
        <w:tabs>
          <w:tab w:val="left" w:pos="8931"/>
        </w:tabs>
        <w:spacing w:after="0" w:line="360" w:lineRule="auto"/>
      </w:pPr>
    </w:p>
    <w:p w:rsidR="009D5CE3" w:rsidRDefault="009D5CE3">
      <w:pPr>
        <w:tabs>
          <w:tab w:val="left" w:pos="8931"/>
        </w:tabs>
        <w:spacing w:after="0" w:line="360" w:lineRule="auto"/>
      </w:pPr>
    </w:p>
    <w:p w:rsidR="009D5CE3" w:rsidRDefault="009D5CE3">
      <w:pPr>
        <w:tabs>
          <w:tab w:val="left" w:pos="8931"/>
        </w:tabs>
        <w:spacing w:after="0" w:line="360" w:lineRule="auto"/>
      </w:pPr>
    </w:p>
    <w:p w:rsidR="009D5CE3" w:rsidRDefault="009D5CE3">
      <w:pPr>
        <w:tabs>
          <w:tab w:val="left" w:pos="8931"/>
        </w:tabs>
        <w:spacing w:after="0" w:line="360" w:lineRule="auto"/>
      </w:pPr>
    </w:p>
    <w:p w:rsidR="009D5CE3" w:rsidRDefault="009D5CE3">
      <w:pPr>
        <w:tabs>
          <w:tab w:val="left" w:pos="8931"/>
        </w:tabs>
        <w:spacing w:after="0" w:line="360" w:lineRule="auto"/>
      </w:pPr>
    </w:p>
    <w:p w:rsidR="009D5CE3" w:rsidRDefault="009D5CE3">
      <w:pPr>
        <w:tabs>
          <w:tab w:val="left" w:pos="8931"/>
        </w:tabs>
        <w:spacing w:after="0" w:line="360" w:lineRule="auto"/>
      </w:pPr>
    </w:p>
    <w:p w:rsidR="009E6A33" w:rsidRDefault="009E6A33">
      <w:pPr>
        <w:tabs>
          <w:tab w:val="left" w:pos="8931"/>
        </w:tabs>
        <w:spacing w:after="0" w:line="360" w:lineRule="auto"/>
      </w:pPr>
    </w:p>
    <w:p w:rsidR="009E6A33" w:rsidRDefault="009834D6">
      <w:pPr>
        <w:tabs>
          <w:tab w:val="left" w:pos="8931"/>
        </w:tabs>
        <w:spacing w:after="0" w:line="360" w:lineRule="auto"/>
      </w:pPr>
      <w:r>
        <w:lastRenderedPageBreak/>
        <w:t xml:space="preserve">Resolución del Pleno del Instituto de Transparencia, Acceso a la Información Pública y Protección de Datos Personales del Estado de México y Municipios, con domicilio en Metepec, Estado de México, de fecha veintiuno de enero de dos mil veintiséis. </w:t>
      </w:r>
    </w:p>
    <w:p w:rsidR="009E6A33" w:rsidRDefault="009E6A33">
      <w:pPr>
        <w:spacing w:after="0" w:line="360" w:lineRule="auto"/>
        <w:rPr>
          <w:b/>
          <w:bCs/>
        </w:rPr>
      </w:pPr>
    </w:p>
    <w:p w:rsidR="009E6A33" w:rsidRDefault="009834D6">
      <w:pPr>
        <w:spacing w:after="0" w:line="360" w:lineRule="auto"/>
        <w:rPr>
          <w:color w:val="0D0D0D"/>
        </w:rPr>
      </w:pPr>
      <w:r>
        <w:rPr>
          <w:b/>
          <w:bCs/>
        </w:rPr>
        <w:t xml:space="preserve">VISTO </w:t>
      </w:r>
      <w:r>
        <w:t xml:space="preserve">el expediente electrónico conformado con motivo del Recurso de Revisión </w:t>
      </w:r>
      <w:r w:rsidRPr="00FA5F1B">
        <w:rPr>
          <w:b/>
        </w:rPr>
        <w:t>06011/INFOEM/IP/RR/2025</w:t>
      </w:r>
      <w:r>
        <w:t xml:space="preserve">, interpuesto por </w:t>
      </w:r>
      <w:r w:rsidR="002F557B" w:rsidRPr="002F557B">
        <w:rPr>
          <w:highlight w:val="black"/>
          <w:u w:val="single"/>
        </w:rPr>
        <w:t>XX</w:t>
      </w:r>
      <w:r w:rsidRPr="002F557B">
        <w:rPr>
          <w:highlight w:val="black"/>
          <w:u w:val="single"/>
        </w:rPr>
        <w:t>,</w:t>
      </w:r>
      <w:r>
        <w:t xml:space="preserve">  la persona </w:t>
      </w:r>
      <w:r>
        <w:rPr>
          <w:color w:val="0D0D0D"/>
        </w:rPr>
        <w:t xml:space="preserve">Recurrente o Particular, en contra de la respuesta del Sujeto Obligado, </w:t>
      </w:r>
      <w:r w:rsidRPr="00FA5F1B">
        <w:rPr>
          <w:b/>
          <w:color w:val="0D0D0D"/>
        </w:rPr>
        <w:t>Ayunt</w:t>
      </w:r>
      <w:bookmarkStart w:id="0" w:name="_GoBack"/>
      <w:bookmarkEnd w:id="0"/>
      <w:r w:rsidRPr="00FA5F1B">
        <w:rPr>
          <w:b/>
          <w:color w:val="0D0D0D"/>
        </w:rPr>
        <w:t>amiento de Toluca</w:t>
      </w:r>
      <w:r>
        <w:t>,</w:t>
      </w:r>
      <w:r>
        <w:rPr>
          <w:color w:val="0D0D0D"/>
        </w:rPr>
        <w:t xml:space="preserve"> a la solicitud de acceso a la información pública </w:t>
      </w:r>
      <w:r>
        <w:t>02512/TOLUCA/IP/2025</w:t>
      </w:r>
      <w:r>
        <w:rPr>
          <w:color w:val="000000"/>
        </w:rPr>
        <w:t xml:space="preserve">, </w:t>
      </w:r>
      <w:r>
        <w:rPr>
          <w:color w:val="0D0D0D"/>
        </w:rPr>
        <w:t>se emite la presente Resolución, con base en los Antecedentes y Considerandos que se exponen a continuación:</w:t>
      </w:r>
    </w:p>
    <w:p w:rsidR="009E6A33" w:rsidRDefault="009E6A33">
      <w:pPr>
        <w:spacing w:after="0" w:line="360" w:lineRule="auto"/>
        <w:rPr>
          <w:b/>
          <w:bCs/>
        </w:rPr>
      </w:pPr>
    </w:p>
    <w:p w:rsidR="009E6A33" w:rsidRDefault="009834D6">
      <w:pPr>
        <w:pStyle w:val="Ttulo1"/>
        <w:spacing w:before="0" w:after="0" w:line="360" w:lineRule="auto"/>
        <w:jc w:val="center"/>
        <w:rPr>
          <w:sz w:val="22"/>
          <w:szCs w:val="22"/>
        </w:rPr>
      </w:pPr>
      <w:bookmarkStart w:id="1" w:name="_heading=h.6tgvguu9mrad" w:colFirst="0" w:colLast="0"/>
      <w:bookmarkStart w:id="2" w:name="_Toc219991928"/>
      <w:bookmarkEnd w:id="1"/>
      <w:r>
        <w:rPr>
          <w:sz w:val="22"/>
          <w:szCs w:val="22"/>
        </w:rPr>
        <w:t>A N T E C E D E N T E S</w:t>
      </w:r>
      <w:bookmarkEnd w:id="2"/>
    </w:p>
    <w:p w:rsidR="009E6A33" w:rsidRDefault="009E6A33">
      <w:pPr>
        <w:spacing w:after="0" w:line="360" w:lineRule="auto"/>
        <w:jc w:val="center"/>
        <w:rPr>
          <w:b/>
          <w:bCs/>
        </w:rPr>
      </w:pPr>
    </w:p>
    <w:p w:rsidR="009E6A33" w:rsidRDefault="009834D6">
      <w:pPr>
        <w:pStyle w:val="Ttulo2"/>
        <w:spacing w:before="0" w:after="0" w:line="360" w:lineRule="auto"/>
        <w:rPr>
          <w:sz w:val="22"/>
          <w:szCs w:val="22"/>
        </w:rPr>
      </w:pPr>
      <w:bookmarkStart w:id="3" w:name="_heading=h.u6e0awl24a37" w:colFirst="0" w:colLast="0"/>
      <w:bookmarkStart w:id="4" w:name="_Toc219991929"/>
      <w:bookmarkEnd w:id="3"/>
      <w:r>
        <w:rPr>
          <w:sz w:val="22"/>
          <w:szCs w:val="22"/>
        </w:rPr>
        <w:t>I. Presentación de la solicitud de información</w:t>
      </w:r>
      <w:bookmarkEnd w:id="4"/>
    </w:p>
    <w:p w:rsidR="009E6A33" w:rsidRDefault="009E6A33">
      <w:pPr>
        <w:tabs>
          <w:tab w:val="left" w:pos="567"/>
        </w:tabs>
        <w:spacing w:after="0" w:line="360" w:lineRule="auto"/>
      </w:pPr>
    </w:p>
    <w:p w:rsidR="009E6A33" w:rsidRDefault="009834D6">
      <w:pPr>
        <w:spacing w:after="0" w:line="360" w:lineRule="auto"/>
      </w:pPr>
      <w:r>
        <w:t>El veintiocho de abril de dos mil veinticinco, el Particular presentó una solicitud de acceso a la información pública, a través del Sistema de Acceso a la Información Mexiquense (SAIMEX), ante el Ayuntamiento de Toluca</w:t>
      </w:r>
      <w:r>
        <w:rPr>
          <w:color w:val="000000"/>
        </w:rPr>
        <w:t>,</w:t>
      </w:r>
      <w:r>
        <w:t xml:space="preserve"> en los siguientes términos: </w:t>
      </w:r>
    </w:p>
    <w:p w:rsidR="009E6A33" w:rsidRDefault="009E6A33">
      <w:pPr>
        <w:spacing w:after="0" w:line="360" w:lineRule="auto"/>
      </w:pPr>
    </w:p>
    <w:p w:rsidR="009E6A33" w:rsidRDefault="009834D6">
      <w:pPr>
        <w:tabs>
          <w:tab w:val="left" w:pos="4667"/>
        </w:tabs>
        <w:spacing w:after="0" w:line="360" w:lineRule="auto"/>
        <w:ind w:left="567" w:right="567"/>
        <w:rPr>
          <w:b/>
          <w:bCs/>
          <w:i/>
          <w:iCs/>
          <w:sz w:val="20"/>
          <w:szCs w:val="20"/>
        </w:rPr>
      </w:pPr>
      <w:r>
        <w:rPr>
          <w:b/>
          <w:bCs/>
          <w:i/>
          <w:iCs/>
          <w:sz w:val="20"/>
          <w:szCs w:val="20"/>
        </w:rPr>
        <w:t>“DESCRIPCIÓN CLARA Y PRECISA DE LA INFORMACIÓN SOLICITADA</w:t>
      </w:r>
    </w:p>
    <w:p w:rsidR="009E6A33" w:rsidRDefault="009834D6">
      <w:pPr>
        <w:tabs>
          <w:tab w:val="left" w:pos="4667"/>
        </w:tabs>
        <w:spacing w:after="0" w:line="360" w:lineRule="auto"/>
        <w:ind w:left="567" w:right="567"/>
        <w:rPr>
          <w:i/>
          <w:iCs/>
          <w:sz w:val="20"/>
          <w:szCs w:val="20"/>
        </w:rPr>
      </w:pPr>
      <w:r>
        <w:rPr>
          <w:i/>
          <w:iCs/>
          <w:sz w:val="20"/>
          <w:szCs w:val="20"/>
        </w:rPr>
        <w:t xml:space="preserve">Se solicita que el Ayuntamiento de Toluca proporcione la siguiente información: 1.- Se solicita del Ayuntamiento de Toluca proporcione copia en versión pública de la Licencia de Funcionamiento del comercio establecido en la calle de Acacias Manzana 2 Lote 15 Casa 101, Conjunto Urbano Sauces I, Delegación 48 Sauces, esquina Paseo de los Sauces, que tiene como razón comercial </w:t>
      </w:r>
      <w:proofErr w:type="spellStart"/>
      <w:r>
        <w:rPr>
          <w:i/>
          <w:iCs/>
          <w:sz w:val="20"/>
          <w:szCs w:val="20"/>
        </w:rPr>
        <w:t>Burguer</w:t>
      </w:r>
      <w:proofErr w:type="spellEnd"/>
      <w:r>
        <w:rPr>
          <w:i/>
          <w:iCs/>
          <w:sz w:val="20"/>
          <w:szCs w:val="20"/>
        </w:rPr>
        <w:t xml:space="preserve"> Grill </w:t>
      </w:r>
      <w:proofErr w:type="spellStart"/>
      <w:r>
        <w:rPr>
          <w:i/>
          <w:iCs/>
          <w:sz w:val="20"/>
          <w:szCs w:val="20"/>
        </w:rPr>
        <w:t>Corner</w:t>
      </w:r>
      <w:proofErr w:type="spellEnd"/>
      <w:r>
        <w:rPr>
          <w:i/>
          <w:iCs/>
          <w:sz w:val="20"/>
          <w:szCs w:val="20"/>
        </w:rPr>
        <w:t xml:space="preserve">, tal como se evidencia en la ubicación indicada en el ANEXO 1 integrado a esta petición. 2.- Se solicita del Ayuntamiento de Toluca copia del Formato Único de Apertura del Sistema de Apertura Rápida de Empresas (SARE), en versión pública, del comercio establecido en la calle de Acacias Manzana 2 Lote 15 Casa 101, Conjunto Urbano Sauces I, Delegación 48 Sauces, esquina Paseo de los Sauces 3.- EN CASO DE QUE NO EXISTA EVIDENCIA DE LA </w:t>
      </w:r>
      <w:r>
        <w:rPr>
          <w:i/>
          <w:iCs/>
          <w:sz w:val="20"/>
          <w:szCs w:val="20"/>
        </w:rPr>
        <w:lastRenderedPageBreak/>
        <w:t>LICENCIA DE FUNCIONAMIENTO AUTORIZADA, se solicita del Ayuntamiento de Toluca proporcione copia del escrito de Solicitud de Instauración de Procedimiento Administrativo emitido por la Dirección de Inspección y Control Comercial , así como el número consecutivo al Procedimiento Administrativo y evidencia de su registro en el Libro de Gobierno, por la emisión de probables sanciones administrativas al comercio establecido, indicado en el punto N° 2 de esta petición, y que está REALIZANDO ACTIVIDADES SIN CONTAR CON LICENCIA DE FUNCIONAMIENTO O PERMISO emitido por el Ayuntamiento.” (Sic.)</w:t>
      </w:r>
    </w:p>
    <w:p w:rsidR="009E6A33" w:rsidRDefault="009E6A33">
      <w:pPr>
        <w:tabs>
          <w:tab w:val="left" w:pos="4667"/>
        </w:tabs>
        <w:spacing w:after="0" w:line="360" w:lineRule="auto"/>
        <w:ind w:left="567" w:right="567"/>
        <w:rPr>
          <w:b/>
          <w:bCs/>
          <w:i/>
          <w:iCs/>
          <w:sz w:val="20"/>
          <w:szCs w:val="20"/>
        </w:rPr>
      </w:pPr>
    </w:p>
    <w:p w:rsidR="009E6A33" w:rsidRDefault="009834D6">
      <w:pPr>
        <w:tabs>
          <w:tab w:val="left" w:pos="4667"/>
        </w:tabs>
        <w:spacing w:after="0" w:line="360" w:lineRule="auto"/>
        <w:ind w:left="567" w:right="567"/>
        <w:rPr>
          <w:b/>
          <w:bCs/>
          <w:i/>
          <w:iCs/>
          <w:sz w:val="20"/>
          <w:szCs w:val="20"/>
        </w:rPr>
      </w:pPr>
      <w:r>
        <w:rPr>
          <w:b/>
          <w:bCs/>
          <w:i/>
          <w:iCs/>
          <w:sz w:val="20"/>
          <w:szCs w:val="20"/>
        </w:rPr>
        <w:t>“MODALIDAD DE ENTREGA</w:t>
      </w:r>
    </w:p>
    <w:p w:rsidR="009E6A33" w:rsidRDefault="009834D6">
      <w:pPr>
        <w:spacing w:after="0" w:line="360" w:lineRule="auto"/>
        <w:ind w:left="567" w:right="567"/>
        <w:rPr>
          <w:i/>
          <w:iCs/>
          <w:sz w:val="20"/>
          <w:szCs w:val="20"/>
        </w:rPr>
      </w:pPr>
      <w:r>
        <w:rPr>
          <w:i/>
          <w:iCs/>
          <w:sz w:val="20"/>
          <w:szCs w:val="20"/>
        </w:rPr>
        <w:t>A través del SAIMEX”</w:t>
      </w:r>
    </w:p>
    <w:p w:rsidR="009E6A33" w:rsidRDefault="009E6A33">
      <w:pPr>
        <w:spacing w:after="0" w:line="360" w:lineRule="auto"/>
        <w:ind w:left="567" w:right="567"/>
        <w:rPr>
          <w:i/>
          <w:iCs/>
          <w:sz w:val="20"/>
          <w:szCs w:val="20"/>
        </w:rPr>
      </w:pPr>
    </w:p>
    <w:p w:rsidR="009E6A33" w:rsidRDefault="009834D6">
      <w:pPr>
        <w:spacing w:after="0" w:line="360" w:lineRule="auto"/>
      </w:pPr>
      <w:r>
        <w:t xml:space="preserve">Asimismo, el Particular adjuntó la digitalización de un archivo denominado ANEXO 1, en formato </w:t>
      </w:r>
      <w:proofErr w:type="spellStart"/>
      <w:r>
        <w:t>pdf</w:t>
      </w:r>
      <w:proofErr w:type="spellEnd"/>
      <w:r>
        <w:t>, el cual contiene la dirección y fotografías de la Unidad Económica, vía google mapas.</w:t>
      </w:r>
    </w:p>
    <w:p w:rsidR="009E6A33" w:rsidRDefault="009E6A33">
      <w:pPr>
        <w:spacing w:after="0" w:line="360" w:lineRule="auto"/>
        <w:ind w:right="567"/>
        <w:rPr>
          <w:i/>
          <w:iCs/>
          <w:sz w:val="20"/>
          <w:szCs w:val="20"/>
        </w:rPr>
      </w:pPr>
    </w:p>
    <w:p w:rsidR="009E6A33" w:rsidRDefault="009834D6">
      <w:pPr>
        <w:pStyle w:val="Ttulo2"/>
        <w:spacing w:before="0" w:after="0" w:line="360" w:lineRule="auto"/>
        <w:rPr>
          <w:sz w:val="22"/>
          <w:szCs w:val="22"/>
        </w:rPr>
      </w:pPr>
      <w:bookmarkStart w:id="5" w:name="_heading=h.7hpreww3190k" w:colFirst="0" w:colLast="0"/>
      <w:bookmarkStart w:id="6" w:name="_Toc219991930"/>
      <w:bookmarkEnd w:id="5"/>
      <w:r>
        <w:rPr>
          <w:sz w:val="22"/>
          <w:szCs w:val="22"/>
        </w:rPr>
        <w:t>II. Respuesta del Sujeto Obligado</w:t>
      </w:r>
      <w:bookmarkEnd w:id="6"/>
    </w:p>
    <w:p w:rsidR="009E6A33" w:rsidRDefault="009E6A33">
      <w:pPr>
        <w:spacing w:after="0" w:line="360" w:lineRule="auto"/>
        <w:rPr>
          <w:b/>
          <w:bCs/>
        </w:rPr>
      </w:pPr>
    </w:p>
    <w:p w:rsidR="009E6A33" w:rsidRDefault="009834D6">
      <w:pPr>
        <w:spacing w:after="0" w:line="360" w:lineRule="auto"/>
      </w:pPr>
      <w:r>
        <w:t>El veintiuno de mayo de dos mil veinticinco, el Sujeto Obligado notificó, a través del Sistema de Acceso a la Información Mexiquense (SAIMEX), la respuesta a la solicitud de acceso a la información pública, a través de los siguientes documentos:</w:t>
      </w:r>
    </w:p>
    <w:p w:rsidR="009E6A33" w:rsidRDefault="009E6A33">
      <w:pPr>
        <w:spacing w:after="0" w:line="360" w:lineRule="auto"/>
      </w:pPr>
    </w:p>
    <w:p w:rsidR="009E6A33" w:rsidRDefault="009834D6">
      <w:pPr>
        <w:spacing w:after="0" w:line="360" w:lineRule="auto"/>
      </w:pPr>
      <w:r>
        <w:t>i) Oficio número 211010000/629/2025, de fecha dos de mayo de dos mil veinticinco, suscrito por la Directora General de Bienestar y dirigido al solicitante donde refiere lo siguiente:</w:t>
      </w:r>
    </w:p>
    <w:p w:rsidR="009E6A33" w:rsidRDefault="009E6A33">
      <w:pPr>
        <w:spacing w:after="0" w:line="360" w:lineRule="auto"/>
      </w:pPr>
    </w:p>
    <w:p w:rsidR="009E6A33" w:rsidRDefault="009834D6">
      <w:pPr>
        <w:spacing w:after="0" w:line="360" w:lineRule="auto"/>
        <w:ind w:left="567" w:right="426"/>
        <w:rPr>
          <w:i/>
          <w:iCs/>
          <w:sz w:val="20"/>
          <w:szCs w:val="20"/>
        </w:rPr>
      </w:pPr>
      <w:r>
        <w:rPr>
          <w:i/>
          <w:iCs/>
          <w:sz w:val="20"/>
          <w:szCs w:val="20"/>
        </w:rPr>
        <w:t>“Hago de su conocimiento que después de haber realizado una búsqueda minuciosa y exhaustiva en los archivos de esta dirección general, se comunica que se carece de facultades para dar respuesta a su solicitud.”</w:t>
      </w:r>
    </w:p>
    <w:p w:rsidR="009E6A33" w:rsidRDefault="009E6A33">
      <w:pPr>
        <w:spacing w:after="0" w:line="360" w:lineRule="auto"/>
        <w:ind w:right="426"/>
        <w:rPr>
          <w:i/>
          <w:iCs/>
          <w:sz w:val="20"/>
          <w:szCs w:val="20"/>
        </w:rPr>
      </w:pPr>
    </w:p>
    <w:p w:rsidR="009E6A33" w:rsidRDefault="009834D6">
      <w:pPr>
        <w:spacing w:after="0" w:line="360" w:lineRule="auto"/>
      </w:pPr>
      <w:r>
        <w:lastRenderedPageBreak/>
        <w:t>ii) Oficio número 20401/022/2025, de fecha veinte de mayo de dos mil veinticinco, suscrito por la Directora General de Gobierno y dirigido al solicitante donde refiere lo siguiente:</w:t>
      </w:r>
    </w:p>
    <w:p w:rsidR="009E6A33" w:rsidRDefault="009E6A33">
      <w:pPr>
        <w:spacing w:after="0" w:line="360" w:lineRule="auto"/>
      </w:pPr>
    </w:p>
    <w:p w:rsidR="009E6A33" w:rsidRDefault="009834D6">
      <w:pPr>
        <w:spacing w:after="0" w:line="360" w:lineRule="auto"/>
        <w:ind w:left="567" w:right="426"/>
        <w:rPr>
          <w:i/>
          <w:iCs/>
          <w:sz w:val="20"/>
          <w:szCs w:val="20"/>
        </w:rPr>
      </w:pPr>
      <w:r>
        <w:rPr>
          <w:i/>
          <w:iCs/>
          <w:sz w:val="20"/>
          <w:szCs w:val="20"/>
        </w:rPr>
        <w:t>“Derivado de su solicitud le informo que en los puntos uno y dos esta dirección no tiene atribuciones conferidas para proporcionar datos en relación a las Licencias de Funcionamiento y/o formatos de apertura rápida de empresas (SARE), toda vez que la dirección de atención al comercio dependiente de la dirección general de desarrollo económico son los competentes.</w:t>
      </w:r>
    </w:p>
    <w:p w:rsidR="009E6A33" w:rsidRDefault="009E6A33">
      <w:pPr>
        <w:spacing w:after="0" w:line="360" w:lineRule="auto"/>
        <w:ind w:left="567" w:right="426"/>
        <w:rPr>
          <w:i/>
          <w:iCs/>
          <w:sz w:val="20"/>
          <w:szCs w:val="20"/>
        </w:rPr>
      </w:pPr>
    </w:p>
    <w:p w:rsidR="009E6A33" w:rsidRDefault="009834D6">
      <w:pPr>
        <w:spacing w:after="0" w:line="360" w:lineRule="auto"/>
        <w:ind w:left="567" w:right="426"/>
        <w:rPr>
          <w:i/>
          <w:iCs/>
          <w:sz w:val="20"/>
          <w:szCs w:val="20"/>
        </w:rPr>
      </w:pPr>
      <w:r>
        <w:rPr>
          <w:i/>
          <w:iCs/>
          <w:sz w:val="20"/>
          <w:szCs w:val="20"/>
        </w:rPr>
        <w:t>Por otro lado en relación al numeral 3, después de agotar la búsqueda exhaustiva, no se encontró información, por no haberse generado poseído o administrado”</w:t>
      </w:r>
    </w:p>
    <w:p w:rsidR="009E6A33" w:rsidRDefault="009E6A33">
      <w:pPr>
        <w:spacing w:after="0" w:line="360" w:lineRule="auto"/>
        <w:ind w:right="426"/>
        <w:rPr>
          <w:i/>
          <w:iCs/>
          <w:sz w:val="20"/>
          <w:szCs w:val="20"/>
        </w:rPr>
      </w:pPr>
    </w:p>
    <w:p w:rsidR="009E6A33" w:rsidRDefault="009834D6">
      <w:pPr>
        <w:spacing w:after="0" w:line="360" w:lineRule="auto"/>
      </w:pPr>
      <w:r>
        <w:t>iii) Oficio número 204013000/851/2025, de fecha siete de mayo de dos mil veinticinco, suscrito por la Directora de Inspección y Control Comercial y dirigido al Titular de la Unidad Jurídica donde refiere lo siguiente:</w:t>
      </w:r>
    </w:p>
    <w:p w:rsidR="009E6A33" w:rsidRDefault="009E6A33">
      <w:pPr>
        <w:spacing w:after="0" w:line="360" w:lineRule="auto"/>
      </w:pPr>
    </w:p>
    <w:p w:rsidR="009E6A33" w:rsidRDefault="009834D6">
      <w:pPr>
        <w:spacing w:after="0" w:line="360" w:lineRule="auto"/>
        <w:ind w:left="567" w:right="426"/>
        <w:rPr>
          <w:i/>
          <w:iCs/>
          <w:sz w:val="20"/>
          <w:szCs w:val="20"/>
        </w:rPr>
      </w:pPr>
      <w:r>
        <w:rPr>
          <w:i/>
          <w:iCs/>
          <w:sz w:val="20"/>
          <w:szCs w:val="20"/>
        </w:rPr>
        <w:t>“Derivado de lo anterior,  le informo que en los puntos uno y dos esta dirección no tiene atribuciones conferidas para proporcionar datos en relación a las Licencias de Funcionamiento ni de los  formatos de apertura rápida de empresas (SARE).</w:t>
      </w:r>
    </w:p>
    <w:p w:rsidR="009E6A33" w:rsidRDefault="009E6A33">
      <w:pPr>
        <w:spacing w:after="0" w:line="360" w:lineRule="auto"/>
        <w:ind w:left="567" w:right="426"/>
        <w:rPr>
          <w:i/>
          <w:iCs/>
          <w:sz w:val="20"/>
          <w:szCs w:val="20"/>
        </w:rPr>
      </w:pPr>
    </w:p>
    <w:p w:rsidR="009E6A33" w:rsidRDefault="009834D6">
      <w:pPr>
        <w:spacing w:after="0" w:line="360" w:lineRule="auto"/>
        <w:ind w:left="567" w:right="426"/>
        <w:rPr>
          <w:i/>
          <w:iCs/>
          <w:sz w:val="20"/>
          <w:szCs w:val="20"/>
        </w:rPr>
      </w:pPr>
      <w:r>
        <w:rPr>
          <w:i/>
          <w:iCs/>
          <w:sz w:val="20"/>
          <w:szCs w:val="20"/>
        </w:rPr>
        <w:t>Por otro lado en relación al numeral 3, después de agotar la búsqueda exhaustiva, no se encontró registro alguno de algún procedimiento administrativo instaurado por la dirección a mi cargo, de la unidad económica en comento.</w:t>
      </w:r>
    </w:p>
    <w:p w:rsidR="009E6A33" w:rsidRDefault="009E6A33">
      <w:pPr>
        <w:spacing w:after="0" w:line="360" w:lineRule="auto"/>
        <w:ind w:right="426"/>
        <w:rPr>
          <w:i/>
          <w:iCs/>
          <w:sz w:val="20"/>
          <w:szCs w:val="20"/>
        </w:rPr>
      </w:pPr>
    </w:p>
    <w:p w:rsidR="009E6A33" w:rsidRDefault="009834D6">
      <w:pPr>
        <w:spacing w:after="0" w:line="360" w:lineRule="auto"/>
      </w:pPr>
      <w:r>
        <w:t>iv) Oficio número 210010000/0830/2025, de fecha veintiuno de mayo de dos mil veinticinco, suscrito por la Directora General de Desarrollo Económico y dirigido a quien corresponda donde refiere lo siguiente:</w:t>
      </w:r>
    </w:p>
    <w:p w:rsidR="009E6A33" w:rsidRDefault="009834D6">
      <w:pPr>
        <w:spacing w:after="0" w:line="360" w:lineRule="auto"/>
        <w:ind w:left="567" w:right="426"/>
        <w:rPr>
          <w:i/>
          <w:iCs/>
          <w:sz w:val="20"/>
          <w:szCs w:val="20"/>
        </w:rPr>
      </w:pPr>
      <w:r>
        <w:rPr>
          <w:i/>
          <w:iCs/>
          <w:sz w:val="20"/>
          <w:szCs w:val="20"/>
        </w:rPr>
        <w:t xml:space="preserve">“Derivado de su solicitud le informo por numeral lo que a continuación desprende. 1. No se localizó registro de licencia de funcionamiento de la unidad económica requerida, 2.- No se localizaron </w:t>
      </w:r>
      <w:r>
        <w:rPr>
          <w:i/>
          <w:iCs/>
          <w:sz w:val="20"/>
          <w:szCs w:val="20"/>
        </w:rPr>
        <w:lastRenderedPageBreak/>
        <w:t>formatos únicos de apertura SARE, de la unidad económica referida, 3.- para el caso del procedimiento administrativo, esta dependencia no genera ni administra dicha información.</w:t>
      </w:r>
    </w:p>
    <w:p w:rsidR="009E6A33" w:rsidRDefault="009E6A33">
      <w:pPr>
        <w:spacing w:after="0" w:line="360" w:lineRule="auto"/>
      </w:pPr>
    </w:p>
    <w:p w:rsidR="009E6A33" w:rsidRDefault="009834D6">
      <w:pPr>
        <w:pStyle w:val="Ttulo2"/>
        <w:spacing w:before="0" w:after="0" w:line="360" w:lineRule="auto"/>
        <w:rPr>
          <w:sz w:val="22"/>
          <w:szCs w:val="22"/>
        </w:rPr>
      </w:pPr>
      <w:bookmarkStart w:id="7" w:name="_heading=h.wotayzt7edud" w:colFirst="0" w:colLast="0"/>
      <w:bookmarkStart w:id="8" w:name="_Toc219991931"/>
      <w:bookmarkEnd w:id="7"/>
      <w:r>
        <w:rPr>
          <w:sz w:val="22"/>
          <w:szCs w:val="22"/>
        </w:rPr>
        <w:t>III. Interposición del Recurso de Revisión</w:t>
      </w:r>
      <w:bookmarkEnd w:id="8"/>
    </w:p>
    <w:p w:rsidR="009E6A33" w:rsidRDefault="009E6A33">
      <w:pPr>
        <w:spacing w:after="0" w:line="360" w:lineRule="auto"/>
        <w:rPr>
          <w:b/>
          <w:bCs/>
        </w:rPr>
      </w:pPr>
    </w:p>
    <w:p w:rsidR="009E6A33" w:rsidRDefault="009834D6">
      <w:pPr>
        <w:spacing w:after="0" w:line="360" w:lineRule="auto"/>
      </w:pPr>
      <w:r>
        <w:t xml:space="preserve">El veintisiete de mayo de dos mil veinticinco, se recibió en este Instituto, a través del Sistema de Acceso a la Información Mexiquense (SAIMEX), el Recurso de Revisión interpuesto por la persona Recurrente, en contra de la respuesta por el Sujeto Obligado, a la solicitud de información, en los siguientes términos: </w:t>
      </w:r>
    </w:p>
    <w:p w:rsidR="009E6A33" w:rsidRDefault="009E6A33">
      <w:pPr>
        <w:spacing w:after="0" w:line="360" w:lineRule="auto"/>
        <w:ind w:left="567" w:right="567"/>
        <w:rPr>
          <w:b/>
          <w:bCs/>
          <w:i/>
          <w:iCs/>
          <w:sz w:val="20"/>
          <w:szCs w:val="20"/>
        </w:rPr>
      </w:pPr>
    </w:p>
    <w:p w:rsidR="009E6A33" w:rsidRDefault="009834D6">
      <w:pPr>
        <w:spacing w:after="0" w:line="360" w:lineRule="auto"/>
        <w:ind w:left="567" w:right="567"/>
        <w:rPr>
          <w:i/>
          <w:iCs/>
          <w:sz w:val="20"/>
          <w:szCs w:val="20"/>
        </w:rPr>
      </w:pPr>
      <w:r>
        <w:rPr>
          <w:b/>
          <w:bCs/>
          <w:i/>
          <w:iCs/>
          <w:sz w:val="20"/>
          <w:szCs w:val="20"/>
        </w:rPr>
        <w:t>‘’ACTO IMPUGNADO</w:t>
      </w:r>
    </w:p>
    <w:p w:rsidR="009E6A33" w:rsidRDefault="009834D6">
      <w:pPr>
        <w:spacing w:after="0" w:line="360" w:lineRule="auto"/>
        <w:ind w:left="567" w:right="567"/>
        <w:rPr>
          <w:i/>
          <w:iCs/>
          <w:sz w:val="20"/>
          <w:szCs w:val="20"/>
        </w:rPr>
      </w:pPr>
      <w:r>
        <w:rPr>
          <w:i/>
          <w:iCs/>
          <w:sz w:val="20"/>
          <w:szCs w:val="20"/>
        </w:rPr>
        <w:t>Se IMPUGNA LA TOTALIDAD DE LA RESPUESTA del Ayuntamiento de Toluca a la Solicitud de Información con N° 02512/TOLUCA/IP/2025, por las causales descritas en el ANEXO 2 adjunto.”</w:t>
      </w:r>
    </w:p>
    <w:p w:rsidR="009E6A33" w:rsidRDefault="009E6A33">
      <w:pPr>
        <w:spacing w:after="0" w:line="360" w:lineRule="auto"/>
        <w:ind w:left="567" w:right="567"/>
        <w:rPr>
          <w:i/>
          <w:iCs/>
          <w:sz w:val="20"/>
          <w:szCs w:val="20"/>
        </w:rPr>
      </w:pPr>
    </w:p>
    <w:p w:rsidR="009E6A33" w:rsidRDefault="009834D6">
      <w:pPr>
        <w:spacing w:after="0" w:line="360" w:lineRule="auto"/>
        <w:ind w:left="567" w:right="567"/>
        <w:rPr>
          <w:b/>
          <w:bCs/>
          <w:i/>
          <w:iCs/>
          <w:sz w:val="20"/>
          <w:szCs w:val="20"/>
        </w:rPr>
      </w:pPr>
      <w:r>
        <w:rPr>
          <w:b/>
          <w:bCs/>
          <w:i/>
          <w:iCs/>
          <w:sz w:val="20"/>
          <w:szCs w:val="20"/>
        </w:rPr>
        <w:t>‘’RAZONES O MOTIVOS DE LA INCONFORMIDAD</w:t>
      </w:r>
    </w:p>
    <w:p w:rsidR="009E6A33" w:rsidRDefault="009834D6">
      <w:pPr>
        <w:spacing w:after="0" w:line="360" w:lineRule="auto"/>
        <w:ind w:left="567" w:right="567"/>
        <w:rPr>
          <w:i/>
          <w:iCs/>
          <w:sz w:val="20"/>
          <w:szCs w:val="20"/>
        </w:rPr>
      </w:pPr>
      <w:r>
        <w:rPr>
          <w:i/>
          <w:iCs/>
          <w:sz w:val="20"/>
          <w:szCs w:val="20"/>
        </w:rPr>
        <w:t xml:space="preserve">Por la declaración de inexistencia de información y la declaración de incompetencia por el sujeto obligado.” </w:t>
      </w:r>
    </w:p>
    <w:p w:rsidR="009E6A33" w:rsidRDefault="009E6A33">
      <w:pPr>
        <w:spacing w:after="0" w:line="360" w:lineRule="auto"/>
        <w:ind w:right="567"/>
        <w:rPr>
          <w:i/>
          <w:iCs/>
          <w:sz w:val="20"/>
          <w:szCs w:val="20"/>
        </w:rPr>
      </w:pPr>
    </w:p>
    <w:p w:rsidR="009E6A33" w:rsidRDefault="009834D6">
      <w:pPr>
        <w:spacing w:after="0" w:line="360" w:lineRule="auto"/>
      </w:pPr>
      <w:r>
        <w:t xml:space="preserve">El Sujeto Obligado adjuntó la digitalización de un archivo </w:t>
      </w:r>
      <w:proofErr w:type="spellStart"/>
      <w:r>
        <w:t>pdf</w:t>
      </w:r>
      <w:proofErr w:type="spellEnd"/>
      <w:r>
        <w:t xml:space="preserve"> denominado ANEXO 2, por medio del cual refiere que las contestaciones no se fundan conforme a la normativa que pronuncian, y confirma la violación de funcionamiento de dicha unidad sin licencia vigente.</w:t>
      </w:r>
    </w:p>
    <w:p w:rsidR="009E6A33" w:rsidRDefault="009E6A33">
      <w:pPr>
        <w:spacing w:after="0" w:line="360" w:lineRule="auto"/>
        <w:ind w:right="567"/>
      </w:pPr>
    </w:p>
    <w:p w:rsidR="009E6A33" w:rsidRDefault="009834D6">
      <w:pPr>
        <w:pStyle w:val="Ttulo2"/>
        <w:spacing w:before="0" w:after="0" w:line="360" w:lineRule="auto"/>
        <w:rPr>
          <w:sz w:val="22"/>
          <w:szCs w:val="22"/>
        </w:rPr>
      </w:pPr>
      <w:bookmarkStart w:id="9" w:name="_heading=h.qnulbjyqp1k8" w:colFirst="0" w:colLast="0"/>
      <w:bookmarkStart w:id="10" w:name="_Toc219991932"/>
      <w:bookmarkEnd w:id="9"/>
      <w:r>
        <w:rPr>
          <w:sz w:val="22"/>
          <w:szCs w:val="22"/>
        </w:rPr>
        <w:t>IV. Trámite del Recurso de Revisión ante este Instituto</w:t>
      </w:r>
      <w:bookmarkEnd w:id="10"/>
    </w:p>
    <w:p w:rsidR="009E6A33" w:rsidRDefault="009E6A33">
      <w:pPr>
        <w:spacing w:after="0" w:line="360" w:lineRule="auto"/>
        <w:rPr>
          <w:b/>
          <w:bCs/>
        </w:rPr>
      </w:pPr>
    </w:p>
    <w:p w:rsidR="009E6A33" w:rsidRDefault="009834D6">
      <w:pPr>
        <w:spacing w:after="0" w:line="360" w:lineRule="auto"/>
      </w:pPr>
      <w:r>
        <w:rPr>
          <w:b/>
          <w:bCs/>
        </w:rPr>
        <w:t>a) Turno del Medio de Impugnación.</w:t>
      </w:r>
      <w:r>
        <w:t xml:space="preserve"> El veintisiete de mayo de dos mil veinticinco, el Sistema de Acceso a la Información Mexiquense (SAIMEX), asignó el número de expediente 06011/INFOEM/IP/RR/2025, al medio de impugnación que nos ocupa, con base en el sistema </w:t>
      </w:r>
      <w:r>
        <w:lastRenderedPageBreak/>
        <w:t>aprobado por el Pleno de este Organismo Garante y lo turnó al Comisionado Ponente Luis Gustavo Parra Noriega, para los efectos del artículo 185, fracción I de la Ley de Transparencia y Acceso a la Información Pública del Estado de México y Municipios.</w:t>
      </w:r>
    </w:p>
    <w:p w:rsidR="009E6A33" w:rsidRDefault="009E6A33">
      <w:pPr>
        <w:spacing w:after="0" w:line="360" w:lineRule="auto"/>
        <w:rPr>
          <w:b/>
          <w:bCs/>
        </w:rPr>
      </w:pPr>
    </w:p>
    <w:p w:rsidR="009E6A33" w:rsidRDefault="009834D6">
      <w:pPr>
        <w:spacing w:after="0" w:line="360" w:lineRule="auto"/>
      </w:pPr>
      <w:r>
        <w:rPr>
          <w:b/>
          <w:bCs/>
        </w:rPr>
        <w:t xml:space="preserve">b) Admisión del Recurso de Revisión. </w:t>
      </w:r>
      <w:r>
        <w:t>El treinta de mayo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rsidR="009E6A33" w:rsidRDefault="009E6A33">
      <w:pPr>
        <w:spacing w:after="0" w:line="360" w:lineRule="auto"/>
      </w:pPr>
    </w:p>
    <w:p w:rsidR="009E6A33" w:rsidRDefault="009834D6">
      <w:pPr>
        <w:spacing w:after="0" w:line="360" w:lineRule="auto"/>
      </w:pPr>
      <w:bookmarkStart w:id="11" w:name="_heading=h.qit0fzmcj21c" w:colFirst="0" w:colLast="0"/>
      <w:bookmarkEnd w:id="11"/>
      <w:r>
        <w:rPr>
          <w:b/>
          <w:bCs/>
        </w:rPr>
        <w:t xml:space="preserve">c) Informe Justificado. </w:t>
      </w:r>
      <w:r>
        <w:t>El diez de junio de dos mil veinticinco, se recibió, a través del Sistema de Acceso a la Información Mexiquense (SAIMEX), el Informe Justificado, donde ratifica su respuesta inicial.</w:t>
      </w:r>
    </w:p>
    <w:p w:rsidR="009E6A33" w:rsidRDefault="009E6A33">
      <w:pPr>
        <w:spacing w:after="0" w:line="360" w:lineRule="auto"/>
      </w:pPr>
    </w:p>
    <w:p w:rsidR="009E6A33" w:rsidRDefault="009834D6">
      <w:pPr>
        <w:spacing w:after="0" w:line="360" w:lineRule="auto"/>
      </w:pPr>
      <w:r>
        <w:rPr>
          <w:b/>
          <w:bCs/>
        </w:rPr>
        <w:t>d) Vista de Informe Justificado</w:t>
      </w:r>
      <w:r>
        <w:t>. El catorce de enero de dos mil veintiséis, se dictó el acuerdo mediante el cual se puso a la vista del Particular el Informe Justificado, entregado por el Sujeto Obligado, así como los documentos adjuntos, los cuales fueron notificados el mismo día de dicho mes y año, a través del Sistema de Acceso a la Información Mexiquense (SAIMEX).</w:t>
      </w:r>
    </w:p>
    <w:p w:rsidR="009E6A33" w:rsidRDefault="009E6A33">
      <w:pPr>
        <w:spacing w:after="0" w:line="360" w:lineRule="auto"/>
      </w:pPr>
    </w:p>
    <w:p w:rsidR="009E6A33" w:rsidRDefault="009834D6">
      <w:pPr>
        <w:spacing w:after="0" w:line="360" w:lineRule="auto"/>
      </w:pPr>
      <w:r>
        <w:rPr>
          <w:b/>
          <w:bCs/>
        </w:rPr>
        <w:t xml:space="preserve">d) Ampliación de plazo para resolver. </w:t>
      </w:r>
      <w:r>
        <w:t xml:space="preserve">El quince de enero de dos mil veintiséis, el Comisionado Ponente, con fundamento en lo dispuesto por el artículo 181, párrafo tercero, de la Ley de Transparencia y Acceso a la Información Pública del Estado de México y Municipios, acordó ampliar por un periodo razonable, el plazo para resolver el Recurso de </w:t>
      </w:r>
      <w:r>
        <w:lastRenderedPageBreak/>
        <w:t>Revisión que nos ocupa; acto que fue notificado a las partes el mismo día, mediante el Sistema de Acceso a la Información Mexiquense (SAIMEX).</w:t>
      </w:r>
    </w:p>
    <w:p w:rsidR="009E6A33" w:rsidRDefault="009E6A33">
      <w:pPr>
        <w:spacing w:after="0" w:line="360" w:lineRule="auto"/>
      </w:pPr>
    </w:p>
    <w:p w:rsidR="009E6A33" w:rsidRDefault="009834D6">
      <w:pPr>
        <w:spacing w:after="0" w:line="360" w:lineRule="auto"/>
        <w:rPr>
          <w:b/>
          <w:bCs/>
        </w:rPr>
      </w:pPr>
      <w:r>
        <w:rPr>
          <w:b/>
          <w:bCs/>
        </w:rPr>
        <w:t>e) Cierre de instrucción.</w:t>
      </w:r>
      <w:r>
        <w:t xml:space="preserve"> El veintidós de enero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rsidR="009E6A33" w:rsidRDefault="009E6A33">
      <w:pPr>
        <w:spacing w:after="0" w:line="360" w:lineRule="auto"/>
      </w:pPr>
    </w:p>
    <w:p w:rsidR="009E6A33" w:rsidRDefault="009834D6">
      <w:pPr>
        <w:spacing w:after="0" w:line="360" w:lineRule="auto"/>
        <w:rPr>
          <w:color w:val="000000"/>
        </w:rPr>
      </w:pPr>
      <w:r>
        <w:rPr>
          <w:color w:val="000000"/>
        </w:rPr>
        <w:t xml:space="preserve">En razón de que fue debidamente sustanciado el expediente electrónico y no existe diligencia pendiente de desahogo, se emite la resolución que conforme a Derecho proceda, de acuerdo a los siguientes: </w:t>
      </w:r>
    </w:p>
    <w:p w:rsidR="009E6A33" w:rsidRDefault="009E6A33">
      <w:pPr>
        <w:spacing w:after="0" w:line="360" w:lineRule="auto"/>
      </w:pPr>
    </w:p>
    <w:p w:rsidR="009E6A33" w:rsidRDefault="009834D6">
      <w:pPr>
        <w:pStyle w:val="Ttulo1"/>
        <w:spacing w:before="0" w:after="0" w:line="360" w:lineRule="auto"/>
        <w:jc w:val="center"/>
        <w:rPr>
          <w:sz w:val="22"/>
          <w:szCs w:val="22"/>
        </w:rPr>
      </w:pPr>
      <w:bookmarkStart w:id="12" w:name="_heading=h.xasto0ll0t56" w:colFirst="0" w:colLast="0"/>
      <w:bookmarkStart w:id="13" w:name="_Toc219991933"/>
      <w:bookmarkEnd w:id="12"/>
      <w:r>
        <w:rPr>
          <w:sz w:val="22"/>
          <w:szCs w:val="22"/>
        </w:rPr>
        <w:t>C O N S I D E R A N D O S</w:t>
      </w:r>
      <w:bookmarkEnd w:id="13"/>
    </w:p>
    <w:p w:rsidR="009E6A33" w:rsidRDefault="009E6A33">
      <w:pPr>
        <w:spacing w:after="0" w:line="360" w:lineRule="auto"/>
        <w:jc w:val="center"/>
        <w:rPr>
          <w:b/>
          <w:bCs/>
          <w:color w:val="000000"/>
        </w:rPr>
      </w:pPr>
    </w:p>
    <w:p w:rsidR="009E6A33" w:rsidRDefault="009834D6">
      <w:pPr>
        <w:pStyle w:val="Ttulo2"/>
        <w:spacing w:before="0" w:after="0" w:line="360" w:lineRule="auto"/>
        <w:rPr>
          <w:sz w:val="22"/>
          <w:szCs w:val="22"/>
        </w:rPr>
      </w:pPr>
      <w:bookmarkStart w:id="14" w:name="_heading=h.d9iplziphs3w" w:colFirst="0" w:colLast="0"/>
      <w:bookmarkStart w:id="15" w:name="_Toc219991934"/>
      <w:bookmarkEnd w:id="14"/>
      <w:r>
        <w:rPr>
          <w:sz w:val="22"/>
          <w:szCs w:val="22"/>
        </w:rPr>
        <w:t>PRIMERO. Competencia</w:t>
      </w:r>
      <w:bookmarkEnd w:id="15"/>
    </w:p>
    <w:p w:rsidR="009E6A33" w:rsidRDefault="009E6A33">
      <w:pPr>
        <w:spacing w:after="0" w:line="360" w:lineRule="auto"/>
      </w:pPr>
      <w:bookmarkStart w:id="16" w:name="_heading=h.30j0zll" w:colFirst="0" w:colLast="0"/>
      <w:bookmarkEnd w:id="16"/>
    </w:p>
    <w:p w:rsidR="009E6A33" w:rsidRDefault="009834D6">
      <w:pPr>
        <w:spacing w:after="0" w:line="360" w:lineRule="auto"/>
      </w:pPr>
      <w: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w:t>
      </w:r>
      <w:r>
        <w:lastRenderedPageBreak/>
        <w:t>Instituto de Transparencia, Acceso a la Información Pública y Protección de Datos Personales del Estado de México y Municipios.</w:t>
      </w:r>
    </w:p>
    <w:p w:rsidR="009E6A33" w:rsidRDefault="009E6A33">
      <w:pPr>
        <w:spacing w:after="0" w:line="360" w:lineRule="auto"/>
        <w:rPr>
          <w:b/>
          <w:bCs/>
          <w:color w:val="000000"/>
        </w:rPr>
      </w:pPr>
    </w:p>
    <w:p w:rsidR="009E6A33" w:rsidRDefault="009834D6">
      <w:pPr>
        <w:pStyle w:val="Ttulo2"/>
        <w:spacing w:before="0" w:after="0" w:line="360" w:lineRule="auto"/>
        <w:rPr>
          <w:sz w:val="22"/>
          <w:szCs w:val="22"/>
        </w:rPr>
      </w:pPr>
      <w:bookmarkStart w:id="17" w:name="_heading=h.ozkkmvwwltja" w:colFirst="0" w:colLast="0"/>
      <w:bookmarkStart w:id="18" w:name="_Toc219991935"/>
      <w:bookmarkEnd w:id="17"/>
      <w:r>
        <w:rPr>
          <w:sz w:val="22"/>
          <w:szCs w:val="22"/>
        </w:rPr>
        <w:t>SEGUNDO. Causales de improcedencia y sobreseimiento</w:t>
      </w:r>
      <w:bookmarkEnd w:id="18"/>
    </w:p>
    <w:p w:rsidR="009E6A33" w:rsidRDefault="009E6A33">
      <w:pPr>
        <w:spacing w:after="0" w:line="360" w:lineRule="auto"/>
        <w:rPr>
          <w:color w:val="000000"/>
        </w:rPr>
      </w:pPr>
    </w:p>
    <w:p w:rsidR="009E6A33" w:rsidRDefault="009834D6">
      <w:pPr>
        <w:spacing w:after="0" w:line="360" w:lineRule="auto"/>
        <w:rPr>
          <w:color w:val="000000"/>
        </w:rPr>
      </w:pPr>
      <w:r>
        <w:rPr>
          <w:color w:val="000000"/>
        </w:rPr>
        <w:t xml:space="preserve">De las constancias que forma parte del Recurso de Revisión que se analiza, se advierte que previo al estudio del fondo de la </w:t>
      </w:r>
      <w:proofErr w:type="spellStart"/>
      <w:r>
        <w:rPr>
          <w:i/>
          <w:iCs/>
          <w:color w:val="000000"/>
        </w:rPr>
        <w:t>litis</w:t>
      </w:r>
      <w:proofErr w:type="spellEnd"/>
      <w:r>
        <w:rPr>
          <w:color w:val="000000"/>
        </w:rPr>
        <w:t>, es necesario estudiar las causales de improcedencia y sobreseimiento que se adviertan, para determinar lo que en Derecho proceda.</w:t>
      </w:r>
    </w:p>
    <w:p w:rsidR="009E6A33" w:rsidRDefault="009E6A33">
      <w:pPr>
        <w:spacing w:after="0" w:line="360" w:lineRule="auto"/>
        <w:rPr>
          <w:color w:val="000000"/>
        </w:rPr>
      </w:pPr>
    </w:p>
    <w:p w:rsidR="009E6A33" w:rsidRDefault="009834D6">
      <w:pPr>
        <w:spacing w:after="0" w:line="360" w:lineRule="auto"/>
        <w:rPr>
          <w:b/>
          <w:bCs/>
        </w:rPr>
      </w:pPr>
      <w:r>
        <w:rPr>
          <w:b/>
          <w:bCs/>
        </w:rPr>
        <w:t>Causales de improcedencia</w:t>
      </w:r>
    </w:p>
    <w:p w:rsidR="009E6A33" w:rsidRDefault="009E6A33">
      <w:pPr>
        <w:spacing w:after="0" w:line="360" w:lineRule="auto"/>
        <w:rPr>
          <w:b/>
          <w:bCs/>
        </w:rPr>
      </w:pPr>
    </w:p>
    <w:p w:rsidR="009E6A33" w:rsidRDefault="009834D6">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9E6A33" w:rsidRDefault="009E6A33">
      <w:pPr>
        <w:spacing w:after="0" w:line="360" w:lineRule="auto"/>
        <w:rPr>
          <w:color w:val="000000"/>
        </w:rPr>
      </w:pPr>
    </w:p>
    <w:p w:rsidR="009E6A33" w:rsidRDefault="009834D6">
      <w:pPr>
        <w:spacing w:after="0" w:line="360" w:lineRule="auto"/>
        <w:rPr>
          <w:color w:val="000000"/>
        </w:rPr>
      </w:pPr>
      <w:r>
        <w:rPr>
          <w:color w:val="000000"/>
        </w:rPr>
        <w:t>En el presente caso, </w:t>
      </w:r>
      <w:r>
        <w:rPr>
          <w:b/>
          <w:bCs/>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rsidR="009E6A33" w:rsidRDefault="009E6A33">
      <w:pPr>
        <w:spacing w:after="0" w:line="360" w:lineRule="auto"/>
        <w:rPr>
          <w:color w:val="000000"/>
        </w:rPr>
      </w:pPr>
    </w:p>
    <w:p w:rsidR="009E6A33" w:rsidRDefault="009834D6">
      <w:pPr>
        <w:spacing w:after="0" w:line="360" w:lineRule="auto"/>
      </w:pPr>
      <w:r>
        <w:lastRenderedPageBreak/>
        <w:t>Por lo cual, se actualiza la causal de procedencia del Recurso de Revisión señalada en el artículo 179, fracción III, de la Ley en cita, pues la persona Recurrente se inconformó de la inexistencia de la información solicitada.</w:t>
      </w:r>
    </w:p>
    <w:p w:rsidR="009E6A33" w:rsidRDefault="009E6A33">
      <w:pPr>
        <w:spacing w:after="0" w:line="360" w:lineRule="auto"/>
      </w:pPr>
    </w:p>
    <w:p w:rsidR="009E6A33" w:rsidRDefault="009834D6">
      <w:pPr>
        <w:spacing w:after="0" w:line="360" w:lineRule="auto"/>
        <w:rPr>
          <w:color w:val="0D0D0D"/>
        </w:rPr>
      </w:pPr>
      <w:r>
        <w:rPr>
          <w:b/>
          <w:bCs/>
          <w:color w:val="0D0D0D"/>
        </w:rPr>
        <w:t>Causales de sobreseimiento</w:t>
      </w:r>
    </w:p>
    <w:p w:rsidR="009E6A33" w:rsidRDefault="009E6A33">
      <w:pPr>
        <w:spacing w:after="0" w:line="360" w:lineRule="auto"/>
        <w:rPr>
          <w:color w:val="0D0D0D"/>
        </w:rPr>
      </w:pPr>
    </w:p>
    <w:p w:rsidR="009E6A33" w:rsidRDefault="009834D6">
      <w:pPr>
        <w:spacing w:after="0" w:line="360" w:lineRule="auto"/>
        <w:rPr>
          <w:color w:val="0D0D0D"/>
        </w:rPr>
      </w:pPr>
      <w:r>
        <w:rPr>
          <w:color w:val="0D0D0D"/>
        </w:rPr>
        <w:t>Por ser de previo y especial pronunciamiento, este Instituto analiza si se actualiza alguna causal de sobreseimiento.</w:t>
      </w:r>
    </w:p>
    <w:p w:rsidR="009E6A33" w:rsidRDefault="009E6A33">
      <w:pPr>
        <w:spacing w:after="0" w:line="360" w:lineRule="auto"/>
        <w:rPr>
          <w:color w:val="0D0D0D"/>
        </w:rPr>
      </w:pPr>
    </w:p>
    <w:p w:rsidR="009E6A33" w:rsidRDefault="009834D6">
      <w:pPr>
        <w:spacing w:after="0" w:line="360" w:lineRule="auto"/>
        <w:rPr>
          <w:color w:val="0D0D0D"/>
        </w:rPr>
      </w:pPr>
      <w:r>
        <w:rPr>
          <w:color w:val="0D0D0D"/>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y V, toda vez que no hay constancias en el expediente en que se actúa, de que la Recurrente se haya desistido, haya fallecido, haya modificado o revocado su respuesta o bien, que el Recurso de Revisión haya quedado sin materia.</w:t>
      </w:r>
    </w:p>
    <w:p w:rsidR="009E6A33" w:rsidRDefault="009E6A33">
      <w:pPr>
        <w:spacing w:after="0" w:line="360" w:lineRule="auto"/>
        <w:rPr>
          <w:color w:val="0D0D0D"/>
        </w:rPr>
      </w:pPr>
    </w:p>
    <w:p w:rsidR="009E6A33" w:rsidRDefault="009834D6">
      <w:pPr>
        <w:spacing w:after="0" w:line="360" w:lineRule="auto"/>
        <w:rPr>
          <w:color w:val="0D0D0D"/>
        </w:rPr>
      </w:pPr>
      <w:r>
        <w:rPr>
          <w:color w:val="0D0D0D"/>
        </w:rPr>
        <w:t>Por tales motivos, se considera procedente entrar al fondo del presente asunto.</w:t>
      </w:r>
    </w:p>
    <w:p w:rsidR="009E6A33" w:rsidRDefault="009E6A33">
      <w:pPr>
        <w:spacing w:after="0" w:line="360" w:lineRule="auto"/>
        <w:rPr>
          <w:b/>
          <w:bCs/>
          <w:color w:val="000000"/>
        </w:rPr>
      </w:pPr>
    </w:p>
    <w:p w:rsidR="009E6A33" w:rsidRDefault="009834D6">
      <w:pPr>
        <w:pStyle w:val="Ttulo2"/>
        <w:spacing w:before="0" w:after="0" w:line="360" w:lineRule="auto"/>
        <w:rPr>
          <w:sz w:val="22"/>
          <w:szCs w:val="22"/>
        </w:rPr>
      </w:pPr>
      <w:bookmarkStart w:id="19" w:name="_heading=h.zgbdsitnhaql" w:colFirst="0" w:colLast="0"/>
      <w:bookmarkStart w:id="20" w:name="_Toc219991936"/>
      <w:bookmarkEnd w:id="19"/>
      <w:r>
        <w:rPr>
          <w:sz w:val="22"/>
          <w:szCs w:val="22"/>
        </w:rPr>
        <w:t>TERCERO. Determinación de la Controversia</w:t>
      </w:r>
      <w:bookmarkEnd w:id="20"/>
    </w:p>
    <w:p w:rsidR="009E6A33" w:rsidRDefault="009E6A33">
      <w:pPr>
        <w:spacing w:after="0" w:line="360" w:lineRule="auto"/>
        <w:rPr>
          <w:b/>
          <w:bCs/>
          <w:color w:val="000000"/>
        </w:rPr>
      </w:pPr>
    </w:p>
    <w:p w:rsidR="009E6A33" w:rsidRDefault="009834D6">
      <w:pPr>
        <w:spacing w:after="0" w:line="360" w:lineRule="auto"/>
      </w:pPr>
      <w:r>
        <w:t>Con el objetivo de ilustrar la controversia planteada, resulta conveniente precisar, que una vez realizado el estudio de las constancias que integran el expediente en el que se actúa, se desprende que el Particular requirió del comercio que tiene como razón comercial Burger Grill Córner, ubicado en calle Acacias Manzana 2 lote 15 casa 102 Conjunto Urbano los sauces I, Delegación 48 sauces, esquina paseo de los sauces, lo siguiente:</w:t>
      </w:r>
    </w:p>
    <w:p w:rsidR="009E6A33" w:rsidRDefault="009E6A33">
      <w:pPr>
        <w:spacing w:after="0" w:line="360" w:lineRule="auto"/>
      </w:pPr>
    </w:p>
    <w:p w:rsidR="009E6A33" w:rsidRDefault="009834D6">
      <w:pPr>
        <w:numPr>
          <w:ilvl w:val="0"/>
          <w:numId w:val="1"/>
        </w:numPr>
        <w:pBdr>
          <w:top w:val="nil"/>
          <w:left w:val="nil"/>
          <w:bottom w:val="nil"/>
          <w:right w:val="nil"/>
          <w:between w:val="nil"/>
        </w:pBdr>
        <w:spacing w:after="0" w:line="360" w:lineRule="auto"/>
        <w:rPr>
          <w:color w:val="000000"/>
        </w:rPr>
      </w:pPr>
      <w:r>
        <w:rPr>
          <w:color w:val="000000"/>
        </w:rPr>
        <w:lastRenderedPageBreak/>
        <w:t>Licencia de Funcionamiento;</w:t>
      </w:r>
    </w:p>
    <w:p w:rsidR="009E6A33" w:rsidRDefault="009834D6">
      <w:pPr>
        <w:numPr>
          <w:ilvl w:val="0"/>
          <w:numId w:val="1"/>
        </w:numPr>
        <w:pBdr>
          <w:top w:val="nil"/>
          <w:left w:val="nil"/>
          <w:bottom w:val="nil"/>
          <w:right w:val="nil"/>
          <w:between w:val="nil"/>
        </w:pBdr>
        <w:spacing w:after="0" w:line="360" w:lineRule="auto"/>
        <w:rPr>
          <w:color w:val="000000"/>
        </w:rPr>
      </w:pPr>
      <w:r>
        <w:rPr>
          <w:color w:val="000000"/>
        </w:rPr>
        <w:t>Formato Único de Apertura Rápida de Empresas (SARE)m y</w:t>
      </w:r>
    </w:p>
    <w:p w:rsidR="009E6A33" w:rsidRDefault="009834D6">
      <w:pPr>
        <w:numPr>
          <w:ilvl w:val="0"/>
          <w:numId w:val="1"/>
        </w:numPr>
        <w:pBdr>
          <w:top w:val="nil"/>
          <w:left w:val="nil"/>
          <w:bottom w:val="nil"/>
          <w:right w:val="nil"/>
          <w:between w:val="nil"/>
        </w:pBdr>
        <w:spacing w:after="0" w:line="360" w:lineRule="auto"/>
        <w:rPr>
          <w:color w:val="000000"/>
        </w:rPr>
      </w:pPr>
      <w:r>
        <w:rPr>
          <w:color w:val="000000"/>
        </w:rPr>
        <w:t>Solicitud de instauración de procedimiento administrativo, así como el número consecutivo de dicho procedimiento, por no contar con licencia de funcionamiento.</w:t>
      </w:r>
    </w:p>
    <w:p w:rsidR="009E6A33" w:rsidRDefault="009E6A33">
      <w:pPr>
        <w:spacing w:after="0" w:line="360" w:lineRule="auto"/>
      </w:pPr>
    </w:p>
    <w:p w:rsidR="009E6A33" w:rsidRDefault="009834D6">
      <w:pPr>
        <w:spacing w:after="0" w:line="360" w:lineRule="auto"/>
        <w:rPr>
          <w:color w:val="000000"/>
        </w:rPr>
      </w:pPr>
      <w:r>
        <w:rPr>
          <w:color w:val="000000"/>
        </w:rPr>
        <w:t xml:space="preserve">En respuesta, el Sujeto Obligado, a través de la </w:t>
      </w:r>
      <w:r>
        <w:t>Dirección del Bienestar, Dirección General de Gobierno, Dirección Inspección y Control Comercial y Dirección de Desarrollo Económico</w:t>
      </w:r>
      <w:r>
        <w:rPr>
          <w:color w:val="000000"/>
        </w:rPr>
        <w:t>, se pronunciaron al referir que después de una búsqueda exhaustiva no se contaba con una licencia de funcionamiento, ni un formato  SARE, al igual que no se tenía instaurado un procedimiento de la unidad económica referida</w:t>
      </w:r>
      <w:r>
        <w:rPr>
          <w:color w:val="000000"/>
          <w:sz w:val="24"/>
          <w:szCs w:val="24"/>
        </w:rPr>
        <w:t>;</w:t>
      </w:r>
      <w:r>
        <w:t xml:space="preserve"> ante dicha circunstancia, el Particular se inconformó de la entrega de información que no corresponde con lo solicitado, al referir que la normativa no corresponde al pronunciamiento y confirman una violación de operar sin licencia, lo cual actualiza la causal de procedencia prevista en la fracción VI, del artículo 179 de la Ley de Transparencia y Acceso a la Información Pública del Estado de México y Municipios</w:t>
      </w:r>
      <w:r>
        <w:rPr>
          <w:color w:val="0D0D0D"/>
        </w:rPr>
        <w:t xml:space="preserve">. </w:t>
      </w:r>
      <w:r>
        <w:t>Así, las cosas, una vez admitido y notificado el Recurso de Revisión a las partes, el Sujeto Obligado ratifico su respuesta inicial.</w:t>
      </w:r>
    </w:p>
    <w:p w:rsidR="009E6A33" w:rsidRDefault="009E6A33">
      <w:pPr>
        <w:spacing w:after="0" w:line="360" w:lineRule="auto"/>
        <w:ind w:right="567"/>
        <w:rPr>
          <w:i/>
          <w:iCs/>
          <w:sz w:val="20"/>
          <w:szCs w:val="20"/>
        </w:rPr>
      </w:pPr>
    </w:p>
    <w:p w:rsidR="009E6A33" w:rsidRDefault="009834D6">
      <w:pPr>
        <w:tabs>
          <w:tab w:val="left" w:pos="4962"/>
        </w:tabs>
        <w:spacing w:after="0" w:line="360" w:lineRule="auto"/>
      </w:pPr>
      <w:r>
        <w:t xml:space="preserve">Lo anterior, se desprende de las documentales que obran en el expediente de referencia, materia de la presente resolución, consistente en: la solicitud de acceso a la información y el escrito </w:t>
      </w:r>
      <w:proofErr w:type="spellStart"/>
      <w:r>
        <w:t>recursal</w:t>
      </w:r>
      <w:proofErr w:type="spellEnd"/>
      <w:r>
        <w:t>; instrumentales que se toman en cuenta a efecto de resolver el presente medio de impugnación, conforme a lo dispuesto por el artículo 185, fracción IV, de la Ley de Transparencia y Acceso a la Información Pública del Estado de México y Municipios.</w:t>
      </w:r>
    </w:p>
    <w:p w:rsidR="009E6A33" w:rsidRDefault="009E6A33">
      <w:pPr>
        <w:pStyle w:val="Ttulo2"/>
        <w:spacing w:before="0" w:after="0" w:line="360" w:lineRule="auto"/>
        <w:rPr>
          <w:sz w:val="22"/>
          <w:szCs w:val="22"/>
        </w:rPr>
      </w:pPr>
      <w:bookmarkStart w:id="21" w:name="_heading=h.5083hxvf9tv7" w:colFirst="0" w:colLast="0"/>
      <w:bookmarkEnd w:id="21"/>
    </w:p>
    <w:p w:rsidR="009E6A33" w:rsidRDefault="009834D6">
      <w:pPr>
        <w:pStyle w:val="Ttulo2"/>
        <w:spacing w:before="0" w:after="0" w:line="360" w:lineRule="auto"/>
        <w:rPr>
          <w:sz w:val="22"/>
          <w:szCs w:val="22"/>
        </w:rPr>
      </w:pPr>
      <w:bookmarkStart w:id="22" w:name="_Toc219991937"/>
      <w:r>
        <w:rPr>
          <w:sz w:val="22"/>
          <w:szCs w:val="22"/>
        </w:rPr>
        <w:t>CUARTO. Marco normativo aplicable en materia de transparencia y acceso a la información pública</w:t>
      </w:r>
      <w:bookmarkEnd w:id="22"/>
    </w:p>
    <w:p w:rsidR="009E6A33" w:rsidRDefault="009E6A33">
      <w:pPr>
        <w:spacing w:after="0" w:line="360" w:lineRule="auto"/>
        <w:rPr>
          <w:color w:val="000000"/>
        </w:rPr>
      </w:pPr>
    </w:p>
    <w:p w:rsidR="009E6A33" w:rsidRDefault="009834D6">
      <w:pPr>
        <w:spacing w:after="0" w:line="360" w:lineRule="auto"/>
        <w:rPr>
          <w:color w:val="000000"/>
        </w:rPr>
      </w:pPr>
      <w:r>
        <w:rPr>
          <w:color w:val="000000"/>
        </w:rPr>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9E6A33" w:rsidRDefault="009E6A33">
      <w:pPr>
        <w:spacing w:after="0" w:line="360" w:lineRule="auto"/>
        <w:rPr>
          <w:color w:val="000000"/>
        </w:rPr>
      </w:pPr>
    </w:p>
    <w:p w:rsidR="009E6A33" w:rsidRDefault="009834D6">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9E6A33" w:rsidRDefault="009E6A33">
      <w:pPr>
        <w:spacing w:after="0" w:line="360" w:lineRule="auto"/>
        <w:rPr>
          <w:color w:val="000000"/>
        </w:rPr>
      </w:pPr>
    </w:p>
    <w:p w:rsidR="009E6A33" w:rsidRDefault="009834D6">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rsidR="009E6A33" w:rsidRDefault="009E6A33">
      <w:pPr>
        <w:spacing w:after="0" w:line="360" w:lineRule="auto"/>
        <w:rPr>
          <w:color w:val="000000"/>
        </w:rPr>
      </w:pPr>
    </w:p>
    <w:p w:rsidR="009E6A33" w:rsidRDefault="009834D6">
      <w:pPr>
        <w:spacing w:after="0" w:line="360" w:lineRule="auto"/>
        <w:rPr>
          <w:color w:val="000000"/>
        </w:rPr>
      </w:pPr>
      <w:r>
        <w:rPr>
          <w:color w:val="000000"/>
        </w:rPr>
        <w:t>El artículo 12, que, quienes generen, recopilen, administren, manejen, procesen, archiven o conserven información pública serán responsables de la misma.</w:t>
      </w:r>
    </w:p>
    <w:p w:rsidR="009E6A33" w:rsidRDefault="009E6A33">
      <w:pPr>
        <w:spacing w:after="0" w:line="360" w:lineRule="auto"/>
        <w:rPr>
          <w:color w:val="000000"/>
        </w:rPr>
      </w:pPr>
    </w:p>
    <w:p w:rsidR="009E6A33" w:rsidRDefault="009E6A33">
      <w:pPr>
        <w:spacing w:after="0" w:line="360" w:lineRule="auto"/>
        <w:rPr>
          <w:color w:val="000000"/>
        </w:rPr>
      </w:pPr>
    </w:p>
    <w:p w:rsidR="009E6A33" w:rsidRDefault="009834D6">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rsidR="009E6A33" w:rsidRDefault="009E6A33">
      <w:pPr>
        <w:widowControl w:val="0"/>
        <w:spacing w:after="0" w:line="360" w:lineRule="auto"/>
        <w:rPr>
          <w:color w:val="000000"/>
        </w:rPr>
      </w:pPr>
    </w:p>
    <w:p w:rsidR="009E6A33" w:rsidRDefault="009834D6">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9E6A33" w:rsidRDefault="009E6A33">
      <w:pPr>
        <w:spacing w:after="0" w:line="360" w:lineRule="auto"/>
      </w:pPr>
    </w:p>
    <w:p w:rsidR="009E6A33" w:rsidRDefault="009834D6">
      <w:pPr>
        <w:pStyle w:val="Ttulo2"/>
        <w:spacing w:before="0" w:after="0" w:line="360" w:lineRule="auto"/>
        <w:rPr>
          <w:sz w:val="22"/>
          <w:szCs w:val="22"/>
        </w:rPr>
      </w:pPr>
      <w:bookmarkStart w:id="23" w:name="_heading=h.cxg2k7inqhmb" w:colFirst="0" w:colLast="0"/>
      <w:bookmarkStart w:id="24" w:name="_Toc219991938"/>
      <w:bookmarkEnd w:id="23"/>
      <w:r>
        <w:rPr>
          <w:sz w:val="22"/>
          <w:szCs w:val="22"/>
        </w:rPr>
        <w:lastRenderedPageBreak/>
        <w:t>QUINTO. Estudio de Fondo</w:t>
      </w:r>
      <w:bookmarkEnd w:id="24"/>
    </w:p>
    <w:p w:rsidR="009E6A33" w:rsidRDefault="009E6A33">
      <w:pPr>
        <w:spacing w:after="0" w:line="360" w:lineRule="auto"/>
        <w:rPr>
          <w:b/>
          <w:bCs/>
          <w:color w:val="000000"/>
        </w:rPr>
      </w:pPr>
    </w:p>
    <w:p w:rsidR="009E6A33" w:rsidRDefault="009834D6">
      <w:pPr>
        <w:spacing w:after="0" w:line="360" w:lineRule="auto"/>
      </w:pPr>
      <w:r>
        <w:rPr>
          <w:color w:val="000000"/>
        </w:rPr>
        <w:t>Expuestas las posturas de las partes, se procede al análisis de los agravios hechos valer por la persona Recurrente</w:t>
      </w:r>
      <w:r>
        <w:t>, por lo que, en principio es necesario contextualizar la solicitud de información.</w:t>
      </w:r>
    </w:p>
    <w:p w:rsidR="009E6A33" w:rsidRDefault="009E6A33">
      <w:pPr>
        <w:spacing w:after="0" w:line="360" w:lineRule="auto"/>
      </w:pPr>
    </w:p>
    <w:p w:rsidR="009E6A33" w:rsidRDefault="009834D6">
      <w:pPr>
        <w:spacing w:after="0" w:line="360" w:lineRule="auto"/>
      </w:pPr>
      <w:r>
        <w:t xml:space="preserve">Sobre el tema, el artículo 31, fracciones, XXIV </w:t>
      </w:r>
      <w:proofErr w:type="spellStart"/>
      <w:r>
        <w:t>Quáter</w:t>
      </w:r>
      <w:proofErr w:type="spellEnd"/>
      <w:r>
        <w:t xml:space="preserve">, </w:t>
      </w:r>
      <w:proofErr w:type="spellStart"/>
      <w:r>
        <w:t>Quinques</w:t>
      </w:r>
      <w:proofErr w:type="spellEnd"/>
      <w:r>
        <w:t xml:space="preserve"> y XLIV, de la Ley Orgánica Municipal el Estado de México, establece que, los Ayuntamientos son los encargados de otorgar licencias para el funcionamiento, previa presentación del Dictamen de Giro, a las unidades económicas que tengan como actividad complementaria o principal la venta de bebidas alcohólicas.; así como, de crear el Registro Municipal de Unidades Económicas, donde se especifique la licencia de funcionamiento y las características que se determinen convenientes.</w:t>
      </w:r>
    </w:p>
    <w:p w:rsidR="009E6A33" w:rsidRDefault="009E6A33">
      <w:pPr>
        <w:spacing w:after="0" w:line="360" w:lineRule="auto"/>
      </w:pPr>
    </w:p>
    <w:p w:rsidR="009E6A33" w:rsidRDefault="009834D6">
      <w:pPr>
        <w:spacing w:after="0" w:line="360" w:lineRule="auto"/>
      </w:pPr>
      <w:r>
        <w:t xml:space="preserve">Para lograr lo anterior, los Ayuntamientos contarán con un Director de Desarrollo Económico o equivalente que impulsa la simplificación de trámites y reducción de plazos para el otorgamiento de permisos, licencias y autorizaciones del orden municipal, así como de operar y actualizar el Registro Municipal de Unidades Económicas de los permisos o licencias de funcionamiento otorgadas, de conformidad con el artículo 96 </w:t>
      </w:r>
      <w:proofErr w:type="spellStart"/>
      <w:r>
        <w:t>Quáter</w:t>
      </w:r>
      <w:proofErr w:type="spellEnd"/>
      <w:r>
        <w:t xml:space="preserve"> de la Ley señalada en el párrafo anterior.</w:t>
      </w:r>
    </w:p>
    <w:p w:rsidR="009E6A33" w:rsidRDefault="009E6A33">
      <w:pPr>
        <w:spacing w:after="0" w:line="360" w:lineRule="auto"/>
      </w:pPr>
    </w:p>
    <w:p w:rsidR="009E6A33" w:rsidRDefault="009834D6">
      <w:pPr>
        <w:spacing w:after="0" w:line="360" w:lineRule="auto"/>
      </w:pPr>
      <w:r>
        <w:t xml:space="preserve">En ese sentido, en el artículo 2, fracciones XV y XXXVIII, 5, fracción X, 7, 15, 16 y 33 de la Ley de Competitividad y Ordenamiento Comercial del Estado de México, la licencia de funcionamiento, es un acto administrativo emitido por los Municipios, a través de la Ventanilla Única, mediante la cual se autoriza a una persona física o jurídica colectiva a desarrollar actividades económicas de bajo impacto, entre las que se encuentran la intermediación, compraventa, arredramiento, distribución de bienes o  prestación de </w:t>
      </w:r>
      <w:r>
        <w:lastRenderedPageBreak/>
        <w:t xml:space="preserve">servicios comerciales, asimismo, le corresponde a los municipios crear el registro municipal, donde se especifica la licencia de funcionamiento con la actividad de la  unidad económica e impacto que generen, así como las demás características que se determinen, operar, digitalizar y mantener, semanalmente actualizado, el registro municipal, el cual deberá  publicarse en el portal de Internet del municipio, </w:t>
      </w:r>
      <w:r>
        <w:rPr>
          <w:b/>
          <w:bCs/>
        </w:rPr>
        <w:t>ordenar visitas de verificación</w:t>
      </w:r>
      <w:r>
        <w:t xml:space="preserve"> a las unidades económicas que operen en su demarcación y substanciar el procedimiento de las visitas de  verificación administrativa que se hayan practicado. </w:t>
      </w:r>
    </w:p>
    <w:p w:rsidR="009E6A33" w:rsidRDefault="009E6A33">
      <w:pPr>
        <w:spacing w:after="0" w:line="360" w:lineRule="auto"/>
      </w:pPr>
    </w:p>
    <w:p w:rsidR="009E6A33" w:rsidRDefault="009834D6">
      <w:pPr>
        <w:spacing w:after="0" w:line="360" w:lineRule="auto"/>
      </w:pPr>
      <w:r>
        <w:t>Por su parte, el artículo 2°, fracciones XXXIII, XXXIV y XXXV, de dicho ordenamiento jurídico, establece tres tipos de unidades económicas, a saber, las siguientes:</w:t>
      </w:r>
    </w:p>
    <w:p w:rsidR="009E6A33" w:rsidRDefault="009E6A33">
      <w:pPr>
        <w:spacing w:after="0" w:line="360" w:lineRule="auto"/>
      </w:pPr>
    </w:p>
    <w:p w:rsidR="009E6A33" w:rsidRDefault="009834D6">
      <w:pPr>
        <w:numPr>
          <w:ilvl w:val="0"/>
          <w:numId w:val="2"/>
        </w:numPr>
        <w:spacing w:after="0" w:line="360" w:lineRule="auto"/>
        <w:rPr>
          <w:b/>
          <w:bCs/>
        </w:rPr>
      </w:pPr>
      <w:r>
        <w:rPr>
          <w:b/>
          <w:bCs/>
        </w:rPr>
        <w:t xml:space="preserve">Bajo impacto: </w:t>
      </w:r>
      <w:r>
        <w:t>A las autorizadas para la venta de bebidas alcohólicas en envase cerrado y no sean de consumo inmediato, así como, las que no estén en supuestos subsecuentes.</w:t>
      </w:r>
    </w:p>
    <w:p w:rsidR="009E6A33" w:rsidRDefault="009E6A33">
      <w:pPr>
        <w:spacing w:after="0" w:line="360" w:lineRule="auto"/>
        <w:ind w:left="720"/>
        <w:rPr>
          <w:b/>
          <w:bCs/>
        </w:rPr>
      </w:pPr>
    </w:p>
    <w:p w:rsidR="009E6A33" w:rsidRDefault="009834D6">
      <w:pPr>
        <w:numPr>
          <w:ilvl w:val="0"/>
          <w:numId w:val="2"/>
        </w:numPr>
        <w:spacing w:after="0" w:line="360" w:lineRule="auto"/>
        <w:rPr>
          <w:b/>
          <w:bCs/>
        </w:rPr>
      </w:pPr>
      <w:r>
        <w:rPr>
          <w:b/>
          <w:bCs/>
        </w:rPr>
        <w:t xml:space="preserve">Mediano impacto: </w:t>
      </w:r>
      <w:r>
        <w:t>A las que se les permite la venta de bebidas alcohólicas para consumo inmediato, siendo otra su actividad principal.</w:t>
      </w:r>
    </w:p>
    <w:p w:rsidR="009E6A33" w:rsidRDefault="009E6A33">
      <w:pPr>
        <w:spacing w:after="0" w:line="360" w:lineRule="auto"/>
        <w:ind w:left="720"/>
        <w:rPr>
          <w:b/>
          <w:bCs/>
        </w:rPr>
      </w:pPr>
    </w:p>
    <w:p w:rsidR="009E6A33" w:rsidRDefault="009834D6">
      <w:pPr>
        <w:numPr>
          <w:ilvl w:val="0"/>
          <w:numId w:val="2"/>
        </w:numPr>
        <w:spacing w:after="0" w:line="360" w:lineRule="auto"/>
        <w:rPr>
          <w:b/>
          <w:bCs/>
        </w:rPr>
      </w:pPr>
      <w:r>
        <w:rPr>
          <w:b/>
          <w:bCs/>
        </w:rPr>
        <w:t xml:space="preserve">Alto Impacto: </w:t>
      </w:r>
      <w:r>
        <w:t>Aquellas que tienen como actividad principal, la venta de bebidas alcohólicas para consumo inmediato y las que requieran dictamen único de factibilidad.</w:t>
      </w:r>
    </w:p>
    <w:p w:rsidR="009E6A33" w:rsidRDefault="009E6A33">
      <w:pPr>
        <w:spacing w:after="0" w:line="360" w:lineRule="auto"/>
      </w:pPr>
    </w:p>
    <w:p w:rsidR="009E6A33" w:rsidRDefault="009834D6">
      <w:pPr>
        <w:widowControl w:val="0"/>
        <w:spacing w:after="0" w:line="360" w:lineRule="auto"/>
        <w:rPr>
          <w:b/>
          <w:bCs/>
        </w:rPr>
      </w:pPr>
      <w:r>
        <w:t xml:space="preserve">En ese contexto, la operación de la Ventanilla Única y la expedición de las licencias de funcionamiento, le corresponde a los Ayuntamientos, al coordinar la gestión de trámites para la recepción, integración y verificación de los expedientes que presentan los particulares; por tales circunstancias, cada Municipio deberá apegarse a las disposiciones legales que emita, </w:t>
      </w:r>
      <w:r>
        <w:lastRenderedPageBreak/>
        <w:t xml:space="preserve">ello conforme a los artículos 16 y 22, fracción I, del Reglamento de la Ley de Competitividad y Ordenamiento Comercial del Estado de México. </w:t>
      </w:r>
    </w:p>
    <w:p w:rsidR="009E6A33" w:rsidRDefault="009E6A33">
      <w:pPr>
        <w:spacing w:after="0" w:line="360" w:lineRule="auto"/>
      </w:pPr>
    </w:p>
    <w:p w:rsidR="009E6A33" w:rsidRDefault="009834D6">
      <w:pPr>
        <w:spacing w:after="0" w:line="360" w:lineRule="auto"/>
      </w:pPr>
      <w:r>
        <w:t>Asimismo, el artículo 92, fracción XXXII, de la Ley de Transparencia y Acceso a la Información Pública del Estado de México y Municipios, dispone que es obligación de los Sujetos Obligados poner a disposición pública de manera permanente y actualizada la información consistente en licencias o autorizaciones otorgadas,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rsidR="009E6A33" w:rsidRDefault="009E6A33">
      <w:pPr>
        <w:spacing w:after="0" w:line="360" w:lineRule="auto"/>
      </w:pPr>
    </w:p>
    <w:p w:rsidR="009E6A33" w:rsidRDefault="009834D6">
      <w:pPr>
        <w:spacing w:after="0" w:line="360" w:lineRule="auto"/>
      </w:pPr>
      <w:r>
        <w:t xml:space="preserve">Además, de conformidad con el artículo 48, fracción XIII Bis, XIII Ter y XIII </w:t>
      </w:r>
      <w:proofErr w:type="spellStart"/>
      <w:r>
        <w:t>Quáter</w:t>
      </w:r>
      <w:proofErr w:type="spellEnd"/>
      <w:r>
        <w:t>, de la Ley Orgánica Municipal del Estado de México, establece que, el Presidente Municipal previa aprobación en cabildo, se encargará de expedir o negar licencias o permisos de funcionamiento para unidades  económicas, dicha expedición o negación queda supeditada al resultado del  Dictamen de Giro o Evaluación de Impacto Estatal según corresponda, dando respuesta en un  plazo que no exceda de cinco días hábiles posteriores a la presentación de dicho dictamen o  evaluación, en su caso, la cual deberá ser fundamentada y acorde al principio de transparencia.</w:t>
      </w:r>
    </w:p>
    <w:p w:rsidR="009E6A33" w:rsidRDefault="009E6A33">
      <w:pPr>
        <w:spacing w:after="0" w:line="360" w:lineRule="auto"/>
      </w:pPr>
    </w:p>
    <w:p w:rsidR="009E6A33" w:rsidRDefault="009834D6">
      <w:pPr>
        <w:spacing w:after="0" w:line="360" w:lineRule="auto"/>
      </w:pPr>
      <w:r>
        <w:t xml:space="preserve">Ahora bien, el </w:t>
      </w:r>
      <w:proofErr w:type="spellStart"/>
      <w:r>
        <w:t>articulo</w:t>
      </w:r>
      <w:proofErr w:type="spellEnd"/>
      <w:r>
        <w:t xml:space="preserve"> 92 fracción XI, del Bando Municipal de Toluca dos mil veinticinco, precisa que, la Dirección General de Desarrollo Económico tiene como atribuciones fundamentales la planeación y ejecución de políticas para fomentar el desarrollo industrial, comercial, empresarial y rural sustentable. Para ello, coordinará programas de promoción económica; fortalecerá micro, pequeñas y medianas empresas, y organizará el servicio municipal de empleo. Impulsará la creación de agroindustrias, ferias comerciales e industriales, al igual que expedirá las licencias y permisos de funcionamiento, así como de </w:t>
      </w:r>
      <w:r>
        <w:lastRenderedPageBreak/>
        <w:t>celebrar convenios con autoridades y el sector privado para atraer inversiones, regulando las actividades comerciales verificando el cumplimiento de normas sanitarias, así como la supervisión de mercados y tianguis públicos.</w:t>
      </w:r>
    </w:p>
    <w:p w:rsidR="009E6A33" w:rsidRDefault="009E6A33">
      <w:pPr>
        <w:spacing w:after="0" w:line="360" w:lineRule="auto"/>
      </w:pPr>
    </w:p>
    <w:p w:rsidR="009E6A33" w:rsidRDefault="009834D6">
      <w:pPr>
        <w:spacing w:after="0" w:line="360" w:lineRule="auto"/>
      </w:pPr>
      <w:r>
        <w:t>Por otro lado en los artículos 3.26,  3.27 y 3.28  del Código Reglamentario vigente del Municipio de Toluca, refieren que la Dirección General de Gobierno en conjunto con la Dirección de Gobierno, y la Dirección de Inspección y Control Comercial, se encargaran de iniciar, tramitar, resolver y ejecutar el procedimiento administrativo común, y en su caso imponer las sanciones que correspondan por infracciones a las disposiciones legales relativas a la actividad comercial;</w:t>
      </w:r>
    </w:p>
    <w:p w:rsidR="009E6A33" w:rsidRDefault="009E6A33">
      <w:pPr>
        <w:spacing w:after="0" w:line="360" w:lineRule="auto"/>
      </w:pPr>
    </w:p>
    <w:p w:rsidR="009E6A33" w:rsidRDefault="009834D6">
      <w:pPr>
        <w:spacing w:after="0" w:line="360" w:lineRule="auto"/>
        <w:sectPr w:rsidR="009E6A33">
          <w:headerReference w:type="even" r:id="rId9"/>
          <w:headerReference w:type="default" r:id="rId10"/>
          <w:footerReference w:type="even" r:id="rId11"/>
          <w:footerReference w:type="default" r:id="rId12"/>
          <w:headerReference w:type="first" r:id="rId13"/>
          <w:footerReference w:type="first" r:id="rId14"/>
          <w:pgSz w:w="12240" w:h="15840"/>
          <w:pgMar w:top="1418" w:right="1608" w:bottom="1560" w:left="1701" w:header="222" w:footer="709" w:gutter="0"/>
          <w:pgNumType w:start="1"/>
          <w:cols w:space="720"/>
          <w:titlePg/>
        </w:sectPr>
      </w:pPr>
      <w:r>
        <w:t>Asimismo, se realizó una búsqueda en la página oficial del Ayuntamiento de Toluca, en el apartado de “Trámites y Servicios”, donde se localizó el Registro de Unidades Económicas y el Dictamen de Verificación SARE, tal como se muestra en el extracto siguiente:</w:t>
      </w:r>
    </w:p>
    <w:p w:rsidR="009E6A33" w:rsidRDefault="009834D6">
      <w:pPr>
        <w:spacing w:after="0" w:line="360" w:lineRule="auto"/>
        <w:jc w:val="center"/>
        <w:sectPr w:rsidR="009E6A33">
          <w:type w:val="continuous"/>
          <w:pgSz w:w="12240" w:h="15840"/>
          <w:pgMar w:top="1418" w:right="1608" w:bottom="1560" w:left="1701" w:header="222" w:footer="709" w:gutter="0"/>
          <w:pgNumType w:start="1"/>
          <w:cols w:space="720"/>
          <w:titlePg/>
        </w:sectPr>
      </w:pPr>
      <w:r>
        <w:rPr>
          <w:noProof/>
        </w:rPr>
        <w:lastRenderedPageBreak/>
        <w:drawing>
          <wp:inline distT="0" distB="0" distL="0" distR="0">
            <wp:extent cx="3461649" cy="3825221"/>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3461649" cy="3825221"/>
                    </a:xfrm>
                    <a:prstGeom prst="rect">
                      <a:avLst/>
                    </a:prstGeom>
                    <a:ln/>
                  </pic:spPr>
                </pic:pic>
              </a:graphicData>
            </a:graphic>
          </wp:inline>
        </w:drawing>
      </w:r>
    </w:p>
    <w:p w:rsidR="009E6A33" w:rsidRDefault="009E6A33">
      <w:pPr>
        <w:spacing w:after="0" w:line="360" w:lineRule="auto"/>
        <w:sectPr w:rsidR="009E6A33">
          <w:type w:val="continuous"/>
          <w:pgSz w:w="12240" w:h="15840"/>
          <w:pgMar w:top="1418" w:right="1608" w:bottom="1560" w:left="1701" w:header="222" w:footer="709" w:gutter="0"/>
          <w:pgNumType w:start="1"/>
          <w:cols w:space="720"/>
          <w:titlePg/>
        </w:sectPr>
      </w:pPr>
    </w:p>
    <w:p w:rsidR="009E6A33" w:rsidRDefault="009834D6">
      <w:pPr>
        <w:spacing w:after="0" w:line="360" w:lineRule="auto"/>
      </w:pPr>
      <w:r>
        <w:t>Así, se logra vislumbrar que la pretensión de la persona Recurrente es obtener del comercio que tiene como razón comercial Burger Grill Córner, ubicado en calle Acacias Manzana 2 lote 15 casa 102 Conjunto Urbano los sauces I, Delegación 48 sauces, esquina paseo de los sauces, la Licencia de Funcionamiento, Formato Único de Apertura Rápida de Empresas (SARE), y en caso de no existir licencia de funcionamiento, escrito de solicitud de instauración de procedimiento administrativo, así como el número consecutivo de dicho procedimiento al veintiocho de abril de dos mil veinticinco.</w:t>
      </w:r>
    </w:p>
    <w:p w:rsidR="009E6A33" w:rsidRDefault="009E6A33">
      <w:pPr>
        <w:spacing w:after="0" w:line="360" w:lineRule="auto"/>
      </w:pPr>
    </w:p>
    <w:p w:rsidR="009E6A33" w:rsidRDefault="009834D6">
      <w:pPr>
        <w:spacing w:after="0" w:line="360" w:lineRule="auto"/>
      </w:pPr>
      <w:r>
        <w:t xml:space="preserve">Establecida dicha circunstancia, de las constancias que obran en el expediente electrónico, se advierte que el Sujeto Obligado dio respuesta a través de la Dirección del Bienestar, Dirección General de Gobierno, Dirección Inspección y Control Comercial y Dirección de Desarrollo Económico; por lo que, es oportuno hacer referencia al procedimiento de búsqueda que </w:t>
      </w:r>
      <w:r>
        <w:lastRenderedPageBreak/>
        <w:t>deben de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rsidR="009E6A33" w:rsidRDefault="009E6A33">
      <w:pPr>
        <w:spacing w:after="0" w:line="360" w:lineRule="auto"/>
      </w:pPr>
    </w:p>
    <w:p w:rsidR="009E6A33" w:rsidRDefault="009834D6">
      <w:pPr>
        <w:spacing w:after="0" w:line="360" w:lineRule="auto"/>
      </w:pPr>
      <w:r>
        <w:t>Así y de lo plasmado en párrafos anteriores, se logra colegir que el Sujeto Obligado cumplió con el procedimiento de búsqueda establecido en el artículo 162 de la Ley de Transparencia y Acceso a la Información Pública del Estado de México y Municipios, toda vez, que gestionó el requerimiento de información a las áreas competentes para conocer de la información solicitada en relación a las licencias de funcionamiento, y procedimientos por falta de algún requisito.</w:t>
      </w:r>
    </w:p>
    <w:p w:rsidR="009E6A33" w:rsidRDefault="009E6A33">
      <w:pPr>
        <w:spacing w:after="0" w:line="360" w:lineRule="auto"/>
      </w:pPr>
    </w:p>
    <w:p w:rsidR="009E6A33" w:rsidRDefault="009834D6">
      <w:pPr>
        <w:spacing w:after="0" w:line="360" w:lineRule="auto"/>
        <w:ind w:right="-93"/>
        <w:rPr>
          <w:color w:val="000000"/>
        </w:rPr>
      </w:pPr>
      <w:r>
        <w:rPr>
          <w:color w:val="000000"/>
        </w:rPr>
        <w:t xml:space="preserve">Ahora bien, en respuesta, dichas áreas se pronunciaron al referir que después de una búsqueda exhaustiva no se contaba con una licencia de funcionamiento, ni un formato  SARE, al igual que no se tenía instaurado un procedimiento sobre la unidad económica referida, es decir, que la información era inexistente pues dichas documentales no han sido generadas; </w:t>
      </w:r>
      <w:r>
        <w:t xml:space="preserve">sobre el tema, el Criterio orientador, con clave de control SO/014/2017, emitido por el entonces Instituto Nacional de Transparencia, Acceso a la Información Pública y Protección de Datos Personales en el Estado de México y Municipios, vigente a la fecha de la solicitud, se desprende que la inexistencia de la información, es una cuestión de hecho que se le atribuye a la misma, cuando ésta no se encuentra en los archivos del sujeto obligado. </w:t>
      </w:r>
    </w:p>
    <w:p w:rsidR="009E6A33" w:rsidRDefault="009E6A33">
      <w:pPr>
        <w:spacing w:after="0" w:line="360" w:lineRule="auto"/>
      </w:pPr>
    </w:p>
    <w:p w:rsidR="009E6A33" w:rsidRDefault="009834D6">
      <w:pPr>
        <w:spacing w:after="0" w:line="360" w:lineRule="auto"/>
      </w:pPr>
      <w:r>
        <w:t xml:space="preserve">En ese orden de ideas, según Trujillo, Humberto (2019), en el “Diccionario de Transparencia y Acceso a la Información Pública” (p. 171), la inexistencia de la información, es cuando la </w:t>
      </w:r>
      <w:r>
        <w:lastRenderedPageBreak/>
        <w:t>información requerida no se encuentra en los archivos públicos, reservados o clasificados, de los sujetos obligados.</w:t>
      </w:r>
    </w:p>
    <w:p w:rsidR="009E6A33" w:rsidRDefault="009E6A33">
      <w:pPr>
        <w:spacing w:after="0" w:line="360" w:lineRule="auto"/>
      </w:pPr>
    </w:p>
    <w:p w:rsidR="009E6A33" w:rsidRDefault="009834D6">
      <w:pPr>
        <w:spacing w:after="0" w:line="360" w:lineRule="auto"/>
      </w:pPr>
      <w:r>
        <w:t xml:space="preserve">Así, es posible concluir que la </w:t>
      </w:r>
      <w:r>
        <w:rPr>
          <w:b/>
          <w:bCs/>
        </w:rPr>
        <w:t>inexistencia</w:t>
      </w:r>
      <w:r>
        <w:t xml:space="preserve"> presupone la competencia del sujeto obligado para conocer de la información, pero por alguna circunstancia, la documentación solicitada no obra en sus archivos; para tal situación, no basta con que los sujetos obligados precisen dicha circunstancia, sino que también debe de señalar las razones por las cuales no cuentan con lo peticionado, es decir, las circunstancias que dan lugar a la inexistencia.</w:t>
      </w:r>
    </w:p>
    <w:p w:rsidR="009E6A33" w:rsidRDefault="009E6A33">
      <w:pPr>
        <w:spacing w:after="0" w:line="360" w:lineRule="auto"/>
      </w:pPr>
    </w:p>
    <w:p w:rsidR="009E6A33" w:rsidRDefault="009834D6">
      <w:pPr>
        <w:spacing w:after="0" w:line="360" w:lineRule="auto"/>
      </w:pPr>
      <w:r>
        <w:t>Situación que aconteció pues señaló que no contaba con licencia de funcionamiento, ni el Formato Único de Apertura Rápida de Empresas, lo cual se traduce a que al no presentarse el segundo de los documentos, no se había emitido el primero; situación que guarda relevancia, pues es necesario recordar que los particulares son los que realizan el trámite correspondiente ante el Ayuntamiento, de manera voluntaria; por lo que si el Sujeto Obligado no recibe una solicitud para iniciar el trámite, no puede emitir la autorización correspondiente.</w:t>
      </w:r>
    </w:p>
    <w:p w:rsidR="009E6A33" w:rsidRDefault="009E6A33">
      <w:pPr>
        <w:spacing w:after="0" w:line="360" w:lineRule="auto"/>
      </w:pPr>
    </w:p>
    <w:p w:rsidR="009E6A33" w:rsidRDefault="009834D6">
      <w:pPr>
        <w:spacing w:after="0" w:line="360" w:lineRule="auto"/>
      </w:pPr>
      <w:r>
        <w:t xml:space="preserve">Dicha situación, guarda relevancia pues este Instituto revisó la página oficial del Ayuntamiento, sus redes sociales y el Portal de Información Pública de Oficio Mexiquense, en los registros de la actual </w:t>
      </w:r>
      <w:proofErr w:type="spellStart"/>
      <w:r>
        <w:t>adminsitración</w:t>
      </w:r>
      <w:proofErr w:type="spellEnd"/>
      <w:r>
        <w:t xml:space="preserve"> (2025), como de la pasada (2022-2024) y no se localizó alguna licencia de funcionamiento emitida en el lugar señalado en la solicitud, ni al nombre referido.</w:t>
      </w:r>
    </w:p>
    <w:p w:rsidR="009E6A33" w:rsidRDefault="009E6A33">
      <w:pPr>
        <w:spacing w:after="0" w:line="360" w:lineRule="auto"/>
      </w:pPr>
    </w:p>
    <w:p w:rsidR="009E6A33" w:rsidRDefault="009834D6">
      <w:pPr>
        <w:spacing w:after="0" w:line="360" w:lineRule="auto"/>
      </w:pPr>
      <w:r>
        <w:t>Por otra parte, la Dirección General de Gobierno señaló que no contaba con ningún procedimiento en contra del establecimiento señalado en la solicitud, lo cual se traduce a que no tenía ni conocimiento de este, ni que el local no contaba con licencia.</w:t>
      </w:r>
    </w:p>
    <w:p w:rsidR="009E6A33" w:rsidRDefault="009834D6">
      <w:pPr>
        <w:spacing w:after="0" w:line="360" w:lineRule="auto"/>
        <w:rPr>
          <w:color w:val="000000"/>
        </w:rPr>
      </w:pPr>
      <w:r>
        <w:lastRenderedPageBreak/>
        <w:t>En ese sentido</w:t>
      </w:r>
      <w:r>
        <w:rPr>
          <w:color w:val="000000"/>
        </w:rPr>
        <w:t>, se logra colegir que la información solicitada por el ahora Recurrente es inexistente, pues el Sujeto Obligado, realizó una búsqueda exhaustiva y razonable en sus archivos y señaló los motivos por los cuales no contaba con lo peticionado, lo cual se traduce al hecho de que no se había solicitado la expedición de licencia de funcionamiento, ni se había realizado algún procedimiento por la falta de dicha autorización; al respecto, se trae a colación, el artículo 19, segundo párrafo, de la Ley de Transparencia y Acceso a la Información Pública del Estado de México y Municipios, que establece que en el caso de que ciertas facultades, competencias o funciones no se hayan ejercido, se debe motivar la respuesta en función de las causas que motiven tal circunstancia.</w:t>
      </w:r>
    </w:p>
    <w:p w:rsidR="009E6A33" w:rsidRDefault="009E6A33">
      <w:pPr>
        <w:spacing w:after="0" w:line="360" w:lineRule="auto"/>
        <w:rPr>
          <w:color w:val="000000"/>
        </w:rPr>
      </w:pPr>
    </w:p>
    <w:p w:rsidR="009E6A33" w:rsidRDefault="009834D6">
      <w:pPr>
        <w:spacing w:after="0" w:line="360" w:lineRule="auto"/>
        <w:rPr>
          <w:color w:val="000000"/>
        </w:rPr>
      </w:pPr>
      <w:r>
        <w:rPr>
          <w:color w:val="000000"/>
        </w:rPr>
        <w:t>De la misma manera, el Criterio de interpretación con clave de registro SO/007/2017, de la Segunda Época, emitido por el Instituto Nacional de Transparencia, Acceso a la Información y Protección de Datos Personales, establece que no será necesario que el Comité de Transparencia declare formalmente la inexistencia, cuando del análisis a la normatividad aplicables no se desprenda obligación alguna de contar con la información solicitada, ni se advierta algún otro elemento de convicción que apunto a su existencia.</w:t>
      </w:r>
    </w:p>
    <w:p w:rsidR="009E6A33" w:rsidRDefault="009E6A33">
      <w:pPr>
        <w:spacing w:after="0" w:line="360" w:lineRule="auto"/>
        <w:rPr>
          <w:color w:val="000000"/>
        </w:rPr>
      </w:pPr>
    </w:p>
    <w:p w:rsidR="009E6A33" w:rsidRDefault="009834D6">
      <w:pPr>
        <w:spacing w:after="0" w:line="360" w:lineRule="auto"/>
        <w:rPr>
          <w:color w:val="000000"/>
        </w:rPr>
      </w:pPr>
      <w:r>
        <w:rPr>
          <w:color w:val="000000"/>
        </w:rPr>
        <w:t xml:space="preserve">Al respecto, dicho criterio aplica al caso en concreto, ya que, no se localizó algún indicio de que se la información solicitada se haya generado; por lo cual, se considera que el Sujeto Obligado desde respuesta, señaló las razones por las cuales no contaba con lo requerido y cumplió con el segundo párrafo, del artículo 19 de la Ley de Transparencia y Acceso a la Información Pública del Estado de México y Municipios, lo cual da como resultado que el agravio sea </w:t>
      </w:r>
      <w:r>
        <w:rPr>
          <w:b/>
          <w:bCs/>
          <w:color w:val="000000"/>
        </w:rPr>
        <w:t>INFUNDADO.</w:t>
      </w:r>
      <w:r>
        <w:rPr>
          <w:color w:val="000000"/>
        </w:rPr>
        <w:t xml:space="preserve"> </w:t>
      </w:r>
    </w:p>
    <w:p w:rsidR="009E6A33" w:rsidRDefault="009834D6">
      <w:pPr>
        <w:tabs>
          <w:tab w:val="left" w:pos="7532"/>
        </w:tabs>
        <w:spacing w:after="0" w:line="360" w:lineRule="auto"/>
        <w:rPr>
          <w:color w:val="000000"/>
        </w:rPr>
      </w:pPr>
      <w:r>
        <w:rPr>
          <w:color w:val="000000"/>
        </w:rPr>
        <w:tab/>
      </w:r>
    </w:p>
    <w:p w:rsidR="009E6A33" w:rsidRDefault="009E6A33">
      <w:pPr>
        <w:spacing w:after="0" w:line="360" w:lineRule="auto"/>
        <w:ind w:right="-28"/>
        <w:rPr>
          <w:color w:val="000000"/>
        </w:rPr>
      </w:pPr>
    </w:p>
    <w:p w:rsidR="009E6A33" w:rsidRDefault="009834D6">
      <w:pPr>
        <w:keepNext/>
        <w:keepLines/>
        <w:spacing w:after="0" w:line="360" w:lineRule="auto"/>
        <w:rPr>
          <w:b/>
          <w:bCs/>
        </w:rPr>
      </w:pPr>
      <w:bookmarkStart w:id="25" w:name="_heading=h.i4g7eo8npfyk" w:colFirst="0" w:colLast="0"/>
      <w:bookmarkEnd w:id="25"/>
      <w:r>
        <w:rPr>
          <w:b/>
          <w:bCs/>
        </w:rPr>
        <w:t>SEXTO. Decisión</w:t>
      </w:r>
    </w:p>
    <w:p w:rsidR="009E6A33" w:rsidRDefault="009E6A33">
      <w:pPr>
        <w:spacing w:after="0" w:line="360" w:lineRule="auto"/>
        <w:rPr>
          <w:b/>
          <w:bCs/>
        </w:rPr>
      </w:pPr>
    </w:p>
    <w:p w:rsidR="009E6A33" w:rsidRDefault="009834D6">
      <w:pPr>
        <w:spacing w:after="0" w:line="360" w:lineRule="auto"/>
      </w:pPr>
      <w:r>
        <w:lastRenderedPageBreak/>
        <w:t xml:space="preserve">Con fundamento en el artículo 186, fracción II, de la Ley de Transparencia y Acceso a la Información Pública del Estado de México y Municipios, este Instituto considera procedente </w:t>
      </w:r>
      <w:r>
        <w:rPr>
          <w:b/>
          <w:bCs/>
        </w:rPr>
        <w:t>CONFIRMAR</w:t>
      </w:r>
      <w:r>
        <w:t xml:space="preserve"> la respuesta otorgada a la solicitud de información, toda vez que el Sujeto Obligado, proporcionó la información requerida al referir y pronunciarse sobre cada uno de los puntos solicitados.</w:t>
      </w:r>
    </w:p>
    <w:p w:rsidR="009E6A33" w:rsidRDefault="009E6A33">
      <w:pPr>
        <w:spacing w:after="0" w:line="360" w:lineRule="auto"/>
      </w:pPr>
    </w:p>
    <w:p w:rsidR="009E6A33" w:rsidRDefault="009834D6">
      <w:pPr>
        <w:spacing w:after="0" w:line="360" w:lineRule="auto"/>
        <w:rPr>
          <w:b/>
          <w:bCs/>
        </w:rPr>
      </w:pPr>
      <w:r>
        <w:rPr>
          <w:b/>
          <w:bCs/>
        </w:rPr>
        <w:t>Términos de la Resolución para conocimiento del Particular</w:t>
      </w:r>
    </w:p>
    <w:p w:rsidR="009E6A33" w:rsidRDefault="009E6A33">
      <w:pPr>
        <w:spacing w:after="0" w:line="360" w:lineRule="auto"/>
        <w:rPr>
          <w:b/>
          <w:bCs/>
        </w:rPr>
      </w:pPr>
    </w:p>
    <w:p w:rsidR="009E6A33" w:rsidRDefault="009834D6">
      <w:pPr>
        <w:spacing w:after="0" w:line="360" w:lineRule="auto"/>
      </w:pPr>
      <w:r>
        <w:t>Se le hace del conocimiento a la persona Recurrente o Particular, que, en el presente caso, no se le concede la razón, en virtud de que se tuvo por atendida su solicitud, ya que el Sujeto Obligado se pronunció de conformidad a los requerimientos propios de cada dirección.</w:t>
      </w:r>
    </w:p>
    <w:p w:rsidR="009E6A33" w:rsidRDefault="009E6A33">
      <w:pPr>
        <w:spacing w:after="0" w:line="360" w:lineRule="auto"/>
      </w:pPr>
    </w:p>
    <w:p w:rsidR="009E6A33" w:rsidRDefault="009834D6">
      <w:pPr>
        <w:spacing w:after="0" w:line="360" w:lineRule="auto"/>
        <w:rPr>
          <w:color w:val="000000"/>
        </w:rPr>
      </w:pPr>
      <w:r>
        <w:rPr>
          <w:color w:val="000000"/>
        </w:rPr>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rsidR="009E6A33" w:rsidRDefault="009E6A33">
      <w:pPr>
        <w:spacing w:after="0" w:line="360" w:lineRule="auto"/>
      </w:pPr>
    </w:p>
    <w:p w:rsidR="009E6A33" w:rsidRDefault="009834D6">
      <w:pPr>
        <w:spacing w:after="0" w:line="360" w:lineRule="auto"/>
        <w:rPr>
          <w:color w:val="000000"/>
        </w:rPr>
      </w:pPr>
      <w:r>
        <w:t>Por</w:t>
      </w:r>
      <w:r>
        <w:rPr>
          <w:color w:val="000000"/>
        </w:rPr>
        <w:t xml:space="preserve"> lo expuesto y fundado, este Pleno:</w:t>
      </w:r>
    </w:p>
    <w:p w:rsidR="009E6A33" w:rsidRDefault="009E6A33">
      <w:pPr>
        <w:spacing w:after="0" w:line="360" w:lineRule="auto"/>
      </w:pPr>
    </w:p>
    <w:p w:rsidR="009E6A33" w:rsidRDefault="009834D6">
      <w:pPr>
        <w:pStyle w:val="Ttulo1"/>
        <w:spacing w:before="0" w:after="0" w:line="360" w:lineRule="auto"/>
        <w:jc w:val="center"/>
        <w:rPr>
          <w:sz w:val="22"/>
          <w:szCs w:val="22"/>
        </w:rPr>
      </w:pPr>
      <w:bookmarkStart w:id="26" w:name="_heading=h.e2pbv51kvobx" w:colFirst="0" w:colLast="0"/>
      <w:bookmarkStart w:id="27" w:name="_Toc219991939"/>
      <w:bookmarkEnd w:id="26"/>
      <w:r>
        <w:rPr>
          <w:sz w:val="22"/>
          <w:szCs w:val="22"/>
        </w:rPr>
        <w:t>R E S U E L V E</w:t>
      </w:r>
      <w:bookmarkEnd w:id="27"/>
    </w:p>
    <w:p w:rsidR="009E6A33" w:rsidRDefault="009E6A33">
      <w:pPr>
        <w:spacing w:after="0" w:line="360" w:lineRule="auto"/>
        <w:rPr>
          <w:b/>
          <w:bCs/>
          <w:color w:val="000000"/>
        </w:rPr>
      </w:pPr>
    </w:p>
    <w:p w:rsidR="009E6A33" w:rsidRDefault="009834D6">
      <w:pPr>
        <w:spacing w:after="0" w:line="360" w:lineRule="auto"/>
      </w:pPr>
      <w:r>
        <w:rPr>
          <w:b/>
          <w:bCs/>
        </w:rPr>
        <w:t xml:space="preserve">PRIMERO. </w:t>
      </w:r>
      <w:r>
        <w:t xml:space="preserve">Se </w:t>
      </w:r>
      <w:r>
        <w:rPr>
          <w:b/>
          <w:bCs/>
        </w:rPr>
        <w:t>CONFIRMA</w:t>
      </w:r>
      <w:r>
        <w:t xml:space="preserve"> la respuesta entregada por el Ayuntamiento de Toluca, a la solicitud de información 02512/TOLUCA/IP/2025, por resultar </w:t>
      </w:r>
      <w:r>
        <w:rPr>
          <w:b/>
          <w:bCs/>
        </w:rPr>
        <w:t>INFUNDADAS</w:t>
      </w:r>
      <w:r>
        <w:t xml:space="preserve"> las razones o motivos de inconformidad hechos valer por la Particular, en términos de los considerandos QUINTO y SEXTO de la presente Resolución.</w:t>
      </w:r>
    </w:p>
    <w:p w:rsidR="009E6A33" w:rsidRDefault="009E6A33">
      <w:pPr>
        <w:spacing w:after="0" w:line="360" w:lineRule="auto"/>
      </w:pPr>
    </w:p>
    <w:p w:rsidR="009E6A33" w:rsidRDefault="009834D6">
      <w:pPr>
        <w:spacing w:after="0" w:line="360" w:lineRule="auto"/>
        <w:rPr>
          <w:b/>
          <w:bCs/>
          <w:color w:val="000000"/>
        </w:rPr>
      </w:pPr>
      <w:r>
        <w:rPr>
          <w:b/>
          <w:bCs/>
          <w:color w:val="000000"/>
        </w:rPr>
        <w:lastRenderedPageBreak/>
        <w:t xml:space="preserve">SEGUNDO. NOTIFÍQUESE POR SAIMEX </w:t>
      </w:r>
      <w:r>
        <w:rPr>
          <w:color w:val="000000"/>
        </w:rPr>
        <w:t>la presente Resolución, al Titular de la Unidad de Transparencia del Sujeto Obligado.</w:t>
      </w:r>
    </w:p>
    <w:p w:rsidR="009E6A33" w:rsidRDefault="009E6A33">
      <w:pPr>
        <w:spacing w:after="0" w:line="360" w:lineRule="auto"/>
        <w:rPr>
          <w:b/>
          <w:bCs/>
          <w:i/>
          <w:iCs/>
          <w:color w:val="000000"/>
        </w:rPr>
      </w:pPr>
    </w:p>
    <w:p w:rsidR="009E6A33" w:rsidRDefault="009834D6">
      <w:pPr>
        <w:spacing w:after="0" w:line="360" w:lineRule="auto"/>
        <w:rPr>
          <w:b/>
          <w:bCs/>
          <w:color w:val="000000"/>
        </w:rPr>
      </w:pPr>
      <w:r>
        <w:rPr>
          <w:b/>
          <w:bCs/>
          <w:color w:val="000000"/>
        </w:rPr>
        <w:t xml:space="preserve">TERCERO. NOTIFÍQUESE POR SAIMEX </w:t>
      </w:r>
      <w:r>
        <w:rPr>
          <w:color w:val="000000"/>
        </w:rPr>
        <w:t>a la persona Recurrente, la presente Resolución</w:t>
      </w:r>
      <w:r>
        <w:t>,</w:t>
      </w:r>
      <w:r>
        <w:rPr>
          <w:color w:val="000000"/>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9E6A33" w:rsidRDefault="009E6A33">
      <w:pPr>
        <w:spacing w:after="0" w:line="360" w:lineRule="auto"/>
        <w:rPr>
          <w:b/>
          <w:bCs/>
        </w:rPr>
      </w:pPr>
    </w:p>
    <w:p w:rsidR="009E6A33" w:rsidRDefault="009834D6">
      <w:pPr>
        <w:spacing w:after="0" w:line="360" w:lineRule="auto"/>
        <w:rPr>
          <w:b/>
          <w:bCs/>
        </w:rPr>
      </w:pPr>
      <w:r>
        <w:t>ASÍ LO RESUELVE, POR </w:t>
      </w:r>
      <w:r>
        <w:rPr>
          <w:b/>
          <w:bCs/>
        </w:rPr>
        <w:t>UNANIMIDAD</w:t>
      </w:r>
      <w: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SEGUNDA SESIÓN ORDINARIA, CELEBRADA EL VEINTIUNO DE ENERO DE DOS MIL VEINTISÉIS, ANTE EL SECRETARIO TÉCNICO DEL PLENO, ALEXIS TAPIA RAMÍREZ.</w:t>
      </w:r>
    </w:p>
    <w:p w:rsidR="009E6A33" w:rsidRDefault="009E6A33">
      <w:pPr>
        <w:spacing w:after="0" w:line="360" w:lineRule="auto"/>
        <w:rPr>
          <w:b/>
          <w:bCs/>
        </w:rPr>
      </w:pPr>
    </w:p>
    <w:p w:rsidR="009E6A33" w:rsidRDefault="009E6A33">
      <w:pPr>
        <w:spacing w:after="0" w:line="360" w:lineRule="auto"/>
        <w:rPr>
          <w:b/>
          <w:bCs/>
        </w:rPr>
      </w:pPr>
    </w:p>
    <w:p w:rsidR="009E6A33" w:rsidRDefault="009E6A33">
      <w:pPr>
        <w:spacing w:after="0" w:line="360" w:lineRule="auto"/>
        <w:rPr>
          <w:color w:val="000000"/>
        </w:rPr>
      </w:pPr>
    </w:p>
    <w:p w:rsidR="009E6A33" w:rsidRDefault="009E6A33">
      <w:pPr>
        <w:spacing w:after="0" w:line="360" w:lineRule="auto"/>
        <w:rPr>
          <w:color w:val="000000"/>
        </w:rPr>
      </w:pPr>
    </w:p>
    <w:p w:rsidR="009E6A33" w:rsidRDefault="009E6A33">
      <w:pPr>
        <w:spacing w:after="0" w:line="360" w:lineRule="auto"/>
      </w:pPr>
    </w:p>
    <w:p w:rsidR="009E6A33" w:rsidRDefault="009E6A33">
      <w:pPr>
        <w:spacing w:after="0" w:line="360" w:lineRule="auto"/>
      </w:pPr>
    </w:p>
    <w:p w:rsidR="009E6A33" w:rsidRDefault="009E6A33">
      <w:pPr>
        <w:spacing w:after="0" w:line="360" w:lineRule="auto"/>
        <w:rPr>
          <w:color w:val="000000"/>
        </w:rPr>
      </w:pPr>
    </w:p>
    <w:p w:rsidR="009E6A33" w:rsidRDefault="009E6A33">
      <w:pPr>
        <w:spacing w:after="0" w:line="360" w:lineRule="auto"/>
        <w:rPr>
          <w:color w:val="000000"/>
        </w:rPr>
      </w:pPr>
    </w:p>
    <w:p w:rsidR="009E6A33" w:rsidRDefault="009E6A33">
      <w:pPr>
        <w:tabs>
          <w:tab w:val="right" w:pos="8931"/>
        </w:tabs>
        <w:spacing w:after="0" w:line="360" w:lineRule="auto"/>
      </w:pPr>
    </w:p>
    <w:p w:rsidR="009E6A33" w:rsidRDefault="009E6A33">
      <w:pPr>
        <w:tabs>
          <w:tab w:val="right" w:pos="8931"/>
        </w:tabs>
        <w:spacing w:after="0" w:line="360" w:lineRule="auto"/>
      </w:pPr>
    </w:p>
    <w:p w:rsidR="009E6A33" w:rsidRDefault="009E6A33">
      <w:pPr>
        <w:spacing w:after="0" w:line="360" w:lineRule="auto"/>
      </w:pPr>
    </w:p>
    <w:p w:rsidR="009E6A33" w:rsidRDefault="009E6A33">
      <w:pPr>
        <w:spacing w:after="0" w:line="360" w:lineRule="auto"/>
      </w:pPr>
    </w:p>
    <w:p w:rsidR="009E6A33" w:rsidRDefault="009E6A33">
      <w:pPr>
        <w:spacing w:after="0" w:line="360" w:lineRule="auto"/>
      </w:pPr>
    </w:p>
    <w:p w:rsidR="009E6A33" w:rsidRDefault="009E6A33">
      <w:pPr>
        <w:spacing w:after="0" w:line="360" w:lineRule="auto"/>
      </w:pPr>
    </w:p>
    <w:p w:rsidR="009E6A33" w:rsidRDefault="009E6A33">
      <w:pPr>
        <w:spacing w:after="0" w:line="360" w:lineRule="auto"/>
      </w:pPr>
    </w:p>
    <w:p w:rsidR="009E6A33" w:rsidRDefault="009E6A33">
      <w:pPr>
        <w:spacing w:after="0" w:line="360" w:lineRule="auto"/>
      </w:pPr>
    </w:p>
    <w:p w:rsidR="009E6A33" w:rsidRDefault="009E6A33">
      <w:pPr>
        <w:spacing w:after="0" w:line="360" w:lineRule="auto"/>
      </w:pPr>
    </w:p>
    <w:p w:rsidR="009E6A33" w:rsidRDefault="009E6A33">
      <w:pPr>
        <w:spacing w:after="0" w:line="360" w:lineRule="auto"/>
      </w:pPr>
    </w:p>
    <w:p w:rsidR="009E6A33" w:rsidRDefault="009E6A33">
      <w:pPr>
        <w:spacing w:after="0" w:line="360" w:lineRule="auto"/>
      </w:pPr>
    </w:p>
    <w:p w:rsidR="009E6A33" w:rsidRDefault="009E6A33">
      <w:pPr>
        <w:spacing w:after="0" w:line="360" w:lineRule="auto"/>
      </w:pPr>
    </w:p>
    <w:p w:rsidR="009E6A33" w:rsidRDefault="009E6A33">
      <w:pPr>
        <w:spacing w:after="0" w:line="360" w:lineRule="auto"/>
      </w:pPr>
    </w:p>
    <w:p w:rsidR="009E6A33" w:rsidRDefault="009E6A33">
      <w:pPr>
        <w:spacing w:after="0" w:line="360" w:lineRule="auto"/>
      </w:pPr>
    </w:p>
    <w:p w:rsidR="009E6A33" w:rsidRDefault="009E6A33">
      <w:pPr>
        <w:spacing w:after="0" w:line="360" w:lineRule="auto"/>
      </w:pPr>
    </w:p>
    <w:p w:rsidR="009E6A33" w:rsidRDefault="009E6A33">
      <w:pPr>
        <w:spacing w:after="0" w:line="360" w:lineRule="auto"/>
      </w:pPr>
    </w:p>
    <w:sectPr w:rsidR="009E6A33">
      <w:type w:val="continuous"/>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3E07" w:rsidRDefault="00953E07">
      <w:pPr>
        <w:spacing w:after="0" w:line="240" w:lineRule="auto"/>
      </w:pPr>
      <w:r>
        <w:separator/>
      </w:r>
    </w:p>
  </w:endnote>
  <w:endnote w:type="continuationSeparator" w:id="0">
    <w:p w:rsidR="00953E07" w:rsidRDefault="00953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BB1B61EE-1109-4D8E-A255-F927EC6765B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8E7B4643-66DA-4F80-B097-3349DA5273BD}"/>
    <w:embedBold r:id="rId3" w:fontKey="{02BFFFB0-A702-47AC-8C8D-CDF2487088BD}"/>
    <w:embedItalic r:id="rId4" w:fontKey="{D25F34BD-8305-411D-93E9-0A891E215D77}"/>
    <w:embedBoldItalic r:id="rId5" w:fontKey="{F3B9A226-C144-4D54-95E7-E3BC5D29458D}"/>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66972B3E-0108-4FDF-9E3E-7B67B42AEDBC}"/>
  </w:font>
  <w:font w:name="Calibri">
    <w:panose1 w:val="020F0502020204030204"/>
    <w:charset w:val="00"/>
    <w:family w:val="swiss"/>
    <w:pitch w:val="variable"/>
    <w:sig w:usb0="E4002EFF" w:usb1="C200247B" w:usb2="00000009" w:usb3="00000000" w:csb0="000001FF" w:csb1="00000000"/>
    <w:embedRegular r:id="rId7" w:fontKey="{AE62E52E-EC7F-43B8-8CC4-64F3172DE9BB}"/>
  </w:font>
  <w:font w:name="Georgia">
    <w:panose1 w:val="02040502050405020303"/>
    <w:charset w:val="00"/>
    <w:family w:val="roman"/>
    <w:pitch w:val="variable"/>
    <w:sig w:usb0="00000287" w:usb1="00000000" w:usb2="00000000" w:usb3="00000000" w:csb0="0000009F" w:csb1="00000000"/>
    <w:embedItalic r:id="rId8" w:fontKey="{EA9A4978-9FC2-4DFE-B2EF-5401841BA3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A33" w:rsidRDefault="009834D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0A0965">
      <w:rPr>
        <w:b/>
        <w:bCs/>
        <w:noProof/>
        <w:color w:val="000000"/>
        <w:sz w:val="24"/>
        <w:szCs w:val="24"/>
      </w:rPr>
      <w:t>22</w:t>
    </w:r>
    <w:r>
      <w:rPr>
        <w:b/>
        <w:bCs/>
        <w:color w:val="000000"/>
        <w:sz w:val="24"/>
        <w:szCs w:val="24"/>
      </w:rPr>
      <w:fldChar w:fldCharType="end"/>
    </w:r>
  </w:p>
  <w:p w:rsidR="009E6A33" w:rsidRDefault="009E6A33">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A33" w:rsidRDefault="009834D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2F557B">
      <w:rPr>
        <w:b/>
        <w:bCs/>
        <w:noProof/>
        <w:color w:val="000000"/>
        <w:sz w:val="24"/>
        <w:szCs w:val="24"/>
      </w:rPr>
      <w:t>4</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2F557B">
      <w:rPr>
        <w:b/>
        <w:bCs/>
        <w:noProof/>
        <w:color w:val="000000"/>
        <w:sz w:val="24"/>
        <w:szCs w:val="24"/>
      </w:rPr>
      <w:t>22</w:t>
    </w:r>
    <w:r>
      <w:rPr>
        <w:b/>
        <w:bCs/>
        <w:color w:val="000000"/>
        <w:sz w:val="24"/>
        <w:szCs w:val="24"/>
      </w:rPr>
      <w:fldChar w:fldCharType="end"/>
    </w:r>
  </w:p>
  <w:p w:rsidR="009E6A33" w:rsidRDefault="009E6A33">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A33" w:rsidRDefault="009834D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2F557B">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2F557B">
      <w:rPr>
        <w:b/>
        <w:bCs/>
        <w:noProof/>
        <w:color w:val="000000"/>
        <w:sz w:val="24"/>
        <w:szCs w:val="24"/>
      </w:rPr>
      <w:t>22</w:t>
    </w:r>
    <w:r>
      <w:rPr>
        <w:b/>
        <w:bCs/>
        <w:color w:val="000000"/>
        <w:sz w:val="24"/>
        <w:szCs w:val="24"/>
      </w:rPr>
      <w:fldChar w:fldCharType="end"/>
    </w:r>
  </w:p>
  <w:p w:rsidR="009E6A33" w:rsidRDefault="009E6A33">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3E07" w:rsidRDefault="00953E07">
      <w:pPr>
        <w:spacing w:after="0" w:line="240" w:lineRule="auto"/>
      </w:pPr>
      <w:r>
        <w:separator/>
      </w:r>
    </w:p>
  </w:footnote>
  <w:footnote w:type="continuationSeparator" w:id="0">
    <w:p w:rsidR="00953E07" w:rsidRDefault="00953E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A33" w:rsidRDefault="009E6A33">
    <w:pPr>
      <w:widowControl w:val="0"/>
      <w:pBdr>
        <w:top w:val="nil"/>
        <w:left w:val="nil"/>
        <w:bottom w:val="nil"/>
        <w:right w:val="nil"/>
        <w:between w:val="nil"/>
      </w:pBdr>
      <w:spacing w:after="0" w:line="276" w:lineRule="auto"/>
      <w:jc w:val="left"/>
      <w:rPr>
        <w:color w:val="000000"/>
      </w:rPr>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9E6A33">
      <w:trPr>
        <w:trHeight w:val="132"/>
      </w:trPr>
      <w:tc>
        <w:tcPr>
          <w:tcW w:w="0" w:type="auto"/>
        </w:tcPr>
        <w:p w:rsidR="009E6A33" w:rsidRDefault="009834D6">
          <w:pPr>
            <w:tabs>
              <w:tab w:val="right" w:pos="8838"/>
            </w:tabs>
            <w:ind w:right="-105"/>
            <w:rPr>
              <w:b/>
              <w:bCs/>
            </w:rPr>
          </w:pPr>
          <w:r>
            <w:rPr>
              <w:b/>
              <w:bCs/>
            </w:rPr>
            <w:t>Recurso de Revisión:</w:t>
          </w:r>
        </w:p>
      </w:tc>
      <w:tc>
        <w:tcPr>
          <w:tcW w:w="0" w:type="auto"/>
        </w:tcPr>
        <w:p w:rsidR="009E6A33" w:rsidRDefault="009834D6">
          <w:pPr>
            <w:tabs>
              <w:tab w:val="right" w:pos="8838"/>
            </w:tabs>
            <w:ind w:left="-28" w:right="-32"/>
          </w:pPr>
          <w:r>
            <w:t>03846/INFOEM/IP/RR/2020</w:t>
          </w:r>
        </w:p>
      </w:tc>
    </w:tr>
    <w:tr w:rsidR="009E6A33">
      <w:trPr>
        <w:trHeight w:val="261"/>
      </w:trPr>
      <w:tc>
        <w:tcPr>
          <w:tcW w:w="0" w:type="auto"/>
        </w:tcPr>
        <w:p w:rsidR="009E6A33" w:rsidRDefault="009834D6">
          <w:pPr>
            <w:tabs>
              <w:tab w:val="right" w:pos="8838"/>
            </w:tabs>
            <w:ind w:right="-105"/>
            <w:rPr>
              <w:b/>
              <w:bCs/>
            </w:rPr>
          </w:pPr>
          <w:r>
            <w:rPr>
              <w:b/>
              <w:bCs/>
            </w:rPr>
            <w:t>Sujeto Obligado:</w:t>
          </w:r>
        </w:p>
      </w:tc>
      <w:tc>
        <w:tcPr>
          <w:tcW w:w="0" w:type="auto"/>
        </w:tcPr>
        <w:p w:rsidR="009E6A33" w:rsidRDefault="009834D6">
          <w:pPr>
            <w:tabs>
              <w:tab w:val="right" w:pos="8838"/>
            </w:tabs>
            <w:ind w:right="-32"/>
          </w:pPr>
          <w:r>
            <w:t xml:space="preserve">Ayuntamiento de </w:t>
          </w:r>
          <w:proofErr w:type="spellStart"/>
          <w:r>
            <w:t>Temascalcingo</w:t>
          </w:r>
          <w:proofErr w:type="spellEnd"/>
        </w:p>
      </w:tc>
    </w:tr>
    <w:tr w:rsidR="009E6A33">
      <w:trPr>
        <w:trHeight w:val="261"/>
      </w:trPr>
      <w:tc>
        <w:tcPr>
          <w:tcW w:w="0" w:type="auto"/>
        </w:tcPr>
        <w:p w:rsidR="009E6A33" w:rsidRDefault="009834D6">
          <w:pPr>
            <w:tabs>
              <w:tab w:val="right" w:pos="8838"/>
            </w:tabs>
            <w:ind w:right="-105"/>
            <w:rPr>
              <w:b/>
              <w:bCs/>
            </w:rPr>
          </w:pPr>
          <w:r>
            <w:rPr>
              <w:b/>
              <w:bCs/>
            </w:rPr>
            <w:t>Comisionado Ponente:</w:t>
          </w:r>
        </w:p>
      </w:tc>
      <w:tc>
        <w:tcPr>
          <w:tcW w:w="0" w:type="auto"/>
        </w:tcPr>
        <w:p w:rsidR="009E6A33" w:rsidRDefault="009834D6">
          <w:pPr>
            <w:tabs>
              <w:tab w:val="right" w:pos="8838"/>
            </w:tabs>
            <w:ind w:right="-32"/>
            <w:rPr>
              <w:b/>
              <w:bCs/>
            </w:rPr>
          </w:pPr>
          <w:r>
            <w:t>Luis Gustavo Parra Noriega</w:t>
          </w:r>
        </w:p>
      </w:tc>
    </w:tr>
  </w:tbl>
  <w:p w:rsidR="009E6A33" w:rsidRDefault="00953E07">
    <w:pPr>
      <w:pBdr>
        <w:top w:val="nil"/>
        <w:left w:val="nil"/>
        <w:bottom w:val="nil"/>
        <w:right w:val="nil"/>
        <w:between w:val="nil"/>
      </w:pBdr>
      <w:tabs>
        <w:tab w:val="center" w:pos="4419"/>
        <w:tab w:val="right" w:pos="8838"/>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A33" w:rsidRDefault="00953E07">
    <w:pPr>
      <w:widowControl w:val="0"/>
      <w:pBdr>
        <w:top w:val="nil"/>
        <w:left w:val="nil"/>
        <w:bottom w:val="nil"/>
        <w:right w:val="nil"/>
        <w:between w:val="nil"/>
      </w:pBdr>
      <w:spacing w:after="0" w:line="276" w:lineRule="auto"/>
      <w:jc w:val="left"/>
    </w:pPr>
    <w:r>
      <w:rPr>
        <w:color w:val="000000"/>
      </w:rPr>
      <w:pict w14:anchorId="479F89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1"/>
          <w10:wrap anchorx="margin" anchory="margin"/>
        </v:shape>
      </w:pict>
    </w:r>
  </w:p>
  <w:tbl>
    <w:tblPr>
      <w:tblStyle w:val="a0"/>
      <w:tblW w:w="7654" w:type="dxa"/>
      <w:tblInd w:w="3402" w:type="dxa"/>
      <w:tblBorders>
        <w:top w:val="nil"/>
        <w:left w:val="nil"/>
        <w:bottom w:val="nil"/>
        <w:right w:val="nil"/>
        <w:insideH w:val="nil"/>
        <w:insideV w:val="nil"/>
      </w:tblBorders>
      <w:tblLayout w:type="fixed"/>
      <w:tblLook w:val="0400" w:firstRow="0" w:lastRow="0" w:firstColumn="0" w:lastColumn="0" w:noHBand="0" w:noVBand="1"/>
    </w:tblPr>
    <w:tblGrid>
      <w:gridCol w:w="2693"/>
      <w:gridCol w:w="4961"/>
    </w:tblGrid>
    <w:tr w:rsidR="009E6A33">
      <w:trPr>
        <w:trHeight w:val="138"/>
      </w:trPr>
      <w:tc>
        <w:tcPr>
          <w:tcW w:w="2693" w:type="dxa"/>
          <w:vAlign w:val="center"/>
        </w:tcPr>
        <w:p w:rsidR="009E6A33" w:rsidRDefault="009E6A33">
          <w:pPr>
            <w:tabs>
              <w:tab w:val="right" w:pos="8838"/>
            </w:tabs>
            <w:ind w:left="-108" w:right="-105"/>
            <w:jc w:val="left"/>
            <w:rPr>
              <w:b/>
              <w:bCs/>
            </w:rPr>
          </w:pPr>
        </w:p>
        <w:p w:rsidR="009E6A33" w:rsidRDefault="009834D6">
          <w:pPr>
            <w:tabs>
              <w:tab w:val="right" w:pos="8838"/>
            </w:tabs>
            <w:ind w:left="-108" w:right="-105"/>
            <w:jc w:val="left"/>
            <w:rPr>
              <w:b/>
              <w:bCs/>
            </w:rPr>
          </w:pPr>
          <w:r>
            <w:rPr>
              <w:b/>
              <w:bCs/>
            </w:rPr>
            <w:t>Recurso de Revisión:</w:t>
          </w:r>
        </w:p>
      </w:tc>
      <w:tc>
        <w:tcPr>
          <w:tcW w:w="4961" w:type="dxa"/>
        </w:tcPr>
        <w:p w:rsidR="009E6A33" w:rsidRDefault="009E6A33">
          <w:pPr>
            <w:tabs>
              <w:tab w:val="right" w:pos="8838"/>
            </w:tabs>
            <w:ind w:right="57"/>
          </w:pPr>
        </w:p>
        <w:p w:rsidR="009E6A33" w:rsidRDefault="009834D6">
          <w:pPr>
            <w:tabs>
              <w:tab w:val="right" w:pos="8838"/>
            </w:tabs>
            <w:ind w:right="57"/>
          </w:pPr>
          <w:r>
            <w:t>06011/INFOEM/IP/RR/2025</w:t>
          </w:r>
        </w:p>
      </w:tc>
    </w:tr>
    <w:tr w:rsidR="009E6A33">
      <w:trPr>
        <w:trHeight w:val="273"/>
      </w:trPr>
      <w:tc>
        <w:tcPr>
          <w:tcW w:w="2693" w:type="dxa"/>
        </w:tcPr>
        <w:p w:rsidR="009E6A33" w:rsidRDefault="009834D6">
          <w:pPr>
            <w:tabs>
              <w:tab w:val="right" w:pos="8838"/>
            </w:tabs>
            <w:ind w:left="-108" w:right="-105"/>
            <w:rPr>
              <w:b/>
              <w:bCs/>
            </w:rPr>
          </w:pPr>
          <w:r>
            <w:rPr>
              <w:b/>
              <w:bCs/>
            </w:rPr>
            <w:t>Sujeto Obligado:</w:t>
          </w:r>
        </w:p>
      </w:tc>
      <w:tc>
        <w:tcPr>
          <w:tcW w:w="4961" w:type="dxa"/>
        </w:tcPr>
        <w:p w:rsidR="009E6A33" w:rsidRDefault="009834D6">
          <w:pPr>
            <w:tabs>
              <w:tab w:val="right" w:pos="8838"/>
            </w:tabs>
            <w:ind w:right="180"/>
          </w:pPr>
          <w:r>
            <w:t>Ayuntamiento de Toluca</w:t>
          </w:r>
        </w:p>
      </w:tc>
    </w:tr>
    <w:tr w:rsidR="009E6A33">
      <w:trPr>
        <w:trHeight w:val="273"/>
      </w:trPr>
      <w:tc>
        <w:tcPr>
          <w:tcW w:w="2693" w:type="dxa"/>
        </w:tcPr>
        <w:p w:rsidR="009E6A33" w:rsidRDefault="009834D6">
          <w:pPr>
            <w:tabs>
              <w:tab w:val="right" w:pos="8838"/>
            </w:tabs>
            <w:ind w:left="-108" w:right="-105"/>
            <w:rPr>
              <w:b/>
              <w:bCs/>
            </w:rPr>
          </w:pPr>
          <w:r>
            <w:rPr>
              <w:b/>
              <w:bCs/>
            </w:rPr>
            <w:t>Comisionado Ponente:</w:t>
          </w:r>
        </w:p>
      </w:tc>
      <w:tc>
        <w:tcPr>
          <w:tcW w:w="4961" w:type="dxa"/>
        </w:tcPr>
        <w:p w:rsidR="009E6A33" w:rsidRDefault="009834D6">
          <w:pPr>
            <w:tabs>
              <w:tab w:val="right" w:pos="8838"/>
            </w:tabs>
            <w:ind w:right="-170"/>
          </w:pPr>
          <w:r>
            <w:t>Luis Gustavo Parra Noriega</w:t>
          </w:r>
        </w:p>
        <w:p w:rsidR="009E6A33" w:rsidRDefault="009E6A33">
          <w:pPr>
            <w:tabs>
              <w:tab w:val="right" w:pos="8838"/>
            </w:tabs>
            <w:ind w:right="-170"/>
            <w:rPr>
              <w:b/>
              <w:bCs/>
            </w:rPr>
          </w:pPr>
        </w:p>
      </w:tc>
    </w:tr>
  </w:tbl>
  <w:p w:rsidR="009E6A33" w:rsidRDefault="009E6A33">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A33" w:rsidRDefault="009E6A33">
    <w:pPr>
      <w:widowControl w:val="0"/>
      <w:pBdr>
        <w:top w:val="nil"/>
        <w:left w:val="nil"/>
        <w:bottom w:val="nil"/>
        <w:right w:val="nil"/>
        <w:between w:val="nil"/>
      </w:pBdr>
      <w:spacing w:after="0" w:line="276" w:lineRule="auto"/>
      <w:jc w:val="left"/>
      <w:rPr>
        <w:color w:val="000000"/>
      </w:rPr>
    </w:pPr>
  </w:p>
  <w:tbl>
    <w:tblPr>
      <w:tblStyle w:val="a1"/>
      <w:tblW w:w="7513"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551"/>
      <w:gridCol w:w="4962"/>
    </w:tblGrid>
    <w:tr w:rsidR="009E6A33">
      <w:trPr>
        <w:trHeight w:val="132"/>
      </w:trPr>
      <w:tc>
        <w:tcPr>
          <w:tcW w:w="2551" w:type="dxa"/>
        </w:tcPr>
        <w:p w:rsidR="009E6A33" w:rsidRDefault="009834D6">
          <w:pPr>
            <w:tabs>
              <w:tab w:val="right" w:pos="8838"/>
            </w:tabs>
            <w:ind w:right="-105"/>
            <w:rPr>
              <w:b/>
              <w:bCs/>
            </w:rPr>
          </w:pPr>
          <w:r>
            <w:rPr>
              <w:b/>
              <w:bCs/>
            </w:rPr>
            <w:t>Recurso de Revisión:</w:t>
          </w:r>
        </w:p>
      </w:tc>
      <w:tc>
        <w:tcPr>
          <w:tcW w:w="4962" w:type="dxa"/>
        </w:tcPr>
        <w:p w:rsidR="009E6A33" w:rsidRDefault="009834D6">
          <w:r>
            <w:t>06011/INFOEM/IP/RR/2025</w:t>
          </w:r>
        </w:p>
      </w:tc>
    </w:tr>
    <w:tr w:rsidR="009E6A33">
      <w:trPr>
        <w:trHeight w:val="132"/>
      </w:trPr>
      <w:tc>
        <w:tcPr>
          <w:tcW w:w="2551" w:type="dxa"/>
        </w:tcPr>
        <w:p w:rsidR="009E6A33" w:rsidRDefault="009834D6">
          <w:pPr>
            <w:tabs>
              <w:tab w:val="left" w:pos="1875"/>
            </w:tabs>
            <w:ind w:right="-105"/>
            <w:rPr>
              <w:b/>
              <w:bCs/>
            </w:rPr>
          </w:pPr>
          <w:r>
            <w:rPr>
              <w:b/>
              <w:bCs/>
            </w:rPr>
            <w:t>Recurrente:</w:t>
          </w:r>
          <w:r>
            <w:rPr>
              <w:b/>
              <w:bCs/>
            </w:rPr>
            <w:tab/>
          </w:r>
        </w:p>
      </w:tc>
      <w:tc>
        <w:tcPr>
          <w:tcW w:w="4962" w:type="dxa"/>
        </w:tcPr>
        <w:p w:rsidR="009E6A33" w:rsidRDefault="002F557B">
          <w:pPr>
            <w:tabs>
              <w:tab w:val="right" w:pos="8838"/>
            </w:tabs>
            <w:ind w:right="-250"/>
          </w:pPr>
          <w:r w:rsidRPr="002F557B">
            <w:rPr>
              <w:highlight w:val="black"/>
            </w:rPr>
            <w:t>XX</w:t>
          </w:r>
        </w:p>
      </w:tc>
    </w:tr>
    <w:tr w:rsidR="009E6A33">
      <w:trPr>
        <w:trHeight w:val="261"/>
      </w:trPr>
      <w:tc>
        <w:tcPr>
          <w:tcW w:w="2551" w:type="dxa"/>
        </w:tcPr>
        <w:p w:rsidR="009E6A33" w:rsidRDefault="009834D6">
          <w:pPr>
            <w:tabs>
              <w:tab w:val="right" w:pos="8838"/>
            </w:tabs>
            <w:ind w:right="-105"/>
            <w:rPr>
              <w:b/>
              <w:bCs/>
            </w:rPr>
          </w:pPr>
          <w:r>
            <w:rPr>
              <w:b/>
              <w:bCs/>
            </w:rPr>
            <w:t>Sujeto Obligado:</w:t>
          </w:r>
        </w:p>
      </w:tc>
      <w:tc>
        <w:tcPr>
          <w:tcW w:w="4962" w:type="dxa"/>
        </w:tcPr>
        <w:p w:rsidR="009E6A33" w:rsidRDefault="009834D6">
          <w:r>
            <w:t>Ayuntamiento de Toluca</w:t>
          </w:r>
        </w:p>
      </w:tc>
    </w:tr>
    <w:tr w:rsidR="009E6A33">
      <w:trPr>
        <w:trHeight w:val="261"/>
      </w:trPr>
      <w:tc>
        <w:tcPr>
          <w:tcW w:w="2551" w:type="dxa"/>
        </w:tcPr>
        <w:p w:rsidR="009E6A33" w:rsidRDefault="009834D6">
          <w:pPr>
            <w:tabs>
              <w:tab w:val="right" w:pos="8838"/>
            </w:tabs>
            <w:ind w:right="-105"/>
            <w:rPr>
              <w:b/>
              <w:bCs/>
            </w:rPr>
          </w:pPr>
          <w:r>
            <w:rPr>
              <w:b/>
              <w:bCs/>
            </w:rPr>
            <w:t>Comisionado Ponente:</w:t>
          </w:r>
        </w:p>
      </w:tc>
      <w:tc>
        <w:tcPr>
          <w:tcW w:w="4962" w:type="dxa"/>
        </w:tcPr>
        <w:p w:rsidR="009E6A33" w:rsidRDefault="009834D6">
          <w:pPr>
            <w:tabs>
              <w:tab w:val="right" w:pos="8838"/>
            </w:tabs>
            <w:ind w:right="-32"/>
            <w:rPr>
              <w:b/>
              <w:bCs/>
            </w:rPr>
          </w:pPr>
          <w:r>
            <w:t>Luis Gustavo Parra Noriega</w:t>
          </w:r>
        </w:p>
      </w:tc>
    </w:tr>
  </w:tbl>
  <w:p w:rsidR="009E6A33" w:rsidRDefault="00953E07">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2E1A40"/>
    <w:multiLevelType w:val="multilevel"/>
    <w:tmpl w:val="986039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4244AC7"/>
    <w:multiLevelType w:val="multilevel"/>
    <w:tmpl w:val="F11C805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A33"/>
    <w:rsid w:val="000A0965"/>
    <w:rsid w:val="002F557B"/>
    <w:rsid w:val="006B0531"/>
    <w:rsid w:val="00953E07"/>
    <w:rsid w:val="009834D6"/>
    <w:rsid w:val="009D5CE3"/>
    <w:rsid w:val="009E6A33"/>
    <w:rsid w:val="00B6175D"/>
    <w:rsid w:val="00F863AA"/>
    <w:rsid w:val="00FA5F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30CE7CC-A24E-43FA-A1F1-583EE8114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4">
    <w:name w:val="4"/>
    <w:basedOn w:val="TableNormal0"/>
    <w:pPr>
      <w:spacing w:after="0" w:line="240" w:lineRule="auto"/>
    </w:pPr>
    <w:tblPr>
      <w:tblStyleRowBandSize w:val="1"/>
      <w:tblStyleColBandSize w:val="1"/>
      <w:tblCellMar>
        <w:left w:w="108" w:type="dxa"/>
        <w:right w:w="108" w:type="dxa"/>
      </w:tblCellMar>
    </w:tbl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pPr>
      <w:spacing w:after="0" w:line="240" w:lineRule="auto"/>
    </w:pPr>
    <w:tblPr>
      <w:tblStyleRowBandSize w:val="1"/>
      <w:tblStyleColBandSize w:val="1"/>
      <w:tblCellMar>
        <w:left w:w="108" w:type="dxa"/>
        <w:right w:w="108" w:type="dxa"/>
      </w:tblCellMar>
    </w:tblPr>
  </w:style>
  <w:style w:type="table" w:customStyle="1" w:styleId="1">
    <w:name w:val="1"/>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de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C97FC1"/>
    <w:rPr>
      <w:color w:val="605E5C"/>
      <w:shd w:val="clear" w:color="auto" w:fill="E1DFDD"/>
    </w:rPr>
  </w:style>
  <w:style w:type="character" w:customStyle="1" w:styleId="Mencinsinresolver5">
    <w:name w:val="Mención sin resolver5"/>
    <w:basedOn w:val="Fuentedeprrafopredeter"/>
    <w:uiPriority w:val="99"/>
    <w:semiHidden/>
    <w:unhideWhenUsed/>
    <w:rsid w:val="00BA070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EDljJg4cQfE8DgNufQ6wmU7Vg==">CgMxLjAyDmguNnRndmd1dTltcmFkMg5oLnU2ZTBhd2wyNGEzNzIOaC43aHByZXd3MzE5MGsyDmgud290YXl6dDdlZHVkMg5oLnFudWxianlxcDFrODIOaC5xaXQwZnptY2oyMWMyDmgueGFzdG8wbGwwdDU2Mg5oLmQ5aXBsemlwaHMzdzIJaC4zMGowemxsMg5oLm96a2ttdnd3bHRqYTIOaC56Z2Jkc2l0bmhhcWwyDmguNTA4M2h4dmY5dHY3Mg5oLmN4ZzJrN2lucWhtYjIOaC5pNGc3ZW84bnBmeWsyDmguZTJwYnY1MWt2b2J4OAByITFRX0QxcEhzSnJYLXRPRVFoMG8zcnZuWDBvTnRiRmhlZ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A987184-9872-45EB-8657-EC46C6CAF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5127</Words>
  <Characters>28200</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33261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cp:revision>
  <cp:lastPrinted>2026-01-23T16:41:00Z</cp:lastPrinted>
  <dcterms:created xsi:type="dcterms:W3CDTF">2026-01-23T16:41:00Z</dcterms:created>
  <dcterms:modified xsi:type="dcterms:W3CDTF">2026-03-12T23:06:00Z</dcterms:modified>
</cp:coreProperties>
</file>