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6A191" w14:textId="6BB5259B" w:rsidR="00B2722B" w:rsidRPr="00E05D09" w:rsidRDefault="004425A1">
      <w:pPr>
        <w:tabs>
          <w:tab w:val="left" w:pos="0"/>
        </w:tabs>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w:t>
      </w:r>
      <w:r w:rsidR="00E05D09">
        <w:rPr>
          <w:rFonts w:ascii="Palatino Linotype" w:eastAsia="Palatino Linotype" w:hAnsi="Palatino Linotype" w:cs="Palatino Linotype"/>
        </w:rPr>
        <w:t>n Metepec, Estado de México; de fecha</w:t>
      </w:r>
      <w:r w:rsidRPr="00E05D09">
        <w:rPr>
          <w:rFonts w:ascii="Palatino Linotype" w:eastAsia="Palatino Linotype" w:hAnsi="Palatino Linotype" w:cs="Palatino Linotype"/>
        </w:rPr>
        <w:t xml:space="preserve"> </w:t>
      </w:r>
      <w:r w:rsidR="00736339" w:rsidRPr="00E05D09">
        <w:rPr>
          <w:rFonts w:ascii="Palatino Linotype" w:eastAsia="Palatino Linotype" w:hAnsi="Palatino Linotype" w:cs="Palatino Linotype"/>
          <w:b/>
          <w:bCs/>
        </w:rPr>
        <w:t>veinticinco</w:t>
      </w:r>
      <w:r w:rsidRPr="00E05D09">
        <w:rPr>
          <w:rFonts w:ascii="Palatino Linotype" w:eastAsia="Palatino Linotype" w:hAnsi="Palatino Linotype" w:cs="Palatino Linotype"/>
          <w:b/>
          <w:bCs/>
        </w:rPr>
        <w:t xml:space="preserve"> </w:t>
      </w:r>
      <w:r w:rsidR="00E05D09">
        <w:rPr>
          <w:rFonts w:ascii="Palatino Linotype" w:eastAsia="Palatino Linotype" w:hAnsi="Palatino Linotype" w:cs="Palatino Linotype"/>
          <w:b/>
          <w:bCs/>
        </w:rPr>
        <w:t xml:space="preserve">(25) </w:t>
      </w:r>
      <w:r w:rsidRPr="00E05D09">
        <w:rPr>
          <w:rFonts w:ascii="Palatino Linotype" w:eastAsia="Palatino Linotype" w:hAnsi="Palatino Linotype" w:cs="Palatino Linotype"/>
          <w:b/>
          <w:bCs/>
        </w:rPr>
        <w:t>de junio de dos mil veintiséis.</w:t>
      </w:r>
      <w:r w:rsidRPr="00E05D09">
        <w:rPr>
          <w:rFonts w:ascii="Palatino Linotype" w:eastAsia="Palatino Linotype" w:hAnsi="Palatino Linotype" w:cs="Palatino Linotype"/>
        </w:rPr>
        <w:t xml:space="preserve"> </w:t>
      </w:r>
    </w:p>
    <w:p w14:paraId="0DC12380" w14:textId="77777777" w:rsidR="00B2722B" w:rsidRPr="00E05D09" w:rsidRDefault="00B2722B">
      <w:pPr>
        <w:tabs>
          <w:tab w:val="left" w:pos="0"/>
        </w:tabs>
        <w:spacing w:line="360" w:lineRule="auto"/>
        <w:jc w:val="both"/>
        <w:rPr>
          <w:rFonts w:ascii="Palatino Linotype" w:eastAsia="Palatino Linotype" w:hAnsi="Palatino Linotype" w:cs="Palatino Linotype"/>
        </w:rPr>
      </w:pPr>
    </w:p>
    <w:p w14:paraId="457BA796" w14:textId="21D5AB6F" w:rsidR="00B2722B" w:rsidRPr="00E05D09" w:rsidRDefault="004425A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b/>
          <w:bCs/>
          <w:color w:val="000000"/>
        </w:rPr>
        <w:t>VISTO</w:t>
      </w:r>
      <w:r w:rsidRPr="00E05D09">
        <w:rPr>
          <w:rFonts w:ascii="Palatino Linotype" w:eastAsia="Palatino Linotype" w:hAnsi="Palatino Linotype" w:cs="Palatino Linotype"/>
          <w:color w:val="000000"/>
        </w:rPr>
        <w:t xml:space="preserve"> el expediente electrónico formado con motivo del recurso de revisión </w:t>
      </w:r>
      <w:r w:rsidRPr="00E05D09">
        <w:rPr>
          <w:rFonts w:ascii="Palatino Linotype" w:eastAsia="Palatino Linotype" w:hAnsi="Palatino Linotype" w:cs="Palatino Linotype"/>
          <w:b/>
          <w:bCs/>
          <w:color w:val="000000"/>
        </w:rPr>
        <w:t xml:space="preserve">03588/INFOEM/IP/RR/2026, </w:t>
      </w:r>
      <w:r w:rsidRPr="00E05D09">
        <w:rPr>
          <w:rFonts w:ascii="Palatino Linotype" w:eastAsia="Palatino Linotype" w:hAnsi="Palatino Linotype" w:cs="Palatino Linotype"/>
          <w:color w:val="000000"/>
        </w:rPr>
        <w:t xml:space="preserve">promovido por </w:t>
      </w:r>
      <w:r w:rsidR="00A075B7">
        <w:rPr>
          <w:rFonts w:ascii="Palatino Linotype" w:eastAsia="Palatino Linotype" w:hAnsi="Palatino Linotype" w:cs="Palatino Linotype"/>
          <w:b/>
          <w:bCs/>
          <w:color w:val="000000"/>
        </w:rPr>
        <w:t>XXXX</w:t>
      </w:r>
      <w:r w:rsidRPr="00E05D09">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sidRPr="00E05D09">
        <w:rPr>
          <w:rFonts w:ascii="Palatino Linotype" w:eastAsia="Palatino Linotype" w:hAnsi="Palatino Linotype" w:cs="Palatino Linotype"/>
          <w:b/>
          <w:bCs/>
          <w:color w:val="000000"/>
        </w:rPr>
        <w:t>EL RECURRENTE</w:t>
      </w:r>
      <w:r w:rsidRPr="00E05D09">
        <w:rPr>
          <w:rFonts w:ascii="Palatino Linotype" w:eastAsia="Palatino Linotype" w:hAnsi="Palatino Linotype" w:cs="Palatino Linotype"/>
          <w:color w:val="000000"/>
        </w:rPr>
        <w:t xml:space="preserve">, en contra de las respuestas del </w:t>
      </w:r>
      <w:r w:rsidRPr="00E05D09">
        <w:rPr>
          <w:rFonts w:ascii="Palatino Linotype" w:eastAsia="Palatino Linotype" w:hAnsi="Palatino Linotype" w:cs="Palatino Linotype"/>
          <w:b/>
          <w:bCs/>
          <w:color w:val="000000"/>
        </w:rPr>
        <w:t>Sistema Municipal para el Desarrollo Integral de la Familia de Tianguistenco</w:t>
      </w:r>
      <w:r w:rsidRPr="00E05D09">
        <w:rPr>
          <w:rFonts w:ascii="Palatino Linotype" w:eastAsia="Palatino Linotype" w:hAnsi="Palatino Linotype" w:cs="Palatino Linotype"/>
          <w:color w:val="000000"/>
        </w:rPr>
        <w:t xml:space="preserve">, en lo sucesivo </w:t>
      </w:r>
      <w:r w:rsidRPr="00E05D09">
        <w:rPr>
          <w:rFonts w:ascii="Palatino Linotype" w:eastAsia="Palatino Linotype" w:hAnsi="Palatino Linotype" w:cs="Palatino Linotype"/>
          <w:b/>
          <w:bCs/>
          <w:color w:val="000000"/>
        </w:rPr>
        <w:t>EL SUJETO OBLIGADO</w:t>
      </w:r>
      <w:r w:rsidRPr="00E05D09">
        <w:rPr>
          <w:rFonts w:ascii="Palatino Linotype" w:eastAsia="Palatino Linotype" w:hAnsi="Palatino Linotype" w:cs="Palatino Linotype"/>
          <w:color w:val="000000"/>
        </w:rPr>
        <w:t>, se procede a dictar la presente resolución, con base en los siguientes:</w:t>
      </w:r>
    </w:p>
    <w:p w14:paraId="33D90746" w14:textId="77777777" w:rsidR="00B2722B" w:rsidRPr="00E05D09" w:rsidRDefault="00B2722B">
      <w:pPr>
        <w:spacing w:line="360" w:lineRule="auto"/>
        <w:jc w:val="both"/>
        <w:rPr>
          <w:rFonts w:ascii="Palatino Linotype" w:eastAsia="Palatino Linotype" w:hAnsi="Palatino Linotype" w:cs="Palatino Linotype"/>
        </w:rPr>
      </w:pPr>
    </w:p>
    <w:p w14:paraId="27F8E3D8" w14:textId="264B2EEE" w:rsidR="00B2722B" w:rsidRPr="00E05D09" w:rsidRDefault="004425A1">
      <w:pPr>
        <w:keepNext/>
        <w:keepLines/>
        <w:tabs>
          <w:tab w:val="left" w:pos="0"/>
        </w:tabs>
        <w:spacing w:line="360" w:lineRule="auto"/>
        <w:jc w:val="center"/>
        <w:rPr>
          <w:rFonts w:ascii="Palatino Linotype" w:eastAsia="Palatino Linotype" w:hAnsi="Palatino Linotype" w:cs="Palatino Linotype"/>
          <w:b/>
          <w:bCs/>
        </w:rPr>
      </w:pPr>
      <w:bookmarkStart w:id="0" w:name="_heading=h.djk15bwfsoqf" w:colFirst="0" w:colLast="0"/>
      <w:bookmarkEnd w:id="0"/>
      <w:r w:rsidRPr="00E05D09">
        <w:rPr>
          <w:rFonts w:ascii="Palatino Linotype" w:eastAsia="Palatino Linotype" w:hAnsi="Palatino Linotype" w:cs="Palatino Linotype"/>
          <w:b/>
          <w:bCs/>
        </w:rPr>
        <w:t>A</w:t>
      </w:r>
      <w:r w:rsidR="00E05D09">
        <w:rPr>
          <w:rFonts w:ascii="Palatino Linotype" w:eastAsia="Palatino Linotype" w:hAnsi="Palatino Linotype" w:cs="Palatino Linotype"/>
          <w:b/>
          <w:bCs/>
        </w:rPr>
        <w:t xml:space="preserve"> </w:t>
      </w:r>
      <w:r w:rsidRPr="00E05D09">
        <w:rPr>
          <w:rFonts w:ascii="Palatino Linotype" w:eastAsia="Palatino Linotype" w:hAnsi="Palatino Linotype" w:cs="Palatino Linotype"/>
          <w:b/>
          <w:bCs/>
        </w:rPr>
        <w:t>N</w:t>
      </w:r>
      <w:r w:rsidR="00E05D09">
        <w:rPr>
          <w:rFonts w:ascii="Palatino Linotype" w:eastAsia="Palatino Linotype" w:hAnsi="Palatino Linotype" w:cs="Palatino Linotype"/>
          <w:b/>
          <w:bCs/>
        </w:rPr>
        <w:t xml:space="preserve"> </w:t>
      </w:r>
      <w:r w:rsidRPr="00E05D09">
        <w:rPr>
          <w:rFonts w:ascii="Palatino Linotype" w:eastAsia="Palatino Linotype" w:hAnsi="Palatino Linotype" w:cs="Palatino Linotype"/>
          <w:b/>
          <w:bCs/>
        </w:rPr>
        <w:t>T</w:t>
      </w:r>
      <w:r w:rsidR="00E05D09">
        <w:rPr>
          <w:rFonts w:ascii="Palatino Linotype" w:eastAsia="Palatino Linotype" w:hAnsi="Palatino Linotype" w:cs="Palatino Linotype"/>
          <w:b/>
          <w:bCs/>
        </w:rPr>
        <w:t xml:space="preserve"> </w:t>
      </w:r>
      <w:r w:rsidRPr="00E05D09">
        <w:rPr>
          <w:rFonts w:ascii="Palatino Linotype" w:eastAsia="Palatino Linotype" w:hAnsi="Palatino Linotype" w:cs="Palatino Linotype"/>
          <w:b/>
          <w:bCs/>
        </w:rPr>
        <w:t>E</w:t>
      </w:r>
      <w:r w:rsidR="00E05D09">
        <w:rPr>
          <w:rFonts w:ascii="Palatino Linotype" w:eastAsia="Palatino Linotype" w:hAnsi="Palatino Linotype" w:cs="Palatino Linotype"/>
          <w:b/>
          <w:bCs/>
        </w:rPr>
        <w:t xml:space="preserve"> </w:t>
      </w:r>
      <w:r w:rsidRPr="00E05D09">
        <w:rPr>
          <w:rFonts w:ascii="Palatino Linotype" w:eastAsia="Palatino Linotype" w:hAnsi="Palatino Linotype" w:cs="Palatino Linotype"/>
          <w:b/>
          <w:bCs/>
        </w:rPr>
        <w:t>C</w:t>
      </w:r>
      <w:r w:rsidR="00E05D09">
        <w:rPr>
          <w:rFonts w:ascii="Palatino Linotype" w:eastAsia="Palatino Linotype" w:hAnsi="Palatino Linotype" w:cs="Palatino Linotype"/>
          <w:b/>
          <w:bCs/>
        </w:rPr>
        <w:t xml:space="preserve"> </w:t>
      </w:r>
      <w:r w:rsidRPr="00E05D09">
        <w:rPr>
          <w:rFonts w:ascii="Palatino Linotype" w:eastAsia="Palatino Linotype" w:hAnsi="Palatino Linotype" w:cs="Palatino Linotype"/>
          <w:b/>
          <w:bCs/>
        </w:rPr>
        <w:t>E</w:t>
      </w:r>
      <w:r w:rsidR="00E05D09">
        <w:rPr>
          <w:rFonts w:ascii="Palatino Linotype" w:eastAsia="Palatino Linotype" w:hAnsi="Palatino Linotype" w:cs="Palatino Linotype"/>
          <w:b/>
          <w:bCs/>
        </w:rPr>
        <w:t xml:space="preserve"> </w:t>
      </w:r>
      <w:r w:rsidRPr="00E05D09">
        <w:rPr>
          <w:rFonts w:ascii="Palatino Linotype" w:eastAsia="Palatino Linotype" w:hAnsi="Palatino Linotype" w:cs="Palatino Linotype"/>
          <w:b/>
          <w:bCs/>
        </w:rPr>
        <w:t>D</w:t>
      </w:r>
      <w:r w:rsidR="00E05D09">
        <w:rPr>
          <w:rFonts w:ascii="Palatino Linotype" w:eastAsia="Palatino Linotype" w:hAnsi="Palatino Linotype" w:cs="Palatino Linotype"/>
          <w:b/>
          <w:bCs/>
        </w:rPr>
        <w:t xml:space="preserve"> </w:t>
      </w:r>
      <w:r w:rsidRPr="00E05D09">
        <w:rPr>
          <w:rFonts w:ascii="Palatino Linotype" w:eastAsia="Palatino Linotype" w:hAnsi="Palatino Linotype" w:cs="Palatino Linotype"/>
          <w:b/>
          <w:bCs/>
        </w:rPr>
        <w:t>E</w:t>
      </w:r>
      <w:r w:rsidR="00E05D09">
        <w:rPr>
          <w:rFonts w:ascii="Palatino Linotype" w:eastAsia="Palatino Linotype" w:hAnsi="Palatino Linotype" w:cs="Palatino Linotype"/>
          <w:b/>
          <w:bCs/>
        </w:rPr>
        <w:t xml:space="preserve"> </w:t>
      </w:r>
      <w:r w:rsidRPr="00E05D09">
        <w:rPr>
          <w:rFonts w:ascii="Palatino Linotype" w:eastAsia="Palatino Linotype" w:hAnsi="Palatino Linotype" w:cs="Palatino Linotype"/>
          <w:b/>
          <w:bCs/>
        </w:rPr>
        <w:t>N</w:t>
      </w:r>
      <w:r w:rsidR="00E05D09">
        <w:rPr>
          <w:rFonts w:ascii="Palatino Linotype" w:eastAsia="Palatino Linotype" w:hAnsi="Palatino Linotype" w:cs="Palatino Linotype"/>
          <w:b/>
          <w:bCs/>
        </w:rPr>
        <w:t xml:space="preserve"> </w:t>
      </w:r>
      <w:r w:rsidRPr="00E05D09">
        <w:rPr>
          <w:rFonts w:ascii="Palatino Linotype" w:eastAsia="Palatino Linotype" w:hAnsi="Palatino Linotype" w:cs="Palatino Linotype"/>
          <w:b/>
          <w:bCs/>
        </w:rPr>
        <w:t>T</w:t>
      </w:r>
      <w:r w:rsidR="00E05D09">
        <w:rPr>
          <w:rFonts w:ascii="Palatino Linotype" w:eastAsia="Palatino Linotype" w:hAnsi="Palatino Linotype" w:cs="Palatino Linotype"/>
          <w:b/>
          <w:bCs/>
        </w:rPr>
        <w:t xml:space="preserve"> </w:t>
      </w:r>
      <w:r w:rsidRPr="00E05D09">
        <w:rPr>
          <w:rFonts w:ascii="Palatino Linotype" w:eastAsia="Palatino Linotype" w:hAnsi="Palatino Linotype" w:cs="Palatino Linotype"/>
          <w:b/>
          <w:bCs/>
        </w:rPr>
        <w:t>E</w:t>
      </w:r>
      <w:r w:rsidR="00E05D09">
        <w:rPr>
          <w:rFonts w:ascii="Palatino Linotype" w:eastAsia="Palatino Linotype" w:hAnsi="Palatino Linotype" w:cs="Palatino Linotype"/>
          <w:b/>
          <w:bCs/>
        </w:rPr>
        <w:t xml:space="preserve"> </w:t>
      </w:r>
      <w:r w:rsidRPr="00E05D09">
        <w:rPr>
          <w:rFonts w:ascii="Palatino Linotype" w:eastAsia="Palatino Linotype" w:hAnsi="Palatino Linotype" w:cs="Palatino Linotype"/>
          <w:b/>
          <w:bCs/>
        </w:rPr>
        <w:t>S</w:t>
      </w:r>
    </w:p>
    <w:p w14:paraId="1249A007" w14:textId="77777777" w:rsidR="00B2722B" w:rsidRPr="00E05D09" w:rsidRDefault="00B2722B">
      <w:pPr>
        <w:keepNext/>
        <w:keepLines/>
        <w:tabs>
          <w:tab w:val="left" w:pos="0"/>
        </w:tabs>
        <w:spacing w:line="360" w:lineRule="auto"/>
        <w:jc w:val="center"/>
        <w:rPr>
          <w:rFonts w:ascii="Palatino Linotype" w:eastAsia="Palatino Linotype" w:hAnsi="Palatino Linotype" w:cs="Palatino Linotype"/>
          <w:b/>
          <w:bCs/>
        </w:rPr>
      </w:pPr>
    </w:p>
    <w:p w14:paraId="2D8CD5C1" w14:textId="77777777" w:rsidR="00B2722B" w:rsidRPr="00E05D09" w:rsidRDefault="004425A1">
      <w:pPr>
        <w:numPr>
          <w:ilvl w:val="0"/>
          <w:numId w:val="1"/>
        </w:numPr>
        <w:tabs>
          <w:tab w:val="left" w:pos="0"/>
        </w:tabs>
        <w:spacing w:line="360" w:lineRule="auto"/>
        <w:ind w:left="0"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El </w:t>
      </w:r>
      <w:r w:rsidRPr="00E05D09">
        <w:rPr>
          <w:rFonts w:ascii="Palatino Linotype" w:eastAsia="Palatino Linotype" w:hAnsi="Palatino Linotype" w:cs="Palatino Linotype"/>
          <w:b/>
          <w:bCs/>
        </w:rPr>
        <w:t>diecinueve de febrero de dos mil veintiséis</w:t>
      </w:r>
      <w:r w:rsidRPr="00E05D09">
        <w:rPr>
          <w:rFonts w:ascii="Palatino Linotype" w:eastAsia="Palatino Linotype" w:hAnsi="Palatino Linotype" w:cs="Palatino Linotype"/>
        </w:rPr>
        <w:t>, la</w:t>
      </w:r>
      <w:r w:rsidRPr="00E05D09">
        <w:rPr>
          <w:rFonts w:ascii="Palatino Linotype" w:eastAsia="Palatino Linotype" w:hAnsi="Palatino Linotype" w:cs="Palatino Linotype"/>
          <w:b/>
          <w:bCs/>
        </w:rPr>
        <w:t xml:space="preserve"> </w:t>
      </w:r>
      <w:r w:rsidRPr="00E05D09">
        <w:rPr>
          <w:rFonts w:ascii="Palatino Linotype" w:eastAsia="Palatino Linotype" w:hAnsi="Palatino Linotype" w:cs="Palatino Linotype"/>
        </w:rPr>
        <w:t>solicitante</w:t>
      </w:r>
      <w:r w:rsidRPr="00E05D09">
        <w:rPr>
          <w:rFonts w:ascii="Palatino Linotype" w:eastAsia="Palatino Linotype" w:hAnsi="Palatino Linotype" w:cs="Palatino Linotype"/>
          <w:b/>
          <w:bCs/>
        </w:rPr>
        <w:t xml:space="preserve"> </w:t>
      </w:r>
      <w:r w:rsidRPr="00E05D09">
        <w:rPr>
          <w:rFonts w:ascii="Palatino Linotype" w:eastAsia="Palatino Linotype" w:hAnsi="Palatino Linotype" w:cs="Palatino Linotype"/>
        </w:rPr>
        <w:t>presentó</w:t>
      </w:r>
      <w:r w:rsidRPr="00E05D09">
        <w:rPr>
          <w:rFonts w:ascii="Palatino Linotype" w:eastAsia="Palatino Linotype" w:hAnsi="Palatino Linotype" w:cs="Palatino Linotype"/>
          <w:b/>
          <w:bCs/>
        </w:rPr>
        <w:t xml:space="preserve"> </w:t>
      </w:r>
      <w:r w:rsidRPr="00E05D09">
        <w:rPr>
          <w:rFonts w:ascii="Palatino Linotype" w:eastAsia="Palatino Linotype" w:hAnsi="Palatino Linotype" w:cs="Palatino Linotype"/>
        </w:rPr>
        <w:t xml:space="preserve">ante el </w:t>
      </w:r>
      <w:r w:rsidRPr="00E05D09">
        <w:rPr>
          <w:rFonts w:ascii="Palatino Linotype" w:eastAsia="Palatino Linotype" w:hAnsi="Palatino Linotype" w:cs="Palatino Linotype"/>
          <w:b/>
          <w:bCs/>
        </w:rPr>
        <w:t>SUJETO OBLIGADO,</w:t>
      </w:r>
      <w:r w:rsidRPr="00E05D09">
        <w:rPr>
          <w:rFonts w:ascii="Palatino Linotype" w:eastAsia="Palatino Linotype" w:hAnsi="Palatino Linotype" w:cs="Palatino Linotype"/>
        </w:rPr>
        <w:t xml:space="preserve"> a través del Sistema de Acceso a la Información Mexiquense (SAIMEX), la solicitud de información pública registrada con el número </w:t>
      </w:r>
      <w:r w:rsidRPr="00E05D09">
        <w:rPr>
          <w:rFonts w:ascii="Palatino Linotype" w:eastAsia="Palatino Linotype" w:hAnsi="Palatino Linotype" w:cs="Palatino Linotype"/>
          <w:b/>
          <w:bCs/>
        </w:rPr>
        <w:t>00002/DIFTIANGUI/IP/2026</w:t>
      </w:r>
      <w:r w:rsidRPr="00E05D09">
        <w:rPr>
          <w:rFonts w:ascii="Palatino Linotype" w:eastAsia="Palatino Linotype" w:hAnsi="Palatino Linotype" w:cs="Palatino Linotype"/>
        </w:rPr>
        <w:t>, mediante la cual se solicitó:</w:t>
      </w:r>
    </w:p>
    <w:p w14:paraId="53E076C7" w14:textId="77777777" w:rsidR="00B2722B" w:rsidRPr="00E05D09" w:rsidRDefault="00B2722B">
      <w:pPr>
        <w:pBdr>
          <w:top w:val="nil"/>
          <w:left w:val="nil"/>
          <w:bottom w:val="nil"/>
          <w:right w:val="nil"/>
          <w:between w:val="nil"/>
        </w:pBdr>
        <w:tabs>
          <w:tab w:val="left" w:pos="1005"/>
        </w:tabs>
        <w:ind w:left="567" w:right="567"/>
        <w:jc w:val="both"/>
        <w:rPr>
          <w:rFonts w:ascii="Palatino Linotype" w:eastAsia="Palatino Linotype" w:hAnsi="Palatino Linotype" w:cs="Palatino Linotype"/>
          <w:b/>
          <w:bCs/>
          <w:i/>
          <w:iCs/>
          <w:color w:val="000000"/>
        </w:rPr>
      </w:pPr>
    </w:p>
    <w:p w14:paraId="653997EB" w14:textId="77777777" w:rsidR="00B2722B" w:rsidRPr="00E05D09" w:rsidRDefault="004425A1">
      <w:pPr>
        <w:pBdr>
          <w:top w:val="nil"/>
          <w:left w:val="nil"/>
          <w:bottom w:val="nil"/>
          <w:right w:val="nil"/>
          <w:between w:val="nil"/>
        </w:pBdr>
        <w:ind w:left="567" w:right="567"/>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color w:val="000000"/>
        </w:rPr>
        <w:t xml:space="preserve">“Solicitud de información pública Con fundamento en lo dispuesto por la Ley de Transparencia y Acceso a la Información Pública del Estado de México y Municipios, así como en la normativa aplicable en materia de administración pública, contabilidad gubernamental, disciplina financiera, recursos humanos y programas sociales, solicito atentamente la siguiente información correspondiente a los ejercicios fiscales 2025 y 2026, desglosada por área administrativa: 1. Presidencia y Dirección General 1. Estructura orgánica vigente, organigrama autorizado y manual de organización. 2. Manuales de procedimientos vigentes. 3. Planes, programas y proyectos institucionales autorizados. 4. Informes de actividades anuales o trimestrales. 5. Metas, indicadores y resultados de gestión </w:t>
      </w:r>
      <w:r w:rsidRPr="00E05D09">
        <w:rPr>
          <w:rFonts w:ascii="Palatino Linotype" w:eastAsia="Palatino Linotype" w:hAnsi="Palatino Linotype" w:cs="Palatino Linotype"/>
          <w:i/>
          <w:iCs/>
          <w:color w:val="000000"/>
        </w:rPr>
        <w:lastRenderedPageBreak/>
        <w:t xml:space="preserve">institucional. 2. Tesorería 1. Presupuesto autorizado y ejercido por capítulo, concepto y partida del gasto. 2. Estado analítico de ingresos y egresos. 3. Estados financieros (balance general, estado de actividades, flujo de efectivo). 4. Relación de cuentas bancarias activas. 5. Contratos, convenios o instrumentos financieros celebrados. 6. Informes de auditorías internas o externas, así como observaciones y solventaciones. 7. Relación de proveedores y prestadores de servicios. 8. Comprobación de gasto correspondiente a programas sociales. 3. Recursos Humanos 1. Estructura de personal autorizada y ejercida. 2. Plantilla de personal desglosada por área, puesto y tipo de contratación. 3. Perfil de puestos vigente. 4. Relación nominal del personal con: • Cargo o puesto. • Tipo de contratación. • Fecha de ingreso. • Percepciones brutas y netas. • Compensaciones y prestaciones. 5. Tabulador de sueldos y salarios. 6. Contratos por honorarios vigentes. 7. Altas, bajas y movimientos de personal. 8. Manuales y lineamientos internos en materia de recursos humanos. 4. Procuraduría de Protección de Niñas, Niños y Adolescentes 1. Número de expedientes iniciados durante 2025 y 2026. 2. Tipo de asuntos atendidos (violencia familiar, abandono, custodia, adopciones, etc.). 3. Medidas de protección dictadas. 4. Número de asesorías jurídicas y psicológicas brindadas. 5. Informes estadísticos de atención a menores. 6. Protocolos y lineamientos de actuación vigentes. 5. Área de Salud 1. Programas de salud operados. 2. Número de consultas médicas, psicológicas y de rehabilitación otorgadas. 3. Relación de medicamentos, insumos y material médico adquirido. 4. Convenios con instituciones de salud. 5. Informes de campañas de salud realizadas. 6. Atención a Adultos Mayores 1. Programas dirigidos a adultos mayores. 2. Padrón de beneficiarios (versión pública). 3. Tipo de apoyos otorgados. 4. Actividades recreativas, culturales o asistenciales realizadas. 5. Presupuesto asignado y ejercido. 7. Área de Alimentación y Asistencia Social 1. Programas alimentarios operados. 2. Padrón de beneficiarios por programa (versión pública). 3. Reglas de operación de los programas. 4. Relación de proveedores de insumos alimentarios. 5. Presupuesto asignado y ejercido por programa. 6. Informes de distribución de apoyos. 8. Atención a Personas con Discapacidad 1. Programas y servicios dirigidos a personas con discapacidad. 2. Número de beneficiarios atendidos. 3. Tipo de apoyos otorgados. 4. Servicios de rehabilitación brindados. 5. Presupuesto asignado y ejercido. 9. Comunicación Social 1. Presupuesto autorizado y ejercido en comunicación social. 2. Relación de contratos de publicidad, difusión o servicios de comunicación. 3. Campañas institucionales realizadas. 4. Medios de comunicación contratados. 5. Informes de actividades del área. 10. Información General de Personal del DIF (2025–2026) 1. Plantilla completa del personal del DIF. 2. Relación de puestos, cargos y funciones. 3. Remuneraciones brutas y netas de todo el personal. 4. Perfil de cada puesto. 5. Actividades o funciones asignadas por área. 6. Comparativo de la plantilla entre 2025 y 2026. En caso de que la información solicitada contenga datos personales o información clasificada, </w:t>
      </w:r>
      <w:r w:rsidRPr="00E05D09">
        <w:rPr>
          <w:rFonts w:ascii="Palatino Linotype" w:eastAsia="Palatino Linotype" w:hAnsi="Palatino Linotype" w:cs="Palatino Linotype"/>
          <w:i/>
          <w:iCs/>
          <w:color w:val="000000"/>
        </w:rPr>
        <w:lastRenderedPageBreak/>
        <w:t>solicito se entregue la versión pública correspondiente, conforme a la normatividad aplicable. Modalidad de entrega: Formato electrónico a través de la plataforma”. (Sic.)</w:t>
      </w:r>
    </w:p>
    <w:p w14:paraId="6D85F43A" w14:textId="77777777" w:rsidR="00B2722B" w:rsidRPr="00E05D09" w:rsidRDefault="00B2722B">
      <w:pPr>
        <w:tabs>
          <w:tab w:val="left" w:pos="0"/>
        </w:tabs>
        <w:spacing w:line="360" w:lineRule="auto"/>
        <w:ind w:right="49"/>
        <w:jc w:val="both"/>
        <w:rPr>
          <w:rFonts w:ascii="Palatino Linotype" w:eastAsia="Palatino Linotype" w:hAnsi="Palatino Linotype" w:cs="Palatino Linotype"/>
        </w:rPr>
      </w:pPr>
    </w:p>
    <w:p w14:paraId="46F73773"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color w:val="000000"/>
        </w:rPr>
        <w:t>Se hace constar que se señaló como modalidad de entrega de la información a través de SAIMEX.</w:t>
      </w:r>
    </w:p>
    <w:p w14:paraId="151723A7"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p>
    <w:p w14:paraId="33BF6E39" w14:textId="77777777" w:rsidR="00B2722B" w:rsidRPr="00E05D09" w:rsidRDefault="004425A1">
      <w:pPr>
        <w:numPr>
          <w:ilvl w:val="0"/>
          <w:numId w:val="1"/>
        </w:numPr>
        <w:tabs>
          <w:tab w:val="left" w:pos="0"/>
        </w:tabs>
        <w:spacing w:line="360" w:lineRule="auto"/>
        <w:ind w:left="0" w:right="34"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El </w:t>
      </w:r>
      <w:r w:rsidRPr="00E05D09">
        <w:rPr>
          <w:rFonts w:ascii="Palatino Linotype" w:eastAsia="Palatino Linotype" w:hAnsi="Palatino Linotype" w:cs="Palatino Linotype"/>
          <w:b/>
          <w:bCs/>
        </w:rPr>
        <w:t>dieciocho de marzo de dos mil veintiséis</w:t>
      </w:r>
      <w:r w:rsidRPr="00E05D09">
        <w:rPr>
          <w:rFonts w:ascii="Palatino Linotype" w:eastAsia="Palatino Linotype" w:hAnsi="Palatino Linotype" w:cs="Palatino Linotype"/>
        </w:rPr>
        <w:t>, el Sujeto Obligado dio respuesta a la solicitud de información en el siguiente sentido:</w:t>
      </w:r>
    </w:p>
    <w:p w14:paraId="248D9231" w14:textId="77777777" w:rsidR="00B2722B" w:rsidRPr="00E05D09" w:rsidRDefault="004425A1">
      <w:pPr>
        <w:ind w:left="567" w:right="567"/>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“se anexa información” (Sic)</w:t>
      </w:r>
    </w:p>
    <w:p w14:paraId="662E216A" w14:textId="77777777" w:rsidR="00B2722B" w:rsidRPr="00E05D09" w:rsidRDefault="00B2722B">
      <w:pPr>
        <w:tabs>
          <w:tab w:val="left" w:pos="0"/>
        </w:tabs>
        <w:spacing w:line="360" w:lineRule="auto"/>
        <w:ind w:right="34"/>
        <w:jc w:val="both"/>
        <w:rPr>
          <w:rFonts w:ascii="Palatino Linotype" w:eastAsia="Palatino Linotype" w:hAnsi="Palatino Linotype" w:cs="Palatino Linotype"/>
        </w:rPr>
      </w:pPr>
      <w:bookmarkStart w:id="1" w:name="_heading=h.p7ne9jsxvb1e" w:colFirst="0" w:colLast="0"/>
      <w:bookmarkEnd w:id="1"/>
    </w:p>
    <w:p w14:paraId="12C4C184" w14:textId="77777777" w:rsidR="00B2722B" w:rsidRPr="00E05D09" w:rsidRDefault="004425A1">
      <w:pPr>
        <w:tabs>
          <w:tab w:val="left" w:pos="0"/>
        </w:tabs>
        <w:spacing w:line="360" w:lineRule="auto"/>
        <w:ind w:right="34"/>
        <w:jc w:val="both"/>
        <w:rPr>
          <w:rFonts w:ascii="Palatino Linotype" w:eastAsia="Palatino Linotype" w:hAnsi="Palatino Linotype" w:cs="Palatino Linotype"/>
        </w:rPr>
      </w:pPr>
      <w:r w:rsidRPr="00E05D09">
        <w:rPr>
          <w:rFonts w:ascii="Palatino Linotype" w:eastAsia="Palatino Linotype" w:hAnsi="Palatino Linotype" w:cs="Palatino Linotype"/>
        </w:rPr>
        <w:t>Se adjuntaron los siguientes archivos electrónicos:</w:t>
      </w:r>
    </w:p>
    <w:p w14:paraId="2140AEE9" w14:textId="77777777" w:rsidR="00B2722B" w:rsidRPr="00E05D09" w:rsidRDefault="004425A1">
      <w:pPr>
        <w:numPr>
          <w:ilvl w:val="0"/>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CONCENTRADO MENSUAL PRIMERA ENTREGA 2025-combinado (1).pdf: </w:t>
      </w:r>
      <w:r w:rsidRPr="00E05D09">
        <w:rPr>
          <w:rFonts w:ascii="Palatino Linotype" w:eastAsia="Palatino Linotype" w:hAnsi="Palatino Linotype" w:cs="Palatino Linotype"/>
          <w:color w:val="000000"/>
        </w:rPr>
        <w:t>Documento constante de veintidós fojas, del que se advierte el concentrado de entrega y distribución a comités de desayunos escolares fríos correspondientes al Programa “Alimentación Escolar para el Bienestar” otorgados durante el ejercicio fiscal 2025.</w:t>
      </w:r>
    </w:p>
    <w:p w14:paraId="4982DED6" w14:textId="77777777" w:rsidR="00B2722B" w:rsidRPr="00E05D09" w:rsidRDefault="004425A1">
      <w:pPr>
        <w:numPr>
          <w:ilvl w:val="0"/>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CONCENTRADOS MENSUALES (1).pdf: </w:t>
      </w:r>
      <w:r w:rsidRPr="00E05D09">
        <w:rPr>
          <w:rFonts w:ascii="Palatino Linotype" w:eastAsia="Palatino Linotype" w:hAnsi="Palatino Linotype" w:cs="Palatino Linotype"/>
          <w:color w:val="000000"/>
        </w:rPr>
        <w:t>Archivo constante de trece páginas, del que se advierte el Concentrado Mensual de Desayuno Escolar Comunitario del ejercicio fiscal 2025; así como al mes de enero de 2026 correspondiente al Programa “Alimentación Escolar para el Bienestar”.</w:t>
      </w:r>
    </w:p>
    <w:p w14:paraId="3CAB8871" w14:textId="77777777" w:rsidR="00B2722B" w:rsidRPr="00E05D09" w:rsidRDefault="004425A1">
      <w:pPr>
        <w:numPr>
          <w:ilvl w:val="0"/>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00002.pdf: </w:t>
      </w:r>
      <w:r w:rsidRPr="00E05D09">
        <w:rPr>
          <w:rFonts w:ascii="Palatino Linotype" w:eastAsia="Palatino Linotype" w:hAnsi="Palatino Linotype" w:cs="Palatino Linotype"/>
          <w:color w:val="000000"/>
        </w:rPr>
        <w:t>Archivo electrónico constante de ochenta páginas, del que se desprenden los documentos siguientes:</w:t>
      </w:r>
    </w:p>
    <w:p w14:paraId="1B9E2295" w14:textId="77777777" w:rsidR="00B2722B" w:rsidRPr="00E05D09" w:rsidRDefault="004425A1">
      <w:pPr>
        <w:numPr>
          <w:ilvl w:val="1"/>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Oficio SMDIF/UT/031/2026 de fecha veinte de febrero de dos mil veintiséis, suscrito por el Titular </w:t>
      </w:r>
      <w:r w:rsidRPr="00E05D09">
        <w:rPr>
          <w:rFonts w:ascii="Palatino Linotype" w:eastAsia="Palatino Linotype" w:hAnsi="Palatino Linotype" w:cs="Palatino Linotype"/>
        </w:rPr>
        <w:t>Honorífico</w:t>
      </w:r>
      <w:r w:rsidRPr="00E05D09">
        <w:rPr>
          <w:rFonts w:ascii="Palatino Linotype" w:eastAsia="Palatino Linotype" w:hAnsi="Palatino Linotype" w:cs="Palatino Linotype"/>
          <w:color w:val="000000"/>
        </w:rPr>
        <w:t xml:space="preserve"> de la Unidad de Transparencia, mediante el cual requiere la información solicitada por el particular al Encargado de la Casa de la Salud, agregando la solicitud de información.</w:t>
      </w:r>
    </w:p>
    <w:p w14:paraId="1CA16534" w14:textId="77777777" w:rsidR="00B2722B" w:rsidRPr="00E05D09" w:rsidRDefault="004425A1">
      <w:pPr>
        <w:numPr>
          <w:ilvl w:val="1"/>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lastRenderedPageBreak/>
        <w:t>Oficio SMDT/CCS/002/2026 de fecha veintitrés de febrero de dos mil veintiséis, suscrito por el Coordinador de la Casa de la Salud, a través del cual refiere que esa Casa de la Salud no tiene programas de salud, ya que no fungen con el equipamiento necesario para la creación de programas de salud y equipamiento médico de alta tecnología, dando únicamente atención preventiva de primer contacto, precisando que durante el 2025 se dieron 3000 consultas generales y 500 consultas psicológicas, mientras que para el mes de enero de dos mil veintiséis se brindaron 300 consultas generales y 80 consultas psicológicas; así mismo refirió que todo el medicamento adquirido es mediante donaciones de la población; no imite referir que no cuenta con convenios vigentes ni activos con instituciones de salud pública, ni instituciones privadas; además agrega que el 24 de Febrero del 2025 participó en la Caravana de salud para el hombre, el 17 de Marzo en la Caravana de salud para el bienestar de Tianguistenco 2025 y 28 de noviembre del 2025 en la Caravana de Mastografías</w:t>
      </w:r>
    </w:p>
    <w:p w14:paraId="76B442C5" w14:textId="77777777" w:rsidR="00B2722B" w:rsidRPr="00E05D09" w:rsidRDefault="004425A1">
      <w:pPr>
        <w:numPr>
          <w:ilvl w:val="1"/>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Oficio SMDIF/UT/030/2026 de fecha veinte de febrero de dos mil veintiséis, suscrito por el Titular de la Unidad de Transparencia, mediante el cual requiere la información solicitada por el particular, al Coordinador de Comunicación Social, agregando la solicitud de información.</w:t>
      </w:r>
    </w:p>
    <w:p w14:paraId="7C727952" w14:textId="77777777" w:rsidR="00B2722B" w:rsidRPr="00E05D09" w:rsidRDefault="004425A1">
      <w:pPr>
        <w:numPr>
          <w:ilvl w:val="1"/>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Oficio CCS/PDIF/10 de fecha veintitrés de febrero de dos mil veintiséis, suscrito por el Coordinador de Comunicación Social, mediante el cual refirió que el presupuesto autorizado y ejercido durante los ejercicios fiscales 2025 y 2026 no es competencia de esa Coordinación, toda vez que le corresponde a Tesorería, así mismo, refirió que en relación a los contratos de publicidad, dicha información obra en los archivos del área de Administración, precisando que sus acciones </w:t>
      </w:r>
      <w:r w:rsidRPr="00E05D09">
        <w:rPr>
          <w:rFonts w:ascii="Palatino Linotype" w:eastAsia="Palatino Linotype" w:hAnsi="Palatino Linotype" w:cs="Palatino Linotype"/>
          <w:color w:val="000000"/>
        </w:rPr>
        <w:lastRenderedPageBreak/>
        <w:t>consisten en la planeación, elaboración y difusión de información institucional a través de los canales digitales oficiales, específicamente en redes sociales; sin embargo la gestión de la página es competencia directa de Administración; así como la celebración, administración y resguardo de contratos con medios de comunicación; no omite referir que durante el ejercicio fiscal 2025 esta Coordinación presento informe de actividades de manera trimestral, mientras que para el ejercicios fiscal 2026, dichos informes se presentan de manera mensual, destacando las siguientes actividades</w:t>
      </w:r>
    </w:p>
    <w:p w14:paraId="4EA5456F" w14:textId="77777777" w:rsidR="00B2722B" w:rsidRPr="00E05D09" w:rsidRDefault="004425A1">
      <w:pPr>
        <w:numPr>
          <w:ilvl w:val="2"/>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Cobertura de eventos institucionales.</w:t>
      </w:r>
    </w:p>
    <w:p w14:paraId="35659CE6" w14:textId="77777777" w:rsidR="00B2722B" w:rsidRPr="00E05D09" w:rsidRDefault="004425A1">
      <w:pPr>
        <w:numPr>
          <w:ilvl w:val="2"/>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Administración de canales digitales oficiales.</w:t>
      </w:r>
    </w:p>
    <w:p w14:paraId="1640FAC6" w14:textId="77777777" w:rsidR="00B2722B" w:rsidRPr="00E05D09" w:rsidRDefault="004425A1">
      <w:pPr>
        <w:numPr>
          <w:ilvl w:val="2"/>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Producción de contenido audiovisual (fotografía, video, material gráfico y spots institucionales).</w:t>
      </w:r>
    </w:p>
    <w:p w14:paraId="55E141E3" w14:textId="77777777" w:rsidR="00B2722B" w:rsidRPr="00E05D09" w:rsidRDefault="004425A1">
      <w:pPr>
        <w:numPr>
          <w:ilvl w:val="2"/>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Diseño y ejecución de campañas de difusión institucional.</w:t>
      </w:r>
    </w:p>
    <w:p w14:paraId="3DA99800" w14:textId="77777777" w:rsidR="00B2722B" w:rsidRPr="00E05D09" w:rsidRDefault="004425A1">
      <w:pPr>
        <w:numPr>
          <w:ilvl w:val="2"/>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Difusión de programas, servicios y acciones del SMDIF.</w:t>
      </w:r>
    </w:p>
    <w:p w14:paraId="2E391F7A" w14:textId="77777777" w:rsidR="00B2722B" w:rsidRPr="00E05D09" w:rsidRDefault="004425A1">
      <w:pPr>
        <w:numPr>
          <w:ilvl w:val="1"/>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Oficio SMDIF/UT/029/2026 de fecha veinte de febrero de dos mil veintiséis, suscrito por el Titular de la Unidad de Transparencia, mediante el cual requiere la información solicitada por el particular, al Coordinador de Recursos Humanos, agregando la solicitud de información.</w:t>
      </w:r>
    </w:p>
    <w:p w14:paraId="60795F3D" w14:textId="77777777" w:rsidR="00B2722B" w:rsidRPr="00E05D09" w:rsidRDefault="004425A1">
      <w:pPr>
        <w:numPr>
          <w:ilvl w:val="1"/>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Oficio SMDT/RH/0018/2026 de fecha veinticinco de febrero de dos mil veintiséis, suscrito por el Director de Recursos Humanos, mediante el cual remite la información solicitada.</w:t>
      </w:r>
    </w:p>
    <w:p w14:paraId="2B4791C9" w14:textId="77777777" w:rsidR="00B2722B" w:rsidRPr="00E05D09" w:rsidRDefault="004425A1">
      <w:pPr>
        <w:numPr>
          <w:ilvl w:val="2"/>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Organigrama vigente del sistema Municipal para el Desarrollo Integral de la Familia de Tianguistenco</w:t>
      </w:r>
    </w:p>
    <w:p w14:paraId="73B091B3" w14:textId="77777777" w:rsidR="00B2722B" w:rsidRPr="00E05D09" w:rsidRDefault="004425A1">
      <w:pPr>
        <w:numPr>
          <w:ilvl w:val="2"/>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lastRenderedPageBreak/>
        <w:t>Plantilla de Personal del que se advierte el nombre, puesto, área de adscripción, tipo de contratación , perfil de puesto vigente, fecha de ingreso, fecha de baja de ser el caso, compensaciones y prestaciones, contratos por honorarios vigentes y movimiento de personal</w:t>
      </w:r>
    </w:p>
    <w:p w14:paraId="57D27D62" w14:textId="77777777" w:rsidR="00B2722B" w:rsidRPr="00E05D09" w:rsidRDefault="004425A1">
      <w:pPr>
        <w:numPr>
          <w:ilvl w:val="2"/>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 Documento </w:t>
      </w:r>
      <w:r w:rsidRPr="00E05D09">
        <w:rPr>
          <w:rFonts w:ascii="Palatino Linotype" w:eastAsia="Palatino Linotype" w:hAnsi="Palatino Linotype" w:cs="Palatino Linotype"/>
          <w:i/>
          <w:iCs/>
          <w:color w:val="000000"/>
        </w:rPr>
        <w:t xml:space="preserve">ad hoc, </w:t>
      </w:r>
      <w:r w:rsidRPr="00E05D09">
        <w:rPr>
          <w:rFonts w:ascii="Palatino Linotype" w:eastAsia="Palatino Linotype" w:hAnsi="Palatino Linotype" w:cs="Palatino Linotype"/>
          <w:color w:val="000000"/>
        </w:rPr>
        <w:t>del que se advierte el nombre completo del servidor público, percepciones brutas y netas; empero no se establece si las remuneraciones reportadas son quincenales o mensuales, ello aunado a que del documento se advierten 111 servidores públicos, contrario a lo reportan en la Plantilla de Personal, toda vez que en dicho archivo se advierten 139 servidores públicos de entre los cuales se reportaron 21 bajas, dando un total de 118 altas, lo cual no coincide con el documento en mención.</w:t>
      </w:r>
    </w:p>
    <w:p w14:paraId="4120EE18" w14:textId="77777777" w:rsidR="00B2722B" w:rsidRPr="00E05D09" w:rsidRDefault="004425A1">
      <w:pPr>
        <w:numPr>
          <w:ilvl w:val="2"/>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Tabulador de sueldos, del que se advierte el puesto funcional, nivel salarial, número de plazas, si es de confianza, sindicalizado, eventual; así como las dietas, sueldo base, compensación, gratificación, aguinaldo, prima vacacional y el total</w:t>
      </w:r>
    </w:p>
    <w:p w14:paraId="275AF23A" w14:textId="77777777" w:rsidR="00B2722B" w:rsidRPr="00E05D09" w:rsidRDefault="004425A1">
      <w:pPr>
        <w:numPr>
          <w:ilvl w:val="2"/>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Manual de Procedimientos del Departamento de Recursos Humanos Desarrollo Integral de la Familia del Estado de México.</w:t>
      </w:r>
    </w:p>
    <w:p w14:paraId="670B56F0" w14:textId="77777777" w:rsidR="00B2722B" w:rsidRPr="00E05D09" w:rsidRDefault="004425A1">
      <w:pPr>
        <w:numPr>
          <w:ilvl w:val="1"/>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Oficio SMDIF/UT/028/2026 de fecha veinte de febrero de dos mil veintiséis, suscrito por el Titular de la Unidad de Transparencia, mediante el cual requiere la información solicitada por el particular, al Jefe de la UIPPE, agregando la solicitud de información.</w:t>
      </w:r>
    </w:p>
    <w:p w14:paraId="3913140C" w14:textId="77777777" w:rsidR="00B2722B" w:rsidRPr="00E05D09" w:rsidRDefault="004425A1">
      <w:pPr>
        <w:numPr>
          <w:ilvl w:val="1"/>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lastRenderedPageBreak/>
        <w:t>Oficio SMDIF/UT/027/2026 de fecha veinte de febrero de dos mil veintiséis, suscrito por el Titular de la Unidad de Transparencia, mediante el cual requiere la información solicitada por el particular, al Procurador del Sistema Municipal DIF, agregando la solicitud de información.</w:t>
      </w:r>
    </w:p>
    <w:p w14:paraId="2BF4E88D" w14:textId="77777777" w:rsidR="00B2722B" w:rsidRPr="00E05D09" w:rsidRDefault="004425A1">
      <w:pPr>
        <w:numPr>
          <w:ilvl w:val="1"/>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Oficio SMDT/PPNNAS/28/2026 de fecha veintiséis de febrero de dos mil veintiséis, suscrito por el Procurador de Protección de Niñas, Niños y Adolescentes, a través del cual informa que durante el año 2025 se iniciaron 15 expedientes mientras que del uno de enero al diecinueve de febrero de 2026, se iniciaron 2 expedientes, especificando que se encarga de realizar actas informativas y convenios por abandono de hogar, violencia, custodia, pensiones y convivencias, relacionados con niñas, niños y adolescentes, representación en juicos de violencia familiar, reconocimiento de paternidad, pensión alimenticia, divorcios, custodias; así como lo relacionado con el estado civil de las personas y derecho familiar; aclara que las medidas de protección que se utilizan son las que en cada caso en particular se estima convenientes, atendiendo la naturaleza de cada presunta vulneración a un derecho conforme a lo establecido en el artículo 52 de la Ley para la Protección de Niñas, Niños y Adolescentes, de entre las cuales se encuentran convenios de buenos cuidados, convenios de mutuo respeto y vista Ministerios Públicos de ser el caso; así mismo  refirió que en el año 2025 se brindaron 3610 asesorías jurídicas, precisando que esa área lleva a cabo terapias o talleres psicológicos que ordena el juzgado, por lo que no brinda asesorías jurídicas; además refirió que no cuenta con un control estadísticos de sus líneas de acción; no omite mencionar que trabaja en coordinación con la Procuraduría </w:t>
      </w:r>
      <w:r w:rsidRPr="00E05D09">
        <w:rPr>
          <w:rFonts w:ascii="Palatino Linotype" w:eastAsia="Palatino Linotype" w:hAnsi="Palatino Linotype" w:cs="Palatino Linotype"/>
          <w:color w:val="000000"/>
        </w:rPr>
        <w:lastRenderedPageBreak/>
        <w:t>de la entidad; así como de la Federación a efecto de velar por el interés de las niñas, niños y adolescentes.</w:t>
      </w:r>
    </w:p>
    <w:p w14:paraId="6D8A3B0B" w14:textId="77777777" w:rsidR="00B2722B" w:rsidRPr="00E05D09" w:rsidRDefault="004425A1">
      <w:pPr>
        <w:numPr>
          <w:ilvl w:val="1"/>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Oficio SMDIF/UT/026/2026 de fecha veinte de febrero de dos mil veintiséis, suscrito por el Titular de la Unidad de Transparencia, mediante el cual requiere la información solicitada por el particular, a la Coordinadora del URIS, agregando la solicitud de información.</w:t>
      </w:r>
    </w:p>
    <w:p w14:paraId="6B07FC52" w14:textId="77777777" w:rsidR="00B2722B" w:rsidRPr="00E05D09" w:rsidRDefault="004425A1">
      <w:pPr>
        <w:numPr>
          <w:ilvl w:val="1"/>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color w:val="000000"/>
        </w:rPr>
        <w:t>Oficio SMDIF/URIS/030/2026 de fecha 24 d febrero de dos mil veintiséis, suscrito por la coordinadora de la Unidad de Rehabilitación e Integración Social, a través del cual informa que los programas de salud son los siguientes:</w:t>
      </w:r>
    </w:p>
    <w:p w14:paraId="2C67C236" w14:textId="77777777" w:rsidR="00B2722B" w:rsidRPr="00E05D09" w:rsidRDefault="004425A1">
      <w:pPr>
        <w:numPr>
          <w:ilvl w:val="2"/>
          <w:numId w:val="20"/>
        </w:numPr>
        <w:pBdr>
          <w:top w:val="nil"/>
          <w:left w:val="nil"/>
          <w:bottom w:val="nil"/>
          <w:right w:val="nil"/>
          <w:between w:val="nil"/>
        </w:pBdr>
        <w:tabs>
          <w:tab w:val="left" w:pos="0"/>
        </w:tabs>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Toma de signos vitales y Somatometría.</w:t>
      </w:r>
    </w:p>
    <w:p w14:paraId="2392652A" w14:textId="77777777" w:rsidR="00B2722B" w:rsidRPr="00E05D09" w:rsidRDefault="004425A1">
      <w:pPr>
        <w:numPr>
          <w:ilvl w:val="2"/>
          <w:numId w:val="20"/>
        </w:numPr>
        <w:pBdr>
          <w:top w:val="nil"/>
          <w:left w:val="nil"/>
          <w:bottom w:val="nil"/>
          <w:right w:val="nil"/>
          <w:between w:val="nil"/>
        </w:pBdr>
        <w:tabs>
          <w:tab w:val="left" w:pos="0"/>
        </w:tabs>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Programa de Métodos de planificación familiar (otorgamiento gratuito de métodos anticonceptivos)</w:t>
      </w:r>
    </w:p>
    <w:p w14:paraId="423FC40A" w14:textId="77777777" w:rsidR="00B2722B" w:rsidRPr="00E05D09" w:rsidRDefault="004425A1">
      <w:pPr>
        <w:numPr>
          <w:ilvl w:val="2"/>
          <w:numId w:val="20"/>
        </w:numPr>
        <w:pBdr>
          <w:top w:val="nil"/>
          <w:left w:val="nil"/>
          <w:bottom w:val="nil"/>
          <w:right w:val="nil"/>
          <w:between w:val="nil"/>
        </w:pBdr>
        <w:tabs>
          <w:tab w:val="left" w:pos="0"/>
        </w:tabs>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Aplicación de pruebas rápidas de antígeno prostático, Covid 19, Influenza, Hepatitis A Y B. VIH.</w:t>
      </w:r>
    </w:p>
    <w:p w14:paraId="23508DEC" w14:textId="77777777" w:rsidR="00B2722B" w:rsidRPr="00E05D09" w:rsidRDefault="004425A1">
      <w:pPr>
        <w:numPr>
          <w:ilvl w:val="2"/>
          <w:numId w:val="20"/>
        </w:numPr>
        <w:pBdr>
          <w:top w:val="nil"/>
          <w:left w:val="nil"/>
          <w:bottom w:val="nil"/>
          <w:right w:val="nil"/>
          <w:between w:val="nil"/>
        </w:pBdr>
        <w:tabs>
          <w:tab w:val="left" w:pos="0"/>
        </w:tabs>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Detección oportuna de cáncer cervicouterino y mamario (exploración mamaria y toma de citologías).</w:t>
      </w:r>
    </w:p>
    <w:p w14:paraId="64616BDA" w14:textId="77777777" w:rsidR="00B2722B" w:rsidRPr="00E05D09" w:rsidRDefault="004425A1">
      <w:pPr>
        <w:numPr>
          <w:ilvl w:val="2"/>
          <w:numId w:val="20"/>
        </w:numPr>
        <w:pBdr>
          <w:top w:val="nil"/>
          <w:left w:val="nil"/>
          <w:bottom w:val="nil"/>
          <w:right w:val="nil"/>
          <w:between w:val="nil"/>
        </w:pBdr>
        <w:tabs>
          <w:tab w:val="left" w:pos="0"/>
        </w:tabs>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Detección de IRAS y EDAS.</w:t>
      </w:r>
    </w:p>
    <w:p w14:paraId="0873713A" w14:textId="77777777" w:rsidR="00B2722B" w:rsidRPr="00E05D09" w:rsidRDefault="004425A1">
      <w:pPr>
        <w:numPr>
          <w:ilvl w:val="2"/>
          <w:numId w:val="20"/>
        </w:numPr>
        <w:pBdr>
          <w:top w:val="nil"/>
          <w:left w:val="nil"/>
          <w:bottom w:val="nil"/>
          <w:right w:val="nil"/>
          <w:between w:val="nil"/>
        </w:pBdr>
        <w:tabs>
          <w:tab w:val="left" w:pos="0"/>
        </w:tabs>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Atención al menor de 5 años. g) Distribución de desparasitantes.</w:t>
      </w:r>
    </w:p>
    <w:p w14:paraId="4FCB682E" w14:textId="77777777" w:rsidR="00B2722B" w:rsidRPr="00E05D09" w:rsidRDefault="004425A1">
      <w:pPr>
        <w:numPr>
          <w:ilvl w:val="2"/>
          <w:numId w:val="20"/>
        </w:numPr>
        <w:pBdr>
          <w:top w:val="nil"/>
          <w:left w:val="nil"/>
          <w:bottom w:val="nil"/>
          <w:right w:val="nil"/>
          <w:between w:val="nil"/>
        </w:pBdr>
        <w:tabs>
          <w:tab w:val="left" w:pos="0"/>
        </w:tabs>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Tratamientos odontológicos en consultorio fijo.</w:t>
      </w:r>
    </w:p>
    <w:p w14:paraId="496889B2" w14:textId="77777777" w:rsidR="00B2722B" w:rsidRPr="00E05D09" w:rsidRDefault="004425A1">
      <w:pPr>
        <w:numPr>
          <w:ilvl w:val="2"/>
          <w:numId w:val="20"/>
        </w:numPr>
        <w:pBdr>
          <w:top w:val="nil"/>
          <w:left w:val="nil"/>
          <w:bottom w:val="nil"/>
          <w:right w:val="nil"/>
          <w:between w:val="nil"/>
        </w:pBdr>
        <w:tabs>
          <w:tab w:val="left" w:pos="0"/>
        </w:tabs>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Tratamientos odontológicos brindados en las comunidades en Unidad móvil con apoyo de DIFEM.</w:t>
      </w:r>
    </w:p>
    <w:p w14:paraId="4A775B76" w14:textId="77777777" w:rsidR="00B2722B" w:rsidRPr="00E05D09" w:rsidRDefault="004425A1">
      <w:pPr>
        <w:numPr>
          <w:ilvl w:val="2"/>
          <w:numId w:val="20"/>
        </w:numPr>
        <w:pBdr>
          <w:top w:val="nil"/>
          <w:left w:val="nil"/>
          <w:bottom w:val="nil"/>
          <w:right w:val="nil"/>
          <w:between w:val="nil"/>
        </w:pBdr>
        <w:tabs>
          <w:tab w:val="left" w:pos="0"/>
        </w:tabs>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Aplicaciones de flúor a niños, niñas y adolescentes en escuelas del municipio.</w:t>
      </w:r>
    </w:p>
    <w:p w14:paraId="5FFCA9FD" w14:textId="77777777" w:rsidR="00B2722B" w:rsidRPr="00E05D09" w:rsidRDefault="004425A1">
      <w:pPr>
        <w:numPr>
          <w:ilvl w:val="2"/>
          <w:numId w:val="20"/>
        </w:numPr>
        <w:pBdr>
          <w:top w:val="nil"/>
          <w:left w:val="nil"/>
          <w:bottom w:val="nil"/>
          <w:right w:val="nil"/>
          <w:between w:val="nil"/>
        </w:pBdr>
        <w:tabs>
          <w:tab w:val="left" w:pos="0"/>
        </w:tabs>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Expedición de certificados médicos.</w:t>
      </w:r>
    </w:p>
    <w:p w14:paraId="7B122CDE" w14:textId="77777777" w:rsidR="00B2722B" w:rsidRPr="00E05D09" w:rsidRDefault="004425A1">
      <w:pPr>
        <w:numPr>
          <w:ilvl w:val="1"/>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Así mismo refiere que refirió que se han brindado las siguientes consultas:</w:t>
      </w:r>
    </w:p>
    <w:p w14:paraId="03503850" w14:textId="77777777" w:rsidR="00B2722B" w:rsidRPr="00E05D09" w:rsidRDefault="004425A1">
      <w:pPr>
        <w:numPr>
          <w:ilvl w:val="0"/>
          <w:numId w:val="26"/>
        </w:numPr>
        <w:pBdr>
          <w:top w:val="nil"/>
          <w:left w:val="nil"/>
          <w:bottom w:val="nil"/>
          <w:right w:val="nil"/>
          <w:between w:val="nil"/>
        </w:pBdr>
        <w:ind w:left="1843" w:right="3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Medicas 850</w:t>
      </w:r>
    </w:p>
    <w:p w14:paraId="378D0BB0" w14:textId="77777777" w:rsidR="00B2722B" w:rsidRPr="00E05D09" w:rsidRDefault="004425A1">
      <w:pPr>
        <w:numPr>
          <w:ilvl w:val="0"/>
          <w:numId w:val="26"/>
        </w:numPr>
        <w:pBdr>
          <w:top w:val="nil"/>
          <w:left w:val="nil"/>
          <w:bottom w:val="nil"/>
          <w:right w:val="nil"/>
          <w:between w:val="nil"/>
        </w:pBdr>
        <w:ind w:left="1843" w:right="3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Psicológicas 731</w:t>
      </w:r>
    </w:p>
    <w:p w14:paraId="39062260" w14:textId="77777777" w:rsidR="00B2722B" w:rsidRPr="00E05D09" w:rsidRDefault="004425A1">
      <w:pPr>
        <w:numPr>
          <w:ilvl w:val="0"/>
          <w:numId w:val="26"/>
        </w:numPr>
        <w:pBdr>
          <w:top w:val="nil"/>
          <w:left w:val="nil"/>
          <w:bottom w:val="nil"/>
          <w:right w:val="nil"/>
          <w:between w:val="nil"/>
        </w:pBdr>
        <w:ind w:left="1843" w:right="3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lastRenderedPageBreak/>
        <w:t xml:space="preserve">De Rehabilitación 786 </w:t>
      </w:r>
    </w:p>
    <w:p w14:paraId="3B6199A3" w14:textId="77777777" w:rsidR="00B2722B" w:rsidRPr="00E05D09" w:rsidRDefault="00B2722B">
      <w:pPr>
        <w:pBdr>
          <w:top w:val="nil"/>
          <w:left w:val="nil"/>
          <w:bottom w:val="nil"/>
          <w:right w:val="nil"/>
          <w:between w:val="nil"/>
        </w:pBdr>
        <w:ind w:left="1843" w:right="34"/>
        <w:jc w:val="both"/>
        <w:rPr>
          <w:rFonts w:ascii="Palatino Linotype" w:eastAsia="Palatino Linotype" w:hAnsi="Palatino Linotype" w:cs="Palatino Linotype"/>
          <w:color w:val="000000"/>
        </w:rPr>
      </w:pPr>
    </w:p>
    <w:p w14:paraId="2A4FD71C" w14:textId="77777777" w:rsidR="00B2722B" w:rsidRPr="00E05D09" w:rsidRDefault="004425A1">
      <w:pPr>
        <w:numPr>
          <w:ilvl w:val="1"/>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Además agrega que todo lo proporcionado para brindar atención medica es proporcionado por el área de Administración, no omite mencionar que durante los ejercicios fiscales 2025 y 2026 no se han realizado convenios con instituciones de salud, ni mucho menos campañas de salud, solo se han ejecutado 3 jornadas medico odontológicas; además en cuanto a lo solicitado con relación a personas con discapacidad, refiere que los programas otorgados y servicios otorgados son los siguientes:</w:t>
      </w:r>
    </w:p>
    <w:p w14:paraId="53FC1F4B" w14:textId="77777777" w:rsidR="00B2722B" w:rsidRPr="00E05D09" w:rsidRDefault="004425A1">
      <w:pPr>
        <w:tabs>
          <w:tab w:val="left" w:pos="0"/>
        </w:tabs>
        <w:spacing w:line="360" w:lineRule="auto"/>
        <w:ind w:right="34"/>
        <w:jc w:val="both"/>
        <w:rPr>
          <w:rFonts w:ascii="Palatino Linotype" w:eastAsia="Palatino Linotype" w:hAnsi="Palatino Linotype" w:cs="Palatino Linotype"/>
        </w:rPr>
      </w:pPr>
      <w:r w:rsidRPr="00E05D09">
        <w:rPr>
          <w:rFonts w:ascii="Palatino Linotype" w:eastAsia="Palatino Linotype" w:hAnsi="Palatino Linotype" w:cs="Palatino Linotype"/>
        </w:rPr>
        <w:tab/>
      </w:r>
      <w:r w:rsidRPr="00E05D09">
        <w:rPr>
          <w:rFonts w:ascii="Palatino Linotype" w:eastAsia="Palatino Linotype" w:hAnsi="Palatino Linotype" w:cs="Palatino Linotype"/>
        </w:rPr>
        <w:tab/>
        <w:t>Programas</w:t>
      </w:r>
    </w:p>
    <w:p w14:paraId="0A495D16" w14:textId="77777777" w:rsidR="00B2722B" w:rsidRPr="00E05D09" w:rsidRDefault="004425A1">
      <w:pPr>
        <w:numPr>
          <w:ilvl w:val="2"/>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Rehabilitación Basada en la Comunidad, </w:t>
      </w:r>
    </w:p>
    <w:p w14:paraId="3B84CA7E" w14:textId="77777777" w:rsidR="00B2722B" w:rsidRPr="00E05D09" w:rsidRDefault="004425A1">
      <w:pPr>
        <w:numPr>
          <w:ilvl w:val="2"/>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Inclusión de Personas con Discapacidad. </w:t>
      </w:r>
    </w:p>
    <w:p w14:paraId="705911C5" w14:textId="77777777" w:rsidR="00B2722B" w:rsidRPr="00E05D09" w:rsidRDefault="004425A1">
      <w:pPr>
        <w:numPr>
          <w:ilvl w:val="2"/>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Protección de Derechos de Personas con Discapacidad.</w:t>
      </w:r>
    </w:p>
    <w:p w14:paraId="240BB624" w14:textId="77777777" w:rsidR="00B2722B" w:rsidRPr="00E05D09" w:rsidRDefault="004425A1">
      <w:pPr>
        <w:numPr>
          <w:ilvl w:val="2"/>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Ayudas técnicas. </w:t>
      </w:r>
    </w:p>
    <w:p w14:paraId="70575B6A" w14:textId="77777777" w:rsidR="00B2722B" w:rsidRPr="00E05D09" w:rsidRDefault="004425A1">
      <w:pPr>
        <w:numPr>
          <w:ilvl w:val="2"/>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Credencial Nacional para Personas con discapacidad (CRENAPED) </w:t>
      </w:r>
    </w:p>
    <w:p w14:paraId="625AF7A1" w14:textId="77777777" w:rsidR="00B2722B" w:rsidRPr="00E05D09" w:rsidRDefault="004425A1">
      <w:pPr>
        <w:numPr>
          <w:ilvl w:val="2"/>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Expedición de Certificados de Discapacidad. </w:t>
      </w:r>
    </w:p>
    <w:p w14:paraId="56DABAB9" w14:textId="77777777" w:rsidR="00B2722B" w:rsidRPr="00E05D09" w:rsidRDefault="004425A1">
      <w:pPr>
        <w:numPr>
          <w:ilvl w:val="2"/>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Gestión para otorgamiento de Prótesis.</w:t>
      </w:r>
    </w:p>
    <w:p w14:paraId="203A1FE1" w14:textId="77777777" w:rsidR="00B2722B" w:rsidRPr="00E05D09" w:rsidRDefault="004425A1">
      <w:pPr>
        <w:tabs>
          <w:tab w:val="left" w:pos="0"/>
        </w:tabs>
        <w:spacing w:line="360" w:lineRule="auto"/>
        <w:ind w:left="1800" w:right="34"/>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Servicios </w:t>
      </w:r>
    </w:p>
    <w:p w14:paraId="70E5B7F4" w14:textId="77777777" w:rsidR="00B2722B" w:rsidRPr="00E05D09" w:rsidRDefault="004425A1">
      <w:pPr>
        <w:numPr>
          <w:ilvl w:val="2"/>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Terapia Física: hidroterapia, electroterapia, mecanoterapia, programas de casa, masoterapia.</w:t>
      </w:r>
    </w:p>
    <w:p w14:paraId="37CEF4D7" w14:textId="77777777" w:rsidR="00B2722B" w:rsidRPr="00E05D09" w:rsidRDefault="004425A1">
      <w:pPr>
        <w:numPr>
          <w:ilvl w:val="2"/>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Terapia Ocupacional: Estimulación temprana, Integración Sensorial, Programas de casa, Adiestramiento o tratamiento, Enseñanza de uso de bastón, andadera o muletas</w:t>
      </w:r>
    </w:p>
    <w:p w14:paraId="1993B6D9" w14:textId="77777777" w:rsidR="00B2722B" w:rsidRPr="00E05D09" w:rsidRDefault="004425A1">
      <w:pPr>
        <w:numPr>
          <w:ilvl w:val="1"/>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color w:val="000000"/>
        </w:rPr>
        <w:lastRenderedPageBreak/>
        <w:t xml:space="preserve">De lo anterior preciso que se han atendido a 174 pacientes, además de que se han otorgado como apoyos prótesis, muletas, sillas de ruedas, muletas canadienses, bastones, aparatos auditivos, otorgando los siguientes servicios de rehabilitación </w:t>
      </w:r>
    </w:p>
    <w:p w14:paraId="52DA5508" w14:textId="77777777" w:rsidR="00B2722B" w:rsidRPr="00E05D09" w:rsidRDefault="004425A1">
      <w:pPr>
        <w:numPr>
          <w:ilvl w:val="2"/>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Terapia física: 1036</w:t>
      </w:r>
    </w:p>
    <w:p w14:paraId="1CFD0892" w14:textId="77777777" w:rsidR="00B2722B" w:rsidRPr="00E05D09" w:rsidRDefault="004425A1">
      <w:pPr>
        <w:numPr>
          <w:ilvl w:val="2"/>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Hidroterapia: 1804</w:t>
      </w:r>
    </w:p>
    <w:p w14:paraId="323E9BC3" w14:textId="77777777" w:rsidR="00B2722B" w:rsidRPr="00E05D09" w:rsidRDefault="004425A1">
      <w:pPr>
        <w:numPr>
          <w:ilvl w:val="2"/>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Electroterapia: 1549</w:t>
      </w:r>
    </w:p>
    <w:p w14:paraId="26EA4FB3" w14:textId="77777777" w:rsidR="00B2722B" w:rsidRPr="00E05D09" w:rsidRDefault="004425A1">
      <w:pPr>
        <w:numPr>
          <w:ilvl w:val="2"/>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Mecanoterapia: 3139</w:t>
      </w:r>
    </w:p>
    <w:p w14:paraId="060040ED" w14:textId="77777777" w:rsidR="00B2722B" w:rsidRPr="00E05D09" w:rsidRDefault="004425A1">
      <w:pPr>
        <w:numPr>
          <w:ilvl w:val="2"/>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Programas de casa: 377</w:t>
      </w:r>
    </w:p>
    <w:p w14:paraId="52C76EBB" w14:textId="77777777" w:rsidR="00B2722B" w:rsidRPr="00E05D09" w:rsidRDefault="004425A1">
      <w:pPr>
        <w:numPr>
          <w:ilvl w:val="2"/>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Masoterapia: 528</w:t>
      </w:r>
    </w:p>
    <w:p w14:paraId="47EFE356" w14:textId="77777777" w:rsidR="00B2722B" w:rsidRPr="00E05D09" w:rsidRDefault="004425A1">
      <w:pPr>
        <w:numPr>
          <w:ilvl w:val="2"/>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Otros: 189</w:t>
      </w:r>
    </w:p>
    <w:p w14:paraId="58F12731" w14:textId="77777777" w:rsidR="00B2722B" w:rsidRPr="00E05D09" w:rsidRDefault="004425A1">
      <w:pPr>
        <w:numPr>
          <w:ilvl w:val="2"/>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T. ocupacional: 892</w:t>
      </w:r>
    </w:p>
    <w:p w14:paraId="3679718C" w14:textId="77777777" w:rsidR="00B2722B" w:rsidRPr="00E05D09" w:rsidRDefault="004425A1">
      <w:pPr>
        <w:numPr>
          <w:ilvl w:val="2"/>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Estimulación temprana: 94</w:t>
      </w:r>
    </w:p>
    <w:p w14:paraId="6C05CD2A" w14:textId="77777777" w:rsidR="00B2722B" w:rsidRPr="00E05D09" w:rsidRDefault="004425A1">
      <w:pPr>
        <w:numPr>
          <w:ilvl w:val="2"/>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Integración sensorial:</w:t>
      </w:r>
    </w:p>
    <w:p w14:paraId="359CC523" w14:textId="77777777" w:rsidR="00B2722B" w:rsidRPr="00E05D09" w:rsidRDefault="004425A1">
      <w:pPr>
        <w:numPr>
          <w:ilvl w:val="2"/>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Adiestramiento o tratamiento:</w:t>
      </w:r>
    </w:p>
    <w:p w14:paraId="5A439360" w14:textId="77777777" w:rsidR="00B2722B" w:rsidRPr="00E05D09" w:rsidRDefault="004425A1">
      <w:pPr>
        <w:numPr>
          <w:ilvl w:val="2"/>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Enseñanza de uso de bastón, andadera o muletas.</w:t>
      </w:r>
    </w:p>
    <w:p w14:paraId="6D79A489" w14:textId="77777777" w:rsidR="00B2722B" w:rsidRPr="00E05D09" w:rsidRDefault="004425A1">
      <w:pPr>
        <w:numPr>
          <w:ilvl w:val="1"/>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Por lo hace al presupuesto asignado, precisó que esa información se encuentra en el área de Tesorería.</w:t>
      </w:r>
    </w:p>
    <w:p w14:paraId="6EAA13BA" w14:textId="77777777" w:rsidR="00B2722B" w:rsidRPr="00E05D09" w:rsidRDefault="004425A1">
      <w:pPr>
        <w:numPr>
          <w:ilvl w:val="1"/>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Oficio SMDIF/UT/025/2026 de fecha veinte de febrero de dos mil veintiséis, suscrito por el Titular de la Unidad de Transparencia, mediante el cual requiere la información solicitada por el particular, a la Contraloría, agregando la solicitud de información.</w:t>
      </w:r>
    </w:p>
    <w:p w14:paraId="0DC3BF6F" w14:textId="77777777" w:rsidR="00B2722B" w:rsidRPr="00E05D09" w:rsidRDefault="004425A1">
      <w:pPr>
        <w:numPr>
          <w:ilvl w:val="1"/>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lastRenderedPageBreak/>
        <w:t>Oficio CID/044/2026 de fecha veintitrés de febrero de dos mil veintiséis, suscrito por el Contralor Interno a través del cual refirió que le es imposible proporcionar información, toda vez que a su dicho, en la solicitud de información o se le realiza ningún requerimiento.</w:t>
      </w:r>
    </w:p>
    <w:p w14:paraId="2993B85A" w14:textId="77777777" w:rsidR="00B2722B" w:rsidRPr="00E05D09" w:rsidRDefault="004425A1">
      <w:pPr>
        <w:numPr>
          <w:ilvl w:val="1"/>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Oficio SMDIF/UT/024/2026 de fecha veinte de febrero de dos mil veintiséis, suscrito por el Titular de la Unidad de Transparencia, mediante el cual requiere la información solicitada por el particular, al Director de Administración, agregando la solicitud de información.</w:t>
      </w:r>
    </w:p>
    <w:p w14:paraId="231422EC" w14:textId="77777777" w:rsidR="00B2722B" w:rsidRPr="00E05D09" w:rsidRDefault="004425A1">
      <w:pPr>
        <w:numPr>
          <w:ilvl w:val="1"/>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Oficio SMDIF/UT/023/2026 de fecha veinte de febrero de dos mil veintiséis, suscrito por el Titular de la Unidad de Transparencia, mediante el cual requiere la información solicitada por el particular, a la Tesorería, agregando la solicitud de información.</w:t>
      </w:r>
    </w:p>
    <w:p w14:paraId="568C837C" w14:textId="77777777" w:rsidR="00B2722B" w:rsidRPr="00E05D09" w:rsidRDefault="004425A1">
      <w:pPr>
        <w:numPr>
          <w:ilvl w:val="1"/>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Oficio SMDIF/UT/033/2026 de fecha veinte de febrero de dos mil veintiséis, suscrito por el Titular de la Unidad de Transparencia, mediante el cual requiere le sea proporcionada la relación de cambio de Titulares, jefes y/o coordinadores de áreas, a fin de realizar cambios en el Sistema de IPOMEX.</w:t>
      </w:r>
    </w:p>
    <w:p w14:paraId="679D1E63" w14:textId="77777777" w:rsidR="00B2722B" w:rsidRPr="00E05D09" w:rsidRDefault="004425A1">
      <w:pPr>
        <w:numPr>
          <w:ilvl w:val="1"/>
          <w:numId w:val="20"/>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Oficio SMDIF/NUTRICION/046/2026 de fecha veintiséis de febrero de dos mil veintiséis, suscrito por el Coordinador de Nutrición y Orientación Alimentaria, mediante el cual informa que los Programas Alimentarios Operados son los denominados “Desayunos Escolares Fríos” y “Desayunos Escolares Calientes”, beneficiando a 4114 personas a través del primer programa, mientras que a través del Programa de Desayunos Escolares Calientes se han beneficiado a 1298 individuos; así mismo remite el link </w:t>
      </w:r>
      <w:r w:rsidRPr="00E05D09">
        <w:rPr>
          <w:rFonts w:ascii="Palatino Linotype" w:eastAsia="Palatino Linotype" w:hAnsi="Palatino Linotype" w:cs="Palatino Linotype"/>
          <w:noProof/>
          <w:color w:val="000000"/>
        </w:rPr>
        <w:drawing>
          <wp:inline distT="0" distB="0" distL="0" distR="0" wp14:anchorId="655561EB" wp14:editId="179A63F1">
            <wp:extent cx="6513749" cy="23559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513749" cy="235590"/>
                    </a:xfrm>
                    <a:prstGeom prst="rect">
                      <a:avLst/>
                    </a:prstGeom>
                    <a:ln/>
                  </pic:spPr>
                </pic:pic>
              </a:graphicData>
            </a:graphic>
          </wp:inline>
        </w:drawing>
      </w:r>
      <w:r w:rsidRPr="00E05D09">
        <w:rPr>
          <w:rFonts w:ascii="Palatino Linotype" w:eastAsia="Palatino Linotype" w:hAnsi="Palatino Linotype" w:cs="Palatino Linotype"/>
          <w:color w:val="000000"/>
        </w:rPr>
        <w:lastRenderedPageBreak/>
        <w:t>en datos cerrados, del que advierte dirige a las Reglas de Operación del Programa de Desarrollo Social Alimentación para el Bienestar.</w:t>
      </w:r>
    </w:p>
    <w:p w14:paraId="11A39CDA" w14:textId="77777777" w:rsidR="00B2722B" w:rsidRPr="00E05D09" w:rsidRDefault="00B2722B">
      <w:pPr>
        <w:pBdr>
          <w:top w:val="nil"/>
          <w:left w:val="nil"/>
          <w:bottom w:val="nil"/>
          <w:right w:val="nil"/>
          <w:between w:val="nil"/>
        </w:pBdr>
        <w:tabs>
          <w:tab w:val="left" w:pos="0"/>
        </w:tabs>
        <w:spacing w:line="360" w:lineRule="auto"/>
        <w:ind w:left="720" w:right="34"/>
        <w:jc w:val="both"/>
        <w:rPr>
          <w:rFonts w:ascii="Palatino Linotype" w:eastAsia="Palatino Linotype" w:hAnsi="Palatino Linotype" w:cs="Palatino Linotype"/>
          <w:b/>
          <w:bCs/>
          <w:color w:val="000000"/>
        </w:rPr>
      </w:pPr>
    </w:p>
    <w:p w14:paraId="4CC5055A"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El </w:t>
      </w:r>
      <w:r w:rsidRPr="00E05D09">
        <w:rPr>
          <w:rFonts w:ascii="Palatino Linotype" w:eastAsia="Palatino Linotype" w:hAnsi="Palatino Linotype" w:cs="Palatino Linotype"/>
          <w:b/>
          <w:bCs/>
          <w:color w:val="000000"/>
        </w:rPr>
        <w:t>veinticinco de marzo de dos mil veintiséis</w:t>
      </w:r>
      <w:r w:rsidRPr="00E05D09">
        <w:rPr>
          <w:rFonts w:ascii="Palatino Linotype" w:eastAsia="Palatino Linotype" w:hAnsi="Palatino Linotype" w:cs="Palatino Linotype"/>
          <w:color w:val="000000"/>
        </w:rPr>
        <w:t xml:space="preserve">, el solicitante interpuso recurso de revisión en la solicitud de información </w:t>
      </w:r>
      <w:r w:rsidRPr="00E05D09">
        <w:rPr>
          <w:rFonts w:ascii="Palatino Linotype" w:eastAsia="Palatino Linotype" w:hAnsi="Palatino Linotype" w:cs="Palatino Linotype"/>
          <w:b/>
          <w:bCs/>
          <w:color w:val="000000"/>
        </w:rPr>
        <w:t xml:space="preserve">00002/DIFTIANGUI/IP/2026, </w:t>
      </w:r>
      <w:r w:rsidRPr="00E05D09">
        <w:rPr>
          <w:rFonts w:ascii="Palatino Linotype" w:eastAsia="Palatino Linotype" w:hAnsi="Palatino Linotype" w:cs="Palatino Linotype"/>
          <w:color w:val="000000"/>
        </w:rPr>
        <w:t xml:space="preserve">en contra de la respuesta emitida por el </w:t>
      </w:r>
      <w:r w:rsidRPr="00E05D09">
        <w:rPr>
          <w:rFonts w:ascii="Palatino Linotype" w:eastAsia="Palatino Linotype" w:hAnsi="Palatino Linotype" w:cs="Palatino Linotype"/>
          <w:b/>
          <w:bCs/>
          <w:color w:val="000000"/>
        </w:rPr>
        <w:t>SUJETO OBLIGADO</w:t>
      </w:r>
      <w:r w:rsidRPr="00E05D09">
        <w:rPr>
          <w:rFonts w:ascii="Palatino Linotype" w:eastAsia="Palatino Linotype" w:hAnsi="Palatino Linotype" w:cs="Palatino Linotype"/>
          <w:color w:val="000000"/>
        </w:rPr>
        <w:t>, señalando las siguientes razones o motivos de inconformidad:</w:t>
      </w:r>
    </w:p>
    <w:p w14:paraId="3D6B2357" w14:textId="77777777" w:rsidR="00B2722B" w:rsidRPr="00E05D09" w:rsidRDefault="00B2722B">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52378BAF" w14:textId="77777777" w:rsidR="00B2722B" w:rsidRPr="00E05D09" w:rsidRDefault="004425A1" w:rsidP="00E05D09">
      <w:pPr>
        <w:pStyle w:val="Prrafodelista"/>
        <w:numPr>
          <w:ilvl w:val="0"/>
          <w:numId w:val="27"/>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Acto Impugnado</w:t>
      </w:r>
    </w:p>
    <w:p w14:paraId="37F69290" w14:textId="77777777" w:rsidR="00B2722B" w:rsidRPr="00E05D09" w:rsidRDefault="004425A1">
      <w:pPr>
        <w:pBdr>
          <w:top w:val="nil"/>
          <w:left w:val="nil"/>
          <w:bottom w:val="nil"/>
          <w:right w:val="nil"/>
          <w:between w:val="nil"/>
        </w:pBdr>
        <w:spacing w:line="360" w:lineRule="auto"/>
        <w:ind w:left="567"/>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color w:val="000000"/>
        </w:rPr>
        <w:t>“La respuesta entregada de manera incompleta.” (Sic.)</w:t>
      </w:r>
    </w:p>
    <w:p w14:paraId="229B7F42" w14:textId="77777777" w:rsidR="00E05D09" w:rsidRDefault="00E05D09">
      <w:pPr>
        <w:pBdr>
          <w:top w:val="nil"/>
          <w:left w:val="nil"/>
          <w:bottom w:val="nil"/>
          <w:right w:val="nil"/>
          <w:between w:val="nil"/>
        </w:pBdr>
        <w:spacing w:line="360" w:lineRule="auto"/>
        <w:ind w:left="567"/>
        <w:jc w:val="both"/>
        <w:rPr>
          <w:rFonts w:ascii="Palatino Linotype" w:eastAsia="Palatino Linotype" w:hAnsi="Palatino Linotype" w:cs="Palatino Linotype"/>
          <w:b/>
          <w:bCs/>
          <w:color w:val="000000"/>
        </w:rPr>
      </w:pPr>
    </w:p>
    <w:p w14:paraId="09617DED" w14:textId="77777777" w:rsidR="00B2722B" w:rsidRPr="00E05D09" w:rsidRDefault="004425A1" w:rsidP="00E05D09">
      <w:pPr>
        <w:pStyle w:val="Prrafodelista"/>
        <w:numPr>
          <w:ilvl w:val="0"/>
          <w:numId w:val="27"/>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Razones o Motivos de la Inconformidad</w:t>
      </w:r>
    </w:p>
    <w:p w14:paraId="7C2897E1" w14:textId="77777777" w:rsidR="00B2722B" w:rsidRPr="00E05D09" w:rsidRDefault="004425A1">
      <w:pPr>
        <w:pBdr>
          <w:top w:val="nil"/>
          <w:left w:val="nil"/>
          <w:bottom w:val="nil"/>
          <w:right w:val="nil"/>
          <w:between w:val="nil"/>
        </w:pBdr>
        <w:spacing w:line="360" w:lineRule="auto"/>
        <w:ind w:left="567"/>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color w:val="000000"/>
        </w:rPr>
        <w:t>“La respuesta entregada de manera incompleta.” (Sic.)</w:t>
      </w:r>
    </w:p>
    <w:p w14:paraId="3C578814" w14:textId="77777777" w:rsidR="00B2722B" w:rsidRPr="00E05D09" w:rsidRDefault="00B2722B">
      <w:pPr>
        <w:pBdr>
          <w:top w:val="nil"/>
          <w:left w:val="nil"/>
          <w:bottom w:val="nil"/>
          <w:right w:val="nil"/>
          <w:between w:val="nil"/>
        </w:pBdr>
        <w:tabs>
          <w:tab w:val="left" w:pos="851"/>
        </w:tabs>
        <w:spacing w:line="360" w:lineRule="auto"/>
        <w:ind w:left="720" w:right="567"/>
        <w:jc w:val="both"/>
        <w:rPr>
          <w:rFonts w:ascii="Palatino Linotype" w:eastAsia="Palatino Linotype" w:hAnsi="Palatino Linotype" w:cs="Palatino Linotype"/>
          <w:color w:val="000000"/>
        </w:rPr>
      </w:pPr>
    </w:p>
    <w:p w14:paraId="050C2C21" w14:textId="77777777" w:rsidR="00B2722B" w:rsidRPr="00E05D09" w:rsidRDefault="004425A1">
      <w:pPr>
        <w:numPr>
          <w:ilvl w:val="0"/>
          <w:numId w:val="1"/>
        </w:numPr>
        <w:spacing w:line="360" w:lineRule="auto"/>
        <w:ind w:left="0" w:firstLine="0"/>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Ley de Transparencia y Acceso a la Información Pública del Estado de México y Municipios se turnó a la </w:t>
      </w:r>
      <w:r w:rsidRPr="00E05D09">
        <w:rPr>
          <w:rFonts w:ascii="Palatino Linotype" w:eastAsia="Palatino Linotype" w:hAnsi="Palatino Linotype" w:cs="Palatino Linotype"/>
          <w:b/>
          <w:bCs/>
        </w:rPr>
        <w:t>Comisionada María del Rosario Mejía Ayala</w:t>
      </w:r>
      <w:r w:rsidRPr="00E05D09">
        <w:rPr>
          <w:rFonts w:ascii="Palatino Linotype" w:eastAsia="Palatino Linotype" w:hAnsi="Palatino Linotype" w:cs="Palatino Linotype"/>
        </w:rPr>
        <w:t xml:space="preserve"> con el objeto de su análisis.</w:t>
      </w:r>
    </w:p>
    <w:p w14:paraId="3F059EB1" w14:textId="77777777" w:rsidR="00B2722B" w:rsidRPr="00E05D09" w:rsidRDefault="00B2722B">
      <w:pPr>
        <w:spacing w:line="360" w:lineRule="auto"/>
        <w:jc w:val="both"/>
        <w:rPr>
          <w:rFonts w:ascii="Palatino Linotype" w:eastAsia="Palatino Linotype" w:hAnsi="Palatino Linotype" w:cs="Palatino Linotype"/>
          <w:i/>
          <w:iCs/>
          <w:color w:val="000000"/>
        </w:rPr>
      </w:pPr>
    </w:p>
    <w:p w14:paraId="55A5C8B0" w14:textId="77777777" w:rsidR="00B2722B" w:rsidRPr="00E05D09" w:rsidRDefault="004425A1">
      <w:pPr>
        <w:numPr>
          <w:ilvl w:val="0"/>
          <w:numId w:val="1"/>
        </w:numPr>
        <w:spacing w:line="360" w:lineRule="auto"/>
        <w:ind w:left="0" w:firstLine="0"/>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color w:val="000000"/>
        </w:rPr>
        <w:t xml:space="preserve">La Comisionada Ponente con fundamento en lo dispuesto por el artículo 185 </w:t>
      </w:r>
      <w:r w:rsidRPr="00E05D09">
        <w:rPr>
          <w:rFonts w:ascii="Palatino Linotype" w:eastAsia="Palatino Linotype" w:hAnsi="Palatino Linotype" w:cs="Palatino Linotype"/>
        </w:rPr>
        <w:t>fracción</w:t>
      </w:r>
      <w:r w:rsidRPr="00E05D09">
        <w:rPr>
          <w:rFonts w:ascii="Palatino Linotype" w:eastAsia="Palatino Linotype" w:hAnsi="Palatino Linotype" w:cs="Palatino Linotype"/>
          <w:color w:val="000000"/>
        </w:rPr>
        <w:t xml:space="preserve"> II de la ley de la materia, a través del </w:t>
      </w:r>
      <w:r w:rsidRPr="00E05D09">
        <w:rPr>
          <w:rFonts w:ascii="Palatino Linotype" w:eastAsia="Palatino Linotype" w:hAnsi="Palatino Linotype" w:cs="Palatino Linotype"/>
          <w:b/>
          <w:bCs/>
          <w:color w:val="000000"/>
        </w:rPr>
        <w:t xml:space="preserve">acuerdo de admisión </w:t>
      </w:r>
      <w:r w:rsidRPr="00E05D09">
        <w:rPr>
          <w:rFonts w:ascii="Palatino Linotype" w:eastAsia="Palatino Linotype" w:hAnsi="Palatino Linotype" w:cs="Palatino Linotype"/>
          <w:color w:val="000000"/>
        </w:rPr>
        <w:t xml:space="preserve">de fecha </w:t>
      </w:r>
      <w:r w:rsidRPr="00E05D09">
        <w:rPr>
          <w:rFonts w:ascii="Palatino Linotype" w:eastAsia="Palatino Linotype" w:hAnsi="Palatino Linotype" w:cs="Palatino Linotype"/>
          <w:b/>
          <w:bCs/>
          <w:color w:val="000000"/>
        </w:rPr>
        <w:t>veintiséis de marzo de dos mil veintiséis</w:t>
      </w:r>
      <w:r w:rsidRPr="00E05D09">
        <w:rPr>
          <w:rFonts w:ascii="Palatino Linotype" w:eastAsia="Palatino Linotype" w:hAnsi="Palatino Linotype" w:cs="Palatino Linotype"/>
          <w:color w:val="000000"/>
        </w:rPr>
        <w:t xml:space="preserve">, puso a disposición de las partes el expediente electrónico vía SAIMEX a efecto de que en un plazo máximo de siete días manifestaran lo que a su derecho conviniera, ofrecieran pruebas y alegatos según corresponda al caso concreto, de esta forma para que el </w:t>
      </w:r>
      <w:r w:rsidRPr="00E05D09">
        <w:rPr>
          <w:rFonts w:ascii="Palatino Linotype" w:eastAsia="Palatino Linotype" w:hAnsi="Palatino Linotype" w:cs="Palatino Linotype"/>
          <w:b/>
          <w:bCs/>
          <w:color w:val="000000"/>
        </w:rPr>
        <w:t xml:space="preserve">SUJETO OBLIGADO </w:t>
      </w:r>
      <w:r w:rsidRPr="00E05D09">
        <w:rPr>
          <w:rFonts w:ascii="Palatino Linotype" w:eastAsia="Palatino Linotype" w:hAnsi="Palatino Linotype" w:cs="Palatino Linotype"/>
          <w:color w:val="000000"/>
        </w:rPr>
        <w:t>presentara el Informe Justificado procedente.</w:t>
      </w:r>
    </w:p>
    <w:p w14:paraId="7504E132" w14:textId="77777777" w:rsidR="00B2722B" w:rsidRPr="00E05D09" w:rsidRDefault="004425A1">
      <w:pPr>
        <w:numPr>
          <w:ilvl w:val="0"/>
          <w:numId w:val="1"/>
        </w:numPr>
        <w:pBdr>
          <w:top w:val="nil"/>
          <w:left w:val="nil"/>
          <w:bottom w:val="nil"/>
          <w:right w:val="nil"/>
          <w:between w:val="nil"/>
        </w:pBdr>
        <w:tabs>
          <w:tab w:val="left" w:pos="0"/>
        </w:tabs>
        <w:spacing w:line="360" w:lineRule="auto"/>
        <w:ind w:left="0" w:right="-14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lastRenderedPageBreak/>
        <w:t xml:space="preserve">El </w:t>
      </w:r>
      <w:r w:rsidRPr="00E05D09">
        <w:rPr>
          <w:rFonts w:ascii="Palatino Linotype" w:eastAsia="Palatino Linotype" w:hAnsi="Palatino Linotype" w:cs="Palatino Linotype"/>
          <w:b/>
          <w:bCs/>
          <w:color w:val="000000"/>
        </w:rPr>
        <w:t>veinte de agosto de dos mil veinticinco,</w:t>
      </w:r>
      <w:r w:rsidRPr="00E05D09">
        <w:rPr>
          <w:rFonts w:ascii="Palatino Linotype" w:eastAsia="Palatino Linotype" w:hAnsi="Palatino Linotype" w:cs="Palatino Linotype"/>
          <w:color w:val="000000"/>
        </w:rPr>
        <w:t xml:space="preserve"> el </w:t>
      </w:r>
      <w:r w:rsidRPr="00E05D09">
        <w:rPr>
          <w:rFonts w:ascii="Palatino Linotype" w:eastAsia="Palatino Linotype" w:hAnsi="Palatino Linotype" w:cs="Palatino Linotype"/>
          <w:b/>
          <w:bCs/>
          <w:color w:val="000000"/>
        </w:rPr>
        <w:t xml:space="preserve">RECURRENTE, </w:t>
      </w:r>
      <w:r w:rsidRPr="00E05D09">
        <w:rPr>
          <w:rFonts w:ascii="Palatino Linotype" w:eastAsia="Palatino Linotype" w:hAnsi="Palatino Linotype" w:cs="Palatino Linotype"/>
          <w:color w:val="000000"/>
        </w:rPr>
        <w:t>en la etapa de manifestaciones, en el remite las mismas documentales remitidas en respuesta y descritas en el numeral tres de la presente resolución.</w:t>
      </w:r>
    </w:p>
    <w:p w14:paraId="574028A2" w14:textId="77777777" w:rsidR="00B2722B" w:rsidRPr="00E05D09" w:rsidRDefault="00B2722B">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14:paraId="5363B73A" w14:textId="77777777" w:rsidR="00B2722B" w:rsidRPr="00E05D09" w:rsidRDefault="004425A1">
      <w:pPr>
        <w:numPr>
          <w:ilvl w:val="0"/>
          <w:numId w:val="1"/>
        </w:numPr>
        <w:spacing w:line="360" w:lineRule="auto"/>
        <w:ind w:left="0" w:firstLine="0"/>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rPr>
        <w:t xml:space="preserve">De lo anterior el </w:t>
      </w:r>
      <w:r w:rsidRPr="00E05D09">
        <w:rPr>
          <w:rFonts w:ascii="Palatino Linotype" w:eastAsia="Palatino Linotype" w:hAnsi="Palatino Linotype" w:cs="Palatino Linotype"/>
          <w:b/>
          <w:bCs/>
        </w:rPr>
        <w:t xml:space="preserve">SUJETO OLIGADO </w:t>
      </w:r>
      <w:r w:rsidRPr="00E05D09">
        <w:rPr>
          <w:rFonts w:ascii="Palatino Linotype" w:eastAsia="Palatino Linotype" w:hAnsi="Palatino Linotype" w:cs="Palatino Linotype"/>
        </w:rPr>
        <w:t xml:space="preserve">dejó de realizar manifestaciones que a su derecho conviniera y asistiera, respectivamente en el recurso de revisión. </w:t>
      </w:r>
    </w:p>
    <w:p w14:paraId="337906E2" w14:textId="77777777" w:rsidR="00B2722B" w:rsidRPr="00E05D09" w:rsidRDefault="00B2722B">
      <w:pPr>
        <w:spacing w:line="360" w:lineRule="auto"/>
        <w:jc w:val="both"/>
        <w:rPr>
          <w:rFonts w:ascii="Palatino Linotype" w:eastAsia="Palatino Linotype" w:hAnsi="Palatino Linotype" w:cs="Palatino Linotype"/>
          <w:i/>
          <w:iCs/>
          <w:color w:val="000000"/>
        </w:rPr>
      </w:pPr>
    </w:p>
    <w:p w14:paraId="4509EBA3" w14:textId="77777777" w:rsidR="00B2722B" w:rsidRPr="00E05D09" w:rsidRDefault="004425A1">
      <w:pPr>
        <w:numPr>
          <w:ilvl w:val="0"/>
          <w:numId w:val="1"/>
        </w:numPr>
        <w:spacing w:line="360" w:lineRule="auto"/>
        <w:ind w:left="0" w:firstLine="0"/>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rPr>
        <w:t xml:space="preserve">El </w:t>
      </w:r>
      <w:r w:rsidRPr="00E05D09">
        <w:rPr>
          <w:rFonts w:ascii="Palatino Linotype" w:eastAsia="Palatino Linotype" w:hAnsi="Palatino Linotype" w:cs="Palatino Linotype"/>
          <w:b/>
          <w:bCs/>
        </w:rPr>
        <w:t>uno de junio de dos mil veintiséis</w:t>
      </w:r>
      <w:r w:rsidRPr="00E05D09">
        <w:rPr>
          <w:rFonts w:ascii="Palatino Linotype" w:eastAsia="Palatino Linotype" w:hAnsi="Palatino Linotype" w:cs="Palatino Linotype"/>
        </w:rPr>
        <w:t>, se notificó el acuerdo mediante el cual se amplió el plazo para emitir resolución por un término de 15 días adicionales.</w:t>
      </w:r>
    </w:p>
    <w:p w14:paraId="28A19665" w14:textId="77777777" w:rsidR="00B2722B" w:rsidRPr="00E05D09" w:rsidRDefault="00B2722B">
      <w:pPr>
        <w:spacing w:line="360" w:lineRule="auto"/>
        <w:jc w:val="both"/>
        <w:rPr>
          <w:rFonts w:ascii="Palatino Linotype" w:eastAsia="Palatino Linotype" w:hAnsi="Palatino Linotype" w:cs="Palatino Linotype"/>
        </w:rPr>
      </w:pPr>
    </w:p>
    <w:p w14:paraId="5A1373C9" w14:textId="2ACAE46F" w:rsidR="00B2722B" w:rsidRPr="00E05D09" w:rsidRDefault="004425A1">
      <w:pPr>
        <w:numPr>
          <w:ilvl w:val="0"/>
          <w:numId w:val="1"/>
        </w:numPr>
        <w:spacing w:line="360" w:lineRule="auto"/>
        <w:ind w:left="0" w:firstLine="0"/>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rPr>
        <w:t xml:space="preserve">Finalmente, la Comisionada Ponente mediante acuerdo del </w:t>
      </w:r>
      <w:r w:rsidRPr="00E05D09">
        <w:rPr>
          <w:rFonts w:ascii="Palatino Linotype" w:eastAsia="Palatino Linotype" w:hAnsi="Palatino Linotype" w:cs="Palatino Linotype"/>
          <w:b/>
          <w:bCs/>
        </w:rPr>
        <w:t>diecinueve de junio de dos mil veintiséis</w:t>
      </w:r>
      <w:r w:rsidRPr="00E05D09">
        <w:rPr>
          <w:rFonts w:ascii="Palatino Linotype" w:eastAsia="Palatino Linotype" w:hAnsi="Palatino Linotype" w:cs="Palatino Linotype"/>
        </w:rPr>
        <w:t>, decretó el cierre de instrucción del expediente, por lo que no habiendo más que hacer constar, y</w:t>
      </w:r>
    </w:p>
    <w:p w14:paraId="3F4CEF7F" w14:textId="43804C65" w:rsidR="00B2722B" w:rsidRPr="00E05D09" w:rsidRDefault="004425A1">
      <w:pPr>
        <w:keepNext/>
        <w:keepLines/>
        <w:spacing w:line="360" w:lineRule="auto"/>
        <w:jc w:val="center"/>
        <w:rPr>
          <w:rFonts w:ascii="Palatino Linotype" w:eastAsia="Palatino Linotype" w:hAnsi="Palatino Linotype" w:cs="Palatino Linotype"/>
          <w:b/>
          <w:bCs/>
        </w:rPr>
      </w:pPr>
      <w:bookmarkStart w:id="2" w:name="_heading=h.49miyyhiqllo" w:colFirst="0" w:colLast="0"/>
      <w:bookmarkEnd w:id="2"/>
      <w:r w:rsidRPr="00E05D09">
        <w:rPr>
          <w:rFonts w:ascii="Palatino Linotype" w:eastAsia="Palatino Linotype" w:hAnsi="Palatino Linotype" w:cs="Palatino Linotype"/>
          <w:b/>
          <w:bCs/>
        </w:rPr>
        <w:t>C</w:t>
      </w:r>
      <w:r w:rsidR="00E05D09">
        <w:rPr>
          <w:rFonts w:ascii="Palatino Linotype" w:eastAsia="Palatino Linotype" w:hAnsi="Palatino Linotype" w:cs="Palatino Linotype"/>
          <w:b/>
          <w:bCs/>
        </w:rPr>
        <w:t xml:space="preserve"> </w:t>
      </w:r>
      <w:r w:rsidRPr="00E05D09">
        <w:rPr>
          <w:rFonts w:ascii="Palatino Linotype" w:eastAsia="Palatino Linotype" w:hAnsi="Palatino Linotype" w:cs="Palatino Linotype"/>
          <w:b/>
          <w:bCs/>
        </w:rPr>
        <w:t>O</w:t>
      </w:r>
      <w:r w:rsidR="00E05D09">
        <w:rPr>
          <w:rFonts w:ascii="Palatino Linotype" w:eastAsia="Palatino Linotype" w:hAnsi="Palatino Linotype" w:cs="Palatino Linotype"/>
          <w:b/>
          <w:bCs/>
        </w:rPr>
        <w:t xml:space="preserve"> </w:t>
      </w:r>
      <w:r w:rsidRPr="00E05D09">
        <w:rPr>
          <w:rFonts w:ascii="Palatino Linotype" w:eastAsia="Palatino Linotype" w:hAnsi="Palatino Linotype" w:cs="Palatino Linotype"/>
          <w:b/>
          <w:bCs/>
        </w:rPr>
        <w:t>N</w:t>
      </w:r>
      <w:r w:rsidR="00E05D09">
        <w:rPr>
          <w:rFonts w:ascii="Palatino Linotype" w:eastAsia="Palatino Linotype" w:hAnsi="Palatino Linotype" w:cs="Palatino Linotype"/>
          <w:b/>
          <w:bCs/>
        </w:rPr>
        <w:t xml:space="preserve"> </w:t>
      </w:r>
      <w:r w:rsidRPr="00E05D09">
        <w:rPr>
          <w:rFonts w:ascii="Palatino Linotype" w:eastAsia="Palatino Linotype" w:hAnsi="Palatino Linotype" w:cs="Palatino Linotype"/>
          <w:b/>
          <w:bCs/>
        </w:rPr>
        <w:t>S</w:t>
      </w:r>
      <w:r w:rsidR="00E05D09">
        <w:rPr>
          <w:rFonts w:ascii="Palatino Linotype" w:eastAsia="Palatino Linotype" w:hAnsi="Palatino Linotype" w:cs="Palatino Linotype"/>
          <w:b/>
          <w:bCs/>
        </w:rPr>
        <w:t xml:space="preserve"> </w:t>
      </w:r>
      <w:r w:rsidRPr="00E05D09">
        <w:rPr>
          <w:rFonts w:ascii="Palatino Linotype" w:eastAsia="Palatino Linotype" w:hAnsi="Palatino Linotype" w:cs="Palatino Linotype"/>
          <w:b/>
          <w:bCs/>
        </w:rPr>
        <w:t>I</w:t>
      </w:r>
      <w:r w:rsidR="00E05D09">
        <w:rPr>
          <w:rFonts w:ascii="Palatino Linotype" w:eastAsia="Palatino Linotype" w:hAnsi="Palatino Linotype" w:cs="Palatino Linotype"/>
          <w:b/>
          <w:bCs/>
        </w:rPr>
        <w:t xml:space="preserve"> </w:t>
      </w:r>
      <w:r w:rsidRPr="00E05D09">
        <w:rPr>
          <w:rFonts w:ascii="Palatino Linotype" w:eastAsia="Palatino Linotype" w:hAnsi="Palatino Linotype" w:cs="Palatino Linotype"/>
          <w:b/>
          <w:bCs/>
        </w:rPr>
        <w:t>D</w:t>
      </w:r>
      <w:r w:rsidR="00E05D09">
        <w:rPr>
          <w:rFonts w:ascii="Palatino Linotype" w:eastAsia="Palatino Linotype" w:hAnsi="Palatino Linotype" w:cs="Palatino Linotype"/>
          <w:b/>
          <w:bCs/>
        </w:rPr>
        <w:t xml:space="preserve"> </w:t>
      </w:r>
      <w:r w:rsidRPr="00E05D09">
        <w:rPr>
          <w:rFonts w:ascii="Palatino Linotype" w:eastAsia="Palatino Linotype" w:hAnsi="Palatino Linotype" w:cs="Palatino Linotype"/>
          <w:b/>
          <w:bCs/>
        </w:rPr>
        <w:t>E</w:t>
      </w:r>
      <w:r w:rsidR="00E05D09">
        <w:rPr>
          <w:rFonts w:ascii="Palatino Linotype" w:eastAsia="Palatino Linotype" w:hAnsi="Palatino Linotype" w:cs="Palatino Linotype"/>
          <w:b/>
          <w:bCs/>
        </w:rPr>
        <w:t xml:space="preserve"> </w:t>
      </w:r>
      <w:r w:rsidRPr="00E05D09">
        <w:rPr>
          <w:rFonts w:ascii="Palatino Linotype" w:eastAsia="Palatino Linotype" w:hAnsi="Palatino Linotype" w:cs="Palatino Linotype"/>
          <w:b/>
          <w:bCs/>
        </w:rPr>
        <w:t>R</w:t>
      </w:r>
      <w:r w:rsidR="00E05D09">
        <w:rPr>
          <w:rFonts w:ascii="Palatino Linotype" w:eastAsia="Palatino Linotype" w:hAnsi="Palatino Linotype" w:cs="Palatino Linotype"/>
          <w:b/>
          <w:bCs/>
        </w:rPr>
        <w:t xml:space="preserve"> </w:t>
      </w:r>
      <w:r w:rsidRPr="00E05D09">
        <w:rPr>
          <w:rFonts w:ascii="Palatino Linotype" w:eastAsia="Palatino Linotype" w:hAnsi="Palatino Linotype" w:cs="Palatino Linotype"/>
          <w:b/>
          <w:bCs/>
        </w:rPr>
        <w:t>A</w:t>
      </w:r>
      <w:r w:rsidR="00E05D09">
        <w:rPr>
          <w:rFonts w:ascii="Palatino Linotype" w:eastAsia="Palatino Linotype" w:hAnsi="Palatino Linotype" w:cs="Palatino Linotype"/>
          <w:b/>
          <w:bCs/>
        </w:rPr>
        <w:t xml:space="preserve"> </w:t>
      </w:r>
      <w:r w:rsidRPr="00E05D09">
        <w:rPr>
          <w:rFonts w:ascii="Palatino Linotype" w:eastAsia="Palatino Linotype" w:hAnsi="Palatino Linotype" w:cs="Palatino Linotype"/>
          <w:b/>
          <w:bCs/>
        </w:rPr>
        <w:t>N</w:t>
      </w:r>
      <w:r w:rsidR="00E05D09">
        <w:rPr>
          <w:rFonts w:ascii="Palatino Linotype" w:eastAsia="Palatino Linotype" w:hAnsi="Palatino Linotype" w:cs="Palatino Linotype"/>
          <w:b/>
          <w:bCs/>
        </w:rPr>
        <w:t xml:space="preserve"> </w:t>
      </w:r>
      <w:r w:rsidRPr="00E05D09">
        <w:rPr>
          <w:rFonts w:ascii="Palatino Linotype" w:eastAsia="Palatino Linotype" w:hAnsi="Palatino Linotype" w:cs="Palatino Linotype"/>
          <w:b/>
          <w:bCs/>
        </w:rPr>
        <w:t>D</w:t>
      </w:r>
      <w:r w:rsidR="00E05D09">
        <w:rPr>
          <w:rFonts w:ascii="Palatino Linotype" w:eastAsia="Palatino Linotype" w:hAnsi="Palatino Linotype" w:cs="Palatino Linotype"/>
          <w:b/>
          <w:bCs/>
        </w:rPr>
        <w:t xml:space="preserve"> </w:t>
      </w:r>
      <w:r w:rsidRPr="00E05D09">
        <w:rPr>
          <w:rFonts w:ascii="Palatino Linotype" w:eastAsia="Palatino Linotype" w:hAnsi="Palatino Linotype" w:cs="Palatino Linotype"/>
          <w:b/>
          <w:bCs/>
        </w:rPr>
        <w:t>O</w:t>
      </w:r>
      <w:r w:rsidR="00E05D09">
        <w:rPr>
          <w:rFonts w:ascii="Palatino Linotype" w:eastAsia="Palatino Linotype" w:hAnsi="Palatino Linotype" w:cs="Palatino Linotype"/>
          <w:b/>
          <w:bCs/>
        </w:rPr>
        <w:t xml:space="preserve"> </w:t>
      </w:r>
    </w:p>
    <w:p w14:paraId="058CAE03" w14:textId="77777777" w:rsidR="00B2722B" w:rsidRPr="00E05D09" w:rsidRDefault="00B2722B">
      <w:pPr>
        <w:keepNext/>
        <w:keepLines/>
        <w:spacing w:line="360" w:lineRule="auto"/>
        <w:jc w:val="center"/>
        <w:rPr>
          <w:rFonts w:ascii="Palatino Linotype" w:eastAsia="Palatino Linotype" w:hAnsi="Palatino Linotype" w:cs="Palatino Linotype"/>
          <w:b/>
          <w:bCs/>
        </w:rPr>
      </w:pPr>
    </w:p>
    <w:p w14:paraId="00FC5886" w14:textId="77777777" w:rsidR="00B2722B" w:rsidRPr="00E05D09" w:rsidRDefault="004425A1">
      <w:pPr>
        <w:keepNext/>
        <w:keepLines/>
        <w:spacing w:line="360" w:lineRule="auto"/>
        <w:rPr>
          <w:rFonts w:ascii="Palatino Linotype" w:eastAsia="Palatino Linotype" w:hAnsi="Palatino Linotype" w:cs="Palatino Linotype"/>
          <w:b/>
          <w:bCs/>
        </w:rPr>
      </w:pPr>
      <w:bookmarkStart w:id="3" w:name="_heading=h.fw6eyt2aabez" w:colFirst="0" w:colLast="0"/>
      <w:bookmarkEnd w:id="3"/>
      <w:r w:rsidRPr="00E05D09">
        <w:rPr>
          <w:rFonts w:ascii="Palatino Linotype" w:eastAsia="Palatino Linotype" w:hAnsi="Palatino Linotype" w:cs="Palatino Linotype"/>
          <w:b/>
          <w:bCs/>
        </w:rPr>
        <w:t>PRIMERO. De la competencia.</w:t>
      </w:r>
    </w:p>
    <w:p w14:paraId="0EA4F1A1" w14:textId="77777777" w:rsidR="00B2722B" w:rsidRPr="00E05D09" w:rsidRDefault="004425A1">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highlight w:val="white"/>
        </w:rPr>
        <w:t>Es</w:t>
      </w:r>
      <w:bookmarkStart w:id="4" w:name="_GoBack"/>
      <w:bookmarkEnd w:id="4"/>
      <w:r w:rsidRPr="00E05D09">
        <w:rPr>
          <w:rFonts w:ascii="Palatino Linotype" w:eastAsia="Palatino Linotype" w:hAnsi="Palatino Linotype" w:cs="Palatino Linotype"/>
          <w:color w:val="000000"/>
          <w:highlight w:val="white"/>
        </w:rPr>
        <w:t>te Instituto de Transparencia, Acceso a la Información Pública y Protección de Datos Personales del Estado de México y Municipios, es competente para conocer y resolver del presente recurso de conformidad con el artículo: 6, apartado A, fracción IV de la </w:t>
      </w:r>
      <w:r w:rsidRPr="00E05D09">
        <w:rPr>
          <w:rFonts w:ascii="Palatino Linotype" w:eastAsia="Palatino Linotype" w:hAnsi="Palatino Linotype" w:cs="Palatino Linotype"/>
          <w:b/>
          <w:bCs/>
          <w:color w:val="000000"/>
          <w:highlight w:val="white"/>
        </w:rPr>
        <w:t>Constitución Política de los Estados Unidos Mexicanos</w:t>
      </w:r>
      <w:r w:rsidRPr="00E05D09">
        <w:rPr>
          <w:rFonts w:ascii="Palatino Linotype" w:eastAsia="Palatino Linotype" w:hAnsi="Palatino Linotype" w:cs="Palatino Linotype"/>
          <w:color w:val="000000"/>
          <w:highlight w:val="white"/>
        </w:rPr>
        <w:t>; 5, párrafos trigésimo segundo, trigésimo tercero y trigésimo cuarto fracciones IV y V de la </w:t>
      </w:r>
      <w:r w:rsidRPr="00E05D09">
        <w:rPr>
          <w:rFonts w:ascii="Palatino Linotype" w:eastAsia="Palatino Linotype" w:hAnsi="Palatino Linotype" w:cs="Palatino Linotype"/>
          <w:b/>
          <w:bCs/>
          <w:color w:val="000000"/>
          <w:highlight w:val="white"/>
        </w:rPr>
        <w:t>Constitución Política del Estado Libre y Soberano de México</w:t>
      </w:r>
      <w:r w:rsidRPr="00E05D09">
        <w:rPr>
          <w:rFonts w:ascii="Palatino Linotype" w:eastAsia="Palatino Linotype" w:hAnsi="Palatino Linotype" w:cs="Palatino Linotype"/>
          <w:color w:val="000000"/>
          <w:highlight w:val="white"/>
        </w:rPr>
        <w:t>; artículos 1, 2 fracción II, 13, 29, 36 fracciones I y II, 176, 178, 179, 181 párrafo tercero y 185 de la </w:t>
      </w:r>
      <w:r w:rsidRPr="00E05D09">
        <w:rPr>
          <w:rFonts w:ascii="Palatino Linotype" w:eastAsia="Palatino Linotype" w:hAnsi="Palatino Linotype" w:cs="Palatino Linotype"/>
          <w:b/>
          <w:bCs/>
          <w:color w:val="000000"/>
          <w:highlight w:val="white"/>
        </w:rPr>
        <w:t>Ley de Transparencia y Acceso a la Información Pública del Estado de México y Municipios</w:t>
      </w:r>
      <w:r w:rsidRPr="00E05D09">
        <w:rPr>
          <w:rFonts w:ascii="Palatino Linotype" w:eastAsia="Palatino Linotype" w:hAnsi="Palatino Linotype" w:cs="Palatino Linotype"/>
          <w:color w:val="000000"/>
          <w:highlight w:val="white"/>
        </w:rPr>
        <w:t>; y 7, 9 fracciones I y XXIII, y 11 del </w:t>
      </w:r>
      <w:r w:rsidRPr="00E05D09">
        <w:rPr>
          <w:rFonts w:ascii="Palatino Linotype" w:eastAsia="Palatino Linotype" w:hAnsi="Palatino Linotype" w:cs="Palatino Linotype"/>
          <w:b/>
          <w:bCs/>
          <w:color w:val="000000"/>
          <w:highlight w:val="white"/>
        </w:rPr>
        <w:t xml:space="preserve">Reglamento Interior del Instituto de </w:t>
      </w:r>
      <w:r w:rsidRPr="00E05D09">
        <w:rPr>
          <w:rFonts w:ascii="Palatino Linotype" w:eastAsia="Palatino Linotype" w:hAnsi="Palatino Linotype" w:cs="Palatino Linotype"/>
          <w:b/>
          <w:bCs/>
          <w:color w:val="000000"/>
          <w:highlight w:val="white"/>
        </w:rPr>
        <w:lastRenderedPageBreak/>
        <w:t>Transparencia, Acceso a la Información Pública y Protección de Datos Personales del Estado de México y Municipios</w:t>
      </w:r>
      <w:r w:rsidRPr="00E05D09">
        <w:rPr>
          <w:rFonts w:ascii="Palatino Linotype" w:eastAsia="Palatino Linotype" w:hAnsi="Palatino Linotype" w:cs="Palatino Linotype"/>
          <w:color w:val="000000"/>
          <w:highlight w:val="white"/>
        </w:rPr>
        <w:t>.</w:t>
      </w:r>
    </w:p>
    <w:p w14:paraId="68D67318" w14:textId="77777777" w:rsidR="00B2722B" w:rsidRPr="00E05D09" w:rsidRDefault="004425A1">
      <w:pPr>
        <w:keepNext/>
        <w:keepLines/>
        <w:spacing w:line="360" w:lineRule="auto"/>
        <w:rPr>
          <w:rFonts w:ascii="Palatino Linotype" w:eastAsia="Palatino Linotype" w:hAnsi="Palatino Linotype" w:cs="Palatino Linotype"/>
          <w:b/>
          <w:bCs/>
        </w:rPr>
      </w:pPr>
      <w:bookmarkStart w:id="5" w:name="_heading=h.7s42d3322ez1" w:colFirst="0" w:colLast="0"/>
      <w:bookmarkEnd w:id="5"/>
      <w:r w:rsidRPr="00E05D09">
        <w:rPr>
          <w:rFonts w:ascii="Palatino Linotype" w:eastAsia="Palatino Linotype" w:hAnsi="Palatino Linotype" w:cs="Palatino Linotype"/>
          <w:b/>
          <w:bCs/>
        </w:rPr>
        <w:t>SEGUNDO. De la oportunidad y procedencia.</w:t>
      </w:r>
    </w:p>
    <w:p w14:paraId="55962359" w14:textId="77777777" w:rsidR="00B2722B" w:rsidRPr="00E05D09" w:rsidRDefault="004425A1">
      <w:pPr>
        <w:numPr>
          <w:ilvl w:val="0"/>
          <w:numId w:val="1"/>
        </w:numPr>
        <w:spacing w:line="360" w:lineRule="auto"/>
        <w:ind w:left="0" w:right="48"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El medio de impugnación fue presentado a través del </w:t>
      </w:r>
      <w:r w:rsidRPr="00E05D09">
        <w:rPr>
          <w:rFonts w:ascii="Palatino Linotype" w:eastAsia="Palatino Linotype" w:hAnsi="Palatino Linotype" w:cs="Palatino Linotype"/>
          <w:b/>
          <w:bCs/>
        </w:rPr>
        <w:t>SAIMEX,</w:t>
      </w:r>
      <w:r w:rsidRPr="00E05D09">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E05D09">
        <w:rPr>
          <w:rFonts w:ascii="Palatino Linotype" w:eastAsia="Palatino Linotype" w:hAnsi="Palatino Linotype" w:cs="Palatino Linotype"/>
          <w:b/>
          <w:bCs/>
        </w:rPr>
        <w:t>SUJETO OBLIGADO</w:t>
      </w:r>
      <w:r w:rsidRPr="00E05D09">
        <w:rPr>
          <w:rFonts w:ascii="Palatino Linotype" w:eastAsia="Palatino Linotype" w:hAnsi="Palatino Linotype" w:cs="Palatino Linotype"/>
        </w:rPr>
        <w:t xml:space="preserve"> entregó respuesta el día </w:t>
      </w:r>
      <w:r w:rsidRPr="00E05D09">
        <w:rPr>
          <w:rFonts w:ascii="Palatino Linotype" w:eastAsia="Palatino Linotype" w:hAnsi="Palatino Linotype" w:cs="Palatino Linotype"/>
          <w:b/>
          <w:bCs/>
        </w:rPr>
        <w:t>dieciocho de marzo de dos mil veintiséis</w:t>
      </w:r>
      <w:r w:rsidRPr="00E05D09">
        <w:rPr>
          <w:rFonts w:ascii="Palatino Linotype" w:eastAsia="Palatino Linotype" w:hAnsi="Palatino Linotype" w:cs="Palatino Linotype"/>
        </w:rPr>
        <w:t xml:space="preserve">, de tal forma que el plazo para interponer el recurso transcurrió del </w:t>
      </w:r>
      <w:r w:rsidRPr="00E05D09">
        <w:rPr>
          <w:rFonts w:ascii="Palatino Linotype" w:eastAsia="Palatino Linotype" w:hAnsi="Palatino Linotype" w:cs="Palatino Linotype"/>
          <w:b/>
          <w:bCs/>
        </w:rPr>
        <w:t>diecinueve de marzo al quince de abril de dos mil veintiséis</w:t>
      </w:r>
      <w:r w:rsidRPr="00E05D09">
        <w:rPr>
          <w:rFonts w:ascii="Palatino Linotype" w:eastAsia="Palatino Linotype" w:hAnsi="Palatino Linotype" w:cs="Palatino Linotype"/>
        </w:rPr>
        <w:t xml:space="preserve">, de acuerdo al calendario oficial del Instituto de Transparencia del Estado de México y Municipios; en consecuencia, si el particular presentó su inconformidad el día </w:t>
      </w:r>
      <w:r w:rsidRPr="00E05D09">
        <w:rPr>
          <w:rFonts w:ascii="Palatino Linotype" w:eastAsia="Palatino Linotype" w:hAnsi="Palatino Linotype" w:cs="Palatino Linotype"/>
          <w:b/>
          <w:bCs/>
        </w:rPr>
        <w:t>veinticinco de marzo de dos mil veintiséis</w:t>
      </w:r>
      <w:r w:rsidRPr="00E05D09">
        <w:rPr>
          <w:rFonts w:ascii="Palatino Linotype" w:eastAsia="Palatino Linotype" w:hAnsi="Palatino Linotype" w:cs="Palatino Linotype"/>
        </w:rPr>
        <w:t xml:space="preserve">, se encuentra dentro de los márgenes temporales previstos en el artículo 178 de la </w:t>
      </w:r>
      <w:r w:rsidRPr="00E05D09">
        <w:rPr>
          <w:rFonts w:ascii="Palatino Linotype" w:eastAsia="Palatino Linotype" w:hAnsi="Palatino Linotype" w:cs="Palatino Linotype"/>
          <w:b/>
          <w:bCs/>
        </w:rPr>
        <w:t xml:space="preserve">Ley de Transparencia y Acceso a la Información Pública del Estado de México y Municipios </w:t>
      </w:r>
      <w:r w:rsidRPr="00E05D09">
        <w:rPr>
          <w:rFonts w:ascii="Palatino Linotype" w:eastAsia="Palatino Linotype" w:hAnsi="Palatino Linotype" w:cs="Palatino Linotype"/>
        </w:rPr>
        <w:t xml:space="preserve">vigente. </w:t>
      </w:r>
    </w:p>
    <w:p w14:paraId="7BD6E97E" w14:textId="77777777" w:rsidR="00B2722B" w:rsidRPr="00E05D09" w:rsidRDefault="00B2722B">
      <w:pPr>
        <w:spacing w:line="360" w:lineRule="auto"/>
        <w:ind w:right="48"/>
        <w:jc w:val="both"/>
        <w:rPr>
          <w:rFonts w:ascii="Palatino Linotype" w:eastAsia="Palatino Linotype" w:hAnsi="Palatino Linotype" w:cs="Palatino Linotype"/>
        </w:rPr>
      </w:pPr>
    </w:p>
    <w:p w14:paraId="7EC870A5" w14:textId="77777777" w:rsidR="00B2722B" w:rsidRPr="00E05D09" w:rsidRDefault="004425A1">
      <w:pPr>
        <w:numPr>
          <w:ilvl w:val="0"/>
          <w:numId w:val="1"/>
        </w:numPr>
        <w:spacing w:line="360" w:lineRule="auto"/>
        <w:ind w:left="0" w:right="49" w:firstLine="0"/>
        <w:jc w:val="both"/>
        <w:rPr>
          <w:rFonts w:ascii="Palatino Linotype" w:eastAsia="Palatino Linotype" w:hAnsi="Palatino Linotype" w:cs="Palatino Linotype"/>
          <w:b/>
          <w:bCs/>
        </w:rPr>
      </w:pPr>
      <w:r w:rsidRPr="00E05D09">
        <w:rPr>
          <w:rFonts w:ascii="Palatino Linotype" w:eastAsia="Palatino Linotype" w:hAnsi="Palatino Linotype" w:cs="Palatino Linotype"/>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A965D1B" w14:textId="77777777" w:rsidR="00B2722B" w:rsidRPr="00E05D09" w:rsidRDefault="00B2722B">
      <w:pPr>
        <w:pBdr>
          <w:top w:val="nil"/>
          <w:left w:val="nil"/>
          <w:bottom w:val="nil"/>
          <w:right w:val="nil"/>
          <w:between w:val="nil"/>
        </w:pBdr>
        <w:ind w:left="720"/>
        <w:rPr>
          <w:rFonts w:ascii="Palatino Linotype" w:eastAsia="Palatino Linotype" w:hAnsi="Palatino Linotype" w:cs="Palatino Linotype"/>
          <w:b/>
          <w:bCs/>
          <w:color w:val="000000"/>
        </w:rPr>
      </w:pPr>
    </w:p>
    <w:p w14:paraId="257EB5B1" w14:textId="77777777" w:rsidR="00B2722B" w:rsidRPr="00E05D09" w:rsidRDefault="004425A1">
      <w:pPr>
        <w:keepNext/>
        <w:keepLines/>
        <w:spacing w:line="360" w:lineRule="auto"/>
        <w:ind w:right="48"/>
        <w:rPr>
          <w:rFonts w:ascii="Palatino Linotype" w:eastAsia="Palatino Linotype" w:hAnsi="Palatino Linotype" w:cs="Palatino Linotype"/>
          <w:b/>
          <w:bCs/>
        </w:rPr>
      </w:pPr>
      <w:bookmarkStart w:id="6" w:name="_heading=h.eontmkh83wqr" w:colFirst="0" w:colLast="0"/>
      <w:bookmarkEnd w:id="6"/>
      <w:r w:rsidRPr="00E05D09">
        <w:rPr>
          <w:rFonts w:ascii="Palatino Linotype" w:eastAsia="Palatino Linotype" w:hAnsi="Palatino Linotype" w:cs="Palatino Linotype"/>
          <w:b/>
          <w:bCs/>
        </w:rPr>
        <w:t>TERCERO. Planteamiento de la Litis.</w:t>
      </w:r>
    </w:p>
    <w:p w14:paraId="56F11CEE" w14:textId="77777777" w:rsidR="00B2722B" w:rsidRPr="00E05D09" w:rsidRDefault="004425A1">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color w:val="000000"/>
        </w:rPr>
        <w:t xml:space="preserve">El particular solicito de los </w:t>
      </w:r>
      <w:r w:rsidRPr="00E05D09">
        <w:rPr>
          <w:rFonts w:ascii="Palatino Linotype" w:eastAsia="Palatino Linotype" w:hAnsi="Palatino Linotype" w:cs="Palatino Linotype"/>
          <w:b/>
          <w:bCs/>
          <w:color w:val="000000"/>
        </w:rPr>
        <w:t>ejercicios fiscales 2025 y 2026 lo siguiente:</w:t>
      </w:r>
    </w:p>
    <w:p w14:paraId="5BD4C2E8" w14:textId="77777777" w:rsidR="00B2722B" w:rsidRPr="00E05D09" w:rsidRDefault="004425A1">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Presidencia y Dirección General </w:t>
      </w:r>
    </w:p>
    <w:p w14:paraId="0C461DF8"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Estructura orgánica vigente, </w:t>
      </w:r>
    </w:p>
    <w:p w14:paraId="78F864D8"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Organigrama autorizado </w:t>
      </w:r>
    </w:p>
    <w:p w14:paraId="6C41A3AF"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lastRenderedPageBreak/>
        <w:t xml:space="preserve">Manual de organización. </w:t>
      </w:r>
    </w:p>
    <w:p w14:paraId="2D315C19"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Manuales de procedimientos vigentes. </w:t>
      </w:r>
    </w:p>
    <w:p w14:paraId="59A6F7BC"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Planes, programas y proyectos institucionales autorizados. </w:t>
      </w:r>
    </w:p>
    <w:p w14:paraId="757ABA2A"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Informes de actividades anuales o trimestrales. </w:t>
      </w:r>
    </w:p>
    <w:p w14:paraId="0044D96B"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Metas, indicadores y resultados de gestión institucional.</w:t>
      </w:r>
    </w:p>
    <w:p w14:paraId="6C559098" w14:textId="77777777" w:rsidR="00B2722B" w:rsidRPr="00E05D09" w:rsidRDefault="004425A1">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Tesorería </w:t>
      </w:r>
    </w:p>
    <w:p w14:paraId="2999164D"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Presupuesto autorizado y ejercido por capítulo, concepto y partida del gasto. </w:t>
      </w:r>
    </w:p>
    <w:p w14:paraId="70F94C3B"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Estado analítico de ingresos y egresos. </w:t>
      </w:r>
    </w:p>
    <w:p w14:paraId="26EE5F7B"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Estados financieros (balance general, estado de actividades, flujo de efectivo). </w:t>
      </w:r>
    </w:p>
    <w:p w14:paraId="21D1C8D4"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Relación de cuentas bancarias activas. </w:t>
      </w:r>
    </w:p>
    <w:p w14:paraId="08122A03"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Contratos, convenios o instrumentos financieros celebrados. </w:t>
      </w:r>
    </w:p>
    <w:p w14:paraId="3BE26305"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Informes de auditorías internas o externas, así como observaciones y solventaciones. </w:t>
      </w:r>
    </w:p>
    <w:p w14:paraId="76FD9DEA"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Relación de proveedores y prestadores de servicios. </w:t>
      </w:r>
    </w:p>
    <w:p w14:paraId="7AA017CF"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Comprobación de gasto correspondiente a programas sociales. </w:t>
      </w:r>
    </w:p>
    <w:p w14:paraId="6ABE5F80" w14:textId="77777777" w:rsidR="00B2722B" w:rsidRPr="00E05D09" w:rsidRDefault="004425A1">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Recursos Humanos</w:t>
      </w:r>
    </w:p>
    <w:p w14:paraId="2462A2B8"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Estructura de personal autorizada y ejercida. </w:t>
      </w:r>
    </w:p>
    <w:p w14:paraId="770931ED"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Plantilla de personal desglosada por área, puesto y tipo de contratación. </w:t>
      </w:r>
    </w:p>
    <w:p w14:paraId="36CD3D12"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Perfil de puestos vigente.</w:t>
      </w:r>
    </w:p>
    <w:p w14:paraId="7AACABA2"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Relación nominal del personal con: </w:t>
      </w:r>
    </w:p>
    <w:p w14:paraId="4D416CB9" w14:textId="77777777" w:rsidR="00B2722B" w:rsidRPr="00E05D09" w:rsidRDefault="004425A1">
      <w:pPr>
        <w:numPr>
          <w:ilvl w:val="2"/>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Cargo o puesto. </w:t>
      </w:r>
    </w:p>
    <w:p w14:paraId="61F4CD3F" w14:textId="77777777" w:rsidR="00B2722B" w:rsidRPr="00E05D09" w:rsidRDefault="004425A1">
      <w:pPr>
        <w:numPr>
          <w:ilvl w:val="2"/>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Tipo de contratación. </w:t>
      </w:r>
    </w:p>
    <w:p w14:paraId="0772D424" w14:textId="77777777" w:rsidR="00B2722B" w:rsidRPr="00E05D09" w:rsidRDefault="004425A1">
      <w:pPr>
        <w:numPr>
          <w:ilvl w:val="2"/>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Fecha de ingreso. </w:t>
      </w:r>
    </w:p>
    <w:p w14:paraId="5B410BEB" w14:textId="77777777" w:rsidR="00B2722B" w:rsidRPr="00E05D09" w:rsidRDefault="004425A1">
      <w:pPr>
        <w:numPr>
          <w:ilvl w:val="2"/>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Percepciones brutas y netas.</w:t>
      </w:r>
    </w:p>
    <w:p w14:paraId="697321F7" w14:textId="77777777" w:rsidR="00B2722B" w:rsidRPr="00E05D09" w:rsidRDefault="004425A1">
      <w:pPr>
        <w:numPr>
          <w:ilvl w:val="2"/>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lastRenderedPageBreak/>
        <w:t xml:space="preserve">Compensaciones y prestaciones. </w:t>
      </w:r>
    </w:p>
    <w:p w14:paraId="00EAFAA5"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Tabulador de sueldos y salarios. </w:t>
      </w:r>
    </w:p>
    <w:p w14:paraId="519E2D5C"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Contratos por honorarios vigentes. </w:t>
      </w:r>
    </w:p>
    <w:p w14:paraId="3C3EFCB6"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Altas, bajas y movimientos de personal.</w:t>
      </w:r>
    </w:p>
    <w:p w14:paraId="5771B2B3"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Manuales y lineamientos internos en materia de recursos humanos. </w:t>
      </w:r>
    </w:p>
    <w:p w14:paraId="3FE15C09" w14:textId="77777777" w:rsidR="00B2722B" w:rsidRPr="00E05D09" w:rsidRDefault="004425A1">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Procuraduría de Protección de Niñas, Niños y Adolescentes </w:t>
      </w:r>
    </w:p>
    <w:p w14:paraId="4394AB66"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Número de expedientes iniciados</w:t>
      </w:r>
    </w:p>
    <w:p w14:paraId="398031A3"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Tipo de asuntos atendidos (violencia familiar, abandono, custodia, adopciones, etc.). </w:t>
      </w:r>
    </w:p>
    <w:p w14:paraId="05FCFBEE"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Medidas de protección dictadas. </w:t>
      </w:r>
    </w:p>
    <w:p w14:paraId="55599866"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Número de asesorías jurídicas y psicológicas brindadas. </w:t>
      </w:r>
    </w:p>
    <w:p w14:paraId="69387112"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Informes estadísticos de atención a menores</w:t>
      </w:r>
    </w:p>
    <w:p w14:paraId="3556AE95"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Protocolos y lineamientos de actuación vigentes.</w:t>
      </w:r>
    </w:p>
    <w:p w14:paraId="59746B4F" w14:textId="77777777" w:rsidR="00B2722B" w:rsidRPr="00E05D09" w:rsidRDefault="00B2722B">
      <w:pPr>
        <w:pBdr>
          <w:top w:val="nil"/>
          <w:left w:val="nil"/>
          <w:bottom w:val="nil"/>
          <w:right w:val="nil"/>
          <w:between w:val="nil"/>
        </w:pBdr>
        <w:spacing w:line="360" w:lineRule="auto"/>
        <w:ind w:left="426"/>
        <w:jc w:val="both"/>
        <w:rPr>
          <w:rFonts w:ascii="Palatino Linotype" w:eastAsia="Palatino Linotype" w:hAnsi="Palatino Linotype" w:cs="Palatino Linotype"/>
          <w:b/>
          <w:bCs/>
          <w:color w:val="000000"/>
        </w:rPr>
      </w:pPr>
    </w:p>
    <w:p w14:paraId="6245A617" w14:textId="77777777" w:rsidR="00B2722B" w:rsidRPr="00E05D09" w:rsidRDefault="004425A1">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Área de Salud </w:t>
      </w:r>
    </w:p>
    <w:p w14:paraId="2501ABE1"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Programas de salud operados. </w:t>
      </w:r>
    </w:p>
    <w:p w14:paraId="4C2BA351"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Número de consultas médicas, psicológicas y de rehabilitación otorgadas. </w:t>
      </w:r>
    </w:p>
    <w:p w14:paraId="41252654"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Relación de medicamentos, insumos y material médico adquirido.</w:t>
      </w:r>
    </w:p>
    <w:p w14:paraId="493C3E6E"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Convenios con instituciones de salud. </w:t>
      </w:r>
    </w:p>
    <w:p w14:paraId="2733DA9A"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Informes de campañas de salud realizadas. </w:t>
      </w:r>
    </w:p>
    <w:p w14:paraId="0B561B38" w14:textId="77777777" w:rsidR="00B2722B" w:rsidRPr="00E05D09" w:rsidRDefault="004425A1">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Atención a Adultos Mayores </w:t>
      </w:r>
    </w:p>
    <w:p w14:paraId="015EDB96"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Programas </w:t>
      </w:r>
    </w:p>
    <w:p w14:paraId="2F1AAB5C"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Padrón de beneficiarios (versión pública). </w:t>
      </w:r>
    </w:p>
    <w:p w14:paraId="2D2CC629"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Tipo de apoyos otorgados. </w:t>
      </w:r>
    </w:p>
    <w:p w14:paraId="29BADACA"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lastRenderedPageBreak/>
        <w:t xml:space="preserve">Actividades recreativas, culturales o asistenciales realizadas. </w:t>
      </w:r>
    </w:p>
    <w:p w14:paraId="006848F2"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Presupuesto asignado y ejercido. </w:t>
      </w:r>
    </w:p>
    <w:p w14:paraId="3BC327AC" w14:textId="77777777" w:rsidR="00B2722B" w:rsidRPr="00E05D09" w:rsidRDefault="004425A1">
      <w:pPr>
        <w:numPr>
          <w:ilvl w:val="0"/>
          <w:numId w:val="2"/>
        </w:numPr>
        <w:pBdr>
          <w:top w:val="nil"/>
          <w:left w:val="nil"/>
          <w:bottom w:val="nil"/>
          <w:right w:val="nil"/>
          <w:between w:val="nil"/>
        </w:pBdr>
        <w:spacing w:line="360" w:lineRule="auto"/>
        <w:ind w:left="426" w:firstLine="0"/>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Área de Alimentación y Asistencia Social </w:t>
      </w:r>
    </w:p>
    <w:p w14:paraId="48D5B2B6"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Programas alimentarios operados. </w:t>
      </w:r>
    </w:p>
    <w:p w14:paraId="4935C9A8"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Padrón de beneficiarios por programa (versión pública). </w:t>
      </w:r>
    </w:p>
    <w:p w14:paraId="2F860E32"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Reglas de operación de los programas. </w:t>
      </w:r>
    </w:p>
    <w:p w14:paraId="44DB57AD"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Relación de proveedores de insumos alimentarios. </w:t>
      </w:r>
    </w:p>
    <w:p w14:paraId="2DBF5493"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Presupuesto asignado y ejercido por programa.</w:t>
      </w:r>
    </w:p>
    <w:p w14:paraId="201C653E"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Informes de distribución de apoyos.</w:t>
      </w:r>
    </w:p>
    <w:p w14:paraId="7C64CD31" w14:textId="77777777" w:rsidR="00B2722B" w:rsidRPr="00E05D09" w:rsidRDefault="004425A1">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Atención a Personas con Discapacidad </w:t>
      </w:r>
    </w:p>
    <w:p w14:paraId="4220D08E"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Programas y servicios dirigidos a personas con discapacidad. </w:t>
      </w:r>
    </w:p>
    <w:p w14:paraId="7FEDA5E2"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Número de beneficiarios atendidos. </w:t>
      </w:r>
    </w:p>
    <w:p w14:paraId="5B01C82F"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Tipo de apoyos otorgados. </w:t>
      </w:r>
    </w:p>
    <w:p w14:paraId="6E69A14B"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Servicios de rehabilitación brindados. </w:t>
      </w:r>
    </w:p>
    <w:p w14:paraId="655D9B80"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Presupuesto asignado y ejercido. </w:t>
      </w:r>
    </w:p>
    <w:p w14:paraId="53237503" w14:textId="77777777" w:rsidR="00B2722B" w:rsidRPr="00E05D09" w:rsidRDefault="004425A1">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Comunicación Social </w:t>
      </w:r>
    </w:p>
    <w:p w14:paraId="124CC311"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Presupuesto autorizado y ejercido en comunicación social. </w:t>
      </w:r>
    </w:p>
    <w:p w14:paraId="25E427E3"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Relación de contratos de publicidad, difusión o servicios de comunicación. </w:t>
      </w:r>
    </w:p>
    <w:p w14:paraId="3CDAF898"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Campañas institucionales realizadas.</w:t>
      </w:r>
    </w:p>
    <w:p w14:paraId="377FC3D9"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Medios de comunicación contratados. </w:t>
      </w:r>
    </w:p>
    <w:p w14:paraId="3B893380"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Informes de actividades del área. </w:t>
      </w:r>
    </w:p>
    <w:p w14:paraId="19897CE9" w14:textId="77777777" w:rsidR="00B2722B" w:rsidRPr="00E05D09" w:rsidRDefault="004425A1">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Información General de Personal del DIF (2025–2026) </w:t>
      </w:r>
    </w:p>
    <w:p w14:paraId="4A89AE17"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Plantilla completa del personal del DIF. </w:t>
      </w:r>
    </w:p>
    <w:p w14:paraId="1EE89215"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Relación de puestos, cargos y funciones. </w:t>
      </w:r>
    </w:p>
    <w:p w14:paraId="5B38EE6B"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lastRenderedPageBreak/>
        <w:t xml:space="preserve">Remuneraciones brutas y netas de todo el personal. </w:t>
      </w:r>
    </w:p>
    <w:p w14:paraId="321F60F4"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Perfil de cada puesto. </w:t>
      </w:r>
    </w:p>
    <w:p w14:paraId="78D7418F"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Actividades o funciones asignadas por área. </w:t>
      </w:r>
    </w:p>
    <w:p w14:paraId="74FB11BE" w14:textId="77777777" w:rsidR="00B2722B" w:rsidRPr="00E05D09" w:rsidRDefault="004425A1">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Comparativo de la plantilla entre 2025 y 2026. </w:t>
      </w:r>
    </w:p>
    <w:p w14:paraId="5EE49D88"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37C5FD3"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En respuesta, el </w:t>
      </w:r>
      <w:r w:rsidRPr="00E05D09">
        <w:rPr>
          <w:rFonts w:ascii="Palatino Linotype" w:eastAsia="Palatino Linotype" w:hAnsi="Palatino Linotype" w:cs="Palatino Linotype"/>
          <w:b/>
          <w:bCs/>
          <w:color w:val="000000"/>
        </w:rPr>
        <w:t>SUJETO OBLIGADO</w:t>
      </w:r>
      <w:r w:rsidRPr="00E05D09">
        <w:rPr>
          <w:rFonts w:ascii="Palatino Linotype" w:eastAsia="Palatino Linotype" w:hAnsi="Palatino Linotype" w:cs="Palatino Linotype"/>
          <w:color w:val="000000"/>
        </w:rPr>
        <w:t xml:space="preserve">, brindó respuesta en términos del numeral 3 de esta resolución. </w:t>
      </w:r>
    </w:p>
    <w:p w14:paraId="5574C6F7"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C01DD19" w14:textId="77777777" w:rsidR="00B2722B" w:rsidRPr="00E05D09" w:rsidRDefault="004425A1">
      <w:pPr>
        <w:numPr>
          <w:ilvl w:val="0"/>
          <w:numId w:val="1"/>
        </w:numPr>
        <w:pBdr>
          <w:top w:val="nil"/>
          <w:left w:val="nil"/>
          <w:bottom w:val="nil"/>
          <w:right w:val="nil"/>
          <w:between w:val="nil"/>
        </w:pBdr>
        <w:ind w:left="0" w:firstLine="0"/>
        <w:jc w:val="both"/>
        <w:rPr>
          <w:rFonts w:ascii="Palatino Linotype" w:eastAsia="Palatino Linotype" w:hAnsi="Palatino Linotype" w:cs="Palatino Linotype"/>
          <w:color w:val="FF0000"/>
        </w:rPr>
      </w:pPr>
      <w:r w:rsidRPr="00E05D09">
        <w:rPr>
          <w:rFonts w:ascii="Palatino Linotype" w:eastAsia="Palatino Linotype" w:hAnsi="Palatino Linotype" w:cs="Palatino Linotype"/>
          <w:color w:val="000000"/>
        </w:rPr>
        <w:t xml:space="preserve">El </w:t>
      </w:r>
      <w:r w:rsidRPr="00E05D09">
        <w:rPr>
          <w:rFonts w:ascii="Palatino Linotype" w:eastAsia="Palatino Linotype" w:hAnsi="Palatino Linotype" w:cs="Palatino Linotype"/>
          <w:b/>
          <w:bCs/>
          <w:color w:val="000000"/>
        </w:rPr>
        <w:t>RECURRENTE</w:t>
      </w:r>
      <w:r w:rsidRPr="00E05D09">
        <w:rPr>
          <w:rFonts w:ascii="Palatino Linotype" w:eastAsia="Palatino Linotype" w:hAnsi="Palatino Linotype" w:cs="Palatino Linotype"/>
          <w:color w:val="000000"/>
        </w:rPr>
        <w:t xml:space="preserve">, se inconformó por la entrega de información incompleta, en los siguientes términos: </w:t>
      </w:r>
      <w:r w:rsidRPr="00E05D09">
        <w:rPr>
          <w:rFonts w:ascii="Palatino Linotype" w:eastAsia="Palatino Linotype" w:hAnsi="Palatino Linotype" w:cs="Palatino Linotype"/>
          <w:i/>
          <w:iCs/>
          <w:color w:val="000000"/>
        </w:rPr>
        <w:t>“La respuesta entregada de manera incompleta.” (Sic)</w:t>
      </w:r>
    </w:p>
    <w:p w14:paraId="6E8C1372"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color w:val="FF0000"/>
        </w:rPr>
      </w:pPr>
    </w:p>
    <w:p w14:paraId="0ED2F6ED" w14:textId="77777777" w:rsidR="00B2722B" w:rsidRPr="00E05D09" w:rsidRDefault="004425A1">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color w:val="000000"/>
        </w:rPr>
        <w:t xml:space="preserve">En dichas condiciones, la </w:t>
      </w:r>
      <w:r w:rsidRPr="00E05D09">
        <w:rPr>
          <w:rFonts w:ascii="Palatino Linotype" w:eastAsia="Palatino Linotype" w:hAnsi="Palatino Linotype" w:cs="Palatino Linotype"/>
          <w:i/>
          <w:iCs/>
          <w:color w:val="000000"/>
        </w:rPr>
        <w:t>Litis</w:t>
      </w:r>
      <w:r w:rsidRPr="00E05D09">
        <w:rPr>
          <w:rFonts w:ascii="Palatino Linotype" w:eastAsia="Palatino Linotype" w:hAnsi="Palatino Linotype" w:cs="Palatino Linotype"/>
          <w:color w:val="000000"/>
        </w:rPr>
        <w:t xml:space="preserve"> a resolver en este recurso se circunscribe a determinar si se actualizan las causales de procedencia previstas en el artículo 179, </w:t>
      </w:r>
      <w:r w:rsidRPr="00E05D09">
        <w:rPr>
          <w:rFonts w:ascii="Palatino Linotype" w:eastAsia="Palatino Linotype" w:hAnsi="Palatino Linotype" w:cs="Palatino Linotype"/>
          <w:b/>
          <w:bCs/>
          <w:color w:val="000000"/>
        </w:rPr>
        <w:t xml:space="preserve">fracción V </w:t>
      </w:r>
      <w:r w:rsidRPr="00E05D09">
        <w:rPr>
          <w:rFonts w:ascii="Palatino Linotype" w:eastAsia="Palatino Linotype" w:hAnsi="Palatino Linotype" w:cs="Palatino Linotype"/>
          <w:color w:val="000000"/>
        </w:rPr>
        <w:t>de la Ley</w:t>
      </w:r>
      <w:r w:rsidRPr="00E05D09">
        <w:rPr>
          <w:rFonts w:ascii="Palatino Linotype" w:eastAsia="Palatino Linotype" w:hAnsi="Palatino Linotype" w:cs="Palatino Linotype"/>
          <w:b/>
          <w:bCs/>
          <w:color w:val="000000"/>
        </w:rPr>
        <w:t xml:space="preserve"> de Transparencia y Acceso a la Información Pública del Estado de </w:t>
      </w:r>
      <w:r w:rsidRPr="00E05D09">
        <w:rPr>
          <w:rFonts w:ascii="Palatino Linotype" w:eastAsia="Palatino Linotype" w:hAnsi="Palatino Linotype" w:cs="Palatino Linotype"/>
          <w:color w:val="000000"/>
        </w:rPr>
        <w:t>México</w:t>
      </w:r>
      <w:r w:rsidRPr="00E05D09">
        <w:rPr>
          <w:rFonts w:ascii="Palatino Linotype" w:eastAsia="Palatino Linotype" w:hAnsi="Palatino Linotype" w:cs="Palatino Linotype"/>
          <w:b/>
          <w:bCs/>
          <w:color w:val="000000"/>
        </w:rPr>
        <w:t xml:space="preserve"> y Municipios</w:t>
      </w:r>
      <w:r w:rsidRPr="00E05D09">
        <w:rPr>
          <w:rFonts w:ascii="Palatino Linotype" w:eastAsia="Palatino Linotype" w:hAnsi="Palatino Linotype" w:cs="Palatino Linotype"/>
          <w:color w:val="000000"/>
        </w:rPr>
        <w:t xml:space="preserve">; fracción que determina la hipótesis jurídica relativa a </w:t>
      </w:r>
      <w:r w:rsidRPr="00E05D09">
        <w:rPr>
          <w:rFonts w:ascii="Palatino Linotype" w:eastAsia="Palatino Linotype" w:hAnsi="Palatino Linotype" w:cs="Palatino Linotype"/>
          <w:b/>
          <w:bCs/>
          <w:color w:val="000000"/>
        </w:rPr>
        <w:t xml:space="preserve">la entrega de información incompleta </w:t>
      </w:r>
      <w:r w:rsidRPr="00E05D09">
        <w:rPr>
          <w:rFonts w:ascii="Palatino Linotype" w:eastAsia="Palatino Linotype" w:hAnsi="Palatino Linotype" w:cs="Palatino Linotype"/>
          <w:color w:val="000000"/>
        </w:rPr>
        <w:t xml:space="preserve">por el </w:t>
      </w:r>
      <w:r w:rsidRPr="00E05D09">
        <w:rPr>
          <w:rFonts w:ascii="Palatino Linotype" w:eastAsia="Palatino Linotype" w:hAnsi="Palatino Linotype" w:cs="Palatino Linotype"/>
          <w:b/>
          <w:bCs/>
          <w:color w:val="000000"/>
        </w:rPr>
        <w:t>SUJETO OBLIGADO</w:t>
      </w:r>
      <w:r w:rsidRPr="00E05D09">
        <w:rPr>
          <w:rFonts w:ascii="Palatino Linotype" w:eastAsia="Palatino Linotype" w:hAnsi="Palatino Linotype" w:cs="Palatino Linotype"/>
          <w:color w:val="000000"/>
        </w:rPr>
        <w:t xml:space="preserve">; contexto del cual se dolió </w:t>
      </w:r>
      <w:r w:rsidRPr="00E05D09">
        <w:rPr>
          <w:rFonts w:ascii="Palatino Linotype" w:eastAsia="Palatino Linotype" w:hAnsi="Palatino Linotype" w:cs="Palatino Linotype"/>
          <w:b/>
          <w:bCs/>
          <w:color w:val="000000"/>
        </w:rPr>
        <w:t xml:space="preserve">EL RECURRENTE </w:t>
      </w:r>
      <w:r w:rsidRPr="00E05D09">
        <w:rPr>
          <w:rFonts w:ascii="Palatino Linotype" w:eastAsia="Palatino Linotype" w:hAnsi="Palatino Linotype" w:cs="Palatino Linotype"/>
          <w:color w:val="000000"/>
        </w:rPr>
        <w:t>al momento de interponer su inconformidad.</w:t>
      </w:r>
    </w:p>
    <w:p w14:paraId="4E5794F9" w14:textId="77777777" w:rsidR="00B2722B" w:rsidRPr="00E05D09" w:rsidRDefault="00B2722B">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p>
    <w:p w14:paraId="10FAFB1D" w14:textId="77777777" w:rsidR="00B2722B" w:rsidRPr="00E05D09" w:rsidRDefault="004425A1">
      <w:pPr>
        <w:pStyle w:val="Ttulo1"/>
        <w:spacing w:before="0" w:line="360" w:lineRule="auto"/>
        <w:rPr>
          <w:rFonts w:ascii="Palatino Linotype" w:eastAsia="Palatino Linotype" w:hAnsi="Palatino Linotype" w:cs="Palatino Linotype"/>
          <w:b/>
          <w:bCs/>
          <w:color w:val="000000"/>
          <w:sz w:val="24"/>
          <w:szCs w:val="24"/>
        </w:rPr>
      </w:pPr>
      <w:bookmarkStart w:id="7" w:name="_heading=h.m1frr8po1411" w:colFirst="0" w:colLast="0"/>
      <w:bookmarkEnd w:id="7"/>
      <w:r w:rsidRPr="00E05D09">
        <w:rPr>
          <w:rFonts w:ascii="Palatino Linotype" w:eastAsia="Palatino Linotype" w:hAnsi="Palatino Linotype" w:cs="Palatino Linotype"/>
          <w:b/>
          <w:bCs/>
          <w:color w:val="000000"/>
          <w:sz w:val="24"/>
          <w:szCs w:val="24"/>
        </w:rPr>
        <w:t>CUARTO. Del estudio y resolución del recurso de revisión.</w:t>
      </w:r>
    </w:p>
    <w:p w14:paraId="5C847DD9" w14:textId="77777777" w:rsidR="00B2722B" w:rsidRPr="00E05D09" w:rsidRDefault="004425A1">
      <w:pPr>
        <w:keepNext/>
        <w:keepLines/>
        <w:numPr>
          <w:ilvl w:val="0"/>
          <w:numId w:val="12"/>
        </w:numPr>
        <w:spacing w:after="240" w:line="360" w:lineRule="auto"/>
        <w:ind w:left="786"/>
        <w:rPr>
          <w:rFonts w:ascii="Palatino Linotype" w:eastAsia="Palatino Linotype" w:hAnsi="Palatino Linotype" w:cs="Palatino Linotype"/>
          <w:b/>
          <w:bCs/>
        </w:rPr>
      </w:pPr>
      <w:r w:rsidRPr="00E05D09">
        <w:rPr>
          <w:rFonts w:ascii="Palatino Linotype" w:eastAsia="Palatino Linotype" w:hAnsi="Palatino Linotype" w:cs="Palatino Linotype"/>
          <w:b/>
          <w:bCs/>
        </w:rPr>
        <w:t>Del derecho de acceso a la información.</w:t>
      </w:r>
    </w:p>
    <w:p w14:paraId="61DCD5C1"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7CA1125D"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lastRenderedPageBreak/>
        <w:t xml:space="preserve">Definiendo el Derecho de Acceso a la Información Pública como: </w:t>
      </w:r>
      <w:r w:rsidRPr="00E05D09">
        <w:rPr>
          <w:rFonts w:ascii="Palatino Linotype" w:eastAsia="Palatino Linotype" w:hAnsi="Palatino Linotype" w:cs="Palatino Linotype"/>
          <w:i/>
          <w:iCs/>
          <w:color w:val="000000"/>
        </w:rPr>
        <w:t>La igualdad de oportunidades para recibir, buscar e impartir información</w:t>
      </w:r>
      <w:r w:rsidRPr="00E05D09">
        <w:rPr>
          <w:rFonts w:ascii="Palatino Linotype" w:eastAsia="Palatino Linotype" w:hAnsi="Palatino Linotype" w:cs="Palatino Linotype"/>
          <w:i/>
          <w:iCs/>
          <w:color w:val="000000"/>
          <w:vertAlign w:val="superscript"/>
        </w:rPr>
        <w:footnoteReference w:id="1"/>
      </w:r>
      <w:r w:rsidRPr="00E05D09">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05D09">
        <w:rPr>
          <w:rFonts w:ascii="Palatino Linotype" w:eastAsia="Palatino Linotype" w:hAnsi="Palatino Linotype" w:cs="Palatino Linotype"/>
          <w:i/>
          <w:iCs/>
          <w:color w:val="000000"/>
          <w:vertAlign w:val="superscript"/>
        </w:rPr>
        <w:footnoteReference w:id="2"/>
      </w:r>
      <w:r w:rsidRPr="00E05D09">
        <w:rPr>
          <w:rFonts w:ascii="Palatino Linotype" w:eastAsia="Palatino Linotype" w:hAnsi="Palatino Linotype" w:cs="Palatino Linotype"/>
          <w:color w:val="000000"/>
        </w:rPr>
        <w:t>que se constituye como una herramienta fundamental para ejercer</w:t>
      </w:r>
      <w:r w:rsidRPr="00E05D09">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E05D09">
        <w:rPr>
          <w:rFonts w:ascii="Palatino Linotype" w:eastAsia="Palatino Linotype" w:hAnsi="Palatino Linotype" w:cs="Palatino Linotype"/>
          <w:i/>
          <w:iCs/>
          <w:color w:val="000000"/>
          <w:vertAlign w:val="superscript"/>
        </w:rPr>
        <w:footnoteReference w:id="3"/>
      </w:r>
      <w:r w:rsidRPr="00E05D09">
        <w:rPr>
          <w:rFonts w:ascii="Palatino Linotype" w:eastAsia="Palatino Linotype" w:hAnsi="Palatino Linotype" w:cs="Palatino Linotype"/>
          <w:color w:val="000000"/>
        </w:rPr>
        <w:t>fomentando</w:t>
      </w:r>
      <w:r w:rsidRPr="00E05D09">
        <w:rPr>
          <w:rFonts w:ascii="Palatino Linotype" w:eastAsia="Palatino Linotype" w:hAnsi="Palatino Linotype" w:cs="Palatino Linotype"/>
          <w:i/>
          <w:iCs/>
          <w:color w:val="000000"/>
        </w:rPr>
        <w:t xml:space="preserve"> la transparencia de las actividades estatales y </w:t>
      </w:r>
      <w:r w:rsidRPr="00E05D09">
        <w:rPr>
          <w:rFonts w:ascii="Palatino Linotype" w:eastAsia="Palatino Linotype" w:hAnsi="Palatino Linotype" w:cs="Palatino Linotype"/>
          <w:color w:val="000000"/>
        </w:rPr>
        <w:t>promoviendo</w:t>
      </w:r>
      <w:r w:rsidRPr="00E05D09">
        <w:rPr>
          <w:rFonts w:ascii="Palatino Linotype" w:eastAsia="Palatino Linotype" w:hAnsi="Palatino Linotype" w:cs="Palatino Linotype"/>
          <w:i/>
          <w:iCs/>
          <w:color w:val="000000"/>
        </w:rPr>
        <w:t xml:space="preserve"> la responsabilidad de los funcionarios sobre su gestión pública,</w:t>
      </w:r>
      <w:r w:rsidRPr="00E05D09">
        <w:rPr>
          <w:rFonts w:ascii="Palatino Linotype" w:eastAsia="Palatino Linotype" w:hAnsi="Palatino Linotype" w:cs="Palatino Linotype"/>
          <w:i/>
          <w:iCs/>
          <w:color w:val="000000"/>
          <w:vertAlign w:val="superscript"/>
        </w:rPr>
        <w:footnoteReference w:id="4"/>
      </w:r>
      <w:r w:rsidRPr="00E05D09">
        <w:rPr>
          <w:rFonts w:ascii="Palatino Linotype" w:eastAsia="Palatino Linotype" w:hAnsi="Palatino Linotype" w:cs="Palatino Linotype"/>
          <w:color w:val="000000"/>
        </w:rPr>
        <w:t>que permite</w:t>
      </w:r>
      <w:r w:rsidRPr="00E05D09">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14:paraId="4A4A6827"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38A8F70" w14:textId="77777777" w:rsidR="00B2722B" w:rsidRPr="00E05D09" w:rsidRDefault="004425A1">
      <w:pPr>
        <w:numPr>
          <w:ilvl w:val="0"/>
          <w:numId w:val="1"/>
        </w:numPr>
        <w:spacing w:line="360" w:lineRule="auto"/>
        <w:ind w:left="0" w:right="49"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3DCA1F2D" w14:textId="77777777" w:rsidR="00B2722B" w:rsidRPr="00E05D09" w:rsidRDefault="004425A1">
      <w:pPr>
        <w:tabs>
          <w:tab w:val="left" w:pos="7655"/>
        </w:tabs>
        <w:ind w:left="567" w:right="567"/>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w:t>
      </w:r>
      <w:r w:rsidRPr="00E05D09">
        <w:rPr>
          <w:rFonts w:ascii="Palatino Linotype" w:eastAsia="Palatino Linotype" w:hAnsi="Palatino Linotype" w:cs="Palatino Linotype"/>
          <w:b/>
          <w:bCs/>
          <w:i/>
          <w:iCs/>
        </w:rPr>
        <w:t>Artículo 1.-</w:t>
      </w:r>
      <w:r w:rsidRPr="00E05D09">
        <w:rPr>
          <w:rFonts w:ascii="Palatino Linotype" w:eastAsia="Palatino Linotype" w:hAnsi="Palatino Linotype" w:cs="Palatino Linotype"/>
          <w:i/>
          <w:iCs/>
        </w:rPr>
        <w:t xml:space="preserve"> </w:t>
      </w:r>
    </w:p>
    <w:p w14:paraId="0E1AC7A2" w14:textId="77777777" w:rsidR="00B2722B" w:rsidRPr="00E05D09" w:rsidRDefault="004425A1">
      <w:pPr>
        <w:tabs>
          <w:tab w:val="left" w:pos="7655"/>
        </w:tabs>
        <w:ind w:left="567" w:right="567"/>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w:t>
      </w:r>
    </w:p>
    <w:p w14:paraId="346953DD" w14:textId="77777777" w:rsidR="00B2722B" w:rsidRPr="00E05D09" w:rsidRDefault="004425A1">
      <w:pPr>
        <w:tabs>
          <w:tab w:val="left" w:pos="7655"/>
        </w:tabs>
        <w:ind w:left="567" w:right="567"/>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Todas las</w:t>
      </w:r>
      <w:r w:rsidRPr="00E05D09">
        <w:rPr>
          <w:rFonts w:ascii="Palatino Linotype" w:eastAsia="Palatino Linotype" w:hAnsi="Palatino Linotype" w:cs="Palatino Linotype"/>
        </w:rPr>
        <w:t xml:space="preserve"> </w:t>
      </w:r>
      <w:r w:rsidRPr="00E05D09">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47C32019" w14:textId="77777777" w:rsidR="00B2722B" w:rsidRPr="00E05D09" w:rsidRDefault="004425A1">
      <w:pPr>
        <w:tabs>
          <w:tab w:val="left" w:pos="7655"/>
        </w:tabs>
        <w:ind w:left="567" w:right="567"/>
        <w:jc w:val="both"/>
        <w:rPr>
          <w:rFonts w:ascii="Palatino Linotype" w:eastAsia="Palatino Linotype" w:hAnsi="Palatino Linotype" w:cs="Palatino Linotype"/>
        </w:rPr>
      </w:pPr>
      <w:r w:rsidRPr="00E05D09">
        <w:rPr>
          <w:rFonts w:ascii="Palatino Linotype" w:eastAsia="Palatino Linotype" w:hAnsi="Palatino Linotype" w:cs="Palatino Linotype"/>
          <w:i/>
          <w:iCs/>
        </w:rPr>
        <w:t>(…)</w:t>
      </w:r>
      <w:r w:rsidRPr="00E05D09">
        <w:rPr>
          <w:rFonts w:ascii="Palatino Linotype" w:eastAsia="Palatino Linotype" w:hAnsi="Palatino Linotype" w:cs="Palatino Linotype"/>
        </w:rPr>
        <w:t>”.</w:t>
      </w:r>
    </w:p>
    <w:p w14:paraId="2E75FD94" w14:textId="77777777" w:rsidR="00B2722B" w:rsidRPr="00E05D09" w:rsidRDefault="004425A1">
      <w:pPr>
        <w:numPr>
          <w:ilvl w:val="0"/>
          <w:numId w:val="1"/>
        </w:numPr>
        <w:spacing w:line="360" w:lineRule="auto"/>
        <w:ind w:left="0" w:right="49"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7F8DE9DC"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25187A0" w14:textId="77777777" w:rsidR="00B2722B" w:rsidRPr="00E05D09" w:rsidRDefault="004425A1">
      <w:pPr>
        <w:numPr>
          <w:ilvl w:val="0"/>
          <w:numId w:val="1"/>
        </w:numPr>
        <w:spacing w:line="360" w:lineRule="auto"/>
        <w:ind w:left="0" w:right="49"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22D8D462" w14:textId="77777777" w:rsidR="00B2722B" w:rsidRPr="00E05D09" w:rsidRDefault="004425A1">
      <w:pPr>
        <w:spacing w:after="240"/>
        <w:ind w:left="567" w:right="567"/>
        <w:jc w:val="both"/>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t>Constitución Política de los Estados Unidos Mexicanos</w:t>
      </w:r>
    </w:p>
    <w:p w14:paraId="73587A06" w14:textId="77777777" w:rsidR="00B2722B" w:rsidRPr="00E05D09" w:rsidRDefault="004425A1">
      <w:pPr>
        <w:spacing w:before="240" w:after="240"/>
        <w:ind w:left="567" w:right="567"/>
        <w:jc w:val="both"/>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t>“Artículo 6.</w:t>
      </w:r>
    </w:p>
    <w:p w14:paraId="244E1F3F" w14:textId="77777777" w:rsidR="00B2722B" w:rsidRPr="00E05D09" w:rsidRDefault="004425A1">
      <w:pPr>
        <w:spacing w:before="240" w:after="240"/>
        <w:ind w:left="567" w:right="567"/>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w:t>
      </w:r>
    </w:p>
    <w:p w14:paraId="641174B3" w14:textId="77777777" w:rsidR="00B2722B" w:rsidRPr="00E05D09" w:rsidRDefault="004425A1">
      <w:pPr>
        <w:spacing w:before="240" w:after="240"/>
        <w:ind w:left="567" w:right="567"/>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Para efectos de lo dispuesto en el presente artículo se observará lo siguiente:</w:t>
      </w:r>
    </w:p>
    <w:p w14:paraId="0CB6D571" w14:textId="77777777" w:rsidR="00B2722B" w:rsidRPr="00E05D09" w:rsidRDefault="004425A1">
      <w:pPr>
        <w:spacing w:before="240" w:after="240"/>
        <w:ind w:left="567" w:right="567"/>
        <w:jc w:val="both"/>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t>A</w:t>
      </w:r>
      <w:r w:rsidRPr="00E05D09">
        <w:rPr>
          <w:rFonts w:ascii="Palatino Linotype" w:eastAsia="Palatino Linotype" w:hAnsi="Palatino Linotype" w:cs="Palatino Linotype"/>
          <w:i/>
          <w:iCs/>
        </w:rPr>
        <w:t xml:space="preserve">. </w:t>
      </w:r>
      <w:r w:rsidRPr="00E05D09">
        <w:rPr>
          <w:rFonts w:ascii="Palatino Linotype" w:eastAsia="Palatino Linotype" w:hAnsi="Palatino Linotype" w:cs="Palatino Linotype"/>
          <w:b/>
          <w:bCs/>
          <w:i/>
          <w:iCs/>
        </w:rPr>
        <w:t>Para el ejercicio del derecho de acceso a la información</w:t>
      </w:r>
      <w:r w:rsidRPr="00E05D09">
        <w:rPr>
          <w:rFonts w:ascii="Palatino Linotype" w:eastAsia="Palatino Linotype" w:hAnsi="Palatino Linotype" w:cs="Palatino Linotype"/>
          <w:i/>
          <w:iCs/>
        </w:rPr>
        <w:t xml:space="preserve">, la Federación y </w:t>
      </w:r>
      <w:r w:rsidRPr="00E05D09">
        <w:rPr>
          <w:rFonts w:ascii="Palatino Linotype" w:eastAsia="Palatino Linotype" w:hAnsi="Palatino Linotype" w:cs="Palatino Linotype"/>
          <w:b/>
          <w:bCs/>
          <w:i/>
          <w:iCs/>
        </w:rPr>
        <w:t>las entidades federativas, en el ámbito de sus respectivas competencias, se regirán por los siguientes principios y bases:</w:t>
      </w:r>
    </w:p>
    <w:p w14:paraId="5D26FE6E" w14:textId="77777777" w:rsidR="00B2722B" w:rsidRPr="00E05D09" w:rsidRDefault="004425A1">
      <w:pPr>
        <w:spacing w:before="240" w:after="240"/>
        <w:ind w:left="567" w:right="567"/>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I. Toda la información en posesión de cualquier</w:t>
      </w:r>
      <w:r w:rsidRPr="00E05D09">
        <w:rPr>
          <w:rFonts w:ascii="Palatino Linotype" w:eastAsia="Palatino Linotype" w:hAnsi="Palatino Linotype" w:cs="Palatino Linotype"/>
          <w:i/>
          <w:iCs/>
        </w:rPr>
        <w:t xml:space="preserve"> </w:t>
      </w:r>
      <w:r w:rsidRPr="00E05D09">
        <w:rPr>
          <w:rFonts w:ascii="Palatino Linotype" w:eastAsia="Palatino Linotype" w:hAnsi="Palatino Linotype" w:cs="Palatino Linotype"/>
          <w:b/>
          <w:bCs/>
          <w:i/>
          <w:iCs/>
        </w:rPr>
        <w:t>autoridad</w:t>
      </w:r>
      <w:r w:rsidRPr="00E05D09">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E05D09">
        <w:rPr>
          <w:rFonts w:ascii="Palatino Linotype" w:eastAsia="Palatino Linotype" w:hAnsi="Palatino Linotype" w:cs="Palatino Linotype"/>
          <w:b/>
          <w:bCs/>
          <w:i/>
          <w:iCs/>
        </w:rPr>
        <w:t>municipal</w:t>
      </w:r>
      <w:r w:rsidRPr="00E05D09">
        <w:rPr>
          <w:rFonts w:ascii="Palatino Linotype" w:eastAsia="Palatino Linotype" w:hAnsi="Palatino Linotype" w:cs="Palatino Linotype"/>
          <w:i/>
          <w:iCs/>
        </w:rPr>
        <w:t xml:space="preserve">, </w:t>
      </w:r>
      <w:r w:rsidRPr="00E05D09">
        <w:rPr>
          <w:rFonts w:ascii="Palatino Linotype" w:eastAsia="Palatino Linotype" w:hAnsi="Palatino Linotype" w:cs="Palatino Linotype"/>
          <w:b/>
          <w:bCs/>
          <w:i/>
          <w:iCs/>
        </w:rPr>
        <w:t>es pública</w:t>
      </w:r>
      <w:r w:rsidRPr="00E05D09">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E05D09">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E05D09">
        <w:rPr>
          <w:rFonts w:ascii="Palatino Linotype" w:eastAsia="Palatino Linotype" w:hAnsi="Palatino Linotype" w:cs="Palatino Linotype"/>
          <w:i/>
          <w:iCs/>
        </w:rPr>
        <w:t>, la ley determinará los supuestos específicos bajo los cuales procederá la declaración de inexistencia de la información.”</w:t>
      </w:r>
    </w:p>
    <w:p w14:paraId="3BFBAC82" w14:textId="77777777" w:rsidR="00B2722B" w:rsidRPr="00E05D09" w:rsidRDefault="00B2722B">
      <w:pPr>
        <w:tabs>
          <w:tab w:val="left" w:pos="567"/>
        </w:tabs>
        <w:spacing w:before="240"/>
        <w:ind w:left="567" w:right="567"/>
        <w:jc w:val="both"/>
        <w:rPr>
          <w:rFonts w:ascii="Palatino Linotype" w:eastAsia="Palatino Linotype" w:hAnsi="Palatino Linotype" w:cs="Palatino Linotype"/>
          <w:b/>
          <w:bCs/>
          <w:i/>
          <w:iCs/>
        </w:rPr>
      </w:pPr>
    </w:p>
    <w:p w14:paraId="4115DC4E" w14:textId="77777777" w:rsidR="00B2722B" w:rsidRPr="00E05D09" w:rsidRDefault="004425A1">
      <w:pPr>
        <w:spacing w:after="240"/>
        <w:ind w:left="567" w:right="567"/>
        <w:jc w:val="both"/>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t>Constitución Política del Estado Libre y Soberano de México</w:t>
      </w:r>
    </w:p>
    <w:p w14:paraId="7EB17772" w14:textId="77777777" w:rsidR="00B2722B" w:rsidRPr="00E05D09" w:rsidRDefault="004425A1">
      <w:pPr>
        <w:spacing w:before="240" w:after="240"/>
        <w:ind w:left="567" w:right="567"/>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“Artículo 5</w:t>
      </w:r>
      <w:r w:rsidRPr="00E05D09">
        <w:rPr>
          <w:rFonts w:ascii="Palatino Linotype" w:eastAsia="Palatino Linotype" w:hAnsi="Palatino Linotype" w:cs="Palatino Linotype"/>
          <w:i/>
          <w:iCs/>
        </w:rPr>
        <w:t xml:space="preserve">.- </w:t>
      </w:r>
    </w:p>
    <w:p w14:paraId="79404BD1" w14:textId="77777777" w:rsidR="00B2722B" w:rsidRPr="00E05D09" w:rsidRDefault="004425A1">
      <w:pPr>
        <w:spacing w:before="240" w:after="240"/>
        <w:ind w:left="567" w:right="567"/>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w:t>
      </w:r>
    </w:p>
    <w:p w14:paraId="32A9976C" w14:textId="77777777" w:rsidR="00B2722B" w:rsidRPr="00E05D09" w:rsidRDefault="004425A1">
      <w:pPr>
        <w:spacing w:before="240" w:after="240"/>
        <w:ind w:left="567" w:right="567"/>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E05D09">
        <w:rPr>
          <w:rFonts w:ascii="Palatino Linotype" w:eastAsia="Palatino Linotype" w:hAnsi="Palatino Linotype" w:cs="Palatino Linotype"/>
          <w:i/>
          <w:iCs/>
        </w:rPr>
        <w:t>.</w:t>
      </w:r>
    </w:p>
    <w:p w14:paraId="2F22E5DF" w14:textId="77777777" w:rsidR="00B2722B" w:rsidRPr="00E05D09" w:rsidRDefault="004425A1">
      <w:pPr>
        <w:spacing w:before="240" w:after="240"/>
        <w:ind w:left="567" w:right="567"/>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8D97B78" w14:textId="77777777" w:rsidR="00B2722B" w:rsidRPr="00E05D09" w:rsidRDefault="004425A1">
      <w:pPr>
        <w:spacing w:before="240" w:after="240"/>
        <w:ind w:left="567" w:right="567"/>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Este derecho se regirá por los principios y bases siguientes</w:t>
      </w:r>
      <w:r w:rsidRPr="00E05D09">
        <w:rPr>
          <w:rFonts w:ascii="Palatino Linotype" w:eastAsia="Palatino Linotype" w:hAnsi="Palatino Linotype" w:cs="Palatino Linotype"/>
          <w:i/>
          <w:iCs/>
        </w:rPr>
        <w:t>:</w:t>
      </w:r>
    </w:p>
    <w:p w14:paraId="7A62942A" w14:textId="77777777" w:rsidR="00B2722B" w:rsidRPr="00E05D09" w:rsidRDefault="004425A1">
      <w:pPr>
        <w:spacing w:before="240" w:after="240"/>
        <w:ind w:left="567" w:right="567"/>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I. Toda la información en posesión de cualquier autoridad, entidad, órgano y organismos de los</w:t>
      </w:r>
      <w:r w:rsidRPr="00E05D09">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E05D09">
        <w:rPr>
          <w:rFonts w:ascii="Palatino Linotype" w:eastAsia="Palatino Linotype" w:hAnsi="Palatino Linotype" w:cs="Palatino Linotype"/>
          <w:b/>
          <w:bCs/>
          <w:i/>
          <w:iCs/>
        </w:rPr>
        <w:t>municipales</w:t>
      </w:r>
      <w:r w:rsidRPr="00E05D09">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E05D09">
        <w:rPr>
          <w:rFonts w:ascii="Palatino Linotype" w:eastAsia="Palatino Linotype" w:hAnsi="Palatino Linotype" w:cs="Palatino Linotype"/>
          <w:b/>
          <w:bCs/>
          <w:i/>
          <w:iCs/>
        </w:rPr>
        <w:t>es pública</w:t>
      </w:r>
      <w:r w:rsidRPr="00E05D09">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E05D09">
        <w:rPr>
          <w:rFonts w:ascii="Palatino Linotype" w:eastAsia="Palatino Linotype" w:hAnsi="Palatino Linotype" w:cs="Palatino Linotype"/>
          <w:b/>
          <w:bCs/>
          <w:i/>
          <w:iCs/>
        </w:rPr>
        <w:t>En la interpretación de este derecho deberá prevalecer el principio de máxima publicidad</w:t>
      </w:r>
      <w:r w:rsidRPr="00E05D09">
        <w:rPr>
          <w:rFonts w:ascii="Palatino Linotype" w:eastAsia="Palatino Linotype" w:hAnsi="Palatino Linotype" w:cs="Palatino Linotype"/>
          <w:i/>
          <w:iCs/>
        </w:rPr>
        <w:t xml:space="preserve">. </w:t>
      </w:r>
      <w:r w:rsidRPr="00E05D09">
        <w:rPr>
          <w:rFonts w:ascii="Palatino Linotype" w:eastAsia="Palatino Linotype" w:hAnsi="Palatino Linotype" w:cs="Palatino Linotype"/>
          <w:b/>
          <w:bCs/>
          <w:i/>
          <w:iCs/>
        </w:rPr>
        <w:t>Los sujetos obligados deberán documentar todo acto que derive del ejercicio de sus facultades, competencias o funciones</w:t>
      </w:r>
      <w:r w:rsidRPr="00E05D09">
        <w:rPr>
          <w:rFonts w:ascii="Palatino Linotype" w:eastAsia="Palatino Linotype" w:hAnsi="Palatino Linotype" w:cs="Palatino Linotype"/>
          <w:i/>
          <w:iCs/>
        </w:rPr>
        <w:t>, la ley determinará los supuestos específicos bajo los cuales procederá la declaración de inexistencia de la información.”</w:t>
      </w:r>
    </w:p>
    <w:p w14:paraId="32DB0CD7" w14:textId="77777777" w:rsidR="00B2722B" w:rsidRPr="00E05D09" w:rsidRDefault="004425A1">
      <w:pPr>
        <w:numPr>
          <w:ilvl w:val="0"/>
          <w:numId w:val="1"/>
        </w:numPr>
        <w:spacing w:before="240" w:line="360" w:lineRule="auto"/>
        <w:ind w:left="0" w:right="49"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E05D09">
        <w:rPr>
          <w:rFonts w:ascii="Palatino Linotype" w:eastAsia="Palatino Linotype" w:hAnsi="Palatino Linotype" w:cs="Palatino Linotype"/>
          <w:i/>
          <w:iCs/>
        </w:rPr>
        <w:t>por los principios de simplicidad, rapidez gratuidad del procedimiento, auxilio y orientación a los particulares</w:t>
      </w:r>
      <w:r w:rsidRPr="00E05D09">
        <w:rPr>
          <w:rFonts w:ascii="Palatino Linotype" w:eastAsia="Palatino Linotype" w:hAnsi="Palatino Linotype" w:cs="Palatino Linotype"/>
        </w:rPr>
        <w:t>, contemplando el derecho de las personas con discapacidad y hablantes de lengua indígena.</w:t>
      </w:r>
    </w:p>
    <w:p w14:paraId="41A75459" w14:textId="77777777" w:rsidR="00B2722B" w:rsidRPr="00E05D09" w:rsidRDefault="004425A1">
      <w:pPr>
        <w:numPr>
          <w:ilvl w:val="0"/>
          <w:numId w:val="1"/>
        </w:numPr>
        <w:spacing w:line="360" w:lineRule="auto"/>
        <w:ind w:left="0" w:right="49"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lastRenderedPageBreak/>
        <w:t xml:space="preserve">El Derecho de Acceso a la Información se garantiza y respeta oportunamente, y según lo que dispone la Ley, las </w:t>
      </w:r>
      <w:r w:rsidRPr="00E05D09">
        <w:rPr>
          <w:rFonts w:ascii="Palatino Linotype" w:eastAsia="Palatino Linotype" w:hAnsi="Palatino Linotype" w:cs="Palatino Linotype"/>
          <w:i/>
          <w:iCs/>
        </w:rPr>
        <w:t>solicitudes de acceso a la información</w:t>
      </w:r>
      <w:r w:rsidRPr="00E05D09">
        <w:rPr>
          <w:rFonts w:ascii="Palatino Linotype" w:eastAsia="Palatino Linotype" w:hAnsi="Palatino Linotype" w:cs="Palatino Linotype"/>
        </w:rPr>
        <w:t>.</w:t>
      </w:r>
    </w:p>
    <w:p w14:paraId="4B5BC1CF" w14:textId="77777777" w:rsidR="00B2722B" w:rsidRPr="00E05D09" w:rsidRDefault="00B2722B">
      <w:pPr>
        <w:pBdr>
          <w:top w:val="nil"/>
          <w:left w:val="nil"/>
          <w:bottom w:val="nil"/>
          <w:right w:val="nil"/>
          <w:between w:val="nil"/>
        </w:pBdr>
        <w:ind w:left="720"/>
        <w:rPr>
          <w:rFonts w:ascii="Palatino Linotype" w:eastAsia="Palatino Linotype" w:hAnsi="Palatino Linotype" w:cs="Palatino Linotype"/>
          <w:color w:val="000000"/>
        </w:rPr>
      </w:pPr>
    </w:p>
    <w:p w14:paraId="1A26F61F" w14:textId="77777777" w:rsidR="00B2722B" w:rsidRPr="00E05D09" w:rsidRDefault="004425A1">
      <w:pPr>
        <w:numPr>
          <w:ilvl w:val="0"/>
          <w:numId w:val="1"/>
        </w:numPr>
        <w:spacing w:line="360" w:lineRule="auto"/>
        <w:ind w:left="0" w:right="49"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Así entonces, se procede analizar, en primer lugar, si el </w:t>
      </w:r>
      <w:r w:rsidRPr="00E05D09">
        <w:rPr>
          <w:rFonts w:ascii="Palatino Linotype" w:eastAsia="Palatino Linotype" w:hAnsi="Palatino Linotype" w:cs="Palatino Linotype"/>
          <w:b/>
          <w:bCs/>
        </w:rPr>
        <w:t>SUJETO OBLIGADO</w:t>
      </w:r>
      <w:r w:rsidRPr="00E05D09">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63BCC785" w14:textId="77777777" w:rsidR="00B2722B" w:rsidRPr="00E05D09" w:rsidRDefault="00B2722B">
      <w:pPr>
        <w:pBdr>
          <w:top w:val="nil"/>
          <w:left w:val="nil"/>
          <w:bottom w:val="nil"/>
          <w:right w:val="nil"/>
          <w:between w:val="nil"/>
        </w:pBdr>
        <w:ind w:left="720"/>
        <w:rPr>
          <w:rFonts w:ascii="Palatino Linotype" w:eastAsia="Palatino Linotype" w:hAnsi="Palatino Linotype" w:cs="Palatino Linotype"/>
          <w:color w:val="000000"/>
        </w:rPr>
      </w:pPr>
    </w:p>
    <w:p w14:paraId="5C3F255D" w14:textId="77777777" w:rsidR="00B2722B" w:rsidRPr="00E05D09" w:rsidRDefault="004425A1">
      <w:pPr>
        <w:keepNext/>
        <w:keepLines/>
        <w:spacing w:after="240" w:line="360" w:lineRule="auto"/>
        <w:rPr>
          <w:rFonts w:ascii="Palatino Linotype" w:eastAsia="Palatino Linotype" w:hAnsi="Palatino Linotype" w:cs="Palatino Linotype"/>
          <w:b/>
          <w:bCs/>
        </w:rPr>
      </w:pPr>
      <w:r w:rsidRPr="00E05D09">
        <w:rPr>
          <w:rFonts w:ascii="Palatino Linotype" w:eastAsia="Palatino Linotype" w:hAnsi="Palatino Linotype" w:cs="Palatino Linotype"/>
          <w:b/>
          <w:bCs/>
        </w:rPr>
        <w:t>II. De la información solicitada y la respuesta del SUJETO OBLIGADO</w:t>
      </w:r>
    </w:p>
    <w:p w14:paraId="7D8937C6"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142DA2B7"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5C7FCA8" w14:textId="77777777" w:rsidR="00B2722B" w:rsidRPr="00E05D09" w:rsidRDefault="004425A1">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color w:val="000000"/>
        </w:rPr>
        <w:t xml:space="preserve">Para efectos de estudio es conveniente reiterar que el solicitante requirió de los </w:t>
      </w:r>
      <w:r w:rsidRPr="00E05D09">
        <w:rPr>
          <w:rFonts w:ascii="Palatino Linotype" w:eastAsia="Palatino Linotype" w:hAnsi="Palatino Linotype" w:cs="Palatino Linotype"/>
          <w:b/>
          <w:bCs/>
          <w:color w:val="000000"/>
        </w:rPr>
        <w:t>ejercicios fiscales 2025 y 2026 lo siguiente:</w:t>
      </w:r>
    </w:p>
    <w:p w14:paraId="7C13934C" w14:textId="77777777" w:rsidR="00B2722B" w:rsidRPr="00E05D09" w:rsidRDefault="004425A1">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Presidencia y Dirección General </w:t>
      </w:r>
    </w:p>
    <w:p w14:paraId="1606CCB0"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Estructura orgánica vigente, </w:t>
      </w:r>
    </w:p>
    <w:p w14:paraId="1DE73C01"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Organigrama autorizado </w:t>
      </w:r>
    </w:p>
    <w:p w14:paraId="4AF5B174"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Manual de organización. </w:t>
      </w:r>
    </w:p>
    <w:p w14:paraId="4EA586BB"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Manuales de procedimientos vigentes. </w:t>
      </w:r>
    </w:p>
    <w:p w14:paraId="3F2E9ABC"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lastRenderedPageBreak/>
        <w:t xml:space="preserve">Planes, programas y proyectos institucionales autorizados. </w:t>
      </w:r>
    </w:p>
    <w:p w14:paraId="79F3003A"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Informes de actividades anuales o trimestrales. </w:t>
      </w:r>
    </w:p>
    <w:p w14:paraId="7A5C9A6B"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Metas, indicadores y resultados de gestión institucional.</w:t>
      </w:r>
    </w:p>
    <w:p w14:paraId="4D9CE3B2" w14:textId="77777777" w:rsidR="00B2722B" w:rsidRPr="00E05D09" w:rsidRDefault="004425A1">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Tesorería </w:t>
      </w:r>
    </w:p>
    <w:p w14:paraId="16D80200"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Presupuesto autorizado y ejercido por capítulo, concepto y partida del gasto. </w:t>
      </w:r>
    </w:p>
    <w:p w14:paraId="77D187C6"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Estado analítico de ingresos y egresos. </w:t>
      </w:r>
    </w:p>
    <w:p w14:paraId="3C52A599"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Estados financieros (balance general, estado de actividades, flujo de efectivo). </w:t>
      </w:r>
    </w:p>
    <w:p w14:paraId="49A7C35C"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Relación de cuentas bancarias activas. </w:t>
      </w:r>
    </w:p>
    <w:p w14:paraId="43FE8606"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Contratos, convenios o instrumentos financieros celebrados. </w:t>
      </w:r>
    </w:p>
    <w:p w14:paraId="166879B6"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Informes de auditorías internas o externas, así como observaciones y solventaciones. </w:t>
      </w:r>
    </w:p>
    <w:p w14:paraId="4111F350"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Relación de proveedores y prestadores de servicios. </w:t>
      </w:r>
    </w:p>
    <w:p w14:paraId="68B026BE"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Comprobación de gasto correspondiente a programas sociales. </w:t>
      </w:r>
    </w:p>
    <w:p w14:paraId="48CB2954" w14:textId="77777777" w:rsidR="00B2722B" w:rsidRPr="00E05D09" w:rsidRDefault="004425A1">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Recursos Humanos</w:t>
      </w:r>
    </w:p>
    <w:p w14:paraId="34FD6158"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Estructura de personal autorizada y ejercida. </w:t>
      </w:r>
    </w:p>
    <w:p w14:paraId="778C4109"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Plantilla de personal desglosada por área, puesto y tipo de contratación. </w:t>
      </w:r>
    </w:p>
    <w:p w14:paraId="5AA7EED4"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Perfil de puestos vigente.</w:t>
      </w:r>
    </w:p>
    <w:p w14:paraId="77821EE4"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Relación nominal del personal con: </w:t>
      </w:r>
    </w:p>
    <w:p w14:paraId="55E815E6" w14:textId="77777777" w:rsidR="00B2722B" w:rsidRPr="00E05D09" w:rsidRDefault="004425A1">
      <w:pPr>
        <w:numPr>
          <w:ilvl w:val="2"/>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Cargo o puesto. </w:t>
      </w:r>
    </w:p>
    <w:p w14:paraId="439D092C" w14:textId="77777777" w:rsidR="00B2722B" w:rsidRPr="00E05D09" w:rsidRDefault="004425A1">
      <w:pPr>
        <w:numPr>
          <w:ilvl w:val="2"/>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Tipo de contratación. </w:t>
      </w:r>
    </w:p>
    <w:p w14:paraId="7A75B70C" w14:textId="77777777" w:rsidR="00B2722B" w:rsidRPr="00E05D09" w:rsidRDefault="004425A1">
      <w:pPr>
        <w:numPr>
          <w:ilvl w:val="2"/>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Fecha de ingreso. </w:t>
      </w:r>
    </w:p>
    <w:p w14:paraId="10FC2DF0" w14:textId="77777777" w:rsidR="00B2722B" w:rsidRPr="00E05D09" w:rsidRDefault="004425A1">
      <w:pPr>
        <w:numPr>
          <w:ilvl w:val="2"/>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Percepciones brutas y netas.</w:t>
      </w:r>
    </w:p>
    <w:p w14:paraId="357B1D4A" w14:textId="77777777" w:rsidR="00B2722B" w:rsidRPr="00E05D09" w:rsidRDefault="004425A1">
      <w:pPr>
        <w:numPr>
          <w:ilvl w:val="2"/>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Compensaciones y prestaciones. </w:t>
      </w:r>
    </w:p>
    <w:p w14:paraId="4F1F7633"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Tabulador de sueldos y salarios. </w:t>
      </w:r>
    </w:p>
    <w:p w14:paraId="050665F6"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lastRenderedPageBreak/>
        <w:t xml:space="preserve">Contratos por honorarios vigentes. </w:t>
      </w:r>
    </w:p>
    <w:p w14:paraId="61824344"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Altas, bajas y movimientos de personal.</w:t>
      </w:r>
    </w:p>
    <w:p w14:paraId="5D5B6AAF"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Manuales y lineamientos internos en materia de recursos humanos. </w:t>
      </w:r>
    </w:p>
    <w:p w14:paraId="17189365" w14:textId="77777777" w:rsidR="00B2722B" w:rsidRPr="00E05D09" w:rsidRDefault="004425A1">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Procuraduría de Protección de Niñas, Niños y Adolescentes </w:t>
      </w:r>
    </w:p>
    <w:p w14:paraId="24DB38AC"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Número de expedientes iniciados</w:t>
      </w:r>
    </w:p>
    <w:p w14:paraId="0919F40E"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Tipo de asuntos atendidos (violencia familiar, abandono, custodia, adopciones, etc.). </w:t>
      </w:r>
    </w:p>
    <w:p w14:paraId="43B48132"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Medidas de protección dictadas. </w:t>
      </w:r>
    </w:p>
    <w:p w14:paraId="7ECD3945"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Número de asesorías jurídicas y psicológicas brindadas. </w:t>
      </w:r>
    </w:p>
    <w:p w14:paraId="221B11AA"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Informes estadísticos de atención a menores</w:t>
      </w:r>
    </w:p>
    <w:p w14:paraId="03817B81"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Protocolos y lineamientos de actuación vigentes.</w:t>
      </w:r>
    </w:p>
    <w:p w14:paraId="196BC80D" w14:textId="77777777" w:rsidR="00B2722B" w:rsidRPr="00E05D09" w:rsidRDefault="00B2722B">
      <w:pPr>
        <w:pBdr>
          <w:top w:val="nil"/>
          <w:left w:val="nil"/>
          <w:bottom w:val="nil"/>
          <w:right w:val="nil"/>
          <w:between w:val="nil"/>
        </w:pBdr>
        <w:spacing w:line="360" w:lineRule="auto"/>
        <w:ind w:left="426"/>
        <w:jc w:val="both"/>
        <w:rPr>
          <w:rFonts w:ascii="Palatino Linotype" w:eastAsia="Palatino Linotype" w:hAnsi="Palatino Linotype" w:cs="Palatino Linotype"/>
          <w:b/>
          <w:bCs/>
          <w:color w:val="000000"/>
        </w:rPr>
      </w:pPr>
    </w:p>
    <w:p w14:paraId="56E65970" w14:textId="77777777" w:rsidR="00B2722B" w:rsidRPr="00E05D09" w:rsidRDefault="004425A1">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Área de Salud </w:t>
      </w:r>
    </w:p>
    <w:p w14:paraId="5E01F8CC"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Programas de salud operados. </w:t>
      </w:r>
    </w:p>
    <w:p w14:paraId="0CB2A585"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Número de consultas médicas, psicológicas y de rehabilitación otorgadas. </w:t>
      </w:r>
    </w:p>
    <w:p w14:paraId="3C849903"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Relación de medicamentos, insumos y material médico adquirido.</w:t>
      </w:r>
    </w:p>
    <w:p w14:paraId="45EEDCAF"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Convenios con instituciones de salud. </w:t>
      </w:r>
    </w:p>
    <w:p w14:paraId="7795022F"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Informes de campañas de salud realizadas. </w:t>
      </w:r>
    </w:p>
    <w:p w14:paraId="2A81B265" w14:textId="77777777" w:rsidR="00B2722B" w:rsidRPr="00E05D09" w:rsidRDefault="004425A1">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Atención a Adultos Mayores </w:t>
      </w:r>
    </w:p>
    <w:p w14:paraId="4CA5A721"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Programas </w:t>
      </w:r>
    </w:p>
    <w:p w14:paraId="0A09800C"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Padrón de beneficiarios (versión pública). </w:t>
      </w:r>
    </w:p>
    <w:p w14:paraId="298204C8"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Tipo de apoyos otorgados. </w:t>
      </w:r>
    </w:p>
    <w:p w14:paraId="7BFE3DE0"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Actividades recreativas, culturales o asistenciales realizadas. </w:t>
      </w:r>
    </w:p>
    <w:p w14:paraId="6398B6AE"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Presupuesto asignado y ejercido. </w:t>
      </w:r>
    </w:p>
    <w:p w14:paraId="74A5183C" w14:textId="77777777" w:rsidR="00B2722B" w:rsidRPr="00E05D09" w:rsidRDefault="004425A1">
      <w:pPr>
        <w:numPr>
          <w:ilvl w:val="0"/>
          <w:numId w:val="3"/>
        </w:numPr>
        <w:pBdr>
          <w:top w:val="nil"/>
          <w:left w:val="nil"/>
          <w:bottom w:val="nil"/>
          <w:right w:val="nil"/>
          <w:between w:val="nil"/>
        </w:pBdr>
        <w:spacing w:line="360" w:lineRule="auto"/>
        <w:ind w:left="426" w:firstLine="0"/>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lastRenderedPageBreak/>
        <w:t xml:space="preserve">Área de Alimentación y Asistencia Social </w:t>
      </w:r>
    </w:p>
    <w:p w14:paraId="7C9FACA1"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Programas alimentarios operados. </w:t>
      </w:r>
    </w:p>
    <w:p w14:paraId="14AE9FFE"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Padrón de beneficiarios por programa (versión pública). </w:t>
      </w:r>
    </w:p>
    <w:p w14:paraId="0A3C7E5C"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Reglas de operación de los programas. </w:t>
      </w:r>
    </w:p>
    <w:p w14:paraId="4DC853E8"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Relación de proveedores de insumos alimentarios. </w:t>
      </w:r>
    </w:p>
    <w:p w14:paraId="1947C5DF"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Presupuesto asignado y ejercido por programa.</w:t>
      </w:r>
    </w:p>
    <w:p w14:paraId="717EC6A3"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Informes de distribución de apoyos.</w:t>
      </w:r>
    </w:p>
    <w:p w14:paraId="2797581F" w14:textId="77777777" w:rsidR="00B2722B" w:rsidRPr="00E05D09" w:rsidRDefault="004425A1">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Atención a Personas con Discapacidad </w:t>
      </w:r>
    </w:p>
    <w:p w14:paraId="741C6F4E"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Programas y servicios dirigidos a personas con discapacidad. </w:t>
      </w:r>
    </w:p>
    <w:p w14:paraId="01E6FF92"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Número de beneficiarios atendidos. </w:t>
      </w:r>
    </w:p>
    <w:p w14:paraId="15E73DD0"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Tipo de apoyos otorgados. </w:t>
      </w:r>
    </w:p>
    <w:p w14:paraId="633B09C3"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Servicios de rehabilitación brindados. </w:t>
      </w:r>
    </w:p>
    <w:p w14:paraId="6AF26D55"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Presupuesto asignado y ejercido. </w:t>
      </w:r>
    </w:p>
    <w:p w14:paraId="71593A81" w14:textId="77777777" w:rsidR="00B2722B" w:rsidRPr="00E05D09" w:rsidRDefault="004425A1">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Comunicación Social </w:t>
      </w:r>
    </w:p>
    <w:p w14:paraId="072664F9"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Presupuesto autorizado y ejercido en comunicación social. </w:t>
      </w:r>
    </w:p>
    <w:p w14:paraId="66FC4C8B"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Relación de contratos de publicidad, difusión o servicios de comunicación. </w:t>
      </w:r>
    </w:p>
    <w:p w14:paraId="78115127"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Campañas institucionales realizadas.</w:t>
      </w:r>
    </w:p>
    <w:p w14:paraId="4B632B25"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Medios de comunicación contratados. </w:t>
      </w:r>
    </w:p>
    <w:p w14:paraId="367B0C86"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Informes de actividades del área. </w:t>
      </w:r>
    </w:p>
    <w:p w14:paraId="299C419B" w14:textId="77777777" w:rsidR="00B2722B" w:rsidRPr="00E05D09" w:rsidRDefault="004425A1">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Información General de Personal del DIF (2025–2026) </w:t>
      </w:r>
    </w:p>
    <w:p w14:paraId="6A8D9160"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Plantilla completa del personal del DIF. </w:t>
      </w:r>
    </w:p>
    <w:p w14:paraId="540F074F"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Relación de puestos, cargos y funciones. </w:t>
      </w:r>
    </w:p>
    <w:p w14:paraId="5F985011"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Remuneraciones brutas y netas de todo el personal. </w:t>
      </w:r>
    </w:p>
    <w:p w14:paraId="71448B5E"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Perfil de cada puesto. </w:t>
      </w:r>
    </w:p>
    <w:p w14:paraId="6DA38444"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lastRenderedPageBreak/>
        <w:t xml:space="preserve">Actividades o funciones asignadas por área. </w:t>
      </w:r>
    </w:p>
    <w:p w14:paraId="35160CEE" w14:textId="77777777" w:rsidR="00B2722B" w:rsidRPr="00E05D09" w:rsidRDefault="004425A1">
      <w:pPr>
        <w:numPr>
          <w:ilvl w:val="1"/>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Comparativo de la plantilla entre 2025 y 2026. </w:t>
      </w:r>
    </w:p>
    <w:p w14:paraId="29FAD36A" w14:textId="77777777" w:rsidR="00B2722B" w:rsidRPr="00E05D09" w:rsidRDefault="00B2722B">
      <w:pPr>
        <w:pBdr>
          <w:top w:val="nil"/>
          <w:left w:val="nil"/>
          <w:bottom w:val="nil"/>
          <w:right w:val="nil"/>
          <w:between w:val="nil"/>
        </w:pBdr>
        <w:ind w:left="720"/>
        <w:rPr>
          <w:rFonts w:ascii="Palatino Linotype" w:eastAsia="Palatino Linotype" w:hAnsi="Palatino Linotype" w:cs="Palatino Linotype"/>
          <w:color w:val="000000"/>
        </w:rPr>
      </w:pPr>
    </w:p>
    <w:p w14:paraId="168D51E4" w14:textId="77777777" w:rsidR="00B2722B" w:rsidRPr="00E05D09" w:rsidRDefault="004425A1">
      <w:pPr>
        <w:numPr>
          <w:ilvl w:val="0"/>
          <w:numId w:val="1"/>
        </w:numPr>
        <w:pBdr>
          <w:top w:val="nil"/>
          <w:left w:val="nil"/>
          <w:bottom w:val="nil"/>
          <w:right w:val="nil"/>
          <w:between w:val="nil"/>
        </w:pBdr>
        <w:tabs>
          <w:tab w:val="left" w:pos="0"/>
          <w:tab w:val="left" w:pos="567"/>
        </w:tabs>
        <w:spacing w:line="360" w:lineRule="auto"/>
        <w:ind w:left="0" w:right="-28"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Precisado lo anterior, se procede al análisis del requerimiento planteado por la persona solicitante y la respuesta proporcionada por el </w:t>
      </w:r>
      <w:r w:rsidRPr="00E05D09">
        <w:rPr>
          <w:rFonts w:ascii="Palatino Linotype" w:eastAsia="Palatino Linotype" w:hAnsi="Palatino Linotype" w:cs="Palatino Linotype"/>
          <w:b/>
          <w:bCs/>
        </w:rPr>
        <w:t>SUJETO OBLIGADO</w:t>
      </w:r>
      <w:r w:rsidRPr="00E05D09">
        <w:rPr>
          <w:rFonts w:ascii="Palatino Linotype" w:eastAsia="Palatino Linotype" w:hAnsi="Palatino Linotype" w:cs="Palatino Linotype"/>
        </w:rPr>
        <w:t xml:space="preserve">, a efecto de determinar si el derecho de acceso se satisfizo con las mismas, o en su defecto, señalar los documentos que en el ejercicio de sus atribuciones pudo haber generado, y que, de manera enunciativa más no limitativa, pudieran colmar dicho derecho. </w:t>
      </w:r>
    </w:p>
    <w:p w14:paraId="468B5D23" w14:textId="77777777" w:rsidR="00B2722B" w:rsidRPr="00E05D09" w:rsidRDefault="00B2722B">
      <w:pPr>
        <w:pBdr>
          <w:top w:val="nil"/>
          <w:left w:val="nil"/>
          <w:bottom w:val="nil"/>
          <w:right w:val="nil"/>
          <w:between w:val="nil"/>
        </w:pBdr>
        <w:ind w:left="720"/>
        <w:rPr>
          <w:rFonts w:ascii="Palatino Linotype" w:eastAsia="Palatino Linotype" w:hAnsi="Palatino Linotype" w:cs="Palatino Linotype"/>
          <w:color w:val="000000"/>
        </w:rPr>
      </w:pPr>
    </w:p>
    <w:p w14:paraId="6B80E23A"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En este sentido se inserta el siguiente cuadro de análisis:</w:t>
      </w:r>
    </w:p>
    <w:p w14:paraId="4A73B518" w14:textId="77777777" w:rsidR="00B2722B" w:rsidRPr="00E05D09" w:rsidRDefault="00B2722B">
      <w:pPr>
        <w:pBdr>
          <w:top w:val="nil"/>
          <w:left w:val="nil"/>
          <w:bottom w:val="nil"/>
          <w:right w:val="nil"/>
          <w:between w:val="nil"/>
        </w:pBdr>
        <w:ind w:left="720"/>
        <w:rPr>
          <w:rFonts w:ascii="Palatino Linotype" w:eastAsia="Palatino Linotype" w:hAnsi="Palatino Linotype" w:cs="Palatino Linotype"/>
          <w:color w:val="000000"/>
        </w:rPr>
      </w:pPr>
    </w:p>
    <w:tbl>
      <w:tblPr>
        <w:tblStyle w:val="a"/>
        <w:tblpPr w:leftFromText="141" w:rightFromText="141" w:vertAnchor="text" w:tblpX="137" w:tblpY="1"/>
        <w:tblW w:w="92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8"/>
        <w:gridCol w:w="717"/>
        <w:gridCol w:w="2965"/>
        <w:gridCol w:w="17"/>
        <w:gridCol w:w="144"/>
        <w:gridCol w:w="1528"/>
        <w:gridCol w:w="33"/>
        <w:gridCol w:w="2131"/>
      </w:tblGrid>
      <w:tr w:rsidR="00B2722B" w:rsidRPr="00E05D09" w14:paraId="13CE07E0" w14:textId="77777777" w:rsidTr="00E05D09">
        <w:tc>
          <w:tcPr>
            <w:tcW w:w="1688" w:type="dxa"/>
            <w:shd w:val="clear" w:color="auto" w:fill="D9D9D9"/>
          </w:tcPr>
          <w:p w14:paraId="53F73475" w14:textId="77777777" w:rsidR="00B2722B" w:rsidRPr="00E05D09" w:rsidRDefault="004425A1">
            <w:pPr>
              <w:pBdr>
                <w:top w:val="nil"/>
                <w:left w:val="nil"/>
                <w:bottom w:val="nil"/>
                <w:right w:val="nil"/>
                <w:between w:val="nil"/>
              </w:pBdr>
              <w:ind w:right="-4"/>
              <w:jc w:val="center"/>
              <w:rPr>
                <w:rFonts w:ascii="Palatino Linotype" w:eastAsia="Palatino Linotype" w:hAnsi="Palatino Linotype" w:cs="Palatino Linotype"/>
                <w:b/>
                <w:bCs/>
              </w:rPr>
            </w:pPr>
            <w:r w:rsidRPr="00E05D09">
              <w:rPr>
                <w:rFonts w:ascii="Palatino Linotype" w:eastAsia="Palatino Linotype" w:hAnsi="Palatino Linotype" w:cs="Palatino Linotype"/>
                <w:b/>
                <w:bCs/>
              </w:rPr>
              <w:t>Información Solicitada</w:t>
            </w:r>
          </w:p>
        </w:tc>
        <w:tc>
          <w:tcPr>
            <w:tcW w:w="3843" w:type="dxa"/>
            <w:gridSpan w:val="4"/>
            <w:shd w:val="clear" w:color="auto" w:fill="D9D9D9"/>
          </w:tcPr>
          <w:p w14:paraId="4DA44512" w14:textId="77777777" w:rsidR="00B2722B" w:rsidRPr="00E05D09" w:rsidRDefault="004425A1">
            <w:pPr>
              <w:pBdr>
                <w:top w:val="nil"/>
                <w:left w:val="nil"/>
                <w:bottom w:val="nil"/>
                <w:right w:val="nil"/>
                <w:between w:val="nil"/>
              </w:pBdr>
              <w:ind w:right="-4"/>
              <w:jc w:val="center"/>
              <w:rPr>
                <w:rFonts w:ascii="Palatino Linotype" w:eastAsia="Palatino Linotype" w:hAnsi="Palatino Linotype" w:cs="Palatino Linotype"/>
                <w:b/>
                <w:bCs/>
              </w:rPr>
            </w:pPr>
            <w:r w:rsidRPr="00E05D09">
              <w:rPr>
                <w:rFonts w:ascii="Palatino Linotype" w:eastAsia="Palatino Linotype" w:hAnsi="Palatino Linotype" w:cs="Palatino Linotype"/>
                <w:b/>
                <w:bCs/>
              </w:rPr>
              <w:t>Respuesta</w:t>
            </w:r>
          </w:p>
        </w:tc>
        <w:tc>
          <w:tcPr>
            <w:tcW w:w="1561" w:type="dxa"/>
            <w:gridSpan w:val="2"/>
            <w:shd w:val="clear" w:color="auto" w:fill="D9D9D9"/>
          </w:tcPr>
          <w:p w14:paraId="31FA91D7" w14:textId="77777777" w:rsidR="00B2722B" w:rsidRPr="00E05D09" w:rsidRDefault="004425A1">
            <w:pPr>
              <w:pBdr>
                <w:top w:val="nil"/>
                <w:left w:val="nil"/>
                <w:bottom w:val="nil"/>
                <w:right w:val="nil"/>
                <w:between w:val="nil"/>
              </w:pBdr>
              <w:ind w:right="-4"/>
              <w:jc w:val="center"/>
              <w:rPr>
                <w:rFonts w:ascii="Palatino Linotype" w:eastAsia="Palatino Linotype" w:hAnsi="Palatino Linotype" w:cs="Palatino Linotype"/>
                <w:b/>
                <w:bCs/>
              </w:rPr>
            </w:pPr>
            <w:r w:rsidRPr="00E05D09">
              <w:rPr>
                <w:rFonts w:ascii="Palatino Linotype" w:eastAsia="Palatino Linotype" w:hAnsi="Palatino Linotype" w:cs="Palatino Linotype"/>
                <w:b/>
                <w:bCs/>
              </w:rPr>
              <w:t>Informe Justificado</w:t>
            </w:r>
          </w:p>
        </w:tc>
        <w:tc>
          <w:tcPr>
            <w:tcW w:w="2131" w:type="dxa"/>
            <w:shd w:val="clear" w:color="auto" w:fill="D9D9D9"/>
          </w:tcPr>
          <w:p w14:paraId="74B9B7D3" w14:textId="77777777" w:rsidR="00B2722B" w:rsidRPr="00E05D09" w:rsidRDefault="004425A1">
            <w:pPr>
              <w:pBdr>
                <w:top w:val="nil"/>
                <w:left w:val="nil"/>
                <w:bottom w:val="nil"/>
                <w:right w:val="nil"/>
                <w:between w:val="nil"/>
              </w:pBdr>
              <w:ind w:right="-4"/>
              <w:jc w:val="center"/>
              <w:rPr>
                <w:rFonts w:ascii="Palatino Linotype" w:eastAsia="Palatino Linotype" w:hAnsi="Palatino Linotype" w:cs="Palatino Linotype"/>
                <w:b/>
                <w:bCs/>
              </w:rPr>
            </w:pPr>
            <w:r w:rsidRPr="00E05D09">
              <w:rPr>
                <w:rFonts w:ascii="Palatino Linotype" w:eastAsia="Palatino Linotype" w:hAnsi="Palatino Linotype" w:cs="Palatino Linotype"/>
                <w:b/>
                <w:bCs/>
              </w:rPr>
              <w:t>Comentario</w:t>
            </w:r>
          </w:p>
        </w:tc>
      </w:tr>
      <w:tr w:rsidR="00B2722B" w:rsidRPr="00E05D09" w14:paraId="3B2222EF" w14:textId="77777777" w:rsidTr="00E05D09">
        <w:tc>
          <w:tcPr>
            <w:tcW w:w="9223" w:type="dxa"/>
            <w:gridSpan w:val="8"/>
            <w:shd w:val="clear" w:color="auto" w:fill="BFBFBF"/>
          </w:tcPr>
          <w:p w14:paraId="6210D758" w14:textId="77777777" w:rsidR="00B2722B" w:rsidRPr="00E05D09" w:rsidRDefault="004425A1">
            <w:pPr>
              <w:pBdr>
                <w:top w:val="nil"/>
                <w:left w:val="nil"/>
                <w:bottom w:val="nil"/>
                <w:right w:val="nil"/>
                <w:between w:val="nil"/>
              </w:pBdr>
              <w:ind w:right="-4"/>
              <w:jc w:val="center"/>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rPr>
              <w:t>Presidencia y Dirección General</w:t>
            </w:r>
          </w:p>
        </w:tc>
      </w:tr>
      <w:tr w:rsidR="00B2722B" w:rsidRPr="00E05D09" w14:paraId="3E950C99" w14:textId="77777777" w:rsidTr="00E05D09">
        <w:tc>
          <w:tcPr>
            <w:tcW w:w="1688" w:type="dxa"/>
          </w:tcPr>
          <w:p w14:paraId="27A30E1B" w14:textId="77777777" w:rsidR="00B2722B" w:rsidRPr="00E05D09" w:rsidRDefault="004425A1">
            <w:pPr>
              <w:numPr>
                <w:ilvl w:val="0"/>
                <w:numId w:val="21"/>
              </w:numPr>
              <w:ind w:left="0" w:right="-4" w:firstLine="0"/>
              <w:jc w:val="both"/>
              <w:rPr>
                <w:rFonts w:ascii="Palatino Linotype" w:eastAsia="Palatino Linotype" w:hAnsi="Palatino Linotype" w:cs="Palatino Linotype"/>
              </w:rPr>
            </w:pPr>
            <w:r w:rsidRPr="00E05D09">
              <w:rPr>
                <w:rFonts w:ascii="Palatino Linotype" w:eastAsia="Palatino Linotype" w:hAnsi="Palatino Linotype" w:cs="Palatino Linotype"/>
                <w:color w:val="000000"/>
              </w:rPr>
              <w:t>Estructura orgánica vigente</w:t>
            </w:r>
          </w:p>
        </w:tc>
        <w:tc>
          <w:tcPr>
            <w:tcW w:w="3843" w:type="dxa"/>
            <w:gridSpan w:val="4"/>
          </w:tcPr>
          <w:p w14:paraId="3560EF23"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El Servidor Público Habilitado, remite el organigrama vigente, del que se advierte la estructura del personal; así como la Plantilla de Personal </w:t>
            </w:r>
          </w:p>
          <w:p w14:paraId="62C2D692" w14:textId="77777777" w:rsidR="00B2722B" w:rsidRPr="00E05D09" w:rsidRDefault="00B2722B">
            <w:pPr>
              <w:pBdr>
                <w:top w:val="nil"/>
                <w:left w:val="nil"/>
                <w:bottom w:val="nil"/>
                <w:right w:val="nil"/>
                <w:between w:val="nil"/>
              </w:pBdr>
              <w:ind w:right="-4"/>
              <w:jc w:val="both"/>
              <w:rPr>
                <w:rFonts w:ascii="Palatino Linotype" w:eastAsia="Palatino Linotype" w:hAnsi="Palatino Linotype" w:cs="Palatino Linotype"/>
                <w:b/>
                <w:bCs/>
              </w:rPr>
            </w:pPr>
          </w:p>
        </w:tc>
        <w:tc>
          <w:tcPr>
            <w:tcW w:w="1561" w:type="dxa"/>
            <w:gridSpan w:val="2"/>
          </w:tcPr>
          <w:p w14:paraId="67AE9C78"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rPr>
              <w:t>Ratifica respuesta</w:t>
            </w:r>
          </w:p>
        </w:tc>
        <w:tc>
          <w:tcPr>
            <w:tcW w:w="2131" w:type="dxa"/>
          </w:tcPr>
          <w:p w14:paraId="30B583FB"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b/>
                <w:bCs/>
              </w:rPr>
              <w:t xml:space="preserve">Colma Parcialmente, </w:t>
            </w:r>
            <w:r w:rsidRPr="00E05D09">
              <w:rPr>
                <w:rFonts w:ascii="Palatino Linotype" w:eastAsia="Palatino Linotype" w:hAnsi="Palatino Linotype" w:cs="Palatino Linotype"/>
              </w:rPr>
              <w:t xml:space="preserve">toda vez que no precisa si la información remitida corresponde al ejercicio fiscal 2025 o 2026 </w:t>
            </w:r>
          </w:p>
        </w:tc>
      </w:tr>
      <w:tr w:rsidR="00B2722B" w:rsidRPr="00E05D09" w14:paraId="58F2A44D" w14:textId="77777777" w:rsidTr="00E05D09">
        <w:tc>
          <w:tcPr>
            <w:tcW w:w="1688" w:type="dxa"/>
          </w:tcPr>
          <w:p w14:paraId="7711304E"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Organigrama autorizado</w:t>
            </w:r>
          </w:p>
        </w:tc>
        <w:tc>
          <w:tcPr>
            <w:tcW w:w="3843" w:type="dxa"/>
            <w:gridSpan w:val="4"/>
          </w:tcPr>
          <w:p w14:paraId="697721A9"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El Servidor Público Habilitado, remite el organigrama vigente, del que se advierte la estructura del personal; así como la Plantilla de Personal </w:t>
            </w:r>
          </w:p>
          <w:p w14:paraId="1A533E04" w14:textId="77777777" w:rsidR="00B2722B" w:rsidRPr="00E05D09" w:rsidRDefault="00B2722B">
            <w:pPr>
              <w:pBdr>
                <w:top w:val="nil"/>
                <w:left w:val="nil"/>
                <w:bottom w:val="nil"/>
                <w:right w:val="nil"/>
                <w:between w:val="nil"/>
              </w:pBdr>
              <w:ind w:right="-4"/>
              <w:jc w:val="both"/>
              <w:rPr>
                <w:rFonts w:ascii="Palatino Linotype" w:eastAsia="Palatino Linotype" w:hAnsi="Palatino Linotype" w:cs="Palatino Linotype"/>
                <w:b/>
                <w:bCs/>
              </w:rPr>
            </w:pPr>
          </w:p>
        </w:tc>
        <w:tc>
          <w:tcPr>
            <w:tcW w:w="1561" w:type="dxa"/>
            <w:gridSpan w:val="2"/>
          </w:tcPr>
          <w:p w14:paraId="067EEF55"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rPr>
              <w:t>Ratifica respuesta</w:t>
            </w:r>
          </w:p>
        </w:tc>
        <w:tc>
          <w:tcPr>
            <w:tcW w:w="2131" w:type="dxa"/>
          </w:tcPr>
          <w:p w14:paraId="4EB0351E"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b/>
                <w:bCs/>
              </w:rPr>
              <w:t xml:space="preserve">Colma Parcialmente, </w:t>
            </w:r>
            <w:r w:rsidRPr="00E05D09">
              <w:rPr>
                <w:rFonts w:ascii="Palatino Linotype" w:eastAsia="Palatino Linotype" w:hAnsi="Palatino Linotype" w:cs="Palatino Linotype"/>
              </w:rPr>
              <w:t>toda vez que no precisa si la información remitida corresponde al ejercicio fiscal 2025 o 2026</w:t>
            </w:r>
          </w:p>
        </w:tc>
      </w:tr>
      <w:tr w:rsidR="00B2722B" w:rsidRPr="00E05D09" w14:paraId="7ED51107" w14:textId="77777777" w:rsidTr="00E05D09">
        <w:tc>
          <w:tcPr>
            <w:tcW w:w="1688" w:type="dxa"/>
          </w:tcPr>
          <w:p w14:paraId="6F960718"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lastRenderedPageBreak/>
              <w:t>Manual de organización</w:t>
            </w:r>
          </w:p>
        </w:tc>
        <w:tc>
          <w:tcPr>
            <w:tcW w:w="7535" w:type="dxa"/>
            <w:gridSpan w:val="7"/>
          </w:tcPr>
          <w:p w14:paraId="699B1DDA" w14:textId="77777777" w:rsidR="00B2722B" w:rsidRPr="00E05D09" w:rsidRDefault="004425A1">
            <w:pPr>
              <w:pBdr>
                <w:top w:val="nil"/>
                <w:left w:val="nil"/>
                <w:bottom w:val="nil"/>
                <w:right w:val="nil"/>
                <w:between w:val="nil"/>
              </w:pBdr>
              <w:ind w:right="-4"/>
              <w:jc w:val="center"/>
              <w:rPr>
                <w:rFonts w:ascii="Palatino Linotype" w:eastAsia="Palatino Linotype" w:hAnsi="Palatino Linotype" w:cs="Palatino Linotype"/>
                <w:b/>
                <w:bCs/>
              </w:rPr>
            </w:pPr>
            <w:r w:rsidRPr="00E05D09">
              <w:rPr>
                <w:rFonts w:ascii="Palatino Linotype" w:eastAsia="Palatino Linotype" w:hAnsi="Palatino Linotype" w:cs="Palatino Linotype"/>
              </w:rPr>
              <w:t>No se pronunció</w:t>
            </w:r>
          </w:p>
        </w:tc>
      </w:tr>
      <w:tr w:rsidR="00B2722B" w:rsidRPr="00E05D09" w14:paraId="6838DD96" w14:textId="77777777" w:rsidTr="00E05D09">
        <w:tc>
          <w:tcPr>
            <w:tcW w:w="1688" w:type="dxa"/>
          </w:tcPr>
          <w:p w14:paraId="4EFB3BC5" w14:textId="77777777" w:rsidR="00B2722B" w:rsidRPr="00E05D09" w:rsidRDefault="004425A1">
            <w:pPr>
              <w:numPr>
                <w:ilvl w:val="0"/>
                <w:numId w:val="21"/>
              </w:numPr>
              <w:pBdr>
                <w:top w:val="nil"/>
                <w:left w:val="nil"/>
                <w:bottom w:val="nil"/>
                <w:right w:val="nil"/>
                <w:between w:val="nil"/>
              </w:pBdr>
              <w:spacing w:after="160"/>
              <w:ind w:left="0" w:firstLine="0"/>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Manuales de procedimientos vigentes.</w:t>
            </w:r>
          </w:p>
          <w:p w14:paraId="1730C2B8" w14:textId="77777777" w:rsidR="00B2722B" w:rsidRPr="00E05D09" w:rsidRDefault="00B2722B">
            <w:pPr>
              <w:ind w:right="-4"/>
              <w:jc w:val="both"/>
              <w:rPr>
                <w:rFonts w:ascii="Palatino Linotype" w:eastAsia="Palatino Linotype" w:hAnsi="Palatino Linotype" w:cs="Palatino Linotype"/>
                <w:color w:val="000000"/>
              </w:rPr>
            </w:pPr>
          </w:p>
        </w:tc>
        <w:tc>
          <w:tcPr>
            <w:tcW w:w="7535" w:type="dxa"/>
            <w:gridSpan w:val="7"/>
          </w:tcPr>
          <w:p w14:paraId="44AAD1A1" w14:textId="77777777" w:rsidR="00B2722B" w:rsidRPr="00E05D09" w:rsidRDefault="004425A1">
            <w:pPr>
              <w:jc w:val="center"/>
              <w:rPr>
                <w:rFonts w:ascii="Palatino Linotype" w:eastAsia="Palatino Linotype" w:hAnsi="Palatino Linotype" w:cs="Palatino Linotype"/>
              </w:rPr>
            </w:pPr>
            <w:r w:rsidRPr="00E05D09">
              <w:rPr>
                <w:rFonts w:ascii="Palatino Linotype" w:eastAsia="Palatino Linotype" w:hAnsi="Palatino Linotype" w:cs="Palatino Linotype"/>
              </w:rPr>
              <w:t>No se pronunció</w:t>
            </w:r>
          </w:p>
        </w:tc>
      </w:tr>
      <w:tr w:rsidR="00B2722B" w:rsidRPr="00E05D09" w14:paraId="32AE984F" w14:textId="77777777" w:rsidTr="00E05D09">
        <w:tc>
          <w:tcPr>
            <w:tcW w:w="1688" w:type="dxa"/>
          </w:tcPr>
          <w:p w14:paraId="6899A3FF" w14:textId="77777777" w:rsidR="00B2722B" w:rsidRPr="00E05D09" w:rsidRDefault="004425A1">
            <w:pPr>
              <w:numPr>
                <w:ilvl w:val="0"/>
                <w:numId w:val="21"/>
              </w:numPr>
              <w:pBdr>
                <w:top w:val="nil"/>
                <w:left w:val="nil"/>
                <w:bottom w:val="nil"/>
                <w:right w:val="nil"/>
                <w:between w:val="nil"/>
              </w:pBdr>
              <w:ind w:left="0" w:firstLine="0"/>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Planes, programas y proyectos institucionales autorizados. </w:t>
            </w:r>
          </w:p>
          <w:p w14:paraId="69356C0A" w14:textId="77777777" w:rsidR="00B2722B" w:rsidRPr="00E05D09" w:rsidRDefault="00B2722B">
            <w:pPr>
              <w:pBdr>
                <w:top w:val="nil"/>
                <w:left w:val="nil"/>
                <w:bottom w:val="nil"/>
                <w:right w:val="nil"/>
                <w:between w:val="nil"/>
              </w:pBdr>
              <w:spacing w:after="160"/>
              <w:rPr>
                <w:rFonts w:ascii="Palatino Linotype" w:eastAsia="Palatino Linotype" w:hAnsi="Palatino Linotype" w:cs="Palatino Linotype"/>
                <w:color w:val="000000"/>
              </w:rPr>
            </w:pPr>
          </w:p>
        </w:tc>
        <w:tc>
          <w:tcPr>
            <w:tcW w:w="7535" w:type="dxa"/>
            <w:gridSpan w:val="7"/>
          </w:tcPr>
          <w:p w14:paraId="417EA5E2" w14:textId="77777777" w:rsidR="00B2722B" w:rsidRPr="00E05D09" w:rsidRDefault="004425A1">
            <w:pPr>
              <w:jc w:val="center"/>
              <w:rPr>
                <w:rFonts w:ascii="Palatino Linotype" w:eastAsia="Palatino Linotype" w:hAnsi="Palatino Linotype" w:cs="Palatino Linotype"/>
              </w:rPr>
            </w:pPr>
            <w:r w:rsidRPr="00E05D09">
              <w:rPr>
                <w:rFonts w:ascii="Palatino Linotype" w:eastAsia="Palatino Linotype" w:hAnsi="Palatino Linotype" w:cs="Palatino Linotype"/>
              </w:rPr>
              <w:t>No se pronunció</w:t>
            </w:r>
          </w:p>
        </w:tc>
      </w:tr>
      <w:tr w:rsidR="00B2722B" w:rsidRPr="00E05D09" w14:paraId="360D4E68" w14:textId="77777777" w:rsidTr="00E05D09">
        <w:tc>
          <w:tcPr>
            <w:tcW w:w="1688" w:type="dxa"/>
          </w:tcPr>
          <w:p w14:paraId="6F15D3EE" w14:textId="77777777" w:rsidR="00B2722B" w:rsidRPr="00E05D09" w:rsidRDefault="004425A1">
            <w:pPr>
              <w:numPr>
                <w:ilvl w:val="0"/>
                <w:numId w:val="21"/>
              </w:numPr>
              <w:pBdr>
                <w:top w:val="nil"/>
                <w:left w:val="nil"/>
                <w:bottom w:val="nil"/>
                <w:right w:val="nil"/>
                <w:between w:val="nil"/>
              </w:pBdr>
              <w:ind w:left="0" w:firstLine="0"/>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Informes de actividades anuales o trimestrales. </w:t>
            </w:r>
          </w:p>
          <w:p w14:paraId="33704B5F" w14:textId="77777777" w:rsidR="00B2722B" w:rsidRPr="00E05D09" w:rsidRDefault="00B2722B">
            <w:pPr>
              <w:pBdr>
                <w:top w:val="nil"/>
                <w:left w:val="nil"/>
                <w:bottom w:val="nil"/>
                <w:right w:val="nil"/>
                <w:between w:val="nil"/>
              </w:pBdr>
              <w:spacing w:after="160"/>
              <w:rPr>
                <w:rFonts w:ascii="Palatino Linotype" w:eastAsia="Palatino Linotype" w:hAnsi="Palatino Linotype" w:cs="Palatino Linotype"/>
                <w:color w:val="000000"/>
              </w:rPr>
            </w:pPr>
          </w:p>
        </w:tc>
        <w:tc>
          <w:tcPr>
            <w:tcW w:w="7535" w:type="dxa"/>
            <w:gridSpan w:val="7"/>
          </w:tcPr>
          <w:p w14:paraId="7608435D" w14:textId="77777777" w:rsidR="00B2722B" w:rsidRPr="00E05D09" w:rsidRDefault="004425A1">
            <w:pPr>
              <w:jc w:val="center"/>
              <w:rPr>
                <w:rFonts w:ascii="Palatino Linotype" w:eastAsia="Palatino Linotype" w:hAnsi="Palatino Linotype" w:cs="Palatino Linotype"/>
              </w:rPr>
            </w:pPr>
            <w:r w:rsidRPr="00E05D09">
              <w:rPr>
                <w:rFonts w:ascii="Palatino Linotype" w:eastAsia="Palatino Linotype" w:hAnsi="Palatino Linotype" w:cs="Palatino Linotype"/>
              </w:rPr>
              <w:t>No se pronunció</w:t>
            </w:r>
          </w:p>
        </w:tc>
      </w:tr>
      <w:tr w:rsidR="00B2722B" w:rsidRPr="00E05D09" w14:paraId="45A6F82F" w14:textId="77777777" w:rsidTr="00E05D09">
        <w:tc>
          <w:tcPr>
            <w:tcW w:w="1688" w:type="dxa"/>
          </w:tcPr>
          <w:p w14:paraId="3785BCEE" w14:textId="77777777" w:rsidR="00B2722B" w:rsidRPr="00E05D09" w:rsidRDefault="004425A1">
            <w:pPr>
              <w:numPr>
                <w:ilvl w:val="0"/>
                <w:numId w:val="21"/>
              </w:numPr>
              <w:pBdr>
                <w:top w:val="nil"/>
                <w:left w:val="nil"/>
                <w:bottom w:val="nil"/>
                <w:right w:val="nil"/>
                <w:between w:val="nil"/>
              </w:pBdr>
              <w:ind w:left="0" w:firstLine="0"/>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Metas, indicadores y resultados de gestión institucional. </w:t>
            </w:r>
          </w:p>
          <w:p w14:paraId="20ADC570" w14:textId="77777777" w:rsidR="00B2722B" w:rsidRPr="00E05D09" w:rsidRDefault="00B2722B">
            <w:pPr>
              <w:pBdr>
                <w:top w:val="nil"/>
                <w:left w:val="nil"/>
                <w:bottom w:val="nil"/>
                <w:right w:val="nil"/>
                <w:between w:val="nil"/>
              </w:pBdr>
              <w:spacing w:after="160"/>
              <w:rPr>
                <w:rFonts w:ascii="Palatino Linotype" w:eastAsia="Palatino Linotype" w:hAnsi="Palatino Linotype" w:cs="Palatino Linotype"/>
                <w:color w:val="000000"/>
              </w:rPr>
            </w:pPr>
          </w:p>
        </w:tc>
        <w:tc>
          <w:tcPr>
            <w:tcW w:w="7535" w:type="dxa"/>
            <w:gridSpan w:val="7"/>
          </w:tcPr>
          <w:p w14:paraId="457C1E66" w14:textId="77777777" w:rsidR="00B2722B" w:rsidRPr="00E05D09" w:rsidRDefault="004425A1">
            <w:pPr>
              <w:jc w:val="center"/>
              <w:rPr>
                <w:rFonts w:ascii="Palatino Linotype" w:eastAsia="Palatino Linotype" w:hAnsi="Palatino Linotype" w:cs="Palatino Linotype"/>
              </w:rPr>
            </w:pPr>
            <w:r w:rsidRPr="00E05D09">
              <w:rPr>
                <w:rFonts w:ascii="Palatino Linotype" w:eastAsia="Palatino Linotype" w:hAnsi="Palatino Linotype" w:cs="Palatino Linotype"/>
              </w:rPr>
              <w:t>No se pronunció</w:t>
            </w:r>
          </w:p>
        </w:tc>
      </w:tr>
      <w:tr w:rsidR="00B2722B" w:rsidRPr="00E05D09" w14:paraId="64105C0E" w14:textId="77777777" w:rsidTr="00E05D09">
        <w:tc>
          <w:tcPr>
            <w:tcW w:w="9223" w:type="dxa"/>
            <w:gridSpan w:val="8"/>
            <w:shd w:val="clear" w:color="auto" w:fill="BFBFBF"/>
          </w:tcPr>
          <w:p w14:paraId="318C07B4" w14:textId="77777777" w:rsidR="00B2722B" w:rsidRPr="00E05D09" w:rsidRDefault="004425A1">
            <w:pPr>
              <w:pBdr>
                <w:top w:val="nil"/>
                <w:left w:val="nil"/>
                <w:bottom w:val="nil"/>
                <w:right w:val="nil"/>
                <w:between w:val="nil"/>
              </w:pBdr>
              <w:ind w:right="-4"/>
              <w:jc w:val="center"/>
              <w:rPr>
                <w:rFonts w:ascii="Palatino Linotype" w:eastAsia="Palatino Linotype" w:hAnsi="Palatino Linotype" w:cs="Palatino Linotype"/>
                <w:b/>
                <w:bCs/>
              </w:rPr>
            </w:pPr>
            <w:r w:rsidRPr="00E05D09">
              <w:rPr>
                <w:rFonts w:ascii="Palatino Linotype" w:eastAsia="Palatino Linotype" w:hAnsi="Palatino Linotype" w:cs="Palatino Linotype"/>
                <w:b/>
                <w:bCs/>
                <w:color w:val="000000"/>
              </w:rPr>
              <w:t>Tesorería</w:t>
            </w:r>
          </w:p>
        </w:tc>
      </w:tr>
      <w:tr w:rsidR="00B2722B" w:rsidRPr="00E05D09" w14:paraId="231914E0" w14:textId="77777777" w:rsidTr="00E05D09">
        <w:tc>
          <w:tcPr>
            <w:tcW w:w="1688" w:type="dxa"/>
          </w:tcPr>
          <w:p w14:paraId="62A872DB" w14:textId="77777777" w:rsidR="00B2722B" w:rsidRPr="00E05D09" w:rsidRDefault="004425A1">
            <w:pPr>
              <w:numPr>
                <w:ilvl w:val="0"/>
                <w:numId w:val="21"/>
              </w:numPr>
              <w:pBdr>
                <w:top w:val="nil"/>
                <w:left w:val="nil"/>
                <w:bottom w:val="nil"/>
                <w:right w:val="nil"/>
                <w:between w:val="nil"/>
              </w:pBd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Presupuesto autorizado y ejercido por capítulo,  concepto y </w:t>
            </w:r>
            <w:r w:rsidRPr="00E05D09">
              <w:rPr>
                <w:rFonts w:ascii="Palatino Linotype" w:eastAsia="Palatino Linotype" w:hAnsi="Palatino Linotype" w:cs="Palatino Linotype"/>
                <w:color w:val="000000"/>
              </w:rPr>
              <w:lastRenderedPageBreak/>
              <w:t>partida del gasto</w:t>
            </w:r>
          </w:p>
        </w:tc>
        <w:tc>
          <w:tcPr>
            <w:tcW w:w="7535" w:type="dxa"/>
            <w:gridSpan w:val="7"/>
          </w:tcPr>
          <w:p w14:paraId="734B195E" w14:textId="77777777" w:rsidR="00B2722B" w:rsidRPr="00E05D09" w:rsidRDefault="004425A1">
            <w:pPr>
              <w:jc w:val="center"/>
              <w:rPr>
                <w:rFonts w:ascii="Palatino Linotype" w:eastAsia="Palatino Linotype" w:hAnsi="Palatino Linotype" w:cs="Palatino Linotype"/>
              </w:rPr>
            </w:pPr>
            <w:r w:rsidRPr="00E05D09">
              <w:rPr>
                <w:rFonts w:ascii="Palatino Linotype" w:eastAsia="Palatino Linotype" w:hAnsi="Palatino Linotype" w:cs="Palatino Linotype"/>
              </w:rPr>
              <w:lastRenderedPageBreak/>
              <w:t>No se pronunció</w:t>
            </w:r>
          </w:p>
        </w:tc>
      </w:tr>
      <w:tr w:rsidR="00B2722B" w:rsidRPr="00E05D09" w14:paraId="338FD16B" w14:textId="77777777" w:rsidTr="00E05D09">
        <w:tc>
          <w:tcPr>
            <w:tcW w:w="1688" w:type="dxa"/>
          </w:tcPr>
          <w:p w14:paraId="1442943E" w14:textId="77777777" w:rsidR="00B2722B" w:rsidRPr="00E05D09" w:rsidRDefault="004425A1">
            <w:pPr>
              <w:numPr>
                <w:ilvl w:val="0"/>
                <w:numId w:val="21"/>
              </w:numPr>
              <w:pBdr>
                <w:top w:val="nil"/>
                <w:left w:val="nil"/>
                <w:bottom w:val="nil"/>
                <w:right w:val="nil"/>
                <w:between w:val="nil"/>
              </w:pBd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Estado analítico de ingresos y egresos</w:t>
            </w:r>
          </w:p>
        </w:tc>
        <w:tc>
          <w:tcPr>
            <w:tcW w:w="7535" w:type="dxa"/>
            <w:gridSpan w:val="7"/>
          </w:tcPr>
          <w:p w14:paraId="593DD135" w14:textId="77777777" w:rsidR="00B2722B" w:rsidRPr="00E05D09" w:rsidRDefault="004425A1">
            <w:pPr>
              <w:jc w:val="center"/>
              <w:rPr>
                <w:rFonts w:ascii="Palatino Linotype" w:eastAsia="Palatino Linotype" w:hAnsi="Palatino Linotype" w:cs="Palatino Linotype"/>
              </w:rPr>
            </w:pPr>
            <w:r w:rsidRPr="00E05D09">
              <w:rPr>
                <w:rFonts w:ascii="Palatino Linotype" w:eastAsia="Palatino Linotype" w:hAnsi="Palatino Linotype" w:cs="Palatino Linotype"/>
              </w:rPr>
              <w:t>No se pronunció</w:t>
            </w:r>
          </w:p>
        </w:tc>
      </w:tr>
      <w:tr w:rsidR="00B2722B" w:rsidRPr="00E05D09" w14:paraId="5658789A" w14:textId="77777777" w:rsidTr="00E05D09">
        <w:tc>
          <w:tcPr>
            <w:tcW w:w="1688" w:type="dxa"/>
          </w:tcPr>
          <w:p w14:paraId="2F61D6AE" w14:textId="77777777" w:rsidR="00B2722B" w:rsidRPr="00E05D09" w:rsidRDefault="004425A1">
            <w:pPr>
              <w:numPr>
                <w:ilvl w:val="0"/>
                <w:numId w:val="21"/>
              </w:numPr>
              <w:pBdr>
                <w:top w:val="nil"/>
                <w:left w:val="nil"/>
                <w:bottom w:val="nil"/>
                <w:right w:val="nil"/>
                <w:between w:val="nil"/>
              </w:pBd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Estados financieros (balance general, estado de actividades, flujo de efectivo)</w:t>
            </w:r>
          </w:p>
        </w:tc>
        <w:tc>
          <w:tcPr>
            <w:tcW w:w="7535" w:type="dxa"/>
            <w:gridSpan w:val="7"/>
          </w:tcPr>
          <w:p w14:paraId="57759EC3" w14:textId="77777777" w:rsidR="00B2722B" w:rsidRPr="00E05D09" w:rsidRDefault="004425A1">
            <w:pPr>
              <w:jc w:val="center"/>
              <w:rPr>
                <w:rFonts w:ascii="Palatino Linotype" w:eastAsia="Palatino Linotype" w:hAnsi="Palatino Linotype" w:cs="Palatino Linotype"/>
              </w:rPr>
            </w:pPr>
            <w:r w:rsidRPr="00E05D09">
              <w:rPr>
                <w:rFonts w:ascii="Palatino Linotype" w:eastAsia="Palatino Linotype" w:hAnsi="Palatino Linotype" w:cs="Palatino Linotype"/>
              </w:rPr>
              <w:t>No se pronunció</w:t>
            </w:r>
          </w:p>
        </w:tc>
      </w:tr>
      <w:tr w:rsidR="00B2722B" w:rsidRPr="00E05D09" w14:paraId="404D36CC" w14:textId="77777777" w:rsidTr="00E05D09">
        <w:tc>
          <w:tcPr>
            <w:tcW w:w="1688" w:type="dxa"/>
          </w:tcPr>
          <w:p w14:paraId="1B179D04" w14:textId="77777777" w:rsidR="00B2722B" w:rsidRPr="00E05D09" w:rsidRDefault="004425A1">
            <w:pPr>
              <w:numPr>
                <w:ilvl w:val="0"/>
                <w:numId w:val="21"/>
              </w:numPr>
              <w:pBdr>
                <w:top w:val="nil"/>
                <w:left w:val="nil"/>
                <w:bottom w:val="nil"/>
                <w:right w:val="nil"/>
                <w:between w:val="nil"/>
              </w:pBd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Relación de cuentas bancarias activas</w:t>
            </w:r>
          </w:p>
        </w:tc>
        <w:tc>
          <w:tcPr>
            <w:tcW w:w="7535" w:type="dxa"/>
            <w:gridSpan w:val="7"/>
          </w:tcPr>
          <w:p w14:paraId="73EF5999" w14:textId="77777777" w:rsidR="00B2722B" w:rsidRPr="00E05D09" w:rsidRDefault="004425A1">
            <w:pPr>
              <w:jc w:val="center"/>
              <w:rPr>
                <w:rFonts w:ascii="Palatino Linotype" w:eastAsia="Palatino Linotype" w:hAnsi="Palatino Linotype" w:cs="Palatino Linotype"/>
              </w:rPr>
            </w:pPr>
            <w:r w:rsidRPr="00E05D09">
              <w:rPr>
                <w:rFonts w:ascii="Palatino Linotype" w:eastAsia="Palatino Linotype" w:hAnsi="Palatino Linotype" w:cs="Palatino Linotype"/>
              </w:rPr>
              <w:t>No se pronunció</w:t>
            </w:r>
          </w:p>
        </w:tc>
      </w:tr>
      <w:tr w:rsidR="00B2722B" w:rsidRPr="00E05D09" w14:paraId="4A1BDB20" w14:textId="77777777" w:rsidTr="00E05D09">
        <w:tc>
          <w:tcPr>
            <w:tcW w:w="1688" w:type="dxa"/>
          </w:tcPr>
          <w:p w14:paraId="6D3BFF75" w14:textId="77777777" w:rsidR="00B2722B" w:rsidRPr="00E05D09" w:rsidRDefault="004425A1">
            <w:pPr>
              <w:numPr>
                <w:ilvl w:val="0"/>
                <w:numId w:val="21"/>
              </w:numPr>
              <w:pBdr>
                <w:top w:val="nil"/>
                <w:left w:val="nil"/>
                <w:bottom w:val="nil"/>
                <w:right w:val="nil"/>
                <w:between w:val="nil"/>
              </w:pBd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Contratos, convenios o instrumentos financieros celebrados</w:t>
            </w:r>
          </w:p>
        </w:tc>
        <w:tc>
          <w:tcPr>
            <w:tcW w:w="7535" w:type="dxa"/>
            <w:gridSpan w:val="7"/>
          </w:tcPr>
          <w:p w14:paraId="31C4130E" w14:textId="77777777" w:rsidR="00B2722B" w:rsidRPr="00E05D09" w:rsidRDefault="004425A1">
            <w:pPr>
              <w:jc w:val="center"/>
              <w:rPr>
                <w:rFonts w:ascii="Palatino Linotype" w:eastAsia="Palatino Linotype" w:hAnsi="Palatino Linotype" w:cs="Palatino Linotype"/>
              </w:rPr>
            </w:pPr>
            <w:r w:rsidRPr="00E05D09">
              <w:rPr>
                <w:rFonts w:ascii="Palatino Linotype" w:eastAsia="Palatino Linotype" w:hAnsi="Palatino Linotype" w:cs="Palatino Linotype"/>
              </w:rPr>
              <w:t>No se pronunció</w:t>
            </w:r>
          </w:p>
        </w:tc>
      </w:tr>
      <w:tr w:rsidR="00B2722B" w:rsidRPr="00E05D09" w14:paraId="7A15A878" w14:textId="77777777" w:rsidTr="00E05D09">
        <w:tc>
          <w:tcPr>
            <w:tcW w:w="1688" w:type="dxa"/>
          </w:tcPr>
          <w:p w14:paraId="29B228B4" w14:textId="77777777" w:rsidR="00B2722B" w:rsidRPr="00E05D09" w:rsidRDefault="004425A1">
            <w:pPr>
              <w:numPr>
                <w:ilvl w:val="0"/>
                <w:numId w:val="21"/>
              </w:numPr>
              <w:pBdr>
                <w:top w:val="nil"/>
                <w:left w:val="nil"/>
                <w:bottom w:val="nil"/>
                <w:right w:val="nil"/>
                <w:between w:val="nil"/>
              </w:pBd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Informes de auditorías internas o externas, así como observaciones y solventaciones</w:t>
            </w:r>
          </w:p>
        </w:tc>
        <w:tc>
          <w:tcPr>
            <w:tcW w:w="7535" w:type="dxa"/>
            <w:gridSpan w:val="7"/>
          </w:tcPr>
          <w:p w14:paraId="32D03F35" w14:textId="77777777" w:rsidR="00B2722B" w:rsidRPr="00E05D09" w:rsidRDefault="004425A1">
            <w:pPr>
              <w:jc w:val="center"/>
              <w:rPr>
                <w:rFonts w:ascii="Palatino Linotype" w:eastAsia="Palatino Linotype" w:hAnsi="Palatino Linotype" w:cs="Palatino Linotype"/>
              </w:rPr>
            </w:pPr>
            <w:r w:rsidRPr="00E05D09">
              <w:rPr>
                <w:rFonts w:ascii="Palatino Linotype" w:eastAsia="Palatino Linotype" w:hAnsi="Palatino Linotype" w:cs="Palatino Linotype"/>
              </w:rPr>
              <w:t>No se pronunció</w:t>
            </w:r>
          </w:p>
        </w:tc>
      </w:tr>
      <w:tr w:rsidR="00B2722B" w:rsidRPr="00E05D09" w14:paraId="4F0BC2BB" w14:textId="77777777" w:rsidTr="00E05D09">
        <w:tc>
          <w:tcPr>
            <w:tcW w:w="1688" w:type="dxa"/>
          </w:tcPr>
          <w:p w14:paraId="2BED0A17" w14:textId="77777777" w:rsidR="00B2722B" w:rsidRPr="00E05D09" w:rsidRDefault="004425A1">
            <w:pPr>
              <w:numPr>
                <w:ilvl w:val="0"/>
                <w:numId w:val="21"/>
              </w:numPr>
              <w:pBdr>
                <w:top w:val="nil"/>
                <w:left w:val="nil"/>
                <w:bottom w:val="nil"/>
                <w:right w:val="nil"/>
                <w:between w:val="nil"/>
              </w:pBd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Relación de </w:t>
            </w:r>
            <w:r w:rsidRPr="00E05D09">
              <w:rPr>
                <w:rFonts w:ascii="Palatino Linotype" w:eastAsia="Palatino Linotype" w:hAnsi="Palatino Linotype" w:cs="Palatino Linotype"/>
                <w:color w:val="000000"/>
              </w:rPr>
              <w:lastRenderedPageBreak/>
              <w:t>proveedores y prestadores de servicios</w:t>
            </w:r>
          </w:p>
        </w:tc>
        <w:tc>
          <w:tcPr>
            <w:tcW w:w="7535" w:type="dxa"/>
            <w:gridSpan w:val="7"/>
          </w:tcPr>
          <w:p w14:paraId="3FA8EFFE" w14:textId="77777777" w:rsidR="00B2722B" w:rsidRPr="00E05D09" w:rsidRDefault="004425A1">
            <w:pPr>
              <w:jc w:val="center"/>
              <w:rPr>
                <w:rFonts w:ascii="Palatino Linotype" w:eastAsia="Palatino Linotype" w:hAnsi="Palatino Linotype" w:cs="Palatino Linotype"/>
              </w:rPr>
            </w:pPr>
            <w:r w:rsidRPr="00E05D09">
              <w:rPr>
                <w:rFonts w:ascii="Palatino Linotype" w:eastAsia="Palatino Linotype" w:hAnsi="Palatino Linotype" w:cs="Palatino Linotype"/>
              </w:rPr>
              <w:lastRenderedPageBreak/>
              <w:t>No se pronunció</w:t>
            </w:r>
          </w:p>
        </w:tc>
      </w:tr>
      <w:tr w:rsidR="00B2722B" w:rsidRPr="00E05D09" w14:paraId="3F691460" w14:textId="77777777" w:rsidTr="00E05D09">
        <w:tc>
          <w:tcPr>
            <w:tcW w:w="1688" w:type="dxa"/>
          </w:tcPr>
          <w:p w14:paraId="113A6983" w14:textId="77777777" w:rsidR="00B2722B" w:rsidRPr="00E05D09" w:rsidRDefault="004425A1">
            <w:pPr>
              <w:numPr>
                <w:ilvl w:val="0"/>
                <w:numId w:val="21"/>
              </w:numPr>
              <w:pBdr>
                <w:top w:val="nil"/>
                <w:left w:val="nil"/>
                <w:bottom w:val="nil"/>
                <w:right w:val="nil"/>
                <w:between w:val="nil"/>
              </w:pBd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Comprobación de gasto correspondiente a programas sociales</w:t>
            </w:r>
          </w:p>
        </w:tc>
        <w:tc>
          <w:tcPr>
            <w:tcW w:w="7535" w:type="dxa"/>
            <w:gridSpan w:val="7"/>
          </w:tcPr>
          <w:p w14:paraId="08EE7772" w14:textId="77777777" w:rsidR="00B2722B" w:rsidRPr="00E05D09" w:rsidRDefault="004425A1">
            <w:pPr>
              <w:jc w:val="center"/>
              <w:rPr>
                <w:rFonts w:ascii="Palatino Linotype" w:eastAsia="Palatino Linotype" w:hAnsi="Palatino Linotype" w:cs="Palatino Linotype"/>
              </w:rPr>
            </w:pPr>
            <w:r w:rsidRPr="00E05D09">
              <w:rPr>
                <w:rFonts w:ascii="Palatino Linotype" w:eastAsia="Palatino Linotype" w:hAnsi="Palatino Linotype" w:cs="Palatino Linotype"/>
              </w:rPr>
              <w:t>No se pronunció</w:t>
            </w:r>
          </w:p>
        </w:tc>
      </w:tr>
      <w:tr w:rsidR="00B2722B" w:rsidRPr="00E05D09" w14:paraId="46C6EED6" w14:textId="77777777" w:rsidTr="00E05D09">
        <w:tc>
          <w:tcPr>
            <w:tcW w:w="9223" w:type="dxa"/>
            <w:gridSpan w:val="8"/>
            <w:shd w:val="clear" w:color="auto" w:fill="BFBFBF"/>
          </w:tcPr>
          <w:p w14:paraId="3D3F770C" w14:textId="77777777" w:rsidR="00B2722B" w:rsidRPr="00E05D09" w:rsidRDefault="004425A1">
            <w:pPr>
              <w:pBdr>
                <w:top w:val="nil"/>
                <w:left w:val="nil"/>
                <w:bottom w:val="nil"/>
                <w:right w:val="nil"/>
                <w:between w:val="nil"/>
              </w:pBdr>
              <w:ind w:right="-4"/>
              <w:jc w:val="center"/>
              <w:rPr>
                <w:rFonts w:ascii="Palatino Linotype" w:eastAsia="Palatino Linotype" w:hAnsi="Palatino Linotype" w:cs="Palatino Linotype"/>
                <w:b/>
                <w:bCs/>
              </w:rPr>
            </w:pPr>
            <w:r w:rsidRPr="00E05D09">
              <w:rPr>
                <w:rFonts w:ascii="Palatino Linotype" w:eastAsia="Palatino Linotype" w:hAnsi="Palatino Linotype" w:cs="Palatino Linotype"/>
                <w:b/>
                <w:bCs/>
                <w:color w:val="000000"/>
              </w:rPr>
              <w:t>Recursos Humanos</w:t>
            </w:r>
          </w:p>
        </w:tc>
      </w:tr>
      <w:tr w:rsidR="00B2722B" w:rsidRPr="00E05D09" w14:paraId="507AF235" w14:textId="77777777" w:rsidTr="00E05D09">
        <w:tc>
          <w:tcPr>
            <w:tcW w:w="1688" w:type="dxa"/>
          </w:tcPr>
          <w:p w14:paraId="58C55BA9" w14:textId="77777777" w:rsidR="00B2722B" w:rsidRPr="00E05D09" w:rsidRDefault="004425A1">
            <w:pPr>
              <w:numPr>
                <w:ilvl w:val="0"/>
                <w:numId w:val="21"/>
              </w:numPr>
              <w:pBdr>
                <w:top w:val="nil"/>
                <w:left w:val="nil"/>
                <w:bottom w:val="nil"/>
                <w:right w:val="nil"/>
                <w:between w:val="nil"/>
              </w:pBdr>
              <w:ind w:left="0" w:right="-4" w:firstLine="0"/>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color w:val="000000"/>
              </w:rPr>
              <w:t>Estructura del personal autorizado y ejercido</w:t>
            </w:r>
          </w:p>
        </w:tc>
        <w:tc>
          <w:tcPr>
            <w:tcW w:w="3843" w:type="dxa"/>
            <w:gridSpan w:val="4"/>
          </w:tcPr>
          <w:p w14:paraId="265A4D05"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El Servidor Público Habilitado, remite el organigrama vigente, del que se advierte la estructura del personal; así como la Plantilla de Personal </w:t>
            </w:r>
          </w:p>
          <w:p w14:paraId="71497E7F" w14:textId="77777777" w:rsidR="00B2722B" w:rsidRPr="00E05D09" w:rsidRDefault="00B2722B">
            <w:pPr>
              <w:pBdr>
                <w:top w:val="nil"/>
                <w:left w:val="nil"/>
                <w:bottom w:val="nil"/>
                <w:right w:val="nil"/>
                <w:between w:val="nil"/>
              </w:pBdr>
              <w:ind w:right="-4"/>
              <w:jc w:val="both"/>
              <w:rPr>
                <w:rFonts w:ascii="Palatino Linotype" w:eastAsia="Palatino Linotype" w:hAnsi="Palatino Linotype" w:cs="Palatino Linotype"/>
                <w:b/>
                <w:bCs/>
              </w:rPr>
            </w:pPr>
          </w:p>
        </w:tc>
        <w:tc>
          <w:tcPr>
            <w:tcW w:w="1528" w:type="dxa"/>
          </w:tcPr>
          <w:p w14:paraId="2B86CB7E"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rPr>
              <w:t>Ratifica respuesta</w:t>
            </w:r>
          </w:p>
        </w:tc>
        <w:tc>
          <w:tcPr>
            <w:tcW w:w="2164" w:type="dxa"/>
            <w:gridSpan w:val="2"/>
          </w:tcPr>
          <w:p w14:paraId="6D397644"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b/>
                <w:bCs/>
              </w:rPr>
              <w:t xml:space="preserve">Colma Parcialmente, </w:t>
            </w:r>
            <w:r w:rsidRPr="00E05D09">
              <w:rPr>
                <w:rFonts w:ascii="Palatino Linotype" w:eastAsia="Palatino Linotype" w:hAnsi="Palatino Linotype" w:cs="Palatino Linotype"/>
              </w:rPr>
              <w:t>toda vez que no precisa si la información remitida corresponde al ejercicio fiscal 2025 o 2026</w:t>
            </w:r>
          </w:p>
        </w:tc>
      </w:tr>
      <w:tr w:rsidR="00B2722B" w:rsidRPr="00E05D09" w14:paraId="76ED089E" w14:textId="77777777" w:rsidTr="00E05D09">
        <w:tc>
          <w:tcPr>
            <w:tcW w:w="1688" w:type="dxa"/>
          </w:tcPr>
          <w:p w14:paraId="17AABD7D" w14:textId="77777777" w:rsidR="00B2722B" w:rsidRPr="00E05D09" w:rsidRDefault="004425A1">
            <w:pPr>
              <w:numPr>
                <w:ilvl w:val="0"/>
                <w:numId w:val="21"/>
              </w:numPr>
              <w:pBdr>
                <w:top w:val="nil"/>
                <w:left w:val="nil"/>
                <w:bottom w:val="nil"/>
                <w:right w:val="nil"/>
                <w:between w:val="nil"/>
              </w:pBd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Plantilla de personal desglosada por área, puesto y tipo de contratación</w:t>
            </w:r>
          </w:p>
        </w:tc>
        <w:tc>
          <w:tcPr>
            <w:tcW w:w="3843" w:type="dxa"/>
            <w:gridSpan w:val="4"/>
          </w:tcPr>
          <w:p w14:paraId="0C341CE9" w14:textId="77777777" w:rsidR="00B2722B" w:rsidRPr="00E05D09" w:rsidRDefault="004425A1">
            <w:pPr>
              <w:jc w:val="both"/>
              <w:rPr>
                <w:rFonts w:ascii="Palatino Linotype" w:eastAsia="Palatino Linotype" w:hAnsi="Palatino Linotype" w:cs="Palatino Linotype"/>
              </w:rPr>
            </w:pPr>
            <w:r w:rsidRPr="00E05D09">
              <w:rPr>
                <w:rFonts w:ascii="Palatino Linotype" w:eastAsia="Palatino Linotype" w:hAnsi="Palatino Linotype" w:cs="Palatino Linotype"/>
              </w:rPr>
              <w:t>El servidor público habilitado remite la Plantilla de Personal del que se advierte el nombre, puesto, área de adscripción, tipo de contratación, perfil de puesto vigente, fecha de ingreso, fecha de baja de ser el caso, compensaciones y prestaciones, contratos por honorarios vigentes y movimiento de personal</w:t>
            </w:r>
          </w:p>
        </w:tc>
        <w:tc>
          <w:tcPr>
            <w:tcW w:w="1528" w:type="dxa"/>
          </w:tcPr>
          <w:p w14:paraId="4645C879"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rPr>
              <w:t>Ratifica respuesta</w:t>
            </w:r>
          </w:p>
        </w:tc>
        <w:tc>
          <w:tcPr>
            <w:tcW w:w="2164" w:type="dxa"/>
            <w:gridSpan w:val="2"/>
          </w:tcPr>
          <w:p w14:paraId="7E289BC6"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b/>
                <w:bCs/>
              </w:rPr>
              <w:t xml:space="preserve">Colma Parcialmente, </w:t>
            </w:r>
            <w:r w:rsidRPr="00E05D09">
              <w:rPr>
                <w:rFonts w:ascii="Palatino Linotype" w:eastAsia="Palatino Linotype" w:hAnsi="Palatino Linotype" w:cs="Palatino Linotype"/>
              </w:rPr>
              <w:t>toda vez que del documento se advierte que corresponde al ejercicio fiscal 2025, por tanto omitió pronunciarse respecto al 2026</w:t>
            </w:r>
          </w:p>
        </w:tc>
      </w:tr>
      <w:tr w:rsidR="00B2722B" w:rsidRPr="00E05D09" w14:paraId="3264081B" w14:textId="77777777" w:rsidTr="00E05D09">
        <w:tc>
          <w:tcPr>
            <w:tcW w:w="1688" w:type="dxa"/>
          </w:tcPr>
          <w:p w14:paraId="7E7081D1" w14:textId="77777777" w:rsidR="00B2722B" w:rsidRPr="00E05D09" w:rsidRDefault="004425A1">
            <w:pPr>
              <w:numPr>
                <w:ilvl w:val="0"/>
                <w:numId w:val="21"/>
              </w:numPr>
              <w:pBdr>
                <w:top w:val="nil"/>
                <w:left w:val="nil"/>
                <w:bottom w:val="nil"/>
                <w:right w:val="nil"/>
                <w:between w:val="nil"/>
              </w:pBd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Perfil de puestos vigente.</w:t>
            </w:r>
          </w:p>
        </w:tc>
        <w:tc>
          <w:tcPr>
            <w:tcW w:w="3843" w:type="dxa"/>
            <w:gridSpan w:val="4"/>
          </w:tcPr>
          <w:p w14:paraId="3D3128D6"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 xml:space="preserve">El servidor público habilitado remite la Plantilla de Personal del que se advierte el nombre, puesto, área de adscripción, tipo de contratación, </w:t>
            </w:r>
            <w:r w:rsidRPr="00E05D09">
              <w:rPr>
                <w:rFonts w:ascii="Palatino Linotype" w:eastAsia="Palatino Linotype" w:hAnsi="Palatino Linotype" w:cs="Palatino Linotype"/>
                <w:b/>
                <w:bCs/>
              </w:rPr>
              <w:t xml:space="preserve">perfil de puesto </w:t>
            </w:r>
            <w:r w:rsidRPr="00E05D09">
              <w:rPr>
                <w:rFonts w:ascii="Palatino Linotype" w:eastAsia="Palatino Linotype" w:hAnsi="Palatino Linotype" w:cs="Palatino Linotype"/>
                <w:b/>
                <w:bCs/>
              </w:rPr>
              <w:lastRenderedPageBreak/>
              <w:t>vigente</w:t>
            </w:r>
            <w:r w:rsidRPr="00E05D09">
              <w:rPr>
                <w:rFonts w:ascii="Palatino Linotype" w:eastAsia="Palatino Linotype" w:hAnsi="Palatino Linotype" w:cs="Palatino Linotype"/>
              </w:rPr>
              <w:t>, fecha de ingreso, fecha de baja de ser el caso, compensaciones y prestaciones, contratos por honorarios vigentes y movimiento de personal</w:t>
            </w:r>
          </w:p>
        </w:tc>
        <w:tc>
          <w:tcPr>
            <w:tcW w:w="1528" w:type="dxa"/>
          </w:tcPr>
          <w:p w14:paraId="21F8619A"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rPr>
              <w:lastRenderedPageBreak/>
              <w:t>Ratifica respuesta</w:t>
            </w:r>
          </w:p>
        </w:tc>
        <w:tc>
          <w:tcPr>
            <w:tcW w:w="2164" w:type="dxa"/>
            <w:gridSpan w:val="2"/>
          </w:tcPr>
          <w:p w14:paraId="50C50BD7"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b/>
                <w:bCs/>
              </w:rPr>
              <w:t xml:space="preserve">Colma Parcialmente, </w:t>
            </w:r>
            <w:r w:rsidRPr="00E05D09">
              <w:rPr>
                <w:rFonts w:ascii="Palatino Linotype" w:eastAsia="Palatino Linotype" w:hAnsi="Palatino Linotype" w:cs="Palatino Linotype"/>
              </w:rPr>
              <w:t xml:space="preserve"> toda vez que del documento se advierte que </w:t>
            </w:r>
            <w:r w:rsidRPr="00E05D09">
              <w:rPr>
                <w:rFonts w:ascii="Palatino Linotype" w:eastAsia="Palatino Linotype" w:hAnsi="Palatino Linotype" w:cs="Palatino Linotype"/>
              </w:rPr>
              <w:lastRenderedPageBreak/>
              <w:t>corresponde al ejercicio fiscal 2025, por tanto omitió pronunciarse respecto al 2026</w:t>
            </w:r>
          </w:p>
        </w:tc>
      </w:tr>
      <w:tr w:rsidR="00B2722B" w:rsidRPr="00E05D09" w14:paraId="4F86BDA7" w14:textId="77777777" w:rsidTr="00E05D09">
        <w:tc>
          <w:tcPr>
            <w:tcW w:w="1688" w:type="dxa"/>
          </w:tcPr>
          <w:p w14:paraId="4297B4D9" w14:textId="77777777" w:rsidR="00B2722B" w:rsidRPr="00E05D09" w:rsidRDefault="004425A1">
            <w:pPr>
              <w:numPr>
                <w:ilvl w:val="0"/>
                <w:numId w:val="21"/>
              </w:numPr>
              <w:pBdr>
                <w:top w:val="nil"/>
                <w:left w:val="nil"/>
                <w:bottom w:val="nil"/>
                <w:right w:val="nil"/>
                <w:between w:val="nil"/>
              </w:pBd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lastRenderedPageBreak/>
              <w:t>Relación nominal del personal en donde se desglose el caro o puesto, tipo de contratación, fecha de ingreso, percepciones brutas y compensaciones y prestaciones</w:t>
            </w:r>
          </w:p>
        </w:tc>
        <w:tc>
          <w:tcPr>
            <w:tcW w:w="3843" w:type="dxa"/>
            <w:gridSpan w:val="4"/>
          </w:tcPr>
          <w:p w14:paraId="5101B5C8" w14:textId="77777777" w:rsidR="00B2722B" w:rsidRPr="00E05D09" w:rsidRDefault="004425A1">
            <w:pPr>
              <w:numPr>
                <w:ilvl w:val="2"/>
                <w:numId w:val="20"/>
              </w:numPr>
              <w:pBdr>
                <w:top w:val="nil"/>
                <w:left w:val="nil"/>
                <w:bottom w:val="nil"/>
                <w:right w:val="nil"/>
                <w:between w:val="nil"/>
              </w:pBdr>
              <w:tabs>
                <w:tab w:val="left" w:pos="0"/>
              </w:tabs>
              <w:ind w:left="40" w:right="34" w:hanging="4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El servidor público habilitado remitió un documento </w:t>
            </w:r>
            <w:r w:rsidRPr="00E05D09">
              <w:rPr>
                <w:rFonts w:ascii="Palatino Linotype" w:eastAsia="Palatino Linotype" w:hAnsi="Palatino Linotype" w:cs="Palatino Linotype"/>
                <w:i/>
                <w:iCs/>
                <w:color w:val="000000"/>
              </w:rPr>
              <w:t>ad hoc</w:t>
            </w:r>
            <w:r w:rsidRPr="00E05D09">
              <w:rPr>
                <w:rFonts w:ascii="Palatino Linotype" w:eastAsia="Palatino Linotype" w:hAnsi="Palatino Linotype" w:cs="Palatino Linotype"/>
                <w:color w:val="000000"/>
              </w:rPr>
              <w:t xml:space="preserve"> del que se advierte el nombre completo del servidor público, percepciones brutas y netas; empero no se establece si las remuneraciones reportadas son quincenales o mensuales, ello aunado a que del documento se advierten 111 servidores públicos, contrario a lo reportan en la Plantilla de Personal, toda vez que en dicho archivo se advierten 139 servidores públicos de entre los cuales se reportaron 21 bajas, dando un total de 118 altas, lo cual no coincide con el documento en mención, cabe precisar que lo referente al cargo, tipo de contratación, fecha de ingreso, compensaciones y prestaciones, se colma con la información plasmada en la Plantilla de Personal, por tanto no es necesario volver a ordenarla </w:t>
            </w:r>
          </w:p>
        </w:tc>
        <w:tc>
          <w:tcPr>
            <w:tcW w:w="1528" w:type="dxa"/>
          </w:tcPr>
          <w:p w14:paraId="49A7A866"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Ratifica Respuesta</w:t>
            </w:r>
          </w:p>
        </w:tc>
        <w:tc>
          <w:tcPr>
            <w:tcW w:w="2164" w:type="dxa"/>
            <w:gridSpan w:val="2"/>
          </w:tcPr>
          <w:p w14:paraId="3FF43CBA"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b/>
                <w:bCs/>
              </w:rPr>
              <w:t>Colma Parcialmente</w:t>
            </w:r>
          </w:p>
          <w:p w14:paraId="17CA8616"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Toda vez que del documento remitido no se advierte si el sueldo neto y bruto reportado, es percibido quincenal o mensualmente, ni mucho menos del ejercicio fiscal que se informa</w:t>
            </w:r>
          </w:p>
        </w:tc>
      </w:tr>
      <w:tr w:rsidR="00B2722B" w:rsidRPr="00E05D09" w14:paraId="7911EA9A" w14:textId="77777777" w:rsidTr="00E05D09">
        <w:tc>
          <w:tcPr>
            <w:tcW w:w="1688" w:type="dxa"/>
          </w:tcPr>
          <w:p w14:paraId="7F268A54" w14:textId="77777777" w:rsidR="00B2722B" w:rsidRPr="00E05D09" w:rsidRDefault="004425A1">
            <w:pPr>
              <w:numPr>
                <w:ilvl w:val="0"/>
                <w:numId w:val="21"/>
              </w:numPr>
              <w:pBdr>
                <w:top w:val="nil"/>
                <w:left w:val="nil"/>
                <w:bottom w:val="nil"/>
                <w:right w:val="nil"/>
                <w:between w:val="nil"/>
              </w:pBdr>
              <w:ind w:left="0" w:firstLine="0"/>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Tabulador de sueldos y salarios. </w:t>
            </w:r>
          </w:p>
          <w:p w14:paraId="0495B07B" w14:textId="77777777" w:rsidR="00B2722B" w:rsidRPr="00E05D09" w:rsidRDefault="00B2722B">
            <w:pPr>
              <w:pBdr>
                <w:top w:val="nil"/>
                <w:left w:val="nil"/>
                <w:bottom w:val="nil"/>
                <w:right w:val="nil"/>
                <w:between w:val="nil"/>
              </w:pBdr>
              <w:ind w:right="-4"/>
              <w:jc w:val="both"/>
              <w:rPr>
                <w:rFonts w:ascii="Palatino Linotype" w:eastAsia="Palatino Linotype" w:hAnsi="Palatino Linotype" w:cs="Palatino Linotype"/>
                <w:color w:val="000000"/>
              </w:rPr>
            </w:pPr>
          </w:p>
        </w:tc>
        <w:tc>
          <w:tcPr>
            <w:tcW w:w="3843" w:type="dxa"/>
            <w:gridSpan w:val="4"/>
          </w:tcPr>
          <w:p w14:paraId="7DA00AD0" w14:textId="77777777" w:rsidR="00B2722B" w:rsidRPr="00E05D09" w:rsidRDefault="004425A1">
            <w:pPr>
              <w:pBdr>
                <w:top w:val="nil"/>
                <w:left w:val="nil"/>
                <w:bottom w:val="nil"/>
                <w:right w:val="nil"/>
                <w:between w:val="nil"/>
              </w:pBdr>
              <w:tabs>
                <w:tab w:val="left" w:pos="0"/>
              </w:tabs>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El servidor público habilitado remitió Tabulador de sueldos, del que se advierte el puesto funcional, nivel salarial, número de plazas, si es de confianza, </w:t>
            </w:r>
            <w:r w:rsidRPr="00E05D09">
              <w:rPr>
                <w:rFonts w:ascii="Palatino Linotype" w:eastAsia="Palatino Linotype" w:hAnsi="Palatino Linotype" w:cs="Palatino Linotype"/>
                <w:color w:val="000000"/>
              </w:rPr>
              <w:lastRenderedPageBreak/>
              <w:t>sindicalizado, eventual; así como las dietas, sueldo base, compensación, gratificación, aguinaldo, prima vacacional y el total</w:t>
            </w:r>
          </w:p>
        </w:tc>
        <w:tc>
          <w:tcPr>
            <w:tcW w:w="1528" w:type="dxa"/>
          </w:tcPr>
          <w:p w14:paraId="7FCBCD3D"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lastRenderedPageBreak/>
              <w:t>Ratifica respuesta</w:t>
            </w:r>
          </w:p>
        </w:tc>
        <w:tc>
          <w:tcPr>
            <w:tcW w:w="2164" w:type="dxa"/>
            <w:gridSpan w:val="2"/>
          </w:tcPr>
          <w:p w14:paraId="488D8AC8"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b/>
                <w:bCs/>
              </w:rPr>
              <w:t xml:space="preserve">Colma Parcialmente, </w:t>
            </w:r>
            <w:r w:rsidRPr="00E05D09">
              <w:rPr>
                <w:rFonts w:ascii="Palatino Linotype" w:eastAsia="Palatino Linotype" w:hAnsi="Palatino Linotype" w:cs="Palatino Linotype"/>
              </w:rPr>
              <w:t xml:space="preserve">toda vez que del documento se advierte que </w:t>
            </w:r>
            <w:r w:rsidRPr="00E05D09">
              <w:rPr>
                <w:rFonts w:ascii="Palatino Linotype" w:eastAsia="Palatino Linotype" w:hAnsi="Palatino Linotype" w:cs="Palatino Linotype"/>
              </w:rPr>
              <w:lastRenderedPageBreak/>
              <w:t>corresponde al cuarto trimestre, lo que vislumbra que corresponde al 2025, por tanto omitió pronunciarse respecto al ejercicio fiscal 2026</w:t>
            </w:r>
          </w:p>
        </w:tc>
      </w:tr>
      <w:tr w:rsidR="00B2722B" w:rsidRPr="00E05D09" w14:paraId="41B8B369" w14:textId="77777777" w:rsidTr="00E05D09">
        <w:tc>
          <w:tcPr>
            <w:tcW w:w="1688" w:type="dxa"/>
          </w:tcPr>
          <w:p w14:paraId="3F620EE1" w14:textId="77777777" w:rsidR="00B2722B" w:rsidRPr="00E05D09" w:rsidRDefault="004425A1">
            <w:pPr>
              <w:numPr>
                <w:ilvl w:val="0"/>
                <w:numId w:val="21"/>
              </w:numPr>
              <w:pBdr>
                <w:top w:val="nil"/>
                <w:left w:val="nil"/>
                <w:bottom w:val="nil"/>
                <w:right w:val="nil"/>
                <w:between w:val="nil"/>
              </w:pBd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lastRenderedPageBreak/>
              <w:t>Contratos por honorarios vigentes</w:t>
            </w:r>
          </w:p>
        </w:tc>
        <w:tc>
          <w:tcPr>
            <w:tcW w:w="3843" w:type="dxa"/>
            <w:gridSpan w:val="4"/>
          </w:tcPr>
          <w:p w14:paraId="2FE1AE2C" w14:textId="77777777" w:rsidR="00B2722B" w:rsidRPr="00E05D09" w:rsidRDefault="004425A1">
            <w:pPr>
              <w:jc w:val="both"/>
              <w:rPr>
                <w:rFonts w:ascii="Palatino Linotype" w:eastAsia="Palatino Linotype" w:hAnsi="Palatino Linotype" w:cs="Palatino Linotype"/>
              </w:rPr>
            </w:pPr>
            <w:r w:rsidRPr="00E05D09">
              <w:rPr>
                <w:rFonts w:ascii="Palatino Linotype" w:eastAsia="Palatino Linotype" w:hAnsi="Palatino Linotype" w:cs="Palatino Linotype"/>
              </w:rPr>
              <w:t>El servidor público remitió la Plantilla de Personal del que se advierte que de los servidores públicos adscritos no aplican contratos por honorarios vigentes</w:t>
            </w:r>
          </w:p>
        </w:tc>
        <w:tc>
          <w:tcPr>
            <w:tcW w:w="1528" w:type="dxa"/>
          </w:tcPr>
          <w:p w14:paraId="7FE39F0E"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Ratifica respuesta</w:t>
            </w:r>
          </w:p>
        </w:tc>
        <w:tc>
          <w:tcPr>
            <w:tcW w:w="2164" w:type="dxa"/>
            <w:gridSpan w:val="2"/>
          </w:tcPr>
          <w:p w14:paraId="5A59CA74"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b/>
                <w:bCs/>
              </w:rPr>
              <w:t xml:space="preserve">Colma Parcialmente, </w:t>
            </w:r>
            <w:r w:rsidRPr="00E05D09">
              <w:rPr>
                <w:rFonts w:ascii="Palatino Linotype" w:eastAsia="Palatino Linotype" w:hAnsi="Palatino Linotype" w:cs="Palatino Linotype"/>
              </w:rPr>
              <w:t>toda vez que no precisa si la información remitida corresponde al ejercicio fiscal 2025 o 2026</w:t>
            </w:r>
          </w:p>
        </w:tc>
      </w:tr>
      <w:tr w:rsidR="00B2722B" w:rsidRPr="00E05D09" w14:paraId="4723499E" w14:textId="77777777" w:rsidTr="00E05D09">
        <w:tc>
          <w:tcPr>
            <w:tcW w:w="1688" w:type="dxa"/>
          </w:tcPr>
          <w:p w14:paraId="65C792DE" w14:textId="77777777" w:rsidR="00B2722B" w:rsidRPr="00E05D09" w:rsidRDefault="004425A1">
            <w:pPr>
              <w:numPr>
                <w:ilvl w:val="0"/>
                <w:numId w:val="21"/>
              </w:numPr>
              <w:pBdr>
                <w:top w:val="nil"/>
                <w:left w:val="nil"/>
                <w:bottom w:val="nil"/>
                <w:right w:val="nil"/>
                <w:between w:val="nil"/>
              </w:pBd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Altas, bajas y movimientos de personal</w:t>
            </w:r>
          </w:p>
        </w:tc>
        <w:tc>
          <w:tcPr>
            <w:tcW w:w="3843" w:type="dxa"/>
            <w:gridSpan w:val="4"/>
          </w:tcPr>
          <w:p w14:paraId="345A32AE" w14:textId="77777777" w:rsidR="00B2722B" w:rsidRPr="00E05D09" w:rsidRDefault="004425A1">
            <w:pPr>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El servidor público remitió la Plantilla de Personal del que se advierte el movimiento de personal, donde se vislumbras las altas y bajas del personal</w:t>
            </w:r>
          </w:p>
        </w:tc>
        <w:tc>
          <w:tcPr>
            <w:tcW w:w="1528" w:type="dxa"/>
          </w:tcPr>
          <w:p w14:paraId="0357037F"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Ratifica respuesta</w:t>
            </w:r>
          </w:p>
        </w:tc>
        <w:tc>
          <w:tcPr>
            <w:tcW w:w="2164" w:type="dxa"/>
            <w:gridSpan w:val="2"/>
          </w:tcPr>
          <w:p w14:paraId="3C2DE126"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color w:val="FF0000"/>
              </w:rPr>
            </w:pPr>
            <w:r w:rsidRPr="00E05D09">
              <w:rPr>
                <w:rFonts w:ascii="Palatino Linotype" w:eastAsia="Palatino Linotype" w:hAnsi="Palatino Linotype" w:cs="Palatino Linotype"/>
                <w:b/>
                <w:bCs/>
              </w:rPr>
              <w:t xml:space="preserve">Colma Parcialmente, </w:t>
            </w:r>
            <w:r w:rsidRPr="00E05D09">
              <w:rPr>
                <w:rFonts w:ascii="Palatino Linotype" w:eastAsia="Palatino Linotype" w:hAnsi="Palatino Linotype" w:cs="Palatino Linotype"/>
              </w:rPr>
              <w:t>toda vez que del documento se advierte que corresponde al cuarto trimestre, lo que vislumbra que corresponde al 2025, por tanto omitió pronunciarse respecto al ejercicio fiscal 2026</w:t>
            </w:r>
          </w:p>
        </w:tc>
      </w:tr>
      <w:tr w:rsidR="00B2722B" w:rsidRPr="00E05D09" w14:paraId="14B6C78C" w14:textId="77777777" w:rsidTr="00E05D09">
        <w:tc>
          <w:tcPr>
            <w:tcW w:w="1688" w:type="dxa"/>
          </w:tcPr>
          <w:p w14:paraId="2FCC11EF" w14:textId="77777777" w:rsidR="00B2722B" w:rsidRPr="00E05D09" w:rsidRDefault="004425A1">
            <w:pPr>
              <w:numPr>
                <w:ilvl w:val="0"/>
                <w:numId w:val="21"/>
              </w:numPr>
              <w:pBdr>
                <w:top w:val="nil"/>
                <w:left w:val="nil"/>
                <w:bottom w:val="nil"/>
                <w:right w:val="nil"/>
                <w:between w:val="nil"/>
              </w:pBd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Manuales y </w:t>
            </w:r>
            <w:r w:rsidRPr="00E05D09">
              <w:rPr>
                <w:rFonts w:ascii="Palatino Linotype" w:eastAsia="Palatino Linotype" w:hAnsi="Palatino Linotype" w:cs="Palatino Linotype"/>
                <w:color w:val="000000"/>
              </w:rPr>
              <w:lastRenderedPageBreak/>
              <w:t>lineamientos internos en materia de recursos humanos</w:t>
            </w:r>
          </w:p>
        </w:tc>
        <w:tc>
          <w:tcPr>
            <w:tcW w:w="3843" w:type="dxa"/>
            <w:gridSpan w:val="4"/>
          </w:tcPr>
          <w:p w14:paraId="42D8C801" w14:textId="77777777" w:rsidR="00B2722B" w:rsidRPr="00E05D09" w:rsidRDefault="004425A1">
            <w:pPr>
              <w:jc w:val="both"/>
              <w:rPr>
                <w:rFonts w:ascii="Palatino Linotype" w:eastAsia="Palatino Linotype" w:hAnsi="Palatino Linotype" w:cs="Palatino Linotype"/>
              </w:rPr>
            </w:pPr>
            <w:r w:rsidRPr="00E05D09">
              <w:rPr>
                <w:rFonts w:ascii="Palatino Linotype" w:eastAsia="Palatino Linotype" w:hAnsi="Palatino Linotype" w:cs="Palatino Linotype"/>
              </w:rPr>
              <w:lastRenderedPageBreak/>
              <w:t xml:space="preserve">El servidor público habilitado remitió el Manual de </w:t>
            </w:r>
            <w:r w:rsidRPr="00E05D09">
              <w:rPr>
                <w:rFonts w:ascii="Palatino Linotype" w:eastAsia="Palatino Linotype" w:hAnsi="Palatino Linotype" w:cs="Palatino Linotype"/>
              </w:rPr>
              <w:lastRenderedPageBreak/>
              <w:t xml:space="preserve">Procedimientos del Departamento de Recursos Humanos Desarrollo Integral de la Familia del Estado de México. </w:t>
            </w:r>
          </w:p>
        </w:tc>
        <w:tc>
          <w:tcPr>
            <w:tcW w:w="1528" w:type="dxa"/>
          </w:tcPr>
          <w:p w14:paraId="117DA176"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lastRenderedPageBreak/>
              <w:t>Ratifica respuesta</w:t>
            </w:r>
          </w:p>
        </w:tc>
        <w:tc>
          <w:tcPr>
            <w:tcW w:w="2164" w:type="dxa"/>
            <w:gridSpan w:val="2"/>
          </w:tcPr>
          <w:p w14:paraId="1BA7F034"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b/>
                <w:bCs/>
              </w:rPr>
              <w:t xml:space="preserve">Colma </w:t>
            </w:r>
          </w:p>
        </w:tc>
      </w:tr>
      <w:tr w:rsidR="00B2722B" w:rsidRPr="00E05D09" w14:paraId="228BD5F2" w14:textId="77777777" w:rsidTr="00E05D09">
        <w:tc>
          <w:tcPr>
            <w:tcW w:w="9223" w:type="dxa"/>
            <w:gridSpan w:val="8"/>
            <w:shd w:val="clear" w:color="auto" w:fill="BFBFBF"/>
          </w:tcPr>
          <w:p w14:paraId="4311F25E" w14:textId="77777777" w:rsidR="00B2722B" w:rsidRPr="00E05D09" w:rsidRDefault="004425A1">
            <w:pPr>
              <w:pBdr>
                <w:top w:val="nil"/>
                <w:left w:val="nil"/>
                <w:bottom w:val="nil"/>
                <w:right w:val="nil"/>
                <w:between w:val="nil"/>
              </w:pBdr>
              <w:ind w:right="-4"/>
              <w:jc w:val="center"/>
              <w:rPr>
                <w:rFonts w:ascii="Palatino Linotype" w:eastAsia="Palatino Linotype" w:hAnsi="Palatino Linotype" w:cs="Palatino Linotype"/>
                <w:b/>
                <w:bCs/>
              </w:rPr>
            </w:pPr>
            <w:r w:rsidRPr="00E05D09">
              <w:rPr>
                <w:rFonts w:ascii="Palatino Linotype" w:eastAsia="Palatino Linotype" w:hAnsi="Palatino Linotype" w:cs="Palatino Linotype"/>
                <w:b/>
                <w:bCs/>
                <w:color w:val="000000"/>
              </w:rPr>
              <w:t>Procuraduría de Protección de Niñas, Niños y Adolescentes</w:t>
            </w:r>
          </w:p>
        </w:tc>
      </w:tr>
      <w:tr w:rsidR="00B2722B" w:rsidRPr="00E05D09" w14:paraId="05DFA851" w14:textId="77777777" w:rsidTr="00E05D09">
        <w:tc>
          <w:tcPr>
            <w:tcW w:w="2405" w:type="dxa"/>
            <w:gridSpan w:val="2"/>
          </w:tcPr>
          <w:p w14:paraId="699B5790" w14:textId="77777777" w:rsidR="00B2722B" w:rsidRPr="00E05D09" w:rsidRDefault="004425A1">
            <w:pPr>
              <w:numPr>
                <w:ilvl w:val="0"/>
                <w:numId w:val="21"/>
              </w:numPr>
              <w:ind w:left="0" w:right="-4" w:firstLine="0"/>
              <w:jc w:val="both"/>
              <w:rPr>
                <w:rFonts w:ascii="Palatino Linotype" w:eastAsia="Palatino Linotype" w:hAnsi="Palatino Linotype" w:cs="Palatino Linotype"/>
              </w:rPr>
            </w:pPr>
            <w:r w:rsidRPr="00E05D09">
              <w:rPr>
                <w:rFonts w:ascii="Palatino Linotype" w:eastAsia="Palatino Linotype" w:hAnsi="Palatino Linotype" w:cs="Palatino Linotype"/>
                <w:color w:val="000000"/>
              </w:rPr>
              <w:t xml:space="preserve">Número de expedientes iniciados </w:t>
            </w:r>
          </w:p>
        </w:tc>
        <w:tc>
          <w:tcPr>
            <w:tcW w:w="2965" w:type="dxa"/>
          </w:tcPr>
          <w:p w14:paraId="077B276D"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 xml:space="preserve">El servidor público habilitado informó que se tienen iniciados </w:t>
            </w:r>
          </w:p>
          <w:p w14:paraId="1AA43A98"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15 expedientes en 2025</w:t>
            </w:r>
          </w:p>
          <w:p w14:paraId="2968A353"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2 expedientes en 2026</w:t>
            </w:r>
          </w:p>
        </w:tc>
        <w:tc>
          <w:tcPr>
            <w:tcW w:w="1722" w:type="dxa"/>
            <w:gridSpan w:val="4"/>
          </w:tcPr>
          <w:p w14:paraId="2E4E7348"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Ratifica Respuesta</w:t>
            </w:r>
          </w:p>
        </w:tc>
        <w:tc>
          <w:tcPr>
            <w:tcW w:w="2131" w:type="dxa"/>
          </w:tcPr>
          <w:p w14:paraId="12A9599D"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b/>
                <w:bCs/>
              </w:rPr>
              <w:t>Colma</w:t>
            </w:r>
          </w:p>
        </w:tc>
      </w:tr>
      <w:tr w:rsidR="00B2722B" w:rsidRPr="00E05D09" w14:paraId="657010EF" w14:textId="77777777" w:rsidTr="00E05D09">
        <w:tc>
          <w:tcPr>
            <w:tcW w:w="2405" w:type="dxa"/>
            <w:gridSpan w:val="2"/>
          </w:tcPr>
          <w:p w14:paraId="7048DB74" w14:textId="77777777" w:rsidR="00B2722B" w:rsidRPr="00E05D09" w:rsidRDefault="004425A1">
            <w:pPr>
              <w:numPr>
                <w:ilvl w:val="0"/>
                <w:numId w:val="21"/>
              </w:numPr>
              <w:ind w:left="0" w:right="-4" w:firstLine="0"/>
              <w:jc w:val="both"/>
              <w:rPr>
                <w:rFonts w:ascii="Palatino Linotype" w:eastAsia="Palatino Linotype" w:hAnsi="Palatino Linotype" w:cs="Palatino Linotype"/>
              </w:rPr>
            </w:pPr>
            <w:r w:rsidRPr="00E05D09">
              <w:rPr>
                <w:rFonts w:ascii="Palatino Linotype" w:eastAsia="Palatino Linotype" w:hAnsi="Palatino Linotype" w:cs="Palatino Linotype"/>
                <w:color w:val="000000"/>
              </w:rPr>
              <w:t>Tipo de asuntos atendidos (violencia familiar, abandono, custodia, adopciones, etc.)</w:t>
            </w:r>
          </w:p>
        </w:tc>
        <w:tc>
          <w:tcPr>
            <w:tcW w:w="2965" w:type="dxa"/>
          </w:tcPr>
          <w:p w14:paraId="3617DB8A" w14:textId="77777777" w:rsidR="00B2722B" w:rsidRPr="00E05D09" w:rsidRDefault="004425A1">
            <w:pPr>
              <w:jc w:val="both"/>
              <w:rPr>
                <w:rFonts w:ascii="Palatino Linotype" w:eastAsia="Palatino Linotype" w:hAnsi="Palatino Linotype" w:cs="Palatino Linotype"/>
              </w:rPr>
            </w:pPr>
            <w:r w:rsidRPr="00E05D09">
              <w:rPr>
                <w:rFonts w:ascii="Palatino Linotype" w:eastAsia="Palatino Linotype" w:hAnsi="Palatino Linotype" w:cs="Palatino Linotype"/>
              </w:rPr>
              <w:t>El servidor público habilitado refirió que los asuntos que atiende son relativos a:</w:t>
            </w:r>
          </w:p>
          <w:p w14:paraId="4C4E1446" w14:textId="77777777" w:rsidR="00B2722B" w:rsidRPr="00E05D09" w:rsidRDefault="004425A1">
            <w:pPr>
              <w:numPr>
                <w:ilvl w:val="0"/>
                <w:numId w:val="20"/>
              </w:numPr>
              <w:pBdr>
                <w:top w:val="nil"/>
                <w:left w:val="nil"/>
                <w:bottom w:val="nil"/>
                <w:right w:val="nil"/>
                <w:between w:val="nil"/>
              </w:pBdr>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Realizar actas informativas</w:t>
            </w:r>
          </w:p>
          <w:p w14:paraId="6A6CA4C8" w14:textId="77777777" w:rsidR="00B2722B" w:rsidRPr="00E05D09" w:rsidRDefault="004425A1">
            <w:pPr>
              <w:numPr>
                <w:ilvl w:val="0"/>
                <w:numId w:val="20"/>
              </w:numPr>
              <w:pBdr>
                <w:top w:val="nil"/>
                <w:left w:val="nil"/>
                <w:bottom w:val="nil"/>
                <w:right w:val="nil"/>
                <w:between w:val="nil"/>
              </w:pBdr>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Convenios por abandono de hogar</w:t>
            </w:r>
          </w:p>
          <w:p w14:paraId="64FA8750" w14:textId="77777777" w:rsidR="00B2722B" w:rsidRPr="00E05D09" w:rsidRDefault="004425A1">
            <w:pPr>
              <w:numPr>
                <w:ilvl w:val="0"/>
                <w:numId w:val="20"/>
              </w:numPr>
              <w:pBdr>
                <w:top w:val="nil"/>
                <w:left w:val="nil"/>
                <w:bottom w:val="nil"/>
                <w:right w:val="nil"/>
                <w:between w:val="nil"/>
              </w:pBdr>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Violencia</w:t>
            </w:r>
          </w:p>
          <w:p w14:paraId="7A25EF29" w14:textId="77777777" w:rsidR="00B2722B" w:rsidRPr="00E05D09" w:rsidRDefault="004425A1">
            <w:pPr>
              <w:numPr>
                <w:ilvl w:val="0"/>
                <w:numId w:val="20"/>
              </w:numPr>
              <w:pBdr>
                <w:top w:val="nil"/>
                <w:left w:val="nil"/>
                <w:bottom w:val="nil"/>
                <w:right w:val="nil"/>
                <w:between w:val="nil"/>
              </w:pBdr>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Custodia</w:t>
            </w:r>
          </w:p>
          <w:p w14:paraId="1C54F5B4" w14:textId="77777777" w:rsidR="00B2722B" w:rsidRPr="00E05D09" w:rsidRDefault="004425A1">
            <w:pPr>
              <w:numPr>
                <w:ilvl w:val="0"/>
                <w:numId w:val="20"/>
              </w:numPr>
              <w:pBdr>
                <w:top w:val="nil"/>
                <w:left w:val="nil"/>
                <w:bottom w:val="nil"/>
                <w:right w:val="nil"/>
                <w:between w:val="nil"/>
              </w:pBdr>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Pensiones </w:t>
            </w:r>
          </w:p>
          <w:p w14:paraId="0262ACF9" w14:textId="77777777" w:rsidR="00B2722B" w:rsidRPr="00E05D09" w:rsidRDefault="004425A1">
            <w:pPr>
              <w:numPr>
                <w:ilvl w:val="0"/>
                <w:numId w:val="20"/>
              </w:numPr>
              <w:pBdr>
                <w:top w:val="nil"/>
                <w:left w:val="nil"/>
                <w:bottom w:val="nil"/>
                <w:right w:val="nil"/>
                <w:between w:val="nil"/>
              </w:pBdr>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Convivencias</w:t>
            </w:r>
          </w:p>
          <w:p w14:paraId="1E9270E0" w14:textId="77777777" w:rsidR="00B2722B" w:rsidRPr="00E05D09" w:rsidRDefault="004425A1">
            <w:pPr>
              <w:numPr>
                <w:ilvl w:val="0"/>
                <w:numId w:val="20"/>
              </w:numPr>
              <w:pBdr>
                <w:top w:val="nil"/>
                <w:left w:val="nil"/>
                <w:bottom w:val="nil"/>
                <w:right w:val="nil"/>
                <w:between w:val="nil"/>
              </w:pBdr>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Representación en juicos de violencia familiar</w:t>
            </w:r>
          </w:p>
          <w:p w14:paraId="7300FF7D" w14:textId="77777777" w:rsidR="00B2722B" w:rsidRPr="00E05D09" w:rsidRDefault="004425A1">
            <w:pPr>
              <w:numPr>
                <w:ilvl w:val="0"/>
                <w:numId w:val="20"/>
              </w:numPr>
              <w:pBdr>
                <w:top w:val="nil"/>
                <w:left w:val="nil"/>
                <w:bottom w:val="nil"/>
                <w:right w:val="nil"/>
                <w:between w:val="nil"/>
              </w:pBdr>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Reconocimiento de paternidad</w:t>
            </w:r>
          </w:p>
          <w:p w14:paraId="08566582" w14:textId="77777777" w:rsidR="00B2722B" w:rsidRPr="00E05D09" w:rsidRDefault="004425A1">
            <w:pPr>
              <w:numPr>
                <w:ilvl w:val="0"/>
                <w:numId w:val="20"/>
              </w:numPr>
              <w:pBdr>
                <w:top w:val="nil"/>
                <w:left w:val="nil"/>
                <w:bottom w:val="nil"/>
                <w:right w:val="nil"/>
                <w:between w:val="nil"/>
              </w:pBdr>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Pensión alimenticia</w:t>
            </w:r>
          </w:p>
          <w:p w14:paraId="7580F2E2" w14:textId="77777777" w:rsidR="00B2722B" w:rsidRPr="00E05D09" w:rsidRDefault="004425A1">
            <w:pPr>
              <w:numPr>
                <w:ilvl w:val="0"/>
                <w:numId w:val="20"/>
              </w:numPr>
              <w:pBdr>
                <w:top w:val="nil"/>
                <w:left w:val="nil"/>
                <w:bottom w:val="nil"/>
                <w:right w:val="nil"/>
                <w:between w:val="nil"/>
              </w:pBdr>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Divorcios</w:t>
            </w:r>
          </w:p>
          <w:p w14:paraId="6EF2ACF4" w14:textId="77777777" w:rsidR="00B2722B" w:rsidRPr="00E05D09" w:rsidRDefault="004425A1">
            <w:pPr>
              <w:numPr>
                <w:ilvl w:val="0"/>
                <w:numId w:val="20"/>
              </w:numPr>
              <w:pBdr>
                <w:top w:val="nil"/>
                <w:left w:val="nil"/>
                <w:bottom w:val="nil"/>
                <w:right w:val="nil"/>
                <w:between w:val="nil"/>
              </w:pBdr>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lastRenderedPageBreak/>
              <w:t xml:space="preserve">Custodias </w:t>
            </w:r>
          </w:p>
          <w:p w14:paraId="6EE1F95C" w14:textId="77777777" w:rsidR="00B2722B" w:rsidRPr="00E05D09" w:rsidRDefault="004425A1">
            <w:pPr>
              <w:numPr>
                <w:ilvl w:val="0"/>
                <w:numId w:val="20"/>
              </w:numPr>
              <w:pBdr>
                <w:top w:val="nil"/>
                <w:left w:val="nil"/>
                <w:bottom w:val="nil"/>
                <w:right w:val="nil"/>
                <w:between w:val="nil"/>
              </w:pBdr>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Lo relacionado con el estado civil de las personas y derecho familiar.</w:t>
            </w:r>
          </w:p>
        </w:tc>
        <w:tc>
          <w:tcPr>
            <w:tcW w:w="1722" w:type="dxa"/>
            <w:gridSpan w:val="4"/>
          </w:tcPr>
          <w:p w14:paraId="6E282DD6"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lastRenderedPageBreak/>
              <w:t>Ratifica Respuesta</w:t>
            </w:r>
          </w:p>
        </w:tc>
        <w:tc>
          <w:tcPr>
            <w:tcW w:w="2131" w:type="dxa"/>
          </w:tcPr>
          <w:p w14:paraId="16736ED8"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b/>
                <w:bCs/>
              </w:rPr>
              <w:t xml:space="preserve">Colma </w:t>
            </w:r>
          </w:p>
        </w:tc>
      </w:tr>
      <w:tr w:rsidR="00B2722B" w:rsidRPr="00E05D09" w14:paraId="3CE1AB5C" w14:textId="77777777" w:rsidTr="00E05D09">
        <w:tc>
          <w:tcPr>
            <w:tcW w:w="2405" w:type="dxa"/>
            <w:gridSpan w:val="2"/>
          </w:tcPr>
          <w:p w14:paraId="17469112" w14:textId="77777777" w:rsidR="00B2722B" w:rsidRPr="00E05D09" w:rsidRDefault="004425A1">
            <w:pPr>
              <w:numPr>
                <w:ilvl w:val="0"/>
                <w:numId w:val="21"/>
              </w:numPr>
              <w:ind w:left="0" w:right="-4" w:firstLine="0"/>
              <w:jc w:val="both"/>
              <w:rPr>
                <w:rFonts w:ascii="Palatino Linotype" w:eastAsia="Palatino Linotype" w:hAnsi="Palatino Linotype" w:cs="Palatino Linotype"/>
              </w:rPr>
            </w:pPr>
            <w:r w:rsidRPr="00E05D09">
              <w:rPr>
                <w:rFonts w:ascii="Palatino Linotype" w:eastAsia="Palatino Linotype" w:hAnsi="Palatino Linotype" w:cs="Palatino Linotype"/>
                <w:color w:val="000000"/>
              </w:rPr>
              <w:t>Medidas de protección dictadas</w:t>
            </w:r>
          </w:p>
        </w:tc>
        <w:tc>
          <w:tcPr>
            <w:tcW w:w="2965" w:type="dxa"/>
          </w:tcPr>
          <w:p w14:paraId="093816C4" w14:textId="77777777" w:rsidR="00B2722B" w:rsidRPr="00E05D09" w:rsidRDefault="004425A1">
            <w:pPr>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El servidor público habilitado refirió que en cada caso en particular se aplican las que se estiman convenientes, atendiendo la naturaleza de cada presunta vulneración a un derecho conforme a lo establecido en el artículo 52 de la Ley para la Protección de Niñas, Niños y Adolescentes, de entre las cuales se encuentran </w:t>
            </w:r>
          </w:p>
          <w:p w14:paraId="47CE0BA9" w14:textId="77777777" w:rsidR="00B2722B" w:rsidRPr="00E05D09" w:rsidRDefault="004425A1">
            <w:pPr>
              <w:numPr>
                <w:ilvl w:val="0"/>
                <w:numId w:val="4"/>
              </w:numPr>
              <w:pBdr>
                <w:top w:val="nil"/>
                <w:left w:val="nil"/>
                <w:bottom w:val="nil"/>
                <w:right w:val="nil"/>
                <w:between w:val="nil"/>
              </w:pBdr>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Convenios de buenos cuidados, </w:t>
            </w:r>
          </w:p>
          <w:p w14:paraId="46A21D8C" w14:textId="77777777" w:rsidR="00B2722B" w:rsidRPr="00E05D09" w:rsidRDefault="004425A1">
            <w:pPr>
              <w:numPr>
                <w:ilvl w:val="0"/>
                <w:numId w:val="4"/>
              </w:numPr>
              <w:pBdr>
                <w:top w:val="nil"/>
                <w:left w:val="nil"/>
                <w:bottom w:val="nil"/>
                <w:right w:val="nil"/>
                <w:between w:val="nil"/>
              </w:pBdr>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Convenios de mutuo respeto y </w:t>
            </w:r>
          </w:p>
          <w:p w14:paraId="545464D1" w14:textId="77777777" w:rsidR="00B2722B" w:rsidRPr="00E05D09" w:rsidRDefault="004425A1">
            <w:pPr>
              <w:numPr>
                <w:ilvl w:val="0"/>
                <w:numId w:val="4"/>
              </w:numPr>
              <w:pBdr>
                <w:top w:val="nil"/>
                <w:left w:val="nil"/>
                <w:bottom w:val="nil"/>
                <w:right w:val="nil"/>
                <w:between w:val="nil"/>
              </w:pBdr>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Vista Ministerios Públicos de ser el caso</w:t>
            </w:r>
          </w:p>
        </w:tc>
        <w:tc>
          <w:tcPr>
            <w:tcW w:w="1722" w:type="dxa"/>
            <w:gridSpan w:val="4"/>
          </w:tcPr>
          <w:p w14:paraId="44AC816A"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Ratifica Respuesta</w:t>
            </w:r>
          </w:p>
        </w:tc>
        <w:tc>
          <w:tcPr>
            <w:tcW w:w="2131" w:type="dxa"/>
          </w:tcPr>
          <w:p w14:paraId="28ED9108"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b/>
                <w:bCs/>
              </w:rPr>
              <w:t xml:space="preserve">Colma Parcialmente, </w:t>
            </w:r>
            <w:r w:rsidRPr="00E05D09">
              <w:rPr>
                <w:rFonts w:ascii="Palatino Linotype" w:eastAsia="Palatino Linotype" w:hAnsi="Palatino Linotype" w:cs="Palatino Linotype"/>
              </w:rPr>
              <w:t>toda vez que no precisa si la información remitida corresponde al ejercicio fiscal 2025 o 2026</w:t>
            </w:r>
          </w:p>
        </w:tc>
      </w:tr>
      <w:tr w:rsidR="00B2722B" w:rsidRPr="00E05D09" w14:paraId="69771E1C" w14:textId="77777777" w:rsidTr="00E05D09">
        <w:tc>
          <w:tcPr>
            <w:tcW w:w="2405" w:type="dxa"/>
            <w:gridSpan w:val="2"/>
          </w:tcPr>
          <w:p w14:paraId="3877BEE4"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Número de asesorías jurídicas y psicológicas brindadas</w:t>
            </w:r>
          </w:p>
        </w:tc>
        <w:tc>
          <w:tcPr>
            <w:tcW w:w="2965" w:type="dxa"/>
          </w:tcPr>
          <w:p w14:paraId="64E2FBD4" w14:textId="77777777" w:rsidR="00B2722B" w:rsidRPr="00E05D09" w:rsidRDefault="004425A1">
            <w:pPr>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El servidor público habilitado refirió que en el año 2025 se brindaron, 3610 asesorías jurídicas y en relación a los asesorías psicológicas, refiere que se esa área se llevan a cabo terapias o talleres </w:t>
            </w:r>
            <w:r w:rsidRPr="00E05D09">
              <w:rPr>
                <w:rFonts w:ascii="Palatino Linotype" w:eastAsia="Palatino Linotype" w:hAnsi="Palatino Linotype" w:cs="Palatino Linotype"/>
              </w:rPr>
              <w:lastRenderedPageBreak/>
              <w:t>psicológicos que de manera específica ordena el juzgado, por lo que en esa área no se brindan asesorías psicológicas</w:t>
            </w:r>
          </w:p>
        </w:tc>
        <w:tc>
          <w:tcPr>
            <w:tcW w:w="1722" w:type="dxa"/>
            <w:gridSpan w:val="4"/>
          </w:tcPr>
          <w:p w14:paraId="72E3ED66" w14:textId="77777777" w:rsidR="00B2722B" w:rsidRPr="00E05D09" w:rsidRDefault="00B2722B">
            <w:pPr>
              <w:pBdr>
                <w:top w:val="nil"/>
                <w:left w:val="nil"/>
                <w:bottom w:val="nil"/>
                <w:right w:val="nil"/>
                <w:between w:val="nil"/>
              </w:pBdr>
              <w:ind w:right="-4"/>
              <w:jc w:val="both"/>
              <w:rPr>
                <w:rFonts w:ascii="Palatino Linotype" w:eastAsia="Palatino Linotype" w:hAnsi="Palatino Linotype" w:cs="Palatino Linotype"/>
              </w:rPr>
            </w:pPr>
          </w:p>
        </w:tc>
        <w:tc>
          <w:tcPr>
            <w:tcW w:w="2131" w:type="dxa"/>
          </w:tcPr>
          <w:p w14:paraId="2D1745C9"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b/>
                <w:bCs/>
              </w:rPr>
              <w:t>Colma Parcialmente</w:t>
            </w:r>
          </w:p>
          <w:p w14:paraId="70DD00DD"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Ello en virtud de que no se pronunció respecto a las asesorías proporcionadas </w:t>
            </w:r>
            <w:r w:rsidRPr="00E05D09">
              <w:rPr>
                <w:rFonts w:ascii="Palatino Linotype" w:eastAsia="Palatino Linotype" w:hAnsi="Palatino Linotype" w:cs="Palatino Linotype"/>
              </w:rPr>
              <w:lastRenderedPageBreak/>
              <w:t>en el ejercicio fiscal 2026</w:t>
            </w:r>
          </w:p>
        </w:tc>
      </w:tr>
      <w:tr w:rsidR="00B2722B" w:rsidRPr="00E05D09" w14:paraId="5D90577E" w14:textId="77777777" w:rsidTr="00E05D09">
        <w:tc>
          <w:tcPr>
            <w:tcW w:w="2405" w:type="dxa"/>
            <w:gridSpan w:val="2"/>
          </w:tcPr>
          <w:p w14:paraId="19CB13E2"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lastRenderedPageBreak/>
              <w:t>Informes estadísticos de atención a menores</w:t>
            </w:r>
          </w:p>
        </w:tc>
        <w:tc>
          <w:tcPr>
            <w:tcW w:w="2965" w:type="dxa"/>
          </w:tcPr>
          <w:p w14:paraId="1EC6744F"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El servidor público habilitado refirió que esa área no tiene un control estadístico por cada una de las líneas de acción</w:t>
            </w:r>
          </w:p>
        </w:tc>
        <w:tc>
          <w:tcPr>
            <w:tcW w:w="1722" w:type="dxa"/>
            <w:gridSpan w:val="4"/>
          </w:tcPr>
          <w:p w14:paraId="3E68BECF" w14:textId="77777777" w:rsidR="00B2722B" w:rsidRPr="00E05D09" w:rsidRDefault="00B2722B">
            <w:pPr>
              <w:pBdr>
                <w:top w:val="nil"/>
                <w:left w:val="nil"/>
                <w:bottom w:val="nil"/>
                <w:right w:val="nil"/>
                <w:between w:val="nil"/>
              </w:pBdr>
              <w:ind w:right="-4"/>
              <w:jc w:val="both"/>
              <w:rPr>
                <w:rFonts w:ascii="Palatino Linotype" w:eastAsia="Palatino Linotype" w:hAnsi="Palatino Linotype" w:cs="Palatino Linotype"/>
              </w:rPr>
            </w:pPr>
          </w:p>
        </w:tc>
        <w:tc>
          <w:tcPr>
            <w:tcW w:w="2131" w:type="dxa"/>
          </w:tcPr>
          <w:p w14:paraId="536CE94F"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b/>
                <w:bCs/>
              </w:rPr>
              <w:t>No colma</w:t>
            </w:r>
          </w:p>
          <w:p w14:paraId="143F5AF0"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Toda vez que si bien es cierto, el área no lleva el reporte estadístico, también lo es que existe un área en particular que tienen dicha atribución como lo es la UIPPE</w:t>
            </w:r>
          </w:p>
        </w:tc>
      </w:tr>
      <w:tr w:rsidR="00B2722B" w:rsidRPr="00E05D09" w14:paraId="220A8DD8" w14:textId="77777777" w:rsidTr="00E05D09">
        <w:tc>
          <w:tcPr>
            <w:tcW w:w="2405" w:type="dxa"/>
            <w:gridSpan w:val="2"/>
          </w:tcPr>
          <w:p w14:paraId="0579605B"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Protocolos y lineamientos de actuación vigentes</w:t>
            </w:r>
          </w:p>
        </w:tc>
        <w:tc>
          <w:tcPr>
            <w:tcW w:w="2965" w:type="dxa"/>
          </w:tcPr>
          <w:p w14:paraId="1C7245E6"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 xml:space="preserve">El servidor público habilitado refirió que esa Procuraduría trabaja en Coordinación con la Procuraduría de la entidad; así como de la Federación, para efecto de velar por el interés de las niñas, niños y adolescentes </w:t>
            </w:r>
          </w:p>
        </w:tc>
        <w:tc>
          <w:tcPr>
            <w:tcW w:w="1722" w:type="dxa"/>
            <w:gridSpan w:val="4"/>
          </w:tcPr>
          <w:p w14:paraId="66F03CED" w14:textId="77777777" w:rsidR="00B2722B" w:rsidRPr="00E05D09" w:rsidRDefault="00B2722B">
            <w:pPr>
              <w:pBdr>
                <w:top w:val="nil"/>
                <w:left w:val="nil"/>
                <w:bottom w:val="nil"/>
                <w:right w:val="nil"/>
                <w:between w:val="nil"/>
              </w:pBdr>
              <w:ind w:right="-4"/>
              <w:jc w:val="both"/>
              <w:rPr>
                <w:rFonts w:ascii="Palatino Linotype" w:eastAsia="Palatino Linotype" w:hAnsi="Palatino Linotype" w:cs="Palatino Linotype"/>
              </w:rPr>
            </w:pPr>
          </w:p>
        </w:tc>
        <w:tc>
          <w:tcPr>
            <w:tcW w:w="2131" w:type="dxa"/>
          </w:tcPr>
          <w:p w14:paraId="295E4F07"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b/>
                <w:bCs/>
              </w:rPr>
              <w:t xml:space="preserve">No colma, </w:t>
            </w:r>
            <w:r w:rsidRPr="00E05D09">
              <w:rPr>
                <w:rFonts w:ascii="Palatino Linotype" w:eastAsia="Palatino Linotype" w:hAnsi="Palatino Linotype" w:cs="Palatino Linotype"/>
              </w:rPr>
              <w:t xml:space="preserve">toda vez que no refirió cuales son los Protocolos y lineamientos de Actuación </w:t>
            </w:r>
            <w:r w:rsidRPr="00E05D09">
              <w:rPr>
                <w:rFonts w:ascii="Palatino Linotype" w:eastAsia="Palatino Linotype" w:hAnsi="Palatino Linotype" w:cs="Palatino Linotype"/>
                <w:b/>
                <w:bCs/>
              </w:rPr>
              <w:t xml:space="preserve"> </w:t>
            </w:r>
          </w:p>
        </w:tc>
      </w:tr>
      <w:tr w:rsidR="00B2722B" w:rsidRPr="00E05D09" w14:paraId="6726A1A8" w14:textId="77777777" w:rsidTr="00E05D09">
        <w:tc>
          <w:tcPr>
            <w:tcW w:w="9223" w:type="dxa"/>
            <w:gridSpan w:val="8"/>
            <w:shd w:val="clear" w:color="auto" w:fill="BFBFBF"/>
          </w:tcPr>
          <w:p w14:paraId="09F06A31" w14:textId="77777777" w:rsidR="00B2722B" w:rsidRPr="00E05D09" w:rsidRDefault="004425A1">
            <w:pPr>
              <w:jc w:val="center"/>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Área de Salud</w:t>
            </w:r>
          </w:p>
        </w:tc>
      </w:tr>
      <w:tr w:rsidR="00B2722B" w:rsidRPr="00E05D09" w14:paraId="27E1D3B3" w14:textId="77777777" w:rsidTr="00E05D09">
        <w:tc>
          <w:tcPr>
            <w:tcW w:w="2405" w:type="dxa"/>
            <w:gridSpan w:val="2"/>
          </w:tcPr>
          <w:p w14:paraId="50148B4A"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Programas de salud operados</w:t>
            </w:r>
          </w:p>
        </w:tc>
        <w:tc>
          <w:tcPr>
            <w:tcW w:w="2965" w:type="dxa"/>
          </w:tcPr>
          <w:p w14:paraId="3F3066E1"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El servidor público habilitado informó que lo servicios de salud que se ofrecen son los siguientes:</w:t>
            </w:r>
          </w:p>
          <w:p w14:paraId="3EE7AD24"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  </w:t>
            </w:r>
            <w:r w:rsidRPr="00E05D09">
              <w:rPr>
                <w:rFonts w:ascii="Palatino Linotype" w:eastAsia="Palatino Linotype" w:hAnsi="Palatino Linotype" w:cs="Palatino Linotype"/>
              </w:rPr>
              <w:t></w:t>
            </w:r>
            <w:r w:rsidRPr="00E05D09">
              <w:rPr>
                <w:rFonts w:ascii="Palatino Linotype" w:eastAsia="Palatino Linotype" w:hAnsi="Palatino Linotype" w:cs="Palatino Linotype"/>
              </w:rPr>
              <w:tab/>
              <w:t>Toma de signos vitales y Somatometría.</w:t>
            </w:r>
          </w:p>
          <w:p w14:paraId="58EA0B07"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w:t>
            </w:r>
            <w:r w:rsidRPr="00E05D09">
              <w:rPr>
                <w:rFonts w:ascii="Palatino Linotype" w:eastAsia="Palatino Linotype" w:hAnsi="Palatino Linotype" w:cs="Palatino Linotype"/>
              </w:rPr>
              <w:tab/>
              <w:t xml:space="preserve">Programa de Métodos de planificación </w:t>
            </w:r>
            <w:r w:rsidRPr="00E05D09">
              <w:rPr>
                <w:rFonts w:ascii="Palatino Linotype" w:eastAsia="Palatino Linotype" w:hAnsi="Palatino Linotype" w:cs="Palatino Linotype"/>
              </w:rPr>
              <w:lastRenderedPageBreak/>
              <w:t>familiar (otorgamiento gratuito de métodos anticonceptivos)</w:t>
            </w:r>
          </w:p>
          <w:p w14:paraId="25B5FA4A"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w:t>
            </w:r>
            <w:r w:rsidRPr="00E05D09">
              <w:rPr>
                <w:rFonts w:ascii="Palatino Linotype" w:eastAsia="Palatino Linotype" w:hAnsi="Palatino Linotype" w:cs="Palatino Linotype"/>
              </w:rPr>
              <w:tab/>
              <w:t>Aplicación de pruebas rápidas de antígeno prostático, Covid 19, Influenza, Hepatitis A Y B. VIH.</w:t>
            </w:r>
          </w:p>
          <w:p w14:paraId="514FAE31"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w:t>
            </w:r>
            <w:r w:rsidRPr="00E05D09">
              <w:rPr>
                <w:rFonts w:ascii="Palatino Linotype" w:eastAsia="Palatino Linotype" w:hAnsi="Palatino Linotype" w:cs="Palatino Linotype"/>
              </w:rPr>
              <w:tab/>
              <w:t>Detección oportuna de cáncer cervicouterino y mamario (exploración mamaria y toma de citologías).</w:t>
            </w:r>
          </w:p>
          <w:p w14:paraId="78DA6850"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w:t>
            </w:r>
            <w:r w:rsidRPr="00E05D09">
              <w:rPr>
                <w:rFonts w:ascii="Palatino Linotype" w:eastAsia="Palatino Linotype" w:hAnsi="Palatino Linotype" w:cs="Palatino Linotype"/>
              </w:rPr>
              <w:tab/>
              <w:t>Detección de IRAS y EDAS.</w:t>
            </w:r>
          </w:p>
          <w:p w14:paraId="6DE0AF15"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w:t>
            </w:r>
            <w:r w:rsidRPr="00E05D09">
              <w:rPr>
                <w:rFonts w:ascii="Palatino Linotype" w:eastAsia="Palatino Linotype" w:hAnsi="Palatino Linotype" w:cs="Palatino Linotype"/>
              </w:rPr>
              <w:tab/>
              <w:t>Atención al menor de 5 años. g) Distribución de desparasitantes.</w:t>
            </w:r>
          </w:p>
          <w:p w14:paraId="5FA9B9BB"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w:t>
            </w:r>
            <w:r w:rsidRPr="00E05D09">
              <w:rPr>
                <w:rFonts w:ascii="Palatino Linotype" w:eastAsia="Palatino Linotype" w:hAnsi="Palatino Linotype" w:cs="Palatino Linotype"/>
              </w:rPr>
              <w:tab/>
              <w:t>Tratamientos odontológicos en consultorio fijo.</w:t>
            </w:r>
          </w:p>
          <w:p w14:paraId="0D471394"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w:t>
            </w:r>
            <w:r w:rsidRPr="00E05D09">
              <w:rPr>
                <w:rFonts w:ascii="Palatino Linotype" w:eastAsia="Palatino Linotype" w:hAnsi="Palatino Linotype" w:cs="Palatino Linotype"/>
              </w:rPr>
              <w:tab/>
              <w:t>Tratamientos odontológicos brindados en las comunidades en Unidad móvil con apoyo de DIFEM.</w:t>
            </w:r>
          </w:p>
          <w:p w14:paraId="7AC6C3AB"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w:t>
            </w:r>
            <w:r w:rsidRPr="00E05D09">
              <w:rPr>
                <w:rFonts w:ascii="Palatino Linotype" w:eastAsia="Palatino Linotype" w:hAnsi="Palatino Linotype" w:cs="Palatino Linotype"/>
              </w:rPr>
              <w:tab/>
              <w:t>Aplicaciones de flúor a niños, niñas y adolescentes en escuelas del municipio.</w:t>
            </w:r>
          </w:p>
          <w:p w14:paraId="364D6C16"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w:t>
            </w:r>
            <w:r w:rsidRPr="00E05D09">
              <w:rPr>
                <w:rFonts w:ascii="Palatino Linotype" w:eastAsia="Palatino Linotype" w:hAnsi="Palatino Linotype" w:cs="Palatino Linotype"/>
              </w:rPr>
              <w:tab/>
              <w:t>Expedición de certificados médicos.</w:t>
            </w:r>
          </w:p>
        </w:tc>
        <w:tc>
          <w:tcPr>
            <w:tcW w:w="1722" w:type="dxa"/>
            <w:gridSpan w:val="4"/>
          </w:tcPr>
          <w:p w14:paraId="5338504C"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lastRenderedPageBreak/>
              <w:t>Ratifica Respuesta</w:t>
            </w:r>
          </w:p>
        </w:tc>
        <w:tc>
          <w:tcPr>
            <w:tcW w:w="2131" w:type="dxa"/>
          </w:tcPr>
          <w:p w14:paraId="326D5850"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b/>
                <w:bCs/>
              </w:rPr>
              <w:t>Colma</w:t>
            </w:r>
          </w:p>
        </w:tc>
      </w:tr>
      <w:tr w:rsidR="00B2722B" w:rsidRPr="00E05D09" w14:paraId="5E04314B" w14:textId="77777777" w:rsidTr="00E05D09">
        <w:tc>
          <w:tcPr>
            <w:tcW w:w="2405" w:type="dxa"/>
            <w:gridSpan w:val="2"/>
          </w:tcPr>
          <w:p w14:paraId="1D833D51"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Número de consultas médicas, psicológicas y de </w:t>
            </w:r>
            <w:r w:rsidRPr="00E05D09">
              <w:rPr>
                <w:rFonts w:ascii="Palatino Linotype" w:eastAsia="Palatino Linotype" w:hAnsi="Palatino Linotype" w:cs="Palatino Linotype"/>
                <w:color w:val="000000"/>
              </w:rPr>
              <w:lastRenderedPageBreak/>
              <w:t>rehabilitación otorgadas.</w:t>
            </w:r>
          </w:p>
        </w:tc>
        <w:tc>
          <w:tcPr>
            <w:tcW w:w="2965" w:type="dxa"/>
          </w:tcPr>
          <w:p w14:paraId="4ED4043F" w14:textId="77777777" w:rsidR="00B2722B" w:rsidRPr="00E05D09" w:rsidRDefault="004425A1">
            <w:pPr>
              <w:pBdr>
                <w:top w:val="nil"/>
                <w:left w:val="nil"/>
                <w:bottom w:val="nil"/>
                <w:right w:val="nil"/>
                <w:between w:val="nil"/>
              </w:pBdr>
              <w:tabs>
                <w:tab w:val="left" w:pos="0"/>
              </w:tabs>
              <w:ind w:right="34"/>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lastRenderedPageBreak/>
              <w:t>El servidor público habilitado, refirió que se han brindado las siguientes consultas:</w:t>
            </w:r>
          </w:p>
          <w:p w14:paraId="36B3CB17" w14:textId="77777777" w:rsidR="00B2722B" w:rsidRPr="00E05D09" w:rsidRDefault="004425A1">
            <w:pPr>
              <w:pBdr>
                <w:top w:val="nil"/>
                <w:left w:val="nil"/>
                <w:bottom w:val="nil"/>
                <w:right w:val="nil"/>
                <w:between w:val="nil"/>
              </w:pBdr>
              <w:tabs>
                <w:tab w:val="left" w:pos="0"/>
              </w:tabs>
              <w:ind w:right="34"/>
              <w:jc w:val="center"/>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lastRenderedPageBreak/>
              <w:t>2025</w:t>
            </w:r>
          </w:p>
          <w:p w14:paraId="2A8301E8" w14:textId="77777777" w:rsidR="00B2722B" w:rsidRPr="00E05D09" w:rsidRDefault="004425A1">
            <w:pPr>
              <w:numPr>
                <w:ilvl w:val="0"/>
                <w:numId w:val="26"/>
              </w:numPr>
              <w:pBdr>
                <w:top w:val="nil"/>
                <w:left w:val="nil"/>
                <w:bottom w:val="nil"/>
                <w:right w:val="nil"/>
                <w:between w:val="nil"/>
              </w:pBdr>
              <w:tabs>
                <w:tab w:val="left" w:pos="41"/>
              </w:tabs>
              <w:ind w:left="183" w:right="34" w:hanging="142"/>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Medicas 3000</w:t>
            </w:r>
          </w:p>
          <w:p w14:paraId="7EECDEDE" w14:textId="77777777" w:rsidR="00B2722B" w:rsidRPr="00E05D09" w:rsidRDefault="004425A1">
            <w:pPr>
              <w:numPr>
                <w:ilvl w:val="0"/>
                <w:numId w:val="26"/>
              </w:numPr>
              <w:pBdr>
                <w:top w:val="nil"/>
                <w:left w:val="nil"/>
                <w:bottom w:val="nil"/>
                <w:right w:val="nil"/>
                <w:between w:val="nil"/>
              </w:pBdr>
              <w:tabs>
                <w:tab w:val="left" w:pos="41"/>
              </w:tabs>
              <w:ind w:left="183" w:right="34" w:hanging="142"/>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Psicológicas 500</w:t>
            </w:r>
          </w:p>
          <w:p w14:paraId="602EF6B0" w14:textId="77777777" w:rsidR="00B2722B" w:rsidRPr="00E05D09" w:rsidRDefault="004425A1">
            <w:pPr>
              <w:pBdr>
                <w:top w:val="nil"/>
                <w:left w:val="nil"/>
                <w:bottom w:val="nil"/>
                <w:right w:val="nil"/>
                <w:between w:val="nil"/>
              </w:pBdr>
              <w:tabs>
                <w:tab w:val="left" w:pos="41"/>
              </w:tabs>
              <w:ind w:left="183" w:right="34"/>
              <w:jc w:val="center"/>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2026</w:t>
            </w:r>
          </w:p>
          <w:p w14:paraId="04BAAA83" w14:textId="77777777" w:rsidR="00B2722B" w:rsidRPr="00E05D09" w:rsidRDefault="004425A1">
            <w:pPr>
              <w:numPr>
                <w:ilvl w:val="0"/>
                <w:numId w:val="26"/>
              </w:numPr>
              <w:pBdr>
                <w:top w:val="nil"/>
                <w:left w:val="nil"/>
                <w:bottom w:val="nil"/>
                <w:right w:val="nil"/>
                <w:between w:val="nil"/>
              </w:pBdr>
              <w:tabs>
                <w:tab w:val="left" w:pos="41"/>
              </w:tabs>
              <w:ind w:left="183" w:right="34" w:hanging="142"/>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Medicas 300</w:t>
            </w:r>
          </w:p>
          <w:p w14:paraId="082C1EA3" w14:textId="77777777" w:rsidR="00B2722B" w:rsidRPr="00E05D09" w:rsidRDefault="004425A1">
            <w:pPr>
              <w:numPr>
                <w:ilvl w:val="0"/>
                <w:numId w:val="26"/>
              </w:numPr>
              <w:pBdr>
                <w:top w:val="nil"/>
                <w:left w:val="nil"/>
                <w:bottom w:val="nil"/>
                <w:right w:val="nil"/>
                <w:between w:val="nil"/>
              </w:pBdr>
              <w:tabs>
                <w:tab w:val="left" w:pos="41"/>
              </w:tabs>
              <w:ind w:left="183" w:right="34" w:hanging="142"/>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Psicológicas 80</w:t>
            </w:r>
          </w:p>
          <w:p w14:paraId="1FA00BCA" w14:textId="77777777" w:rsidR="00B2722B" w:rsidRPr="00E05D09" w:rsidRDefault="00B2722B">
            <w:pPr>
              <w:pBdr>
                <w:top w:val="nil"/>
                <w:left w:val="nil"/>
                <w:bottom w:val="nil"/>
                <w:right w:val="nil"/>
                <w:between w:val="nil"/>
              </w:pBdr>
              <w:tabs>
                <w:tab w:val="left" w:pos="41"/>
              </w:tabs>
              <w:ind w:left="183" w:right="34"/>
              <w:jc w:val="both"/>
              <w:rPr>
                <w:rFonts w:ascii="Palatino Linotype" w:eastAsia="Palatino Linotype" w:hAnsi="Palatino Linotype" w:cs="Palatino Linotype"/>
                <w:color w:val="000000"/>
              </w:rPr>
            </w:pPr>
          </w:p>
          <w:p w14:paraId="59F0FD2D" w14:textId="77777777" w:rsidR="00B2722B" w:rsidRPr="00E05D09" w:rsidRDefault="004425A1">
            <w:pPr>
              <w:pBdr>
                <w:top w:val="nil"/>
                <w:left w:val="nil"/>
                <w:bottom w:val="nil"/>
                <w:right w:val="nil"/>
                <w:between w:val="nil"/>
              </w:pBdr>
              <w:tabs>
                <w:tab w:val="left" w:pos="41"/>
              </w:tabs>
              <w:ind w:left="183" w:right="34"/>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Refiere que se han brindado 786 rehabilitaciones, empero no preciso la temporalidad</w:t>
            </w:r>
          </w:p>
        </w:tc>
        <w:tc>
          <w:tcPr>
            <w:tcW w:w="1722" w:type="dxa"/>
            <w:gridSpan w:val="4"/>
          </w:tcPr>
          <w:p w14:paraId="0D2D9B6A"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lastRenderedPageBreak/>
              <w:t>Ratifica Respuesta</w:t>
            </w:r>
          </w:p>
        </w:tc>
        <w:tc>
          <w:tcPr>
            <w:tcW w:w="2131" w:type="dxa"/>
          </w:tcPr>
          <w:p w14:paraId="29AFF2D9"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b/>
                <w:bCs/>
              </w:rPr>
              <w:t>Colma Parcialmente, t</w:t>
            </w:r>
            <w:r w:rsidRPr="00E05D09">
              <w:rPr>
                <w:rFonts w:ascii="Palatino Linotype" w:eastAsia="Palatino Linotype" w:hAnsi="Palatino Linotype" w:cs="Palatino Linotype"/>
              </w:rPr>
              <w:t xml:space="preserve">oda vez que no preciso cuantas </w:t>
            </w:r>
            <w:r w:rsidRPr="00E05D09">
              <w:rPr>
                <w:rFonts w:ascii="Palatino Linotype" w:eastAsia="Palatino Linotype" w:hAnsi="Palatino Linotype" w:cs="Palatino Linotype"/>
              </w:rPr>
              <w:lastRenderedPageBreak/>
              <w:t>rehabilitaciones se brindaron en 2025 y cuantas en 2026</w:t>
            </w:r>
          </w:p>
        </w:tc>
      </w:tr>
      <w:tr w:rsidR="00B2722B" w:rsidRPr="00E05D09" w14:paraId="60F80181" w14:textId="77777777" w:rsidTr="00E05D09">
        <w:tc>
          <w:tcPr>
            <w:tcW w:w="2405" w:type="dxa"/>
            <w:gridSpan w:val="2"/>
          </w:tcPr>
          <w:p w14:paraId="61E3E881"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lastRenderedPageBreak/>
              <w:t>Relación de medicamentos, insumos y material médico adquirido</w:t>
            </w:r>
          </w:p>
        </w:tc>
        <w:tc>
          <w:tcPr>
            <w:tcW w:w="2965" w:type="dxa"/>
          </w:tcPr>
          <w:p w14:paraId="7F5B8A08"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El servidor público habilitado refirió que lo proporcionado para brindar los servicios médicos, es proporcionado por el área de administración</w:t>
            </w:r>
          </w:p>
        </w:tc>
        <w:tc>
          <w:tcPr>
            <w:tcW w:w="1722" w:type="dxa"/>
            <w:gridSpan w:val="4"/>
          </w:tcPr>
          <w:p w14:paraId="75CB47B2"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Ratifica Respuesta</w:t>
            </w:r>
          </w:p>
        </w:tc>
        <w:tc>
          <w:tcPr>
            <w:tcW w:w="2131" w:type="dxa"/>
          </w:tcPr>
          <w:p w14:paraId="128A5BFF"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b/>
                <w:bCs/>
              </w:rPr>
              <w:t>No colma</w:t>
            </w:r>
          </w:p>
        </w:tc>
      </w:tr>
      <w:tr w:rsidR="00B2722B" w:rsidRPr="00E05D09" w14:paraId="19522660" w14:textId="77777777" w:rsidTr="00E05D09">
        <w:tc>
          <w:tcPr>
            <w:tcW w:w="2405" w:type="dxa"/>
            <w:gridSpan w:val="2"/>
          </w:tcPr>
          <w:p w14:paraId="255E90B9"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Convenios con instituciones de salud.</w:t>
            </w:r>
          </w:p>
        </w:tc>
        <w:tc>
          <w:tcPr>
            <w:tcW w:w="2965" w:type="dxa"/>
          </w:tcPr>
          <w:p w14:paraId="37E2E166" w14:textId="77777777" w:rsidR="00B2722B" w:rsidRPr="00E05D09" w:rsidRDefault="004425A1">
            <w:pPr>
              <w:jc w:val="both"/>
              <w:rPr>
                <w:rFonts w:ascii="Palatino Linotype" w:eastAsia="Palatino Linotype" w:hAnsi="Palatino Linotype" w:cs="Palatino Linotype"/>
              </w:rPr>
            </w:pPr>
            <w:r w:rsidRPr="00E05D09">
              <w:rPr>
                <w:rFonts w:ascii="Palatino Linotype" w:eastAsia="Palatino Linotype" w:hAnsi="Palatino Linotype" w:cs="Palatino Linotype"/>
              </w:rPr>
              <w:t>El servidor público habilitado refirió que no cuenta con convenios vigentes ni activos con instituciones de salud pública, ni instituciones privadas</w:t>
            </w:r>
          </w:p>
        </w:tc>
        <w:tc>
          <w:tcPr>
            <w:tcW w:w="1722" w:type="dxa"/>
            <w:gridSpan w:val="4"/>
          </w:tcPr>
          <w:p w14:paraId="15EDD7E1"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Ratifica Respuesta</w:t>
            </w:r>
          </w:p>
        </w:tc>
        <w:tc>
          <w:tcPr>
            <w:tcW w:w="2131" w:type="dxa"/>
          </w:tcPr>
          <w:p w14:paraId="607F93B3"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b/>
                <w:bCs/>
              </w:rPr>
              <w:t>Colma</w:t>
            </w:r>
          </w:p>
        </w:tc>
      </w:tr>
      <w:tr w:rsidR="00B2722B" w:rsidRPr="00E05D09" w14:paraId="4E7DEF91" w14:textId="77777777" w:rsidTr="00E05D09">
        <w:tc>
          <w:tcPr>
            <w:tcW w:w="2405" w:type="dxa"/>
            <w:gridSpan w:val="2"/>
          </w:tcPr>
          <w:p w14:paraId="7F96FD60"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Informes de campañas de salud realizadas</w:t>
            </w:r>
          </w:p>
        </w:tc>
        <w:tc>
          <w:tcPr>
            <w:tcW w:w="2965" w:type="dxa"/>
          </w:tcPr>
          <w:p w14:paraId="5E83372C" w14:textId="77777777" w:rsidR="00B2722B" w:rsidRPr="00E05D09" w:rsidRDefault="004425A1">
            <w:pPr>
              <w:jc w:val="both"/>
              <w:rPr>
                <w:rFonts w:ascii="Palatino Linotype" w:eastAsia="Palatino Linotype" w:hAnsi="Palatino Linotype" w:cs="Palatino Linotype"/>
              </w:rPr>
            </w:pPr>
            <w:r w:rsidRPr="00E05D09">
              <w:rPr>
                <w:rFonts w:ascii="Palatino Linotype" w:eastAsia="Palatino Linotype" w:hAnsi="Palatino Linotype" w:cs="Palatino Linotype"/>
              </w:rPr>
              <w:t>El servidor público habilitado refirió que en el año 2025 y enero de 2026, no se han realizado campañas de salud, solo se han ejecutado 3 jornadas médico odontológicas</w:t>
            </w:r>
          </w:p>
        </w:tc>
        <w:tc>
          <w:tcPr>
            <w:tcW w:w="1722" w:type="dxa"/>
            <w:gridSpan w:val="4"/>
          </w:tcPr>
          <w:p w14:paraId="6AE87104"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Ratifica Respuesta</w:t>
            </w:r>
          </w:p>
        </w:tc>
        <w:tc>
          <w:tcPr>
            <w:tcW w:w="2131" w:type="dxa"/>
          </w:tcPr>
          <w:p w14:paraId="7244A514"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b/>
                <w:bCs/>
              </w:rPr>
              <w:t>Colma</w:t>
            </w:r>
          </w:p>
        </w:tc>
      </w:tr>
      <w:tr w:rsidR="00B2722B" w:rsidRPr="00E05D09" w14:paraId="077CDC47" w14:textId="77777777" w:rsidTr="00E05D09">
        <w:tc>
          <w:tcPr>
            <w:tcW w:w="9223" w:type="dxa"/>
            <w:gridSpan w:val="8"/>
            <w:shd w:val="clear" w:color="auto" w:fill="BFBFBF"/>
          </w:tcPr>
          <w:p w14:paraId="505C7EE4" w14:textId="77777777" w:rsidR="00B2722B" w:rsidRPr="00E05D09" w:rsidRDefault="004425A1">
            <w:pPr>
              <w:jc w:val="center"/>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Atención a Adultos Mayores</w:t>
            </w:r>
          </w:p>
        </w:tc>
      </w:tr>
      <w:tr w:rsidR="00B2722B" w:rsidRPr="00E05D09" w14:paraId="0FF16898" w14:textId="77777777" w:rsidTr="00E05D09">
        <w:tc>
          <w:tcPr>
            <w:tcW w:w="2405" w:type="dxa"/>
            <w:gridSpan w:val="2"/>
          </w:tcPr>
          <w:p w14:paraId="5C1B5566" w14:textId="77777777" w:rsidR="00B2722B" w:rsidRPr="00E05D09" w:rsidRDefault="004425A1">
            <w:pPr>
              <w:numPr>
                <w:ilvl w:val="0"/>
                <w:numId w:val="21"/>
              </w:numPr>
              <w:ind w:left="0" w:right="-4" w:firstLine="0"/>
              <w:jc w:val="both"/>
              <w:rPr>
                <w:rFonts w:ascii="Palatino Linotype" w:eastAsia="Palatino Linotype" w:hAnsi="Palatino Linotype" w:cs="Palatino Linotype"/>
              </w:rPr>
            </w:pPr>
            <w:r w:rsidRPr="00E05D09">
              <w:rPr>
                <w:rFonts w:ascii="Palatino Linotype" w:eastAsia="Palatino Linotype" w:hAnsi="Palatino Linotype" w:cs="Palatino Linotype"/>
                <w:color w:val="000000"/>
              </w:rPr>
              <w:lastRenderedPageBreak/>
              <w:t>Programas dirigidos a adultos mayores</w:t>
            </w:r>
          </w:p>
        </w:tc>
        <w:tc>
          <w:tcPr>
            <w:tcW w:w="6818" w:type="dxa"/>
            <w:gridSpan w:val="6"/>
          </w:tcPr>
          <w:p w14:paraId="1FA82072" w14:textId="77777777" w:rsidR="00B2722B" w:rsidRPr="00E05D09" w:rsidRDefault="004425A1">
            <w:pPr>
              <w:pBdr>
                <w:top w:val="nil"/>
                <w:left w:val="nil"/>
                <w:bottom w:val="nil"/>
                <w:right w:val="nil"/>
                <w:between w:val="nil"/>
              </w:pBdr>
              <w:ind w:right="-4"/>
              <w:jc w:val="center"/>
              <w:rPr>
                <w:rFonts w:ascii="Palatino Linotype" w:eastAsia="Palatino Linotype" w:hAnsi="Palatino Linotype" w:cs="Palatino Linotype"/>
              </w:rPr>
            </w:pPr>
            <w:r w:rsidRPr="00E05D09">
              <w:rPr>
                <w:rFonts w:ascii="Palatino Linotype" w:eastAsia="Palatino Linotype" w:hAnsi="Palatino Linotype" w:cs="Palatino Linotype"/>
              </w:rPr>
              <w:t>No se pronunció</w:t>
            </w:r>
          </w:p>
        </w:tc>
      </w:tr>
      <w:tr w:rsidR="00B2722B" w:rsidRPr="00E05D09" w14:paraId="5691273E" w14:textId="77777777" w:rsidTr="00E05D09">
        <w:tc>
          <w:tcPr>
            <w:tcW w:w="2405" w:type="dxa"/>
            <w:gridSpan w:val="2"/>
          </w:tcPr>
          <w:p w14:paraId="3B464505" w14:textId="77777777" w:rsidR="00B2722B" w:rsidRPr="00E05D09" w:rsidRDefault="004425A1">
            <w:pPr>
              <w:numPr>
                <w:ilvl w:val="0"/>
                <w:numId w:val="21"/>
              </w:numPr>
              <w:ind w:left="0" w:right="-4" w:firstLine="0"/>
              <w:jc w:val="both"/>
              <w:rPr>
                <w:rFonts w:ascii="Palatino Linotype" w:eastAsia="Palatino Linotype" w:hAnsi="Palatino Linotype" w:cs="Palatino Linotype"/>
              </w:rPr>
            </w:pPr>
            <w:r w:rsidRPr="00E05D09">
              <w:rPr>
                <w:rFonts w:ascii="Palatino Linotype" w:eastAsia="Palatino Linotype" w:hAnsi="Palatino Linotype" w:cs="Palatino Linotype"/>
                <w:color w:val="000000"/>
              </w:rPr>
              <w:t>Padrón de beneficiarios (versión pública</w:t>
            </w:r>
          </w:p>
        </w:tc>
        <w:tc>
          <w:tcPr>
            <w:tcW w:w="6818" w:type="dxa"/>
            <w:gridSpan w:val="6"/>
          </w:tcPr>
          <w:p w14:paraId="11D29454" w14:textId="77777777" w:rsidR="00B2722B" w:rsidRPr="00E05D09" w:rsidRDefault="004425A1">
            <w:pPr>
              <w:jc w:val="center"/>
              <w:rPr>
                <w:rFonts w:ascii="Palatino Linotype" w:eastAsia="Palatino Linotype" w:hAnsi="Palatino Linotype" w:cs="Palatino Linotype"/>
              </w:rPr>
            </w:pPr>
            <w:r w:rsidRPr="00E05D09">
              <w:rPr>
                <w:rFonts w:ascii="Palatino Linotype" w:eastAsia="Palatino Linotype" w:hAnsi="Palatino Linotype" w:cs="Palatino Linotype"/>
              </w:rPr>
              <w:t>No se pronunció</w:t>
            </w:r>
          </w:p>
        </w:tc>
      </w:tr>
      <w:tr w:rsidR="00B2722B" w:rsidRPr="00E05D09" w14:paraId="21C085E5" w14:textId="77777777" w:rsidTr="00E05D09">
        <w:tc>
          <w:tcPr>
            <w:tcW w:w="2405" w:type="dxa"/>
            <w:gridSpan w:val="2"/>
          </w:tcPr>
          <w:p w14:paraId="199B4F5D" w14:textId="77777777" w:rsidR="00B2722B" w:rsidRPr="00E05D09" w:rsidRDefault="004425A1">
            <w:pPr>
              <w:numPr>
                <w:ilvl w:val="0"/>
                <w:numId w:val="21"/>
              </w:numPr>
              <w:ind w:left="0" w:right="-4" w:firstLine="0"/>
              <w:jc w:val="both"/>
              <w:rPr>
                <w:rFonts w:ascii="Palatino Linotype" w:eastAsia="Palatino Linotype" w:hAnsi="Palatino Linotype" w:cs="Palatino Linotype"/>
              </w:rPr>
            </w:pPr>
            <w:r w:rsidRPr="00E05D09">
              <w:rPr>
                <w:rFonts w:ascii="Palatino Linotype" w:eastAsia="Palatino Linotype" w:hAnsi="Palatino Linotype" w:cs="Palatino Linotype"/>
                <w:color w:val="000000"/>
              </w:rPr>
              <w:t>Tipo de apoyos otorgados</w:t>
            </w:r>
            <w:r w:rsidRPr="00E05D09">
              <w:rPr>
                <w:rFonts w:ascii="Palatino Linotype" w:eastAsia="Palatino Linotype" w:hAnsi="Palatino Linotype" w:cs="Palatino Linotype"/>
              </w:rPr>
              <w:t xml:space="preserve"> </w:t>
            </w:r>
          </w:p>
        </w:tc>
        <w:tc>
          <w:tcPr>
            <w:tcW w:w="6818" w:type="dxa"/>
            <w:gridSpan w:val="6"/>
          </w:tcPr>
          <w:p w14:paraId="76407474" w14:textId="77777777" w:rsidR="00B2722B" w:rsidRPr="00E05D09" w:rsidRDefault="004425A1">
            <w:pPr>
              <w:jc w:val="center"/>
              <w:rPr>
                <w:rFonts w:ascii="Palatino Linotype" w:eastAsia="Palatino Linotype" w:hAnsi="Palatino Linotype" w:cs="Palatino Linotype"/>
              </w:rPr>
            </w:pPr>
            <w:r w:rsidRPr="00E05D09">
              <w:rPr>
                <w:rFonts w:ascii="Palatino Linotype" w:eastAsia="Palatino Linotype" w:hAnsi="Palatino Linotype" w:cs="Palatino Linotype"/>
              </w:rPr>
              <w:t>No se pronunció</w:t>
            </w:r>
          </w:p>
        </w:tc>
      </w:tr>
      <w:tr w:rsidR="00B2722B" w:rsidRPr="00E05D09" w14:paraId="1CE923FF" w14:textId="77777777" w:rsidTr="00E05D09">
        <w:tc>
          <w:tcPr>
            <w:tcW w:w="2405" w:type="dxa"/>
            <w:gridSpan w:val="2"/>
          </w:tcPr>
          <w:p w14:paraId="71DD707D"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Actividades recreativas, culturales o asistenciales realizadas</w:t>
            </w:r>
          </w:p>
        </w:tc>
        <w:tc>
          <w:tcPr>
            <w:tcW w:w="6818" w:type="dxa"/>
            <w:gridSpan w:val="6"/>
          </w:tcPr>
          <w:p w14:paraId="5731647E" w14:textId="77777777" w:rsidR="00B2722B" w:rsidRPr="00E05D09" w:rsidRDefault="004425A1">
            <w:pPr>
              <w:jc w:val="center"/>
              <w:rPr>
                <w:rFonts w:ascii="Palatino Linotype" w:eastAsia="Palatino Linotype" w:hAnsi="Palatino Linotype" w:cs="Palatino Linotype"/>
              </w:rPr>
            </w:pPr>
            <w:r w:rsidRPr="00E05D09">
              <w:rPr>
                <w:rFonts w:ascii="Palatino Linotype" w:eastAsia="Palatino Linotype" w:hAnsi="Palatino Linotype" w:cs="Palatino Linotype"/>
              </w:rPr>
              <w:t>No se pronunció</w:t>
            </w:r>
          </w:p>
        </w:tc>
      </w:tr>
      <w:tr w:rsidR="00B2722B" w:rsidRPr="00E05D09" w14:paraId="366968D2" w14:textId="77777777" w:rsidTr="00E05D09">
        <w:tc>
          <w:tcPr>
            <w:tcW w:w="2405" w:type="dxa"/>
            <w:gridSpan w:val="2"/>
          </w:tcPr>
          <w:p w14:paraId="3716A888"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Presupuesto asignado y ejercido</w:t>
            </w:r>
          </w:p>
        </w:tc>
        <w:tc>
          <w:tcPr>
            <w:tcW w:w="6818" w:type="dxa"/>
            <w:gridSpan w:val="6"/>
          </w:tcPr>
          <w:p w14:paraId="7B4C3A67" w14:textId="77777777" w:rsidR="00B2722B" w:rsidRPr="00E05D09" w:rsidRDefault="004425A1">
            <w:pPr>
              <w:jc w:val="center"/>
              <w:rPr>
                <w:rFonts w:ascii="Palatino Linotype" w:eastAsia="Palatino Linotype" w:hAnsi="Palatino Linotype" w:cs="Palatino Linotype"/>
              </w:rPr>
            </w:pPr>
            <w:r w:rsidRPr="00E05D09">
              <w:rPr>
                <w:rFonts w:ascii="Palatino Linotype" w:eastAsia="Palatino Linotype" w:hAnsi="Palatino Linotype" w:cs="Palatino Linotype"/>
              </w:rPr>
              <w:t>No se pronunció</w:t>
            </w:r>
          </w:p>
        </w:tc>
      </w:tr>
      <w:tr w:rsidR="00B2722B" w:rsidRPr="00E05D09" w14:paraId="2EF3CBE8" w14:textId="77777777" w:rsidTr="00E05D09">
        <w:tc>
          <w:tcPr>
            <w:tcW w:w="9223" w:type="dxa"/>
            <w:gridSpan w:val="8"/>
            <w:shd w:val="clear" w:color="auto" w:fill="BFBFBF"/>
          </w:tcPr>
          <w:p w14:paraId="04E70D3F" w14:textId="77777777" w:rsidR="00B2722B" w:rsidRPr="00E05D09" w:rsidRDefault="004425A1">
            <w:pPr>
              <w:pBdr>
                <w:top w:val="nil"/>
                <w:left w:val="nil"/>
                <w:bottom w:val="nil"/>
                <w:right w:val="nil"/>
                <w:between w:val="nil"/>
              </w:pBdr>
              <w:ind w:right="-4"/>
              <w:jc w:val="center"/>
              <w:rPr>
                <w:rFonts w:ascii="Palatino Linotype" w:eastAsia="Palatino Linotype" w:hAnsi="Palatino Linotype" w:cs="Palatino Linotype"/>
                <w:b/>
                <w:bCs/>
              </w:rPr>
            </w:pPr>
            <w:r w:rsidRPr="00E05D09">
              <w:rPr>
                <w:rFonts w:ascii="Palatino Linotype" w:eastAsia="Palatino Linotype" w:hAnsi="Palatino Linotype" w:cs="Palatino Linotype"/>
                <w:b/>
                <w:bCs/>
                <w:color w:val="000000"/>
              </w:rPr>
              <w:t>Área de Alimentación y Asistencia Social</w:t>
            </w:r>
          </w:p>
        </w:tc>
      </w:tr>
      <w:tr w:rsidR="00B2722B" w:rsidRPr="00E05D09" w14:paraId="43F74D18" w14:textId="77777777" w:rsidTr="00E05D09">
        <w:tc>
          <w:tcPr>
            <w:tcW w:w="2405" w:type="dxa"/>
            <w:gridSpan w:val="2"/>
          </w:tcPr>
          <w:p w14:paraId="59E24897" w14:textId="77777777" w:rsidR="00B2722B" w:rsidRPr="00E05D09" w:rsidRDefault="004425A1">
            <w:pPr>
              <w:numPr>
                <w:ilvl w:val="0"/>
                <w:numId w:val="21"/>
              </w:numPr>
              <w:pBdr>
                <w:top w:val="nil"/>
                <w:left w:val="nil"/>
                <w:bottom w:val="nil"/>
                <w:right w:val="nil"/>
                <w:between w:val="nil"/>
              </w:pBdr>
              <w:spacing w:after="160"/>
              <w:ind w:left="0" w:firstLine="0"/>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Programas alimentarios operados. </w:t>
            </w:r>
          </w:p>
          <w:p w14:paraId="5907A35E" w14:textId="77777777" w:rsidR="00B2722B" w:rsidRPr="00E05D09" w:rsidRDefault="00B2722B">
            <w:pPr>
              <w:ind w:right="-4"/>
              <w:jc w:val="both"/>
              <w:rPr>
                <w:rFonts w:ascii="Palatino Linotype" w:eastAsia="Palatino Linotype" w:hAnsi="Palatino Linotype" w:cs="Palatino Linotype"/>
                <w:color w:val="000000"/>
              </w:rPr>
            </w:pPr>
          </w:p>
        </w:tc>
        <w:tc>
          <w:tcPr>
            <w:tcW w:w="2965" w:type="dxa"/>
          </w:tcPr>
          <w:p w14:paraId="1513372D"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El servidor público habilitado refirió que se han implementado los programas de:</w:t>
            </w:r>
          </w:p>
          <w:p w14:paraId="1D386DA6" w14:textId="77777777" w:rsidR="00B2722B" w:rsidRPr="00E05D09" w:rsidRDefault="004425A1">
            <w:pPr>
              <w:numPr>
                <w:ilvl w:val="0"/>
                <w:numId w:val="5"/>
              </w:numPr>
              <w:pBdr>
                <w:top w:val="nil"/>
                <w:left w:val="nil"/>
                <w:bottom w:val="nil"/>
                <w:right w:val="nil"/>
                <w:between w:val="nil"/>
              </w:pBdr>
              <w:ind w:left="41" w:firstLine="0"/>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Desayunos Escolares Fríos</w:t>
            </w:r>
          </w:p>
          <w:p w14:paraId="18D34AE8" w14:textId="77777777" w:rsidR="00B2722B" w:rsidRPr="00E05D09" w:rsidRDefault="004425A1">
            <w:pPr>
              <w:numPr>
                <w:ilvl w:val="0"/>
                <w:numId w:val="5"/>
              </w:numPr>
              <w:pBdr>
                <w:top w:val="nil"/>
                <w:left w:val="nil"/>
                <w:bottom w:val="nil"/>
                <w:right w:val="nil"/>
                <w:between w:val="nil"/>
              </w:pBdr>
              <w:ind w:left="41" w:firstLine="0"/>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Desayunos Escolares Calientes</w:t>
            </w:r>
          </w:p>
        </w:tc>
        <w:tc>
          <w:tcPr>
            <w:tcW w:w="1722" w:type="dxa"/>
            <w:gridSpan w:val="4"/>
          </w:tcPr>
          <w:p w14:paraId="7CED5256"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Ratifica Respuesta</w:t>
            </w:r>
          </w:p>
        </w:tc>
        <w:tc>
          <w:tcPr>
            <w:tcW w:w="2131" w:type="dxa"/>
          </w:tcPr>
          <w:p w14:paraId="377CA5F4"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b/>
                <w:bCs/>
              </w:rPr>
              <w:t xml:space="preserve">Colma Parcialmente, </w:t>
            </w:r>
            <w:r w:rsidRPr="00E05D09">
              <w:rPr>
                <w:rFonts w:ascii="Palatino Linotype" w:eastAsia="Palatino Linotype" w:hAnsi="Palatino Linotype" w:cs="Palatino Linotype"/>
              </w:rPr>
              <w:t>toda vez que no precisa si la información remitida corresponde al ejercicio fiscal 2025 o 2026</w:t>
            </w:r>
          </w:p>
        </w:tc>
      </w:tr>
      <w:tr w:rsidR="00B2722B" w:rsidRPr="00E05D09" w14:paraId="0E29980E" w14:textId="77777777" w:rsidTr="00E05D09">
        <w:tc>
          <w:tcPr>
            <w:tcW w:w="2405" w:type="dxa"/>
            <w:gridSpan w:val="2"/>
          </w:tcPr>
          <w:p w14:paraId="01556831"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Padrón de beneficiarios por programa (versión pública)</w:t>
            </w:r>
          </w:p>
        </w:tc>
        <w:tc>
          <w:tcPr>
            <w:tcW w:w="2965" w:type="dxa"/>
          </w:tcPr>
          <w:p w14:paraId="448AC471"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El servidor público habilitado refirió que a través del programa de Desayunos Escolares Fríos se han beneficiado a 4114 personas, mientras que dentro del Programa denominado Desayunos Escolares Calientes se ha beneficiado a 1298 individuos</w:t>
            </w:r>
          </w:p>
        </w:tc>
        <w:tc>
          <w:tcPr>
            <w:tcW w:w="1722" w:type="dxa"/>
            <w:gridSpan w:val="4"/>
          </w:tcPr>
          <w:p w14:paraId="1A9EF613" w14:textId="77777777" w:rsidR="00B2722B" w:rsidRPr="00E05D09" w:rsidRDefault="00B2722B">
            <w:pPr>
              <w:pBdr>
                <w:top w:val="nil"/>
                <w:left w:val="nil"/>
                <w:bottom w:val="nil"/>
                <w:right w:val="nil"/>
                <w:between w:val="nil"/>
              </w:pBdr>
              <w:ind w:right="-4"/>
              <w:jc w:val="both"/>
              <w:rPr>
                <w:rFonts w:ascii="Palatino Linotype" w:eastAsia="Palatino Linotype" w:hAnsi="Palatino Linotype" w:cs="Palatino Linotype"/>
              </w:rPr>
            </w:pPr>
          </w:p>
        </w:tc>
        <w:tc>
          <w:tcPr>
            <w:tcW w:w="2131" w:type="dxa"/>
          </w:tcPr>
          <w:p w14:paraId="5F52FFBB"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Acta emitido por el Comité de Transparencia, mediante el cual clasifique la información como reservada, por tratarse de menores de edad. </w:t>
            </w:r>
          </w:p>
        </w:tc>
      </w:tr>
      <w:tr w:rsidR="00B2722B" w:rsidRPr="00E05D09" w14:paraId="5E2011A1" w14:textId="77777777" w:rsidTr="00E05D09">
        <w:tc>
          <w:tcPr>
            <w:tcW w:w="2405" w:type="dxa"/>
            <w:gridSpan w:val="2"/>
          </w:tcPr>
          <w:p w14:paraId="6CBB12DF"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lastRenderedPageBreak/>
              <w:t>Reglas de operación de los programas</w:t>
            </w:r>
          </w:p>
        </w:tc>
        <w:tc>
          <w:tcPr>
            <w:tcW w:w="2965" w:type="dxa"/>
          </w:tcPr>
          <w:p w14:paraId="5FCFE148"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El servidor público habilitado remitió un link de acceso en datos cerrados, advirtiendo que dirige a las Reglas de Operación del Programa de Desarrollo Social Alimentación Escolar</w:t>
            </w:r>
          </w:p>
        </w:tc>
        <w:tc>
          <w:tcPr>
            <w:tcW w:w="1722" w:type="dxa"/>
            <w:gridSpan w:val="4"/>
          </w:tcPr>
          <w:p w14:paraId="45027321" w14:textId="77777777" w:rsidR="00B2722B" w:rsidRPr="00E05D09" w:rsidRDefault="00B2722B">
            <w:pPr>
              <w:pBdr>
                <w:top w:val="nil"/>
                <w:left w:val="nil"/>
                <w:bottom w:val="nil"/>
                <w:right w:val="nil"/>
                <w:between w:val="nil"/>
              </w:pBdr>
              <w:ind w:right="-4"/>
              <w:jc w:val="both"/>
              <w:rPr>
                <w:rFonts w:ascii="Palatino Linotype" w:eastAsia="Palatino Linotype" w:hAnsi="Palatino Linotype" w:cs="Palatino Linotype"/>
              </w:rPr>
            </w:pPr>
          </w:p>
        </w:tc>
        <w:tc>
          <w:tcPr>
            <w:tcW w:w="2131" w:type="dxa"/>
          </w:tcPr>
          <w:p w14:paraId="0A078904"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No colma</w:t>
            </w:r>
          </w:p>
        </w:tc>
      </w:tr>
      <w:tr w:rsidR="00B2722B" w:rsidRPr="00E05D09" w14:paraId="1CC84471" w14:textId="77777777" w:rsidTr="00E05D09">
        <w:tc>
          <w:tcPr>
            <w:tcW w:w="2405" w:type="dxa"/>
            <w:gridSpan w:val="2"/>
          </w:tcPr>
          <w:p w14:paraId="0F5129A7"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Relación de proveedores de insumos alimentarios</w:t>
            </w:r>
          </w:p>
        </w:tc>
        <w:tc>
          <w:tcPr>
            <w:tcW w:w="6818" w:type="dxa"/>
            <w:gridSpan w:val="6"/>
          </w:tcPr>
          <w:p w14:paraId="37B7AF2E" w14:textId="77777777" w:rsidR="00B2722B" w:rsidRPr="00E05D09" w:rsidRDefault="004425A1">
            <w:pPr>
              <w:pBdr>
                <w:top w:val="nil"/>
                <w:left w:val="nil"/>
                <w:bottom w:val="nil"/>
                <w:right w:val="nil"/>
                <w:between w:val="nil"/>
              </w:pBdr>
              <w:ind w:right="-4"/>
              <w:jc w:val="center"/>
              <w:rPr>
                <w:rFonts w:ascii="Palatino Linotype" w:eastAsia="Palatino Linotype" w:hAnsi="Palatino Linotype" w:cs="Palatino Linotype"/>
              </w:rPr>
            </w:pPr>
            <w:r w:rsidRPr="00E05D09">
              <w:rPr>
                <w:rFonts w:ascii="Palatino Linotype" w:eastAsia="Palatino Linotype" w:hAnsi="Palatino Linotype" w:cs="Palatino Linotype"/>
              </w:rPr>
              <w:t>No se pronuncio</w:t>
            </w:r>
          </w:p>
        </w:tc>
      </w:tr>
      <w:tr w:rsidR="00B2722B" w:rsidRPr="00E05D09" w14:paraId="77D927DE" w14:textId="77777777" w:rsidTr="00E05D09">
        <w:tc>
          <w:tcPr>
            <w:tcW w:w="2405" w:type="dxa"/>
            <w:gridSpan w:val="2"/>
          </w:tcPr>
          <w:p w14:paraId="49F65687"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Presupuesto asignado y ejercido por programa</w:t>
            </w:r>
          </w:p>
        </w:tc>
        <w:tc>
          <w:tcPr>
            <w:tcW w:w="6818" w:type="dxa"/>
            <w:gridSpan w:val="6"/>
          </w:tcPr>
          <w:p w14:paraId="0A624AB8" w14:textId="77777777" w:rsidR="00B2722B" w:rsidRPr="00E05D09" w:rsidRDefault="004425A1">
            <w:pPr>
              <w:pBdr>
                <w:top w:val="nil"/>
                <w:left w:val="nil"/>
                <w:bottom w:val="nil"/>
                <w:right w:val="nil"/>
                <w:between w:val="nil"/>
              </w:pBdr>
              <w:ind w:right="-4"/>
              <w:jc w:val="center"/>
              <w:rPr>
                <w:rFonts w:ascii="Palatino Linotype" w:eastAsia="Palatino Linotype" w:hAnsi="Palatino Linotype" w:cs="Palatino Linotype"/>
              </w:rPr>
            </w:pPr>
            <w:r w:rsidRPr="00E05D09">
              <w:rPr>
                <w:rFonts w:ascii="Palatino Linotype" w:eastAsia="Palatino Linotype" w:hAnsi="Palatino Linotype" w:cs="Palatino Linotype"/>
              </w:rPr>
              <w:t>No se pronuncio</w:t>
            </w:r>
          </w:p>
        </w:tc>
      </w:tr>
      <w:tr w:rsidR="00B2722B" w:rsidRPr="00E05D09" w14:paraId="5258EF7B" w14:textId="77777777" w:rsidTr="00E05D09">
        <w:tc>
          <w:tcPr>
            <w:tcW w:w="2405" w:type="dxa"/>
            <w:gridSpan w:val="2"/>
          </w:tcPr>
          <w:p w14:paraId="60DB643C"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Informes de distribución de apoyos</w:t>
            </w:r>
          </w:p>
        </w:tc>
        <w:tc>
          <w:tcPr>
            <w:tcW w:w="2982" w:type="dxa"/>
            <w:gridSpan w:val="2"/>
          </w:tcPr>
          <w:p w14:paraId="5BA143E9"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El servidor público habilitado, remitió Concentrado de entrega y distribución a Comités de Desayunos Escolares</w:t>
            </w:r>
          </w:p>
        </w:tc>
        <w:tc>
          <w:tcPr>
            <w:tcW w:w="1705" w:type="dxa"/>
            <w:gridSpan w:val="3"/>
          </w:tcPr>
          <w:p w14:paraId="54B733FC" w14:textId="77777777" w:rsidR="00B2722B" w:rsidRPr="00E05D09" w:rsidRDefault="004425A1">
            <w:pPr>
              <w:pBdr>
                <w:top w:val="nil"/>
                <w:left w:val="nil"/>
                <w:bottom w:val="nil"/>
                <w:right w:val="nil"/>
                <w:between w:val="nil"/>
              </w:pBdr>
              <w:ind w:right="-4"/>
              <w:jc w:val="center"/>
              <w:rPr>
                <w:rFonts w:ascii="Palatino Linotype" w:eastAsia="Palatino Linotype" w:hAnsi="Palatino Linotype" w:cs="Palatino Linotype"/>
              </w:rPr>
            </w:pPr>
            <w:r w:rsidRPr="00E05D09">
              <w:rPr>
                <w:rFonts w:ascii="Palatino Linotype" w:eastAsia="Palatino Linotype" w:hAnsi="Palatino Linotype" w:cs="Palatino Linotype"/>
              </w:rPr>
              <w:t>Remite los correspondientes al ejercicio fiscal 2026</w:t>
            </w:r>
          </w:p>
        </w:tc>
        <w:tc>
          <w:tcPr>
            <w:tcW w:w="2131" w:type="dxa"/>
          </w:tcPr>
          <w:p w14:paraId="13522B6F" w14:textId="77777777" w:rsidR="00B2722B" w:rsidRPr="00E05D09" w:rsidRDefault="004425A1">
            <w:pPr>
              <w:pBdr>
                <w:top w:val="nil"/>
                <w:left w:val="nil"/>
                <w:bottom w:val="nil"/>
                <w:right w:val="nil"/>
                <w:between w:val="nil"/>
              </w:pBdr>
              <w:ind w:right="-4"/>
              <w:jc w:val="center"/>
              <w:rPr>
                <w:rFonts w:ascii="Palatino Linotype" w:eastAsia="Palatino Linotype" w:hAnsi="Palatino Linotype" w:cs="Palatino Linotype"/>
                <w:b/>
                <w:bCs/>
              </w:rPr>
            </w:pPr>
            <w:r w:rsidRPr="00E05D09">
              <w:rPr>
                <w:rFonts w:ascii="Palatino Linotype" w:eastAsia="Palatino Linotype" w:hAnsi="Palatino Linotype" w:cs="Palatino Linotype"/>
                <w:b/>
                <w:bCs/>
              </w:rPr>
              <w:t xml:space="preserve">Colma </w:t>
            </w:r>
          </w:p>
        </w:tc>
      </w:tr>
      <w:tr w:rsidR="00B2722B" w:rsidRPr="00E05D09" w14:paraId="3AD3BC98" w14:textId="77777777" w:rsidTr="00E05D09">
        <w:tc>
          <w:tcPr>
            <w:tcW w:w="9223" w:type="dxa"/>
            <w:gridSpan w:val="8"/>
            <w:shd w:val="clear" w:color="auto" w:fill="BFBFBF"/>
          </w:tcPr>
          <w:p w14:paraId="38E81754" w14:textId="77777777" w:rsidR="00B2722B" w:rsidRPr="00E05D09" w:rsidRDefault="004425A1">
            <w:pPr>
              <w:pBdr>
                <w:top w:val="nil"/>
                <w:left w:val="nil"/>
                <w:bottom w:val="nil"/>
                <w:right w:val="nil"/>
                <w:between w:val="nil"/>
              </w:pBdr>
              <w:tabs>
                <w:tab w:val="left" w:pos="2295"/>
                <w:tab w:val="center" w:pos="4217"/>
              </w:tabs>
              <w:ind w:right="-4"/>
              <w:jc w:val="center"/>
              <w:rPr>
                <w:rFonts w:ascii="Palatino Linotype" w:eastAsia="Palatino Linotype" w:hAnsi="Palatino Linotype" w:cs="Palatino Linotype"/>
                <w:b/>
                <w:bCs/>
              </w:rPr>
            </w:pPr>
            <w:r w:rsidRPr="00E05D09">
              <w:rPr>
                <w:rFonts w:ascii="Palatino Linotype" w:eastAsia="Palatino Linotype" w:hAnsi="Palatino Linotype" w:cs="Palatino Linotype"/>
                <w:b/>
                <w:bCs/>
                <w:color w:val="000000"/>
              </w:rPr>
              <w:t>Atención a Personas con Discapacidad</w:t>
            </w:r>
          </w:p>
        </w:tc>
      </w:tr>
      <w:tr w:rsidR="00B2722B" w:rsidRPr="00E05D09" w14:paraId="675EBB85" w14:textId="77777777" w:rsidTr="00E05D09">
        <w:tc>
          <w:tcPr>
            <w:tcW w:w="2405" w:type="dxa"/>
            <w:gridSpan w:val="2"/>
          </w:tcPr>
          <w:p w14:paraId="67F6ED35"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Programas y servicios dirigidos a personas con discapacidad</w:t>
            </w:r>
          </w:p>
        </w:tc>
        <w:tc>
          <w:tcPr>
            <w:tcW w:w="2965" w:type="dxa"/>
          </w:tcPr>
          <w:p w14:paraId="06F6E9DE"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El servidor público habilitado refirió que  los programas otorgados y servicios otorgados son los siguientes:</w:t>
            </w:r>
          </w:p>
          <w:p w14:paraId="4976946F"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Programas</w:t>
            </w:r>
          </w:p>
          <w:p w14:paraId="6529354C"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w:t>
            </w:r>
            <w:r w:rsidRPr="00E05D09">
              <w:rPr>
                <w:rFonts w:ascii="Palatino Linotype" w:eastAsia="Palatino Linotype" w:hAnsi="Palatino Linotype" w:cs="Palatino Linotype"/>
              </w:rPr>
              <w:tab/>
              <w:t xml:space="preserve">Rehabilitación Basada en la Comunidad, </w:t>
            </w:r>
          </w:p>
          <w:p w14:paraId="78EE8FAE"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w:t>
            </w:r>
            <w:r w:rsidRPr="00E05D09">
              <w:rPr>
                <w:rFonts w:ascii="Palatino Linotype" w:eastAsia="Palatino Linotype" w:hAnsi="Palatino Linotype" w:cs="Palatino Linotype"/>
              </w:rPr>
              <w:tab/>
              <w:t xml:space="preserve">Inclusión de Personas con Discapacidad. </w:t>
            </w:r>
          </w:p>
          <w:p w14:paraId="730AF5B4"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w:t>
            </w:r>
            <w:r w:rsidRPr="00E05D09">
              <w:rPr>
                <w:rFonts w:ascii="Palatino Linotype" w:eastAsia="Palatino Linotype" w:hAnsi="Palatino Linotype" w:cs="Palatino Linotype"/>
              </w:rPr>
              <w:tab/>
              <w:t>Protección de Derechos de Personas con Discapacidad.</w:t>
            </w:r>
          </w:p>
          <w:p w14:paraId="0680DF06"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w:t>
            </w:r>
            <w:r w:rsidRPr="00E05D09">
              <w:rPr>
                <w:rFonts w:ascii="Palatino Linotype" w:eastAsia="Palatino Linotype" w:hAnsi="Palatino Linotype" w:cs="Palatino Linotype"/>
              </w:rPr>
              <w:tab/>
              <w:t xml:space="preserve">Ayudas técnicas. </w:t>
            </w:r>
          </w:p>
          <w:p w14:paraId="18F89A8F"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lastRenderedPageBreak/>
              <w:t></w:t>
            </w:r>
            <w:r w:rsidRPr="00E05D09">
              <w:rPr>
                <w:rFonts w:ascii="Palatino Linotype" w:eastAsia="Palatino Linotype" w:hAnsi="Palatino Linotype" w:cs="Palatino Linotype"/>
              </w:rPr>
              <w:tab/>
              <w:t xml:space="preserve">Credencial Nacional para Personas con discapacidad (CRENAPED) </w:t>
            </w:r>
          </w:p>
          <w:p w14:paraId="144E2E54"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w:t>
            </w:r>
            <w:r w:rsidRPr="00E05D09">
              <w:rPr>
                <w:rFonts w:ascii="Palatino Linotype" w:eastAsia="Palatino Linotype" w:hAnsi="Palatino Linotype" w:cs="Palatino Linotype"/>
              </w:rPr>
              <w:tab/>
              <w:t xml:space="preserve">Expedición de Certificados de Discapacidad. </w:t>
            </w:r>
          </w:p>
          <w:p w14:paraId="1653FFD8"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w:t>
            </w:r>
            <w:r w:rsidRPr="00E05D09">
              <w:rPr>
                <w:rFonts w:ascii="Palatino Linotype" w:eastAsia="Palatino Linotype" w:hAnsi="Palatino Linotype" w:cs="Palatino Linotype"/>
              </w:rPr>
              <w:tab/>
              <w:t>Gestión para otorgamiento de Prótesis.</w:t>
            </w:r>
          </w:p>
          <w:p w14:paraId="2F8AC535"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 xml:space="preserve">Servicios </w:t>
            </w:r>
          </w:p>
          <w:p w14:paraId="79BC3D85"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w:t>
            </w:r>
            <w:r w:rsidRPr="00E05D09">
              <w:rPr>
                <w:rFonts w:ascii="Palatino Linotype" w:eastAsia="Palatino Linotype" w:hAnsi="Palatino Linotype" w:cs="Palatino Linotype"/>
              </w:rPr>
              <w:tab/>
              <w:t>Terapia Física: hidroterapia, electroterapia, mecanoterapia, programas de casa, masoterapia.</w:t>
            </w:r>
          </w:p>
          <w:p w14:paraId="45910B28"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w:t>
            </w:r>
            <w:r w:rsidRPr="00E05D09">
              <w:rPr>
                <w:rFonts w:ascii="Palatino Linotype" w:eastAsia="Palatino Linotype" w:hAnsi="Palatino Linotype" w:cs="Palatino Linotype"/>
              </w:rPr>
              <w:tab/>
              <w:t>Terapia Ocupacional: Estimulación temprana, Integración Sensorial, Programas de casa, Adiestramiento o tratamiento, Enseñanza de uso de bastón, andadera o muletas</w:t>
            </w:r>
          </w:p>
        </w:tc>
        <w:tc>
          <w:tcPr>
            <w:tcW w:w="1722" w:type="dxa"/>
            <w:gridSpan w:val="4"/>
          </w:tcPr>
          <w:p w14:paraId="6865D07A" w14:textId="77777777" w:rsidR="00B2722B" w:rsidRPr="00E05D09" w:rsidRDefault="00B2722B">
            <w:pPr>
              <w:pBdr>
                <w:top w:val="nil"/>
                <w:left w:val="nil"/>
                <w:bottom w:val="nil"/>
                <w:right w:val="nil"/>
                <w:between w:val="nil"/>
              </w:pBdr>
              <w:ind w:right="-4"/>
              <w:jc w:val="both"/>
              <w:rPr>
                <w:rFonts w:ascii="Palatino Linotype" w:eastAsia="Palatino Linotype" w:hAnsi="Palatino Linotype" w:cs="Palatino Linotype"/>
              </w:rPr>
            </w:pPr>
          </w:p>
        </w:tc>
        <w:tc>
          <w:tcPr>
            <w:tcW w:w="2131" w:type="dxa"/>
          </w:tcPr>
          <w:p w14:paraId="24FBB515"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b/>
                <w:bCs/>
              </w:rPr>
              <w:t>Colma</w:t>
            </w:r>
          </w:p>
        </w:tc>
      </w:tr>
      <w:tr w:rsidR="00B2722B" w:rsidRPr="00E05D09" w14:paraId="44A4C404" w14:textId="77777777" w:rsidTr="00E05D09">
        <w:tc>
          <w:tcPr>
            <w:tcW w:w="2405" w:type="dxa"/>
            <w:gridSpan w:val="2"/>
          </w:tcPr>
          <w:p w14:paraId="384CD5CD"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Número de beneficiarios atendidos</w:t>
            </w:r>
          </w:p>
        </w:tc>
        <w:tc>
          <w:tcPr>
            <w:tcW w:w="2965" w:type="dxa"/>
          </w:tcPr>
          <w:p w14:paraId="76B2F64E"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El servidor público habilitado refirió que se han atendido a 174 pacientes</w:t>
            </w:r>
          </w:p>
        </w:tc>
        <w:tc>
          <w:tcPr>
            <w:tcW w:w="1722" w:type="dxa"/>
            <w:gridSpan w:val="4"/>
          </w:tcPr>
          <w:p w14:paraId="4AA01090" w14:textId="77777777" w:rsidR="00B2722B" w:rsidRPr="00E05D09" w:rsidRDefault="00B2722B">
            <w:pPr>
              <w:pBdr>
                <w:top w:val="nil"/>
                <w:left w:val="nil"/>
                <w:bottom w:val="nil"/>
                <w:right w:val="nil"/>
                <w:between w:val="nil"/>
              </w:pBdr>
              <w:ind w:right="-4"/>
              <w:jc w:val="both"/>
              <w:rPr>
                <w:rFonts w:ascii="Palatino Linotype" w:eastAsia="Palatino Linotype" w:hAnsi="Palatino Linotype" w:cs="Palatino Linotype"/>
              </w:rPr>
            </w:pPr>
          </w:p>
        </w:tc>
        <w:tc>
          <w:tcPr>
            <w:tcW w:w="2131" w:type="dxa"/>
          </w:tcPr>
          <w:p w14:paraId="79A83276"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b/>
                <w:bCs/>
              </w:rPr>
              <w:t xml:space="preserve">Colma Parcialmente, </w:t>
            </w:r>
            <w:r w:rsidRPr="00E05D09">
              <w:rPr>
                <w:rFonts w:ascii="Palatino Linotype" w:eastAsia="Palatino Linotype" w:hAnsi="Palatino Linotype" w:cs="Palatino Linotype"/>
              </w:rPr>
              <w:t>toda vez que no precisa si la información remitida corresponde al ejercicio fiscal 2025 o 2026</w:t>
            </w:r>
          </w:p>
        </w:tc>
      </w:tr>
      <w:tr w:rsidR="00B2722B" w:rsidRPr="00E05D09" w14:paraId="2CB148E7" w14:textId="77777777" w:rsidTr="00E05D09">
        <w:tc>
          <w:tcPr>
            <w:tcW w:w="2405" w:type="dxa"/>
            <w:gridSpan w:val="2"/>
          </w:tcPr>
          <w:p w14:paraId="00009DB5"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Tipo de apoyos otorgados</w:t>
            </w:r>
          </w:p>
        </w:tc>
        <w:tc>
          <w:tcPr>
            <w:tcW w:w="2965" w:type="dxa"/>
          </w:tcPr>
          <w:p w14:paraId="32AECA79" w14:textId="77777777" w:rsidR="00B2722B" w:rsidRPr="00E05D09" w:rsidRDefault="004425A1">
            <w:pPr>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El servidor público habilitado refirió que se </w:t>
            </w:r>
            <w:r w:rsidRPr="00E05D09">
              <w:rPr>
                <w:rFonts w:ascii="Palatino Linotype" w:eastAsia="Palatino Linotype" w:hAnsi="Palatino Linotype" w:cs="Palatino Linotype"/>
              </w:rPr>
              <w:lastRenderedPageBreak/>
              <w:t>han otorgado como apoyos prótesis, muletas, sillas de ruedas, muletas canadienses, bastones, aparatos auditivos.</w:t>
            </w:r>
          </w:p>
        </w:tc>
        <w:tc>
          <w:tcPr>
            <w:tcW w:w="1722" w:type="dxa"/>
            <w:gridSpan w:val="4"/>
          </w:tcPr>
          <w:p w14:paraId="769A53C1" w14:textId="77777777" w:rsidR="00B2722B" w:rsidRPr="00E05D09" w:rsidRDefault="00B2722B">
            <w:pPr>
              <w:pBdr>
                <w:top w:val="nil"/>
                <w:left w:val="nil"/>
                <w:bottom w:val="nil"/>
                <w:right w:val="nil"/>
                <w:between w:val="nil"/>
              </w:pBdr>
              <w:ind w:right="-4"/>
              <w:jc w:val="both"/>
              <w:rPr>
                <w:rFonts w:ascii="Palatino Linotype" w:eastAsia="Palatino Linotype" w:hAnsi="Palatino Linotype" w:cs="Palatino Linotype"/>
              </w:rPr>
            </w:pPr>
          </w:p>
        </w:tc>
        <w:tc>
          <w:tcPr>
            <w:tcW w:w="2131" w:type="dxa"/>
          </w:tcPr>
          <w:p w14:paraId="198C0BE6"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b/>
                <w:bCs/>
              </w:rPr>
              <w:t xml:space="preserve">Colma Parcialmente, </w:t>
            </w:r>
            <w:r w:rsidRPr="00E05D09">
              <w:rPr>
                <w:rFonts w:ascii="Palatino Linotype" w:eastAsia="Palatino Linotype" w:hAnsi="Palatino Linotype" w:cs="Palatino Linotype"/>
              </w:rPr>
              <w:lastRenderedPageBreak/>
              <w:t>toda vez que no precisa si la información remitida corresponde al ejercicio fiscal 2025 o 2026</w:t>
            </w:r>
          </w:p>
        </w:tc>
      </w:tr>
      <w:tr w:rsidR="00B2722B" w:rsidRPr="00E05D09" w14:paraId="4BFE9B69" w14:textId="77777777" w:rsidTr="00E05D09">
        <w:tc>
          <w:tcPr>
            <w:tcW w:w="2405" w:type="dxa"/>
            <w:gridSpan w:val="2"/>
          </w:tcPr>
          <w:p w14:paraId="2846914C"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lastRenderedPageBreak/>
              <w:t>Servicios de rehabilitación brindados</w:t>
            </w:r>
          </w:p>
        </w:tc>
        <w:tc>
          <w:tcPr>
            <w:tcW w:w="2965" w:type="dxa"/>
          </w:tcPr>
          <w:p w14:paraId="3640E01C"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El servidor público habilitado refirió que se han otorgado los siguientes servicios de rehabilitación:</w:t>
            </w:r>
          </w:p>
          <w:p w14:paraId="71E2614B"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w:t>
            </w:r>
            <w:r w:rsidRPr="00E05D09">
              <w:rPr>
                <w:rFonts w:ascii="Palatino Linotype" w:eastAsia="Palatino Linotype" w:hAnsi="Palatino Linotype" w:cs="Palatino Linotype"/>
              </w:rPr>
              <w:tab/>
              <w:t>Terapia física: 1036</w:t>
            </w:r>
          </w:p>
          <w:p w14:paraId="14BB7342"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w:t>
            </w:r>
            <w:r w:rsidRPr="00E05D09">
              <w:rPr>
                <w:rFonts w:ascii="Palatino Linotype" w:eastAsia="Palatino Linotype" w:hAnsi="Palatino Linotype" w:cs="Palatino Linotype"/>
              </w:rPr>
              <w:tab/>
              <w:t>Hidroterapia: 1804</w:t>
            </w:r>
          </w:p>
          <w:p w14:paraId="76416BF0"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w:t>
            </w:r>
            <w:r w:rsidRPr="00E05D09">
              <w:rPr>
                <w:rFonts w:ascii="Palatino Linotype" w:eastAsia="Palatino Linotype" w:hAnsi="Palatino Linotype" w:cs="Palatino Linotype"/>
              </w:rPr>
              <w:tab/>
              <w:t>Electroterapia: 1549</w:t>
            </w:r>
          </w:p>
          <w:p w14:paraId="46D6C289"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w:t>
            </w:r>
            <w:r w:rsidRPr="00E05D09">
              <w:rPr>
                <w:rFonts w:ascii="Palatino Linotype" w:eastAsia="Palatino Linotype" w:hAnsi="Palatino Linotype" w:cs="Palatino Linotype"/>
              </w:rPr>
              <w:tab/>
              <w:t>Mecanoterapia: 3139</w:t>
            </w:r>
          </w:p>
          <w:p w14:paraId="37F1CE6C"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w:t>
            </w:r>
            <w:r w:rsidRPr="00E05D09">
              <w:rPr>
                <w:rFonts w:ascii="Palatino Linotype" w:eastAsia="Palatino Linotype" w:hAnsi="Palatino Linotype" w:cs="Palatino Linotype"/>
              </w:rPr>
              <w:tab/>
              <w:t>Programas de casa: 377</w:t>
            </w:r>
          </w:p>
          <w:p w14:paraId="5288D81B"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w:t>
            </w:r>
            <w:r w:rsidRPr="00E05D09">
              <w:rPr>
                <w:rFonts w:ascii="Palatino Linotype" w:eastAsia="Palatino Linotype" w:hAnsi="Palatino Linotype" w:cs="Palatino Linotype"/>
              </w:rPr>
              <w:tab/>
              <w:t>Masoterapia: 528</w:t>
            </w:r>
          </w:p>
          <w:p w14:paraId="66D75999"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w:t>
            </w:r>
            <w:r w:rsidRPr="00E05D09">
              <w:rPr>
                <w:rFonts w:ascii="Palatino Linotype" w:eastAsia="Palatino Linotype" w:hAnsi="Palatino Linotype" w:cs="Palatino Linotype"/>
              </w:rPr>
              <w:tab/>
              <w:t>Otros: 189</w:t>
            </w:r>
          </w:p>
          <w:p w14:paraId="6E9541F5"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w:t>
            </w:r>
            <w:r w:rsidRPr="00E05D09">
              <w:rPr>
                <w:rFonts w:ascii="Palatino Linotype" w:eastAsia="Palatino Linotype" w:hAnsi="Palatino Linotype" w:cs="Palatino Linotype"/>
              </w:rPr>
              <w:tab/>
              <w:t>T. ocupacional: 892</w:t>
            </w:r>
          </w:p>
          <w:p w14:paraId="6F104C1D"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w:t>
            </w:r>
            <w:r w:rsidRPr="00E05D09">
              <w:rPr>
                <w:rFonts w:ascii="Palatino Linotype" w:eastAsia="Palatino Linotype" w:hAnsi="Palatino Linotype" w:cs="Palatino Linotype"/>
              </w:rPr>
              <w:tab/>
              <w:t>Estimulación temprana: 94</w:t>
            </w:r>
          </w:p>
          <w:p w14:paraId="5F44D4F7"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w:t>
            </w:r>
            <w:r w:rsidRPr="00E05D09">
              <w:rPr>
                <w:rFonts w:ascii="Palatino Linotype" w:eastAsia="Palatino Linotype" w:hAnsi="Palatino Linotype" w:cs="Palatino Linotype"/>
              </w:rPr>
              <w:tab/>
              <w:t>Integración sensorial:</w:t>
            </w:r>
          </w:p>
          <w:p w14:paraId="6EAAFF3D"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w:t>
            </w:r>
            <w:r w:rsidRPr="00E05D09">
              <w:rPr>
                <w:rFonts w:ascii="Palatino Linotype" w:eastAsia="Palatino Linotype" w:hAnsi="Palatino Linotype" w:cs="Palatino Linotype"/>
              </w:rPr>
              <w:tab/>
              <w:t>Adiestramiento o tratamiento:</w:t>
            </w:r>
          </w:p>
          <w:p w14:paraId="310EBC80"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w:t>
            </w:r>
            <w:r w:rsidRPr="00E05D09">
              <w:rPr>
                <w:rFonts w:ascii="Palatino Linotype" w:eastAsia="Palatino Linotype" w:hAnsi="Palatino Linotype" w:cs="Palatino Linotype"/>
              </w:rPr>
              <w:tab/>
              <w:t>Enseñanza de uso de bastón, andadera o muletas.</w:t>
            </w:r>
          </w:p>
          <w:p w14:paraId="1D623F5D" w14:textId="77777777" w:rsidR="00B2722B" w:rsidRPr="00E05D09" w:rsidRDefault="00B2722B">
            <w:pPr>
              <w:rPr>
                <w:rFonts w:ascii="Palatino Linotype" w:eastAsia="Palatino Linotype" w:hAnsi="Palatino Linotype" w:cs="Palatino Linotype"/>
              </w:rPr>
            </w:pPr>
          </w:p>
          <w:p w14:paraId="5D25837D"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 xml:space="preserve"> </w:t>
            </w:r>
          </w:p>
        </w:tc>
        <w:tc>
          <w:tcPr>
            <w:tcW w:w="1722" w:type="dxa"/>
            <w:gridSpan w:val="4"/>
          </w:tcPr>
          <w:p w14:paraId="03322ECD" w14:textId="77777777" w:rsidR="00B2722B" w:rsidRPr="00E05D09" w:rsidRDefault="00B2722B">
            <w:pPr>
              <w:pBdr>
                <w:top w:val="nil"/>
                <w:left w:val="nil"/>
                <w:bottom w:val="nil"/>
                <w:right w:val="nil"/>
                <w:between w:val="nil"/>
              </w:pBdr>
              <w:ind w:right="-4"/>
              <w:jc w:val="both"/>
              <w:rPr>
                <w:rFonts w:ascii="Palatino Linotype" w:eastAsia="Palatino Linotype" w:hAnsi="Palatino Linotype" w:cs="Palatino Linotype"/>
              </w:rPr>
            </w:pPr>
          </w:p>
        </w:tc>
        <w:tc>
          <w:tcPr>
            <w:tcW w:w="2131" w:type="dxa"/>
          </w:tcPr>
          <w:p w14:paraId="373A2087"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b/>
                <w:bCs/>
              </w:rPr>
              <w:t xml:space="preserve">Colma Parcialmente, </w:t>
            </w:r>
            <w:r w:rsidRPr="00E05D09">
              <w:rPr>
                <w:rFonts w:ascii="Palatino Linotype" w:eastAsia="Palatino Linotype" w:hAnsi="Palatino Linotype" w:cs="Palatino Linotype"/>
              </w:rPr>
              <w:t>toda vez que no se advierte en que temporalidad fueron otorgado los servicios si en 2025 o 2026</w:t>
            </w:r>
          </w:p>
        </w:tc>
      </w:tr>
      <w:tr w:rsidR="00B2722B" w:rsidRPr="00E05D09" w14:paraId="656A5847" w14:textId="77777777" w:rsidTr="00E05D09">
        <w:tc>
          <w:tcPr>
            <w:tcW w:w="2405" w:type="dxa"/>
            <w:gridSpan w:val="2"/>
          </w:tcPr>
          <w:p w14:paraId="019CD6C0"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lastRenderedPageBreak/>
              <w:t>Presupuesto asignado y ejercido</w:t>
            </w:r>
          </w:p>
        </w:tc>
        <w:tc>
          <w:tcPr>
            <w:tcW w:w="2965" w:type="dxa"/>
          </w:tcPr>
          <w:p w14:paraId="78E741CA"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El servidor público habilitado refirió que la información se encuentra en el área de Tesorería</w:t>
            </w:r>
          </w:p>
        </w:tc>
        <w:tc>
          <w:tcPr>
            <w:tcW w:w="1722" w:type="dxa"/>
            <w:gridSpan w:val="4"/>
          </w:tcPr>
          <w:p w14:paraId="5AD3CB82" w14:textId="77777777" w:rsidR="00B2722B" w:rsidRPr="00E05D09" w:rsidRDefault="00B2722B">
            <w:pPr>
              <w:pBdr>
                <w:top w:val="nil"/>
                <w:left w:val="nil"/>
                <w:bottom w:val="nil"/>
                <w:right w:val="nil"/>
                <w:between w:val="nil"/>
              </w:pBdr>
              <w:ind w:right="-4"/>
              <w:jc w:val="both"/>
              <w:rPr>
                <w:rFonts w:ascii="Palatino Linotype" w:eastAsia="Palatino Linotype" w:hAnsi="Palatino Linotype" w:cs="Palatino Linotype"/>
              </w:rPr>
            </w:pPr>
          </w:p>
        </w:tc>
        <w:tc>
          <w:tcPr>
            <w:tcW w:w="2131" w:type="dxa"/>
          </w:tcPr>
          <w:p w14:paraId="0A33199D"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b/>
                <w:bCs/>
              </w:rPr>
              <w:t>No colma</w:t>
            </w:r>
          </w:p>
        </w:tc>
      </w:tr>
      <w:tr w:rsidR="00B2722B" w:rsidRPr="00E05D09" w14:paraId="3AEC16F0" w14:textId="77777777" w:rsidTr="00E05D09">
        <w:tc>
          <w:tcPr>
            <w:tcW w:w="9223" w:type="dxa"/>
            <w:gridSpan w:val="8"/>
            <w:shd w:val="clear" w:color="auto" w:fill="BFBFBF"/>
          </w:tcPr>
          <w:p w14:paraId="3BC97722" w14:textId="77777777" w:rsidR="00B2722B" w:rsidRPr="00E05D09" w:rsidRDefault="004425A1">
            <w:pPr>
              <w:pBdr>
                <w:top w:val="nil"/>
                <w:left w:val="nil"/>
                <w:bottom w:val="nil"/>
                <w:right w:val="nil"/>
                <w:between w:val="nil"/>
              </w:pBdr>
              <w:ind w:right="-4"/>
              <w:jc w:val="center"/>
              <w:rPr>
                <w:rFonts w:ascii="Palatino Linotype" w:eastAsia="Palatino Linotype" w:hAnsi="Palatino Linotype" w:cs="Palatino Linotype"/>
                <w:b/>
                <w:bCs/>
              </w:rPr>
            </w:pPr>
            <w:r w:rsidRPr="00E05D09">
              <w:rPr>
                <w:rFonts w:ascii="Palatino Linotype" w:eastAsia="Palatino Linotype" w:hAnsi="Palatino Linotype" w:cs="Palatino Linotype"/>
                <w:b/>
                <w:bCs/>
                <w:color w:val="000000"/>
              </w:rPr>
              <w:t>Comunicación Social</w:t>
            </w:r>
          </w:p>
        </w:tc>
      </w:tr>
      <w:tr w:rsidR="00B2722B" w:rsidRPr="00E05D09" w14:paraId="04DC2829" w14:textId="77777777" w:rsidTr="00E05D09">
        <w:tc>
          <w:tcPr>
            <w:tcW w:w="2405" w:type="dxa"/>
            <w:gridSpan w:val="2"/>
          </w:tcPr>
          <w:p w14:paraId="0E38C8E3"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Presupuesto autorizado y ejercido</w:t>
            </w:r>
          </w:p>
        </w:tc>
        <w:tc>
          <w:tcPr>
            <w:tcW w:w="2965" w:type="dxa"/>
          </w:tcPr>
          <w:p w14:paraId="337F5BD2"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 xml:space="preserve">El servidor público habilitado refirió que incompetencia, recalcando que dicha información es administrada por Tesorería </w:t>
            </w:r>
          </w:p>
        </w:tc>
        <w:tc>
          <w:tcPr>
            <w:tcW w:w="1722" w:type="dxa"/>
            <w:gridSpan w:val="4"/>
          </w:tcPr>
          <w:p w14:paraId="37F25956"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Ratifica Respuesta</w:t>
            </w:r>
          </w:p>
        </w:tc>
        <w:tc>
          <w:tcPr>
            <w:tcW w:w="2131" w:type="dxa"/>
          </w:tcPr>
          <w:p w14:paraId="675A0E1C"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b/>
                <w:bCs/>
              </w:rPr>
              <w:t xml:space="preserve">No colma </w:t>
            </w:r>
          </w:p>
        </w:tc>
      </w:tr>
      <w:tr w:rsidR="00B2722B" w:rsidRPr="00E05D09" w14:paraId="17F2D3DB" w14:textId="77777777" w:rsidTr="00E05D09">
        <w:tc>
          <w:tcPr>
            <w:tcW w:w="2405" w:type="dxa"/>
            <w:gridSpan w:val="2"/>
          </w:tcPr>
          <w:p w14:paraId="0CFD5429"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Relación de contratos de publicidad, difusión o servicios de comunicación</w:t>
            </w:r>
          </w:p>
        </w:tc>
        <w:tc>
          <w:tcPr>
            <w:tcW w:w="2965" w:type="dxa"/>
          </w:tcPr>
          <w:p w14:paraId="6D926343"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El servidor público habilitado refirió que esa Coordinación no interviene en los procedimientos de adjudicación.</w:t>
            </w:r>
          </w:p>
        </w:tc>
        <w:tc>
          <w:tcPr>
            <w:tcW w:w="1722" w:type="dxa"/>
            <w:gridSpan w:val="4"/>
          </w:tcPr>
          <w:p w14:paraId="23F6EE4A"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Ratifica Respuesta</w:t>
            </w:r>
          </w:p>
        </w:tc>
        <w:tc>
          <w:tcPr>
            <w:tcW w:w="2131" w:type="dxa"/>
          </w:tcPr>
          <w:p w14:paraId="5320448E"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b/>
                <w:bCs/>
              </w:rPr>
              <w:t xml:space="preserve">No colma </w:t>
            </w:r>
          </w:p>
        </w:tc>
      </w:tr>
      <w:tr w:rsidR="00B2722B" w:rsidRPr="00E05D09" w14:paraId="2A9A19E2" w14:textId="77777777" w:rsidTr="00E05D09">
        <w:tc>
          <w:tcPr>
            <w:tcW w:w="2405" w:type="dxa"/>
            <w:gridSpan w:val="2"/>
          </w:tcPr>
          <w:p w14:paraId="59B62AFC"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Campañas institucionales realizadas</w:t>
            </w:r>
          </w:p>
        </w:tc>
        <w:tc>
          <w:tcPr>
            <w:tcW w:w="2965" w:type="dxa"/>
          </w:tcPr>
          <w:p w14:paraId="3C9BE8C1" w14:textId="77777777" w:rsidR="00B2722B" w:rsidRPr="00E05D09" w:rsidRDefault="004425A1">
            <w:pPr>
              <w:jc w:val="both"/>
              <w:rPr>
                <w:rFonts w:ascii="Palatino Linotype" w:eastAsia="Palatino Linotype" w:hAnsi="Palatino Linotype" w:cs="Palatino Linotype"/>
              </w:rPr>
            </w:pPr>
            <w:r w:rsidRPr="00E05D09">
              <w:rPr>
                <w:rFonts w:ascii="Palatino Linotype" w:eastAsia="Palatino Linotype" w:hAnsi="Palatino Linotype" w:cs="Palatino Linotype"/>
              </w:rPr>
              <w:t>El servidor público habilitado refirió que sus acciones consisten en la planeación, elaboración y difusión de información institucional a través de los canales digitales oficiales, específicamente en redes sociales; sin embargo la gestión de la página es competencia directa de Administración.</w:t>
            </w:r>
          </w:p>
        </w:tc>
        <w:tc>
          <w:tcPr>
            <w:tcW w:w="1722" w:type="dxa"/>
            <w:gridSpan w:val="4"/>
          </w:tcPr>
          <w:p w14:paraId="443CFA79"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Ratifica Respuesta</w:t>
            </w:r>
          </w:p>
        </w:tc>
        <w:tc>
          <w:tcPr>
            <w:tcW w:w="2131" w:type="dxa"/>
          </w:tcPr>
          <w:p w14:paraId="7261BCEF"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b/>
                <w:bCs/>
              </w:rPr>
              <w:t xml:space="preserve">Colma Parcialmente, </w:t>
            </w:r>
            <w:r w:rsidRPr="00E05D09">
              <w:rPr>
                <w:rFonts w:ascii="Palatino Linotype" w:eastAsia="Palatino Linotype" w:hAnsi="Palatino Linotype" w:cs="Palatino Linotype"/>
              </w:rPr>
              <w:t>toda vez que no precisa si la información remitida corresponde al ejercicio fiscal 2025 o 2026</w:t>
            </w:r>
          </w:p>
        </w:tc>
      </w:tr>
      <w:tr w:rsidR="00B2722B" w:rsidRPr="00E05D09" w14:paraId="22F5D5C9" w14:textId="77777777" w:rsidTr="00E05D09">
        <w:tc>
          <w:tcPr>
            <w:tcW w:w="2405" w:type="dxa"/>
            <w:gridSpan w:val="2"/>
          </w:tcPr>
          <w:p w14:paraId="74DFACB8"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Medios de comunicación contratados</w:t>
            </w:r>
          </w:p>
        </w:tc>
        <w:tc>
          <w:tcPr>
            <w:tcW w:w="2965" w:type="dxa"/>
          </w:tcPr>
          <w:p w14:paraId="43F202D5"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 xml:space="preserve">El servidor público habilitado refirió que la celebración, administración y resguardo de contratos </w:t>
            </w:r>
            <w:r w:rsidRPr="00E05D09">
              <w:rPr>
                <w:rFonts w:ascii="Palatino Linotype" w:eastAsia="Palatino Linotype" w:hAnsi="Palatino Linotype" w:cs="Palatino Linotype"/>
              </w:rPr>
              <w:lastRenderedPageBreak/>
              <w:t>con medios de comunicación es competencia de administración</w:t>
            </w:r>
          </w:p>
        </w:tc>
        <w:tc>
          <w:tcPr>
            <w:tcW w:w="1722" w:type="dxa"/>
            <w:gridSpan w:val="4"/>
          </w:tcPr>
          <w:p w14:paraId="3663861D"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lastRenderedPageBreak/>
              <w:t>Ratifica respuesta</w:t>
            </w:r>
          </w:p>
        </w:tc>
        <w:tc>
          <w:tcPr>
            <w:tcW w:w="2131" w:type="dxa"/>
          </w:tcPr>
          <w:p w14:paraId="231CCD1F"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b/>
                <w:bCs/>
              </w:rPr>
              <w:t>No colma</w:t>
            </w:r>
          </w:p>
        </w:tc>
      </w:tr>
      <w:tr w:rsidR="00B2722B" w:rsidRPr="00E05D09" w14:paraId="003F95BD" w14:textId="77777777" w:rsidTr="00E05D09">
        <w:tc>
          <w:tcPr>
            <w:tcW w:w="2405" w:type="dxa"/>
            <w:gridSpan w:val="2"/>
          </w:tcPr>
          <w:p w14:paraId="4C174A59"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Informes de actividades del área</w:t>
            </w:r>
          </w:p>
        </w:tc>
        <w:tc>
          <w:tcPr>
            <w:tcW w:w="2965" w:type="dxa"/>
          </w:tcPr>
          <w:p w14:paraId="348C195D" w14:textId="77777777" w:rsidR="00B2722B" w:rsidRPr="00E05D09" w:rsidRDefault="004425A1">
            <w:pPr>
              <w:numPr>
                <w:ilvl w:val="1"/>
                <w:numId w:val="20"/>
              </w:numPr>
              <w:pBdr>
                <w:top w:val="nil"/>
                <w:left w:val="nil"/>
                <w:bottom w:val="nil"/>
                <w:right w:val="nil"/>
                <w:between w:val="nil"/>
              </w:pBdr>
              <w:tabs>
                <w:tab w:val="left" w:pos="0"/>
              </w:tabs>
              <w:ind w:left="0" w:right="3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El servidor público habilitado refirió que durante el ejercicio fiscal 2025 esta Coordinación presento informe de actividades de manera trimestral, mientras que para el ejercicios fiscal 2026, dichos informes se presentan de manera mensual, destacando las siguientes actividades</w:t>
            </w:r>
          </w:p>
          <w:p w14:paraId="7DB5E73D" w14:textId="77777777" w:rsidR="00B2722B" w:rsidRPr="00E05D09" w:rsidRDefault="004425A1">
            <w:pPr>
              <w:numPr>
                <w:ilvl w:val="2"/>
                <w:numId w:val="20"/>
              </w:numPr>
              <w:pBdr>
                <w:top w:val="nil"/>
                <w:left w:val="nil"/>
                <w:bottom w:val="nil"/>
                <w:right w:val="nil"/>
                <w:between w:val="nil"/>
              </w:pBdr>
              <w:tabs>
                <w:tab w:val="left" w:pos="0"/>
              </w:tabs>
              <w:ind w:left="0" w:right="3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Cobertura de eventos institucionales.</w:t>
            </w:r>
          </w:p>
          <w:p w14:paraId="467502ED" w14:textId="77777777" w:rsidR="00B2722B" w:rsidRPr="00E05D09" w:rsidRDefault="004425A1">
            <w:pPr>
              <w:numPr>
                <w:ilvl w:val="2"/>
                <w:numId w:val="20"/>
              </w:numPr>
              <w:pBdr>
                <w:top w:val="nil"/>
                <w:left w:val="nil"/>
                <w:bottom w:val="nil"/>
                <w:right w:val="nil"/>
                <w:between w:val="nil"/>
              </w:pBdr>
              <w:tabs>
                <w:tab w:val="left" w:pos="0"/>
              </w:tabs>
              <w:ind w:left="0" w:right="3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Administración de canales digitales oficiales.</w:t>
            </w:r>
          </w:p>
          <w:p w14:paraId="11FE0A01" w14:textId="77777777" w:rsidR="00B2722B" w:rsidRPr="00E05D09" w:rsidRDefault="004425A1">
            <w:pPr>
              <w:numPr>
                <w:ilvl w:val="2"/>
                <w:numId w:val="20"/>
              </w:numPr>
              <w:pBdr>
                <w:top w:val="nil"/>
                <w:left w:val="nil"/>
                <w:bottom w:val="nil"/>
                <w:right w:val="nil"/>
                <w:between w:val="nil"/>
              </w:pBdr>
              <w:tabs>
                <w:tab w:val="left" w:pos="0"/>
              </w:tabs>
              <w:ind w:left="0" w:right="3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Producción de contenido audiovisual (fotografía, video, material gráfico y spots institucionales).</w:t>
            </w:r>
          </w:p>
          <w:p w14:paraId="59D27BEA" w14:textId="77777777" w:rsidR="00B2722B" w:rsidRPr="00E05D09" w:rsidRDefault="004425A1">
            <w:pPr>
              <w:numPr>
                <w:ilvl w:val="2"/>
                <w:numId w:val="20"/>
              </w:numPr>
              <w:pBdr>
                <w:top w:val="nil"/>
                <w:left w:val="nil"/>
                <w:bottom w:val="nil"/>
                <w:right w:val="nil"/>
                <w:between w:val="nil"/>
              </w:pBdr>
              <w:tabs>
                <w:tab w:val="left" w:pos="0"/>
              </w:tabs>
              <w:ind w:left="0" w:right="3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Diseño y ejecución de campañas de difusión institucional.</w:t>
            </w:r>
          </w:p>
          <w:p w14:paraId="7AE898A5" w14:textId="77777777" w:rsidR="00B2722B" w:rsidRPr="00E05D09" w:rsidRDefault="004425A1">
            <w:pPr>
              <w:numPr>
                <w:ilvl w:val="2"/>
                <w:numId w:val="20"/>
              </w:numPr>
              <w:pBdr>
                <w:top w:val="nil"/>
                <w:left w:val="nil"/>
                <w:bottom w:val="nil"/>
                <w:right w:val="nil"/>
                <w:between w:val="nil"/>
              </w:pBdr>
              <w:tabs>
                <w:tab w:val="left" w:pos="0"/>
              </w:tabs>
              <w:ind w:left="0" w:right="3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Difusión de programas, servicios y acciones del SMDIF.</w:t>
            </w:r>
          </w:p>
          <w:p w14:paraId="4834ED93" w14:textId="77777777" w:rsidR="00B2722B" w:rsidRPr="00E05D09" w:rsidRDefault="00B2722B">
            <w:pPr>
              <w:rPr>
                <w:rFonts w:ascii="Palatino Linotype" w:eastAsia="Palatino Linotype" w:hAnsi="Palatino Linotype" w:cs="Palatino Linotype"/>
              </w:rPr>
            </w:pPr>
          </w:p>
        </w:tc>
        <w:tc>
          <w:tcPr>
            <w:tcW w:w="1722" w:type="dxa"/>
            <w:gridSpan w:val="4"/>
          </w:tcPr>
          <w:p w14:paraId="318AEF27"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Ratifica respuesta</w:t>
            </w:r>
          </w:p>
        </w:tc>
        <w:tc>
          <w:tcPr>
            <w:tcW w:w="2131" w:type="dxa"/>
          </w:tcPr>
          <w:p w14:paraId="3A058156"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b/>
                <w:bCs/>
              </w:rPr>
              <w:t>Parcialmente</w:t>
            </w:r>
            <w:r w:rsidRPr="00E05D09">
              <w:rPr>
                <w:rFonts w:ascii="Palatino Linotype" w:eastAsia="Palatino Linotype" w:hAnsi="Palatino Linotype" w:cs="Palatino Linotype"/>
              </w:rPr>
              <w:t>, toda vez que el propio servidor público habilitado refirió que la Unidad Administrativa, presenta informes de actividad trimestral y mensual en relación al 2026; empero solo se limitó a referir algunas de las actividades realizadas.</w:t>
            </w:r>
          </w:p>
        </w:tc>
      </w:tr>
      <w:tr w:rsidR="00B2722B" w:rsidRPr="00E05D09" w14:paraId="5F3D0AB4" w14:textId="77777777" w:rsidTr="00E05D09">
        <w:tc>
          <w:tcPr>
            <w:tcW w:w="9223" w:type="dxa"/>
            <w:gridSpan w:val="8"/>
            <w:shd w:val="clear" w:color="auto" w:fill="BFBFBF"/>
          </w:tcPr>
          <w:p w14:paraId="226030CE" w14:textId="77777777" w:rsidR="00B2722B" w:rsidRPr="00E05D09" w:rsidRDefault="004425A1">
            <w:pPr>
              <w:pBdr>
                <w:top w:val="nil"/>
                <w:left w:val="nil"/>
                <w:bottom w:val="nil"/>
                <w:right w:val="nil"/>
                <w:between w:val="nil"/>
              </w:pBdr>
              <w:ind w:right="-4"/>
              <w:jc w:val="center"/>
              <w:rPr>
                <w:rFonts w:ascii="Palatino Linotype" w:eastAsia="Palatino Linotype" w:hAnsi="Palatino Linotype" w:cs="Palatino Linotype"/>
                <w:b/>
                <w:bCs/>
              </w:rPr>
            </w:pPr>
            <w:r w:rsidRPr="00E05D09">
              <w:rPr>
                <w:rFonts w:ascii="Palatino Linotype" w:eastAsia="Palatino Linotype" w:hAnsi="Palatino Linotype" w:cs="Palatino Linotype"/>
                <w:b/>
                <w:bCs/>
                <w:color w:val="000000"/>
              </w:rPr>
              <w:t>Información General de Personal del DIF (2025–2026)</w:t>
            </w:r>
          </w:p>
        </w:tc>
      </w:tr>
      <w:tr w:rsidR="00B2722B" w:rsidRPr="00E05D09" w14:paraId="5E48A56F" w14:textId="77777777" w:rsidTr="00E05D09">
        <w:tc>
          <w:tcPr>
            <w:tcW w:w="2405" w:type="dxa"/>
            <w:gridSpan w:val="2"/>
          </w:tcPr>
          <w:p w14:paraId="43D088A3"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lastRenderedPageBreak/>
              <w:t>Plantilla completa del personal</w:t>
            </w:r>
          </w:p>
        </w:tc>
        <w:tc>
          <w:tcPr>
            <w:tcW w:w="2965" w:type="dxa"/>
          </w:tcPr>
          <w:p w14:paraId="3216A89C" w14:textId="77777777" w:rsidR="00B2722B" w:rsidRPr="00E05D09" w:rsidRDefault="004425A1">
            <w:pPr>
              <w:jc w:val="both"/>
              <w:rPr>
                <w:rFonts w:ascii="Palatino Linotype" w:eastAsia="Palatino Linotype" w:hAnsi="Palatino Linotype" w:cs="Palatino Linotype"/>
              </w:rPr>
            </w:pPr>
            <w:r w:rsidRPr="00E05D09">
              <w:rPr>
                <w:rFonts w:ascii="Palatino Linotype" w:eastAsia="Palatino Linotype" w:hAnsi="Palatino Linotype" w:cs="Palatino Linotype"/>
              </w:rPr>
              <w:t>El servidor público habilitado remite la Plantilla de Personal del que se advierte el nombre, puesto, área de adscripción, tipo de contratación, perfil de puesto vigente, fecha de ingreso, fecha de baja de ser el caso, compensaciones y prestaciones, contratos por honorarios vigentes y movimiento de personal</w:t>
            </w:r>
          </w:p>
        </w:tc>
        <w:tc>
          <w:tcPr>
            <w:tcW w:w="1722" w:type="dxa"/>
            <w:gridSpan w:val="4"/>
          </w:tcPr>
          <w:p w14:paraId="2A4F48E2"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rPr>
              <w:t>Ratifica respuesta</w:t>
            </w:r>
          </w:p>
        </w:tc>
        <w:tc>
          <w:tcPr>
            <w:tcW w:w="2131" w:type="dxa"/>
          </w:tcPr>
          <w:p w14:paraId="3EABC245"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b/>
                <w:bCs/>
              </w:rPr>
              <w:t xml:space="preserve">Colma Parcialmente, </w:t>
            </w:r>
            <w:r w:rsidRPr="00E05D09">
              <w:rPr>
                <w:rFonts w:ascii="Palatino Linotype" w:eastAsia="Palatino Linotype" w:hAnsi="Palatino Linotype" w:cs="Palatino Linotype"/>
              </w:rPr>
              <w:t>toda vez que del documento se advierte que corresponde al ejercicio fiscal 2025, por tanto omitió pronunciarse respecto al 2026</w:t>
            </w:r>
          </w:p>
        </w:tc>
      </w:tr>
      <w:tr w:rsidR="00B2722B" w:rsidRPr="00E05D09" w14:paraId="70AB799D" w14:textId="77777777" w:rsidTr="00E05D09">
        <w:tc>
          <w:tcPr>
            <w:tcW w:w="2405" w:type="dxa"/>
            <w:gridSpan w:val="2"/>
          </w:tcPr>
          <w:p w14:paraId="23FF8165"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Relación de puestos, cargos y funciones</w:t>
            </w:r>
          </w:p>
        </w:tc>
        <w:tc>
          <w:tcPr>
            <w:tcW w:w="2965" w:type="dxa"/>
          </w:tcPr>
          <w:p w14:paraId="1C13D304" w14:textId="77777777" w:rsidR="00B2722B" w:rsidRPr="00E05D09" w:rsidRDefault="004425A1">
            <w:pPr>
              <w:rPr>
                <w:rFonts w:ascii="Palatino Linotype" w:eastAsia="Palatino Linotype" w:hAnsi="Palatino Linotype" w:cs="Palatino Linotype"/>
              </w:rPr>
            </w:pPr>
            <w:r w:rsidRPr="00E05D09">
              <w:rPr>
                <w:rFonts w:ascii="Palatino Linotype" w:eastAsia="Palatino Linotype" w:hAnsi="Palatino Linotype" w:cs="Palatino Linotype"/>
              </w:rPr>
              <w:t xml:space="preserve">El servidor público habilitado remite la Plantilla de Personal del que se advierte el nombre, puesto, área de adscripción, tipo de contratación, </w:t>
            </w:r>
            <w:r w:rsidRPr="00E05D09">
              <w:rPr>
                <w:rFonts w:ascii="Palatino Linotype" w:eastAsia="Palatino Linotype" w:hAnsi="Palatino Linotype" w:cs="Palatino Linotype"/>
                <w:b/>
                <w:bCs/>
              </w:rPr>
              <w:t>perfil de puesto vigente</w:t>
            </w:r>
            <w:r w:rsidRPr="00E05D09">
              <w:rPr>
                <w:rFonts w:ascii="Palatino Linotype" w:eastAsia="Palatino Linotype" w:hAnsi="Palatino Linotype" w:cs="Palatino Linotype"/>
              </w:rPr>
              <w:t>, fecha de ingreso, fecha de baja de ser el caso, compensaciones y prestaciones, contratos por honorarios vigentes y movimiento de personal</w:t>
            </w:r>
          </w:p>
        </w:tc>
        <w:tc>
          <w:tcPr>
            <w:tcW w:w="1722" w:type="dxa"/>
            <w:gridSpan w:val="4"/>
          </w:tcPr>
          <w:p w14:paraId="3F92F354"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rPr>
              <w:t>Ratifica respuesta</w:t>
            </w:r>
          </w:p>
        </w:tc>
        <w:tc>
          <w:tcPr>
            <w:tcW w:w="2131" w:type="dxa"/>
          </w:tcPr>
          <w:p w14:paraId="038DC42C"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b/>
                <w:bCs/>
              </w:rPr>
              <w:t xml:space="preserve">Colma Parcialmente, </w:t>
            </w:r>
            <w:r w:rsidRPr="00E05D09">
              <w:rPr>
                <w:rFonts w:ascii="Palatino Linotype" w:eastAsia="Palatino Linotype" w:hAnsi="Palatino Linotype" w:cs="Palatino Linotype"/>
              </w:rPr>
              <w:t>toda vez que del documento se advierte que corresponde al ejercicio fiscal 2025, por tanto omitió pronunciarse respecto al 2026</w:t>
            </w:r>
          </w:p>
        </w:tc>
      </w:tr>
      <w:tr w:rsidR="00B2722B" w:rsidRPr="00E05D09" w14:paraId="476A1EED" w14:textId="77777777" w:rsidTr="00E05D09">
        <w:tc>
          <w:tcPr>
            <w:tcW w:w="2405" w:type="dxa"/>
            <w:gridSpan w:val="2"/>
          </w:tcPr>
          <w:p w14:paraId="7D656D9F"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Remuneraciones brutas y netas de todo el personal</w:t>
            </w:r>
          </w:p>
        </w:tc>
        <w:tc>
          <w:tcPr>
            <w:tcW w:w="2965" w:type="dxa"/>
          </w:tcPr>
          <w:p w14:paraId="372B7B0D" w14:textId="77777777" w:rsidR="00B2722B" w:rsidRPr="00E05D09" w:rsidRDefault="004425A1">
            <w:pPr>
              <w:numPr>
                <w:ilvl w:val="2"/>
                <w:numId w:val="20"/>
              </w:numPr>
              <w:pBdr>
                <w:top w:val="nil"/>
                <w:left w:val="nil"/>
                <w:bottom w:val="nil"/>
                <w:right w:val="nil"/>
                <w:between w:val="nil"/>
              </w:pBdr>
              <w:tabs>
                <w:tab w:val="left" w:pos="0"/>
              </w:tabs>
              <w:ind w:left="40" w:right="34" w:hanging="4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El servidor público habilitado remitió un documento </w:t>
            </w:r>
            <w:r w:rsidRPr="00E05D09">
              <w:rPr>
                <w:rFonts w:ascii="Palatino Linotype" w:eastAsia="Palatino Linotype" w:hAnsi="Palatino Linotype" w:cs="Palatino Linotype"/>
                <w:i/>
                <w:iCs/>
                <w:color w:val="000000"/>
              </w:rPr>
              <w:t>ad hoc</w:t>
            </w:r>
            <w:r w:rsidRPr="00E05D09">
              <w:rPr>
                <w:rFonts w:ascii="Palatino Linotype" w:eastAsia="Palatino Linotype" w:hAnsi="Palatino Linotype" w:cs="Palatino Linotype"/>
                <w:color w:val="000000"/>
              </w:rPr>
              <w:t xml:space="preserve"> del que se advierte el nombre completo del servidor público, percepciones brutas y netas; empero no se </w:t>
            </w:r>
            <w:r w:rsidRPr="00E05D09">
              <w:rPr>
                <w:rFonts w:ascii="Palatino Linotype" w:eastAsia="Palatino Linotype" w:hAnsi="Palatino Linotype" w:cs="Palatino Linotype"/>
                <w:color w:val="000000"/>
              </w:rPr>
              <w:lastRenderedPageBreak/>
              <w:t xml:space="preserve">establece si las remuneraciones reportadas son quincenales o mensuales, ello aunado a que del documento se advierten 111 servidores públicos, contrario a lo reportan en la Plantilla de Personal, toda vez que en dicho archivo se advierten 139 servidores públicos de entre los cuales se reportaron 21 bajas, dando un total de 118 altas, lo cual no coincide con el documento en mención, cabe precisar que lo referente al cargo, tipo de contratación, fecha de ingreso, compensaciones y prestaciones, se colma con la información plasmada en la Plantilla de Personal, por tanto no es necesario volver a ordenarla </w:t>
            </w:r>
          </w:p>
        </w:tc>
        <w:tc>
          <w:tcPr>
            <w:tcW w:w="1722" w:type="dxa"/>
            <w:gridSpan w:val="4"/>
          </w:tcPr>
          <w:p w14:paraId="1A1C792B"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lastRenderedPageBreak/>
              <w:t>Ratifica Respuesta</w:t>
            </w:r>
          </w:p>
        </w:tc>
        <w:tc>
          <w:tcPr>
            <w:tcW w:w="2131" w:type="dxa"/>
          </w:tcPr>
          <w:p w14:paraId="5161191F"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b/>
                <w:bCs/>
              </w:rPr>
            </w:pPr>
            <w:r w:rsidRPr="00E05D09">
              <w:rPr>
                <w:rFonts w:ascii="Palatino Linotype" w:eastAsia="Palatino Linotype" w:hAnsi="Palatino Linotype" w:cs="Palatino Linotype"/>
                <w:b/>
                <w:bCs/>
              </w:rPr>
              <w:t>Colma Parcialmente</w:t>
            </w:r>
          </w:p>
          <w:p w14:paraId="150DA470"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Toda vez que del documento remitido no se advierte si el sueldo neto y bruto reportado, </w:t>
            </w:r>
            <w:r w:rsidRPr="00E05D09">
              <w:rPr>
                <w:rFonts w:ascii="Palatino Linotype" w:eastAsia="Palatino Linotype" w:hAnsi="Palatino Linotype" w:cs="Palatino Linotype"/>
              </w:rPr>
              <w:lastRenderedPageBreak/>
              <w:t>es percibido quincenal o mensualmente, ni mucho menos preciso la temporalidad que se está informando</w:t>
            </w:r>
          </w:p>
        </w:tc>
      </w:tr>
      <w:tr w:rsidR="00B2722B" w:rsidRPr="00E05D09" w14:paraId="3BAC2067" w14:textId="77777777" w:rsidTr="00E05D09">
        <w:tc>
          <w:tcPr>
            <w:tcW w:w="2405" w:type="dxa"/>
            <w:gridSpan w:val="2"/>
          </w:tcPr>
          <w:p w14:paraId="4D313374"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lastRenderedPageBreak/>
              <w:t>Perfil de cada puesto</w:t>
            </w:r>
          </w:p>
        </w:tc>
        <w:tc>
          <w:tcPr>
            <w:tcW w:w="2965" w:type="dxa"/>
          </w:tcPr>
          <w:p w14:paraId="738FBC4F" w14:textId="77777777" w:rsidR="00B2722B" w:rsidRPr="00E05D09" w:rsidRDefault="004425A1">
            <w:pPr>
              <w:numPr>
                <w:ilvl w:val="0"/>
                <w:numId w:val="21"/>
              </w:numPr>
              <w:pBdr>
                <w:top w:val="nil"/>
                <w:left w:val="nil"/>
                <w:bottom w:val="nil"/>
                <w:right w:val="nil"/>
                <w:between w:val="nil"/>
              </w:pBdr>
              <w:ind w:left="0" w:right="-4" w:firstLine="0"/>
              <w:jc w:val="center"/>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Plantilla de personal desglosada por área, puesto y tipo de contratación</w:t>
            </w:r>
          </w:p>
        </w:tc>
        <w:tc>
          <w:tcPr>
            <w:tcW w:w="1722" w:type="dxa"/>
            <w:gridSpan w:val="4"/>
          </w:tcPr>
          <w:p w14:paraId="6C38145D" w14:textId="77777777" w:rsidR="00B2722B" w:rsidRPr="00E05D09" w:rsidRDefault="004425A1">
            <w:pPr>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El servidor público habilitado remite la Plantilla de Personal del que se advierte el </w:t>
            </w:r>
            <w:r w:rsidRPr="00E05D09">
              <w:rPr>
                <w:rFonts w:ascii="Palatino Linotype" w:eastAsia="Palatino Linotype" w:hAnsi="Palatino Linotype" w:cs="Palatino Linotype"/>
              </w:rPr>
              <w:lastRenderedPageBreak/>
              <w:t>nombre, puesto, área de adscripción, tipo de contratación,</w:t>
            </w:r>
            <w:r w:rsidRPr="00E05D09">
              <w:rPr>
                <w:rFonts w:ascii="Palatino Linotype" w:eastAsia="Palatino Linotype" w:hAnsi="Palatino Linotype" w:cs="Palatino Linotype"/>
                <w:b/>
                <w:bCs/>
              </w:rPr>
              <w:t xml:space="preserve"> perfil de puesto vigente,</w:t>
            </w:r>
            <w:r w:rsidRPr="00E05D09">
              <w:rPr>
                <w:rFonts w:ascii="Palatino Linotype" w:eastAsia="Palatino Linotype" w:hAnsi="Palatino Linotype" w:cs="Palatino Linotype"/>
              </w:rPr>
              <w:t xml:space="preserve"> fecha de ingreso, fecha de baja de ser el caso, compensaciones y prestaciones, contratos por honorarios vigentes y movimiento de personal</w:t>
            </w:r>
          </w:p>
        </w:tc>
        <w:tc>
          <w:tcPr>
            <w:tcW w:w="2131" w:type="dxa"/>
          </w:tcPr>
          <w:p w14:paraId="3E7222C1" w14:textId="77777777" w:rsidR="00B2722B" w:rsidRPr="00E05D09" w:rsidRDefault="004425A1">
            <w:pPr>
              <w:pBdr>
                <w:top w:val="nil"/>
                <w:left w:val="nil"/>
                <w:bottom w:val="nil"/>
                <w:right w:val="nil"/>
                <w:between w:val="nil"/>
              </w:pBdr>
              <w:ind w:right="-4"/>
              <w:jc w:val="both"/>
              <w:rPr>
                <w:rFonts w:ascii="Palatino Linotype" w:eastAsia="Palatino Linotype" w:hAnsi="Palatino Linotype" w:cs="Palatino Linotype"/>
              </w:rPr>
            </w:pPr>
            <w:r w:rsidRPr="00E05D09">
              <w:rPr>
                <w:rFonts w:ascii="Palatino Linotype" w:eastAsia="Palatino Linotype" w:hAnsi="Palatino Linotype" w:cs="Palatino Linotype"/>
                <w:b/>
                <w:bCs/>
              </w:rPr>
              <w:lastRenderedPageBreak/>
              <w:t xml:space="preserve">Colma Parcialmente, </w:t>
            </w:r>
            <w:r w:rsidRPr="00E05D09">
              <w:rPr>
                <w:rFonts w:ascii="Palatino Linotype" w:eastAsia="Palatino Linotype" w:hAnsi="Palatino Linotype" w:cs="Palatino Linotype"/>
              </w:rPr>
              <w:t xml:space="preserve">toda vez que del documento se advierte que corresponde al ejercicio fiscal 2025, por tanto </w:t>
            </w:r>
            <w:r w:rsidRPr="00E05D09">
              <w:rPr>
                <w:rFonts w:ascii="Palatino Linotype" w:eastAsia="Palatino Linotype" w:hAnsi="Palatino Linotype" w:cs="Palatino Linotype"/>
              </w:rPr>
              <w:lastRenderedPageBreak/>
              <w:t>omitió pronunciarse respecto al 2026</w:t>
            </w:r>
          </w:p>
        </w:tc>
      </w:tr>
      <w:tr w:rsidR="00B2722B" w:rsidRPr="00E05D09" w14:paraId="53665C95" w14:textId="77777777" w:rsidTr="00E05D09">
        <w:tc>
          <w:tcPr>
            <w:tcW w:w="2405" w:type="dxa"/>
            <w:gridSpan w:val="2"/>
          </w:tcPr>
          <w:p w14:paraId="5563E489"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lastRenderedPageBreak/>
              <w:t>Actividades o funciones asignadas por área</w:t>
            </w:r>
          </w:p>
        </w:tc>
        <w:tc>
          <w:tcPr>
            <w:tcW w:w="6818" w:type="dxa"/>
            <w:gridSpan w:val="6"/>
          </w:tcPr>
          <w:p w14:paraId="744342CB" w14:textId="77777777" w:rsidR="00B2722B" w:rsidRPr="00E05D09" w:rsidRDefault="004425A1">
            <w:pPr>
              <w:pBdr>
                <w:top w:val="nil"/>
                <w:left w:val="nil"/>
                <w:bottom w:val="nil"/>
                <w:right w:val="nil"/>
                <w:between w:val="nil"/>
              </w:pBdr>
              <w:ind w:right="-4"/>
              <w:jc w:val="center"/>
              <w:rPr>
                <w:rFonts w:ascii="Palatino Linotype" w:eastAsia="Palatino Linotype" w:hAnsi="Palatino Linotype" w:cs="Palatino Linotype"/>
              </w:rPr>
            </w:pPr>
            <w:r w:rsidRPr="00E05D09">
              <w:rPr>
                <w:rFonts w:ascii="Palatino Linotype" w:eastAsia="Palatino Linotype" w:hAnsi="Palatino Linotype" w:cs="Palatino Linotype"/>
              </w:rPr>
              <w:t>No se pronuncio</w:t>
            </w:r>
          </w:p>
        </w:tc>
      </w:tr>
      <w:tr w:rsidR="00B2722B" w:rsidRPr="00E05D09" w14:paraId="2265BBC9" w14:textId="77777777" w:rsidTr="00E05D09">
        <w:tc>
          <w:tcPr>
            <w:tcW w:w="2405" w:type="dxa"/>
            <w:gridSpan w:val="2"/>
          </w:tcPr>
          <w:p w14:paraId="18FA9D44" w14:textId="77777777" w:rsidR="00B2722B" w:rsidRPr="00E05D09" w:rsidRDefault="004425A1">
            <w:pPr>
              <w:numPr>
                <w:ilvl w:val="0"/>
                <w:numId w:val="21"/>
              </w:numPr>
              <w:ind w:left="0" w:right="-4"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Comparativo de la plantilla entre 2025 y 2026</w:t>
            </w:r>
          </w:p>
        </w:tc>
        <w:tc>
          <w:tcPr>
            <w:tcW w:w="6818" w:type="dxa"/>
            <w:gridSpan w:val="6"/>
          </w:tcPr>
          <w:p w14:paraId="61700B13" w14:textId="77777777" w:rsidR="00B2722B" w:rsidRPr="00E05D09" w:rsidRDefault="004425A1">
            <w:pPr>
              <w:pBdr>
                <w:top w:val="nil"/>
                <w:left w:val="nil"/>
                <w:bottom w:val="nil"/>
                <w:right w:val="nil"/>
                <w:between w:val="nil"/>
              </w:pBdr>
              <w:ind w:right="-4"/>
              <w:jc w:val="center"/>
              <w:rPr>
                <w:rFonts w:ascii="Palatino Linotype" w:eastAsia="Palatino Linotype" w:hAnsi="Palatino Linotype" w:cs="Palatino Linotype"/>
                <w:b/>
                <w:bCs/>
              </w:rPr>
            </w:pPr>
            <w:r w:rsidRPr="00E05D09">
              <w:rPr>
                <w:rFonts w:ascii="Palatino Linotype" w:eastAsia="Palatino Linotype" w:hAnsi="Palatino Linotype" w:cs="Palatino Linotype"/>
                <w:b/>
                <w:bCs/>
              </w:rPr>
              <w:t>Derecho de Petición</w:t>
            </w:r>
          </w:p>
        </w:tc>
      </w:tr>
    </w:tbl>
    <w:p w14:paraId="33E1C65E" w14:textId="77777777" w:rsidR="00B2722B" w:rsidRPr="00E05D09" w:rsidRDefault="00B2722B">
      <w:pPr>
        <w:jc w:val="right"/>
        <w:rPr>
          <w:rFonts w:ascii="Palatino Linotype" w:eastAsia="Palatino Linotype" w:hAnsi="Palatino Linotype" w:cs="Palatino Linotype"/>
        </w:rPr>
      </w:pPr>
    </w:p>
    <w:p w14:paraId="7783CE66" w14:textId="77777777" w:rsidR="00B2722B" w:rsidRDefault="00B2722B">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14:paraId="50206736" w14:textId="77777777" w:rsidR="00E05D09" w:rsidRDefault="00E05D0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14:paraId="062472F0" w14:textId="77777777" w:rsidR="00E05D09" w:rsidRDefault="00E05D0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14:paraId="3F5A1F61" w14:textId="77777777" w:rsidR="00E05D09" w:rsidRDefault="00E05D0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14:paraId="7F729CEF" w14:textId="77777777" w:rsidR="00E05D09" w:rsidRDefault="00E05D0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14:paraId="6AFB6EB7" w14:textId="77777777" w:rsidR="00E05D09" w:rsidRDefault="00E05D0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14:paraId="4AD33FEA" w14:textId="77777777" w:rsidR="00E05D09" w:rsidRDefault="00E05D0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14:paraId="2547E155" w14:textId="77777777" w:rsidR="00E05D09" w:rsidRDefault="00E05D0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14:paraId="519C2DE1" w14:textId="77777777" w:rsidR="00E05D09" w:rsidRDefault="00E05D0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14:paraId="6F98ECD3" w14:textId="77777777" w:rsidR="00E05D09" w:rsidRDefault="00E05D0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14:paraId="58C23D8E" w14:textId="77777777" w:rsidR="00E05D09" w:rsidRDefault="00E05D0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14:paraId="2EC067CC" w14:textId="77777777" w:rsidR="00E05D09" w:rsidRDefault="00E05D0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14:paraId="265AD693" w14:textId="77777777" w:rsidR="00E05D09" w:rsidRDefault="00E05D0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14:paraId="05E69A9A" w14:textId="77777777" w:rsidR="00E05D09" w:rsidRDefault="00E05D0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14:paraId="7AC5A736" w14:textId="77777777" w:rsidR="00E05D09" w:rsidRDefault="00E05D0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14:paraId="0BACB556" w14:textId="77777777" w:rsidR="00E05D09" w:rsidRDefault="00E05D0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14:paraId="7BB55B50" w14:textId="77777777" w:rsidR="00E05D09" w:rsidRDefault="00E05D0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14:paraId="777CF94E" w14:textId="77777777" w:rsidR="00E05D09" w:rsidRPr="00E05D09" w:rsidRDefault="00E05D0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14:paraId="16921F7C" w14:textId="77777777" w:rsidR="00B2722B" w:rsidRPr="00E05D09" w:rsidRDefault="004425A1">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De lo expuesto en el cuadro descriptivo, se advierte que se atendieron los puntos marcados con los números 23, 24, 25, 30, 33, 34, 45 y 46, toda vez que el </w:t>
      </w:r>
      <w:r w:rsidRPr="00E05D09">
        <w:rPr>
          <w:rFonts w:ascii="Palatino Linotype" w:eastAsia="Palatino Linotype" w:hAnsi="Palatino Linotype" w:cs="Palatino Linotype"/>
          <w:b/>
          <w:bCs/>
          <w:color w:val="000000"/>
        </w:rPr>
        <w:t>SUJETO OBLIGADO</w:t>
      </w:r>
      <w:r w:rsidRPr="00E05D09">
        <w:rPr>
          <w:rFonts w:ascii="Palatino Linotype" w:eastAsia="Palatino Linotype" w:hAnsi="Palatino Linotype" w:cs="Palatino Linotype"/>
          <w:color w:val="000000"/>
        </w:rPr>
        <w:t xml:space="preserve">, remitió la información requerida por el particular; ahora bien respecto a los puntos marcados con los numerales 1 2, 16, 17, 18, 20, 21, 22, 26, 27, 31, 40, 47, 48, 49, 53, 56, 57, 58 y 59, el sujeto obligado brindó respuesta parcialmente a la información requerida, no obstante del análisis de las documentales remitidas no se precisa a que ejercicio fiscal corresponde la información; por </w:t>
      </w:r>
      <w:r w:rsidRPr="00E05D09">
        <w:rPr>
          <w:rFonts w:ascii="Palatino Linotype" w:eastAsia="Palatino Linotype" w:hAnsi="Palatino Linotype" w:cs="Palatino Linotype"/>
          <w:color w:val="000000"/>
        </w:rPr>
        <w:lastRenderedPageBreak/>
        <w:t>tanto no se tienen por colmado el requerimiento, ya que el particular fue preciso al señalar que la información requerida era referente a los ejercicios fiscales 2025 y 2026; mientras que de los arábigos 3, 4, 5, 6, 7, 8, 9, 10, 11, 12, 13, 14, 15, 29, 32, 35, 36, 37, 38, 39, 41, 42, 43. 44, 50, 51, 52, 54, 55 y 61, el sujeto obligado omitió pronunciarse al respecto.</w:t>
      </w:r>
    </w:p>
    <w:p w14:paraId="7ECE9868" w14:textId="77777777" w:rsidR="00B2722B" w:rsidRPr="00E05D09" w:rsidRDefault="00B2722B">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14:paraId="56B9CF1B" w14:textId="77777777" w:rsidR="00B2722B" w:rsidRPr="00E05D09" w:rsidRDefault="004425A1">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Descrito lo anterior, se precisa que el presente estudio versara únicamente respecto a los numerales 1 2, 16, 17, 18, 20, 21, 22, 26, 27, 31, 40, 47, 48, 49, 53, 56, 57, 58 y 59; así como que de los arábigos 3, 4, 5, 6, 7, 8, 9, 10, 11, 12, 13, 14, 15, 29, 32, 35, 36, 37, 38, 39, 41, 42, 43. 44, 50, 51, 52, 54, 55 y 61 del cuadro descriptivo.</w:t>
      </w:r>
    </w:p>
    <w:p w14:paraId="314B2C6E" w14:textId="77777777" w:rsidR="00B2722B" w:rsidRPr="00E05D09" w:rsidRDefault="00B2722B">
      <w:pPr>
        <w:pBdr>
          <w:top w:val="nil"/>
          <w:left w:val="nil"/>
          <w:bottom w:val="nil"/>
          <w:right w:val="nil"/>
          <w:between w:val="nil"/>
        </w:pBdr>
        <w:ind w:left="720"/>
        <w:rPr>
          <w:rFonts w:ascii="Palatino Linotype" w:eastAsia="Palatino Linotype" w:hAnsi="Palatino Linotype" w:cs="Palatino Linotype"/>
          <w:color w:val="000000"/>
        </w:rPr>
      </w:pPr>
    </w:p>
    <w:p w14:paraId="2BF447D6" w14:textId="77777777" w:rsidR="00B2722B" w:rsidRPr="00E05D09" w:rsidRDefault="004425A1">
      <w:pPr>
        <w:numPr>
          <w:ilvl w:val="0"/>
          <w:numId w:val="22"/>
        </w:numPr>
        <w:pBdr>
          <w:top w:val="nil"/>
          <w:left w:val="nil"/>
          <w:bottom w:val="nil"/>
          <w:right w:val="nil"/>
          <w:between w:val="nil"/>
        </w:pBdr>
        <w:spacing w:line="360" w:lineRule="auto"/>
        <w:ind w:right="-28"/>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Punto 1 2, 16, 17, 18, 20, 21, 22, 26, 27, 31, 40, 47, 48, 49, 53, 56, 57, 58 y 59 del cuadro descriptivo</w:t>
      </w:r>
    </w:p>
    <w:p w14:paraId="5574A858" w14:textId="77777777" w:rsidR="00B2722B" w:rsidRPr="00E05D09" w:rsidRDefault="00B2722B">
      <w:pPr>
        <w:spacing w:line="360" w:lineRule="auto"/>
        <w:ind w:right="-28"/>
        <w:jc w:val="both"/>
        <w:rPr>
          <w:rFonts w:ascii="Palatino Linotype" w:eastAsia="Palatino Linotype" w:hAnsi="Palatino Linotype" w:cs="Palatino Linotype"/>
        </w:rPr>
      </w:pPr>
    </w:p>
    <w:p w14:paraId="776B1C5F" w14:textId="77777777" w:rsidR="00B2722B" w:rsidRPr="00E05D09" w:rsidRDefault="004425A1">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Al respecto resulta necesario referir que, el </w:t>
      </w:r>
      <w:r w:rsidRPr="00E05D09">
        <w:rPr>
          <w:rFonts w:ascii="Palatino Linotype" w:eastAsia="Palatino Linotype" w:hAnsi="Palatino Linotype" w:cs="Palatino Linotype"/>
          <w:b/>
          <w:bCs/>
          <w:color w:val="000000"/>
        </w:rPr>
        <w:t xml:space="preserve">SUJETO OBLIGADO </w:t>
      </w:r>
      <w:r w:rsidRPr="00E05D09">
        <w:rPr>
          <w:rFonts w:ascii="Palatino Linotype" w:eastAsia="Palatino Linotype" w:hAnsi="Palatino Linotype" w:cs="Palatino Linotype"/>
          <w:color w:val="000000"/>
        </w:rPr>
        <w:t>asume de manera expresa que genera, posee y administra lo solicitado, tan es así que proporciona información de manera parcial, toda vez que de las documentales remitidas no se advierte la temporalidad de la información que se está proporcionado, o en su defecto omitió pronunciarse respecto al ejercicio fiscal 2026, tal como se señala en el cuadro comparativo,</w:t>
      </w:r>
    </w:p>
    <w:p w14:paraId="632C51A2"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644AE0F"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Aclarado lo anterior, un segundo aspecto que resulta importante establecer, es que debido a que el mismo </w:t>
      </w:r>
      <w:r w:rsidRPr="00E05D09">
        <w:rPr>
          <w:rFonts w:ascii="Palatino Linotype" w:eastAsia="Palatino Linotype" w:hAnsi="Palatino Linotype" w:cs="Palatino Linotype"/>
          <w:b/>
          <w:bCs/>
          <w:color w:val="000000"/>
        </w:rPr>
        <w:t>SUJETO OBLIGADO</w:t>
      </w:r>
      <w:r w:rsidRPr="00E05D09">
        <w:rPr>
          <w:rFonts w:ascii="Palatino Linotype" w:eastAsia="Palatino Linotype" w:hAnsi="Palatino Linotype" w:cs="Palatino Linotype"/>
          <w:color w:val="000000"/>
        </w:rPr>
        <w:t xml:space="preserve"> admite ser poseedor de la información, no es necesario estudiar si este es competente para conocer y en su caso dar respuesta a la solicitud, pues al remitir diverso información relacionada, este reconoce contar con la misma.</w:t>
      </w:r>
    </w:p>
    <w:p w14:paraId="03D6591C" w14:textId="77777777" w:rsidR="00B2722B" w:rsidRPr="00E05D09" w:rsidRDefault="00B2722B">
      <w:pPr>
        <w:pBdr>
          <w:top w:val="nil"/>
          <w:left w:val="nil"/>
          <w:bottom w:val="nil"/>
          <w:right w:val="nil"/>
          <w:between w:val="nil"/>
        </w:pBdr>
        <w:ind w:left="720"/>
        <w:rPr>
          <w:rFonts w:ascii="Palatino Linotype" w:eastAsia="Palatino Linotype" w:hAnsi="Palatino Linotype" w:cs="Palatino Linotype"/>
          <w:color w:val="000000"/>
        </w:rPr>
      </w:pPr>
    </w:p>
    <w:p w14:paraId="51252A9D"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rPr>
        <w:lastRenderedPageBreak/>
        <w:t xml:space="preserve">En ese sentido, y derivado de la revisión a la información entregada en respuesta, el </w:t>
      </w:r>
      <w:r w:rsidRPr="00E05D09">
        <w:rPr>
          <w:rFonts w:ascii="Palatino Linotype" w:eastAsia="Palatino Linotype" w:hAnsi="Palatino Linotype" w:cs="Palatino Linotype"/>
          <w:b/>
          <w:bCs/>
        </w:rPr>
        <w:t xml:space="preserve">Sujeto Obligado </w:t>
      </w:r>
      <w:r w:rsidRPr="00E05D09">
        <w:rPr>
          <w:rFonts w:ascii="Palatino Linotype" w:eastAsia="Palatino Linotype" w:hAnsi="Palatino Linotype" w:cs="Palatino Linotype"/>
        </w:rPr>
        <w:t>sólo se concretó a entregar información sin precisar la temporalidad que se está informando y/o si la información corresponde al ejercicio fiscal 2025 o 2026 y en su defecto omitió pronunciarse respecto al ejercicio fiscal 2026; de ahí que, la respuesta careció de los principios de congruencia y exhaustividad, como refuerzo de lo anterior, resulta crucial el Criterio orientador 02/17, emitido por el entonces Instituto Nacional de Transparencia y Acceso a la Información y Protección de Datos Personales, de título y texto siguientes:</w:t>
      </w:r>
    </w:p>
    <w:p w14:paraId="19E09FA8" w14:textId="77777777" w:rsidR="00B2722B" w:rsidRPr="00E05D09" w:rsidRDefault="004425A1">
      <w:pPr>
        <w:spacing w:before="80" w:after="240"/>
        <w:ind w:left="567" w:right="900"/>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 xml:space="preserve">“Congruencia y exhaustividad. Sus alcances para garantizar el derecho de acceso a la información. </w:t>
      </w:r>
      <w:r w:rsidRPr="00E05D09">
        <w:rPr>
          <w:rFonts w:ascii="Palatino Linotype" w:eastAsia="Palatino Linotype" w:hAnsi="Palatino Linotype" w:cs="Palatino Linotype"/>
          <w:i/>
          <w:iCs/>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E05D09">
        <w:rPr>
          <w:rFonts w:ascii="Palatino Linotype" w:eastAsia="Palatino Linotype" w:hAnsi="Palatino Linotype" w:cs="Palatino Linotype"/>
          <w:b/>
          <w:bCs/>
          <w:i/>
          <w:iCs/>
        </w:rPr>
        <w:t>la congruencia implica que exista concordancia entre el requerimiento formulado por el particular y la respuesta proporcionada por el sujeto obligado</w:t>
      </w:r>
      <w:r w:rsidRPr="00E05D09">
        <w:rPr>
          <w:rFonts w:ascii="Palatino Linotype" w:eastAsia="Palatino Linotype" w:hAnsi="Palatino Linotype" w:cs="Palatino Linotype"/>
          <w:i/>
          <w:iCs/>
        </w:rPr>
        <w:t xml:space="preserve">; mientras que </w:t>
      </w:r>
      <w:r w:rsidRPr="00E05D09">
        <w:rPr>
          <w:rFonts w:ascii="Palatino Linotype" w:eastAsia="Palatino Linotype" w:hAnsi="Palatino Linotype" w:cs="Palatino Linotype"/>
          <w:b/>
          <w:bCs/>
          <w:i/>
          <w:iCs/>
        </w:rPr>
        <w:t>la exhaustividad significa que dicha respuesta se refiera expresamente a cada uno de los puntos solicitados</w:t>
      </w:r>
      <w:r w:rsidRPr="00E05D09">
        <w:rPr>
          <w:rFonts w:ascii="Palatino Linotype" w:eastAsia="Palatino Linotype" w:hAnsi="Palatino Linotype" w:cs="Palatino Linotype"/>
          <w:i/>
          <w:iCs/>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5959A29B"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bookmarkStart w:id="8" w:name="_heading=h.l1fo0hx64ne4" w:colFirst="0" w:colLast="0"/>
      <w:bookmarkEnd w:id="8"/>
      <w:r w:rsidRPr="00E05D09">
        <w:rPr>
          <w:rFonts w:ascii="Palatino Linotype" w:eastAsia="Palatino Linotype" w:hAnsi="Palatino Linotype" w:cs="Palatino Linotype"/>
          <w:color w:val="000000"/>
        </w:rPr>
        <w:t xml:space="preserve">Razones por las cuales lo procedente es ordenar, previa búsqueda exhaustiva y razonable, el o los documentos que den cuenta de la información solicitada respecto al ejercicio fiscal faltante; así como precisar la temporalidad de la información que se remite. </w:t>
      </w:r>
    </w:p>
    <w:p w14:paraId="5EC00573"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79DF143"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Así las cosas, cabe resaltar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w:t>
      </w:r>
      <w:r w:rsidRPr="00E05D09">
        <w:rPr>
          <w:rFonts w:ascii="Palatino Linotype" w:eastAsia="Palatino Linotype" w:hAnsi="Palatino Linotype" w:cs="Palatino Linotype"/>
          <w:color w:val="000000"/>
        </w:rPr>
        <w:lastRenderedPageBreak/>
        <w:t>como, atención adecuada a las personas con discapacidad y a los hablantes de lengua indígena con el objeto de otorgar la protección más amplia del derecho de las personas.</w:t>
      </w:r>
    </w:p>
    <w:p w14:paraId="513D3AB5" w14:textId="77777777" w:rsidR="00B2722B" w:rsidRPr="00E05D09" w:rsidRDefault="00B2722B">
      <w:pPr>
        <w:pBdr>
          <w:top w:val="nil"/>
          <w:left w:val="nil"/>
          <w:bottom w:val="nil"/>
          <w:right w:val="nil"/>
          <w:between w:val="nil"/>
        </w:pBdr>
        <w:tabs>
          <w:tab w:val="left" w:pos="2475"/>
        </w:tabs>
        <w:spacing w:line="360" w:lineRule="auto"/>
        <w:ind w:right="-28"/>
        <w:jc w:val="both"/>
        <w:rPr>
          <w:rFonts w:ascii="Palatino Linotype" w:eastAsia="Palatino Linotype" w:hAnsi="Palatino Linotype" w:cs="Palatino Linotype"/>
          <w:color w:val="000000"/>
        </w:rPr>
      </w:pPr>
    </w:p>
    <w:p w14:paraId="35020167" w14:textId="77777777" w:rsidR="00B2722B" w:rsidRPr="00E05D09" w:rsidRDefault="004425A1">
      <w:pPr>
        <w:numPr>
          <w:ilvl w:val="0"/>
          <w:numId w:val="1"/>
        </w:numPr>
        <w:pBdr>
          <w:top w:val="nil"/>
          <w:left w:val="nil"/>
          <w:bottom w:val="nil"/>
          <w:right w:val="nil"/>
          <w:between w:val="nil"/>
        </w:pBdr>
        <w:tabs>
          <w:tab w:val="left" w:pos="0"/>
          <w:tab w:val="left" w:pos="567"/>
        </w:tabs>
        <w:spacing w:line="360" w:lineRule="auto"/>
        <w:ind w:left="0" w:right="-28"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En este sentido, para atender las solicitudes de información, los Sujetos Obligados contarán con un área denominada Unidad de Transparencia</w:t>
      </w:r>
      <w:r w:rsidRPr="00E05D09">
        <w:rPr>
          <w:rFonts w:ascii="Palatino Linotype" w:eastAsia="Palatino Linotype" w:hAnsi="Palatino Linotype" w:cs="Palatino Linotype"/>
          <w:color w:val="000000"/>
          <w:vertAlign w:val="superscript"/>
        </w:rPr>
        <w:footnoteReference w:id="5"/>
      </w:r>
      <w:r w:rsidRPr="00E05D09">
        <w:rPr>
          <w:rFonts w:ascii="Palatino Linotype" w:eastAsia="Palatino Linotype" w:hAnsi="Palatino Linotype" w:cs="Palatino Linotype"/>
          <w:color w:val="000000"/>
        </w:rPr>
        <w:t>,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w:t>
      </w:r>
      <w:r w:rsidRPr="00E05D09">
        <w:rPr>
          <w:rFonts w:ascii="Palatino Linotype" w:eastAsia="Palatino Linotype" w:hAnsi="Palatino Linotype" w:cs="Palatino Linotype"/>
          <w:b/>
          <w:bCs/>
          <w:color w:val="000000"/>
        </w:rPr>
        <w:t xml:space="preserve"> </w:t>
      </w:r>
      <w:r w:rsidRPr="00E05D09">
        <w:rPr>
          <w:rFonts w:ascii="Palatino Linotype" w:eastAsia="Palatino Linotype" w:hAnsi="Palatino Linotype" w:cs="Palatino Linotype"/>
          <w:color w:val="000000"/>
        </w:rPr>
        <w:t>en los términos de la Ley General y la Ley de Transparencia y Acceso a la Información Pública del Estado de México y Municipios</w:t>
      </w:r>
      <w:r w:rsidRPr="00E05D09">
        <w:rPr>
          <w:rFonts w:ascii="Palatino Linotype" w:eastAsia="Palatino Linotype" w:hAnsi="Palatino Linotype" w:cs="Palatino Linotype"/>
          <w:color w:val="000000"/>
          <w:vertAlign w:val="superscript"/>
        </w:rPr>
        <w:footnoteReference w:id="6"/>
      </w:r>
      <w:r w:rsidRPr="00E05D09">
        <w:rPr>
          <w:rFonts w:ascii="Palatino Linotype" w:eastAsia="Palatino Linotype" w:hAnsi="Palatino Linotype" w:cs="Palatino Linotype"/>
          <w:color w:val="000000"/>
        </w:rPr>
        <w:t>.</w:t>
      </w:r>
    </w:p>
    <w:p w14:paraId="28FCA97B" w14:textId="77777777" w:rsidR="00B2722B" w:rsidRPr="00E05D09" w:rsidRDefault="00B2722B">
      <w:pPr>
        <w:ind w:right="-28"/>
        <w:rPr>
          <w:rFonts w:ascii="Palatino Linotype" w:eastAsia="Palatino Linotype" w:hAnsi="Palatino Linotype" w:cs="Palatino Linotype"/>
          <w:color w:val="000000"/>
        </w:rPr>
      </w:pPr>
    </w:p>
    <w:p w14:paraId="7FFE9E15" w14:textId="77777777" w:rsidR="00B2722B" w:rsidRPr="00E05D09" w:rsidRDefault="004425A1">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rPr>
      </w:pPr>
      <w:r w:rsidRPr="00E05D09">
        <w:rPr>
          <w:rFonts w:ascii="Palatino Linotype" w:eastAsia="Palatino Linotype" w:hAnsi="Palatino Linotype" w:cs="Palatino Linotype"/>
          <w:color w:val="000000"/>
        </w:rPr>
        <w:t>De conformidad con lo dispuesto en la Ley de Transparencia y Acceso a la Información Pública del Estado de México y Municipios, las Unidades de Transparencia tendrán, entre sus atribuciones, las siguientes:</w:t>
      </w:r>
    </w:p>
    <w:p w14:paraId="660399FE" w14:textId="77777777" w:rsidR="00B2722B" w:rsidRPr="00E05D09" w:rsidRDefault="004425A1">
      <w:pPr>
        <w:numPr>
          <w:ilvl w:val="1"/>
          <w:numId w:val="23"/>
        </w:numPr>
        <w:pBdr>
          <w:top w:val="nil"/>
          <w:left w:val="nil"/>
          <w:bottom w:val="nil"/>
          <w:right w:val="nil"/>
          <w:between w:val="nil"/>
        </w:pBdr>
        <w:ind w:left="709" w:right="-28" w:hanging="142"/>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Recibir, tramitar y dar respuesta a las solicitudes de acceso a la información;</w:t>
      </w:r>
    </w:p>
    <w:p w14:paraId="3337839C" w14:textId="77777777" w:rsidR="00B2722B" w:rsidRPr="00E05D09" w:rsidRDefault="004425A1">
      <w:pPr>
        <w:numPr>
          <w:ilvl w:val="1"/>
          <w:numId w:val="23"/>
        </w:numPr>
        <w:pBdr>
          <w:top w:val="nil"/>
          <w:left w:val="nil"/>
          <w:bottom w:val="nil"/>
          <w:right w:val="nil"/>
          <w:between w:val="nil"/>
        </w:pBdr>
        <w:ind w:left="709" w:right="539" w:hanging="142"/>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Realizar, con efectividad, los trámites internos necesarios para la atención de las solicitudes de acceso a la información; </w:t>
      </w:r>
    </w:p>
    <w:p w14:paraId="73C0C572" w14:textId="77777777" w:rsidR="00B2722B" w:rsidRPr="00E05D09" w:rsidRDefault="004425A1">
      <w:pPr>
        <w:numPr>
          <w:ilvl w:val="1"/>
          <w:numId w:val="23"/>
        </w:numPr>
        <w:pBdr>
          <w:top w:val="nil"/>
          <w:left w:val="nil"/>
          <w:bottom w:val="nil"/>
          <w:right w:val="nil"/>
          <w:between w:val="nil"/>
        </w:pBdr>
        <w:ind w:left="709" w:right="-28" w:hanging="142"/>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Entregar, en su caso, a los particulares la información solicitada; y </w:t>
      </w:r>
    </w:p>
    <w:p w14:paraId="45639515" w14:textId="77777777" w:rsidR="00B2722B" w:rsidRPr="00E05D09" w:rsidRDefault="004425A1">
      <w:pPr>
        <w:numPr>
          <w:ilvl w:val="1"/>
          <w:numId w:val="23"/>
        </w:numPr>
        <w:pBdr>
          <w:top w:val="nil"/>
          <w:left w:val="nil"/>
          <w:bottom w:val="nil"/>
          <w:right w:val="nil"/>
          <w:between w:val="nil"/>
        </w:pBdr>
        <w:spacing w:after="240"/>
        <w:ind w:left="709" w:right="-28" w:hanging="142"/>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Efectuar las notificaciones a los solicitantes.</w:t>
      </w:r>
    </w:p>
    <w:p w14:paraId="185B2B69" w14:textId="77777777" w:rsidR="00B2722B" w:rsidRPr="00E05D09" w:rsidRDefault="00B2722B">
      <w:pPr>
        <w:spacing w:before="240" w:after="240"/>
        <w:ind w:right="-28"/>
        <w:jc w:val="both"/>
        <w:rPr>
          <w:rFonts w:ascii="Palatino Linotype" w:eastAsia="Palatino Linotype" w:hAnsi="Palatino Linotype" w:cs="Palatino Linotype"/>
          <w:color w:val="000000"/>
        </w:rPr>
      </w:pPr>
    </w:p>
    <w:p w14:paraId="7C9D1A61" w14:textId="77777777" w:rsidR="00B2722B" w:rsidRPr="00E05D09" w:rsidRDefault="004425A1">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rPr>
      </w:pPr>
      <w:r w:rsidRPr="00E05D09">
        <w:rPr>
          <w:rFonts w:ascii="Palatino Linotype" w:eastAsia="Palatino Linotype" w:hAnsi="Palatino Linotype" w:cs="Palatino Linotype"/>
          <w:color w:val="000000"/>
        </w:rPr>
        <w:t xml:space="preserve">Otros sujetos del proceso de atención a las solicitudes de información son los servidores públicos habilitados, quienes serán designados por el titular del </w:t>
      </w:r>
      <w:r w:rsidRPr="00E05D09">
        <w:rPr>
          <w:rFonts w:ascii="Palatino Linotype" w:eastAsia="Palatino Linotype" w:hAnsi="Palatino Linotype" w:cs="Palatino Linotype"/>
          <w:b/>
          <w:bCs/>
          <w:color w:val="000000"/>
        </w:rPr>
        <w:t xml:space="preserve">SUJETO OBLIGADO </w:t>
      </w:r>
      <w:r w:rsidRPr="00E05D09">
        <w:rPr>
          <w:rFonts w:ascii="Palatino Linotype" w:eastAsia="Palatino Linotype" w:hAnsi="Palatino Linotype" w:cs="Palatino Linotype"/>
          <w:color w:val="000000"/>
        </w:rPr>
        <w:t xml:space="preserve">a </w:t>
      </w:r>
      <w:r w:rsidRPr="00E05D09">
        <w:rPr>
          <w:rFonts w:ascii="Palatino Linotype" w:eastAsia="Palatino Linotype" w:hAnsi="Palatino Linotype" w:cs="Palatino Linotype"/>
          <w:color w:val="000000"/>
        </w:rPr>
        <w:lastRenderedPageBreak/>
        <w:t>propuesta del responsable de la Unidad de Transparencia</w:t>
      </w:r>
      <w:r w:rsidRPr="00E05D09">
        <w:rPr>
          <w:rFonts w:ascii="Palatino Linotype" w:eastAsia="Palatino Linotype" w:hAnsi="Palatino Linotype" w:cs="Palatino Linotype"/>
          <w:color w:val="000000"/>
          <w:vertAlign w:val="superscript"/>
        </w:rPr>
        <w:footnoteReference w:id="7"/>
      </w:r>
      <w:r w:rsidRPr="00E05D09">
        <w:rPr>
          <w:rFonts w:ascii="Palatino Linotype" w:eastAsia="Palatino Linotype" w:hAnsi="Palatino Linotype" w:cs="Palatino Linotype"/>
          <w:color w:val="000000"/>
        </w:rPr>
        <w:t xml:space="preserve"> y tendrán, entre sus atribuciones, las siguientes</w:t>
      </w:r>
      <w:r w:rsidRPr="00E05D09">
        <w:rPr>
          <w:rFonts w:ascii="Palatino Linotype" w:eastAsia="Palatino Linotype" w:hAnsi="Palatino Linotype" w:cs="Palatino Linotype"/>
          <w:color w:val="000000"/>
          <w:vertAlign w:val="superscript"/>
        </w:rPr>
        <w:footnoteReference w:id="8"/>
      </w:r>
      <w:r w:rsidRPr="00E05D09">
        <w:rPr>
          <w:rFonts w:ascii="Palatino Linotype" w:eastAsia="Palatino Linotype" w:hAnsi="Palatino Linotype" w:cs="Palatino Linotype"/>
          <w:color w:val="000000"/>
        </w:rPr>
        <w:t>:</w:t>
      </w:r>
    </w:p>
    <w:p w14:paraId="320A0721" w14:textId="77777777" w:rsidR="00B2722B" w:rsidRPr="00E05D09" w:rsidRDefault="004425A1">
      <w:pPr>
        <w:numPr>
          <w:ilvl w:val="1"/>
          <w:numId w:val="24"/>
        </w:numPr>
        <w:pBdr>
          <w:top w:val="nil"/>
          <w:left w:val="nil"/>
          <w:bottom w:val="nil"/>
          <w:right w:val="nil"/>
          <w:between w:val="nil"/>
        </w:pBdr>
        <w:spacing w:before="240"/>
        <w:ind w:left="709" w:right="-28" w:hanging="142"/>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Localizar la información que le solicite la Unidad de Transparencia; y</w:t>
      </w:r>
    </w:p>
    <w:p w14:paraId="45C05B9F" w14:textId="77777777" w:rsidR="00B2722B" w:rsidRPr="00E05D09" w:rsidRDefault="004425A1">
      <w:pPr>
        <w:numPr>
          <w:ilvl w:val="1"/>
          <w:numId w:val="24"/>
        </w:numPr>
        <w:pBdr>
          <w:top w:val="nil"/>
          <w:left w:val="nil"/>
          <w:bottom w:val="nil"/>
          <w:right w:val="nil"/>
          <w:between w:val="nil"/>
        </w:pBdr>
        <w:spacing w:after="240"/>
        <w:ind w:left="709" w:right="539" w:hanging="142"/>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Proporcionar la información que obre en los archivos y que le sea solicitada por la Unidad de Transparencia.</w:t>
      </w:r>
    </w:p>
    <w:p w14:paraId="7F87CC68" w14:textId="77777777" w:rsidR="00B2722B" w:rsidRPr="00E05D09" w:rsidRDefault="00B2722B">
      <w:pPr>
        <w:tabs>
          <w:tab w:val="left" w:pos="426"/>
          <w:tab w:val="left" w:pos="567"/>
        </w:tabs>
        <w:ind w:right="-28"/>
        <w:jc w:val="both"/>
        <w:rPr>
          <w:rFonts w:ascii="Palatino Linotype" w:eastAsia="Palatino Linotype" w:hAnsi="Palatino Linotype" w:cs="Palatino Linotype"/>
          <w:color w:val="000000"/>
        </w:rPr>
      </w:pPr>
    </w:p>
    <w:p w14:paraId="17B9B655" w14:textId="77777777" w:rsidR="00B2722B" w:rsidRPr="00E05D09" w:rsidRDefault="004425A1">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rPr>
      </w:pPr>
      <w:r w:rsidRPr="00E05D09">
        <w:rPr>
          <w:rFonts w:ascii="Palatino Linotype" w:eastAsia="Palatino Linotype" w:hAnsi="Palatino Linotype" w:cs="Palatino Linotype"/>
          <w:color w:val="000000"/>
        </w:rPr>
        <w:t xml:space="preserve">De tal manera que cada una de las áreas administrativas del </w:t>
      </w:r>
      <w:r w:rsidRPr="00E05D09">
        <w:rPr>
          <w:rFonts w:ascii="Palatino Linotype" w:eastAsia="Palatino Linotype" w:hAnsi="Palatino Linotype" w:cs="Palatino Linotype"/>
          <w:b/>
          <w:bCs/>
          <w:color w:val="000000"/>
        </w:rPr>
        <w:t>SUJETO OBLIGADO</w:t>
      </w:r>
      <w:r w:rsidRPr="00E05D09">
        <w:rPr>
          <w:rFonts w:ascii="Palatino Linotype" w:eastAsia="Palatino Linotype" w:hAnsi="Palatino Linotype" w:cs="Palatino Linotype"/>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4A949ACB" w14:textId="77777777" w:rsidR="00B2722B" w:rsidRPr="00E05D09" w:rsidRDefault="00B2722B">
      <w:pPr>
        <w:ind w:right="-28"/>
        <w:rPr>
          <w:rFonts w:ascii="Palatino Linotype" w:eastAsia="Palatino Linotype" w:hAnsi="Palatino Linotype" w:cs="Palatino Linotype"/>
          <w:color w:val="000000"/>
        </w:rPr>
      </w:pPr>
    </w:p>
    <w:p w14:paraId="42033543" w14:textId="77777777" w:rsidR="00B2722B" w:rsidRPr="00E05D09" w:rsidRDefault="004425A1">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rPr>
      </w:pPr>
      <w:r w:rsidRPr="00E05D09">
        <w:rPr>
          <w:rFonts w:ascii="Palatino Linotype" w:eastAsia="Palatino Linotype" w:hAnsi="Palatino Linotype" w:cs="Palatino Linotype"/>
          <w:color w:val="000000"/>
        </w:rPr>
        <w:t>Aunado a lo anterior, la Ley de Transparencia y Acceso a la Información Pública del Estado de México y Municipios, en su artículo 53, establece las funciones correspondientes a esta Unidad; mismas que se inserta a continuación:</w:t>
      </w:r>
    </w:p>
    <w:p w14:paraId="16C81D0A" w14:textId="77777777" w:rsidR="00B2722B" w:rsidRPr="00E05D09" w:rsidRDefault="004425A1">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b/>
          <w:bCs/>
          <w:i/>
          <w:iCs/>
          <w:color w:val="000000"/>
        </w:rPr>
        <w:t>“Artículo 53</w:t>
      </w:r>
      <w:r w:rsidRPr="00E05D09">
        <w:rPr>
          <w:rFonts w:ascii="Palatino Linotype" w:eastAsia="Palatino Linotype" w:hAnsi="Palatino Linotype" w:cs="Palatino Linotype"/>
          <w:i/>
          <w:iCs/>
          <w:color w:val="000000"/>
        </w:rPr>
        <w:t xml:space="preserve">. Las Unidades de Transparencia tendrán las siguientes funciones: </w:t>
      </w:r>
    </w:p>
    <w:p w14:paraId="160ECB3F" w14:textId="77777777" w:rsidR="00B2722B" w:rsidRPr="00E05D09" w:rsidRDefault="00B2722B">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p>
    <w:p w14:paraId="5097F5B8" w14:textId="77777777" w:rsidR="00B2722B" w:rsidRPr="00E05D09" w:rsidRDefault="004425A1">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color w:val="000000"/>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70BA78C5" w14:textId="77777777" w:rsidR="00B2722B" w:rsidRPr="00E05D09" w:rsidRDefault="004425A1">
      <w:pPr>
        <w:pBdr>
          <w:top w:val="nil"/>
          <w:left w:val="nil"/>
          <w:bottom w:val="nil"/>
          <w:right w:val="nil"/>
          <w:between w:val="nil"/>
        </w:pBdr>
        <w:tabs>
          <w:tab w:val="left" w:pos="426"/>
        </w:tabs>
        <w:ind w:left="567" w:right="539"/>
        <w:jc w:val="both"/>
        <w:rPr>
          <w:rFonts w:ascii="Palatino Linotype" w:eastAsia="Palatino Linotype" w:hAnsi="Palatino Linotype" w:cs="Palatino Linotype"/>
          <w:b/>
          <w:bCs/>
          <w:i/>
          <w:iCs/>
          <w:color w:val="000000"/>
        </w:rPr>
      </w:pPr>
      <w:r w:rsidRPr="00E05D09">
        <w:rPr>
          <w:rFonts w:ascii="Palatino Linotype" w:eastAsia="Palatino Linotype" w:hAnsi="Palatino Linotype" w:cs="Palatino Linotype"/>
          <w:b/>
          <w:bCs/>
          <w:i/>
          <w:iCs/>
          <w:color w:val="000000"/>
        </w:rPr>
        <w:t xml:space="preserve">II. Recibir, tramitar y dar respuesta a las solicitudes de acceso a la información; </w:t>
      </w:r>
    </w:p>
    <w:p w14:paraId="3CB8111B" w14:textId="77777777" w:rsidR="00B2722B" w:rsidRPr="00E05D09" w:rsidRDefault="004425A1">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color w:val="000000"/>
        </w:rPr>
        <w:t xml:space="preserve">III. Auxiliar a los particulares en la elaboración de solicitudes de acceso a la información y, en su caso, orientarlos sobre los sujetos obligados competentes conforme a la normatividad aplicable; </w:t>
      </w:r>
    </w:p>
    <w:p w14:paraId="7C75163E" w14:textId="77777777" w:rsidR="00B2722B" w:rsidRPr="00E05D09" w:rsidRDefault="004425A1">
      <w:pPr>
        <w:pBdr>
          <w:top w:val="nil"/>
          <w:left w:val="nil"/>
          <w:bottom w:val="nil"/>
          <w:right w:val="nil"/>
          <w:between w:val="nil"/>
        </w:pBdr>
        <w:tabs>
          <w:tab w:val="left" w:pos="426"/>
        </w:tabs>
        <w:ind w:left="567" w:right="539"/>
        <w:jc w:val="both"/>
        <w:rPr>
          <w:rFonts w:ascii="Palatino Linotype" w:eastAsia="Palatino Linotype" w:hAnsi="Palatino Linotype" w:cs="Palatino Linotype"/>
          <w:b/>
          <w:bCs/>
          <w:i/>
          <w:iCs/>
          <w:color w:val="000000"/>
        </w:rPr>
      </w:pPr>
      <w:r w:rsidRPr="00E05D09">
        <w:rPr>
          <w:rFonts w:ascii="Palatino Linotype" w:eastAsia="Palatino Linotype" w:hAnsi="Palatino Linotype" w:cs="Palatino Linotype"/>
          <w:b/>
          <w:bCs/>
          <w:i/>
          <w:iCs/>
          <w:color w:val="000000"/>
        </w:rPr>
        <w:t xml:space="preserve">IV. Realizar, con efectividad, los trámites internos necesarios para la atención de las solicitudes de acceso a la información; </w:t>
      </w:r>
    </w:p>
    <w:p w14:paraId="32E335C5" w14:textId="77777777" w:rsidR="00B2722B" w:rsidRPr="00E05D09" w:rsidRDefault="004425A1">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color w:val="000000"/>
        </w:rPr>
        <w:t xml:space="preserve">V. Entregar, en su caso, a los particulares la información solicitada; </w:t>
      </w:r>
    </w:p>
    <w:p w14:paraId="51929A1C" w14:textId="77777777" w:rsidR="00B2722B" w:rsidRPr="00E05D09" w:rsidRDefault="004425A1">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color w:val="000000"/>
        </w:rPr>
        <w:lastRenderedPageBreak/>
        <w:t xml:space="preserve">VI. Efectuar las notificaciones a los solicitantes; </w:t>
      </w:r>
    </w:p>
    <w:p w14:paraId="002F1252" w14:textId="77777777" w:rsidR="00B2722B" w:rsidRPr="00E05D09" w:rsidRDefault="004425A1">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color w:val="000000"/>
        </w:rPr>
        <w:t xml:space="preserve">VII. Proponer al Comité de Transparencia, los procedimientos internos que aseguren la mayor eficiencia en la gestión de las solicitudes de acceso a la información, conforme a la normatividad aplicable; </w:t>
      </w:r>
    </w:p>
    <w:p w14:paraId="28DE87B7" w14:textId="77777777" w:rsidR="00B2722B" w:rsidRPr="00E05D09" w:rsidRDefault="004425A1">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color w:val="000000"/>
        </w:rPr>
        <w:t xml:space="preserve">VIII. Proponer a quien preside el Comité de Transparencia, personal habilitado que sea necesario para recibir y dar trámite a las solicitudes de acceso a la información; </w:t>
      </w:r>
    </w:p>
    <w:p w14:paraId="7C094C99" w14:textId="77777777" w:rsidR="00B2722B" w:rsidRPr="00E05D09" w:rsidRDefault="004425A1">
      <w:pPr>
        <w:pBdr>
          <w:top w:val="nil"/>
          <w:left w:val="nil"/>
          <w:bottom w:val="nil"/>
          <w:right w:val="nil"/>
          <w:between w:val="nil"/>
        </w:pBdr>
        <w:tabs>
          <w:tab w:val="left" w:pos="426"/>
        </w:tabs>
        <w:ind w:left="567" w:right="539"/>
        <w:jc w:val="both"/>
        <w:rPr>
          <w:rFonts w:ascii="Palatino Linotype" w:eastAsia="Palatino Linotype" w:hAnsi="Palatino Linotype" w:cs="Palatino Linotype"/>
          <w:b/>
          <w:bCs/>
          <w:i/>
          <w:iCs/>
          <w:color w:val="000000"/>
        </w:rPr>
      </w:pPr>
      <w:r w:rsidRPr="00E05D09">
        <w:rPr>
          <w:rFonts w:ascii="Palatino Linotype" w:eastAsia="Palatino Linotype" w:hAnsi="Palatino Linotype" w:cs="Palatino Linotype"/>
          <w:b/>
          <w:bCs/>
          <w:i/>
          <w:iCs/>
          <w:color w:val="000000"/>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0BCC7F00" w14:textId="77777777" w:rsidR="00B2722B" w:rsidRPr="00E05D09" w:rsidRDefault="004425A1">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color w:val="000000"/>
        </w:rPr>
        <w:t xml:space="preserve">X. Presentar ante el Comité, el proyecto de clasificación de información; </w:t>
      </w:r>
    </w:p>
    <w:p w14:paraId="3F30C864" w14:textId="77777777" w:rsidR="00B2722B" w:rsidRPr="00E05D09" w:rsidRDefault="004425A1">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color w:val="000000"/>
        </w:rPr>
        <w:t xml:space="preserve">XI. Promover e implementar políticas de transparencia proactiva procurando su accesibilidad; </w:t>
      </w:r>
    </w:p>
    <w:p w14:paraId="4D84704E" w14:textId="77777777" w:rsidR="00B2722B" w:rsidRPr="00E05D09" w:rsidRDefault="004425A1">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color w:val="000000"/>
        </w:rPr>
        <w:t xml:space="preserve">XII. Fomentar la transparencia y accesibilidad al interior del sujeto obligado; </w:t>
      </w:r>
    </w:p>
    <w:p w14:paraId="6CD54137" w14:textId="77777777" w:rsidR="00B2722B" w:rsidRPr="00E05D09" w:rsidRDefault="004425A1">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color w:val="000000"/>
        </w:rPr>
        <w:t>XIII. Hacer del conocimiento de la instancia competente la probable responsabilidad por el incumplimiento de las obligaciones previstas en la presente Ley; y</w:t>
      </w:r>
    </w:p>
    <w:p w14:paraId="4C33D5DD" w14:textId="77777777" w:rsidR="00B2722B" w:rsidRPr="00E05D09" w:rsidRDefault="004425A1">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color w:val="000000"/>
        </w:rPr>
        <w:t>XIV. Las demás que resulten necesarias para facilitar el acceso a la información y aquellas que se desprenden de la presente Ley y demás disposiciones jurídicas aplicables. (…)</w:t>
      </w:r>
    </w:p>
    <w:p w14:paraId="7BA054ED" w14:textId="77777777" w:rsidR="00B2722B" w:rsidRPr="00E05D09" w:rsidRDefault="004425A1">
      <w:pPr>
        <w:pBdr>
          <w:top w:val="nil"/>
          <w:left w:val="nil"/>
          <w:bottom w:val="nil"/>
          <w:right w:val="nil"/>
          <w:between w:val="nil"/>
        </w:pBdr>
        <w:tabs>
          <w:tab w:val="left" w:pos="426"/>
        </w:tabs>
        <w:spacing w:after="240"/>
        <w:ind w:left="567" w:right="539"/>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color w:val="000000"/>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14:paraId="50E6F98A" w14:textId="77777777" w:rsidR="00B2722B" w:rsidRPr="00E05D09" w:rsidRDefault="00B2722B">
      <w:pPr>
        <w:tabs>
          <w:tab w:val="left" w:pos="426"/>
        </w:tabs>
        <w:spacing w:before="240" w:after="240"/>
        <w:ind w:right="-28"/>
        <w:jc w:val="both"/>
        <w:rPr>
          <w:rFonts w:ascii="Palatino Linotype" w:eastAsia="Palatino Linotype" w:hAnsi="Palatino Linotype" w:cs="Palatino Linotype"/>
          <w:i/>
          <w:iCs/>
        </w:rPr>
      </w:pPr>
    </w:p>
    <w:p w14:paraId="47FFFD45" w14:textId="77777777" w:rsidR="00B2722B" w:rsidRPr="00E05D09" w:rsidRDefault="004425A1">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rPr>
      </w:pPr>
      <w:r w:rsidRPr="00E05D09">
        <w:rPr>
          <w:rFonts w:ascii="Palatino Linotype" w:eastAsia="Palatino Linotype" w:hAnsi="Palatino Linotype" w:cs="Palatino Linotype"/>
          <w:color w:val="000000"/>
        </w:rPr>
        <w:t>De lo expuesto y con relación a lo solicitado, se tiene que, la Unidad de Transparencia es la encargada de recibir, tramitar y dar respuesta a las solicitudes de acceso a la información.</w:t>
      </w:r>
    </w:p>
    <w:p w14:paraId="42A42D9D" w14:textId="77777777" w:rsidR="00B2722B" w:rsidRPr="00E05D09" w:rsidRDefault="00B2722B">
      <w:pPr>
        <w:pBdr>
          <w:top w:val="nil"/>
          <w:left w:val="nil"/>
          <w:bottom w:val="nil"/>
          <w:right w:val="nil"/>
          <w:between w:val="nil"/>
        </w:pBdr>
        <w:tabs>
          <w:tab w:val="left" w:pos="426"/>
          <w:tab w:val="left" w:pos="567"/>
        </w:tabs>
        <w:spacing w:line="360" w:lineRule="auto"/>
        <w:ind w:right="-28"/>
        <w:jc w:val="both"/>
        <w:rPr>
          <w:rFonts w:ascii="Palatino Linotype" w:eastAsia="Palatino Linotype" w:hAnsi="Palatino Linotype" w:cs="Palatino Linotype"/>
          <w:color w:val="000000"/>
        </w:rPr>
      </w:pPr>
    </w:p>
    <w:p w14:paraId="2F76A8F1" w14:textId="77777777" w:rsidR="00B2722B" w:rsidRPr="00E05D09" w:rsidRDefault="004425A1">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b/>
          <w:bCs/>
        </w:rPr>
      </w:pPr>
      <w:r w:rsidRPr="00E05D09">
        <w:rPr>
          <w:rFonts w:ascii="Palatino Linotype" w:eastAsia="Palatino Linotype" w:hAnsi="Palatino Linotype" w:cs="Palatino Linotype"/>
          <w:color w:val="000000"/>
        </w:rPr>
        <w:t xml:space="preserve">En este sentido, se advierte que, el </w:t>
      </w:r>
      <w:r w:rsidRPr="00E05D09">
        <w:rPr>
          <w:rFonts w:ascii="Palatino Linotype" w:eastAsia="Palatino Linotype" w:hAnsi="Palatino Linotype" w:cs="Palatino Linotype"/>
          <w:b/>
          <w:bCs/>
          <w:color w:val="000000"/>
        </w:rPr>
        <w:t>SUJETO OBLIGADO</w:t>
      </w:r>
      <w:r w:rsidRPr="00E05D09">
        <w:rPr>
          <w:rFonts w:ascii="Palatino Linotype" w:eastAsia="Palatino Linotype" w:hAnsi="Palatino Linotype" w:cs="Palatino Linotype"/>
          <w:color w:val="000000"/>
        </w:rPr>
        <w:t xml:space="preserve"> no cumplió con el procedimiento de búsqueda exhaustiva y razonable, pues no gestionó la solicitud de información en la unidad en donde </w:t>
      </w:r>
      <w:r w:rsidRPr="00E05D09">
        <w:rPr>
          <w:rFonts w:ascii="Palatino Linotype" w:eastAsia="Palatino Linotype" w:hAnsi="Palatino Linotype" w:cs="Palatino Linotype"/>
          <w:color w:val="000000"/>
          <w:u w:val="single"/>
        </w:rPr>
        <w:t>pudiera</w:t>
      </w:r>
      <w:r w:rsidRPr="00E05D09">
        <w:rPr>
          <w:rFonts w:ascii="Palatino Linotype" w:eastAsia="Palatino Linotype" w:hAnsi="Palatino Linotype" w:cs="Palatino Linotype"/>
          <w:color w:val="000000"/>
        </w:rPr>
        <w:t xml:space="preserve"> obrar la citada información, siendo estas: </w:t>
      </w:r>
      <w:r w:rsidRPr="00E05D09">
        <w:rPr>
          <w:rFonts w:ascii="Palatino Linotype" w:eastAsia="Palatino Linotype" w:hAnsi="Palatino Linotype" w:cs="Palatino Linotype"/>
          <w:b/>
          <w:bCs/>
          <w:color w:val="000000"/>
        </w:rPr>
        <w:t xml:space="preserve">la Dirección General, Tesorería, </w:t>
      </w:r>
      <w:r w:rsidRPr="00E05D09">
        <w:rPr>
          <w:rFonts w:ascii="Palatino Linotype" w:eastAsia="Palatino Linotype" w:hAnsi="Palatino Linotype" w:cs="Palatino Linotype"/>
          <w:b/>
          <w:bCs/>
          <w:color w:val="000000"/>
        </w:rPr>
        <w:lastRenderedPageBreak/>
        <w:t>UIPPE y la Coordinación Casa del Adulto Mayor</w:t>
      </w:r>
      <w:r w:rsidRPr="00E05D09">
        <w:rPr>
          <w:rFonts w:ascii="Palatino Linotype" w:eastAsia="Palatino Linotype" w:hAnsi="Palatino Linotype" w:cs="Palatino Linotype"/>
          <w:color w:val="000000"/>
        </w:rPr>
        <w:t>, por tanto resulta viable ordenar la búsqueda exhaustiva a fin de que se pronuncien las áreas faltantes</w:t>
      </w:r>
      <w:r w:rsidRPr="00E05D09">
        <w:rPr>
          <w:rFonts w:ascii="Palatino Linotype" w:eastAsia="Palatino Linotype" w:hAnsi="Palatino Linotype" w:cs="Palatino Linotype"/>
          <w:b/>
          <w:bCs/>
          <w:color w:val="000000"/>
        </w:rPr>
        <w:t>.</w:t>
      </w:r>
    </w:p>
    <w:p w14:paraId="763BF546"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53D6275" w14:textId="77777777" w:rsidR="00B2722B" w:rsidRPr="00E05D09" w:rsidRDefault="004425A1">
      <w:pPr>
        <w:numPr>
          <w:ilvl w:val="0"/>
          <w:numId w:val="2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Punto 5, 7, 28 del cuadro descriptivo</w:t>
      </w:r>
    </w:p>
    <w:p w14:paraId="4EF70F39"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70FED1F"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Así mismo, se advierte que cuentan con el área denominado Unidad de Información, Planeación, Programación y Evaluación, misma que coordina los datos estadísticos y la medición de resultados del Sistema Municipal, mediante indicadores a través del seguimiento a los planes de desarrollo y Programas Anuales, recopilando, almacenando y procesando la información, por tanto existe fuente obligacional para brindar respuesta a la solicitado en el numerales 5, 7, 28 del cuadro descriptivo, referente a las estadísticas de atención a menores; así como a los Planes, Programas y Proyectos Institucionales.</w:t>
      </w:r>
    </w:p>
    <w:p w14:paraId="3908C249"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0124675" w14:textId="77777777" w:rsidR="00B2722B" w:rsidRPr="00E05D09" w:rsidRDefault="004425A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b/>
          <w:bCs/>
          <w:color w:val="000000"/>
        </w:rPr>
        <w:t>Punto 8, 9, 10, 11, 15, 39, 44, 50 y 51 del cuadro descriptivo</w:t>
      </w:r>
    </w:p>
    <w:p w14:paraId="7825CB78"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CFBBA0C"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Ahora bien, resulta necesario recalcar que el propio </w:t>
      </w:r>
      <w:r w:rsidRPr="00E05D09">
        <w:rPr>
          <w:rFonts w:ascii="Palatino Linotype" w:eastAsia="Palatino Linotype" w:hAnsi="Palatino Linotype" w:cs="Palatino Linotype"/>
          <w:b/>
          <w:bCs/>
          <w:color w:val="000000"/>
        </w:rPr>
        <w:t xml:space="preserve">SUJETO OBLIGADO, </w:t>
      </w:r>
      <w:r w:rsidRPr="00E05D09">
        <w:rPr>
          <w:rFonts w:ascii="Palatino Linotype" w:eastAsia="Palatino Linotype" w:hAnsi="Palatino Linotype" w:cs="Palatino Linotype"/>
          <w:color w:val="000000"/>
        </w:rPr>
        <w:t>remitió el Organigrama del que se desprenden las Unidades Administrativas que pudieran contar con la información, precisando las siguientes;</w:t>
      </w:r>
    </w:p>
    <w:p w14:paraId="401D3726" w14:textId="77777777" w:rsidR="00B2722B" w:rsidRPr="00E05D09" w:rsidRDefault="004425A1">
      <w:pP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noProof/>
        </w:rPr>
        <w:lastRenderedPageBreak/>
        <w:drawing>
          <wp:inline distT="0" distB="0" distL="0" distR="0" wp14:anchorId="18F8D9CA" wp14:editId="1DC7C791">
            <wp:extent cx="5742940" cy="259207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5742940" cy="2592070"/>
                    </a:xfrm>
                    <a:prstGeom prst="rect">
                      <a:avLst/>
                    </a:prstGeom>
                    <a:ln/>
                  </pic:spPr>
                </pic:pic>
              </a:graphicData>
            </a:graphic>
          </wp:inline>
        </w:drawing>
      </w:r>
    </w:p>
    <w:p w14:paraId="3BD99003" w14:textId="77777777" w:rsidR="00B2722B" w:rsidRPr="00E05D09" w:rsidRDefault="00B2722B">
      <w:pPr>
        <w:spacing w:line="360" w:lineRule="auto"/>
        <w:jc w:val="both"/>
        <w:rPr>
          <w:rFonts w:ascii="Palatino Linotype" w:eastAsia="Palatino Linotype" w:hAnsi="Palatino Linotype" w:cs="Palatino Linotype"/>
        </w:rPr>
      </w:pPr>
    </w:p>
    <w:p w14:paraId="24768973" w14:textId="77777777" w:rsidR="00B2722B" w:rsidRPr="00E05D09" w:rsidRDefault="004425A1">
      <w:pPr>
        <w:spacing w:line="360" w:lineRule="auto"/>
        <w:jc w:val="center"/>
        <w:rPr>
          <w:rFonts w:ascii="Palatino Linotype" w:eastAsia="Palatino Linotype" w:hAnsi="Palatino Linotype" w:cs="Palatino Linotype"/>
        </w:rPr>
      </w:pPr>
      <w:r w:rsidRPr="00E05D09">
        <w:rPr>
          <w:rFonts w:ascii="Palatino Linotype" w:eastAsia="Palatino Linotype" w:hAnsi="Palatino Linotype" w:cs="Palatino Linotype"/>
          <w:noProof/>
        </w:rPr>
        <w:drawing>
          <wp:inline distT="0" distB="0" distL="0" distR="0" wp14:anchorId="143FCD76" wp14:editId="6EB9DBCA">
            <wp:extent cx="1008342" cy="767217"/>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8805" t="6558" r="4403" b="7377"/>
                    <a:stretch>
                      <a:fillRect/>
                    </a:stretch>
                  </pic:blipFill>
                  <pic:spPr>
                    <a:xfrm>
                      <a:off x="0" y="0"/>
                      <a:ext cx="1008342" cy="767217"/>
                    </a:xfrm>
                    <a:prstGeom prst="rect">
                      <a:avLst/>
                    </a:prstGeom>
                    <a:ln/>
                  </pic:spPr>
                </pic:pic>
              </a:graphicData>
            </a:graphic>
          </wp:inline>
        </w:drawing>
      </w:r>
      <w:r w:rsidRPr="00E05D09">
        <w:rPr>
          <w:rFonts w:ascii="Palatino Linotype" w:eastAsia="Palatino Linotype" w:hAnsi="Palatino Linotype" w:cs="Palatino Linotype"/>
          <w:noProof/>
        </w:rPr>
        <w:drawing>
          <wp:inline distT="0" distB="0" distL="0" distR="0" wp14:anchorId="6B31CFDD" wp14:editId="7100384F">
            <wp:extent cx="1269224" cy="805745"/>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l="6806" t="3419"/>
                    <a:stretch>
                      <a:fillRect/>
                    </a:stretch>
                  </pic:blipFill>
                  <pic:spPr>
                    <a:xfrm>
                      <a:off x="0" y="0"/>
                      <a:ext cx="1269224" cy="805745"/>
                    </a:xfrm>
                    <a:prstGeom prst="rect">
                      <a:avLst/>
                    </a:prstGeom>
                    <a:ln/>
                  </pic:spPr>
                </pic:pic>
              </a:graphicData>
            </a:graphic>
          </wp:inline>
        </w:drawing>
      </w:r>
      <w:r w:rsidRPr="00E05D09">
        <w:rPr>
          <w:rFonts w:ascii="Palatino Linotype" w:eastAsia="Palatino Linotype" w:hAnsi="Palatino Linotype" w:cs="Palatino Linotype"/>
          <w:noProof/>
        </w:rPr>
        <w:drawing>
          <wp:inline distT="0" distB="0" distL="0" distR="0" wp14:anchorId="307D259D" wp14:editId="4C18B5B3">
            <wp:extent cx="1302647" cy="769439"/>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302647" cy="769439"/>
                    </a:xfrm>
                    <a:prstGeom prst="rect">
                      <a:avLst/>
                    </a:prstGeom>
                    <a:ln/>
                  </pic:spPr>
                </pic:pic>
              </a:graphicData>
            </a:graphic>
          </wp:inline>
        </w:drawing>
      </w:r>
      <w:r w:rsidRPr="00E05D09">
        <w:rPr>
          <w:rFonts w:ascii="Palatino Linotype" w:eastAsia="Palatino Linotype" w:hAnsi="Palatino Linotype" w:cs="Palatino Linotype"/>
          <w:noProof/>
        </w:rPr>
        <w:drawing>
          <wp:inline distT="0" distB="0" distL="0" distR="0" wp14:anchorId="6AFF80AC" wp14:editId="66F82EDC">
            <wp:extent cx="1273890" cy="795301"/>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1273890" cy="795301"/>
                    </a:xfrm>
                    <a:prstGeom prst="rect">
                      <a:avLst/>
                    </a:prstGeom>
                    <a:ln/>
                  </pic:spPr>
                </pic:pic>
              </a:graphicData>
            </a:graphic>
          </wp:inline>
        </w:drawing>
      </w:r>
    </w:p>
    <w:p w14:paraId="7283C9C1" w14:textId="77777777" w:rsidR="00B2722B" w:rsidRPr="00E05D09" w:rsidRDefault="00B2722B">
      <w:pPr>
        <w:spacing w:line="360" w:lineRule="auto"/>
        <w:jc w:val="both"/>
        <w:rPr>
          <w:rFonts w:ascii="Palatino Linotype" w:eastAsia="Palatino Linotype" w:hAnsi="Palatino Linotype" w:cs="Palatino Linotype"/>
        </w:rPr>
      </w:pPr>
    </w:p>
    <w:p w14:paraId="44DFEE2B"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Al respecto la Ley que crea los organismos Públicos Descentralizados de Asistencia Social de carácter Municipal denominados “Sistemas Municipales para el Desarrollo integral de la Familia” nos establece lo siguiente:</w:t>
      </w:r>
    </w:p>
    <w:p w14:paraId="5DC0C79A"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7B652EF" w14:textId="77777777" w:rsidR="00B2722B" w:rsidRPr="00E05D09" w:rsidRDefault="004425A1">
      <w:pPr>
        <w:ind w:left="567" w:right="539"/>
        <w:jc w:val="both"/>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t>Artículo 14.- La Dirección tendrá las atribuciones y obligaciones siguientes:</w:t>
      </w:r>
    </w:p>
    <w:p w14:paraId="38987B8F"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 Dirigir los servicios que debe prestar el Sistema Municipal con la asesoría del DIFEM; </w:t>
      </w:r>
    </w:p>
    <w:p w14:paraId="4CC8E388"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II. Dirigir el funcionamiento del Sistema en todos sus aspectos, ejecutando los planes y programas aprobados; </w:t>
      </w:r>
    </w:p>
    <w:p w14:paraId="51CDB64A"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III. Rendir los informes parciales que la Junta de Gobierno o la presidencia les solicite; </w:t>
      </w:r>
    </w:p>
    <w:p w14:paraId="5BD72593"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IV. En coordinación con el Tesorero ejecutar y controlar el presupuesto del Sistema Municipal, en los términos aprobados; y </w:t>
      </w:r>
    </w:p>
    <w:p w14:paraId="67C9596F"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V. Cuidar que la aplicación de los gastos se haga llenando los requisitos legales conforme al presupuesto respectivo; </w:t>
      </w:r>
    </w:p>
    <w:p w14:paraId="3278D9C8"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lastRenderedPageBreak/>
        <w:t xml:space="preserve">VI. Elaborar conjuntamente con el Órgano de Control Interno, el inventario general de los bienes muebles e inmuebles propiedad del organismo, haciendo que se inscriban en el libro especial, con expresión de sus valores y de todas las características de identificación como el uso y destino de los mismos; </w:t>
      </w:r>
    </w:p>
    <w:p w14:paraId="61479B0E"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VII. Regularizar la propiedad de los bienes inmuebles del organismo; </w:t>
      </w:r>
    </w:p>
    <w:p w14:paraId="13145A48"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VIII. Certificar la documentación oficial emanada de la Junta de Gobierno o de cualquiera de sus miembros y cuando se trate de documentación presentada ante el Órgano Superior de Fiscalización del Estado de México; </w:t>
      </w:r>
    </w:p>
    <w:p w14:paraId="0ED828BE"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IX. Integrar y autorizar con su firma, la documentación que deba presentarse al Órgano Superior de Fiscalización del Estado de México; </w:t>
      </w:r>
    </w:p>
    <w:p w14:paraId="159FB76D"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X. Supervisar y vigilar que el manejo, administración, registro, control, uso, mantenimiento y conservación de los recursos que conforman el patrimonio del organismo, se realice conforme a las disposiciones legales aplicables; y </w:t>
      </w:r>
    </w:p>
    <w:p w14:paraId="2B4C7F21"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XI. Las demás que sean necesarias para el ejercicio de los anteriores a juicio de la Junta de Gobierno y la Presidencia.</w:t>
      </w:r>
    </w:p>
    <w:p w14:paraId="30B5E71C" w14:textId="77777777" w:rsidR="00B2722B" w:rsidRPr="00E05D09" w:rsidRDefault="00B2722B">
      <w:pPr>
        <w:ind w:left="567" w:right="539"/>
        <w:jc w:val="both"/>
        <w:rPr>
          <w:rFonts w:ascii="Palatino Linotype" w:eastAsia="Palatino Linotype" w:hAnsi="Palatino Linotype" w:cs="Palatino Linotype"/>
          <w:i/>
          <w:iCs/>
        </w:rPr>
      </w:pPr>
    </w:p>
    <w:p w14:paraId="4D6FFA02" w14:textId="77777777" w:rsidR="00B2722B" w:rsidRPr="00E05D09" w:rsidRDefault="004425A1">
      <w:pPr>
        <w:ind w:left="567" w:right="539"/>
        <w:jc w:val="both"/>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t>Artículo 15.- El Tesorero será el responsable del manejo del presupuesto del Sistema Municipal, y de la administración de los recursos que conforman el patrimonio del organismo, lo cual hará en coordinación con el Director, debiendo informar los estados financieros mensualmente a la Junta de Gobierno o cuando ésta y la presidencia lo soliciten, además tendrá las siguientes atribuciones:</w:t>
      </w:r>
    </w:p>
    <w:p w14:paraId="5BD6FA96" w14:textId="77777777" w:rsidR="00B2722B" w:rsidRPr="00E05D09" w:rsidRDefault="00B2722B">
      <w:pPr>
        <w:ind w:left="567" w:right="539"/>
        <w:jc w:val="both"/>
        <w:rPr>
          <w:rFonts w:ascii="Palatino Linotype" w:eastAsia="Palatino Linotype" w:hAnsi="Palatino Linotype" w:cs="Palatino Linotype"/>
          <w:b/>
          <w:bCs/>
          <w:i/>
          <w:iCs/>
        </w:rPr>
      </w:pPr>
    </w:p>
    <w:p w14:paraId="615840DB"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 Administrar los recursos que conforman el patrimonio del organismo de conformidad con lo establecido en las disposiciones legales aplicables; </w:t>
      </w:r>
    </w:p>
    <w:p w14:paraId="11BCEEC6"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II. Llevar los libros y registros contables, financieros y administrativos de los ingresos, egresos e inventarios;</w:t>
      </w:r>
    </w:p>
    <w:p w14:paraId="1820D3E9"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III. Proporcionar oportunamente a la Junta de Gobierno todos los datos e informes que sean necesarios para la formulación del Presupuesto de Egresos del organismo, vigilando que se ajuste a las disposiciones legales aplicables; </w:t>
      </w:r>
    </w:p>
    <w:p w14:paraId="3E6E4B0A"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IV. Presentar anualmente a la Junta de Gobierno un informe de la situación contable financiera de la Tesorería del Organismo; </w:t>
      </w:r>
    </w:p>
    <w:p w14:paraId="28419DB8"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V. Contestar oportunamente los pliegos de observaciones y responsabilidades que haga el Órgano Superior de Fiscalización del Estado de México, así como atender en tiempo y forma las solicitudes de información que éste requiera, informando al Consejo Directivo. </w:t>
      </w:r>
    </w:p>
    <w:p w14:paraId="784C6293"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lastRenderedPageBreak/>
        <w:t xml:space="preserve">VI. Certificar los documentos a su cuidado, por acuerdo expreso de la Junta de Gobierno y cuando se trate de documentación presentada ante el Órgano Superior de Fiscalización del Estado de México; </w:t>
      </w:r>
    </w:p>
    <w:p w14:paraId="256E8D3A"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VII. Integrar y autorizar con su firma, la documentación que deba presentarse al Órgano Superior de Fiscalización del Estado de México; y </w:t>
      </w:r>
    </w:p>
    <w:p w14:paraId="1D2CAC3C"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VIII. Las demás que le confieran los ordenamientos legales y la Junta de Gobierno</w:t>
      </w:r>
    </w:p>
    <w:p w14:paraId="55D83C2F" w14:textId="77777777" w:rsidR="00B2722B" w:rsidRPr="00E05D09" w:rsidRDefault="00B2722B">
      <w:pPr>
        <w:ind w:left="567" w:right="539"/>
        <w:jc w:val="both"/>
        <w:rPr>
          <w:rFonts w:ascii="Palatino Linotype" w:eastAsia="Palatino Linotype" w:hAnsi="Palatino Linotype" w:cs="Palatino Linotype"/>
          <w:i/>
          <w:iCs/>
        </w:rPr>
      </w:pPr>
    </w:p>
    <w:p w14:paraId="6389AE5D" w14:textId="77777777" w:rsidR="00B2722B" w:rsidRPr="00E05D09" w:rsidRDefault="004425A1">
      <w:pPr>
        <w:numPr>
          <w:ilvl w:val="0"/>
          <w:numId w:val="1"/>
        </w:numPr>
        <w:tabs>
          <w:tab w:val="left" w:pos="0"/>
        </w:tabs>
        <w:spacing w:line="360" w:lineRule="auto"/>
        <w:ind w:left="0" w:right="49"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rPr>
        <w:t xml:space="preserve">De los preceptos normativos citados con anterioridad, se advierte la atribución de administrar libremente su hacienda y controlar la aplicación del presupuesto de egresos aprobado por dicho cuerpo colegiado, por lo que señala que será atribución del Tesorero Municipal, el llevar los registros contables, financieros y administrativos de los ingresos, egresos e inventarios. </w:t>
      </w:r>
    </w:p>
    <w:p w14:paraId="33F31714" w14:textId="77777777" w:rsidR="00B2722B" w:rsidRPr="00E05D09" w:rsidRDefault="00B2722B">
      <w:pPr>
        <w:tabs>
          <w:tab w:val="left" w:pos="0"/>
        </w:tabs>
        <w:spacing w:line="360" w:lineRule="auto"/>
        <w:ind w:right="-28"/>
        <w:jc w:val="both"/>
        <w:rPr>
          <w:rFonts w:ascii="Palatino Linotype" w:eastAsia="Palatino Linotype" w:hAnsi="Palatino Linotype" w:cs="Palatino Linotype"/>
        </w:rPr>
      </w:pPr>
    </w:p>
    <w:p w14:paraId="0FC92652" w14:textId="77777777" w:rsidR="00B2722B" w:rsidRPr="00E05D09" w:rsidRDefault="004425A1">
      <w:pPr>
        <w:numPr>
          <w:ilvl w:val="0"/>
          <w:numId w:val="1"/>
        </w:numPr>
        <w:tabs>
          <w:tab w:val="left" w:pos="0"/>
        </w:tabs>
        <w:spacing w:line="360" w:lineRule="auto"/>
        <w:ind w:left="0" w:right="49"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rPr>
        <w:t>Por su parte, en los artículos 343, 344 y 345 del Código Financiero del Estado de México y Municipios, se reconoce el sistema y las políticas que deben seguir para llevar el registro contable de efecto patrimonial y presupuestal de las operaciones financieras que llevan a cabo los Municipios del Estado de México en armonía con el Sistema de Coordinación Hacendaria del Estado y con las disposiciones que se aprueben en materia de planeación, programación, presupuestación, evaluación y contabilidad gubernamental</w:t>
      </w:r>
      <w:r w:rsidRPr="00E05D09">
        <w:rPr>
          <w:rFonts w:ascii="Palatino Linotype" w:eastAsia="Palatino Linotype" w:hAnsi="Palatino Linotype" w:cs="Palatino Linotype"/>
          <w:vertAlign w:val="superscript"/>
        </w:rPr>
        <w:footnoteReference w:id="9"/>
      </w:r>
      <w:r w:rsidRPr="00E05D09">
        <w:rPr>
          <w:rFonts w:ascii="Palatino Linotype" w:eastAsia="Palatino Linotype" w:hAnsi="Palatino Linotype" w:cs="Palatino Linotype"/>
        </w:rPr>
        <w:t>, en los siguientes términos:</w:t>
      </w:r>
    </w:p>
    <w:p w14:paraId="6ACF4930" w14:textId="77777777" w:rsidR="00B2722B" w:rsidRPr="00E05D09" w:rsidRDefault="004425A1">
      <w:pPr>
        <w:ind w:left="708"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Artículo 343.-</w:t>
      </w:r>
      <w:r w:rsidRPr="00E05D09">
        <w:rPr>
          <w:rFonts w:ascii="Palatino Linotype" w:eastAsia="Palatino Linotype" w:hAnsi="Palatino Linotype" w:cs="Palatino Linotype"/>
          <w:i/>
          <w:iC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El sistema de contabilidad sobre base acumulativa total, se sustentará en las normas emitidas por el Consejo Nacional de Armonización Contable. </w:t>
      </w:r>
    </w:p>
    <w:p w14:paraId="2D37B2D2" w14:textId="77777777" w:rsidR="00B2722B" w:rsidRPr="00E05D09" w:rsidRDefault="00B2722B">
      <w:pPr>
        <w:ind w:left="708" w:right="539"/>
        <w:jc w:val="both"/>
        <w:rPr>
          <w:rFonts w:ascii="Palatino Linotype" w:eastAsia="Palatino Linotype" w:hAnsi="Palatino Linotype" w:cs="Palatino Linotype"/>
          <w:i/>
          <w:iCs/>
        </w:rPr>
      </w:pPr>
    </w:p>
    <w:p w14:paraId="4CD3E9D8" w14:textId="77777777" w:rsidR="00B2722B" w:rsidRPr="00E05D09" w:rsidRDefault="004425A1">
      <w:pPr>
        <w:ind w:left="708"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Artículo 344.-</w:t>
      </w:r>
      <w:r w:rsidRPr="00E05D09">
        <w:rPr>
          <w:rFonts w:ascii="Palatino Linotype" w:eastAsia="Palatino Linotype" w:hAnsi="Palatino Linotype" w:cs="Palatino Linotype"/>
          <w:i/>
          <w:iCs/>
        </w:rPr>
        <w:t xml:space="preserve"> Los Entes Públicos, a través de cualquiera de sus unidades administrativas, de acuerdo con su naturaleza jurídica y según corresponda, registrarán contablemente el </w:t>
      </w:r>
      <w:r w:rsidRPr="00E05D09">
        <w:rPr>
          <w:rFonts w:ascii="Palatino Linotype" w:eastAsia="Palatino Linotype" w:hAnsi="Palatino Linotype" w:cs="Palatino Linotype"/>
          <w:i/>
          <w:iCs/>
        </w:rPr>
        <w:lastRenderedPageBreak/>
        <w:t>efecto patrimonial y presupuestal de las operaciones financieras que realicen, en el momento en que ocurran, con base en el sistema y políticas de registro establecidas, en el caso de los Municipios, se hará por la Tesorería. Todo registro contable y presupuestal deberá estar soportado con los documentos de registro, justificativos y comprobatorios originales, en copias certificadas o en medios electrónicos, según corresponda, los que deberán permanecer en custodia y conservación de los Entes Públicos ejecutores del gasto, a través de las unidades administrativas correspondientes de conformidad con las disposiciones aplicables y a disposición de los Órganos de Fiscalización locales y federales, de acuerdo a su naturaleza, así como de los órganos internos de control; por un término de 6 años, contados a partir del ejercicio presupuestal siguiente al que corresponda. En el caso de los Municipios, dicha obligación corresponderá a la Tesorería. Tratándose de documentos de carácter histórico, se estará a lo dispuesto por la legislación de la materia.</w:t>
      </w:r>
    </w:p>
    <w:p w14:paraId="78BEEF36" w14:textId="77777777" w:rsidR="00B2722B" w:rsidRPr="00E05D09" w:rsidRDefault="00B2722B">
      <w:pPr>
        <w:ind w:left="708" w:right="539"/>
        <w:jc w:val="both"/>
        <w:rPr>
          <w:rFonts w:ascii="Palatino Linotype" w:eastAsia="Palatino Linotype" w:hAnsi="Palatino Linotype" w:cs="Palatino Linotype"/>
          <w:i/>
          <w:iCs/>
        </w:rPr>
      </w:pPr>
    </w:p>
    <w:p w14:paraId="4FEBF276" w14:textId="77777777" w:rsidR="00B2722B" w:rsidRPr="00E05D09" w:rsidRDefault="004425A1">
      <w:pPr>
        <w:ind w:left="708"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Artículo 345.-</w:t>
      </w:r>
      <w:r w:rsidRPr="00E05D09">
        <w:rPr>
          <w:rFonts w:ascii="Palatino Linotype" w:eastAsia="Palatino Linotype" w:hAnsi="Palatino Linotype" w:cs="Palatino Linotype"/>
          <w:i/>
          <w:iCs/>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registro contable. 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 El plazo señalado en este artículo empezará a contar a partir de la publicación en el Periódico Oficial, del decreto correspondiente.</w:t>
      </w:r>
    </w:p>
    <w:p w14:paraId="29C17ED9" w14:textId="77777777" w:rsidR="00B2722B" w:rsidRPr="00E05D09" w:rsidRDefault="00B2722B">
      <w:pPr>
        <w:ind w:left="708"/>
        <w:rPr>
          <w:rFonts w:ascii="Palatino Linotype" w:eastAsia="Palatino Linotype" w:hAnsi="Palatino Linotype" w:cs="Palatino Linotype"/>
        </w:rPr>
      </w:pPr>
    </w:p>
    <w:p w14:paraId="7F2C0679" w14:textId="77777777" w:rsidR="00B2722B" w:rsidRPr="00E05D09" w:rsidRDefault="004425A1">
      <w:pPr>
        <w:numPr>
          <w:ilvl w:val="0"/>
          <w:numId w:val="1"/>
        </w:numPr>
        <w:tabs>
          <w:tab w:val="left" w:pos="426"/>
        </w:tabs>
        <w:spacing w:line="360" w:lineRule="auto"/>
        <w:ind w:left="0" w:right="49"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rPr>
        <w:t>De una interpretación sistemática de los artículos transcritos, se desprende primeramente que el sistema de contabilidad debe diseñarse de tal forma que facilite la fiscalización de los pasivos, activos, ingresos y egresos en general para que se pueda medir la eficacia del gasto público, es decir que se pueda tener un control de los recursos que permita la vigilancia de los mismos y medir su grado de efectividad en su aplicación.</w:t>
      </w:r>
    </w:p>
    <w:p w14:paraId="57014046" w14:textId="77777777" w:rsidR="00B2722B" w:rsidRPr="00E05D09" w:rsidRDefault="00B2722B">
      <w:pPr>
        <w:spacing w:line="360" w:lineRule="auto"/>
        <w:ind w:right="-28"/>
        <w:jc w:val="both"/>
        <w:rPr>
          <w:rFonts w:ascii="Palatino Linotype" w:eastAsia="Palatino Linotype" w:hAnsi="Palatino Linotype" w:cs="Palatino Linotype"/>
        </w:rPr>
      </w:pPr>
    </w:p>
    <w:p w14:paraId="660BA20E" w14:textId="77777777" w:rsidR="00B2722B" w:rsidRPr="00E05D09" w:rsidRDefault="004425A1">
      <w:pPr>
        <w:numPr>
          <w:ilvl w:val="0"/>
          <w:numId w:val="1"/>
        </w:numPr>
        <w:tabs>
          <w:tab w:val="left" w:pos="426"/>
        </w:tabs>
        <w:spacing w:line="360" w:lineRule="auto"/>
        <w:ind w:left="0" w:right="49"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rPr>
        <w:lastRenderedPageBreak/>
        <w:t xml:space="preserve">Para ello, las dependencias, entidades y unidades administrativas deberán registrar todas las operaciones financieras que realicen en el momento que ocurran, que para el caso del </w:t>
      </w:r>
      <w:r w:rsidRPr="00E05D09">
        <w:rPr>
          <w:rFonts w:ascii="Palatino Linotype" w:eastAsia="Palatino Linotype" w:hAnsi="Palatino Linotype" w:cs="Palatino Linotype"/>
          <w:b/>
          <w:bCs/>
        </w:rPr>
        <w:t>SUJETO OBLIGADO</w:t>
      </w:r>
      <w:r w:rsidRPr="00E05D09">
        <w:rPr>
          <w:rFonts w:ascii="Palatino Linotype" w:eastAsia="Palatino Linotype" w:hAnsi="Palatino Linotype" w:cs="Palatino Linotype"/>
        </w:rPr>
        <w:t xml:space="preserve"> será a través del su Tesorería, documentación que se deberá de conservar del año en curso y la de los ejercicios anteriores cuyas cuentas públicas ya hayan sido revisadas y fiscalizadas.</w:t>
      </w:r>
    </w:p>
    <w:p w14:paraId="6754F11D" w14:textId="77777777" w:rsidR="00B2722B" w:rsidRPr="00E05D09" w:rsidRDefault="00B2722B">
      <w:pPr>
        <w:ind w:left="708"/>
        <w:rPr>
          <w:rFonts w:ascii="Palatino Linotype" w:eastAsia="Palatino Linotype" w:hAnsi="Palatino Linotype" w:cs="Palatino Linotype"/>
          <w:color w:val="000000"/>
        </w:rPr>
      </w:pPr>
    </w:p>
    <w:p w14:paraId="40B2D34E" w14:textId="77777777" w:rsidR="00B2722B" w:rsidRPr="00E05D09" w:rsidRDefault="004425A1">
      <w:pPr>
        <w:numPr>
          <w:ilvl w:val="0"/>
          <w:numId w:val="1"/>
        </w:numPr>
        <w:tabs>
          <w:tab w:val="left" w:pos="0"/>
        </w:tabs>
        <w:spacing w:line="360" w:lineRule="auto"/>
        <w:ind w:left="0" w:right="49"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rPr>
        <w:t>Al respecto, si bien es cierto que el Código Financiero del Estado de México y Municipios crea la obligación de los Municipios para llevar los registros contables y presupuestales, también lo es que dicho ordenamiento jurídico no establece lo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5740B62A" w14:textId="77777777" w:rsidR="00B2722B" w:rsidRPr="00E05D09" w:rsidRDefault="004425A1">
      <w:pPr>
        <w:spacing w:after="120"/>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w:t>
      </w:r>
      <w:r w:rsidRPr="00E05D09">
        <w:rPr>
          <w:rFonts w:ascii="Palatino Linotype" w:eastAsia="Palatino Linotype" w:hAnsi="Palatino Linotype" w:cs="Palatino Linotype"/>
          <w:b/>
          <w:bCs/>
          <w:i/>
          <w:iCs/>
        </w:rPr>
        <w:t>REGISTRO CONTABLE</w:t>
      </w:r>
      <w:r w:rsidRPr="00E05D09">
        <w:rPr>
          <w:rFonts w:ascii="Palatino Linotype" w:eastAsia="Palatino Linotype" w:hAnsi="Palatino Linotype" w:cs="Palatino Linotype"/>
          <w:i/>
          <w:iCs/>
        </w:rPr>
        <w:t xml:space="preserve"> </w:t>
      </w:r>
    </w:p>
    <w:p w14:paraId="68994E69" w14:textId="77777777" w:rsidR="00B2722B" w:rsidRPr="00E05D09" w:rsidRDefault="004425A1">
      <w:pPr>
        <w:spacing w:after="120"/>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Asiento que se realiza en los libros de contabilidad de las actividades relacionadas con el ingreso y egresos de un ente económico. </w:t>
      </w:r>
    </w:p>
    <w:p w14:paraId="5C61F439" w14:textId="77777777" w:rsidR="00B2722B" w:rsidRPr="00E05D09" w:rsidRDefault="00B2722B">
      <w:pPr>
        <w:spacing w:after="120"/>
        <w:ind w:left="567" w:right="616"/>
        <w:jc w:val="both"/>
        <w:rPr>
          <w:rFonts w:ascii="Palatino Linotype" w:eastAsia="Palatino Linotype" w:hAnsi="Palatino Linotype" w:cs="Palatino Linotype"/>
          <w:i/>
          <w:iCs/>
        </w:rPr>
      </w:pPr>
    </w:p>
    <w:p w14:paraId="34E325FE" w14:textId="77777777" w:rsidR="00B2722B" w:rsidRPr="00E05D09" w:rsidRDefault="004425A1">
      <w:pPr>
        <w:spacing w:after="120"/>
        <w:ind w:left="567" w:right="616"/>
        <w:jc w:val="both"/>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t>REGISTRO PRESUPUESTARIO</w:t>
      </w:r>
    </w:p>
    <w:p w14:paraId="093561B6" w14:textId="77777777" w:rsidR="00B2722B" w:rsidRPr="00E05D09" w:rsidRDefault="004425A1">
      <w:pPr>
        <w:spacing w:after="120"/>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Asiento contable de las erogaciones realizadas por las dependencias y entidades con relación a la asignación, modificación y ejercicio de los recursos presupuestarios que se les hayan autorizado."</w:t>
      </w:r>
    </w:p>
    <w:p w14:paraId="5FF22DD3" w14:textId="77777777" w:rsidR="00B2722B" w:rsidRPr="00E05D09" w:rsidRDefault="00B2722B">
      <w:pPr>
        <w:ind w:left="708"/>
        <w:rPr>
          <w:rFonts w:ascii="Palatino Linotype" w:eastAsia="Palatino Linotype" w:hAnsi="Palatino Linotype" w:cs="Palatino Linotype"/>
        </w:rPr>
      </w:pPr>
    </w:p>
    <w:p w14:paraId="68D4E605" w14:textId="77777777" w:rsidR="00B2722B" w:rsidRPr="00E05D09" w:rsidRDefault="004425A1">
      <w:pPr>
        <w:numPr>
          <w:ilvl w:val="0"/>
          <w:numId w:val="1"/>
        </w:numPr>
        <w:tabs>
          <w:tab w:val="left" w:pos="426"/>
        </w:tabs>
        <w:spacing w:line="360" w:lineRule="auto"/>
        <w:ind w:left="0" w:right="49"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lastRenderedPageBreak/>
        <w:t xml:space="preserve">Por </w:t>
      </w:r>
      <w:r w:rsidRPr="00E05D09">
        <w:rPr>
          <w:rFonts w:ascii="Palatino Linotype" w:eastAsia="Palatino Linotype" w:hAnsi="Palatino Linotype" w:cs="Palatino Linotype"/>
        </w:rPr>
        <w:t>otro lado, el Órgano Superior de Fiscalización del Estado de México, emite anualmente los Lineamientos para definir los criterios, formatos y documentación necesaria para presentar los informes trimestrales, donde se detalla la información que deberán entregarse al OSFEM.</w:t>
      </w:r>
    </w:p>
    <w:p w14:paraId="4A893D02" w14:textId="77777777" w:rsidR="00B2722B" w:rsidRPr="00E05D09" w:rsidRDefault="00B2722B">
      <w:pPr>
        <w:tabs>
          <w:tab w:val="left" w:pos="426"/>
        </w:tabs>
        <w:spacing w:line="360" w:lineRule="auto"/>
        <w:ind w:right="49"/>
        <w:jc w:val="both"/>
        <w:rPr>
          <w:rFonts w:ascii="Palatino Linotype" w:eastAsia="Palatino Linotype" w:hAnsi="Palatino Linotype" w:cs="Palatino Linotype"/>
          <w:color w:val="000000"/>
        </w:rPr>
      </w:pPr>
    </w:p>
    <w:p w14:paraId="0DF664D9" w14:textId="77777777" w:rsidR="00B2722B" w:rsidRPr="00E05D09" w:rsidRDefault="004425A1">
      <w:pPr>
        <w:numPr>
          <w:ilvl w:val="0"/>
          <w:numId w:val="1"/>
        </w:numPr>
        <w:tabs>
          <w:tab w:val="left" w:pos="426"/>
        </w:tabs>
        <w:spacing w:line="360" w:lineRule="auto"/>
        <w:ind w:left="0" w:right="49"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Dichos </w:t>
      </w:r>
      <w:r w:rsidRPr="00E05D09">
        <w:rPr>
          <w:rFonts w:ascii="Palatino Linotype" w:eastAsia="Palatino Linotype" w:hAnsi="Palatino Linotype" w:cs="Palatino Linotype"/>
        </w:rPr>
        <w:t>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2D438BAC"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 xml:space="preserve">Artículo 32. </w:t>
      </w:r>
      <w:r w:rsidRPr="00E05D09">
        <w:rPr>
          <w:rFonts w:ascii="Palatino Linotype" w:eastAsia="Palatino Linotype" w:hAnsi="Palatino Linotype" w:cs="Palatino Linotype"/>
          <w:i/>
          <w:iCs/>
        </w:rPr>
        <w:t xml:space="preserve">Las cuentas públicas estatal y municipales, deberán presentarse conforme a lo establecido en la Ley General de Contabilidad Gubernamental, en la Ley de Disciplina Financiera de las Entidades Federativas y los Municipios, en el Código Financiero del Estado de México y Municipios, el Manual Único de Contabilidad Gubernamental para las Dependencias y Entidades Públicas del Gobierno y Municipios del Estado de México, y demás disposiciones aplicables. </w:t>
      </w:r>
    </w:p>
    <w:p w14:paraId="13520B05" w14:textId="77777777" w:rsidR="00B2722B" w:rsidRPr="00E05D09" w:rsidRDefault="00B2722B">
      <w:pPr>
        <w:ind w:left="567" w:right="539"/>
        <w:jc w:val="both"/>
        <w:rPr>
          <w:rFonts w:ascii="Palatino Linotype" w:eastAsia="Palatino Linotype" w:hAnsi="Palatino Linotype" w:cs="Palatino Linotype"/>
          <w:i/>
          <w:iCs/>
        </w:rPr>
      </w:pPr>
    </w:p>
    <w:p w14:paraId="4D7D87DF"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El Gobernador del Estado, por conducto del titular de la dependencia competente, presentará a la Legislatura la cuenta pública del Gobierno del Estado del ejercicio fiscal inmediato anterior, a más tardar el treinta de abril de cada año. </w:t>
      </w:r>
    </w:p>
    <w:p w14:paraId="63D253AC" w14:textId="77777777" w:rsidR="00B2722B" w:rsidRPr="00E05D09" w:rsidRDefault="00B2722B">
      <w:pPr>
        <w:ind w:left="567" w:right="539"/>
        <w:jc w:val="both"/>
        <w:rPr>
          <w:rFonts w:ascii="Palatino Linotype" w:eastAsia="Palatino Linotype" w:hAnsi="Palatino Linotype" w:cs="Palatino Linotype"/>
          <w:i/>
          <w:iCs/>
        </w:rPr>
      </w:pPr>
    </w:p>
    <w:p w14:paraId="16E0C946" w14:textId="77777777" w:rsidR="00B2722B" w:rsidRPr="00E05D09" w:rsidRDefault="004425A1">
      <w:pPr>
        <w:ind w:left="567" w:right="539"/>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rPr>
        <w:t>Los presidentes municipales presentarán a la Legislatura las cuentas públicas de sus respectivos municipios, del ejercicio fiscal inmediato anterior, dentro de los quince primeros días del mes de marzo de cada año. Si el día del vencimiento de los plazos señalados, corresponde a un día inhábil, se podrá presentar al día hábil inmediato siguiente.</w:t>
      </w:r>
    </w:p>
    <w:p w14:paraId="48964976" w14:textId="77777777" w:rsidR="00B2722B" w:rsidRPr="00E05D09" w:rsidRDefault="00B2722B">
      <w:pPr>
        <w:ind w:left="708"/>
        <w:rPr>
          <w:rFonts w:ascii="Palatino Linotype" w:eastAsia="Palatino Linotype" w:hAnsi="Palatino Linotype" w:cs="Palatino Linotype"/>
          <w:color w:val="000000"/>
        </w:rPr>
      </w:pPr>
    </w:p>
    <w:p w14:paraId="488D1533" w14:textId="77777777" w:rsidR="00B2722B" w:rsidRPr="00E05D09" w:rsidRDefault="004425A1">
      <w:pPr>
        <w:numPr>
          <w:ilvl w:val="0"/>
          <w:numId w:val="1"/>
        </w:numPr>
        <w:tabs>
          <w:tab w:val="left" w:pos="0"/>
        </w:tabs>
        <w:spacing w:line="360" w:lineRule="auto"/>
        <w:ind w:left="0" w:right="49" w:firstLine="0"/>
        <w:jc w:val="both"/>
        <w:rPr>
          <w:rFonts w:ascii="Palatino Linotype" w:eastAsia="Palatino Linotype" w:hAnsi="Palatino Linotype" w:cs="Palatino Linotype"/>
          <w:b/>
          <w:bCs/>
          <w:color w:val="000000"/>
          <w:u w:val="single"/>
        </w:rPr>
      </w:pPr>
      <w:r w:rsidRPr="00E05D09">
        <w:rPr>
          <w:rFonts w:ascii="Palatino Linotype" w:eastAsia="Palatino Linotype" w:hAnsi="Palatino Linotype" w:cs="Palatino Linotype"/>
        </w:rPr>
        <w:t xml:space="preserve">Por lo anterior, se aprecia que la información documental comprobatoria, deberá conservarse en los archivos de la entidad fiscalizada –Municipio-, en original y debidamente integrada en términos de los lineamientos de referencia, pues son susceptibles de revisión </w:t>
      </w:r>
      <w:r w:rsidRPr="00E05D09">
        <w:rPr>
          <w:rFonts w:ascii="Palatino Linotype" w:eastAsia="Palatino Linotype" w:hAnsi="Palatino Linotype" w:cs="Palatino Linotype"/>
        </w:rPr>
        <w:lastRenderedPageBreak/>
        <w:t xml:space="preserve">directa por el Órgano Superior de Fiscalización del Estado, que si bien es cierto los informes se entregan cada trimestre, también lo es que esta información se debe ir recabando por el </w:t>
      </w:r>
      <w:r w:rsidRPr="00E05D09">
        <w:rPr>
          <w:rFonts w:ascii="Palatino Linotype" w:eastAsia="Palatino Linotype" w:hAnsi="Palatino Linotype" w:cs="Palatino Linotype"/>
          <w:b/>
          <w:bCs/>
        </w:rPr>
        <w:t xml:space="preserve">SUJETO OBLIGADO, </w:t>
      </w:r>
      <w:r w:rsidRPr="00E05D09">
        <w:rPr>
          <w:rFonts w:ascii="Palatino Linotype" w:eastAsia="Palatino Linotype" w:hAnsi="Palatino Linotype" w:cs="Palatino Linotype"/>
        </w:rPr>
        <w:t>a fin de presentar el informe en tiempo y forma.</w:t>
      </w:r>
    </w:p>
    <w:p w14:paraId="67731D7E" w14:textId="77777777" w:rsidR="00B2722B" w:rsidRPr="00E05D09" w:rsidRDefault="00B2722B">
      <w:pPr>
        <w:tabs>
          <w:tab w:val="left" w:pos="0"/>
        </w:tabs>
        <w:spacing w:line="360" w:lineRule="auto"/>
        <w:ind w:right="49"/>
        <w:jc w:val="both"/>
        <w:rPr>
          <w:rFonts w:ascii="Palatino Linotype" w:eastAsia="Palatino Linotype" w:hAnsi="Palatino Linotype" w:cs="Palatino Linotype"/>
          <w:b/>
          <w:bCs/>
          <w:color w:val="000000"/>
          <w:u w:val="single"/>
        </w:rPr>
      </w:pPr>
    </w:p>
    <w:p w14:paraId="463F4E0E" w14:textId="77777777" w:rsidR="00B2722B" w:rsidRPr="00E05D09" w:rsidRDefault="004425A1">
      <w:pPr>
        <w:numPr>
          <w:ilvl w:val="0"/>
          <w:numId w:val="1"/>
        </w:numPr>
        <w:spacing w:line="360" w:lineRule="auto"/>
        <w:ind w:left="0" w:right="-28"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Así, el Manual para la Planeación, Programación y Presupuesto de Egresos Municipal, establece que el Presupuesto es la estimación financiera anticipada de los ingresos y egresos del gobierno, necesarios para cumplir con los objetivos establecidos; además, que el mismo involucra planes, políticas, programas, proyectos, estrategias y objetivos del municipio.</w:t>
      </w:r>
    </w:p>
    <w:p w14:paraId="05A23C6A" w14:textId="77777777" w:rsidR="00B2722B" w:rsidRPr="00E05D09" w:rsidRDefault="00B2722B">
      <w:pPr>
        <w:ind w:left="708"/>
        <w:jc w:val="both"/>
        <w:rPr>
          <w:rFonts w:ascii="Palatino Linotype" w:eastAsia="Palatino Linotype" w:hAnsi="Palatino Linotype" w:cs="Palatino Linotype"/>
        </w:rPr>
      </w:pPr>
    </w:p>
    <w:p w14:paraId="3BF4735E" w14:textId="77777777" w:rsidR="00B2722B" w:rsidRPr="00E05D09" w:rsidRDefault="004425A1">
      <w:pPr>
        <w:numPr>
          <w:ilvl w:val="0"/>
          <w:numId w:val="1"/>
        </w:numPr>
        <w:spacing w:line="360" w:lineRule="auto"/>
        <w:ind w:left="0" w:right="-28"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Asimismo, el Glosario de Términos, de dichos Manuales, establecen que el presupuesto es la estimación financiera anticipada de los egresos e ingresos del gobierno, necesario para cumplir con los propósitos de un programa determinado; por otra parte, establece lo siguiente:</w:t>
      </w:r>
    </w:p>
    <w:p w14:paraId="4BE07E5E" w14:textId="77777777" w:rsidR="00B2722B" w:rsidRPr="00E05D09" w:rsidRDefault="004425A1">
      <w:pPr>
        <w:numPr>
          <w:ilvl w:val="0"/>
          <w:numId w:val="8"/>
        </w:numPr>
        <w:pBdr>
          <w:top w:val="nil"/>
          <w:left w:val="nil"/>
          <w:bottom w:val="nil"/>
          <w:right w:val="nil"/>
          <w:between w:val="nil"/>
        </w:pBdr>
        <w:spacing w:line="360" w:lineRule="auto"/>
        <w:ind w:left="851" w:right="822"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b/>
          <w:bCs/>
          <w:color w:val="000000"/>
        </w:rPr>
        <w:t xml:space="preserve">Presupuesto Autorizado: </w:t>
      </w:r>
      <w:r w:rsidRPr="00E05D09">
        <w:rPr>
          <w:rFonts w:ascii="Palatino Linotype" w:eastAsia="Palatino Linotype" w:hAnsi="Palatino Linotype" w:cs="Palatino Linotype"/>
          <w:color w:val="000000"/>
        </w:rPr>
        <w:t>Es el monto de recursos que se autoriza ejercer en un ejercicio fiscal, a través del Decreto del Presupuesto de Egresos.</w:t>
      </w:r>
    </w:p>
    <w:p w14:paraId="4587DF0A" w14:textId="77777777" w:rsidR="00B2722B" w:rsidRPr="00E05D09" w:rsidRDefault="004425A1">
      <w:pPr>
        <w:numPr>
          <w:ilvl w:val="0"/>
          <w:numId w:val="8"/>
        </w:numPr>
        <w:pBdr>
          <w:top w:val="nil"/>
          <w:left w:val="nil"/>
          <w:bottom w:val="nil"/>
          <w:right w:val="nil"/>
          <w:between w:val="nil"/>
        </w:pBdr>
        <w:spacing w:line="360" w:lineRule="auto"/>
        <w:ind w:left="851" w:right="822"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 </w:t>
      </w:r>
      <w:r w:rsidRPr="00E05D09">
        <w:rPr>
          <w:rFonts w:ascii="Palatino Linotype" w:eastAsia="Palatino Linotype" w:hAnsi="Palatino Linotype" w:cs="Palatino Linotype"/>
          <w:b/>
          <w:bCs/>
          <w:color w:val="000000"/>
        </w:rPr>
        <w:t>Presupuesto Ejercido</w:t>
      </w:r>
      <w:r w:rsidRPr="00E05D09">
        <w:rPr>
          <w:rFonts w:ascii="Palatino Linotype" w:eastAsia="Palatino Linotype" w:hAnsi="Palatino Linotype" w:cs="Palatino Linotype"/>
          <w:color w:val="000000"/>
        </w:rPr>
        <w:t>: Es el importe de erogaciones realizadas, respaldadas por los documentos comprobatorios presentados a la dependencia una vez autorizadas para su pago, con cargo al presupuesto autorizado.</w:t>
      </w:r>
    </w:p>
    <w:p w14:paraId="08845DAD" w14:textId="77777777" w:rsidR="00B2722B" w:rsidRPr="00E05D09" w:rsidRDefault="00B2722B">
      <w:pPr>
        <w:tabs>
          <w:tab w:val="left" w:pos="4962"/>
        </w:tabs>
        <w:spacing w:line="360" w:lineRule="auto"/>
        <w:jc w:val="both"/>
        <w:rPr>
          <w:rFonts w:ascii="Palatino Linotype" w:eastAsia="Palatino Linotype" w:hAnsi="Palatino Linotype" w:cs="Palatino Linotype"/>
        </w:rPr>
      </w:pPr>
    </w:p>
    <w:p w14:paraId="590A5D8F" w14:textId="77777777" w:rsidR="00B2722B" w:rsidRPr="00E05D09" w:rsidRDefault="004425A1">
      <w:pPr>
        <w:numPr>
          <w:ilvl w:val="0"/>
          <w:numId w:val="1"/>
        </w:numPr>
        <w:spacing w:line="360" w:lineRule="auto"/>
        <w:ind w:left="0" w:right="113"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Además, los Manuales citados, contienen el Clasificador por Objeto del Gasto Estatal y Municipal, la cual establece la estructura del Clasificador por Objeto del Gasto, que se conforma de la siguiente manera:</w:t>
      </w:r>
    </w:p>
    <w:p w14:paraId="7DB41B20" w14:textId="77777777" w:rsidR="00B2722B" w:rsidRPr="00E05D09" w:rsidRDefault="00B2722B">
      <w:pPr>
        <w:spacing w:line="360" w:lineRule="auto"/>
        <w:ind w:right="-93"/>
        <w:jc w:val="both"/>
        <w:rPr>
          <w:rFonts w:ascii="Palatino Linotype" w:eastAsia="Palatino Linotype" w:hAnsi="Palatino Linotype" w:cs="Palatino Linotype"/>
        </w:rPr>
      </w:pPr>
    </w:p>
    <w:p w14:paraId="01819536" w14:textId="77777777" w:rsidR="00B2722B" w:rsidRPr="00E05D09" w:rsidRDefault="004425A1">
      <w:pPr>
        <w:numPr>
          <w:ilvl w:val="0"/>
          <w:numId w:val="9"/>
        </w:numPr>
        <w:pBdr>
          <w:top w:val="nil"/>
          <w:left w:val="nil"/>
          <w:bottom w:val="nil"/>
          <w:right w:val="nil"/>
          <w:between w:val="nil"/>
        </w:pBdr>
        <w:spacing w:line="360" w:lineRule="auto"/>
        <w:ind w:left="851" w:right="822" w:hanging="10"/>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lastRenderedPageBreak/>
        <w:t xml:space="preserve">Capítulo: </w:t>
      </w:r>
      <w:r w:rsidRPr="00E05D09">
        <w:rPr>
          <w:rFonts w:ascii="Palatino Linotype" w:eastAsia="Palatino Linotype" w:hAnsi="Palatino Linotype" w:cs="Palatino Linotype"/>
          <w:color w:val="000000"/>
        </w:rPr>
        <w:t>Es el mayor nivel de agregación que identifica el conjunto homogéneo y ordenado de los bienes y servicios requeridos por los entes públicos, es el primer dígito de la codificación;</w:t>
      </w:r>
    </w:p>
    <w:p w14:paraId="0D709B88" w14:textId="77777777" w:rsidR="00B2722B" w:rsidRPr="00E05D09" w:rsidRDefault="004425A1">
      <w:pPr>
        <w:numPr>
          <w:ilvl w:val="0"/>
          <w:numId w:val="9"/>
        </w:numPr>
        <w:pBdr>
          <w:top w:val="nil"/>
          <w:left w:val="nil"/>
          <w:bottom w:val="nil"/>
          <w:right w:val="nil"/>
          <w:between w:val="nil"/>
        </w:pBdr>
        <w:spacing w:line="360" w:lineRule="auto"/>
        <w:ind w:left="851" w:right="822" w:hanging="10"/>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Concepto (Subcapítulo): </w:t>
      </w:r>
      <w:r w:rsidRPr="00E05D09">
        <w:rPr>
          <w:rFonts w:ascii="Palatino Linotype" w:eastAsia="Palatino Linotype" w:hAnsi="Palatino Linotype" w:cs="Palatino Linotype"/>
          <w:color w:val="000000"/>
        </w:rPr>
        <w:t>Son los subconjuntos homogéneos y ordenados en forma específica, producto de la desagregación de los bienes y servicios, incluidos en cada capítulo, por lo que, es el segundo dígito de la estructura, y</w:t>
      </w:r>
    </w:p>
    <w:p w14:paraId="3587B551" w14:textId="77777777" w:rsidR="00B2722B" w:rsidRPr="00E05D09" w:rsidRDefault="004425A1">
      <w:pPr>
        <w:numPr>
          <w:ilvl w:val="0"/>
          <w:numId w:val="9"/>
        </w:numPr>
        <w:pBdr>
          <w:top w:val="nil"/>
          <w:left w:val="nil"/>
          <w:bottom w:val="nil"/>
          <w:right w:val="nil"/>
          <w:between w:val="nil"/>
        </w:pBdr>
        <w:spacing w:line="360" w:lineRule="auto"/>
        <w:ind w:left="851" w:right="822" w:hanging="1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b/>
          <w:bCs/>
          <w:color w:val="000000"/>
        </w:rPr>
        <w:t xml:space="preserve">Partida: </w:t>
      </w:r>
      <w:r w:rsidRPr="00E05D09">
        <w:rPr>
          <w:rFonts w:ascii="Palatino Linotype" w:eastAsia="Palatino Linotype" w:hAnsi="Palatino Linotype" w:cs="Palatino Linotype"/>
          <w:color w:val="000000"/>
        </w:rPr>
        <w:t>Corresponde al nivel de agregación más específico en el cual se describen las expresiones concretas y detalladas de los bienes y servicios que se adquieren, el cual se subdivide en:</w:t>
      </w:r>
    </w:p>
    <w:p w14:paraId="68F30A63" w14:textId="77777777" w:rsidR="00B2722B" w:rsidRPr="00E05D09" w:rsidRDefault="004425A1">
      <w:pPr>
        <w:numPr>
          <w:ilvl w:val="0"/>
          <w:numId w:val="10"/>
        </w:numPr>
        <w:pBdr>
          <w:top w:val="nil"/>
          <w:left w:val="nil"/>
          <w:bottom w:val="nil"/>
          <w:right w:val="nil"/>
          <w:between w:val="nil"/>
        </w:pBdr>
        <w:spacing w:line="360" w:lineRule="auto"/>
        <w:ind w:left="851" w:right="822" w:hanging="10"/>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Genérica: </w:t>
      </w:r>
      <w:r w:rsidRPr="00E05D09">
        <w:rPr>
          <w:rFonts w:ascii="Palatino Linotype" w:eastAsia="Palatino Linotype" w:hAnsi="Palatino Linotype" w:cs="Palatino Linotype"/>
          <w:color w:val="000000"/>
        </w:rPr>
        <w:t>Se refiere al tercer dígito, el cual busca la armonización de todos los niveles de gobierno, y</w:t>
      </w:r>
    </w:p>
    <w:p w14:paraId="5CCAAD99" w14:textId="77777777" w:rsidR="00B2722B" w:rsidRDefault="004425A1">
      <w:pPr>
        <w:numPr>
          <w:ilvl w:val="0"/>
          <w:numId w:val="10"/>
        </w:numPr>
        <w:pBdr>
          <w:top w:val="nil"/>
          <w:left w:val="nil"/>
          <w:bottom w:val="nil"/>
          <w:right w:val="nil"/>
          <w:between w:val="nil"/>
        </w:pBdr>
        <w:spacing w:line="360" w:lineRule="auto"/>
        <w:ind w:left="851" w:right="822" w:hanging="1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b/>
          <w:bCs/>
          <w:color w:val="000000"/>
        </w:rPr>
        <w:t xml:space="preserve">Específica: </w:t>
      </w:r>
      <w:r w:rsidRPr="00E05D09">
        <w:rPr>
          <w:rFonts w:ascii="Palatino Linotype" w:eastAsia="Palatino Linotype" w:hAnsi="Palatino Linotype" w:cs="Palatino Linotype"/>
          <w:color w:val="000000"/>
        </w:rPr>
        <w:t>Es el cuarto digito, mismo que permite a las unidades administrativas, generar su apertura, conservando la estructura básica, con el fin de mantener la armonización contable.</w:t>
      </w:r>
    </w:p>
    <w:p w14:paraId="10751F3F" w14:textId="77777777" w:rsidR="00E05D09" w:rsidRPr="00E05D09" w:rsidRDefault="00E05D09" w:rsidP="00E05D09">
      <w:pPr>
        <w:pBdr>
          <w:top w:val="nil"/>
          <w:left w:val="nil"/>
          <w:bottom w:val="nil"/>
          <w:right w:val="nil"/>
          <w:between w:val="nil"/>
        </w:pBdr>
        <w:spacing w:line="360" w:lineRule="auto"/>
        <w:ind w:left="851" w:right="822"/>
        <w:jc w:val="both"/>
        <w:rPr>
          <w:rFonts w:ascii="Palatino Linotype" w:eastAsia="Palatino Linotype" w:hAnsi="Palatino Linotype" w:cs="Palatino Linotype"/>
          <w:color w:val="000000"/>
        </w:rPr>
      </w:pPr>
    </w:p>
    <w:p w14:paraId="6672BE2A" w14:textId="77777777" w:rsidR="00B2722B" w:rsidRPr="00E05D09" w:rsidRDefault="004425A1">
      <w:pPr>
        <w:numPr>
          <w:ilvl w:val="0"/>
          <w:numId w:val="1"/>
        </w:numPr>
        <w:spacing w:line="360" w:lineRule="auto"/>
        <w:ind w:left="0"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Ahora bien, resulta necesario señalar que de conformidad con el artículo 293 del Código Financiero del Estado de México, los capítulos de gasto se dividirán en concepto, partida genérica y partida específica, que representarán las autorizaciones específicas del presupuesto, las cuales se encuentran contenidas en el clasificador por objeto de gasto que debe emitir la Tesorería, mismo que debe guardar congruencia con el clasificador que emita el Consejo Nacional de Armonización Contable y el Consejo de Armonización Contable del Estado de México, a saber:</w:t>
      </w:r>
    </w:p>
    <w:p w14:paraId="5AF64D90" w14:textId="77777777" w:rsidR="00B2722B" w:rsidRPr="00E05D09" w:rsidRDefault="004425A1">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w:t>
      </w:r>
      <w:r w:rsidRPr="00E05D09">
        <w:rPr>
          <w:rFonts w:ascii="Palatino Linotype" w:eastAsia="Palatino Linotype" w:hAnsi="Palatino Linotype" w:cs="Palatino Linotype"/>
          <w:b/>
          <w:bCs/>
          <w:i/>
          <w:iCs/>
        </w:rPr>
        <w:t>Artículo 293.-</w:t>
      </w:r>
      <w:r w:rsidRPr="00E05D09">
        <w:rPr>
          <w:rFonts w:ascii="Palatino Linotype" w:eastAsia="Palatino Linotype" w:hAnsi="Palatino Linotype" w:cs="Palatino Linotype"/>
          <w:i/>
          <w:iCs/>
        </w:rPr>
        <w:t xml:space="preserve"> Los capítulos de gasto se dividirán en concepto, partida genérica y partida específica, que representarán las autorizaciones específicas del presupuesto, las cuales se </w:t>
      </w:r>
      <w:r w:rsidRPr="00E05D09">
        <w:rPr>
          <w:rFonts w:ascii="Palatino Linotype" w:eastAsia="Palatino Linotype" w:hAnsi="Palatino Linotype" w:cs="Palatino Linotype"/>
          <w:i/>
          <w:iCs/>
        </w:rPr>
        <w:lastRenderedPageBreak/>
        <w:t xml:space="preserve">encuentran contenidas en el clasificador por objeto de gasto que emita el Consejo Nacional de Armonización Contable y el Consejo de Armonización Contable del Estado de México. </w:t>
      </w:r>
    </w:p>
    <w:p w14:paraId="360A7444" w14:textId="77777777" w:rsidR="00B2722B" w:rsidRPr="00E05D09" w:rsidRDefault="00B2722B">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rPr>
      </w:pPr>
    </w:p>
    <w:p w14:paraId="4A1B1E35" w14:textId="77777777" w:rsidR="00B2722B" w:rsidRPr="00E05D09" w:rsidRDefault="004425A1">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En el caso de los municipios, corresponderá a su Tesorería emitir el Clasificador por Objeto del Gasto, el cual deberá guardar congruencia y homogeneidad con el señalado en el párrafo anterior.”</w:t>
      </w:r>
    </w:p>
    <w:p w14:paraId="0D62B85D"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rPr>
      </w:pPr>
    </w:p>
    <w:p w14:paraId="1F478AD9"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Con base en lo anterior el Clasificador por Objeto del Gasto, es el que se estableció en cumplimiento al artículo cuarto transitorio de la Ley General de Contabilidad Gubernamental, el Gobierno del Estado de México, ya que realiza las acciones pertinentes para armonizar los sistemas contables de las dependencias, los poderes Legislativo y Judicial; las entidades públicas, los Órganos Autónomos y los Municipios de la entidad, para que éstos cuenten con un catálogo de partidas presupuestarias que se alinean al Clasificador por Objeto del Gasto autorizado por el CONAC, en la reunión celebrada el 28 de mayo del 2010 y que fue publicado en Gaceta del Gobierno del estado de México No. 118 del 23 de junio de 2010.</w:t>
      </w:r>
    </w:p>
    <w:p w14:paraId="16A6701D"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rPr>
      </w:pPr>
    </w:p>
    <w:p w14:paraId="0A27D4BE"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Así, al ser un instrumento que permite la obtención de información para el análisis y seguimiento de la gestión financiera gubernamental, es considerado la clasificación operativa que permite conocer en qué se gasta, (base del registro de las transacciones económico – financieras) y a su vez permite cuantificar la demanda de bienes y servicios que realiza el Sector Público; teniendo como objetivos principales los siguientes:</w:t>
      </w:r>
    </w:p>
    <w:p w14:paraId="20D6E226" w14:textId="77777777" w:rsidR="00B2722B" w:rsidRPr="00E05D09" w:rsidRDefault="004425A1">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Ofrecer información valiosa de la demanda de bienes y servicios que realiza el Sector Público.</w:t>
      </w:r>
    </w:p>
    <w:p w14:paraId="6EAEA292" w14:textId="77777777" w:rsidR="00B2722B" w:rsidRPr="00E05D09" w:rsidRDefault="004425A1">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Permite identificar con claridad y transparencia los bienes y servicios que se adquieren, las transferencias que se realizan y las aplicaciones previstas en el presupuesto.</w:t>
      </w:r>
    </w:p>
    <w:p w14:paraId="3C9FA1EB" w14:textId="77777777" w:rsidR="00B2722B" w:rsidRPr="00E05D09" w:rsidRDefault="004425A1">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lastRenderedPageBreak/>
        <w:t>Facilitar la programación de las adquisiciones de bienes y servicios y otras acciones relacionadas con administración de bienes del Estado.</w:t>
      </w:r>
    </w:p>
    <w:p w14:paraId="531376FB" w14:textId="77777777" w:rsidR="00B2722B" w:rsidRPr="00E05D09" w:rsidRDefault="004425A1">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En el marco del sistema de cuentas gubernamentales, integradas e interrelacionadas, el Clasificador por Objeto del Gasto es uno de los principales elementos para obtener clasificaciones agregadas.</w:t>
      </w:r>
    </w:p>
    <w:p w14:paraId="2CC86762" w14:textId="77777777" w:rsidR="00B2722B" w:rsidRPr="00E05D09" w:rsidRDefault="004425A1">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Facilitar el ejercicio del control interno y externo de las transacciones de los entes públicos.</w:t>
      </w:r>
    </w:p>
    <w:p w14:paraId="1F32D92B" w14:textId="77777777" w:rsidR="00B2722B" w:rsidRPr="00E05D09" w:rsidRDefault="004425A1">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Promover el desarrollo y aplicación de los sistemas de programación y gestión del gasto público.</w:t>
      </w:r>
    </w:p>
    <w:p w14:paraId="7CC213CB" w14:textId="77777777" w:rsidR="00B2722B" w:rsidRPr="00E05D09" w:rsidRDefault="004425A1">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Permitir el análisis de los efectos del gasto público y la proyección del mismo.</w:t>
      </w:r>
    </w:p>
    <w:p w14:paraId="3C7E5665"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rPr>
      </w:pPr>
    </w:p>
    <w:p w14:paraId="55C54013"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Asimismo, cabe señalar que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 es de observancia obligatoria para las dependencias, entidades públicas y los Municipios, por lo que para la integración de la clave presupuestaria debe considerarse el Clasificador.</w:t>
      </w:r>
    </w:p>
    <w:p w14:paraId="0B37FB83"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rPr>
      </w:pPr>
    </w:p>
    <w:p w14:paraId="7DB88590"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lastRenderedPageBreak/>
        <w:t>Consecuentemente para identificar el gasto público por su naturaleza económica, durante el proceso de programación e integración del Anteproyecto de Presupuesto, así como para su ejercicio, las unidades ejecutoras deben establecer el vínculo, por capítulo, subcapítulo, partida de gasto genérica y partida de gasto específica, con el componente de la clave presupuestaria correspondiente.</w:t>
      </w:r>
    </w:p>
    <w:p w14:paraId="2AE8CF43"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rPr>
      </w:pPr>
    </w:p>
    <w:p w14:paraId="4064112F"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Para tal efecto, el Manual para la Planeación, Programación y Presupuesto de Egresos Municipal para el Ejercicio Fiscal, integra como anexo el “Clasificador por objeto del gasto”, el cual se constituye un elemento fundamental del sistema general de cuentas donde cada componente destaca aspectos concretos del presupuesto y suministra información que atiende a necesidades diferentes pero enlazadas, permitiendo el vínculo con la contabilidad, es decir, que se trata de un instrumento que permite la obtención de información para el análisis y seguimiento de la gestión financiera gubernamental, por lo cual permite conocer en qué se gasta y cuantificar la demanda de bienes o servicios.</w:t>
      </w:r>
    </w:p>
    <w:p w14:paraId="59F41BBA" w14:textId="77777777" w:rsidR="00B2722B" w:rsidRPr="00E05D09" w:rsidRDefault="00B2722B">
      <w:pPr>
        <w:ind w:left="708"/>
        <w:rPr>
          <w:rFonts w:ascii="Palatino Linotype" w:eastAsia="Palatino Linotype" w:hAnsi="Palatino Linotype" w:cs="Palatino Linotype"/>
        </w:rPr>
      </w:pPr>
    </w:p>
    <w:p w14:paraId="04D89EBE"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La estructura del Clasificador, según lo previsto en el anexo, fue diseñada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14:paraId="054E8F48"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rPr>
      </w:pPr>
    </w:p>
    <w:p w14:paraId="31DB6FBC" w14:textId="77777777" w:rsidR="00B2722B" w:rsidRPr="00E05D09" w:rsidRDefault="004425A1">
      <w:pPr>
        <w:pBdr>
          <w:top w:val="nil"/>
          <w:left w:val="nil"/>
          <w:bottom w:val="nil"/>
          <w:right w:val="nil"/>
          <w:between w:val="nil"/>
        </w:pBdr>
        <w:spacing w:line="360" w:lineRule="auto"/>
        <w:jc w:val="center"/>
        <w:rPr>
          <w:rFonts w:ascii="Palatino Linotype" w:eastAsia="Palatino Linotype" w:hAnsi="Palatino Linotype" w:cs="Palatino Linotype"/>
        </w:rPr>
      </w:pPr>
      <w:r w:rsidRPr="00E05D09">
        <w:rPr>
          <w:rFonts w:ascii="Palatino Linotype" w:eastAsia="Palatino Linotype" w:hAnsi="Palatino Linotype" w:cs="Palatino Linotype"/>
          <w:noProof/>
        </w:rPr>
        <w:lastRenderedPageBreak/>
        <w:drawing>
          <wp:inline distT="0" distB="0" distL="0" distR="0" wp14:anchorId="5A2A88CF" wp14:editId="2CCF53B4">
            <wp:extent cx="5324475" cy="962025"/>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324475" cy="962025"/>
                    </a:xfrm>
                    <a:prstGeom prst="rect">
                      <a:avLst/>
                    </a:prstGeom>
                    <a:ln/>
                  </pic:spPr>
                </pic:pic>
              </a:graphicData>
            </a:graphic>
          </wp:inline>
        </w:drawing>
      </w:r>
    </w:p>
    <w:p w14:paraId="4A5A4A13"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rPr>
      </w:pPr>
    </w:p>
    <w:p w14:paraId="04D89F63" w14:textId="77777777" w:rsidR="00B2722B" w:rsidRPr="00E05D09" w:rsidRDefault="004425A1">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Debiendo definir cada una de las partes que lo integran como sigue:</w:t>
      </w:r>
    </w:p>
    <w:p w14:paraId="64825887" w14:textId="783C7BBD" w:rsidR="00B2722B" w:rsidRPr="00E05D09" w:rsidRDefault="004425A1">
      <w:pPr>
        <w:pBdr>
          <w:top w:val="nil"/>
          <w:left w:val="nil"/>
          <w:bottom w:val="nil"/>
          <w:right w:val="nil"/>
          <w:between w:val="nil"/>
        </w:pBd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ab/>
      </w:r>
      <w:r w:rsidRPr="00E05D09">
        <w:rPr>
          <w:rFonts w:ascii="Palatino Linotype" w:eastAsia="Palatino Linotype" w:hAnsi="Palatino Linotype" w:cs="Palatino Linotype"/>
          <w:b/>
          <w:bCs/>
        </w:rPr>
        <w:t>Capítulo:</w:t>
      </w:r>
      <w:r w:rsidRPr="00E05D09">
        <w:rPr>
          <w:rFonts w:ascii="Palatino Linotype" w:eastAsia="Palatino Linotype" w:hAnsi="Palatino Linotype" w:cs="Palatino Linotype"/>
        </w:rPr>
        <w:t xml:space="preserve"> Es el mayor nivel de agregación que identifica el conjunto homogéneo y ordenado de los bienes y servicios requeridos por los entes públicos. </w:t>
      </w:r>
    </w:p>
    <w:p w14:paraId="778B101A" w14:textId="77777777" w:rsidR="00B2722B" w:rsidRPr="00E05D09" w:rsidRDefault="004425A1">
      <w:pPr>
        <w:pBdr>
          <w:top w:val="nil"/>
          <w:left w:val="nil"/>
          <w:bottom w:val="nil"/>
          <w:right w:val="nil"/>
          <w:between w:val="nil"/>
        </w:pBd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w:t>
      </w:r>
      <w:r w:rsidRPr="00E05D09">
        <w:rPr>
          <w:rFonts w:ascii="Palatino Linotype" w:eastAsia="Palatino Linotype" w:hAnsi="Palatino Linotype" w:cs="Palatino Linotype"/>
        </w:rPr>
        <w:tab/>
      </w:r>
      <w:r w:rsidRPr="00E05D09">
        <w:rPr>
          <w:rFonts w:ascii="Palatino Linotype" w:eastAsia="Palatino Linotype" w:hAnsi="Palatino Linotype" w:cs="Palatino Linotype"/>
          <w:b/>
          <w:bCs/>
        </w:rPr>
        <w:t>Concepto:</w:t>
      </w:r>
      <w:r w:rsidRPr="00E05D09">
        <w:rPr>
          <w:rFonts w:ascii="Palatino Linotype" w:eastAsia="Palatino Linotype" w:hAnsi="Palatino Linotype" w:cs="Palatino Linotype"/>
        </w:rPr>
        <w:t xml:space="preserve"> Son subconjuntos homogéneos y ordenados en forma específica, producto de la desagregación de los bienes y servicios, incluidos en cada capítulo. </w:t>
      </w:r>
    </w:p>
    <w:p w14:paraId="2CF5A637" w14:textId="77777777" w:rsidR="00B2722B" w:rsidRPr="00E05D09" w:rsidRDefault="004425A1">
      <w:pPr>
        <w:pBdr>
          <w:top w:val="nil"/>
          <w:left w:val="nil"/>
          <w:bottom w:val="nil"/>
          <w:right w:val="nil"/>
          <w:between w:val="nil"/>
        </w:pBd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w:t>
      </w:r>
      <w:r w:rsidRPr="00E05D09">
        <w:rPr>
          <w:rFonts w:ascii="Palatino Linotype" w:eastAsia="Palatino Linotype" w:hAnsi="Palatino Linotype" w:cs="Palatino Linotype"/>
        </w:rPr>
        <w:tab/>
      </w:r>
      <w:r w:rsidRPr="00E05D09">
        <w:rPr>
          <w:rFonts w:ascii="Palatino Linotype" w:eastAsia="Palatino Linotype" w:hAnsi="Palatino Linotype" w:cs="Palatino Linotype"/>
          <w:b/>
          <w:bCs/>
        </w:rPr>
        <w:t>Partida:</w:t>
      </w:r>
      <w:r w:rsidRPr="00E05D09">
        <w:rPr>
          <w:rFonts w:ascii="Palatino Linotype" w:eastAsia="Palatino Linotype" w:hAnsi="Palatino Linotype" w:cs="Palatino Linotype"/>
        </w:rPr>
        <w:t xml:space="preserve"> Es el nivel de agregación más específico en el cual se describen las expresiones concretas y detalladas de los bienes y servicios que se adquieren y se compone de: </w:t>
      </w:r>
    </w:p>
    <w:p w14:paraId="66F64DB1" w14:textId="77777777" w:rsidR="00B2722B" w:rsidRPr="00E05D09" w:rsidRDefault="004425A1">
      <w:pPr>
        <w:pBdr>
          <w:top w:val="nil"/>
          <w:left w:val="nil"/>
          <w:bottom w:val="nil"/>
          <w:right w:val="nil"/>
          <w:between w:val="nil"/>
        </w:pBdr>
        <w:spacing w:line="360" w:lineRule="auto"/>
        <w:ind w:firstLine="720"/>
        <w:jc w:val="both"/>
        <w:rPr>
          <w:rFonts w:ascii="Palatino Linotype" w:eastAsia="Palatino Linotype" w:hAnsi="Palatino Linotype" w:cs="Palatino Linotype"/>
        </w:rPr>
      </w:pPr>
      <w:r w:rsidRPr="00E05D09">
        <w:rPr>
          <w:rFonts w:ascii="Palatino Linotype" w:eastAsia="Palatino Linotype" w:hAnsi="Palatino Linotype" w:cs="Palatino Linotype"/>
        </w:rPr>
        <w:t>a)</w:t>
      </w:r>
      <w:r w:rsidRPr="00E05D09">
        <w:rPr>
          <w:rFonts w:ascii="Palatino Linotype" w:eastAsia="Palatino Linotype" w:hAnsi="Palatino Linotype" w:cs="Palatino Linotype"/>
        </w:rPr>
        <w:tab/>
        <w:t>La Partida Genérica se refiere al tercer dígito, el cual logrará la armonización a todos los niveles de gobierno.</w:t>
      </w:r>
    </w:p>
    <w:p w14:paraId="120F649B" w14:textId="77777777" w:rsidR="00B2722B" w:rsidRPr="00E05D09" w:rsidRDefault="004425A1">
      <w:pPr>
        <w:pBdr>
          <w:top w:val="nil"/>
          <w:left w:val="nil"/>
          <w:bottom w:val="nil"/>
          <w:right w:val="nil"/>
          <w:between w:val="nil"/>
        </w:pBdr>
        <w:spacing w:line="360" w:lineRule="auto"/>
        <w:ind w:left="720"/>
        <w:jc w:val="both"/>
        <w:rPr>
          <w:rFonts w:ascii="Palatino Linotype" w:eastAsia="Palatino Linotype" w:hAnsi="Palatino Linotype" w:cs="Palatino Linotype"/>
        </w:rPr>
      </w:pPr>
      <w:r w:rsidRPr="00E05D09">
        <w:rPr>
          <w:rFonts w:ascii="Palatino Linotype" w:eastAsia="Palatino Linotype" w:hAnsi="Palatino Linotype" w:cs="Palatino Linotype"/>
        </w:rPr>
        <w:t>b)</w:t>
      </w:r>
      <w:r w:rsidRPr="00E05D09">
        <w:rPr>
          <w:rFonts w:ascii="Palatino Linotype" w:eastAsia="Palatino Linotype" w:hAnsi="Palatino Linotype" w:cs="Palatino Linotype"/>
        </w:rPr>
        <w:tab/>
        <w:t>La Partida Específica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14:paraId="739357F6"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rPr>
      </w:pPr>
    </w:p>
    <w:p w14:paraId="76A26768"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De acuerdo con este nivel de desagregación del Clasificador por Objeto del Gasto Estatal y Municipal, la definición de los Capítulos de gasto es la siguiente: </w:t>
      </w:r>
    </w:p>
    <w:p w14:paraId="1860085D" w14:textId="77777777" w:rsidR="00B2722B" w:rsidRPr="00E05D09" w:rsidRDefault="004425A1">
      <w:pPr>
        <w:pBdr>
          <w:top w:val="nil"/>
          <w:left w:val="nil"/>
          <w:bottom w:val="nil"/>
          <w:right w:val="nil"/>
          <w:between w:val="nil"/>
        </w:pBd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b/>
          <w:bCs/>
        </w:rPr>
        <w:t xml:space="preserve">1000 SERVICIOS PERSONALES. </w:t>
      </w:r>
      <w:r w:rsidRPr="00E05D09">
        <w:rPr>
          <w:rFonts w:ascii="Palatino Linotype" w:eastAsia="Palatino Linotype" w:hAnsi="Palatino Linotype" w:cs="Palatino Linotype"/>
        </w:rPr>
        <w:t xml:space="preserve">Agrupa las remuneraciones del personal al servicio de los entes públicos, tales como: sueldos, salarios, dietas, honorarios asimilables al salario, </w:t>
      </w:r>
      <w:r w:rsidRPr="00E05D09">
        <w:rPr>
          <w:rFonts w:ascii="Palatino Linotype" w:eastAsia="Palatino Linotype" w:hAnsi="Palatino Linotype" w:cs="Palatino Linotype"/>
        </w:rPr>
        <w:lastRenderedPageBreak/>
        <w:t>prestaciones y gastos de seguridad social, obligaciones laborables y otras prestaciones derivadas de una relación laboral; pudiendo ser de carácter permanente o transitorio.</w:t>
      </w:r>
    </w:p>
    <w:p w14:paraId="6BB9DEB0" w14:textId="77777777" w:rsidR="00B2722B" w:rsidRPr="00E05D09" w:rsidRDefault="004425A1">
      <w:pPr>
        <w:pBdr>
          <w:top w:val="nil"/>
          <w:left w:val="nil"/>
          <w:bottom w:val="nil"/>
          <w:right w:val="nil"/>
          <w:between w:val="nil"/>
        </w:pBd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b/>
          <w:bCs/>
        </w:rPr>
        <w:t>2000 MATERIALES Y SUMINISTROS.</w:t>
      </w:r>
      <w:r w:rsidRPr="00E05D09">
        <w:rPr>
          <w:rFonts w:ascii="Palatino Linotype" w:eastAsia="Palatino Linotype" w:hAnsi="Palatino Linotype" w:cs="Palatino Linotype"/>
        </w:rPr>
        <w:t xml:space="preserve"> Agrupa las asignaciones destinadas a la adquisición de toda clase de insumos y suministros requeridos para la prestación de bienes y servicios públicos y para el desempeño de las actividades administrativas. </w:t>
      </w:r>
    </w:p>
    <w:p w14:paraId="3D5EE851" w14:textId="77777777" w:rsidR="00B2722B" w:rsidRPr="00E05D09" w:rsidRDefault="004425A1">
      <w:pPr>
        <w:pBdr>
          <w:top w:val="nil"/>
          <w:left w:val="nil"/>
          <w:bottom w:val="nil"/>
          <w:right w:val="nil"/>
          <w:between w:val="nil"/>
        </w:pBd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b/>
          <w:bCs/>
        </w:rPr>
        <w:t xml:space="preserve">3000 SERVICIOS GENERALES. </w:t>
      </w:r>
      <w:r w:rsidRPr="00E05D09">
        <w:rPr>
          <w:rFonts w:ascii="Palatino Linotype" w:eastAsia="Palatino Linotype" w:hAnsi="Palatino Linotype" w:cs="Palatino Linotype"/>
        </w:rPr>
        <w:t xml:space="preserve">Asignaciones destinadas a cubrir el costo de todo tipo de servicios que se contraten con particulares o instituciones del propio sector público; así como los servicios oficiales requeridos para el desempeño de actividades vinculadas con la función pública. </w:t>
      </w:r>
    </w:p>
    <w:p w14:paraId="7ED0528A" w14:textId="77777777" w:rsidR="00B2722B" w:rsidRPr="00E05D09" w:rsidRDefault="004425A1">
      <w:pPr>
        <w:pBdr>
          <w:top w:val="nil"/>
          <w:left w:val="nil"/>
          <w:bottom w:val="nil"/>
          <w:right w:val="nil"/>
          <w:between w:val="nil"/>
        </w:pBd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b/>
          <w:bCs/>
        </w:rPr>
        <w:t>4000 TRANSFERENCIAS, ASIGNACIONES, SUBSIDIOS Y OTRAS AYUDAS.</w:t>
      </w:r>
      <w:r w:rsidRPr="00E05D09">
        <w:rPr>
          <w:rFonts w:ascii="Palatino Linotype" w:eastAsia="Palatino Linotype" w:hAnsi="Palatino Linotype" w:cs="Palatino Linotype"/>
        </w:rPr>
        <w:t xml:space="preserve"> 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w:t>
      </w:r>
    </w:p>
    <w:p w14:paraId="01921503" w14:textId="77777777" w:rsidR="00B2722B" w:rsidRPr="00E05D09" w:rsidRDefault="004425A1">
      <w:pPr>
        <w:pBdr>
          <w:top w:val="nil"/>
          <w:left w:val="nil"/>
          <w:bottom w:val="nil"/>
          <w:right w:val="nil"/>
          <w:between w:val="nil"/>
        </w:pBd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b/>
          <w:bCs/>
        </w:rPr>
        <w:t>5000 BIENES MUEBLES, INMUEBLES E INTANGIBLES.</w:t>
      </w:r>
      <w:r w:rsidRPr="00E05D09">
        <w:rPr>
          <w:rFonts w:ascii="Palatino Linotype" w:eastAsia="Palatino Linotype" w:hAnsi="Palatino Linotype" w:cs="Palatino Linotype"/>
        </w:rPr>
        <w:t xml:space="preserve"> 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14:paraId="21C6C29A" w14:textId="77777777" w:rsidR="00B2722B" w:rsidRPr="00E05D09" w:rsidRDefault="004425A1">
      <w:pPr>
        <w:pBdr>
          <w:top w:val="nil"/>
          <w:left w:val="nil"/>
          <w:bottom w:val="nil"/>
          <w:right w:val="nil"/>
          <w:between w:val="nil"/>
        </w:pBd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b/>
          <w:bCs/>
        </w:rPr>
        <w:t>6000 INVERSIÓN PÚBLICA.</w:t>
      </w:r>
      <w:r w:rsidRPr="00E05D09">
        <w:rPr>
          <w:rFonts w:ascii="Palatino Linotype" w:eastAsia="Palatino Linotype" w:hAnsi="Palatino Linotype" w:cs="Palatino Linotype"/>
        </w:rPr>
        <w:t xml:space="preserve"> Asignaciones destinadas a obras por contrato y proyectos productivos y acciones de fomento. Incluye los gastos en estudios de pre‐inversión y preparación del proyecto. </w:t>
      </w:r>
    </w:p>
    <w:p w14:paraId="4A91F401" w14:textId="77777777" w:rsidR="00B2722B" w:rsidRPr="00E05D09" w:rsidRDefault="004425A1">
      <w:pPr>
        <w:pBdr>
          <w:top w:val="nil"/>
          <w:left w:val="nil"/>
          <w:bottom w:val="nil"/>
          <w:right w:val="nil"/>
          <w:between w:val="nil"/>
        </w:pBd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b/>
          <w:bCs/>
        </w:rPr>
        <w:t>7000 INVERSIONES FINANCIERAS Y OTRAS PROVISIONES.</w:t>
      </w:r>
      <w:r w:rsidRPr="00E05D09">
        <w:rPr>
          <w:rFonts w:ascii="Palatino Linotype" w:eastAsia="Palatino Linotype" w:hAnsi="Palatino Linotype" w:cs="Palatino Linotype"/>
        </w:rPr>
        <w:t xml:space="preserve"> Erogaciones que realiza la administración pública en la adquisición de acciones, bonos y otros títulos y valores; así como en préstamos otorgados a diversos agentes económicos. Se incluyen las aportaciones de capital </w:t>
      </w:r>
      <w:r w:rsidRPr="00E05D09">
        <w:rPr>
          <w:rFonts w:ascii="Palatino Linotype" w:eastAsia="Palatino Linotype" w:hAnsi="Palatino Linotype" w:cs="Palatino Linotype"/>
        </w:rPr>
        <w:lastRenderedPageBreak/>
        <w:t xml:space="preserve">a las entidades públicas; así como las erogaciones contingentes e imprevistas para el cumplimiento de obligaciones del Gobierno. </w:t>
      </w:r>
    </w:p>
    <w:p w14:paraId="37986468" w14:textId="77777777" w:rsidR="00B2722B" w:rsidRPr="00E05D09" w:rsidRDefault="004425A1">
      <w:pPr>
        <w:pBdr>
          <w:top w:val="nil"/>
          <w:left w:val="nil"/>
          <w:bottom w:val="nil"/>
          <w:right w:val="nil"/>
          <w:between w:val="nil"/>
        </w:pBd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b/>
          <w:bCs/>
        </w:rPr>
        <w:t xml:space="preserve">8000 PARTICIPACIONES Y APORTACIONES. </w:t>
      </w:r>
      <w:r w:rsidRPr="00E05D09">
        <w:rPr>
          <w:rFonts w:ascii="Palatino Linotype" w:eastAsia="Palatino Linotype" w:hAnsi="Palatino Linotype" w:cs="Palatino Linotype"/>
        </w:rPr>
        <w:t xml:space="preserve">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14:paraId="70CC83AC" w14:textId="77777777" w:rsidR="00B2722B" w:rsidRPr="00E05D09" w:rsidRDefault="004425A1">
      <w:pPr>
        <w:pBdr>
          <w:top w:val="nil"/>
          <w:left w:val="nil"/>
          <w:bottom w:val="nil"/>
          <w:right w:val="nil"/>
          <w:between w:val="nil"/>
        </w:pBd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b/>
          <w:bCs/>
        </w:rPr>
        <w:t xml:space="preserve">9000 DEUDA PÚBLICA. </w:t>
      </w:r>
      <w:r w:rsidRPr="00E05D09">
        <w:rPr>
          <w:rFonts w:ascii="Palatino Linotype" w:eastAsia="Palatino Linotype" w:hAnsi="Palatino Linotype" w:cs="Palatino Linotype"/>
        </w:rPr>
        <w:t xml:space="preserve">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 </w:t>
      </w:r>
    </w:p>
    <w:p w14:paraId="70E45DFC"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rPr>
      </w:pPr>
    </w:p>
    <w:p w14:paraId="03F67A2C"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De la estructura de codificación, se derivan subcapítulos, partidas genéricas y partidas específicas como se ejemplifica a continuación, para mejor referencia:</w:t>
      </w:r>
    </w:p>
    <w:p w14:paraId="21B99392"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rPr>
      </w:pPr>
    </w:p>
    <w:p w14:paraId="675F1A9C" w14:textId="77777777" w:rsidR="00B2722B" w:rsidRPr="00E05D09" w:rsidRDefault="004425A1">
      <w:pPr>
        <w:pBdr>
          <w:top w:val="nil"/>
          <w:left w:val="nil"/>
          <w:bottom w:val="nil"/>
          <w:right w:val="nil"/>
          <w:between w:val="nil"/>
        </w:pBdr>
        <w:spacing w:line="360" w:lineRule="auto"/>
        <w:jc w:val="center"/>
        <w:rPr>
          <w:rFonts w:ascii="Palatino Linotype" w:eastAsia="Palatino Linotype" w:hAnsi="Palatino Linotype" w:cs="Palatino Linotype"/>
        </w:rPr>
      </w:pPr>
      <w:r w:rsidRPr="00E05D09">
        <w:rPr>
          <w:rFonts w:ascii="Palatino Linotype" w:eastAsia="Palatino Linotype" w:hAnsi="Palatino Linotype" w:cs="Palatino Linotype"/>
          <w:noProof/>
        </w:rPr>
        <w:lastRenderedPageBreak/>
        <w:drawing>
          <wp:inline distT="0" distB="0" distL="0" distR="0" wp14:anchorId="28CAE673" wp14:editId="0AF79D40">
            <wp:extent cx="5237783" cy="3783322"/>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b="13318"/>
                    <a:stretch>
                      <a:fillRect/>
                    </a:stretch>
                  </pic:blipFill>
                  <pic:spPr>
                    <a:xfrm>
                      <a:off x="0" y="0"/>
                      <a:ext cx="5237783" cy="3783322"/>
                    </a:xfrm>
                    <a:prstGeom prst="rect">
                      <a:avLst/>
                    </a:prstGeom>
                    <a:ln/>
                  </pic:spPr>
                </pic:pic>
              </a:graphicData>
            </a:graphic>
          </wp:inline>
        </w:drawing>
      </w:r>
    </w:p>
    <w:p w14:paraId="468CB2F4" w14:textId="77777777" w:rsidR="00B2722B" w:rsidRPr="00E05D09" w:rsidRDefault="004425A1">
      <w:pPr>
        <w:pBdr>
          <w:top w:val="nil"/>
          <w:left w:val="nil"/>
          <w:bottom w:val="nil"/>
          <w:right w:val="nil"/>
          <w:between w:val="nil"/>
        </w:pBdr>
        <w:spacing w:line="360" w:lineRule="auto"/>
        <w:jc w:val="center"/>
        <w:rPr>
          <w:rFonts w:ascii="Palatino Linotype" w:eastAsia="Palatino Linotype" w:hAnsi="Palatino Linotype" w:cs="Palatino Linotype"/>
        </w:rPr>
      </w:pPr>
      <w:r w:rsidRPr="00E05D09">
        <w:rPr>
          <w:rFonts w:ascii="Palatino Linotype" w:eastAsia="Palatino Linotype" w:hAnsi="Palatino Linotype" w:cs="Palatino Linotype"/>
          <w:noProof/>
        </w:rPr>
        <w:drawing>
          <wp:inline distT="0" distB="0" distL="0" distR="0" wp14:anchorId="58586110" wp14:editId="51908139">
            <wp:extent cx="5263470" cy="2845405"/>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b="46875"/>
                    <a:stretch>
                      <a:fillRect/>
                    </a:stretch>
                  </pic:blipFill>
                  <pic:spPr>
                    <a:xfrm>
                      <a:off x="0" y="0"/>
                      <a:ext cx="5263470" cy="2845405"/>
                    </a:xfrm>
                    <a:prstGeom prst="rect">
                      <a:avLst/>
                    </a:prstGeom>
                    <a:ln/>
                  </pic:spPr>
                </pic:pic>
              </a:graphicData>
            </a:graphic>
          </wp:inline>
        </w:drawing>
      </w:r>
    </w:p>
    <w:p w14:paraId="1EBA2424" w14:textId="77777777" w:rsidR="00B2722B" w:rsidRPr="00E05D09" w:rsidRDefault="004425A1">
      <w:pPr>
        <w:pBdr>
          <w:top w:val="nil"/>
          <w:left w:val="nil"/>
          <w:bottom w:val="nil"/>
          <w:right w:val="nil"/>
          <w:between w:val="nil"/>
        </w:pBdr>
        <w:spacing w:line="360" w:lineRule="auto"/>
        <w:jc w:val="center"/>
        <w:rPr>
          <w:rFonts w:ascii="Palatino Linotype" w:eastAsia="Palatino Linotype" w:hAnsi="Palatino Linotype" w:cs="Palatino Linotype"/>
        </w:rPr>
      </w:pPr>
      <w:r w:rsidRPr="00E05D09">
        <w:rPr>
          <w:rFonts w:ascii="Palatino Linotype" w:eastAsia="Palatino Linotype" w:hAnsi="Palatino Linotype" w:cs="Palatino Linotype"/>
          <w:noProof/>
        </w:rPr>
        <w:lastRenderedPageBreak/>
        <w:drawing>
          <wp:inline distT="0" distB="0" distL="0" distR="0" wp14:anchorId="2FBA3C74" wp14:editId="16ADF254">
            <wp:extent cx="5278987" cy="2155664"/>
            <wp:effectExtent l="0" t="0" r="0" b="0"/>
            <wp:docPr id="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b="42552"/>
                    <a:stretch>
                      <a:fillRect/>
                    </a:stretch>
                  </pic:blipFill>
                  <pic:spPr>
                    <a:xfrm>
                      <a:off x="0" y="0"/>
                      <a:ext cx="5278987" cy="2155664"/>
                    </a:xfrm>
                    <a:prstGeom prst="rect">
                      <a:avLst/>
                    </a:prstGeom>
                    <a:ln/>
                  </pic:spPr>
                </pic:pic>
              </a:graphicData>
            </a:graphic>
          </wp:inline>
        </w:drawing>
      </w:r>
    </w:p>
    <w:p w14:paraId="66094953"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rPr>
      </w:pPr>
    </w:p>
    <w:p w14:paraId="0D4EE39A"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De las imágenes anteriores podemos advertir, por ejemplo, que la erogación por concepto de Sueldos base, se encuentra contemplado en la partida específica 1131, que pertenece a la partida genérica 1130 Sueldos base al personal permanente, del subcapítulo 1100 Remuneraciones al Personal de Carácter Permanente, del capítulo 1000 Servicios Personales.</w:t>
      </w:r>
    </w:p>
    <w:p w14:paraId="267E3462"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rPr>
      </w:pPr>
    </w:p>
    <w:p w14:paraId="52AC583C"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A mayor abundamiento, conviene traer a contexto que los Lineamientos para la Integración y Entrega de los Informes Trimestrales Municipales, refiere que el </w:t>
      </w:r>
      <w:r w:rsidRPr="00E05D09">
        <w:rPr>
          <w:rFonts w:ascii="Palatino Linotype" w:eastAsia="Palatino Linotype" w:hAnsi="Palatino Linotype" w:cs="Palatino Linotype"/>
          <w:b/>
          <w:bCs/>
        </w:rPr>
        <w:t>Estado Analítico del Ejercicio del Presupuesto de Egresos Clasificación por Objeto del Gasto (Capítulo y Concepto),</w:t>
      </w:r>
      <w:r w:rsidRPr="00E05D09">
        <w:rPr>
          <w:rFonts w:ascii="Palatino Linotype" w:eastAsia="Palatino Linotype" w:hAnsi="Palatino Linotype" w:cs="Palatino Linotype"/>
        </w:rPr>
        <w:t xml:space="preserve"> forma parte del Módulo 2 de la Información presupuestaria que se integra dentro de los Informes Trimestrales Municipales y </w:t>
      </w:r>
      <w:r w:rsidRPr="00E05D09">
        <w:rPr>
          <w:rFonts w:ascii="Palatino Linotype" w:eastAsia="Palatino Linotype" w:hAnsi="Palatino Linotype" w:cs="Palatino Linotype"/>
          <w:b/>
          <w:bCs/>
        </w:rPr>
        <w:t>cuya periodicidad de elaboración es mensual</w:t>
      </w:r>
      <w:r w:rsidRPr="00E05D09">
        <w:rPr>
          <w:rFonts w:ascii="Palatino Linotype" w:eastAsia="Palatino Linotype" w:hAnsi="Palatino Linotype" w:cs="Palatino Linotype"/>
        </w:rPr>
        <w:t>, tal y como a continuación se observa de la Matriz de documentos, firmas y archivos siguiente:</w:t>
      </w:r>
    </w:p>
    <w:p w14:paraId="38C1DE53" w14:textId="77777777" w:rsidR="00B2722B" w:rsidRDefault="004425A1">
      <w:pPr>
        <w:pBdr>
          <w:top w:val="nil"/>
          <w:left w:val="nil"/>
          <w:bottom w:val="nil"/>
          <w:right w:val="nil"/>
          <w:between w:val="nil"/>
        </w:pBdr>
        <w:spacing w:line="360" w:lineRule="auto"/>
        <w:jc w:val="center"/>
        <w:rPr>
          <w:rFonts w:ascii="Palatino Linotype" w:eastAsia="Palatino Linotype" w:hAnsi="Palatino Linotype" w:cs="Palatino Linotype"/>
        </w:rPr>
      </w:pPr>
      <w:r w:rsidRPr="00E05D09">
        <w:rPr>
          <w:rFonts w:ascii="Palatino Linotype" w:eastAsia="Palatino Linotype" w:hAnsi="Palatino Linotype" w:cs="Palatino Linotype"/>
          <w:noProof/>
        </w:rPr>
        <w:lastRenderedPageBreak/>
        <w:drawing>
          <wp:inline distT="0" distB="0" distL="0" distR="0" wp14:anchorId="2A363F3B" wp14:editId="7E24958B">
            <wp:extent cx="4949808" cy="5406428"/>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4949808" cy="5406428"/>
                    </a:xfrm>
                    <a:prstGeom prst="rect">
                      <a:avLst/>
                    </a:prstGeom>
                    <a:ln/>
                  </pic:spPr>
                </pic:pic>
              </a:graphicData>
            </a:graphic>
          </wp:inline>
        </w:drawing>
      </w:r>
    </w:p>
    <w:p w14:paraId="43640948" w14:textId="77777777" w:rsidR="00E05D09" w:rsidRPr="00E05D09" w:rsidRDefault="00E05D09">
      <w:pPr>
        <w:pBdr>
          <w:top w:val="nil"/>
          <w:left w:val="nil"/>
          <w:bottom w:val="nil"/>
          <w:right w:val="nil"/>
          <w:between w:val="nil"/>
        </w:pBdr>
        <w:spacing w:line="360" w:lineRule="auto"/>
        <w:jc w:val="center"/>
        <w:rPr>
          <w:rFonts w:ascii="Palatino Linotype" w:eastAsia="Palatino Linotype" w:hAnsi="Palatino Linotype" w:cs="Palatino Linotype"/>
        </w:rPr>
      </w:pPr>
    </w:p>
    <w:p w14:paraId="007AD88B"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rPr>
      </w:pPr>
      <w:r w:rsidRPr="00E05D09">
        <w:rPr>
          <w:rFonts w:ascii="Palatino Linotype" w:eastAsia="Palatino Linotype" w:hAnsi="Palatino Linotype" w:cs="Palatino Linotype"/>
        </w:rPr>
        <w:t xml:space="preserve">Aunado a ello, el Manual de Contabilidad Gubernamental en su numeral II, inciso b), referente al Estado Analítico del Ejercicio del Presupuesto de Egresos del Consejo Nacional de Armonización Contable (CONAC), establece como finalidad realizar periódicamente el seguimiento del ejercicio de los egresos presupuestarios. </w:t>
      </w:r>
      <w:r w:rsidRPr="00E05D09">
        <w:rPr>
          <w:rFonts w:ascii="Palatino Linotype" w:eastAsia="Palatino Linotype" w:hAnsi="Palatino Linotype" w:cs="Palatino Linotype"/>
          <w:b/>
          <w:bCs/>
        </w:rPr>
        <w:t xml:space="preserve">Dichos Estados deben mostrar, a una fecha determinada del ejercicio del Presupuesto de Egresos, </w:t>
      </w:r>
      <w:r w:rsidRPr="00E05D09">
        <w:rPr>
          <w:rFonts w:ascii="Palatino Linotype" w:eastAsia="Palatino Linotype" w:hAnsi="Palatino Linotype" w:cs="Palatino Linotype"/>
          <w:b/>
          <w:bCs/>
          <w:u w:val="single"/>
        </w:rPr>
        <w:t xml:space="preserve">los movimientos y la situación </w:t>
      </w:r>
      <w:r w:rsidRPr="00E05D09">
        <w:rPr>
          <w:rFonts w:ascii="Palatino Linotype" w:eastAsia="Palatino Linotype" w:hAnsi="Palatino Linotype" w:cs="Palatino Linotype"/>
          <w:b/>
          <w:bCs/>
          <w:u w:val="single"/>
        </w:rPr>
        <w:lastRenderedPageBreak/>
        <w:t>de cada cuenta de las distintas clasificaciones,</w:t>
      </w:r>
      <w:r w:rsidRPr="00E05D09">
        <w:rPr>
          <w:rFonts w:ascii="Palatino Linotype" w:eastAsia="Palatino Linotype" w:hAnsi="Palatino Linotype" w:cs="Palatino Linotype"/>
          <w:b/>
          <w:bCs/>
        </w:rPr>
        <w:t xml:space="preserve"> de acuerdo con los diferentes grados de desagregación de las mismas que se requiera.</w:t>
      </w:r>
    </w:p>
    <w:p w14:paraId="03D1FD6E"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rPr>
      </w:pPr>
    </w:p>
    <w:p w14:paraId="29F40987"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Los estados e informes agregados, en general, tienen como propósito aportar información pertinente, clara, confiable y oportuna a los responsables de la gestión política y económica del Estado para ser utilizada en la toma de decisiones gubernamentales en general y sobre finanzas públicas en particular, así como para ser utilizada por los analistas y la sociedad en general.</w:t>
      </w:r>
    </w:p>
    <w:p w14:paraId="121E5798" w14:textId="77777777" w:rsidR="00B2722B" w:rsidRPr="00E05D09" w:rsidRDefault="00B2722B">
      <w:pPr>
        <w:ind w:left="708"/>
        <w:rPr>
          <w:rFonts w:ascii="Palatino Linotype" w:eastAsia="Palatino Linotype" w:hAnsi="Palatino Linotype" w:cs="Palatino Linotype"/>
        </w:rPr>
      </w:pPr>
    </w:p>
    <w:p w14:paraId="31132AB7"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La clasificación de la información presupuestaria a generar será al menos la siguiente:</w:t>
      </w:r>
    </w:p>
    <w:p w14:paraId="72CA05F6" w14:textId="77777777" w:rsidR="00B2722B" w:rsidRPr="00E05D09" w:rsidRDefault="004425A1">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bCs/>
        </w:rPr>
      </w:pPr>
      <w:r w:rsidRPr="00E05D09">
        <w:rPr>
          <w:rFonts w:ascii="Palatino Linotype" w:eastAsia="Palatino Linotype" w:hAnsi="Palatino Linotype" w:cs="Palatino Linotype"/>
          <w:b/>
          <w:bCs/>
        </w:rPr>
        <w:t>Clasificación por Objeto del Gasto (Capítulo y Concepto).</w:t>
      </w:r>
    </w:p>
    <w:p w14:paraId="4B5398EA" w14:textId="77777777" w:rsidR="00B2722B" w:rsidRPr="00E05D09" w:rsidRDefault="004425A1">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Clasificación Económica (por Tipo de Gasto).</w:t>
      </w:r>
    </w:p>
    <w:p w14:paraId="611E2E3C" w14:textId="77777777" w:rsidR="00B2722B" w:rsidRPr="00E05D09" w:rsidRDefault="004425A1">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bCs/>
        </w:rPr>
      </w:pPr>
      <w:r w:rsidRPr="00E05D09">
        <w:rPr>
          <w:rFonts w:ascii="Palatino Linotype" w:eastAsia="Palatino Linotype" w:hAnsi="Palatino Linotype" w:cs="Palatino Linotype"/>
          <w:b/>
          <w:bCs/>
        </w:rPr>
        <w:t>Clasificación Administrativa.</w:t>
      </w:r>
    </w:p>
    <w:p w14:paraId="5DE09CD8" w14:textId="77777777" w:rsidR="00B2722B" w:rsidRPr="00E05D09" w:rsidRDefault="004425A1">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Clasificación Funcional (Finalidad y Función)</w:t>
      </w:r>
    </w:p>
    <w:p w14:paraId="0CEDFDA3" w14:textId="77777777" w:rsidR="00B2722B" w:rsidRPr="00E05D09" w:rsidRDefault="004425A1">
      <w:pPr>
        <w:pBdr>
          <w:top w:val="nil"/>
          <w:left w:val="nil"/>
          <w:bottom w:val="nil"/>
          <w:right w:val="nil"/>
          <w:between w:val="nil"/>
        </w:pBd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noProof/>
        </w:rPr>
        <w:lastRenderedPageBreak/>
        <w:drawing>
          <wp:inline distT="0" distB="0" distL="0" distR="0" wp14:anchorId="5C89F0E7" wp14:editId="32EBAE0D">
            <wp:extent cx="5640636" cy="7139749"/>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5640636" cy="7139749"/>
                    </a:xfrm>
                    <a:prstGeom prst="rect">
                      <a:avLst/>
                    </a:prstGeom>
                    <a:ln/>
                  </pic:spPr>
                </pic:pic>
              </a:graphicData>
            </a:graphic>
          </wp:inline>
        </w:drawing>
      </w:r>
      <w:r w:rsidRPr="00E05D09">
        <w:rPr>
          <w:noProof/>
        </w:rPr>
        <mc:AlternateContent>
          <mc:Choice Requires="wps">
            <w:drawing>
              <wp:anchor distT="0" distB="0" distL="114300" distR="114300" simplePos="0" relativeHeight="251658240" behindDoc="0" locked="0" layoutInCell="1" hidden="0" allowOverlap="1" wp14:anchorId="1681044A" wp14:editId="6E8E3D02">
                <wp:simplePos x="0" y="0"/>
                <wp:positionH relativeFrom="column">
                  <wp:posOffset>1567815</wp:posOffset>
                </wp:positionH>
                <wp:positionV relativeFrom="paragraph">
                  <wp:posOffset>167640</wp:posOffset>
                </wp:positionV>
                <wp:extent cx="2486025" cy="276225"/>
                <wp:effectExtent l="0" t="0" r="0" b="0"/>
                <wp:wrapNone/>
                <wp:docPr id="2" name="Rectángulo 2"/>
                <wp:cNvGraphicFramePr/>
                <a:graphic xmlns:a="http://schemas.openxmlformats.org/drawingml/2006/main">
                  <a:graphicData uri="http://schemas.microsoft.com/office/word/2010/wordprocessingShape">
                    <wps:wsp>
                      <wps:cNvSpPr/>
                      <wps:spPr>
                        <a:xfrm>
                          <a:off x="4112513" y="3651413"/>
                          <a:ext cx="2466975" cy="257175"/>
                        </a:xfrm>
                        <a:prstGeom prst="rect">
                          <a:avLst/>
                        </a:prstGeom>
                        <a:noFill/>
                        <a:ln w="19050" cap="flat" cmpd="sng">
                          <a:solidFill>
                            <a:srgbClr val="FF0000"/>
                          </a:solidFill>
                          <a:prstDash val="solid"/>
                          <a:miter lim="8000"/>
                          <a:headEnd type="none" w="sm" len="sm"/>
                          <a:tailEnd type="none" w="sm" len="sm"/>
                        </a:ln>
                      </wps:spPr>
                      <wps:txbx>
                        <w:txbxContent>
                          <w:p w14:paraId="3BDC9932" w14:textId="77777777" w:rsidR="00E05D09" w:rsidRDefault="00E05D09">
                            <w:pPr>
                              <w:textDirection w:val="btLr"/>
                            </w:pPr>
                          </w:p>
                        </w:txbxContent>
                      </wps:txbx>
                      <wps:bodyPr spcFirstLastPara="1" wrap="square" lIns="91425" tIns="91425" rIns="91425" bIns="91425" anchor="ctr" anchorCtr="0">
                        <a:noAutofit/>
                      </wps:bodyPr>
                    </wps:wsp>
                  </a:graphicData>
                </a:graphic>
              </wp:anchor>
            </w:drawing>
          </mc:Choice>
          <mc:Fallback>
            <w:pict>
              <v:rect w14:anchorId="1681044A" id="Rectángulo 2" o:spid="_x0000_s1026" style="position:absolute;left:0;text-align:left;margin-left:123.45pt;margin-top:13.2pt;width:195.75pt;height:21.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" filled="f" strokecolor="red" strokeweight="1.5pt">
                <v:stroke startarrowwidth="narrow" startarrowlength="short" endarrowwidth="narrow" endarrowlength="short" miterlimit="5243f"/>
                <v:textbox inset="2.53958mm,2.53958mm,2.53958mm,2.53958mm">
                  <w:txbxContent>
                    <w:p w14:paraId="3BDC9932" w14:textId="77777777" w:rsidR="00E05D09" w:rsidRDefault="00E05D09">
                      <w:pPr>
                        <w:textDirection w:val="btLr"/>
                      </w:pPr>
                    </w:p>
                  </w:txbxContent>
                </v:textbox>
              </v:rect>
            </w:pict>
          </mc:Fallback>
        </mc:AlternateContent>
      </w:r>
    </w:p>
    <w:p w14:paraId="212810A9" w14:textId="77777777" w:rsidR="00B2722B" w:rsidRPr="00E05D09" w:rsidRDefault="004425A1">
      <w:pPr>
        <w:pBdr>
          <w:top w:val="nil"/>
          <w:left w:val="nil"/>
          <w:bottom w:val="nil"/>
          <w:right w:val="nil"/>
          <w:between w:val="nil"/>
        </w:pBd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noProof/>
        </w:rPr>
        <w:lastRenderedPageBreak/>
        <w:drawing>
          <wp:inline distT="0" distB="0" distL="0" distR="0" wp14:anchorId="61C7636B" wp14:editId="393DFD14">
            <wp:extent cx="5612130" cy="5878195"/>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5612130" cy="5878195"/>
                    </a:xfrm>
                    <a:prstGeom prst="rect">
                      <a:avLst/>
                    </a:prstGeom>
                    <a:ln/>
                  </pic:spPr>
                </pic:pic>
              </a:graphicData>
            </a:graphic>
          </wp:inline>
        </w:drawing>
      </w:r>
    </w:p>
    <w:p w14:paraId="1913F0F3"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rPr>
      </w:pPr>
    </w:p>
    <w:p w14:paraId="2D0F4DAE"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bookmarkStart w:id="9" w:name="_heading=h.1fob9te" w:colFirst="0" w:colLast="0"/>
      <w:bookmarkEnd w:id="9"/>
      <w:r w:rsidRPr="00E05D09">
        <w:rPr>
          <w:rFonts w:ascii="Palatino Linotype" w:eastAsia="Palatino Linotype" w:hAnsi="Palatino Linotype" w:cs="Palatino Linotype"/>
        </w:rPr>
        <w:t xml:space="preserve">De las imágenes insertas se puede advertir que de manera enunciativa más no limitativa la </w:t>
      </w:r>
      <w:r w:rsidRPr="00E05D09">
        <w:rPr>
          <w:rFonts w:ascii="Palatino Linotype" w:eastAsia="Palatino Linotype" w:hAnsi="Palatino Linotype" w:cs="Palatino Linotype"/>
          <w:b/>
          <w:bCs/>
        </w:rPr>
        <w:t>Clasificación por Objeto del Gasto (Capítulo y Concepto)</w:t>
      </w:r>
      <w:r w:rsidRPr="00E05D09">
        <w:rPr>
          <w:rFonts w:ascii="Palatino Linotype" w:eastAsia="Palatino Linotype" w:hAnsi="Palatino Linotype" w:cs="Palatino Linotype"/>
        </w:rPr>
        <w:t xml:space="preserve">, es el </w:t>
      </w:r>
      <w:r w:rsidRPr="00E05D09">
        <w:rPr>
          <w:rFonts w:ascii="Palatino Linotype" w:eastAsia="Palatino Linotype" w:hAnsi="Palatino Linotype" w:cs="Palatino Linotype"/>
          <w:u w:val="single"/>
        </w:rPr>
        <w:t xml:space="preserve">documento mensual armonizado que ordena e identifica en forma genérica, homogénea y coherente el registro del gasto por los conceptos de servicios personales, materiales y suministros, servicios generales, </w:t>
      </w:r>
      <w:r w:rsidRPr="00E05D09">
        <w:rPr>
          <w:rFonts w:ascii="Palatino Linotype" w:eastAsia="Palatino Linotype" w:hAnsi="Palatino Linotype" w:cs="Palatino Linotype"/>
          <w:u w:val="single"/>
        </w:rPr>
        <w:lastRenderedPageBreak/>
        <w:t xml:space="preserve">transferencias, asignaciones subsidios y otras ayudas, bienes muebles, inmuebles e intangibles, inversión pública, inversiones financieras y otras provisiones, participaciones y aportaciones federales, y deuda </w:t>
      </w:r>
      <w:r w:rsidRPr="00E05D09">
        <w:rPr>
          <w:rFonts w:ascii="Palatino Linotype" w:eastAsia="Palatino Linotype" w:hAnsi="Palatino Linotype" w:cs="Palatino Linotype"/>
        </w:rPr>
        <w:t>pública, que requieren las dependencias, entidades públicas, así como</w:t>
      </w:r>
      <w:r w:rsidRPr="00E05D09">
        <w:rPr>
          <w:rFonts w:ascii="Palatino Linotype" w:eastAsia="Palatino Linotype" w:hAnsi="Palatino Linotype" w:cs="Palatino Linotype"/>
          <w:u w:val="single"/>
        </w:rPr>
        <w:t xml:space="preserve"> los Municipios</w:t>
      </w:r>
      <w:r w:rsidRPr="00E05D09">
        <w:rPr>
          <w:rFonts w:ascii="Palatino Linotype" w:eastAsia="Palatino Linotype" w:hAnsi="Palatino Linotype" w:cs="Palatino Linotype"/>
        </w:rPr>
        <w:t xml:space="preserve">, para cumplir con los objetivos y programas señalados en el Plan de Desarrollo del Estado de México vigente y en el Plan de Desarrollo Municipal; por lo que, lo procedente es ordenar la entrega del documento donde conste el presupuesto autorizado a Tesorería, área de atención a Adultos Mayores, Área de Alimentación, Atención a Personas con Discapacidad y Comunicación Social, por capítulo, partida presupuestal y proyecto para los ejercicios fiscales 2025 y 2026. </w:t>
      </w:r>
    </w:p>
    <w:p w14:paraId="3F23D6EA"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rPr>
      </w:pPr>
    </w:p>
    <w:p w14:paraId="5CF8AC84" w14:textId="77777777" w:rsidR="00B2722B" w:rsidRPr="00E05D09" w:rsidRDefault="004425A1">
      <w:pP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Ahora bien respecto al presupuesto ejercido por dependencia, es menester precisar que, de acuerdo con el Manual, dentro del sistema de evaluación de la gestión pública municipal, existen cuatro tipos de reportes que los ayuntamientos deben presentar: el Informe de Ejecución del Plan de Desarrollo Municipal, Informe de Gobierno, el Reporte de Avance Trimestral, y la Cuenta Pública, los cuales son instrumentos para el seguimiento, evaluación de avances y rendición de cuentas. </w:t>
      </w:r>
    </w:p>
    <w:p w14:paraId="4AFF382B" w14:textId="77777777" w:rsidR="00B2722B" w:rsidRPr="00E05D09" w:rsidRDefault="00B2722B">
      <w:pPr>
        <w:spacing w:line="360" w:lineRule="auto"/>
        <w:jc w:val="both"/>
        <w:rPr>
          <w:rFonts w:ascii="Palatino Linotype" w:eastAsia="Palatino Linotype" w:hAnsi="Palatino Linotype" w:cs="Palatino Linotype"/>
        </w:rPr>
      </w:pPr>
    </w:p>
    <w:p w14:paraId="3C1A98E5" w14:textId="77777777" w:rsidR="00B2722B" w:rsidRPr="00E05D09" w:rsidRDefault="004425A1">
      <w:pP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En ese sentido, cabe mencionar que para la integración del Informe de Gobierno, se servirá de soporte las fichas técnicas de los indicadores de evaluación del desempeño que integran la Matriz de Indicadores para Resultados (MIR) y los formatos de evaluación PbRM 08b; PbRM 08c; PbRM 09b; PbRM 10a; PbRM 10b; PbRM 10c; PbRM 11, de los cuales, </w:t>
      </w:r>
      <w:r w:rsidRPr="00E05D09">
        <w:rPr>
          <w:rFonts w:ascii="Palatino Linotype" w:eastAsia="Palatino Linotype" w:hAnsi="Palatino Linotype" w:cs="Palatino Linotype"/>
          <w:b/>
          <w:bCs/>
          <w:u w:val="single"/>
        </w:rPr>
        <w:t>podemos destacar el PbRM 10a</w:t>
      </w:r>
      <w:r w:rsidRPr="00E05D09">
        <w:rPr>
          <w:rFonts w:ascii="Palatino Linotype" w:eastAsia="Palatino Linotype" w:hAnsi="Palatino Linotype" w:cs="Palatino Linotype"/>
        </w:rPr>
        <w:t xml:space="preserve">, que de acuerdo con el Instructivo de llenado este permite conocer el avance presupuestal de los egresos de forma completa, además de permitir visualizar el avance del </w:t>
      </w:r>
      <w:r w:rsidRPr="00E05D09">
        <w:rPr>
          <w:rFonts w:ascii="Palatino Linotype" w:eastAsia="Palatino Linotype" w:hAnsi="Palatino Linotype" w:cs="Palatino Linotype"/>
        </w:rPr>
        <w:lastRenderedPageBreak/>
        <w:t xml:space="preserve">presupuesto anual, así </w:t>
      </w:r>
      <w:r w:rsidRPr="00E05D09">
        <w:rPr>
          <w:rFonts w:ascii="Palatino Linotype" w:eastAsia="Palatino Linotype" w:hAnsi="Palatino Linotype" w:cs="Palatino Linotype"/>
          <w:b/>
          <w:bCs/>
          <w:u w:val="single"/>
        </w:rPr>
        <w:t>como el presupuesto del mes (autorizado y ejercido)</w:t>
      </w:r>
      <w:r w:rsidRPr="00E05D09">
        <w:rPr>
          <w:rFonts w:ascii="Palatino Linotype" w:eastAsia="Palatino Linotype" w:hAnsi="Palatino Linotype" w:cs="Palatino Linotype"/>
          <w:b/>
          <w:bCs/>
        </w:rPr>
        <w:t xml:space="preserve">; </w:t>
      </w:r>
      <w:r w:rsidRPr="00E05D09">
        <w:rPr>
          <w:rFonts w:ascii="Palatino Linotype" w:eastAsia="Palatino Linotype" w:hAnsi="Palatino Linotype" w:cs="Palatino Linotype"/>
        </w:rPr>
        <w:t>y el presupuesto acumulado de dependencias generales (DG), dependencias auxiliares (DA).</w:t>
      </w:r>
    </w:p>
    <w:p w14:paraId="636869C6" w14:textId="77777777" w:rsidR="00B2722B" w:rsidRPr="00E05D09" w:rsidRDefault="00B2722B">
      <w:pPr>
        <w:spacing w:line="360" w:lineRule="auto"/>
        <w:jc w:val="both"/>
        <w:rPr>
          <w:rFonts w:ascii="Palatino Linotype" w:eastAsia="Palatino Linotype" w:hAnsi="Palatino Linotype" w:cs="Palatino Linotype"/>
        </w:rPr>
      </w:pPr>
    </w:p>
    <w:p w14:paraId="37AEAFF1" w14:textId="77777777" w:rsidR="00B2722B" w:rsidRPr="00E05D09" w:rsidRDefault="004425A1">
      <w:pP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Por otro lado, de conformidad con los ya referidos Lineamientos para la integración y entrega del Informe Trimestral Municipal del Órgano Superior de Fiscalización del Estado de México, señalan que estos se integran trimestralmente al OSFEM, es actualizado de manera mensual por parte del ente público y el cual también da cuenta del avance presupuestal de este. </w:t>
      </w:r>
    </w:p>
    <w:p w14:paraId="43A07051" w14:textId="77777777" w:rsidR="00B2722B" w:rsidRPr="00E05D09" w:rsidRDefault="00B2722B">
      <w:pPr>
        <w:spacing w:line="360" w:lineRule="auto"/>
        <w:jc w:val="both"/>
        <w:rPr>
          <w:rFonts w:ascii="Palatino Linotype" w:eastAsia="Palatino Linotype" w:hAnsi="Palatino Linotype" w:cs="Palatino Linotype"/>
        </w:rPr>
      </w:pPr>
    </w:p>
    <w:p w14:paraId="7D019D01" w14:textId="77777777" w:rsidR="00B2722B" w:rsidRPr="00E05D09" w:rsidRDefault="004425A1">
      <w:pPr>
        <w:numPr>
          <w:ilvl w:val="0"/>
          <w:numId w:val="1"/>
        </w:numPr>
        <w:tabs>
          <w:tab w:val="left" w:pos="0"/>
        </w:tabs>
        <w:spacing w:line="360" w:lineRule="auto"/>
        <w:ind w:left="0" w:right="49" w:firstLine="0"/>
        <w:jc w:val="both"/>
        <w:rPr>
          <w:rFonts w:ascii="Palatino Linotype" w:eastAsia="Palatino Linotype" w:hAnsi="Palatino Linotype" w:cs="Palatino Linotype"/>
          <w:b/>
          <w:bCs/>
          <w:color w:val="000000"/>
          <w:u w:val="single"/>
        </w:rPr>
      </w:pPr>
      <w:r w:rsidRPr="00E05D09">
        <w:rPr>
          <w:rFonts w:ascii="Palatino Linotype" w:eastAsia="Palatino Linotype" w:hAnsi="Palatino Linotype" w:cs="Palatino Linotype"/>
        </w:rPr>
        <w:t xml:space="preserve">Derivado de lo anterior, se considera que existe fuente obligacional por parte del </w:t>
      </w:r>
      <w:r w:rsidRPr="00E05D09">
        <w:rPr>
          <w:rFonts w:ascii="Palatino Linotype" w:eastAsia="Palatino Linotype" w:hAnsi="Palatino Linotype" w:cs="Palatino Linotype"/>
          <w:b/>
          <w:bCs/>
        </w:rPr>
        <w:t>SUJETO OBLIGADO</w:t>
      </w:r>
      <w:r w:rsidRPr="00E05D09">
        <w:rPr>
          <w:rFonts w:ascii="Palatino Linotype" w:eastAsia="Palatino Linotype" w:hAnsi="Palatino Linotype" w:cs="Palatino Linotype"/>
        </w:rPr>
        <w:t xml:space="preserve">, para generar, poseer y administrar la información solicitada, de conformidad con el artículo 18 de la Ley de Transparencia y Acceso a la Información Pública del Estado de México y Municipios, que a la letra dice: </w:t>
      </w:r>
    </w:p>
    <w:p w14:paraId="591D0910" w14:textId="77777777" w:rsidR="00B2722B" w:rsidRPr="00E05D09" w:rsidRDefault="004425A1">
      <w:pPr>
        <w:spacing w:after="120"/>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w:t>
      </w:r>
      <w:r w:rsidRPr="00E05D09">
        <w:rPr>
          <w:rFonts w:ascii="Palatino Linotype" w:eastAsia="Palatino Linotype" w:hAnsi="Palatino Linotype" w:cs="Palatino Linotype"/>
          <w:b/>
          <w:bCs/>
          <w:i/>
          <w:iCs/>
        </w:rPr>
        <w:t>Artículo 18.</w:t>
      </w:r>
      <w:r w:rsidRPr="00E05D09">
        <w:rPr>
          <w:rFonts w:ascii="Palatino Linotype" w:eastAsia="Palatino Linotype" w:hAnsi="Palatino Linotype" w:cs="Palatino Linotype"/>
          <w:i/>
          <w:iCs/>
        </w:rPr>
        <w:t xml:space="preserve"> Los sujetos obligados deberán documentar todo acto que derive del ejercicio de sus facultades, competencias o funciones, considerando desde su origen la eventual publicidad y reutilización de la información que generen”</w:t>
      </w:r>
    </w:p>
    <w:p w14:paraId="49F1A1CC" w14:textId="77777777" w:rsidR="00B2722B" w:rsidRPr="00E05D09" w:rsidRDefault="00B2722B">
      <w:pPr>
        <w:tabs>
          <w:tab w:val="left" w:pos="426"/>
        </w:tabs>
        <w:spacing w:line="360" w:lineRule="auto"/>
        <w:ind w:right="49"/>
        <w:jc w:val="both"/>
        <w:rPr>
          <w:rFonts w:ascii="Palatino Linotype" w:eastAsia="Palatino Linotype" w:hAnsi="Palatino Linotype" w:cs="Palatino Linotype"/>
        </w:rPr>
      </w:pPr>
    </w:p>
    <w:p w14:paraId="55D8FA08" w14:textId="77777777" w:rsidR="00B2722B" w:rsidRPr="00E05D09" w:rsidRDefault="004425A1">
      <w:pPr>
        <w:numPr>
          <w:ilvl w:val="0"/>
          <w:numId w:val="1"/>
        </w:numPr>
        <w:tabs>
          <w:tab w:val="left" w:pos="142"/>
        </w:tabs>
        <w:spacing w:line="360" w:lineRule="auto"/>
        <w:ind w:left="0" w:right="49" w:firstLine="0"/>
        <w:jc w:val="both"/>
        <w:rPr>
          <w:rFonts w:ascii="Palatino Linotype" w:eastAsia="Palatino Linotype" w:hAnsi="Palatino Linotype" w:cs="Palatino Linotype"/>
          <w:b/>
          <w:bCs/>
          <w:color w:val="000000"/>
          <w:u w:val="single"/>
        </w:rPr>
      </w:pPr>
      <w:r w:rsidRPr="00E05D09">
        <w:rPr>
          <w:rFonts w:ascii="Palatino Linotype" w:eastAsia="Palatino Linotype" w:hAnsi="Palatino Linotype" w:cs="Palatino Linotype"/>
        </w:rPr>
        <w:t xml:space="preserve">Aunado a lo anterior, de conformidad con las obligaciones de transparencia comunes, señaladas en el artículo 92, fracciones XXV y XXXV de la Ley de Transparencia y Acceso a la Información Pública del Estado de México y Municipios, que a la letra señala: </w:t>
      </w:r>
    </w:p>
    <w:p w14:paraId="242229BD" w14:textId="77777777" w:rsidR="00B2722B" w:rsidRPr="00E05D09" w:rsidRDefault="004425A1">
      <w:pPr>
        <w:spacing w:after="120"/>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w:t>
      </w:r>
      <w:r w:rsidRPr="00E05D09">
        <w:rPr>
          <w:rFonts w:ascii="Palatino Linotype" w:eastAsia="Palatino Linotype" w:hAnsi="Palatino Linotype" w:cs="Palatino Linotype"/>
          <w:b/>
          <w:bCs/>
          <w:i/>
          <w:iCs/>
        </w:rPr>
        <w:t>Artículo 92.</w:t>
      </w:r>
      <w:r w:rsidRPr="00E05D09">
        <w:rPr>
          <w:rFonts w:ascii="Palatino Linotype" w:eastAsia="Palatino Linotype" w:hAnsi="Palatino Linotype" w:cs="Palatino Linotype"/>
          <w:i/>
          <w:iC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DA80EA7" w14:textId="77777777" w:rsidR="00B2722B" w:rsidRPr="00E05D09" w:rsidRDefault="004425A1">
      <w:pPr>
        <w:spacing w:after="120"/>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w:t>
      </w:r>
    </w:p>
    <w:p w14:paraId="4346F216" w14:textId="77777777" w:rsidR="00B2722B" w:rsidRPr="00E05D09" w:rsidRDefault="004425A1">
      <w:pPr>
        <w:spacing w:after="120"/>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lastRenderedPageBreak/>
        <w:t xml:space="preserve">XXV. La </w:t>
      </w:r>
      <w:r w:rsidRPr="00E05D09">
        <w:rPr>
          <w:rFonts w:ascii="Palatino Linotype" w:eastAsia="Palatino Linotype" w:hAnsi="Palatino Linotype" w:cs="Palatino Linotype"/>
          <w:i/>
          <w:iCs/>
          <w:u w:val="single"/>
        </w:rPr>
        <w:t>información financiera sobre el presupuesto asignado</w:t>
      </w:r>
      <w:r w:rsidRPr="00E05D09">
        <w:rPr>
          <w:rFonts w:ascii="Palatino Linotype" w:eastAsia="Palatino Linotype" w:hAnsi="Palatino Linotype" w:cs="Palatino Linotype"/>
          <w:i/>
          <w:iCs/>
        </w:rPr>
        <w:t>, así como los informes del ejercicio trimestral del gasto, en términos de la Ley General de Contabilidad Gubernamental y demás disposiciones jurídicas aplicables;</w:t>
      </w:r>
    </w:p>
    <w:p w14:paraId="13C21288" w14:textId="77777777" w:rsidR="00B2722B" w:rsidRPr="00E05D09" w:rsidRDefault="004425A1">
      <w:pPr>
        <w:spacing w:after="120"/>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w:t>
      </w:r>
    </w:p>
    <w:p w14:paraId="174DAB66" w14:textId="77777777" w:rsidR="00B2722B" w:rsidRPr="00E05D09" w:rsidRDefault="004425A1">
      <w:pPr>
        <w:spacing w:after="120"/>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XXXV. </w:t>
      </w:r>
      <w:r w:rsidRPr="00E05D09">
        <w:rPr>
          <w:rFonts w:ascii="Palatino Linotype" w:eastAsia="Palatino Linotype" w:hAnsi="Palatino Linotype" w:cs="Palatino Linotype"/>
          <w:i/>
          <w:iCs/>
          <w:u w:val="single"/>
        </w:rPr>
        <w:t>Informes de avances</w:t>
      </w:r>
      <w:r w:rsidRPr="00E05D09">
        <w:rPr>
          <w:rFonts w:ascii="Palatino Linotype" w:eastAsia="Palatino Linotype" w:hAnsi="Palatino Linotype" w:cs="Palatino Linotype"/>
          <w:i/>
          <w:iCs/>
        </w:rPr>
        <w:t xml:space="preserve"> programáticos o </w:t>
      </w:r>
      <w:r w:rsidRPr="00E05D09">
        <w:rPr>
          <w:rFonts w:ascii="Palatino Linotype" w:eastAsia="Palatino Linotype" w:hAnsi="Palatino Linotype" w:cs="Palatino Linotype"/>
          <w:i/>
          <w:iCs/>
          <w:u w:val="single"/>
        </w:rPr>
        <w:t>presupuestales</w:t>
      </w:r>
      <w:r w:rsidRPr="00E05D09">
        <w:rPr>
          <w:rFonts w:ascii="Palatino Linotype" w:eastAsia="Palatino Linotype" w:hAnsi="Palatino Linotype" w:cs="Palatino Linotype"/>
          <w:i/>
          <w:iCs/>
        </w:rPr>
        <w:t>, balances generales y estado financiero;</w:t>
      </w:r>
    </w:p>
    <w:p w14:paraId="19B5202E" w14:textId="77777777" w:rsidR="00B2722B" w:rsidRDefault="004425A1">
      <w:pPr>
        <w:spacing w:after="120"/>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w:t>
      </w:r>
    </w:p>
    <w:p w14:paraId="6FC4E04D" w14:textId="77777777" w:rsidR="00E05D09" w:rsidRPr="00E05D09" w:rsidRDefault="00E05D09">
      <w:pPr>
        <w:spacing w:after="120"/>
        <w:ind w:left="567" w:right="616"/>
        <w:jc w:val="both"/>
        <w:rPr>
          <w:rFonts w:ascii="Palatino Linotype" w:eastAsia="Palatino Linotype" w:hAnsi="Palatino Linotype" w:cs="Palatino Linotype"/>
          <w:i/>
          <w:iCs/>
        </w:rPr>
      </w:pPr>
    </w:p>
    <w:p w14:paraId="54A03A0F" w14:textId="77777777" w:rsidR="00B2722B" w:rsidRPr="00E05D09" w:rsidRDefault="004425A1">
      <w:pPr>
        <w:numPr>
          <w:ilvl w:val="0"/>
          <w:numId w:val="1"/>
        </w:numPr>
        <w:pBdr>
          <w:top w:val="nil"/>
          <w:left w:val="nil"/>
          <w:bottom w:val="nil"/>
          <w:right w:val="nil"/>
          <w:between w:val="nil"/>
        </w:pBdr>
        <w:tabs>
          <w:tab w:val="left" w:pos="426"/>
        </w:tabs>
        <w:spacing w:line="360" w:lineRule="auto"/>
        <w:ind w:left="0" w:right="113" w:firstLine="0"/>
        <w:jc w:val="both"/>
        <w:rPr>
          <w:rFonts w:ascii="Palatino Linotype" w:eastAsia="Palatino Linotype" w:hAnsi="Palatino Linotype" w:cs="Palatino Linotype"/>
          <w:b/>
          <w:bCs/>
        </w:rPr>
      </w:pPr>
      <w:r w:rsidRPr="00E05D09">
        <w:rPr>
          <w:rFonts w:ascii="Palatino Linotype" w:eastAsia="Palatino Linotype" w:hAnsi="Palatino Linotype" w:cs="Palatino Linotype"/>
        </w:rPr>
        <w:t xml:space="preserve">De ahí que, existe una clara atribución del </w:t>
      </w:r>
      <w:r w:rsidRPr="00E05D09">
        <w:rPr>
          <w:rFonts w:ascii="Palatino Linotype" w:eastAsia="Palatino Linotype" w:hAnsi="Palatino Linotype" w:cs="Palatino Linotype"/>
          <w:b/>
          <w:bCs/>
        </w:rPr>
        <w:t>SUJETO OBLIGADO</w:t>
      </w:r>
      <w:r w:rsidRPr="00E05D09">
        <w:rPr>
          <w:rFonts w:ascii="Palatino Linotype" w:eastAsia="Palatino Linotype" w:hAnsi="Palatino Linotype" w:cs="Palatino Linotype"/>
        </w:rPr>
        <w:t xml:space="preserve"> de poseer la información requerida por el particular, por ende lo procedente </w:t>
      </w:r>
      <w:r w:rsidRPr="00E05D09">
        <w:rPr>
          <w:rFonts w:ascii="Palatino Linotype" w:eastAsia="Palatino Linotype" w:hAnsi="Palatino Linotype" w:cs="Palatino Linotype"/>
          <w:b/>
          <w:bCs/>
        </w:rPr>
        <w:t>es ordenar la entrega del documento donde conste el presupuesto autorizado a Tesorería, Área de Atención a Adultos Mayores, Área de Alimentación y Asistencia Social, área de Atención a personas con Discapacidad y a Comunicación Social; así como el estado analítico de ingresos y egresos durante los ejercicios fiscales 2025 y 2026.</w:t>
      </w:r>
    </w:p>
    <w:p w14:paraId="21E037E1"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1CC71D4" w14:textId="77777777" w:rsidR="00B2722B" w:rsidRPr="00E05D09" w:rsidRDefault="004425A1">
      <w:pPr>
        <w:numPr>
          <w:ilvl w:val="0"/>
          <w:numId w:val="2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Puntos 12, 14, 32, 43, 52 y 54 del cuadro descriptivo</w:t>
      </w:r>
    </w:p>
    <w:p w14:paraId="0B37A99C" w14:textId="77777777" w:rsidR="00B2722B" w:rsidRPr="00E05D09" w:rsidRDefault="00B2722B">
      <w:pPr>
        <w:spacing w:line="360" w:lineRule="auto"/>
        <w:ind w:right="49"/>
        <w:jc w:val="center"/>
        <w:rPr>
          <w:rFonts w:ascii="Palatino Linotype" w:eastAsia="Palatino Linotype" w:hAnsi="Palatino Linotype" w:cs="Palatino Linotype"/>
        </w:rPr>
      </w:pPr>
    </w:p>
    <w:p w14:paraId="7172861C" w14:textId="77777777" w:rsidR="00B2722B" w:rsidRPr="00E05D09" w:rsidRDefault="004425A1">
      <w:pPr>
        <w:numPr>
          <w:ilvl w:val="0"/>
          <w:numId w:val="1"/>
        </w:numPr>
        <w:spacing w:line="360" w:lineRule="auto"/>
        <w:ind w:left="0" w:right="-28"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En continuidad resulta necesario traer a colación lo establecido en los artículos 1, fracción III, y 4 de la Ley de la de Contratación Pública del Estado de México y Municipios, especifica que los Ayuntamientos y sus organismos serán los encargados de realizar los actos relativos a la planeación, programación, presupuestación, ejecución y control de la adquisición (bienes muebles e inmuebles), arrendamiento (bienes muebles e inmuebles), y la contratación de servicios de cualquier naturaleza. </w:t>
      </w:r>
    </w:p>
    <w:p w14:paraId="131648DF"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 xml:space="preserve">Artículo 4.- </w:t>
      </w:r>
      <w:r w:rsidRPr="00E05D09">
        <w:rPr>
          <w:rFonts w:ascii="Palatino Linotype" w:eastAsia="Palatino Linotype" w:hAnsi="Palatino Linotype" w:cs="Palatino Linotype"/>
          <w:i/>
          <w:iCs/>
        </w:rPr>
        <w:t>Para los efectos de esta Ley, en las adquisiciones, enajenaciones, arrendamientos y servicios, quedan comprendidos:</w:t>
      </w:r>
    </w:p>
    <w:p w14:paraId="58F65C4A" w14:textId="77777777" w:rsidR="00B2722B" w:rsidRPr="00E05D09" w:rsidRDefault="00B2722B">
      <w:pPr>
        <w:ind w:left="567" w:right="539"/>
        <w:jc w:val="both"/>
        <w:rPr>
          <w:rFonts w:ascii="Palatino Linotype" w:eastAsia="Palatino Linotype" w:hAnsi="Palatino Linotype" w:cs="Palatino Linotype"/>
          <w:i/>
          <w:iCs/>
        </w:rPr>
      </w:pPr>
    </w:p>
    <w:p w14:paraId="7E3F7572"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lastRenderedPageBreak/>
        <w:t xml:space="preserve">V. </w:t>
      </w:r>
      <w:r w:rsidRPr="00E05D09">
        <w:rPr>
          <w:rFonts w:ascii="Palatino Linotype" w:eastAsia="Palatino Linotype" w:hAnsi="Palatino Linotype" w:cs="Palatino Linotype"/>
          <w:i/>
          <w:iCs/>
        </w:rPr>
        <w:t xml:space="preserve">La contratación de los servicios, relacionados con bienes muebles que se encuentran incorporados o adheridos a bienes inmuebles, cuya instalación o mantenimiento no implique modificación al bien inmueble. </w:t>
      </w:r>
    </w:p>
    <w:p w14:paraId="63898C33" w14:textId="77777777" w:rsidR="00B2722B" w:rsidRPr="00E05D09" w:rsidRDefault="00B2722B">
      <w:pPr>
        <w:ind w:left="567" w:right="539"/>
        <w:jc w:val="both"/>
        <w:rPr>
          <w:rFonts w:ascii="Palatino Linotype" w:eastAsia="Palatino Linotype" w:hAnsi="Palatino Linotype" w:cs="Palatino Linotype"/>
          <w:i/>
          <w:iCs/>
        </w:rPr>
      </w:pPr>
    </w:p>
    <w:p w14:paraId="2ED46F0C"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VI. La contratación de los servicios de reconstrucción y mantenimiento de bienes muebles. </w:t>
      </w:r>
    </w:p>
    <w:p w14:paraId="26B4F621" w14:textId="77777777" w:rsidR="00B2722B" w:rsidRPr="00E05D09" w:rsidRDefault="00B2722B">
      <w:pPr>
        <w:ind w:left="567" w:right="539"/>
        <w:jc w:val="both"/>
        <w:rPr>
          <w:rFonts w:ascii="Palatino Linotype" w:eastAsia="Palatino Linotype" w:hAnsi="Palatino Linotype" w:cs="Palatino Linotype"/>
          <w:i/>
          <w:iCs/>
        </w:rPr>
      </w:pPr>
    </w:p>
    <w:p w14:paraId="07531081"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VII. La contratación de los servicios de maquila, seguros y transportación, así como de los de limpieza y vigilancia de bienes inmuebles.</w:t>
      </w:r>
    </w:p>
    <w:p w14:paraId="18ACE767"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w:t>
      </w:r>
    </w:p>
    <w:p w14:paraId="3C361949" w14:textId="77777777" w:rsidR="00B2722B" w:rsidRPr="00E05D09" w:rsidRDefault="00B2722B">
      <w:pPr>
        <w:ind w:left="567" w:right="539"/>
        <w:jc w:val="both"/>
        <w:rPr>
          <w:rFonts w:ascii="Palatino Linotype" w:eastAsia="Palatino Linotype" w:hAnsi="Palatino Linotype" w:cs="Palatino Linotype"/>
          <w:i/>
          <w:iCs/>
        </w:rPr>
      </w:pPr>
    </w:p>
    <w:p w14:paraId="0274C836" w14:textId="77777777" w:rsidR="00B2722B" w:rsidRPr="00E05D09" w:rsidRDefault="004425A1">
      <w:pPr>
        <w:ind w:left="567" w:right="539"/>
        <w:jc w:val="both"/>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t>En general, otros actos que impliquen la contratación de servicios de cualquier naturaleza.</w:t>
      </w:r>
    </w:p>
    <w:p w14:paraId="5531660E" w14:textId="77777777" w:rsidR="00B2722B" w:rsidRPr="00E05D09" w:rsidRDefault="004425A1">
      <w:pPr>
        <w:ind w:left="567"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b/>
          <w:bCs/>
          <w:i/>
          <w:iCs/>
        </w:rPr>
        <w:t>…</w:t>
      </w:r>
    </w:p>
    <w:p w14:paraId="632507E5" w14:textId="77777777" w:rsidR="00B2722B" w:rsidRPr="00E05D09" w:rsidRDefault="00B2722B">
      <w:pPr>
        <w:pBdr>
          <w:top w:val="nil"/>
          <w:left w:val="nil"/>
          <w:bottom w:val="nil"/>
          <w:right w:val="nil"/>
          <w:between w:val="nil"/>
        </w:pBdr>
        <w:spacing w:line="360" w:lineRule="auto"/>
        <w:ind w:left="644"/>
        <w:rPr>
          <w:rFonts w:ascii="Palatino Linotype" w:eastAsia="Palatino Linotype" w:hAnsi="Palatino Linotype" w:cs="Palatino Linotype"/>
          <w:color w:val="000000"/>
        </w:rPr>
      </w:pPr>
    </w:p>
    <w:p w14:paraId="1EACC0BF" w14:textId="77777777" w:rsidR="00B2722B" w:rsidRPr="00E05D09" w:rsidRDefault="004425A1">
      <w:pPr>
        <w:numPr>
          <w:ilvl w:val="0"/>
          <w:numId w:val="1"/>
        </w:numPr>
        <w:spacing w:line="360" w:lineRule="auto"/>
        <w:ind w:left="0" w:right="-28"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En ese contexto las adquisiciones, arrendamientos y servicios, se adjudicarán a través de procedimientos de licitación pública, invitación restringida y adjudicación directa.</w:t>
      </w:r>
    </w:p>
    <w:p w14:paraId="646B3015" w14:textId="77777777" w:rsidR="00B2722B" w:rsidRPr="00E05D09" w:rsidRDefault="00B2722B">
      <w:pPr>
        <w:spacing w:line="360" w:lineRule="auto"/>
        <w:ind w:right="-787"/>
        <w:jc w:val="both"/>
        <w:rPr>
          <w:rFonts w:ascii="Palatino Linotype" w:eastAsia="Palatino Linotype" w:hAnsi="Palatino Linotype" w:cs="Palatino Linotype"/>
          <w:color w:val="000000"/>
        </w:rPr>
      </w:pPr>
    </w:p>
    <w:p w14:paraId="7F208784" w14:textId="77777777" w:rsidR="00B2722B" w:rsidRPr="00E05D09" w:rsidRDefault="004425A1">
      <w:pPr>
        <w:numPr>
          <w:ilvl w:val="0"/>
          <w:numId w:val="1"/>
        </w:numPr>
        <w:spacing w:line="360" w:lineRule="auto"/>
        <w:ind w:left="0" w:right="-28"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En este orden de ideas, la Ley de Contratación Pública del Estado de México prevé que las adquisiciones, arrendamientos y servicios se adjudicarán mediante licitación pública, esto previa emisión de una convocatoria pública; invitación restringida o adjudicación directa , asimismo la legislación en análisis regula lo siguiente sobre el tópico en estudio: </w:t>
      </w:r>
    </w:p>
    <w:p w14:paraId="616A7112"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 xml:space="preserve">“Artículo 35.- </w:t>
      </w:r>
      <w:r w:rsidRPr="00E05D09">
        <w:rPr>
          <w:rFonts w:ascii="Palatino Linotype" w:eastAsia="Palatino Linotype" w:hAnsi="Palatino Linotype" w:cs="Palatino Linotype"/>
          <w:i/>
          <w:iCs/>
        </w:rPr>
        <w:t xml:space="preserve">En los </w:t>
      </w:r>
      <w:r w:rsidRPr="00E05D09">
        <w:rPr>
          <w:rFonts w:ascii="Palatino Linotype" w:eastAsia="Palatino Linotype" w:hAnsi="Palatino Linotype" w:cs="Palatino Linotype"/>
          <w:b/>
          <w:bCs/>
          <w:i/>
          <w:iCs/>
        </w:rPr>
        <w:t>procedimientos de licitación pública</w:t>
      </w:r>
      <w:r w:rsidRPr="00E05D09">
        <w:rPr>
          <w:rFonts w:ascii="Palatino Linotype" w:eastAsia="Palatino Linotype" w:hAnsi="Palatino Linotype" w:cs="Palatino Linotype"/>
          <w:i/>
          <w:iCs/>
        </w:rPr>
        <w:t xml:space="preserve"> se observará lo siguiente: </w:t>
      </w:r>
    </w:p>
    <w:p w14:paraId="4B8099E7"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 xml:space="preserve">I. </w:t>
      </w:r>
      <w:r w:rsidRPr="00E05D09">
        <w:rPr>
          <w:rFonts w:ascii="Palatino Linotype" w:eastAsia="Palatino Linotype" w:hAnsi="Palatino Linotype" w:cs="Palatino Linotype"/>
          <w:i/>
          <w:iCs/>
        </w:rPr>
        <w:t xml:space="preserve">El acto de presentación y apertura de propuestas se llevará a cabo por el servidor público que designe la convocante, conforme al procedimiento que se establezca en el reglamento de esta Ley. </w:t>
      </w:r>
    </w:p>
    <w:p w14:paraId="1F9D0F02" w14:textId="77777777" w:rsidR="00B2722B" w:rsidRPr="00E05D09" w:rsidRDefault="004425A1">
      <w:pPr>
        <w:ind w:left="567" w:right="539"/>
        <w:jc w:val="both"/>
        <w:rPr>
          <w:rFonts w:ascii="Palatino Linotype" w:eastAsia="Palatino Linotype" w:hAnsi="Palatino Linotype" w:cs="Palatino Linotype"/>
          <w:b/>
          <w:bCs/>
          <w:i/>
          <w:iCs/>
          <w:u w:val="single"/>
        </w:rPr>
      </w:pPr>
      <w:r w:rsidRPr="00E05D09">
        <w:rPr>
          <w:rFonts w:ascii="Palatino Linotype" w:eastAsia="Palatino Linotype" w:hAnsi="Palatino Linotype" w:cs="Palatino Linotype"/>
          <w:b/>
          <w:bCs/>
          <w:i/>
          <w:iCs/>
        </w:rPr>
        <w:t xml:space="preserve">II. </w:t>
      </w:r>
      <w:r w:rsidRPr="00E05D09">
        <w:rPr>
          <w:rFonts w:ascii="Palatino Linotype" w:eastAsia="Palatino Linotype" w:hAnsi="Palatino Linotype" w:cs="Palatino Linotype"/>
          <w:i/>
          <w:iCs/>
        </w:rPr>
        <w:t>El comité de adquisiciones y servicios evaluará y analizará las propuestas técnicas y económicas presentadas por los licitantes en el ámbito de las respectivas competencias de sus integrantes, y emitirá el dictamen de adjudicación.</w:t>
      </w:r>
      <w:r w:rsidRPr="00E05D09">
        <w:rPr>
          <w:rFonts w:ascii="Palatino Linotype" w:eastAsia="Palatino Linotype" w:hAnsi="Palatino Linotype" w:cs="Palatino Linotype"/>
          <w:b/>
          <w:bCs/>
          <w:i/>
          <w:iCs/>
          <w:u w:val="single"/>
        </w:rPr>
        <w:t xml:space="preserve"> </w:t>
      </w:r>
    </w:p>
    <w:p w14:paraId="67557C44"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 xml:space="preserve">III. </w:t>
      </w:r>
      <w:r w:rsidRPr="00E05D09">
        <w:rPr>
          <w:rFonts w:ascii="Palatino Linotype" w:eastAsia="Palatino Linotype" w:hAnsi="Palatino Linotype" w:cs="Palatino Linotype"/>
          <w:i/>
          <w:iCs/>
        </w:rPr>
        <w:t xml:space="preserve">Las bases de licitación se pondrán a la venta a partir de la fecha de publicación de la convocatoria y hasta el día hábil anterior a la fecha de celebración de la junta de aclaraciones o, en su defecto, del acto de presentación y apertura de propuestas. </w:t>
      </w:r>
    </w:p>
    <w:p w14:paraId="558D33EA"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lastRenderedPageBreak/>
        <w:t xml:space="preserve">IV. </w:t>
      </w:r>
      <w:r w:rsidRPr="00E05D09">
        <w:rPr>
          <w:rFonts w:ascii="Palatino Linotype" w:eastAsia="Palatino Linotype" w:hAnsi="Palatino Linotype" w:cs="Palatino Linotype"/>
          <w:i/>
          <w:iCs/>
        </w:rPr>
        <w:t>Las convocantes podrán modificar los plazos y términos establecidos en la convocatoria o en las bases de licitación, hasta cinco días hábiles anteriores a la fecha de la celebración del acto de presentación y apertura de propuestas.</w:t>
      </w:r>
    </w:p>
    <w:p w14:paraId="250D7179"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 xml:space="preserve">V. </w:t>
      </w:r>
      <w:r w:rsidRPr="00E05D09">
        <w:rPr>
          <w:rFonts w:ascii="Palatino Linotype" w:eastAsia="Palatino Linotype" w:hAnsi="Palatino Linotype" w:cs="Palatino Linotype"/>
          <w:i/>
          <w:iCs/>
        </w:rPr>
        <w:t xml:space="preserve">Las modificaciones no podrán limitar el número de licitantes, sustituir o variar sustancialmente los bienes o servicios convocados originalmente, ni adicionar otros distintos. </w:t>
      </w:r>
    </w:p>
    <w:p w14:paraId="0FC70427"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 xml:space="preserve">VI. </w:t>
      </w:r>
      <w:r w:rsidRPr="00E05D09">
        <w:rPr>
          <w:rFonts w:ascii="Palatino Linotype" w:eastAsia="Palatino Linotype" w:hAnsi="Palatino Linotype" w:cs="Palatino Linotype"/>
          <w:i/>
          <w:iCs/>
        </w:rPr>
        <w:t xml:space="preserve">Las modificaciones a la convocatoria o a las bases se harán del conocimiento de los interesados hasta tres días hábiles antes de la fecha señalada para el acto de presentación y apertura de propuestas. </w:t>
      </w:r>
    </w:p>
    <w:p w14:paraId="60F713CC"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 xml:space="preserve">VII. </w:t>
      </w:r>
      <w:r w:rsidRPr="00E05D09">
        <w:rPr>
          <w:rFonts w:ascii="Palatino Linotype" w:eastAsia="Palatino Linotype" w:hAnsi="Palatino Linotype" w:cs="Palatino Linotype"/>
          <w:i/>
          <w:iCs/>
        </w:rPr>
        <w:t xml:space="preserve">Se emitirá el fallo dentro de los 15 días hábiles siguientes a la publicación de la convocatoria. </w:t>
      </w:r>
    </w:p>
    <w:p w14:paraId="01BF6BD4"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 xml:space="preserve">VIII. </w:t>
      </w:r>
      <w:r w:rsidRPr="00E05D09">
        <w:rPr>
          <w:rFonts w:ascii="Palatino Linotype" w:eastAsia="Palatino Linotype" w:hAnsi="Palatino Linotype" w:cs="Palatino Linotype"/>
          <w:i/>
          <w:iCs/>
        </w:rPr>
        <w:t>Los licitantes se podrán registrar hasta el día y la hora fijados para el acto de presentación y apertura de propuestas.</w:t>
      </w:r>
    </w:p>
    <w:p w14:paraId="27985B04" w14:textId="77777777" w:rsidR="00B2722B" w:rsidRPr="00E05D09" w:rsidRDefault="00B2722B">
      <w:pPr>
        <w:ind w:left="567" w:right="539"/>
        <w:jc w:val="both"/>
        <w:rPr>
          <w:rFonts w:ascii="Palatino Linotype" w:eastAsia="Palatino Linotype" w:hAnsi="Palatino Linotype" w:cs="Palatino Linotype"/>
          <w:i/>
          <w:iCs/>
        </w:rPr>
      </w:pPr>
    </w:p>
    <w:p w14:paraId="1AE8685F" w14:textId="77777777" w:rsidR="00B2722B" w:rsidRPr="00E05D09" w:rsidRDefault="004425A1">
      <w:pPr>
        <w:ind w:left="567" w:right="539"/>
        <w:jc w:val="center"/>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t>DE LA INVITACIÓN RESTRINGIDA</w:t>
      </w:r>
    </w:p>
    <w:p w14:paraId="60F8CCAA" w14:textId="77777777" w:rsidR="00B2722B" w:rsidRPr="00E05D09" w:rsidRDefault="00B2722B">
      <w:pPr>
        <w:ind w:left="567" w:right="539"/>
        <w:jc w:val="center"/>
        <w:rPr>
          <w:rFonts w:ascii="Palatino Linotype" w:eastAsia="Palatino Linotype" w:hAnsi="Palatino Linotype" w:cs="Palatino Linotype"/>
          <w:i/>
          <w:iCs/>
        </w:rPr>
      </w:pPr>
    </w:p>
    <w:p w14:paraId="43D092E3"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Artículo 44</w:t>
      </w:r>
      <w:r w:rsidRPr="00E05D09">
        <w:rPr>
          <w:rFonts w:ascii="Palatino Linotype" w:eastAsia="Palatino Linotype" w:hAnsi="Palatino Linotype" w:cs="Palatino Linotype"/>
          <w:i/>
          <w:iCs/>
        </w:rPr>
        <w:t xml:space="preserve">.- La Oficialía Mayor, las entidades, los tribunales administrativos y los ayuntamientos podrán adquirir y contratar servicios mediante invitación restringida, cuando: </w:t>
      </w:r>
    </w:p>
    <w:p w14:paraId="339FF558" w14:textId="77777777" w:rsidR="00B2722B" w:rsidRPr="00E05D09" w:rsidRDefault="00B2722B">
      <w:pPr>
        <w:ind w:left="567" w:right="539"/>
        <w:jc w:val="both"/>
        <w:rPr>
          <w:rFonts w:ascii="Palatino Linotype" w:eastAsia="Palatino Linotype" w:hAnsi="Palatino Linotype" w:cs="Palatino Linotype"/>
          <w:i/>
          <w:iCs/>
        </w:rPr>
      </w:pPr>
    </w:p>
    <w:p w14:paraId="1A93F382"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 Se hubiere declarado desierto un procedimiento de licitación, o </w:t>
      </w:r>
    </w:p>
    <w:p w14:paraId="38F18118" w14:textId="77777777" w:rsidR="00B2722B" w:rsidRPr="00E05D09" w:rsidRDefault="00B2722B">
      <w:pPr>
        <w:ind w:left="567" w:right="539"/>
        <w:jc w:val="both"/>
        <w:rPr>
          <w:rFonts w:ascii="Palatino Linotype" w:eastAsia="Palatino Linotype" w:hAnsi="Palatino Linotype" w:cs="Palatino Linotype"/>
          <w:i/>
          <w:iCs/>
        </w:rPr>
      </w:pPr>
    </w:p>
    <w:p w14:paraId="23F23868"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II. El importe de la operación no exceda de los montos establecidos por el Presupuesto de Egresos del Gobierno del Estado de México del ejercicio correspondiente. </w:t>
      </w:r>
    </w:p>
    <w:p w14:paraId="1E6ABA96" w14:textId="77777777" w:rsidR="00B2722B" w:rsidRPr="00E05D09" w:rsidRDefault="00B2722B">
      <w:pPr>
        <w:ind w:left="567" w:right="539"/>
        <w:jc w:val="both"/>
        <w:rPr>
          <w:rFonts w:ascii="Palatino Linotype" w:eastAsia="Palatino Linotype" w:hAnsi="Palatino Linotype" w:cs="Palatino Linotype"/>
          <w:i/>
          <w:iCs/>
        </w:rPr>
      </w:pPr>
    </w:p>
    <w:p w14:paraId="7F84C6EF"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La Oficialía Mayor,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14:paraId="23D0B2BE" w14:textId="77777777" w:rsidR="00B2722B" w:rsidRPr="00E05D09" w:rsidRDefault="00B2722B">
      <w:pPr>
        <w:ind w:left="567" w:right="539"/>
        <w:jc w:val="both"/>
        <w:rPr>
          <w:rFonts w:ascii="Palatino Linotype" w:eastAsia="Palatino Linotype" w:hAnsi="Palatino Linotype" w:cs="Palatino Linotype"/>
          <w:i/>
          <w:iCs/>
        </w:rPr>
      </w:pPr>
    </w:p>
    <w:p w14:paraId="1865D680"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En la invitación deberá especificarse si en el proceso de asignación aplicará la modalidad de subasta inversa. </w:t>
      </w:r>
    </w:p>
    <w:p w14:paraId="15E2BE2D" w14:textId="77777777" w:rsidR="00B2722B" w:rsidRPr="00E05D09" w:rsidRDefault="00B2722B">
      <w:pPr>
        <w:ind w:left="567" w:right="539"/>
        <w:jc w:val="both"/>
        <w:rPr>
          <w:rFonts w:ascii="Palatino Linotype" w:eastAsia="Palatino Linotype" w:hAnsi="Palatino Linotype" w:cs="Palatino Linotype"/>
          <w:i/>
          <w:iCs/>
        </w:rPr>
      </w:pPr>
    </w:p>
    <w:p w14:paraId="36A67760"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Artículo 45</w:t>
      </w:r>
      <w:r w:rsidRPr="00E05D09">
        <w:rPr>
          <w:rFonts w:ascii="Palatino Linotype" w:eastAsia="Palatino Linotype" w:hAnsi="Palatino Linotype" w:cs="Palatino Linotype"/>
          <w:i/>
          <w:iCs/>
        </w:rPr>
        <w:t xml:space="preserve">.- El procedimiento establecido en el artículo anterior, comprende la invitación de tres personas cuando menos, que serán seleccionadas de entre las que se inscriban en el catálogo de proveedores cuando exista el número de proveedores referidos. </w:t>
      </w:r>
    </w:p>
    <w:p w14:paraId="2B3E6C1A" w14:textId="77777777" w:rsidR="00B2722B" w:rsidRPr="00E05D09" w:rsidRDefault="00B2722B">
      <w:pPr>
        <w:ind w:left="567" w:right="539"/>
        <w:jc w:val="both"/>
        <w:rPr>
          <w:rFonts w:ascii="Palatino Linotype" w:eastAsia="Palatino Linotype" w:hAnsi="Palatino Linotype" w:cs="Palatino Linotype"/>
          <w:i/>
          <w:iCs/>
        </w:rPr>
      </w:pPr>
    </w:p>
    <w:p w14:paraId="14C5ED33"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lastRenderedPageBreak/>
        <w:t>Artículo 46</w:t>
      </w:r>
      <w:r w:rsidRPr="00E05D09">
        <w:rPr>
          <w:rFonts w:ascii="Palatino Linotype" w:eastAsia="Palatino Linotype" w:hAnsi="Palatino Linotype" w:cs="Palatino Linotype"/>
          <w:i/>
          <w:iCs/>
        </w:rPr>
        <w:t>.- El procedimiento de invitación restringida se desarrollará en los términos de la licitación pública, a excepción de la publicación de la convocatoria.</w:t>
      </w:r>
    </w:p>
    <w:p w14:paraId="08298982" w14:textId="77777777" w:rsidR="00B2722B" w:rsidRPr="00E05D09" w:rsidRDefault="00B2722B">
      <w:pPr>
        <w:ind w:left="567" w:right="539"/>
        <w:jc w:val="both"/>
        <w:rPr>
          <w:rFonts w:ascii="Palatino Linotype" w:eastAsia="Palatino Linotype" w:hAnsi="Palatino Linotype" w:cs="Palatino Linotype"/>
          <w:i/>
          <w:iCs/>
        </w:rPr>
      </w:pPr>
    </w:p>
    <w:p w14:paraId="3C8CFABF" w14:textId="77777777" w:rsidR="00B2722B" w:rsidRPr="00E05D09" w:rsidRDefault="004425A1">
      <w:pPr>
        <w:ind w:left="567" w:right="539"/>
        <w:jc w:val="center"/>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DE LA ADJUDICACIÓN DIRECTA</w:t>
      </w:r>
    </w:p>
    <w:p w14:paraId="077C45E9" w14:textId="77777777" w:rsidR="00B2722B" w:rsidRPr="00E05D09" w:rsidRDefault="00B2722B">
      <w:pPr>
        <w:ind w:left="567" w:right="539"/>
        <w:jc w:val="both"/>
        <w:rPr>
          <w:rFonts w:ascii="Palatino Linotype" w:eastAsia="Palatino Linotype" w:hAnsi="Palatino Linotype" w:cs="Palatino Linotype"/>
          <w:i/>
          <w:iCs/>
        </w:rPr>
      </w:pPr>
    </w:p>
    <w:p w14:paraId="4592AAED"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Artículo 48.-</w:t>
      </w:r>
      <w:r w:rsidRPr="00E05D09">
        <w:rPr>
          <w:rFonts w:ascii="Palatino Linotype" w:eastAsia="Palatino Linotype" w:hAnsi="Palatino Linotype" w:cs="Palatino Linotype"/>
          <w:i/>
          <w:iCs/>
        </w:rPr>
        <w:t xml:space="preserve"> La Oficialía Mayor, las entidades, los tribunales administrativos y los ayuntamientos podrán adquirir bienes, arrendar bienes muebles e inmuebles y contratar servicios, mediante adjudicación directa, cuando: </w:t>
      </w:r>
    </w:p>
    <w:p w14:paraId="26B4112D" w14:textId="77777777" w:rsidR="00B2722B" w:rsidRPr="00E05D09" w:rsidRDefault="00B2722B">
      <w:pPr>
        <w:ind w:left="567" w:right="539"/>
        <w:jc w:val="both"/>
        <w:rPr>
          <w:rFonts w:ascii="Palatino Linotype" w:eastAsia="Palatino Linotype" w:hAnsi="Palatino Linotype" w:cs="Palatino Linotype"/>
          <w:i/>
          <w:iCs/>
        </w:rPr>
      </w:pPr>
    </w:p>
    <w:p w14:paraId="6503C556"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 La adquisición o el servicio sólo puedan realizarse con una determinada persona, por tratarse de obras de arte, titularidad de patentes, registros, marcas específicas, derechos de autor u otros derechos exclusivos. </w:t>
      </w:r>
    </w:p>
    <w:p w14:paraId="5CB653D9"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II.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14:paraId="59BBA357"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III. Se trate de servicios que requieran de experiencia, técnicas o equipos especiales, o se trate de la adquisición de bienes usados o de características especiales que solamente puedan ser prestados o suministrados por una sola persona. </w:t>
      </w:r>
    </w:p>
    <w:p w14:paraId="0E7635F2"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14:paraId="6800499F"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V. Existan circunstancias que puedan provocar pérdidas o costos adicionales importantes al erario. </w:t>
      </w:r>
    </w:p>
    <w:p w14:paraId="6E154841"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VI. Pueda comprometerse información de naturaleza confidencial para el Estado o municipios, por razones de seguridad pública. </w:t>
      </w:r>
    </w:p>
    <w:p w14:paraId="4181CA3E"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VII. Existan circunstancias extraordinarias o imprevisibles derivadas de riesgo o desastre. En este supuesto, la adquisición, arrendamiento y servicio deberá limitarse a lo estrictamente necesario para enfrentar tal eventualidad. </w:t>
      </w:r>
    </w:p>
    <w:p w14:paraId="2B388444"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VIII. Se hubiere rescindido un contrato, por causas imputables al proveedor o que la persona que habiendo resultado ganadora en una licitación, no concurra a la suscripción del contrato dentro del plazo establecido en esta Ley. En estos supuestos, la Oficialía Mayor, la entidad, el tribunal administrativo o el ayuntamiento podrá adjudicar el contrato al licitante que haya </w:t>
      </w:r>
      <w:r w:rsidRPr="00E05D09">
        <w:rPr>
          <w:rFonts w:ascii="Palatino Linotype" w:eastAsia="Palatino Linotype" w:hAnsi="Palatino Linotype" w:cs="Palatino Linotype"/>
          <w:i/>
          <w:iCs/>
        </w:rPr>
        <w:lastRenderedPageBreak/>
        <w:t xml:space="preserve">presentado la propuesta solvente más cercana a la ganadora y así, sucesivamente. En todo caso, la diferencia de precio no deberá de ser superior al diez por ciento, respecto de la propuesta ganadora. </w:t>
      </w:r>
    </w:p>
    <w:p w14:paraId="3236F314"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IX. Se hubiere declarado desierto un procedimiento de invitación restringida. </w:t>
      </w:r>
    </w:p>
    <w:p w14:paraId="01181FF5"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X. Cuando se aseguren condiciones financieras que permitan al Estado o a los municipios cumplir con la obligación de pago de manera diferida, sin que ello implique un costo financiero adicional o que habiéndolo, sea inferior al del mercado, o</w:t>
      </w:r>
    </w:p>
    <w:p w14:paraId="158EBDBE"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XI.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14:paraId="2011DD4C"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w:t>
      </w:r>
    </w:p>
    <w:p w14:paraId="68635F39" w14:textId="77777777" w:rsidR="00B2722B" w:rsidRPr="00E05D09" w:rsidRDefault="00B2722B">
      <w:pPr>
        <w:spacing w:line="360" w:lineRule="auto"/>
        <w:ind w:right="-787"/>
        <w:jc w:val="both"/>
        <w:rPr>
          <w:rFonts w:ascii="Palatino Linotype" w:eastAsia="Palatino Linotype" w:hAnsi="Palatino Linotype" w:cs="Palatino Linotype"/>
        </w:rPr>
      </w:pPr>
    </w:p>
    <w:p w14:paraId="4748EF27" w14:textId="77777777" w:rsidR="00B2722B" w:rsidRPr="00E05D09" w:rsidRDefault="004425A1">
      <w:pPr>
        <w:numPr>
          <w:ilvl w:val="0"/>
          <w:numId w:val="1"/>
        </w:numPr>
        <w:spacing w:line="360" w:lineRule="auto"/>
        <w:ind w:left="0" w:right="113"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Posteriormente los entes públicos deberán ceñirse al procedimiento dispuesto por el Reglamento de la legislación en referencia, el cual se cita a continuación para mejor proveer del estudio: </w:t>
      </w:r>
    </w:p>
    <w:p w14:paraId="540B7A71" w14:textId="77777777" w:rsidR="00B2722B" w:rsidRPr="00E05D09" w:rsidRDefault="004425A1">
      <w:pPr>
        <w:ind w:left="567" w:right="539"/>
        <w:jc w:val="center"/>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“TÍTULO SEXTO</w:t>
      </w:r>
    </w:p>
    <w:p w14:paraId="576521A2" w14:textId="77777777" w:rsidR="00B2722B" w:rsidRPr="00E05D09" w:rsidRDefault="004425A1">
      <w:pPr>
        <w:ind w:left="567" w:right="539"/>
        <w:jc w:val="center"/>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DE LOS PROCEDIMIENTOS DE ADQUISICIÓN</w:t>
      </w:r>
    </w:p>
    <w:p w14:paraId="5DC822DC" w14:textId="77777777" w:rsidR="00B2722B" w:rsidRPr="00E05D09" w:rsidRDefault="004425A1">
      <w:pPr>
        <w:ind w:left="567" w:right="539"/>
        <w:jc w:val="center"/>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CAPÍTULO PRIMERO</w:t>
      </w:r>
    </w:p>
    <w:p w14:paraId="61EE380C" w14:textId="77777777" w:rsidR="00B2722B" w:rsidRPr="00E05D09" w:rsidRDefault="004425A1">
      <w:pPr>
        <w:ind w:left="567" w:right="539"/>
        <w:jc w:val="center"/>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DE LA LICITACIÓN PÚBLICA</w:t>
      </w:r>
    </w:p>
    <w:p w14:paraId="0AE9144E" w14:textId="77777777" w:rsidR="00B2722B" w:rsidRPr="00E05D09" w:rsidRDefault="004425A1">
      <w:pPr>
        <w:ind w:left="567" w:right="539"/>
        <w:jc w:val="center"/>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SECCIÓN PRIMERA</w:t>
      </w:r>
    </w:p>
    <w:p w14:paraId="2ABCB60D" w14:textId="77777777" w:rsidR="00B2722B" w:rsidRPr="00E05D09" w:rsidRDefault="004425A1">
      <w:pPr>
        <w:ind w:left="567" w:right="539"/>
        <w:jc w:val="center"/>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t>GENERALIDADES</w:t>
      </w:r>
    </w:p>
    <w:p w14:paraId="24A0CFAA" w14:textId="77777777" w:rsidR="00B2722B" w:rsidRPr="00E05D09" w:rsidRDefault="00B2722B">
      <w:pPr>
        <w:ind w:left="567" w:right="539"/>
        <w:rPr>
          <w:rFonts w:ascii="Palatino Linotype" w:eastAsia="Palatino Linotype" w:hAnsi="Palatino Linotype" w:cs="Palatino Linotype"/>
          <w:i/>
          <w:iCs/>
        </w:rPr>
      </w:pPr>
    </w:p>
    <w:p w14:paraId="484B766A" w14:textId="77777777" w:rsidR="00B2722B" w:rsidRPr="00E05D09" w:rsidRDefault="004425A1">
      <w:pPr>
        <w:ind w:left="567" w:right="539"/>
        <w:jc w:val="both"/>
        <w:rPr>
          <w:rFonts w:ascii="Palatino Linotype" w:eastAsia="Palatino Linotype" w:hAnsi="Palatino Linotype" w:cs="Palatino Linotype"/>
          <w:b/>
          <w:bCs/>
          <w:i/>
          <w:iCs/>
          <w:u w:val="single"/>
        </w:rPr>
      </w:pPr>
      <w:r w:rsidRPr="00E05D09">
        <w:rPr>
          <w:rFonts w:ascii="Palatino Linotype" w:eastAsia="Palatino Linotype" w:hAnsi="Palatino Linotype" w:cs="Palatino Linotype"/>
          <w:b/>
          <w:bCs/>
          <w:i/>
          <w:iCs/>
        </w:rPr>
        <w:t xml:space="preserve">Artículo 61.- </w:t>
      </w:r>
      <w:r w:rsidRPr="00E05D09">
        <w:rPr>
          <w:rFonts w:ascii="Palatino Linotype" w:eastAsia="Palatino Linotype" w:hAnsi="Palatino Linotype" w:cs="Palatino Linotype"/>
          <w:i/>
          <w:iCs/>
        </w:rPr>
        <w:t xml:space="preserve">La Secretaría, organismos auxiliares, tribunales administrativos y </w:t>
      </w:r>
      <w:r w:rsidRPr="00E05D09">
        <w:rPr>
          <w:rFonts w:ascii="Palatino Linotype" w:eastAsia="Palatino Linotype" w:hAnsi="Palatino Linotype" w:cs="Palatino Linotype"/>
          <w:b/>
          <w:bCs/>
          <w:i/>
          <w:iCs/>
          <w:u w:val="single"/>
        </w:rPr>
        <w:t xml:space="preserve">municipios podrán realizar licitaciones públicas, para la adquisición, arrendamiento de bienes y la contratación de servicios de cualquier naturaleza, conforme a las previsiones y disposiciones presupuestarias respectivas. </w:t>
      </w:r>
    </w:p>
    <w:p w14:paraId="120A8931" w14:textId="77777777" w:rsidR="00B2722B" w:rsidRPr="00E05D09" w:rsidRDefault="00B2722B">
      <w:pPr>
        <w:ind w:left="567" w:right="539"/>
        <w:jc w:val="both"/>
        <w:rPr>
          <w:rFonts w:ascii="Palatino Linotype" w:eastAsia="Palatino Linotype" w:hAnsi="Palatino Linotype" w:cs="Palatino Linotype"/>
          <w:b/>
          <w:bCs/>
          <w:i/>
          <w:iCs/>
        </w:rPr>
      </w:pPr>
    </w:p>
    <w:p w14:paraId="393DD79F"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lastRenderedPageBreak/>
        <w:t xml:space="preserve">Artículo 62.- </w:t>
      </w:r>
      <w:r w:rsidRPr="00E05D09">
        <w:rPr>
          <w:rFonts w:ascii="Palatino Linotype" w:eastAsia="Palatino Linotype" w:hAnsi="Palatino Linotype" w:cs="Palatino Linotype"/>
          <w:b/>
          <w:bCs/>
          <w:i/>
          <w:iCs/>
          <w:u w:val="single"/>
        </w:rPr>
        <w:t>Las personas que participen en los procedimientos licitatorios que convoquen la Secretaría, organismos auxiliares, tribunales administrativos y municipios, tendrán igual acceso a la información relacionada con éstos; cumplirán los mismos requisitos y participarán bajo las mismas condiciones</w:t>
      </w:r>
      <w:r w:rsidRPr="00E05D09">
        <w:rPr>
          <w:rFonts w:ascii="Palatino Linotype" w:eastAsia="Palatino Linotype" w:hAnsi="Palatino Linotype" w:cs="Palatino Linotype"/>
          <w:i/>
          <w:iCs/>
        </w:rPr>
        <w:t xml:space="preserve">. </w:t>
      </w:r>
    </w:p>
    <w:p w14:paraId="1485B8CB"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w:t>
      </w:r>
    </w:p>
    <w:p w14:paraId="690F08E7"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 xml:space="preserve">Artículo 67.- </w:t>
      </w:r>
      <w:r w:rsidRPr="00E05D09">
        <w:rPr>
          <w:rFonts w:ascii="Palatino Linotype" w:eastAsia="Palatino Linotype" w:hAnsi="Palatino Linotype" w:cs="Palatino Linotype"/>
          <w:i/>
          <w:iCs/>
        </w:rPr>
        <w:t xml:space="preserve">El procedimiento de licitación pública comprende las siguientes fases: </w:t>
      </w:r>
    </w:p>
    <w:p w14:paraId="00D578DD"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 Publicación de la convocatoria; </w:t>
      </w:r>
    </w:p>
    <w:p w14:paraId="188A5BD4"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II. Venta de las bases de licitación; </w:t>
      </w:r>
    </w:p>
    <w:p w14:paraId="0EF18792"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III. Visita, en su caso, al sitio donde se vayan a suministrar los bienes o a prestar los servicios; </w:t>
      </w:r>
    </w:p>
    <w:p w14:paraId="62EAA9D1"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IV. Junta de aclaraciones, en su caso; </w:t>
      </w:r>
    </w:p>
    <w:p w14:paraId="5F819AD7"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V. Acto de presentación y apertura de propuestas; </w:t>
      </w:r>
    </w:p>
    <w:p w14:paraId="0A1E1F72"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VI. Análisis y evaluación de propuestas; </w:t>
      </w:r>
    </w:p>
    <w:p w14:paraId="40A91D20"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VII. Dictamen de adjudicación; </w:t>
      </w:r>
    </w:p>
    <w:p w14:paraId="32CF1DC2"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VIII. Fallo; </w:t>
      </w:r>
    </w:p>
    <w:p w14:paraId="4EB559BE"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IX. Suscripción del contrato; y </w:t>
      </w:r>
    </w:p>
    <w:p w14:paraId="1E40A5B1"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X. Suministro de los bienes o inicio de la prestación del servicio. </w:t>
      </w:r>
    </w:p>
    <w:p w14:paraId="31213EB5" w14:textId="77777777" w:rsidR="00B2722B" w:rsidRPr="00E05D09" w:rsidRDefault="00B2722B">
      <w:pPr>
        <w:ind w:left="567" w:right="539"/>
        <w:jc w:val="both"/>
        <w:rPr>
          <w:rFonts w:ascii="Palatino Linotype" w:eastAsia="Palatino Linotype" w:hAnsi="Palatino Linotype" w:cs="Palatino Linotype"/>
          <w:i/>
          <w:iCs/>
        </w:rPr>
      </w:pPr>
    </w:p>
    <w:p w14:paraId="636F8390"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 xml:space="preserve">Artículo 68.- </w:t>
      </w:r>
      <w:r w:rsidRPr="00E05D09">
        <w:rPr>
          <w:rFonts w:ascii="Palatino Linotype" w:eastAsia="Palatino Linotype" w:hAnsi="Palatino Linotype" w:cs="Palatino Linotype"/>
          <w:i/>
          <w:iCs/>
        </w:rPr>
        <w:t xml:space="preserve">En el procedimiento de licitación pública se observará lo siguiente: </w:t>
      </w:r>
    </w:p>
    <w:p w14:paraId="48171509" w14:textId="77777777" w:rsidR="00B2722B" w:rsidRPr="00E05D09" w:rsidRDefault="00B2722B">
      <w:pPr>
        <w:ind w:left="567" w:right="539"/>
        <w:jc w:val="both"/>
        <w:rPr>
          <w:rFonts w:ascii="Palatino Linotype" w:eastAsia="Palatino Linotype" w:hAnsi="Palatino Linotype" w:cs="Palatino Linotype"/>
          <w:i/>
          <w:iCs/>
        </w:rPr>
      </w:pPr>
    </w:p>
    <w:p w14:paraId="388EDF6C"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 La convocante con base en las necesidades de las unidades administrativas solicitantes de la adquisición de bienes o la contratación de servicios, y atendiendo a las características de los mismos, programará las fechas en que tendrá verificativo la junta de aclaraciones, en su caso, y el acto de presentación y apertura de propuestas, y fallo, dentro del plazo de quince días hábiles siguientes a la publicación de la convocatoria; </w:t>
      </w:r>
    </w:p>
    <w:p w14:paraId="5C1E1450"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II. La venta de bases iniciará a partir del día de publicación de la convocatoria y concluirá el día hábil anterior al día de celebración de la junta de aclaraciones. </w:t>
      </w:r>
    </w:p>
    <w:p w14:paraId="08FE385A" w14:textId="77777777" w:rsidR="00B2722B" w:rsidRPr="00E05D09" w:rsidRDefault="00B2722B">
      <w:pPr>
        <w:ind w:left="567" w:right="539"/>
        <w:jc w:val="both"/>
        <w:rPr>
          <w:rFonts w:ascii="Palatino Linotype" w:eastAsia="Palatino Linotype" w:hAnsi="Palatino Linotype" w:cs="Palatino Linotype"/>
          <w:i/>
          <w:iCs/>
        </w:rPr>
      </w:pPr>
    </w:p>
    <w:p w14:paraId="1BC48EC4"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Cuando no se celebre junta de aclaraciones, la venta de bases concluirá el día hábil anterior a la celebración del acto de presentación y apertura de propuestas. </w:t>
      </w:r>
    </w:p>
    <w:p w14:paraId="5EA5C646"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En todo caso, el plazo de venta de bases no será menor a tres días hábiles contados a partir del día de la publicación de la convocatoria; </w:t>
      </w:r>
    </w:p>
    <w:p w14:paraId="18B459CD"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III. La convocante podrá modificar la convocatoria o las bases dentro de los cinco días hábiles anteriores a la fecha de la celebración del acto de presentación y apertura de propuestas. En caso de que no se celebre junta de aclaraciones y se hagan modificaciones a la convocatoria o a las bases, se ajustará el plazo programado para la celebración del acto de presentación y apertura de propuestas; </w:t>
      </w:r>
    </w:p>
    <w:p w14:paraId="59E5D64D"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lastRenderedPageBreak/>
        <w:t xml:space="preserve">IV. Tales modificaciones se harán del conocimiento de los interesados tres días hábiles anteriores a la fecha señalada para la celebración del acto de presentación y apertura de propuestas, lo cual podrá ser a través del sistema COMPRAMEX; y </w:t>
      </w:r>
    </w:p>
    <w:p w14:paraId="615B3717"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V. La junta de aclaraciones deberá realizarse tres días hábiles antes de la celebración del acto de presentación y apertura de propuestas. Las modificaciones que se deriven de la junta de aclaraciones formarán parte integral de las bases y se entregará copia simple del acta correspondiente a las personas que acrediten haberlas adquirido. </w:t>
      </w:r>
    </w:p>
    <w:p w14:paraId="035D5583" w14:textId="77777777" w:rsidR="00B2722B" w:rsidRPr="00E05D09" w:rsidRDefault="00B2722B">
      <w:pPr>
        <w:ind w:left="567" w:right="539"/>
        <w:jc w:val="both"/>
        <w:rPr>
          <w:rFonts w:ascii="Palatino Linotype" w:eastAsia="Palatino Linotype" w:hAnsi="Palatino Linotype" w:cs="Palatino Linotype"/>
          <w:i/>
          <w:iCs/>
        </w:rPr>
      </w:pPr>
    </w:p>
    <w:p w14:paraId="2EA62223"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 xml:space="preserve">Artículo 69.- </w:t>
      </w:r>
      <w:r w:rsidRPr="00E05D09">
        <w:rPr>
          <w:rFonts w:ascii="Palatino Linotype" w:eastAsia="Palatino Linotype" w:hAnsi="Palatino Linotype" w:cs="Palatino Linotype"/>
          <w:i/>
          <w:iCs/>
        </w:rPr>
        <w:t>En los procedimientos de licitación pública cuyo monto rebase el equivalente a dos millones de salario mínimo general vigente en la Capital del Estado y en aquellos casos en los que el área solicitante así lo determine por su complejidad o impacto que tenga en sus programas sustantivos, será obligatoria la participación de testigos sociales, en términos del Título Décimo del Libro Primero del Código Administrativo del Estado de México.</w:t>
      </w:r>
    </w:p>
    <w:p w14:paraId="36785E40" w14:textId="77777777" w:rsidR="00B2722B" w:rsidRPr="00E05D09" w:rsidRDefault="00B2722B">
      <w:pPr>
        <w:ind w:left="567" w:right="539"/>
        <w:jc w:val="both"/>
        <w:rPr>
          <w:rFonts w:ascii="Palatino Linotype" w:eastAsia="Palatino Linotype" w:hAnsi="Palatino Linotype" w:cs="Palatino Linotype"/>
          <w:i/>
          <w:iCs/>
        </w:rPr>
      </w:pPr>
    </w:p>
    <w:p w14:paraId="42C4864E" w14:textId="77777777" w:rsidR="00B2722B" w:rsidRPr="00E05D09" w:rsidRDefault="004425A1">
      <w:pPr>
        <w:ind w:left="567" w:right="539"/>
        <w:jc w:val="center"/>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t>CAPÍTULO SEGUNDO</w:t>
      </w:r>
    </w:p>
    <w:p w14:paraId="08613C00" w14:textId="77777777" w:rsidR="00B2722B" w:rsidRPr="00E05D09" w:rsidRDefault="004425A1">
      <w:pPr>
        <w:ind w:left="567" w:right="539"/>
        <w:jc w:val="center"/>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t>DE LAS EXCEPCIONES A LA LICITACION PÚBLICA</w:t>
      </w:r>
    </w:p>
    <w:p w14:paraId="1547816D" w14:textId="77777777" w:rsidR="00B2722B" w:rsidRPr="00E05D09" w:rsidRDefault="004425A1">
      <w:pPr>
        <w:ind w:left="567" w:right="539"/>
        <w:jc w:val="center"/>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t>SECCIÓN PRIMERA</w:t>
      </w:r>
    </w:p>
    <w:p w14:paraId="733CF9A0" w14:textId="77777777" w:rsidR="00B2722B" w:rsidRPr="00E05D09" w:rsidRDefault="004425A1">
      <w:pPr>
        <w:ind w:left="567" w:right="539"/>
        <w:jc w:val="center"/>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t>DE LA INVITACIÓN RESTRINGIDA</w:t>
      </w:r>
    </w:p>
    <w:p w14:paraId="054176D3" w14:textId="77777777" w:rsidR="00B2722B" w:rsidRPr="00E05D09" w:rsidRDefault="00B2722B">
      <w:pPr>
        <w:ind w:left="567" w:right="539"/>
        <w:jc w:val="center"/>
        <w:rPr>
          <w:rFonts w:ascii="Palatino Linotype" w:eastAsia="Palatino Linotype" w:hAnsi="Palatino Linotype" w:cs="Palatino Linotype"/>
          <w:b/>
          <w:bCs/>
          <w:i/>
          <w:iCs/>
        </w:rPr>
      </w:pPr>
    </w:p>
    <w:p w14:paraId="3B782E55"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Artículo 90</w:t>
      </w:r>
      <w:r w:rsidRPr="00E05D09">
        <w:rPr>
          <w:rFonts w:ascii="Palatino Linotype" w:eastAsia="Palatino Linotype" w:hAnsi="Palatino Linotype" w:cs="Palatino Linotype"/>
          <w:i/>
          <w:iCs/>
        </w:rPr>
        <w:t xml:space="preserve">.- En el procedimiento de invitación restringida se deberá observar lo siguiente: </w:t>
      </w:r>
    </w:p>
    <w:p w14:paraId="0C9636C4" w14:textId="77777777" w:rsidR="00B2722B" w:rsidRPr="00E05D09" w:rsidRDefault="00B2722B">
      <w:pPr>
        <w:ind w:left="567" w:right="539"/>
        <w:jc w:val="both"/>
        <w:rPr>
          <w:rFonts w:ascii="Palatino Linotype" w:eastAsia="Palatino Linotype" w:hAnsi="Palatino Linotype" w:cs="Palatino Linotype"/>
          <w:i/>
          <w:iCs/>
        </w:rPr>
      </w:pPr>
    </w:p>
    <w:p w14:paraId="79BFC668"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 Se invitará a un mínimo de tres personas seleccionadas de entre las que se encuentren inscritas en el catálogo de proveedores y de prestadores de servicios. </w:t>
      </w:r>
    </w:p>
    <w:p w14:paraId="4D2B6F61" w14:textId="77777777" w:rsidR="00B2722B" w:rsidRPr="00E05D09" w:rsidRDefault="00B2722B">
      <w:pPr>
        <w:ind w:left="567" w:right="539"/>
        <w:jc w:val="both"/>
        <w:rPr>
          <w:rFonts w:ascii="Palatino Linotype" w:eastAsia="Palatino Linotype" w:hAnsi="Palatino Linotype" w:cs="Palatino Linotype"/>
          <w:i/>
          <w:iCs/>
        </w:rPr>
      </w:pPr>
    </w:p>
    <w:p w14:paraId="165CAFC9"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Se podrá invitar a personas que no se encuentren inscritas, cuando en el giro correspondiente del catálogo de proveedores y prestadores de servicios no exista el registro mínimo de personas requeridas para tal modalidad; </w:t>
      </w:r>
    </w:p>
    <w:p w14:paraId="7CD079CC" w14:textId="77777777" w:rsidR="00B2722B" w:rsidRPr="00E05D09" w:rsidRDefault="00B2722B">
      <w:pPr>
        <w:ind w:left="567" w:right="539"/>
        <w:jc w:val="both"/>
        <w:rPr>
          <w:rFonts w:ascii="Palatino Linotype" w:eastAsia="Palatino Linotype" w:hAnsi="Palatino Linotype" w:cs="Palatino Linotype"/>
          <w:i/>
          <w:iCs/>
        </w:rPr>
      </w:pPr>
    </w:p>
    <w:p w14:paraId="64DD87C2"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II. Las bases de la invitación restringida indicarán los aspectos de la adquisición o contratación; y </w:t>
      </w:r>
    </w:p>
    <w:p w14:paraId="21AE1909" w14:textId="77777777" w:rsidR="00B2722B" w:rsidRPr="00E05D09" w:rsidRDefault="00B2722B">
      <w:pPr>
        <w:ind w:left="567" w:right="539"/>
        <w:jc w:val="both"/>
        <w:rPr>
          <w:rFonts w:ascii="Palatino Linotype" w:eastAsia="Palatino Linotype" w:hAnsi="Palatino Linotype" w:cs="Palatino Linotype"/>
          <w:i/>
          <w:iCs/>
        </w:rPr>
      </w:pPr>
    </w:p>
    <w:p w14:paraId="2F0335E7"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III. Serán aplicables, en lo conducente, las disposiciones de la licitación pública.</w:t>
      </w:r>
    </w:p>
    <w:p w14:paraId="2937AB46" w14:textId="77777777" w:rsidR="00B2722B" w:rsidRPr="00E05D09" w:rsidRDefault="00B2722B">
      <w:pPr>
        <w:ind w:left="567" w:right="539"/>
        <w:jc w:val="both"/>
        <w:rPr>
          <w:rFonts w:ascii="Palatino Linotype" w:eastAsia="Palatino Linotype" w:hAnsi="Palatino Linotype" w:cs="Palatino Linotype"/>
          <w:i/>
          <w:iCs/>
        </w:rPr>
      </w:pPr>
    </w:p>
    <w:p w14:paraId="57B2536D" w14:textId="77777777" w:rsidR="00B2722B" w:rsidRPr="00E05D09" w:rsidRDefault="004425A1">
      <w:pPr>
        <w:ind w:left="567" w:right="539"/>
        <w:jc w:val="center"/>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t>SECCIÓN SEGUNDA</w:t>
      </w:r>
    </w:p>
    <w:p w14:paraId="6F3762DF" w14:textId="77777777" w:rsidR="00B2722B" w:rsidRPr="00E05D09" w:rsidRDefault="004425A1">
      <w:pPr>
        <w:ind w:left="567" w:right="539"/>
        <w:jc w:val="center"/>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t>DE LA ADJUDICACIÓN DIRECTA</w:t>
      </w:r>
    </w:p>
    <w:p w14:paraId="3AD902E4" w14:textId="77777777" w:rsidR="00B2722B" w:rsidRPr="00E05D09" w:rsidRDefault="00B2722B">
      <w:pPr>
        <w:ind w:left="567" w:right="539"/>
        <w:jc w:val="both"/>
        <w:rPr>
          <w:rFonts w:ascii="Palatino Linotype" w:eastAsia="Palatino Linotype" w:hAnsi="Palatino Linotype" w:cs="Palatino Linotype"/>
          <w:i/>
          <w:iCs/>
        </w:rPr>
      </w:pPr>
    </w:p>
    <w:p w14:paraId="3250C4AA"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lastRenderedPageBreak/>
        <w:t>Artículo 91</w:t>
      </w:r>
      <w:r w:rsidRPr="00E05D09">
        <w:rPr>
          <w:rFonts w:ascii="Palatino Linotype" w:eastAsia="Palatino Linotype" w:hAnsi="Palatino Linotype" w:cs="Palatino Linotype"/>
          <w:i/>
          <w:iCs/>
        </w:rPr>
        <w:t xml:space="preserve">.- La Secretaría, organismos auxiliares, tribunales administrativos y </w:t>
      </w:r>
      <w:r w:rsidRPr="00E05D09">
        <w:rPr>
          <w:rFonts w:ascii="Palatino Linotype" w:eastAsia="Palatino Linotype" w:hAnsi="Palatino Linotype" w:cs="Palatino Linotype"/>
          <w:b/>
          <w:bCs/>
          <w:i/>
          <w:iCs/>
        </w:rPr>
        <w:t>municipios</w:t>
      </w:r>
      <w:r w:rsidRPr="00E05D09">
        <w:rPr>
          <w:rFonts w:ascii="Palatino Linotype" w:eastAsia="Palatino Linotype" w:hAnsi="Palatino Linotype" w:cs="Palatino Linotype"/>
          <w:i/>
          <w:iCs/>
        </w:rPr>
        <w:t xml:space="preserve"> </w:t>
      </w:r>
      <w:r w:rsidRPr="00E05D09">
        <w:rPr>
          <w:rFonts w:ascii="Palatino Linotype" w:eastAsia="Palatino Linotype" w:hAnsi="Palatino Linotype" w:cs="Palatino Linotype"/>
          <w:b/>
          <w:bCs/>
          <w:i/>
          <w:iCs/>
        </w:rPr>
        <w:t>podrán</w:t>
      </w:r>
      <w:r w:rsidRPr="00E05D09">
        <w:rPr>
          <w:rFonts w:ascii="Palatino Linotype" w:eastAsia="Palatino Linotype" w:hAnsi="Palatino Linotype" w:cs="Palatino Linotype"/>
          <w:i/>
          <w:iCs/>
        </w:rPr>
        <w:t xml:space="preserve"> adquirir, arrendar o enajenar bienes, y contra</w:t>
      </w:r>
      <w:r w:rsidRPr="00E05D09">
        <w:rPr>
          <w:rFonts w:ascii="Palatino Linotype" w:eastAsia="Palatino Linotype" w:hAnsi="Palatino Linotype" w:cs="Palatino Linotype"/>
          <w:b/>
          <w:bCs/>
          <w:i/>
          <w:iCs/>
        </w:rPr>
        <w:t>tar servicios, mediante el procedimiento de adjudicación directa</w:t>
      </w:r>
      <w:r w:rsidRPr="00E05D09">
        <w:rPr>
          <w:rFonts w:ascii="Palatino Linotype" w:eastAsia="Palatino Linotype" w:hAnsi="Palatino Linotype" w:cs="Palatino Linotype"/>
          <w:i/>
          <w:iCs/>
        </w:rPr>
        <w:t xml:space="preserve"> en los términos establecidos por la Ley. </w:t>
      </w:r>
    </w:p>
    <w:p w14:paraId="5F956D72" w14:textId="77777777" w:rsidR="00B2722B" w:rsidRPr="00E05D09" w:rsidRDefault="00B2722B">
      <w:pPr>
        <w:ind w:left="567" w:right="539"/>
        <w:jc w:val="both"/>
        <w:rPr>
          <w:rFonts w:ascii="Palatino Linotype" w:eastAsia="Palatino Linotype" w:hAnsi="Palatino Linotype" w:cs="Palatino Linotype"/>
          <w:i/>
          <w:iCs/>
        </w:rPr>
      </w:pPr>
    </w:p>
    <w:p w14:paraId="02949765"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Artículo 92</w:t>
      </w:r>
      <w:r w:rsidRPr="00E05D09">
        <w:rPr>
          <w:rFonts w:ascii="Palatino Linotype" w:eastAsia="Palatino Linotype" w:hAnsi="Palatino Linotype" w:cs="Palatino Linotype"/>
          <w:i/>
          <w:iCs/>
        </w:rPr>
        <w:t xml:space="preserve">.- </w:t>
      </w:r>
      <w:r w:rsidRPr="00E05D09">
        <w:rPr>
          <w:rFonts w:ascii="Palatino Linotype" w:eastAsia="Palatino Linotype" w:hAnsi="Palatino Linotype" w:cs="Palatino Linotype"/>
          <w:b/>
          <w:bCs/>
          <w:i/>
          <w:iCs/>
        </w:rPr>
        <w:t>Para los procedimientos de adjudicación directa cuyo importe de la operación no rebase los montos establecidos en el Presupuesto de Egresos del Gobierno del Estado en el ejercicio correspondiente y, cuyo importe sea superior al monto determinado para el fondo fijo de caja; se deberá celebrar contrato pedido</w:t>
      </w:r>
      <w:r w:rsidRPr="00E05D09">
        <w:rPr>
          <w:rFonts w:ascii="Palatino Linotype" w:eastAsia="Palatino Linotype" w:hAnsi="Palatino Linotype" w:cs="Palatino Linotype"/>
          <w:i/>
          <w:iCs/>
        </w:rPr>
        <w:t xml:space="preserve">, sin que sea necesario observar las disposiciones de los demás artículos de esta Sección. </w:t>
      </w:r>
    </w:p>
    <w:p w14:paraId="19809D2A" w14:textId="77777777" w:rsidR="00B2722B" w:rsidRPr="00E05D09" w:rsidRDefault="00B2722B">
      <w:pPr>
        <w:ind w:left="567" w:right="539"/>
        <w:jc w:val="both"/>
        <w:rPr>
          <w:rFonts w:ascii="Palatino Linotype" w:eastAsia="Palatino Linotype" w:hAnsi="Palatino Linotype" w:cs="Palatino Linotype"/>
          <w:i/>
          <w:iCs/>
        </w:rPr>
      </w:pPr>
    </w:p>
    <w:p w14:paraId="761A12D3"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En este supuesto, las dependencias, organismos auxiliares y tribunales administrativos deberán obtener preferentemente a través de la Secretaría dentro de los treinta días naturales anteriores a la fecha de la contratación, al menos dos cotizaciones, que deberán sujetarse al precio máximo derivado del estudio de mercado, al que deberán adjudicarse los bienes y servicios; analizando previamente su contenido técnico y económico para seleccionar la que presente las mejores condiciones para el Estado. </w:t>
      </w:r>
    </w:p>
    <w:p w14:paraId="61510CD4" w14:textId="77777777" w:rsidR="00B2722B" w:rsidRPr="00E05D09" w:rsidRDefault="00B2722B">
      <w:pPr>
        <w:ind w:left="567" w:right="539"/>
        <w:jc w:val="both"/>
        <w:rPr>
          <w:rFonts w:ascii="Palatino Linotype" w:eastAsia="Palatino Linotype" w:hAnsi="Palatino Linotype" w:cs="Palatino Linotype"/>
          <w:i/>
          <w:iCs/>
        </w:rPr>
      </w:pPr>
    </w:p>
    <w:p w14:paraId="7D661BAB"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En el caso de los municipios, las cotizaciones deberán obtenerse a través de sus áreas de administración. </w:t>
      </w:r>
    </w:p>
    <w:p w14:paraId="51407C96" w14:textId="77777777" w:rsidR="00B2722B" w:rsidRPr="00E05D09" w:rsidRDefault="00B2722B">
      <w:pPr>
        <w:ind w:left="567" w:right="539"/>
        <w:jc w:val="both"/>
        <w:rPr>
          <w:rFonts w:ascii="Palatino Linotype" w:eastAsia="Palatino Linotype" w:hAnsi="Palatino Linotype" w:cs="Palatino Linotype"/>
          <w:i/>
          <w:iCs/>
        </w:rPr>
      </w:pPr>
    </w:p>
    <w:p w14:paraId="31F85DEF"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Artículo 93</w:t>
      </w:r>
      <w:r w:rsidRPr="00E05D09">
        <w:rPr>
          <w:rFonts w:ascii="Palatino Linotype" w:eastAsia="Palatino Linotype" w:hAnsi="Palatino Linotype" w:cs="Palatino Linotype"/>
          <w:i/>
          <w:iCs/>
        </w:rPr>
        <w:t xml:space="preserve">.- La Secretaría, organismos auxiliares, tribunales administrativos y municipios, solicitarán al comité el dictamen de procedencia del procedimiento de adjudicación directa, acreditando previamente: </w:t>
      </w:r>
    </w:p>
    <w:p w14:paraId="203872B1" w14:textId="77777777" w:rsidR="00B2722B" w:rsidRPr="00E05D09" w:rsidRDefault="00B2722B">
      <w:pPr>
        <w:ind w:left="567" w:right="539"/>
        <w:jc w:val="both"/>
        <w:rPr>
          <w:rFonts w:ascii="Palatino Linotype" w:eastAsia="Palatino Linotype" w:hAnsi="Palatino Linotype" w:cs="Palatino Linotype"/>
          <w:i/>
          <w:iCs/>
        </w:rPr>
      </w:pPr>
    </w:p>
    <w:p w14:paraId="3094B41D"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 La descripción general de los bienes a adquirir o el servicio a contratar; </w:t>
      </w:r>
    </w:p>
    <w:p w14:paraId="53CE7EC5" w14:textId="77777777" w:rsidR="00B2722B" w:rsidRPr="00E05D09" w:rsidRDefault="00B2722B">
      <w:pPr>
        <w:ind w:left="567" w:right="539"/>
        <w:jc w:val="both"/>
        <w:rPr>
          <w:rFonts w:ascii="Palatino Linotype" w:eastAsia="Palatino Linotype" w:hAnsi="Palatino Linotype" w:cs="Palatino Linotype"/>
          <w:i/>
          <w:iCs/>
        </w:rPr>
      </w:pPr>
    </w:p>
    <w:p w14:paraId="33E23B49"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II. La justificación o conveniencia de llevar a cabo la adjudicación directa; y </w:t>
      </w:r>
    </w:p>
    <w:p w14:paraId="090932B2" w14:textId="77777777" w:rsidR="00B2722B" w:rsidRPr="00E05D09" w:rsidRDefault="00B2722B">
      <w:pPr>
        <w:ind w:left="567" w:right="539"/>
        <w:jc w:val="both"/>
        <w:rPr>
          <w:rFonts w:ascii="Palatino Linotype" w:eastAsia="Palatino Linotype" w:hAnsi="Palatino Linotype" w:cs="Palatino Linotype"/>
          <w:i/>
          <w:iCs/>
        </w:rPr>
      </w:pPr>
    </w:p>
    <w:p w14:paraId="40EA7B9B"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III. Certificación de suficiencia presupuestaria.</w:t>
      </w:r>
    </w:p>
    <w:p w14:paraId="7E94B1D6" w14:textId="77777777" w:rsidR="00B2722B" w:rsidRPr="00E05D09" w:rsidRDefault="00B2722B">
      <w:pPr>
        <w:ind w:left="567" w:right="539"/>
        <w:jc w:val="both"/>
        <w:rPr>
          <w:rFonts w:ascii="Palatino Linotype" w:eastAsia="Palatino Linotype" w:hAnsi="Palatino Linotype" w:cs="Palatino Linotype"/>
          <w:i/>
          <w:iCs/>
        </w:rPr>
      </w:pPr>
    </w:p>
    <w:p w14:paraId="2977585A"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El oficio justificatorio a que se refiere la fracción II, deberá formularse por el titular de la unidad administrativa interesada en la adquisición de los bienes, la contratación de servicios o el arrendamiento.</w:t>
      </w:r>
    </w:p>
    <w:p w14:paraId="6285470A" w14:textId="77777777" w:rsidR="00B2722B" w:rsidRPr="00E05D09" w:rsidRDefault="00B2722B">
      <w:pPr>
        <w:ind w:left="567" w:right="539"/>
        <w:jc w:val="both"/>
        <w:rPr>
          <w:rFonts w:ascii="Palatino Linotype" w:eastAsia="Palatino Linotype" w:hAnsi="Palatino Linotype" w:cs="Palatino Linotype"/>
          <w:i/>
          <w:iCs/>
        </w:rPr>
      </w:pPr>
    </w:p>
    <w:p w14:paraId="2E033C60" w14:textId="77777777" w:rsidR="00B2722B" w:rsidRPr="00E05D09" w:rsidRDefault="004425A1">
      <w:pPr>
        <w:ind w:left="567" w:right="539"/>
        <w:jc w:val="both"/>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t xml:space="preserve">Artículo 94.- En el procedimiento de adjudicación directa se observará lo siguiente: </w:t>
      </w:r>
    </w:p>
    <w:p w14:paraId="4D2FFE60" w14:textId="77777777" w:rsidR="00B2722B" w:rsidRPr="00E05D09" w:rsidRDefault="00B2722B">
      <w:pPr>
        <w:ind w:left="567" w:right="539"/>
        <w:jc w:val="both"/>
        <w:rPr>
          <w:rFonts w:ascii="Palatino Linotype" w:eastAsia="Palatino Linotype" w:hAnsi="Palatino Linotype" w:cs="Palatino Linotype"/>
          <w:i/>
          <w:iCs/>
        </w:rPr>
      </w:pPr>
    </w:p>
    <w:p w14:paraId="453E7800"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lastRenderedPageBreak/>
        <w:t xml:space="preserve">I.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 </w:t>
      </w:r>
    </w:p>
    <w:p w14:paraId="088E6AA6"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II.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5A9E2331"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 III. La solicitud de participación contendrá, como mínimo, la descripción y cantidad de los bienes o servicios requeridos, lugar, plazo de entrega o duración del servicio y forma de pago; </w:t>
      </w:r>
    </w:p>
    <w:p w14:paraId="7FB8F42D"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IV. La solicitud de participación deberá señalar el día, hora y lugar en que tendrá verificativo el acto de presentación y apertura de ofertas; </w:t>
      </w:r>
    </w:p>
    <w:p w14:paraId="757C5955"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V. Atendiendo a la naturaleza de los bienes o servicios, la convocante podrá optar entre celebrar o no junta de aclaraciones, en términos de lo dispuesto por este Reglamento; </w:t>
      </w:r>
    </w:p>
    <w:p w14:paraId="3E7BFCCD"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VI. El servidor público designado por la convocante será el responsable de llevar a cabo el acto de presentación y apertura de propuestas; </w:t>
      </w:r>
    </w:p>
    <w:p w14:paraId="359E261B"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VII. Se observarán, en lo conducente, las disposiciones relativas a la contraoferta; y </w:t>
      </w:r>
    </w:p>
    <w:p w14:paraId="0F28A74A"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VIII. El comité será responsable de emitir el dictamen de adjudicación que servirá de base para el fallo de adjudicación; correspondiendo a la convocante emitir dicho fallo, quien lo hará del conocimiento de los licitantes. Los actos referidos en los incisos anteriores deberán documentarse en el acta correspondiente y publicarse en el sistema COMPRAMEX. Artículo 95.- En los procedimientos de adjudicación directa, previa dictaminación del Comité respectivo, la convocante podrá adjudicar el contrato al oferente que reúna el mayor número de requisitos solicitados.</w:t>
      </w:r>
    </w:p>
    <w:p w14:paraId="25A66E51" w14:textId="77777777" w:rsidR="00B2722B" w:rsidRPr="00E05D09" w:rsidRDefault="00B2722B">
      <w:pPr>
        <w:pBdr>
          <w:top w:val="nil"/>
          <w:left w:val="nil"/>
          <w:bottom w:val="nil"/>
          <w:right w:val="nil"/>
          <w:between w:val="nil"/>
        </w:pBdr>
        <w:spacing w:line="360" w:lineRule="auto"/>
        <w:ind w:left="644"/>
        <w:rPr>
          <w:rFonts w:ascii="Palatino Linotype" w:eastAsia="Palatino Linotype" w:hAnsi="Palatino Linotype" w:cs="Palatino Linotype"/>
          <w:color w:val="000000"/>
        </w:rPr>
      </w:pPr>
    </w:p>
    <w:p w14:paraId="7CE2E83F" w14:textId="77777777" w:rsidR="00B2722B" w:rsidRPr="00E05D09" w:rsidRDefault="004425A1">
      <w:pPr>
        <w:numPr>
          <w:ilvl w:val="0"/>
          <w:numId w:val="1"/>
        </w:numPr>
        <w:spacing w:line="360" w:lineRule="auto"/>
        <w:ind w:left="0" w:right="-28"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Conforme al artículo 65, de la Ley de Contratación Pública del Estado de México y Municipios, </w:t>
      </w:r>
      <w:r w:rsidRPr="00E05D09">
        <w:rPr>
          <w:rFonts w:ascii="Palatino Linotype" w:eastAsia="Palatino Linotype" w:hAnsi="Palatino Linotype" w:cs="Palatino Linotype"/>
          <w:b/>
          <w:bCs/>
          <w:color w:val="000000"/>
        </w:rPr>
        <w:t>la adjudicación de un procedimiento de adquisición y arrendamiento de bienes y contratación de servicios se realizará mediante la suscripción de un contrato</w:t>
      </w:r>
      <w:r w:rsidRPr="00E05D09">
        <w:rPr>
          <w:rFonts w:ascii="Palatino Linotype" w:eastAsia="Palatino Linotype" w:hAnsi="Palatino Linotype" w:cs="Palatino Linotype"/>
          <w:color w:val="000000"/>
        </w:rPr>
        <w:t>, entre el Sujeto Obligado y la persona a la cual haya ganado el procedimiento respectivo, dentro de los diez días hábiles siguientes a la notificación del fallo.</w:t>
      </w:r>
    </w:p>
    <w:p w14:paraId="27F4BC63" w14:textId="77777777" w:rsidR="00B2722B" w:rsidRPr="00E05D09" w:rsidRDefault="00B2722B">
      <w:pPr>
        <w:spacing w:line="360" w:lineRule="auto"/>
        <w:ind w:right="-787"/>
        <w:jc w:val="both"/>
        <w:rPr>
          <w:rFonts w:ascii="Palatino Linotype" w:eastAsia="Palatino Linotype" w:hAnsi="Palatino Linotype" w:cs="Palatino Linotype"/>
          <w:color w:val="000000"/>
        </w:rPr>
      </w:pPr>
    </w:p>
    <w:p w14:paraId="72EBF369" w14:textId="77777777" w:rsidR="00B2722B" w:rsidRPr="00E05D09" w:rsidRDefault="004425A1">
      <w:pPr>
        <w:numPr>
          <w:ilvl w:val="0"/>
          <w:numId w:val="1"/>
        </w:numPr>
        <w:spacing w:line="360" w:lineRule="auto"/>
        <w:ind w:left="0" w:right="-28" w:firstLine="0"/>
        <w:jc w:val="both"/>
        <w:rPr>
          <w:rFonts w:ascii="Palatino Linotype" w:eastAsia="Palatino Linotype" w:hAnsi="Palatino Linotype" w:cs="Palatino Linotype"/>
        </w:rPr>
      </w:pPr>
      <w:r w:rsidRPr="00E05D09">
        <w:rPr>
          <w:rFonts w:ascii="Palatino Linotype" w:eastAsia="Palatino Linotype" w:hAnsi="Palatino Linotype" w:cs="Palatino Linotype"/>
          <w:color w:val="000000"/>
        </w:rPr>
        <w:lastRenderedPageBreak/>
        <w:t>Ahora</w:t>
      </w:r>
      <w:r w:rsidRPr="00E05D09">
        <w:rPr>
          <w:rFonts w:ascii="Palatino Linotype" w:eastAsia="Palatino Linotype" w:hAnsi="Palatino Linotype" w:cs="Palatino Linotype"/>
        </w:rPr>
        <w:t xml:space="preserve"> bien, por cuanto hace a los contratos que emanan de los procedimientos que regula la Ley de Contratación Pública del Estado de México y Municipios, el Reglamento de esta, establece que los instrumentos jurídicos vinculantes deberán reunir los siguientes elementos: </w:t>
      </w:r>
    </w:p>
    <w:p w14:paraId="60E5EDFE" w14:textId="77777777" w:rsidR="00B2722B" w:rsidRPr="00E05D09" w:rsidRDefault="004425A1">
      <w:pPr>
        <w:ind w:left="566" w:right="539"/>
        <w:jc w:val="center"/>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“TÍTULO NOVENO</w:t>
      </w:r>
    </w:p>
    <w:p w14:paraId="6FE80402" w14:textId="77777777" w:rsidR="00B2722B" w:rsidRPr="00E05D09" w:rsidRDefault="004425A1">
      <w:pPr>
        <w:ind w:left="566" w:right="539"/>
        <w:jc w:val="center"/>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DE LOS CONTRATOS</w:t>
      </w:r>
    </w:p>
    <w:p w14:paraId="32EEBFA8" w14:textId="77777777" w:rsidR="00B2722B" w:rsidRPr="00E05D09" w:rsidRDefault="004425A1">
      <w:pPr>
        <w:ind w:left="566"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Artículo 120.- Los contratos relacionados con las materias reguladas por la Ley referirán, como mínimo, lo siguiente:</w:t>
      </w:r>
      <w:r w:rsidRPr="00E05D09">
        <w:rPr>
          <w:rFonts w:ascii="Palatino Linotype" w:eastAsia="Palatino Linotype" w:hAnsi="Palatino Linotype" w:cs="Palatino Linotype"/>
          <w:i/>
          <w:iCs/>
        </w:rPr>
        <w:t xml:space="preserve"> </w:t>
      </w:r>
    </w:p>
    <w:p w14:paraId="0C3B5E7C" w14:textId="77777777" w:rsidR="00B2722B" w:rsidRPr="00E05D09" w:rsidRDefault="004425A1">
      <w:pPr>
        <w:ind w:left="566"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 Objeto; </w:t>
      </w:r>
    </w:p>
    <w:p w14:paraId="5CA47557" w14:textId="77777777" w:rsidR="00B2722B" w:rsidRPr="00E05D09" w:rsidRDefault="004425A1">
      <w:pPr>
        <w:ind w:left="566"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II. Fecha de suministro de los bienes o período de prestación del servicio; </w:t>
      </w:r>
    </w:p>
    <w:p w14:paraId="2C367096" w14:textId="77777777" w:rsidR="00B2722B" w:rsidRPr="00E05D09" w:rsidRDefault="004425A1">
      <w:pPr>
        <w:ind w:left="566"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III. Datos del procedimiento que dio origen al contrato; </w:t>
      </w:r>
    </w:p>
    <w:p w14:paraId="3F89E623" w14:textId="77777777" w:rsidR="00B2722B" w:rsidRPr="00E05D09" w:rsidRDefault="004425A1">
      <w:pPr>
        <w:ind w:left="566"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IV. Importe total; </w:t>
      </w:r>
    </w:p>
    <w:p w14:paraId="284E96AC" w14:textId="77777777" w:rsidR="00B2722B" w:rsidRPr="00E05D09" w:rsidRDefault="004425A1">
      <w:pPr>
        <w:ind w:left="566"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V. Porcentajes, número y fechas de las exhibiciones y amortización de los anticipos que se otorguen; </w:t>
      </w:r>
    </w:p>
    <w:p w14:paraId="69F702AC" w14:textId="77777777" w:rsidR="00B2722B" w:rsidRPr="00E05D09" w:rsidRDefault="004425A1">
      <w:pPr>
        <w:ind w:left="566"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VI. Formalidades para el otorgamiento y cobro de garantías; </w:t>
      </w:r>
    </w:p>
    <w:p w14:paraId="442E778C" w14:textId="77777777" w:rsidR="00B2722B" w:rsidRPr="00E05D09" w:rsidRDefault="004425A1">
      <w:pPr>
        <w:ind w:left="566"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VII. Penas convencionales por causas imputables al proveedor o prestador del servicio, las que se determinarán en función del incumplimiento de las condiciones convenidas, y que en ningún caso podrán ser superiores, en su conjunto, al monto de la garantía de cumplimiento. Las dependencias, organismos auxiliares, tribunales administrativos y municipios deberán fijar los términos, forma y porcentajes para aplicar las penas convencionales; </w:t>
      </w:r>
    </w:p>
    <w:p w14:paraId="45AD0163" w14:textId="77777777" w:rsidR="00B2722B" w:rsidRPr="00E05D09" w:rsidRDefault="004425A1">
      <w:pPr>
        <w:ind w:left="566"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VIII. Términos en que el proveedor o prestador del servicio, en su caso, reintegrará las cantidades que, en cualquier forma, hubiere recibido en exceso por la contratación; </w:t>
      </w:r>
    </w:p>
    <w:p w14:paraId="191B1067" w14:textId="77777777" w:rsidR="00B2722B" w:rsidRPr="00E05D09" w:rsidRDefault="004425A1">
      <w:pPr>
        <w:ind w:left="566"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IX. Causales por las que la Secretaría, organismos auxiliares, tribunales administrativos o municipios podrán dar por rescindido el contrato y sus efectos; </w:t>
      </w:r>
    </w:p>
    <w:p w14:paraId="3E51064D" w14:textId="77777777" w:rsidR="00B2722B" w:rsidRPr="00E05D09" w:rsidRDefault="004425A1">
      <w:pPr>
        <w:ind w:left="566"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X. Las consecuencias de la cancelación o terminación anticipada por causas imputables al proveedor o prestador del servicio; </w:t>
      </w:r>
    </w:p>
    <w:p w14:paraId="456B8B5E" w14:textId="77777777" w:rsidR="00B2722B" w:rsidRPr="00E05D09" w:rsidRDefault="004425A1">
      <w:pPr>
        <w:ind w:left="566"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XI. Señalamiento del domicilio de las partes, ubicado en el territorio del Estado, o bien, domicilio para oír y recibir notificaciones; y </w:t>
      </w:r>
    </w:p>
    <w:p w14:paraId="49CE755B" w14:textId="77777777" w:rsidR="00B2722B" w:rsidRPr="00E05D09" w:rsidRDefault="004425A1">
      <w:pPr>
        <w:ind w:left="566"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XII. Renuncia expresa al fuero que les pudiera corresponder en función de su domicilio o vecindad presente o futuro. </w:t>
      </w:r>
    </w:p>
    <w:p w14:paraId="10790698" w14:textId="77777777" w:rsidR="00B2722B" w:rsidRPr="00E05D09" w:rsidRDefault="004425A1">
      <w:pPr>
        <w:ind w:left="566"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 xml:space="preserve">Artículo 121.- </w:t>
      </w:r>
      <w:r w:rsidRPr="00E05D09">
        <w:rPr>
          <w:rFonts w:ascii="Palatino Linotype" w:eastAsia="Palatino Linotype" w:hAnsi="Palatino Linotype" w:cs="Palatino Linotype"/>
          <w:i/>
          <w:iCs/>
        </w:rPr>
        <w:t xml:space="preserve">Cuando el contrato sea adjudicado a varios participantes, deberá ser firmado por todos, especificando las obligaciones que a cada uno correspondan. </w:t>
      </w:r>
    </w:p>
    <w:p w14:paraId="0DFEA33A" w14:textId="77777777" w:rsidR="00B2722B" w:rsidRPr="00E05D09" w:rsidRDefault="004425A1">
      <w:pPr>
        <w:ind w:left="566"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 xml:space="preserve">Artículo 122.- </w:t>
      </w:r>
      <w:r w:rsidRPr="00E05D09">
        <w:rPr>
          <w:rFonts w:ascii="Palatino Linotype" w:eastAsia="Palatino Linotype" w:hAnsi="Palatino Linotype" w:cs="Palatino Linotype"/>
          <w:i/>
          <w:iCs/>
        </w:rPr>
        <w:t xml:space="preserve">Cuando dentro del término establecido para ello, el contrato no sea firmado por la persona que resulte adjudicada, la convocante podrá adjudicarlo al oferente que haya presentado la propuesta económica solvente más cercana a la ganadora, y así sucesivamente; </w:t>
      </w:r>
      <w:r w:rsidRPr="00E05D09">
        <w:rPr>
          <w:rFonts w:ascii="Palatino Linotype" w:eastAsia="Palatino Linotype" w:hAnsi="Palatino Linotype" w:cs="Palatino Linotype"/>
          <w:i/>
          <w:iCs/>
        </w:rPr>
        <w:lastRenderedPageBreak/>
        <w:t xml:space="preserve">en todo caso, la diferencia de precio no deberá ser superior al diez por ciento, incluyendo el Impuesto al Valor Agregado, respecto de la propuesta ganadora. </w:t>
      </w:r>
    </w:p>
    <w:p w14:paraId="7CC8AFC6" w14:textId="77777777" w:rsidR="00B2722B" w:rsidRPr="00E05D09" w:rsidRDefault="004425A1">
      <w:pPr>
        <w:ind w:left="566"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 xml:space="preserve">Artículo 123.- </w:t>
      </w:r>
      <w:r w:rsidRPr="00E05D09">
        <w:rPr>
          <w:rFonts w:ascii="Palatino Linotype" w:eastAsia="Palatino Linotype" w:hAnsi="Palatino Linotype" w:cs="Palatino Linotype"/>
          <w:i/>
          <w:iCs/>
        </w:rPr>
        <w:t xml:space="preserve">El proveedor o prestador del servicio que desee transmitir sus derechos de cobro, deberá solicitar por escrito el consentimiento de la contratante, misma que resolverá lo procedente en un término de quince días naturales contados a partir de la presentación de dicha solicitud. </w:t>
      </w:r>
    </w:p>
    <w:p w14:paraId="3A0C389D" w14:textId="77777777" w:rsidR="00B2722B" w:rsidRPr="00E05D09" w:rsidRDefault="004425A1">
      <w:pPr>
        <w:ind w:left="566"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No se generará el pago de gastos o recargos por parte de la contratante, si durante el plazo para emitir la resolución de la transmisión de los derechos de cobro, se origina un retraso en el pago pactado. </w:t>
      </w:r>
    </w:p>
    <w:p w14:paraId="01E4B847" w14:textId="77777777" w:rsidR="00B2722B" w:rsidRPr="00E05D09" w:rsidRDefault="004425A1">
      <w:pPr>
        <w:ind w:left="566"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 xml:space="preserve">Artículo 124.- </w:t>
      </w:r>
      <w:r w:rsidRPr="00E05D09">
        <w:rPr>
          <w:rFonts w:ascii="Palatino Linotype" w:eastAsia="Palatino Linotype" w:hAnsi="Palatino Linotype" w:cs="Palatino Linotype"/>
          <w:i/>
          <w:iCs/>
        </w:rPr>
        <w:t xml:space="preserve">En los contratos se establecerán los casos concretos en los que procederá la subcontratación, la cual invariablemente deberá ser autorizada de manera previa por la contratante; en el entendido de que en ningún caso los licitantes que hayan resultado adjudicados podrán subcontratar a personas físicas o jurídicas colectivas que hayan participado por sí mismos o a través de otros, en el mismo procedimiento licitatorio del que se derive dicho contrato. </w:t>
      </w:r>
    </w:p>
    <w:p w14:paraId="3E7E3C15" w14:textId="77777777" w:rsidR="00B2722B" w:rsidRPr="00E05D09" w:rsidRDefault="004425A1">
      <w:pPr>
        <w:ind w:left="566"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 xml:space="preserve">Artículo 125.- </w:t>
      </w:r>
      <w:r w:rsidRPr="00E05D09">
        <w:rPr>
          <w:rFonts w:ascii="Palatino Linotype" w:eastAsia="Palatino Linotype" w:hAnsi="Palatino Linotype" w:cs="Palatino Linotype"/>
          <w:i/>
          <w:iCs/>
        </w:rPr>
        <w:t xml:space="preserve">La contratante en caso de ser necesario y se aseguren las mejores condiciones disponibles en cuanto precio, calidad, financiamiento, oportunidad y demás circunstancias pertinentes, podrá acordar conforme a las previsiones y disposiciones presupuestarias respectivas, incrementos en la cantidad de bienes adquiridos mediante modificaciones a sus contratos vigentes, dentro de los doce meses posteriores a su suscripción, siempre que el monto total de la modificación no rebase, en su conjunto, el treinta por ciento del importe original y el precio de los bienes sea igual al pactado inicialmente. El incremento se aplicará al importe total del contrato, independientemente de la cantidad de partidas que decidan ampliarse. </w:t>
      </w:r>
    </w:p>
    <w:p w14:paraId="0BD3C5A1" w14:textId="77777777" w:rsidR="00B2722B" w:rsidRPr="00E05D09" w:rsidRDefault="004425A1">
      <w:pPr>
        <w:ind w:left="566"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Igual porcentaje se aplicará a las modificaciones o prórrogas que se hagan respecto a la vigencia de los contratos de prestación de servicios. </w:t>
      </w:r>
    </w:p>
    <w:p w14:paraId="56516D5B" w14:textId="77777777" w:rsidR="00B2722B" w:rsidRPr="00E05D09" w:rsidRDefault="004425A1">
      <w:pPr>
        <w:ind w:left="566"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 xml:space="preserve">Artículo 126.- </w:t>
      </w:r>
      <w:r w:rsidRPr="00E05D09">
        <w:rPr>
          <w:rFonts w:ascii="Palatino Linotype" w:eastAsia="Palatino Linotype" w:hAnsi="Palatino Linotype" w:cs="Palatino Linotype"/>
          <w:i/>
          <w:iCs/>
        </w:rPr>
        <w:t xml:space="preserve">Los contratos de inmuebles del dominio privado se regularán por las disposiciones de la Ley, este Reglamento, las normas, políticas, bases o lineamientos que expida la Secretaría y, supletoriamente, las del Código Civil del Estado de México, en lo conducente. </w:t>
      </w:r>
    </w:p>
    <w:p w14:paraId="0CDD1AEC" w14:textId="77777777" w:rsidR="00B2722B" w:rsidRPr="00E05D09" w:rsidRDefault="004425A1">
      <w:pPr>
        <w:ind w:left="566"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 xml:space="preserve">Artículo 127.- </w:t>
      </w:r>
      <w:r w:rsidRPr="00E05D09">
        <w:rPr>
          <w:rFonts w:ascii="Palatino Linotype" w:eastAsia="Palatino Linotype" w:hAnsi="Palatino Linotype" w:cs="Palatino Linotype"/>
          <w:i/>
          <w:iCs/>
        </w:rPr>
        <w:t xml:space="preserve">Las unidades administrativas usuarias deberán informar por escrito a la contratante, dentro de los cinco días hábiles siguientes contados a partir de la fecha indicada para el suministro de los bienes o prestación del servicio, sobre el cumplimiento o incumplimiento a las condiciones, características y especificaciones técnicas pactadas en los contratos respectivos. </w:t>
      </w:r>
    </w:p>
    <w:p w14:paraId="195E8190" w14:textId="77777777" w:rsidR="00B2722B" w:rsidRPr="00E05D09" w:rsidRDefault="004425A1">
      <w:pPr>
        <w:ind w:left="566"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Al escrito por medio del cual se informe el cumplimiento o incumplimiento del proveedor o prestador del servicio, se adjuntarán copia de las facturas que acrediten el suministro de los bienes o prestación de los servicios relativos. </w:t>
      </w:r>
    </w:p>
    <w:p w14:paraId="599D4322" w14:textId="77777777" w:rsidR="00B2722B" w:rsidRPr="00E05D09" w:rsidRDefault="004425A1">
      <w:pPr>
        <w:ind w:left="566"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lastRenderedPageBreak/>
        <w:t>Lo anterior, podrá ser informado a través del sistema COMPRAMEX.”</w:t>
      </w:r>
    </w:p>
    <w:p w14:paraId="012556AF" w14:textId="77777777" w:rsidR="00B2722B" w:rsidRPr="00E05D09" w:rsidRDefault="00B2722B">
      <w:pPr>
        <w:spacing w:line="360" w:lineRule="auto"/>
        <w:ind w:right="-787"/>
        <w:jc w:val="both"/>
        <w:rPr>
          <w:rFonts w:ascii="Palatino Linotype" w:eastAsia="Palatino Linotype" w:hAnsi="Palatino Linotype" w:cs="Palatino Linotype"/>
        </w:rPr>
      </w:pPr>
    </w:p>
    <w:p w14:paraId="107B1732" w14:textId="77777777" w:rsidR="00B2722B" w:rsidRPr="00E05D09" w:rsidRDefault="004425A1">
      <w:pPr>
        <w:numPr>
          <w:ilvl w:val="0"/>
          <w:numId w:val="1"/>
        </w:numPr>
        <w:spacing w:line="360" w:lineRule="auto"/>
        <w:ind w:left="0" w:right="113"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Dentro del procedimiento de la licitación pública una de las últimas fases es la suscripción del contrato. </w:t>
      </w:r>
      <w:r w:rsidRPr="00E05D09">
        <w:rPr>
          <w:rFonts w:ascii="Palatino Linotype" w:eastAsia="Palatino Linotype" w:hAnsi="Palatino Linotype" w:cs="Palatino Linotype"/>
          <w:color w:val="000000"/>
        </w:rPr>
        <w:t xml:space="preserve">Luego entonces </w:t>
      </w:r>
      <w:r w:rsidRPr="00E05D09">
        <w:rPr>
          <w:rFonts w:ascii="Palatino Linotype" w:eastAsia="Palatino Linotype" w:hAnsi="Palatino Linotype" w:cs="Palatino Linotype"/>
          <w:b/>
          <w:bCs/>
          <w:color w:val="000000"/>
        </w:rPr>
        <w:t>la adjudicación de un procedimiento de adquisición de bienes y servicios se realizará mediante la suscripción de un contrato</w:t>
      </w:r>
      <w:r w:rsidRPr="00E05D09">
        <w:rPr>
          <w:rFonts w:ascii="Palatino Linotype" w:eastAsia="Palatino Linotype" w:hAnsi="Palatino Linotype" w:cs="Palatino Linotype"/>
          <w:color w:val="000000"/>
        </w:rPr>
        <w:t>.</w:t>
      </w:r>
      <w:r w:rsidRPr="00E05D09">
        <w:rPr>
          <w:rFonts w:ascii="Palatino Linotype" w:eastAsia="Palatino Linotype" w:hAnsi="Palatino Linotype" w:cs="Palatino Linotype"/>
        </w:rPr>
        <w:t xml:space="preserve"> </w:t>
      </w:r>
    </w:p>
    <w:p w14:paraId="5D35A5AA" w14:textId="77777777" w:rsidR="00B2722B" w:rsidRPr="00E05D09" w:rsidRDefault="00B2722B">
      <w:pPr>
        <w:spacing w:line="360" w:lineRule="auto"/>
        <w:ind w:right="-787"/>
        <w:jc w:val="both"/>
        <w:rPr>
          <w:rFonts w:ascii="Palatino Linotype" w:eastAsia="Palatino Linotype" w:hAnsi="Palatino Linotype" w:cs="Palatino Linotype"/>
        </w:rPr>
      </w:pPr>
    </w:p>
    <w:p w14:paraId="6E21618E" w14:textId="77777777" w:rsidR="00B2722B" w:rsidRPr="00E05D09" w:rsidRDefault="004425A1">
      <w:pPr>
        <w:numPr>
          <w:ilvl w:val="0"/>
          <w:numId w:val="1"/>
        </w:numPr>
        <w:spacing w:line="360" w:lineRule="auto"/>
        <w:ind w:left="0" w:right="113"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En este mismo sentido se tiene como obligación de transparencia común la de poner a disposición la información relativa a las concesiones, </w:t>
      </w:r>
      <w:r w:rsidRPr="00E05D09">
        <w:rPr>
          <w:rFonts w:ascii="Palatino Linotype" w:eastAsia="Palatino Linotype" w:hAnsi="Palatino Linotype" w:cs="Palatino Linotype"/>
          <w:b/>
          <w:bCs/>
        </w:rPr>
        <w:t>contratos</w:t>
      </w:r>
      <w:r w:rsidRPr="00E05D09">
        <w:rPr>
          <w:rFonts w:ascii="Palatino Linotype" w:eastAsia="Palatino Linotype" w:hAnsi="Palatino Linotype" w:cs="Palatino Linotype"/>
        </w:rPr>
        <w:t>,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tal como lo señala el artículo 92, de la Ley de Transparencia y Acceso a la Información Pública del Estado de México y Municipios:</w:t>
      </w:r>
    </w:p>
    <w:p w14:paraId="060CCCF6" w14:textId="77777777" w:rsidR="00B2722B" w:rsidRPr="00E05D09" w:rsidRDefault="004425A1">
      <w:pPr>
        <w:ind w:left="567" w:right="680"/>
        <w:jc w:val="center"/>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t>De las Obligaciones de Transparencia Comunes</w:t>
      </w:r>
    </w:p>
    <w:p w14:paraId="341FBBC1" w14:textId="77777777" w:rsidR="00B2722B" w:rsidRPr="00E05D09" w:rsidRDefault="00B2722B">
      <w:pPr>
        <w:ind w:left="567" w:right="680"/>
        <w:jc w:val="both"/>
        <w:rPr>
          <w:rFonts w:ascii="Palatino Linotype" w:eastAsia="Palatino Linotype" w:hAnsi="Palatino Linotype" w:cs="Palatino Linotype"/>
          <w:i/>
          <w:iCs/>
        </w:rPr>
      </w:pPr>
    </w:p>
    <w:p w14:paraId="4072B268" w14:textId="77777777" w:rsidR="00B2722B" w:rsidRPr="00E05D09" w:rsidRDefault="004425A1">
      <w:pPr>
        <w:ind w:left="567" w:right="680"/>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Artículo 92</w:t>
      </w:r>
      <w:r w:rsidRPr="00E05D09">
        <w:rPr>
          <w:rFonts w:ascii="Palatino Linotype" w:eastAsia="Palatino Linotype" w:hAnsi="Palatino Linotype" w:cs="Palatino Linotype"/>
          <w:i/>
          <w:iC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B330AB7" w14:textId="77777777" w:rsidR="00B2722B" w:rsidRPr="00E05D09" w:rsidRDefault="004425A1">
      <w:pPr>
        <w:ind w:left="567" w:right="68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w:t>
      </w:r>
    </w:p>
    <w:p w14:paraId="402EB42B" w14:textId="77777777" w:rsidR="00B2722B" w:rsidRPr="00E05D09" w:rsidRDefault="004425A1">
      <w:pPr>
        <w:ind w:left="567" w:right="680"/>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XXIX</w:t>
      </w:r>
      <w:r w:rsidRPr="00E05D09">
        <w:rPr>
          <w:rFonts w:ascii="Palatino Linotype" w:eastAsia="Palatino Linotype" w:hAnsi="Palatino Linotype" w:cs="Palatino Linotype"/>
          <w:i/>
          <w:iCs/>
        </w:rPr>
        <w:t xml:space="preserve">. </w:t>
      </w:r>
      <w:r w:rsidRPr="00E05D09">
        <w:rPr>
          <w:rFonts w:ascii="Palatino Linotype" w:eastAsia="Palatino Linotype" w:hAnsi="Palatino Linotype" w:cs="Palatino Linotype"/>
          <w:b/>
          <w:bCs/>
          <w:i/>
          <w:iCs/>
        </w:rPr>
        <w:t xml:space="preserve">La información sobre los procesos y resultados sobre procedimientos de adjudicación directa, invitación restringida y licitación de cualquier naturaleza, </w:t>
      </w:r>
      <w:r w:rsidRPr="00E05D09">
        <w:rPr>
          <w:rFonts w:ascii="Palatino Linotype" w:eastAsia="Palatino Linotype" w:hAnsi="Palatino Linotype" w:cs="Palatino Linotype"/>
          <w:b/>
          <w:bCs/>
          <w:i/>
          <w:iCs/>
          <w:u w:val="single"/>
        </w:rPr>
        <w:t>incluyendo la versión pública del expediente respectivo y de los contratos celebrados</w:t>
      </w:r>
      <w:r w:rsidRPr="00E05D09">
        <w:rPr>
          <w:rFonts w:ascii="Palatino Linotype" w:eastAsia="Palatino Linotype" w:hAnsi="Palatino Linotype" w:cs="Palatino Linotype"/>
          <w:i/>
          <w:iCs/>
        </w:rPr>
        <w:t xml:space="preserve">, que deberán contener, por los menos, lo siguiente: </w:t>
      </w:r>
    </w:p>
    <w:p w14:paraId="5AC2BD78" w14:textId="77777777" w:rsidR="00B2722B" w:rsidRPr="00E05D09" w:rsidRDefault="00B2722B">
      <w:pPr>
        <w:ind w:left="567" w:right="680"/>
        <w:jc w:val="both"/>
        <w:rPr>
          <w:rFonts w:ascii="Palatino Linotype" w:eastAsia="Palatino Linotype" w:hAnsi="Palatino Linotype" w:cs="Palatino Linotype"/>
          <w:i/>
          <w:iCs/>
        </w:rPr>
      </w:pPr>
    </w:p>
    <w:p w14:paraId="7BEB9B5A" w14:textId="77777777" w:rsidR="00B2722B" w:rsidRPr="00E05D09" w:rsidRDefault="004425A1">
      <w:pPr>
        <w:ind w:left="567" w:right="680"/>
        <w:jc w:val="both"/>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t xml:space="preserve">a) De licitaciones públicas o procedimientos de invitación restringida: </w:t>
      </w:r>
    </w:p>
    <w:p w14:paraId="18B3C814" w14:textId="77777777" w:rsidR="00B2722B" w:rsidRPr="00E05D09" w:rsidRDefault="00B2722B">
      <w:pPr>
        <w:ind w:left="567" w:right="680"/>
        <w:jc w:val="both"/>
        <w:rPr>
          <w:rFonts w:ascii="Palatino Linotype" w:eastAsia="Palatino Linotype" w:hAnsi="Palatino Linotype" w:cs="Palatino Linotype"/>
          <w:i/>
          <w:iCs/>
        </w:rPr>
      </w:pPr>
    </w:p>
    <w:p w14:paraId="440F6ED2" w14:textId="77777777" w:rsidR="00B2722B" w:rsidRPr="00E05D09" w:rsidRDefault="004425A1">
      <w:pPr>
        <w:ind w:left="567" w:right="68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1) La convocatoria o invitación emitida, así como los fundamentos legales aplicados para llevarla a cabo; </w:t>
      </w:r>
    </w:p>
    <w:p w14:paraId="1F1B5A0A" w14:textId="77777777" w:rsidR="00B2722B" w:rsidRPr="00E05D09" w:rsidRDefault="004425A1">
      <w:pPr>
        <w:ind w:left="567" w:right="68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lastRenderedPageBreak/>
        <w:t xml:space="preserve">2) Los nombres de los participantes o invitados; </w:t>
      </w:r>
    </w:p>
    <w:p w14:paraId="7759ECC0" w14:textId="77777777" w:rsidR="00B2722B" w:rsidRPr="00E05D09" w:rsidRDefault="004425A1">
      <w:pPr>
        <w:ind w:left="567" w:right="68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3) El nombre del ganador y las razones que lo justifican; </w:t>
      </w:r>
    </w:p>
    <w:p w14:paraId="4FDC67A7" w14:textId="77777777" w:rsidR="00B2722B" w:rsidRPr="00E05D09" w:rsidRDefault="004425A1">
      <w:pPr>
        <w:ind w:left="567" w:right="68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4) El área solicitante y la responsable de su ejecución; </w:t>
      </w:r>
    </w:p>
    <w:p w14:paraId="55814CB4" w14:textId="77777777" w:rsidR="00B2722B" w:rsidRPr="00E05D09" w:rsidRDefault="004425A1">
      <w:pPr>
        <w:ind w:left="567" w:right="68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5) Las convocatorias e invitaciones emitidas; </w:t>
      </w:r>
    </w:p>
    <w:p w14:paraId="5C6889D4" w14:textId="77777777" w:rsidR="00B2722B" w:rsidRPr="00E05D09" w:rsidRDefault="004425A1">
      <w:pPr>
        <w:ind w:left="567" w:right="68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6) Los dictámenes y fallo de adjudicación;</w:t>
      </w:r>
    </w:p>
    <w:p w14:paraId="317C6E32" w14:textId="77777777" w:rsidR="00B2722B" w:rsidRPr="00E05D09" w:rsidRDefault="004425A1">
      <w:pPr>
        <w:ind w:left="567" w:right="68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7) El contrato y, en su caso, sus anexos; </w:t>
      </w:r>
    </w:p>
    <w:p w14:paraId="0D9C4863" w14:textId="77777777" w:rsidR="00B2722B" w:rsidRPr="00E05D09" w:rsidRDefault="004425A1">
      <w:pPr>
        <w:ind w:left="567" w:right="68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8) Los mecanismos de vigilancia y supervisión, incluyendo en su caso, los estudios de impacto urbano y ambiental, según corresponda; </w:t>
      </w:r>
    </w:p>
    <w:p w14:paraId="3F91B7BC" w14:textId="77777777" w:rsidR="00B2722B" w:rsidRPr="00E05D09" w:rsidRDefault="004425A1">
      <w:pPr>
        <w:ind w:left="567" w:right="68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9) La partida presupuestal, de conformidad con el clasificador por objeto del gasto, en el caso de ser aplicable; </w:t>
      </w:r>
    </w:p>
    <w:p w14:paraId="544282DC" w14:textId="77777777" w:rsidR="00B2722B" w:rsidRPr="00E05D09" w:rsidRDefault="004425A1">
      <w:pPr>
        <w:ind w:left="567" w:right="68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10) Origen de los recursos especificando si son federales, estatales o municipales, así como el tipo de fondo de participación o aportación respectiva; </w:t>
      </w:r>
    </w:p>
    <w:p w14:paraId="16A30A6A" w14:textId="77777777" w:rsidR="00B2722B" w:rsidRPr="00E05D09" w:rsidRDefault="004425A1">
      <w:pPr>
        <w:ind w:left="567" w:right="68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11) Los convenios modificatorios que, en su caso, sean firmados, precisando el objeto y la fecha de celebración; </w:t>
      </w:r>
    </w:p>
    <w:p w14:paraId="07D34BD8" w14:textId="77777777" w:rsidR="00B2722B" w:rsidRPr="00E05D09" w:rsidRDefault="004425A1">
      <w:pPr>
        <w:ind w:left="567" w:right="68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12) Los informes de avance físico y financiero sobre las obras o servicios contratados; </w:t>
      </w:r>
    </w:p>
    <w:p w14:paraId="50114DF2" w14:textId="77777777" w:rsidR="00B2722B" w:rsidRPr="00E05D09" w:rsidRDefault="004425A1">
      <w:pPr>
        <w:ind w:left="567" w:right="68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13) El convenio de terminación; y </w:t>
      </w:r>
    </w:p>
    <w:p w14:paraId="42E82AC2" w14:textId="77777777" w:rsidR="00B2722B" w:rsidRPr="00E05D09" w:rsidRDefault="004425A1">
      <w:pPr>
        <w:ind w:left="567" w:right="68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14) El finiquito. </w:t>
      </w:r>
    </w:p>
    <w:p w14:paraId="5FBD3941" w14:textId="77777777" w:rsidR="00B2722B" w:rsidRPr="00E05D09" w:rsidRDefault="00B2722B">
      <w:pPr>
        <w:ind w:left="567" w:right="680"/>
        <w:jc w:val="both"/>
        <w:rPr>
          <w:rFonts w:ascii="Palatino Linotype" w:eastAsia="Palatino Linotype" w:hAnsi="Palatino Linotype" w:cs="Palatino Linotype"/>
          <w:i/>
          <w:iCs/>
        </w:rPr>
      </w:pPr>
    </w:p>
    <w:p w14:paraId="794A5836" w14:textId="77777777" w:rsidR="00B2722B" w:rsidRPr="00E05D09" w:rsidRDefault="004425A1">
      <w:pPr>
        <w:ind w:left="567" w:right="680"/>
        <w:jc w:val="both"/>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t xml:space="preserve">b) De las adjudicaciones directas: </w:t>
      </w:r>
    </w:p>
    <w:p w14:paraId="34271B82" w14:textId="77777777" w:rsidR="00B2722B" w:rsidRPr="00E05D09" w:rsidRDefault="00B2722B">
      <w:pPr>
        <w:ind w:left="567" w:right="680"/>
        <w:jc w:val="both"/>
        <w:rPr>
          <w:rFonts w:ascii="Palatino Linotype" w:eastAsia="Palatino Linotype" w:hAnsi="Palatino Linotype" w:cs="Palatino Linotype"/>
          <w:i/>
          <w:iCs/>
        </w:rPr>
      </w:pPr>
    </w:p>
    <w:p w14:paraId="5B5728DC" w14:textId="77777777" w:rsidR="00B2722B" w:rsidRPr="00E05D09" w:rsidRDefault="004425A1">
      <w:pPr>
        <w:ind w:left="567" w:right="68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1) La propuesta enviada por el participante; </w:t>
      </w:r>
    </w:p>
    <w:p w14:paraId="39C76992" w14:textId="77777777" w:rsidR="00B2722B" w:rsidRPr="00E05D09" w:rsidRDefault="004425A1">
      <w:pPr>
        <w:ind w:left="567" w:right="68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2) Los motivos y fundamentos legales aplicados para llevarla a cabo; </w:t>
      </w:r>
    </w:p>
    <w:p w14:paraId="3229E43A" w14:textId="77777777" w:rsidR="00B2722B" w:rsidRPr="00E05D09" w:rsidRDefault="004425A1">
      <w:pPr>
        <w:ind w:left="567" w:right="68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3) La autorización del ejercicio de la opción; </w:t>
      </w:r>
    </w:p>
    <w:p w14:paraId="0C2544EA" w14:textId="77777777" w:rsidR="00B2722B" w:rsidRPr="00E05D09" w:rsidRDefault="004425A1">
      <w:pPr>
        <w:ind w:left="567" w:right="68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4) En su caso, las cotizaciones consideradas, especificando los nombres de los proveedores y sus montos; </w:t>
      </w:r>
    </w:p>
    <w:p w14:paraId="0CD16F32" w14:textId="77777777" w:rsidR="00B2722B" w:rsidRPr="00E05D09" w:rsidRDefault="004425A1">
      <w:pPr>
        <w:ind w:left="567" w:right="68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5) El nombre de la persona física o jurídica colectiva adjudicada; </w:t>
      </w:r>
    </w:p>
    <w:p w14:paraId="59A38EC1" w14:textId="77777777" w:rsidR="00B2722B" w:rsidRPr="00E05D09" w:rsidRDefault="004425A1">
      <w:pPr>
        <w:ind w:left="567" w:right="68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6) La unidad administrativa solicitante y la responsable de su ejecución; </w:t>
      </w:r>
    </w:p>
    <w:p w14:paraId="72A867CA" w14:textId="77777777" w:rsidR="00B2722B" w:rsidRPr="00E05D09" w:rsidRDefault="004425A1">
      <w:pPr>
        <w:ind w:left="567" w:right="68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7) El número, fecha, el monto del contrato y el plazo de entrega o de ejecución de los servicios u obra; </w:t>
      </w:r>
    </w:p>
    <w:p w14:paraId="41A29CE1" w14:textId="77777777" w:rsidR="00B2722B" w:rsidRPr="00E05D09" w:rsidRDefault="004425A1">
      <w:pPr>
        <w:ind w:left="567" w:right="68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8) Los mecanismos de vigilancia y supervisión, incluyendo, en su caso, los estudios de impacto urbano y ambiental, según corresponda; </w:t>
      </w:r>
    </w:p>
    <w:p w14:paraId="16693E2E" w14:textId="77777777" w:rsidR="00B2722B" w:rsidRPr="00E05D09" w:rsidRDefault="004425A1">
      <w:pPr>
        <w:ind w:left="567" w:right="68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9) Los informes de avance sobre las obras o servicios contratados; </w:t>
      </w:r>
    </w:p>
    <w:p w14:paraId="5E832767" w14:textId="77777777" w:rsidR="00B2722B" w:rsidRPr="00E05D09" w:rsidRDefault="004425A1">
      <w:pPr>
        <w:ind w:left="567" w:right="68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10) El convenio de terminación; y </w:t>
      </w:r>
    </w:p>
    <w:p w14:paraId="688B7933" w14:textId="77777777" w:rsidR="00B2722B" w:rsidRPr="00E05D09" w:rsidRDefault="004425A1">
      <w:pPr>
        <w:ind w:left="567" w:right="68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11) El finiquito.</w:t>
      </w:r>
    </w:p>
    <w:p w14:paraId="49B5911D" w14:textId="77777777" w:rsidR="00B2722B" w:rsidRPr="00E05D09" w:rsidRDefault="00B2722B">
      <w:pPr>
        <w:ind w:left="567" w:right="680"/>
        <w:jc w:val="both"/>
        <w:rPr>
          <w:rFonts w:ascii="Palatino Linotype" w:eastAsia="Palatino Linotype" w:hAnsi="Palatino Linotype" w:cs="Palatino Linotype"/>
          <w:i/>
          <w:iCs/>
        </w:rPr>
      </w:pPr>
    </w:p>
    <w:p w14:paraId="558CDB7A" w14:textId="77777777" w:rsidR="00B2722B" w:rsidRPr="00E05D09" w:rsidRDefault="004425A1">
      <w:pPr>
        <w:ind w:left="567" w:right="68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w:t>
      </w:r>
    </w:p>
    <w:p w14:paraId="17CCBE46" w14:textId="77777777" w:rsidR="00B2722B" w:rsidRPr="00E05D09" w:rsidRDefault="00B2722B">
      <w:pPr>
        <w:ind w:left="567" w:right="680"/>
        <w:jc w:val="both"/>
        <w:rPr>
          <w:rFonts w:ascii="Palatino Linotype" w:eastAsia="Palatino Linotype" w:hAnsi="Palatino Linotype" w:cs="Palatino Linotype"/>
          <w:i/>
          <w:iCs/>
        </w:rPr>
      </w:pPr>
    </w:p>
    <w:p w14:paraId="24AC4CF0" w14:textId="77777777" w:rsidR="00B2722B" w:rsidRPr="00E05D09" w:rsidRDefault="004425A1">
      <w:pPr>
        <w:ind w:left="567" w:right="680"/>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XXXII</w:t>
      </w:r>
      <w:r w:rsidRPr="00E05D09">
        <w:rPr>
          <w:rFonts w:ascii="Palatino Linotype" w:eastAsia="Palatino Linotype" w:hAnsi="Palatino Linotype" w:cs="Palatino Linotype"/>
          <w:i/>
          <w:iCs/>
        </w:rPr>
        <w:t xml:space="preserve">. Las concesiones, </w:t>
      </w:r>
      <w:r w:rsidRPr="00E05D09">
        <w:rPr>
          <w:rFonts w:ascii="Palatino Linotype" w:eastAsia="Palatino Linotype" w:hAnsi="Palatino Linotype" w:cs="Palatino Linotype"/>
          <w:b/>
          <w:bCs/>
          <w:i/>
          <w:iCs/>
        </w:rPr>
        <w:t>contratos</w:t>
      </w:r>
      <w:r w:rsidRPr="00E05D09">
        <w:rPr>
          <w:rFonts w:ascii="Palatino Linotype" w:eastAsia="Palatino Linotype" w:hAnsi="Palatino Linotype" w:cs="Palatino Linotype"/>
          <w:i/>
          <w:iCs/>
        </w:rPr>
        <w:t xml:space="preserve">, convenios, permisos, licencias o autorizaciones otorgados, especificando los titulares de aquéllos, debiendo publicarse su objeto, nombre o razón social del titular, vigencia, tipo, términos, condiciones, monto y modificaciones, </w:t>
      </w:r>
      <w:r w:rsidRPr="00E05D09">
        <w:rPr>
          <w:rFonts w:ascii="Palatino Linotype" w:eastAsia="Palatino Linotype" w:hAnsi="Palatino Linotype" w:cs="Palatino Linotype"/>
          <w:b/>
          <w:bCs/>
          <w:i/>
          <w:iCs/>
        </w:rPr>
        <w:t>así como si el procedimiento involucra el aprovechamiento de bienes, servicios y/o recursos públicos</w:t>
      </w:r>
      <w:r w:rsidRPr="00E05D09">
        <w:rPr>
          <w:rFonts w:ascii="Palatino Linotype" w:eastAsia="Palatino Linotype" w:hAnsi="Palatino Linotype" w:cs="Palatino Linotype"/>
          <w:i/>
          <w:iCs/>
        </w:rPr>
        <w:t>;</w:t>
      </w:r>
    </w:p>
    <w:p w14:paraId="01104DEF" w14:textId="77777777" w:rsidR="00B2722B" w:rsidRPr="00E05D09" w:rsidRDefault="004425A1">
      <w:pPr>
        <w:ind w:left="567" w:right="68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w:t>
      </w:r>
    </w:p>
    <w:p w14:paraId="698A8CE2" w14:textId="77777777" w:rsidR="00B2722B" w:rsidRPr="00E05D09" w:rsidRDefault="00B2722B">
      <w:pPr>
        <w:pBdr>
          <w:top w:val="nil"/>
          <w:left w:val="nil"/>
          <w:bottom w:val="nil"/>
          <w:right w:val="nil"/>
          <w:between w:val="nil"/>
        </w:pBdr>
        <w:spacing w:line="360" w:lineRule="auto"/>
        <w:ind w:right="-787"/>
        <w:jc w:val="both"/>
        <w:rPr>
          <w:rFonts w:ascii="Palatino Linotype" w:eastAsia="Palatino Linotype" w:hAnsi="Palatino Linotype" w:cs="Palatino Linotype"/>
        </w:rPr>
      </w:pPr>
    </w:p>
    <w:p w14:paraId="034BA9C0"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En consecuencia, se determina que existe fuente obligacional para celebrar contratos con proveedores asignados y autorizados por el </w:t>
      </w:r>
      <w:r w:rsidRPr="00E05D09">
        <w:rPr>
          <w:rFonts w:ascii="Palatino Linotype" w:eastAsia="Palatino Linotype" w:hAnsi="Palatino Linotype" w:cs="Palatino Linotype"/>
          <w:b/>
          <w:bCs/>
          <w:color w:val="000000"/>
        </w:rPr>
        <w:t xml:space="preserve">SUJETO OBLIGADO, </w:t>
      </w:r>
      <w:r w:rsidRPr="00E05D09">
        <w:rPr>
          <w:rFonts w:ascii="Palatino Linotype" w:eastAsia="Palatino Linotype" w:hAnsi="Palatino Linotype" w:cs="Palatino Linotype"/>
          <w:color w:val="000000"/>
        </w:rPr>
        <w:t>relacionados con los apoyos de referencia, existe la obligación de hacer pública la información relacionada con las mismas, de acuerdo al artículo 92 de la Ley de Transparencia Local, ya que existe un interés colectivo de conocer el uso y destino de los recursos públicos, por tanto resulta viable ordenar el o el documento donde conste la relación de proveedores de insumos alimentarios.</w:t>
      </w:r>
    </w:p>
    <w:p w14:paraId="08BBDC0E"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9F5CC7F" w14:textId="77777777" w:rsidR="00B2722B" w:rsidRPr="00E05D09" w:rsidRDefault="004425A1">
      <w:pPr>
        <w:numPr>
          <w:ilvl w:val="0"/>
          <w:numId w:val="2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Puntos 35 y 37 del cuadro descriptivo </w:t>
      </w:r>
    </w:p>
    <w:p w14:paraId="55B2F294"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D10E92D"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Al respecto resulta necesario reiterar que el </w:t>
      </w:r>
      <w:r w:rsidRPr="00E05D09">
        <w:rPr>
          <w:rFonts w:ascii="Palatino Linotype" w:eastAsia="Palatino Linotype" w:hAnsi="Palatino Linotype" w:cs="Palatino Linotype"/>
          <w:b/>
          <w:bCs/>
          <w:color w:val="000000"/>
        </w:rPr>
        <w:t xml:space="preserve">SUJETO OBLIGADO, </w:t>
      </w:r>
      <w:r w:rsidRPr="00E05D09">
        <w:rPr>
          <w:rFonts w:ascii="Palatino Linotype" w:eastAsia="Palatino Linotype" w:hAnsi="Palatino Linotype" w:cs="Palatino Linotype"/>
          <w:color w:val="000000"/>
        </w:rPr>
        <w:t xml:space="preserve">para el cumplimiento de sus funciones y obligaciones posee diversas áreas, que de acuerdo a los puntos que se analiza destaca la Coordinación Casa del Adulto Mayor, misma que atiende las condiciones de vulnerabilidad de las personas adultas mayores a través de atención integral, consisten en consultas médicas, atención psicológica y en algunos casos orientación jurídica a fin de contribuir a que lleven una vida con calidad, lo que advierte que tiene atribuciones para brindar respuesta a lo solicitado por el particular, empero de las constancias que integran el expediente en que actúa no obra constancia de que se haya pronunciado, ni mucho menos que se le haya </w:t>
      </w:r>
      <w:r w:rsidRPr="00E05D09">
        <w:rPr>
          <w:rFonts w:ascii="Palatino Linotype" w:eastAsia="Palatino Linotype" w:hAnsi="Palatino Linotype" w:cs="Palatino Linotype"/>
          <w:color w:val="000000"/>
        </w:rPr>
        <w:lastRenderedPageBreak/>
        <w:t>realizado el requerimiento correspondiente, por ende no se dio cumplimiento a la búsqueda exhaustiva exigida por la ley de la materia.</w:t>
      </w:r>
    </w:p>
    <w:p w14:paraId="1CCE3792" w14:textId="77777777" w:rsidR="00B2722B" w:rsidRPr="00E05D09" w:rsidRDefault="00B2722B">
      <w:pPr>
        <w:pBdr>
          <w:top w:val="nil"/>
          <w:left w:val="nil"/>
          <w:bottom w:val="nil"/>
          <w:right w:val="nil"/>
          <w:between w:val="nil"/>
        </w:pBdr>
        <w:spacing w:line="360" w:lineRule="auto"/>
        <w:ind w:right="113"/>
        <w:jc w:val="both"/>
        <w:rPr>
          <w:rFonts w:ascii="Palatino Linotype" w:eastAsia="Palatino Linotype" w:hAnsi="Palatino Linotype" w:cs="Palatino Linotype"/>
          <w:color w:val="000000"/>
        </w:rPr>
      </w:pPr>
    </w:p>
    <w:p w14:paraId="2E3695CF" w14:textId="77777777" w:rsidR="00B2722B" w:rsidRPr="00E05D09" w:rsidRDefault="004425A1">
      <w:pPr>
        <w:numPr>
          <w:ilvl w:val="0"/>
          <w:numId w:val="1"/>
        </w:numPr>
        <w:spacing w:line="360" w:lineRule="auto"/>
        <w:ind w:left="0" w:right="49"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Por lo tanto, lo procedente es ordenar la entrega del documento donde consten os Programas dirigidos a Adultos Mayores; así como el tipo de apoyo otorgados durante los ejercicios fiscales 2025 y del uno de enero al diecinueve de febrero de 2026.</w:t>
      </w:r>
    </w:p>
    <w:p w14:paraId="7F1E01C2"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D366E55" w14:textId="77777777" w:rsidR="00B2722B" w:rsidRPr="00E05D09" w:rsidRDefault="004425A1">
      <w:pPr>
        <w:numPr>
          <w:ilvl w:val="0"/>
          <w:numId w:val="2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Puntos 36 y 41 del cuadro descriptivo</w:t>
      </w:r>
    </w:p>
    <w:p w14:paraId="6C337A48"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DE72055"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En continuidad, se procede a señalar que el particular requirió el Padrón de Beneficiarios en versión pública, relacionados con los programas alimentarios operados; así como de los Programas dirigidos a adultos mayores; no obstante el </w:t>
      </w:r>
      <w:r w:rsidRPr="00E05D09">
        <w:rPr>
          <w:rFonts w:ascii="Palatino Linotype" w:eastAsia="Palatino Linotype" w:hAnsi="Palatino Linotype" w:cs="Palatino Linotype"/>
          <w:b/>
          <w:bCs/>
          <w:color w:val="000000"/>
        </w:rPr>
        <w:t xml:space="preserve">SUJETO OBLIGADO, </w:t>
      </w:r>
      <w:r w:rsidRPr="00E05D09">
        <w:rPr>
          <w:rFonts w:ascii="Palatino Linotype" w:eastAsia="Palatino Linotype" w:hAnsi="Palatino Linotype" w:cs="Palatino Linotype"/>
          <w:color w:val="000000"/>
        </w:rPr>
        <w:t xml:space="preserve">omitió pronunciarse al respecto, situación por la cual se realizará el siguiente análisis. </w:t>
      </w:r>
    </w:p>
    <w:p w14:paraId="76D0203D"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971A951"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En esa línea, se debe de referir que la información solicitada por el </w:t>
      </w:r>
      <w:r w:rsidRPr="00E05D09">
        <w:rPr>
          <w:rFonts w:ascii="Palatino Linotype" w:eastAsia="Palatino Linotype" w:hAnsi="Palatino Linotype" w:cs="Palatino Linotype"/>
          <w:b/>
          <w:bCs/>
          <w:color w:val="000000"/>
        </w:rPr>
        <w:t xml:space="preserve">RECURRENTE </w:t>
      </w:r>
      <w:r w:rsidRPr="00E05D09">
        <w:rPr>
          <w:rFonts w:ascii="Palatino Linotype" w:eastAsia="Palatino Linotype" w:hAnsi="Palatino Linotype" w:cs="Palatino Linotype"/>
          <w:color w:val="000000"/>
        </w:rPr>
        <w:t xml:space="preserve">forma parte de las obligaciones de transparencia, toda vez que la población está siendo beneficiada por el </w:t>
      </w:r>
      <w:r w:rsidRPr="00E05D09">
        <w:rPr>
          <w:rFonts w:ascii="Palatino Linotype" w:eastAsia="Palatino Linotype" w:hAnsi="Palatino Linotype" w:cs="Palatino Linotype"/>
          <w:b/>
          <w:bCs/>
          <w:color w:val="000000"/>
        </w:rPr>
        <w:t>SUJETO OBLIGADO</w:t>
      </w:r>
      <w:r w:rsidRPr="00E05D09">
        <w:rPr>
          <w:rFonts w:ascii="Palatino Linotype" w:eastAsia="Palatino Linotype" w:hAnsi="Palatino Linotype" w:cs="Palatino Linotype"/>
          <w:color w:val="000000"/>
        </w:rPr>
        <w:t xml:space="preserve">, dicho argumento está regulado por el artículo 92 de la Ley de Transparencia y Acceso a la Información Pública del Estado de México y Municipios, mismo que refiere lo siguiente. </w:t>
      </w:r>
    </w:p>
    <w:p w14:paraId="0879444C" w14:textId="77777777" w:rsidR="00B2722B" w:rsidRPr="00E05D09" w:rsidRDefault="004425A1">
      <w:pPr>
        <w:pBdr>
          <w:top w:val="nil"/>
          <w:left w:val="nil"/>
          <w:bottom w:val="nil"/>
          <w:right w:val="nil"/>
          <w:between w:val="nil"/>
        </w:pBdr>
        <w:ind w:left="1134" w:right="90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2F3DD01B" w14:textId="77777777" w:rsidR="00B2722B" w:rsidRPr="00E05D09" w:rsidRDefault="004425A1">
      <w:pPr>
        <w:pBdr>
          <w:top w:val="nil"/>
          <w:left w:val="nil"/>
          <w:bottom w:val="nil"/>
          <w:right w:val="nil"/>
          <w:between w:val="nil"/>
        </w:pBdr>
        <w:ind w:left="1134" w:right="90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p) Padrón de beneficiarios mismo que deberá contener los siguientes datos: </w:t>
      </w:r>
      <w:r w:rsidRPr="00E05D09">
        <w:rPr>
          <w:rFonts w:ascii="Palatino Linotype" w:eastAsia="Palatino Linotype" w:hAnsi="Palatino Linotype" w:cs="Palatino Linotype"/>
          <w:b/>
          <w:bCs/>
          <w:i/>
          <w:iCs/>
        </w:rPr>
        <w:t xml:space="preserve">nombre de la persona física o denominación social de las personas jurídicas </w:t>
      </w:r>
      <w:r w:rsidRPr="00E05D09">
        <w:rPr>
          <w:rFonts w:ascii="Palatino Linotype" w:eastAsia="Palatino Linotype" w:hAnsi="Palatino Linotype" w:cs="Palatino Linotype"/>
          <w:b/>
          <w:bCs/>
          <w:i/>
          <w:iCs/>
        </w:rPr>
        <w:lastRenderedPageBreak/>
        <w:t>colectivas beneficiadas, el monto, recurso, beneficio o apoyo otorgado para cada una de ellas, unidad territorial, en su caso, edad y sexo.</w:t>
      </w:r>
    </w:p>
    <w:p w14:paraId="716573FF" w14:textId="77777777" w:rsidR="00B2722B" w:rsidRPr="00E05D09" w:rsidRDefault="00B2722B">
      <w:pPr>
        <w:spacing w:line="360" w:lineRule="auto"/>
        <w:jc w:val="both"/>
        <w:rPr>
          <w:rFonts w:ascii="Palatino Linotype" w:eastAsia="Palatino Linotype" w:hAnsi="Palatino Linotype" w:cs="Palatino Linotype"/>
        </w:rPr>
      </w:pPr>
    </w:p>
    <w:p w14:paraId="5C1FF5D2"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Por otro lado, se debe de precisar que de ser el caso que la información con la que colme el derecho de acceso a la información del </w:t>
      </w:r>
      <w:r w:rsidRPr="00E05D09">
        <w:rPr>
          <w:rFonts w:ascii="Palatino Linotype" w:eastAsia="Palatino Linotype" w:hAnsi="Palatino Linotype" w:cs="Palatino Linotype"/>
          <w:b/>
          <w:bCs/>
          <w:color w:val="000000"/>
        </w:rPr>
        <w:t xml:space="preserve">RECURRENTE </w:t>
      </w:r>
      <w:r w:rsidRPr="00E05D09">
        <w:rPr>
          <w:rFonts w:ascii="Palatino Linotype" w:eastAsia="Palatino Linotype" w:hAnsi="Palatino Linotype" w:cs="Palatino Linotype"/>
          <w:color w:val="000000"/>
        </w:rPr>
        <w:t xml:space="preserve">sea por medio de padrones que ya se encuentran publicados en páginas oficiales, se debe de tener en cuenta lo siguiente. </w:t>
      </w:r>
    </w:p>
    <w:p w14:paraId="48555362" w14:textId="77777777" w:rsidR="00B2722B" w:rsidRPr="00E05D09" w:rsidRDefault="004425A1">
      <w:pPr>
        <w:ind w:left="1134" w:right="90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Artículo 143. Para los efectos de esta Ley se considera información confidencial, la clasificada como tal, de manera permanente, por su naturaleza, cuando: </w:t>
      </w:r>
    </w:p>
    <w:p w14:paraId="0C6CA31B" w14:textId="77777777" w:rsidR="00B2722B" w:rsidRPr="00E05D09" w:rsidRDefault="004425A1">
      <w:pPr>
        <w:numPr>
          <w:ilvl w:val="0"/>
          <w:numId w:val="15"/>
        </w:numPr>
        <w:pBdr>
          <w:top w:val="nil"/>
          <w:left w:val="nil"/>
          <w:bottom w:val="nil"/>
          <w:right w:val="nil"/>
          <w:between w:val="nil"/>
        </w:pBdr>
        <w:ind w:left="1134" w:right="900" w:firstLine="0"/>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color w:val="000000"/>
        </w:rPr>
        <w:t xml:space="preserve">Se refiera a la información privada y los datos personales concernientes a una persona física o jurídico colectiva identificada o identificable; </w:t>
      </w:r>
    </w:p>
    <w:p w14:paraId="3EBA07BE" w14:textId="77777777" w:rsidR="00B2722B" w:rsidRPr="00E05D09" w:rsidRDefault="004425A1">
      <w:pPr>
        <w:ind w:left="1134" w:right="90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01C7E210" w14:textId="77777777" w:rsidR="00B2722B" w:rsidRPr="00E05D09" w:rsidRDefault="004425A1">
      <w:pPr>
        <w:ind w:left="1134" w:right="90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III. La que presenten los particulares a los sujetos obligados, de conformidad con lo dispuesto por las leyes o los tratados internacionales. </w:t>
      </w:r>
    </w:p>
    <w:p w14:paraId="6C3831B6" w14:textId="77777777" w:rsidR="00B2722B" w:rsidRPr="00E05D09" w:rsidRDefault="004425A1">
      <w:pPr>
        <w:ind w:left="1134" w:right="90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La información confidencial no estará sujeta a temporalidad alguna y sólo podrán tener acceso a ella los titulares de la misma, sus representantes y los servidores públicos facultados para ello. </w:t>
      </w:r>
    </w:p>
    <w:p w14:paraId="42D81246" w14:textId="77777777" w:rsidR="00B2722B" w:rsidRPr="00E05D09" w:rsidRDefault="004425A1">
      <w:pPr>
        <w:ind w:left="1134" w:right="900"/>
        <w:jc w:val="both"/>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t>No se considerará confidencial la información que se encuentre en los registros públicos o en fuentes de acceso público, ni tampoco la que sea considerada por la presente ley como información pública.</w:t>
      </w:r>
    </w:p>
    <w:p w14:paraId="7641DB45" w14:textId="77777777" w:rsidR="00B2722B" w:rsidRPr="00E05D09" w:rsidRDefault="00B2722B">
      <w:pPr>
        <w:spacing w:line="360" w:lineRule="auto"/>
        <w:jc w:val="both"/>
        <w:rPr>
          <w:rFonts w:ascii="Palatino Linotype" w:eastAsia="Palatino Linotype" w:hAnsi="Palatino Linotype" w:cs="Palatino Linotype"/>
        </w:rPr>
      </w:pPr>
    </w:p>
    <w:p w14:paraId="5785F015"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Ahora bien, se debe de mencionar que puede ser el caso que la información pública se encuentre sujeta a un régimen estricto de restricción, y una de sus causas, es el Derecho a la Protección de Datos Personales, lo cual es contemplado por la los lineamientos antes citados, que indican que no debe ser pública de los beneficiarios que sean </w:t>
      </w:r>
      <w:r w:rsidRPr="00E05D09">
        <w:rPr>
          <w:rFonts w:ascii="Palatino Linotype" w:eastAsia="Palatino Linotype" w:hAnsi="Palatino Linotype" w:cs="Palatino Linotype"/>
          <w:b/>
          <w:bCs/>
          <w:i/>
          <w:iCs/>
          <w:color w:val="000000"/>
        </w:rPr>
        <w:t xml:space="preserve">un(a) niño(a), adolescente o víctima del delito;. </w:t>
      </w:r>
      <w:r w:rsidRPr="00E05D09">
        <w:rPr>
          <w:rFonts w:ascii="Palatino Linotype" w:eastAsia="Palatino Linotype" w:hAnsi="Palatino Linotype" w:cs="Palatino Linotype"/>
          <w:b/>
          <w:bCs/>
          <w:color w:val="000000"/>
        </w:rPr>
        <w:t xml:space="preserve">En esos casos, debe prevalecer la confidencialidad de la información que identifique o haga identificable a la persona, conforme a lo que establecen </w:t>
      </w:r>
      <w:r w:rsidRPr="00E05D09">
        <w:rPr>
          <w:rFonts w:ascii="Palatino Linotype" w:eastAsia="Palatino Linotype" w:hAnsi="Palatino Linotype" w:cs="Palatino Linotype"/>
          <w:color w:val="000000"/>
        </w:rPr>
        <w:t xml:space="preserve">los artículos 3 fracción IX, 143 fracción I, de la Ley de Transparencia y Acceso a la Información Pública del Estado de México y Municipios, así como el artículo 4, fracción XI y XII de la Ley de Protección </w:t>
      </w:r>
      <w:r w:rsidRPr="00E05D09">
        <w:rPr>
          <w:rFonts w:ascii="Palatino Linotype" w:eastAsia="Palatino Linotype" w:hAnsi="Palatino Linotype" w:cs="Palatino Linotype"/>
          <w:color w:val="000000"/>
        </w:rPr>
        <w:lastRenderedPageBreak/>
        <w:t>de Datos Personales en Posesión de los Sujetos Obligados del Estado de México y Municipios, los cuales disponen lo siguiente:</w:t>
      </w:r>
    </w:p>
    <w:p w14:paraId="7D803977" w14:textId="77777777" w:rsidR="00B2722B" w:rsidRPr="00E05D09" w:rsidRDefault="004425A1">
      <w:pPr>
        <w:numPr>
          <w:ilvl w:val="0"/>
          <w:numId w:val="13"/>
        </w:numPr>
        <w:ind w:left="567" w:right="538" w:firstLine="0"/>
        <w:rPr>
          <w:rFonts w:ascii="Palatino Linotype" w:eastAsia="Palatino Linotype" w:hAnsi="Palatino Linotype" w:cs="Palatino Linotype"/>
        </w:rPr>
      </w:pPr>
      <w:r w:rsidRPr="00E05D09">
        <w:rPr>
          <w:rFonts w:ascii="Palatino Linotype" w:eastAsia="Palatino Linotype" w:hAnsi="Palatino Linotype" w:cs="Palatino Linotype"/>
        </w:rPr>
        <w:t>Ley de Transparencia y Acceso a la Información Pública del Estado de México y Municipios</w:t>
      </w:r>
    </w:p>
    <w:p w14:paraId="3B29814B" w14:textId="77777777" w:rsidR="00B2722B" w:rsidRPr="00E05D09" w:rsidRDefault="00B2722B">
      <w:pPr>
        <w:ind w:left="567" w:right="538"/>
        <w:rPr>
          <w:rFonts w:ascii="Palatino Linotype" w:eastAsia="Palatino Linotype" w:hAnsi="Palatino Linotype" w:cs="Palatino Linotype"/>
        </w:rPr>
      </w:pPr>
    </w:p>
    <w:p w14:paraId="4251E5D9" w14:textId="77777777" w:rsidR="00B2722B" w:rsidRPr="00E05D09" w:rsidRDefault="004425A1">
      <w:pPr>
        <w:ind w:left="567" w:right="538"/>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Artículo 3. Para los efectos de la presente Ley se entenderá por:</w:t>
      </w:r>
    </w:p>
    <w:p w14:paraId="5AEB9A3C" w14:textId="77777777" w:rsidR="00B2722B" w:rsidRPr="00E05D09" w:rsidRDefault="004425A1">
      <w:pPr>
        <w:ind w:left="567" w:right="538"/>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w:t>
      </w:r>
    </w:p>
    <w:p w14:paraId="1B88D8EC" w14:textId="77777777" w:rsidR="00B2722B" w:rsidRPr="00E05D09" w:rsidRDefault="004425A1">
      <w:pPr>
        <w:ind w:left="567" w:right="538"/>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IX. Datos personales: La información concerniente a una persona, identificada o identificable según lo dispuesto por la Ley de Protección de Datos Personales del Estado de México;</w:t>
      </w:r>
    </w:p>
    <w:p w14:paraId="6BF6A980" w14:textId="77777777" w:rsidR="00B2722B" w:rsidRPr="00E05D09" w:rsidRDefault="00B2722B">
      <w:pPr>
        <w:ind w:left="567" w:right="538"/>
        <w:jc w:val="both"/>
        <w:rPr>
          <w:rFonts w:ascii="Palatino Linotype" w:eastAsia="Palatino Linotype" w:hAnsi="Palatino Linotype" w:cs="Palatino Linotype"/>
          <w:i/>
          <w:iCs/>
        </w:rPr>
      </w:pPr>
    </w:p>
    <w:p w14:paraId="70D1968C" w14:textId="77777777" w:rsidR="00B2722B" w:rsidRPr="00E05D09" w:rsidRDefault="004425A1">
      <w:pPr>
        <w:ind w:left="567" w:right="538"/>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Artículo 143. Para los efectos de esta Ley se considera información confidencial, la clasificada como tal, de manera permanente, por su naturaleza, cuando:</w:t>
      </w:r>
    </w:p>
    <w:p w14:paraId="33896D39" w14:textId="77777777" w:rsidR="00B2722B" w:rsidRPr="00E05D09" w:rsidRDefault="00B2722B">
      <w:pPr>
        <w:ind w:left="567" w:right="538"/>
        <w:jc w:val="both"/>
        <w:rPr>
          <w:rFonts w:ascii="Palatino Linotype" w:eastAsia="Palatino Linotype" w:hAnsi="Palatino Linotype" w:cs="Palatino Linotype"/>
          <w:i/>
          <w:iCs/>
        </w:rPr>
      </w:pPr>
    </w:p>
    <w:p w14:paraId="3A3000FE" w14:textId="77777777" w:rsidR="00B2722B" w:rsidRPr="00E05D09" w:rsidRDefault="004425A1">
      <w:pPr>
        <w:numPr>
          <w:ilvl w:val="1"/>
          <w:numId w:val="11"/>
        </w:numPr>
        <w:ind w:left="567" w:right="538" w:firstLine="0"/>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Se refiera a la información privada y los datos personales concernientes a una persona física o jurídico colectiva identificada o identificable;</w:t>
      </w:r>
    </w:p>
    <w:p w14:paraId="5EA2EF95" w14:textId="77777777" w:rsidR="00B2722B" w:rsidRPr="00E05D09" w:rsidRDefault="00B2722B">
      <w:pPr>
        <w:ind w:left="567" w:right="538"/>
        <w:jc w:val="both"/>
        <w:rPr>
          <w:rFonts w:ascii="Palatino Linotype" w:eastAsia="Palatino Linotype" w:hAnsi="Palatino Linotype" w:cs="Palatino Linotype"/>
          <w:i/>
          <w:iCs/>
        </w:rPr>
      </w:pPr>
    </w:p>
    <w:p w14:paraId="2BCE02C5" w14:textId="77777777" w:rsidR="00B2722B" w:rsidRPr="00E05D09" w:rsidRDefault="004425A1">
      <w:pPr>
        <w:numPr>
          <w:ilvl w:val="0"/>
          <w:numId w:val="13"/>
        </w:numPr>
        <w:ind w:left="567" w:right="538" w:firstLine="0"/>
        <w:jc w:val="both"/>
        <w:rPr>
          <w:rFonts w:ascii="Palatino Linotype" w:eastAsia="Palatino Linotype" w:hAnsi="Palatino Linotype" w:cs="Palatino Linotype"/>
          <w:i/>
          <w:iCs/>
        </w:rPr>
      </w:pPr>
      <w:r w:rsidRPr="00E05D09">
        <w:rPr>
          <w:rFonts w:ascii="Palatino Linotype" w:eastAsia="Palatino Linotype" w:hAnsi="Palatino Linotype" w:cs="Palatino Linotype"/>
        </w:rPr>
        <w:t>Ley de Protección de Datos Personales en Posesión de los Sujetos Obligados del Estado de México y Municipios</w:t>
      </w:r>
    </w:p>
    <w:p w14:paraId="194CF8AA" w14:textId="77777777" w:rsidR="00B2722B" w:rsidRPr="00E05D09" w:rsidRDefault="00B2722B">
      <w:pPr>
        <w:ind w:left="567" w:right="538"/>
        <w:jc w:val="both"/>
        <w:rPr>
          <w:rFonts w:ascii="Palatino Linotype" w:eastAsia="Palatino Linotype" w:hAnsi="Palatino Linotype" w:cs="Palatino Linotype"/>
          <w:i/>
          <w:iCs/>
        </w:rPr>
      </w:pPr>
    </w:p>
    <w:p w14:paraId="38EC54F8" w14:textId="77777777" w:rsidR="00B2722B" w:rsidRPr="00E05D09" w:rsidRDefault="004425A1">
      <w:pPr>
        <w:spacing w:after="160"/>
        <w:ind w:left="567" w:right="538"/>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Artículo 4. Para los efectos de esta Ley se entenderá por:</w:t>
      </w:r>
    </w:p>
    <w:p w14:paraId="5D84854F" w14:textId="77777777" w:rsidR="00B2722B" w:rsidRPr="00E05D09" w:rsidRDefault="004425A1">
      <w:pPr>
        <w:spacing w:after="160"/>
        <w:ind w:left="567" w:right="538"/>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w:t>
      </w:r>
    </w:p>
    <w:p w14:paraId="3FFB1206" w14:textId="77777777" w:rsidR="00B2722B" w:rsidRPr="00E05D09" w:rsidRDefault="004425A1">
      <w:pPr>
        <w:spacing w:after="160"/>
        <w:ind w:left="567" w:right="538"/>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w:t>
      </w:r>
    </w:p>
    <w:p w14:paraId="1DEF405B" w14:textId="77777777" w:rsidR="00B2722B" w:rsidRPr="00E05D09" w:rsidRDefault="00B2722B">
      <w:pPr>
        <w:spacing w:after="160"/>
        <w:ind w:left="567" w:right="538"/>
        <w:jc w:val="both"/>
        <w:rPr>
          <w:rFonts w:ascii="Palatino Linotype" w:eastAsia="Palatino Linotype" w:hAnsi="Palatino Linotype" w:cs="Palatino Linotype"/>
          <w:i/>
          <w:iCs/>
        </w:rPr>
      </w:pPr>
    </w:p>
    <w:p w14:paraId="7E84A42B" w14:textId="77777777" w:rsidR="00B2722B" w:rsidRPr="00E05D09" w:rsidRDefault="004425A1">
      <w:pPr>
        <w:spacing w:after="160"/>
        <w:ind w:left="567" w:right="538"/>
        <w:jc w:val="both"/>
        <w:rPr>
          <w:rFonts w:ascii="Palatino Linotype" w:eastAsia="Palatino Linotype" w:hAnsi="Palatino Linotype" w:cs="Palatino Linotype"/>
          <w:b/>
          <w:bCs/>
          <w:i/>
          <w:iCs/>
        </w:rPr>
      </w:pPr>
      <w:r w:rsidRPr="00E05D09">
        <w:rPr>
          <w:rFonts w:ascii="Palatino Linotype" w:eastAsia="Palatino Linotype" w:hAnsi="Palatino Linotype" w:cs="Palatino Linotype"/>
          <w:i/>
          <w:iCs/>
        </w:rPr>
        <w:t xml:space="preserve">XII. Datos personales sensibles: </w:t>
      </w:r>
      <w:r w:rsidRPr="00E05D09">
        <w:rPr>
          <w:rFonts w:ascii="Palatino Linotype" w:eastAsia="Palatino Linotype" w:hAnsi="Palatino Linotype" w:cs="Palatino Linotype"/>
          <w:b/>
          <w:bCs/>
          <w:i/>
          <w:iCs/>
        </w:rPr>
        <w:t>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419AFFE7" w14:textId="77777777" w:rsidR="00B2722B" w:rsidRPr="00E05D09" w:rsidRDefault="004425A1">
      <w:pPr>
        <w:spacing w:after="160"/>
        <w:ind w:left="567" w:right="538"/>
        <w:jc w:val="both"/>
        <w:rPr>
          <w:rFonts w:ascii="Palatino Linotype" w:eastAsia="Palatino Linotype" w:hAnsi="Palatino Linotype" w:cs="Palatino Linotype"/>
          <w:b/>
          <w:bCs/>
          <w:i/>
          <w:iCs/>
        </w:rPr>
      </w:pPr>
      <w:r w:rsidRPr="00E05D09">
        <w:rPr>
          <w:rFonts w:ascii="Palatino Linotype" w:eastAsia="Palatino Linotype" w:hAnsi="Palatino Linotype" w:cs="Palatino Linotype"/>
          <w:i/>
          <w:iCs/>
        </w:rPr>
        <w:lastRenderedPageBreak/>
        <w:t>(énfasis añadido)</w:t>
      </w:r>
    </w:p>
    <w:p w14:paraId="72582B8A" w14:textId="77777777" w:rsidR="00B2722B" w:rsidRPr="00E05D09" w:rsidRDefault="00B2722B">
      <w:pPr>
        <w:spacing w:after="160" w:line="259" w:lineRule="auto"/>
        <w:rPr>
          <w:rFonts w:ascii="Palatino Linotype" w:eastAsia="Palatino Linotype" w:hAnsi="Palatino Linotype" w:cs="Palatino Linotype"/>
        </w:rPr>
      </w:pPr>
    </w:p>
    <w:p w14:paraId="3B8B392E" w14:textId="77777777" w:rsidR="00B2722B" w:rsidRPr="00E05D09" w:rsidRDefault="004425A1">
      <w:pPr>
        <w:numPr>
          <w:ilvl w:val="0"/>
          <w:numId w:val="1"/>
        </w:numPr>
        <w:spacing w:line="360" w:lineRule="auto"/>
        <w:ind w:left="0"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Es así que, si bien hay una normatividad que establece la publicidad de la información relativa a los beneficiarios de estímulos, </w:t>
      </w:r>
      <w:r w:rsidRPr="00E05D09">
        <w:rPr>
          <w:rFonts w:ascii="Palatino Linotype" w:eastAsia="Palatino Linotype" w:hAnsi="Palatino Linotype" w:cs="Palatino Linotype"/>
          <w:b/>
          <w:bCs/>
        </w:rPr>
        <w:t>apoyos</w:t>
      </w:r>
      <w:r w:rsidRPr="00E05D09">
        <w:rPr>
          <w:rFonts w:ascii="Palatino Linotype" w:eastAsia="Palatino Linotype" w:hAnsi="Palatino Linotype" w:cs="Palatino Linotype"/>
        </w:rPr>
        <w:t xml:space="preserve"> o subsidios, pero también lo es que, en los casos en que los beneficiarios correspondan a, niños, adolescentes o víctimas de delitos, debe prevalecer la protección de datos personales, personas discapacitadas y/o de grupos vulnerables, puesto que en estos casos, se refiere a datos personales sensibles, dado a que su utilización indebida puede dar origen a discriminación.</w:t>
      </w:r>
    </w:p>
    <w:p w14:paraId="671D70DA" w14:textId="77777777" w:rsidR="00B2722B" w:rsidRPr="00E05D09" w:rsidRDefault="00B2722B">
      <w:pPr>
        <w:spacing w:line="360" w:lineRule="auto"/>
        <w:jc w:val="both"/>
        <w:rPr>
          <w:rFonts w:ascii="Palatino Linotype" w:eastAsia="Palatino Linotype" w:hAnsi="Palatino Linotype" w:cs="Palatino Linotype"/>
        </w:rPr>
      </w:pPr>
    </w:p>
    <w:p w14:paraId="6F7F3E8C" w14:textId="77777777" w:rsidR="00B2722B" w:rsidRPr="00E05D09" w:rsidRDefault="004425A1">
      <w:pPr>
        <w:numPr>
          <w:ilvl w:val="0"/>
          <w:numId w:val="1"/>
        </w:numPr>
        <w:spacing w:line="360" w:lineRule="auto"/>
        <w:ind w:left="0"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Sirve de sustento el criterio 04/19 del Instituto de Transparencia, Acceso a la Información Pública y Protección de Datos Personales del Estado de México y Municipios:</w:t>
      </w:r>
    </w:p>
    <w:p w14:paraId="3E825E21" w14:textId="77777777" w:rsidR="00B2722B" w:rsidRPr="00E05D09" w:rsidRDefault="004425A1">
      <w:pPr>
        <w:spacing w:after="160"/>
        <w:ind w:left="567" w:right="538"/>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 xml:space="preserve">PADRÓN DE BENEFICIARIOS EN POSESIÓN DE SUJETOS OBLIGADOS. EXCEPCIONES PARA LA PUBLICACIÓN DE DATOS PERSONALES CONTENIDOS EN AQUÉL. </w:t>
      </w:r>
      <w:r w:rsidRPr="00E05D09">
        <w:rPr>
          <w:rFonts w:ascii="Palatino Linotype" w:eastAsia="Palatino Linotype" w:hAnsi="Palatino Linotype" w:cs="Palatino Linotype"/>
          <w:i/>
          <w:iCs/>
        </w:rPr>
        <w:t xml:space="preserve">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w:t>
      </w:r>
      <w:r w:rsidRPr="00E05D09">
        <w:rPr>
          <w:rFonts w:ascii="Palatino Linotype" w:eastAsia="Palatino Linotype" w:hAnsi="Palatino Linotype" w:cs="Palatino Linotype"/>
          <w:i/>
          <w:iCs/>
        </w:rPr>
        <w:lastRenderedPageBreak/>
        <w:t>protección de datos personales, mismo que se reconoce a toda persona, en los términos que fije la ley, en la cual se establecerán los supuestos de excepción a los principios que rijan el tratamiento de datos. 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w:t>
      </w:r>
    </w:p>
    <w:p w14:paraId="2A61F679" w14:textId="77777777" w:rsidR="00B2722B" w:rsidRPr="00E05D09" w:rsidRDefault="00B2722B">
      <w:pPr>
        <w:spacing w:after="160"/>
        <w:ind w:left="567" w:right="538"/>
        <w:jc w:val="both"/>
        <w:rPr>
          <w:rFonts w:ascii="Palatino Linotype" w:eastAsia="Palatino Linotype" w:hAnsi="Palatino Linotype" w:cs="Palatino Linotype"/>
          <w:b/>
          <w:bCs/>
          <w:i/>
          <w:iCs/>
        </w:rPr>
      </w:pPr>
    </w:p>
    <w:p w14:paraId="0B395BAC" w14:textId="77777777" w:rsidR="00B2722B" w:rsidRPr="00E05D09" w:rsidRDefault="004425A1">
      <w:pPr>
        <w:spacing w:after="160"/>
        <w:ind w:left="567" w:right="538"/>
        <w:jc w:val="both"/>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t xml:space="preserve">Precedentes: </w:t>
      </w:r>
    </w:p>
    <w:p w14:paraId="327E958D" w14:textId="77777777" w:rsidR="00B2722B" w:rsidRPr="00E05D09" w:rsidRDefault="004425A1">
      <w:pPr>
        <w:numPr>
          <w:ilvl w:val="0"/>
          <w:numId w:val="14"/>
        </w:numPr>
        <w:ind w:left="567" w:right="538"/>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En materia de acceso a la información pública. 03182/INFOEM/IP/RR/2019. Aprobado por unanimidad de votos. Ayuntamiento de Toluca. Comisionada Ponente Eva Abaid Yapur. </w:t>
      </w:r>
    </w:p>
    <w:p w14:paraId="3D3C0150" w14:textId="77777777" w:rsidR="00B2722B" w:rsidRPr="00E05D09" w:rsidRDefault="004425A1">
      <w:pPr>
        <w:numPr>
          <w:ilvl w:val="0"/>
          <w:numId w:val="14"/>
        </w:numPr>
        <w:ind w:left="567" w:right="538"/>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En materia de acceso a la información pública. 02878/INFOEM/IP/RR/2019. Aprobado por unanimidad de votos. Ayuntamiento de Valle de Chalco Solidaridad. Comisionado Ponente José Guadalupe Luna Hernández. </w:t>
      </w:r>
    </w:p>
    <w:p w14:paraId="420B31A7" w14:textId="77777777" w:rsidR="00B2722B" w:rsidRPr="00E05D09" w:rsidRDefault="004425A1">
      <w:pPr>
        <w:ind w:left="567" w:right="538"/>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En materia de acceso a la información pública. 01869/INFOEM/IP/RR/2019. Aprobado por unanimidad de votos, emitiendo voto particular José Guadalupe Luna Hernández. Ayuntamiento de Tecámac. Comisionado Ponente Javier Martínez Cruz</w:t>
      </w:r>
    </w:p>
    <w:p w14:paraId="427CBA78" w14:textId="77777777" w:rsidR="00B2722B" w:rsidRPr="00E05D09" w:rsidRDefault="00B2722B">
      <w:pPr>
        <w:ind w:left="1134" w:right="900"/>
        <w:jc w:val="both"/>
        <w:rPr>
          <w:rFonts w:ascii="Palatino Linotype" w:eastAsia="Palatino Linotype" w:hAnsi="Palatino Linotype" w:cs="Palatino Linotype"/>
          <w:i/>
          <w:iCs/>
        </w:rPr>
      </w:pPr>
    </w:p>
    <w:p w14:paraId="460A6F86" w14:textId="77777777" w:rsidR="00B2722B" w:rsidRPr="00E05D09" w:rsidRDefault="004425A1">
      <w:pPr>
        <w:numPr>
          <w:ilvl w:val="0"/>
          <w:numId w:val="1"/>
        </w:numPr>
        <w:spacing w:line="360" w:lineRule="auto"/>
        <w:ind w:left="0"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De lo anterior, se colige que de ser el caso que dentro de los beneficiarios existan nombres de menores, adolescentes o víctimas de delitos, debe prevalecer la protección de datos personales, personas discapacitadas y/o de grupos vulnerables, por ende el Comité de </w:t>
      </w:r>
      <w:r w:rsidRPr="00E05D09">
        <w:rPr>
          <w:rFonts w:ascii="Palatino Linotype" w:eastAsia="Palatino Linotype" w:hAnsi="Palatino Linotype" w:cs="Palatino Linotype"/>
        </w:rPr>
        <w:lastRenderedPageBreak/>
        <w:t>Transparencia deberá emitir el Acuerdo mediante el cual de manera fundada y motivada establezca las razones de la confidencialidad de la información; situación contraria al padrón de beneficiarios de los Programas dirigidos adultos mayores.</w:t>
      </w:r>
    </w:p>
    <w:p w14:paraId="19655108" w14:textId="77777777" w:rsidR="00B2722B" w:rsidRPr="00E05D09" w:rsidRDefault="00B2722B">
      <w:pPr>
        <w:spacing w:line="360" w:lineRule="auto"/>
        <w:jc w:val="both"/>
        <w:rPr>
          <w:rFonts w:ascii="Palatino Linotype" w:eastAsia="Palatino Linotype" w:hAnsi="Palatino Linotype" w:cs="Palatino Linotype"/>
        </w:rPr>
      </w:pPr>
    </w:p>
    <w:p w14:paraId="5EE26237"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Ahora bien, debemos de tener en cuenta que del documento en mención obran datos que por su naturaleza son clasificados como confidenciales, de manera enunciativa, mas no limitativa se procede a analizar los datos que pudieran obrar en el Padrón de Beneficiarios requerido.</w:t>
      </w:r>
    </w:p>
    <w:p w14:paraId="2DDECEAB" w14:textId="77777777" w:rsidR="00B2722B" w:rsidRPr="00E05D09" w:rsidRDefault="00B2722B">
      <w:pPr>
        <w:pBdr>
          <w:top w:val="nil"/>
          <w:left w:val="nil"/>
          <w:bottom w:val="nil"/>
          <w:right w:val="nil"/>
          <w:between w:val="nil"/>
        </w:pBdr>
        <w:spacing w:line="360" w:lineRule="auto"/>
        <w:ind w:left="720"/>
        <w:jc w:val="both"/>
        <w:rPr>
          <w:rFonts w:ascii="Palatino Linotype" w:eastAsia="Palatino Linotype" w:hAnsi="Palatino Linotype" w:cs="Palatino Linotype"/>
          <w:b/>
          <w:bCs/>
          <w:color w:val="000000"/>
        </w:rPr>
      </w:pPr>
    </w:p>
    <w:p w14:paraId="57AB452B" w14:textId="77777777" w:rsidR="00B2722B" w:rsidRPr="00E05D09" w:rsidRDefault="004425A1">
      <w:pPr>
        <w:numPr>
          <w:ilvl w:val="0"/>
          <w:numId w:val="19"/>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Firma de particulares.</w:t>
      </w:r>
    </w:p>
    <w:p w14:paraId="608974A9" w14:textId="77777777" w:rsidR="00B2722B" w:rsidRPr="00E05D09" w:rsidRDefault="004425A1">
      <w:pPr>
        <w:numPr>
          <w:ilvl w:val="0"/>
          <w:numId w:val="1"/>
        </w:numPr>
        <w:pBdr>
          <w:top w:val="nil"/>
          <w:left w:val="nil"/>
          <w:bottom w:val="nil"/>
          <w:right w:val="nil"/>
          <w:between w:val="nil"/>
        </w:pBdr>
        <w:tabs>
          <w:tab w:val="left" w:pos="426"/>
        </w:tabs>
        <w:spacing w:after="240"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Respecto de la rúbrica o firma de la persona que recibe el documento se debe tener presente que la firma y rúbrica son definidas por la Real Academia de la Lengua Española, de la siguiente manera:</w:t>
      </w:r>
    </w:p>
    <w:p w14:paraId="144D62C5" w14:textId="77777777" w:rsidR="00B2722B" w:rsidRPr="00E05D09" w:rsidRDefault="004425A1">
      <w:pPr>
        <w:numPr>
          <w:ilvl w:val="0"/>
          <w:numId w:val="18"/>
        </w:numPr>
        <w:pBdr>
          <w:top w:val="nil"/>
          <w:left w:val="nil"/>
          <w:bottom w:val="nil"/>
          <w:right w:val="nil"/>
          <w:between w:val="nil"/>
        </w:pBdr>
        <w:tabs>
          <w:tab w:val="left" w:pos="426"/>
        </w:tabs>
        <w:spacing w:before="240" w:after="240" w:line="360" w:lineRule="auto"/>
        <w:ind w:left="426" w:right="255"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Firma. Rasgo o conjunto de rasgos, realizados siempre de la misma manera, que identifican a una persona y sustituyen a su nombre y apellidos para aprobar o dar autenticidad a un documento.</w:t>
      </w:r>
    </w:p>
    <w:p w14:paraId="77D2DE34" w14:textId="77777777" w:rsidR="00B2722B" w:rsidRPr="00E05D09" w:rsidRDefault="004425A1">
      <w:pPr>
        <w:numPr>
          <w:ilvl w:val="0"/>
          <w:numId w:val="18"/>
        </w:numPr>
        <w:pBdr>
          <w:top w:val="nil"/>
          <w:left w:val="nil"/>
          <w:bottom w:val="nil"/>
          <w:right w:val="nil"/>
          <w:between w:val="nil"/>
        </w:pBdr>
        <w:tabs>
          <w:tab w:val="left" w:pos="426"/>
        </w:tabs>
        <w:spacing w:before="240" w:after="240" w:line="360" w:lineRule="auto"/>
        <w:ind w:left="426" w:right="255"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Rúbrica. Rasgo o conjunto de rasgos, realizados siempre de la misma manera que suele ponerse en la firma después del nombre y que a veces la sustituye.</w:t>
      </w:r>
    </w:p>
    <w:p w14:paraId="6FA36B65" w14:textId="77777777" w:rsidR="00B2722B" w:rsidRPr="00E05D09" w:rsidRDefault="004425A1">
      <w:pPr>
        <w:numPr>
          <w:ilvl w:val="0"/>
          <w:numId w:val="1"/>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En ese sentido, se advierte que tanto la firma como la rúbrica son rasgos gráficos que pueden identificar o hacer identificable a una persona, por lo tanto, se consideran por regla general como datos personales confidenciales que deben protegerse en los documentos que los contengan, según lo dispuesto por los artículos 3, fracción IX, 143, fracción I de la Ley de Transparencia y Acceso a la Información Pública del Estado de México y Municipios, en relación </w:t>
      </w:r>
      <w:r w:rsidRPr="00E05D09">
        <w:rPr>
          <w:rFonts w:ascii="Palatino Linotype" w:eastAsia="Palatino Linotype" w:hAnsi="Palatino Linotype" w:cs="Palatino Linotype"/>
          <w:color w:val="000000"/>
        </w:rPr>
        <w:lastRenderedPageBreak/>
        <w:t>con el 4, fracción XI de La Ley de Protección de Datos Personales en Posesión de Sujetos Obligados del Estado de México y Municipios, ya que en mayor o menor medida inciden en la vida privada de una persona.</w:t>
      </w:r>
    </w:p>
    <w:p w14:paraId="6B5C014B"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3AA80F9" w14:textId="77777777" w:rsidR="00B2722B" w:rsidRPr="00E05D09" w:rsidRDefault="004425A1">
      <w:pPr>
        <w:widowControl w:val="0"/>
        <w:numPr>
          <w:ilvl w:val="0"/>
          <w:numId w:val="19"/>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b/>
          <w:bCs/>
          <w:color w:val="000000"/>
        </w:rPr>
        <w:t>Domicilio particular.</w:t>
      </w:r>
      <w:r w:rsidRPr="00E05D09">
        <w:rPr>
          <w:rFonts w:ascii="Palatino Linotype" w:eastAsia="Palatino Linotype" w:hAnsi="Palatino Linotype" w:cs="Palatino Linotype"/>
          <w:color w:val="000000"/>
        </w:rPr>
        <w:t xml:space="preserve"> </w:t>
      </w:r>
    </w:p>
    <w:p w14:paraId="7019F536" w14:textId="77777777" w:rsidR="00B2722B" w:rsidRPr="00E05D09" w:rsidRDefault="004425A1">
      <w:pPr>
        <w:widowControl w:val="0"/>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2EE0FCF3" w14:textId="77777777" w:rsidR="00B2722B" w:rsidRPr="00E05D09" w:rsidRDefault="00B2722B">
      <w:pPr>
        <w:widowControl w:val="0"/>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rPr>
      </w:pPr>
    </w:p>
    <w:p w14:paraId="0854B226" w14:textId="77777777" w:rsidR="00B2722B" w:rsidRPr="00E05D09" w:rsidRDefault="004425A1">
      <w:pPr>
        <w:widowControl w:val="0"/>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De la misma manera, lo establece el artículo 29 del Código Civil Federal, al precisar que el domicilio de personas físicas</w:t>
      </w:r>
      <w:r w:rsidRPr="00E05D09">
        <w:rPr>
          <w:rFonts w:ascii="Palatino Linotype" w:eastAsia="Palatino Linotype" w:hAnsi="Palatino Linotype" w:cs="Palatino Linotype"/>
          <w:b/>
          <w:bCs/>
          <w:color w:val="000000"/>
        </w:rPr>
        <w:t xml:space="preserve">, </w:t>
      </w:r>
      <w:r w:rsidRPr="00E05D09">
        <w:rPr>
          <w:rFonts w:ascii="Palatino Linotype" w:eastAsia="Palatino Linotype" w:hAnsi="Palatino Linotype" w:cs="Palatino Linotype"/>
          <w:color w:val="000000"/>
        </w:rPr>
        <w:t>es el lugar donde residen habitualmente, el lugar del centro principal de sus negocios, donde residan o el lugar donde se encuentren.</w:t>
      </w:r>
    </w:p>
    <w:p w14:paraId="3443144D" w14:textId="77777777" w:rsidR="00B2722B" w:rsidRPr="00E05D09" w:rsidRDefault="00B2722B">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0C6EA62B" w14:textId="77777777" w:rsidR="00B2722B" w:rsidRPr="00E05D09" w:rsidRDefault="004425A1">
      <w:pPr>
        <w:widowControl w:val="0"/>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w:t>
      </w:r>
    </w:p>
    <w:p w14:paraId="0BE96B15" w14:textId="77777777" w:rsidR="00B2722B" w:rsidRPr="00E05D09" w:rsidRDefault="00B2722B">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14BDC598" w14:textId="77777777" w:rsidR="00B2722B" w:rsidRPr="00E05D09" w:rsidRDefault="004425A1">
      <w:pPr>
        <w:widowControl w:val="0"/>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Por lo tanto, se actualiza la clasificación del </w:t>
      </w:r>
      <w:r w:rsidRPr="00E05D09">
        <w:rPr>
          <w:rFonts w:ascii="Palatino Linotype" w:eastAsia="Palatino Linotype" w:hAnsi="Palatino Linotype" w:cs="Palatino Linotype"/>
          <w:b/>
          <w:bCs/>
          <w:color w:val="000000"/>
          <w:u w:val="single"/>
        </w:rPr>
        <w:t>domicilio particular y su comprobante</w:t>
      </w:r>
      <w:r w:rsidRPr="00E05D09">
        <w:rPr>
          <w:rFonts w:ascii="Palatino Linotype" w:eastAsia="Palatino Linotype" w:hAnsi="Palatino Linotype" w:cs="Palatino Linotype"/>
          <w:color w:val="000000"/>
        </w:rPr>
        <w:t>, de conformidad con la fracción I, del artículo 143 de la Ley de Transparencia y Acceso a la Información Pública del Estado de México y Municipios.</w:t>
      </w:r>
    </w:p>
    <w:p w14:paraId="1C5D7D65" w14:textId="77777777" w:rsidR="00B2722B" w:rsidRPr="00E05D09" w:rsidRDefault="004425A1">
      <w:pPr>
        <w:numPr>
          <w:ilvl w:val="0"/>
          <w:numId w:val="19"/>
        </w:num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b/>
          <w:bCs/>
          <w:color w:val="000000"/>
        </w:rPr>
        <w:lastRenderedPageBreak/>
        <w:t>Teléfono particular</w:t>
      </w:r>
      <w:r w:rsidRPr="00E05D09">
        <w:rPr>
          <w:rFonts w:ascii="Palatino Linotype" w:eastAsia="Palatino Linotype" w:hAnsi="Palatino Linotype" w:cs="Palatino Linotype"/>
          <w:color w:val="000000"/>
        </w:rPr>
        <w:t xml:space="preserve">. </w:t>
      </w:r>
    </w:p>
    <w:p w14:paraId="2641E829" w14:textId="77777777" w:rsidR="00B2722B" w:rsidRPr="00E05D09" w:rsidRDefault="004425A1">
      <w:pPr>
        <w:numPr>
          <w:ilvl w:val="0"/>
          <w:numId w:val="1"/>
        </w:numPr>
        <w:pBdr>
          <w:top w:val="nil"/>
          <w:left w:val="nil"/>
          <w:bottom w:val="nil"/>
          <w:right w:val="nil"/>
          <w:between w:val="nil"/>
        </w:pBdr>
        <w:spacing w:line="360" w:lineRule="auto"/>
        <w:ind w:left="0" w:right="-93"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Constituye un medio para comunicarse con una persona física identificada o identificable, por lo que la hace localizable. Por lo tanto, se trata de información que al darse a conocer afectaría la intimidad de la persona respectiva, siendo susceptible de clasificarse como información confidencial de conformidad con la fracción I, del artículo 143 de la Ley de Transparencia y Acceso a la Información Pública del Estado de México y Municipios. </w:t>
      </w:r>
    </w:p>
    <w:p w14:paraId="49744529" w14:textId="77777777" w:rsidR="00B2722B" w:rsidRPr="00E05D09" w:rsidRDefault="00B2722B">
      <w:pPr>
        <w:pBdr>
          <w:top w:val="nil"/>
          <w:left w:val="nil"/>
          <w:bottom w:val="nil"/>
          <w:right w:val="nil"/>
          <w:between w:val="nil"/>
        </w:pBdr>
        <w:spacing w:line="360" w:lineRule="auto"/>
        <w:ind w:left="720"/>
        <w:jc w:val="both"/>
        <w:rPr>
          <w:rFonts w:ascii="Palatino Linotype" w:eastAsia="Palatino Linotype" w:hAnsi="Palatino Linotype" w:cs="Palatino Linotype"/>
          <w:b/>
          <w:bCs/>
          <w:color w:val="000000"/>
        </w:rPr>
      </w:pPr>
    </w:p>
    <w:p w14:paraId="0C8E0EB0" w14:textId="77777777" w:rsidR="00B2722B" w:rsidRPr="00E05D09" w:rsidRDefault="004425A1">
      <w:pPr>
        <w:numPr>
          <w:ilvl w:val="0"/>
          <w:numId w:val="19"/>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Correo electrónico particular. </w:t>
      </w:r>
    </w:p>
    <w:p w14:paraId="7466E903"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Al ser un sistema de transmisión de mensajes por computadora a través de redes informáticas, dicho dato se puede asimilar al teléfono o domicilio particular, toda vez que es otro medio para comunicarse con la persona titular del mismo, la hace localizable, e incluso identificable al poder estar conformado por parte de su nombre o bien, fecha de nacimiento. En ese sentido la titularidad de dicho dato corresponde a la persona física; por lo que corresponde a un dato personal que actualiza la causal de clasificación establecida en el artículo 143, fracción I de la Ley de Transparencia y Acceso a la Información Pública del Estado de México y Municipios.</w:t>
      </w:r>
    </w:p>
    <w:p w14:paraId="2B06076F"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158042B" w14:textId="77777777" w:rsidR="00B2722B" w:rsidRPr="00E05D09" w:rsidRDefault="004425A1">
      <w:pPr>
        <w:numPr>
          <w:ilvl w:val="0"/>
          <w:numId w:val="1"/>
        </w:numPr>
        <w:pBdr>
          <w:top w:val="nil"/>
          <w:left w:val="nil"/>
          <w:bottom w:val="nil"/>
          <w:right w:val="nil"/>
          <w:between w:val="nil"/>
        </w:pBdr>
        <w:spacing w:after="240"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48A4AD1A" w14:textId="77777777" w:rsidR="00B2722B" w:rsidRPr="00E05D09" w:rsidRDefault="00B2722B">
      <w:pPr>
        <w:spacing w:line="360" w:lineRule="auto"/>
        <w:jc w:val="both"/>
        <w:rPr>
          <w:rFonts w:ascii="Palatino Linotype" w:eastAsia="Palatino Linotype" w:hAnsi="Palatino Linotype" w:cs="Palatino Linotype"/>
        </w:rPr>
      </w:pPr>
    </w:p>
    <w:p w14:paraId="7091A339" w14:textId="77777777" w:rsidR="00B2722B" w:rsidRPr="00E05D09" w:rsidRDefault="004425A1">
      <w:pPr>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lastRenderedPageBreak/>
        <w:t xml:space="preserve"> “</w:t>
      </w:r>
      <w:r w:rsidRPr="00E05D09">
        <w:rPr>
          <w:rFonts w:ascii="Palatino Linotype" w:eastAsia="Palatino Linotype" w:hAnsi="Palatino Linotype" w:cs="Palatino Linotype"/>
          <w:b/>
          <w:bCs/>
          <w:i/>
          <w:iCs/>
        </w:rPr>
        <w:t>Quincuagésimo</w:t>
      </w:r>
      <w:r w:rsidRPr="00E05D09">
        <w:rPr>
          <w:rFonts w:ascii="Palatino Linotype" w:eastAsia="Palatino Linotype" w:hAnsi="Palatino Linotype" w:cs="Palatino Linotype"/>
          <w:i/>
          <w:iCs/>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E2FA750" w14:textId="77777777" w:rsidR="00B2722B" w:rsidRPr="00E05D09" w:rsidRDefault="004425A1">
      <w:pPr>
        <w:pBdr>
          <w:top w:val="nil"/>
          <w:left w:val="nil"/>
          <w:bottom w:val="nil"/>
          <w:right w:val="nil"/>
          <w:between w:val="nil"/>
        </w:pBdr>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Quincuagésimo primero.</w:t>
      </w:r>
      <w:r w:rsidRPr="00E05D09">
        <w:rPr>
          <w:rFonts w:ascii="Palatino Linotype" w:eastAsia="Palatino Linotype" w:hAnsi="Palatino Linotype" w:cs="Palatino Linotype"/>
          <w:i/>
          <w:iCs/>
        </w:rPr>
        <w:t xml:space="preserve"> Toda acta del Comité de Transparencia deberá contener: </w:t>
      </w:r>
    </w:p>
    <w:p w14:paraId="2532673B" w14:textId="77777777" w:rsidR="00B2722B" w:rsidRPr="00E05D09" w:rsidRDefault="004425A1">
      <w:pPr>
        <w:pBdr>
          <w:top w:val="nil"/>
          <w:left w:val="nil"/>
          <w:bottom w:val="nil"/>
          <w:right w:val="nil"/>
          <w:between w:val="nil"/>
        </w:pBdr>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 El número de sesión y fecha; </w:t>
      </w:r>
    </w:p>
    <w:p w14:paraId="19AEFAA2" w14:textId="77777777" w:rsidR="00B2722B" w:rsidRPr="00E05D09" w:rsidRDefault="004425A1">
      <w:pPr>
        <w:pBdr>
          <w:top w:val="nil"/>
          <w:left w:val="nil"/>
          <w:bottom w:val="nil"/>
          <w:right w:val="nil"/>
          <w:between w:val="nil"/>
        </w:pBdr>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II. El nombre del área que solicitó la clasificación de información; </w:t>
      </w:r>
    </w:p>
    <w:p w14:paraId="68D1D52B" w14:textId="77777777" w:rsidR="00B2722B" w:rsidRPr="00E05D09" w:rsidRDefault="004425A1">
      <w:pPr>
        <w:pBdr>
          <w:top w:val="nil"/>
          <w:left w:val="nil"/>
          <w:bottom w:val="nil"/>
          <w:right w:val="nil"/>
          <w:between w:val="nil"/>
        </w:pBdr>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III. La fundamentación legal y motivación correspondiente; </w:t>
      </w:r>
    </w:p>
    <w:p w14:paraId="54EBB4ED" w14:textId="77777777" w:rsidR="00B2722B" w:rsidRPr="00E05D09" w:rsidRDefault="004425A1">
      <w:pPr>
        <w:pBdr>
          <w:top w:val="nil"/>
          <w:left w:val="nil"/>
          <w:bottom w:val="nil"/>
          <w:right w:val="nil"/>
          <w:between w:val="nil"/>
        </w:pBdr>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IV. La resolución o resoluciones aprobadas; y </w:t>
      </w:r>
    </w:p>
    <w:p w14:paraId="7188CDEC" w14:textId="77777777" w:rsidR="00B2722B" w:rsidRPr="00E05D09" w:rsidRDefault="004425A1">
      <w:pPr>
        <w:pBdr>
          <w:top w:val="nil"/>
          <w:left w:val="nil"/>
          <w:bottom w:val="nil"/>
          <w:right w:val="nil"/>
          <w:between w:val="nil"/>
        </w:pBdr>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V. La rúbrica o firma digital de cada integrante del Comité de Transparencia. </w:t>
      </w:r>
    </w:p>
    <w:p w14:paraId="2850D12B" w14:textId="77777777" w:rsidR="00B2722B" w:rsidRPr="00E05D09" w:rsidRDefault="004425A1">
      <w:pPr>
        <w:pBdr>
          <w:top w:val="nil"/>
          <w:left w:val="nil"/>
          <w:bottom w:val="nil"/>
          <w:right w:val="nil"/>
          <w:between w:val="nil"/>
        </w:pBdr>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Las resoluciones del Comité en las que se haya determinado confirmar o modificar la clasificación de información pública como reservada, deberán incluir, cuando menos: </w:t>
      </w:r>
    </w:p>
    <w:p w14:paraId="3F7530F8" w14:textId="77777777" w:rsidR="00B2722B" w:rsidRPr="00E05D09" w:rsidRDefault="004425A1">
      <w:pPr>
        <w:pBdr>
          <w:top w:val="nil"/>
          <w:left w:val="nil"/>
          <w:bottom w:val="nil"/>
          <w:right w:val="nil"/>
          <w:between w:val="nil"/>
        </w:pBdr>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I. Los motivos y razonamientos que sustenten la confirmación o modificación de la prueba de daño;</w:t>
      </w:r>
    </w:p>
    <w:p w14:paraId="0DE4657A" w14:textId="77777777" w:rsidR="00B2722B" w:rsidRPr="00E05D09" w:rsidRDefault="004425A1">
      <w:pPr>
        <w:pBdr>
          <w:top w:val="nil"/>
          <w:left w:val="nil"/>
          <w:bottom w:val="nil"/>
          <w:right w:val="nil"/>
          <w:between w:val="nil"/>
        </w:pBdr>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II. Descripción de las partes o secciones reservadas, en caso de clasificación parcial; </w:t>
      </w:r>
    </w:p>
    <w:p w14:paraId="0E15A276" w14:textId="77777777" w:rsidR="00B2722B" w:rsidRPr="00E05D09" w:rsidRDefault="004425A1">
      <w:pPr>
        <w:pBdr>
          <w:top w:val="nil"/>
          <w:left w:val="nil"/>
          <w:bottom w:val="nil"/>
          <w:right w:val="nil"/>
          <w:between w:val="nil"/>
        </w:pBdr>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III. El periodo por el que mantendrá su clasificación y fecha de expiración; y </w:t>
      </w:r>
    </w:p>
    <w:p w14:paraId="6F0631A0" w14:textId="77777777" w:rsidR="00B2722B" w:rsidRPr="00E05D09" w:rsidRDefault="004425A1">
      <w:pPr>
        <w:pBdr>
          <w:top w:val="nil"/>
          <w:left w:val="nil"/>
          <w:bottom w:val="nil"/>
          <w:right w:val="nil"/>
          <w:between w:val="nil"/>
        </w:pBdr>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IV. El nombre del titular y área encargada de realizar la versión pública del documento, en su caso. </w:t>
      </w:r>
    </w:p>
    <w:p w14:paraId="5BAAC022" w14:textId="77777777" w:rsidR="00B2722B" w:rsidRPr="00E05D09" w:rsidRDefault="004425A1">
      <w:pPr>
        <w:pBdr>
          <w:top w:val="nil"/>
          <w:left w:val="nil"/>
          <w:bottom w:val="nil"/>
          <w:right w:val="nil"/>
          <w:between w:val="nil"/>
        </w:pBdr>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En los casos en que se clasifique la información como reservada siempre se entregará o anexará la prueba de daño con la respuesta al solicitante. </w:t>
      </w:r>
    </w:p>
    <w:p w14:paraId="4099BFAE" w14:textId="77777777" w:rsidR="00B2722B" w:rsidRPr="00E05D09" w:rsidRDefault="004425A1">
      <w:pPr>
        <w:pBdr>
          <w:top w:val="nil"/>
          <w:left w:val="nil"/>
          <w:bottom w:val="nil"/>
          <w:right w:val="nil"/>
          <w:between w:val="nil"/>
        </w:pBdr>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En los casos de resoluciones del Comité de Transparencia en las que se confirme la clasificación de información confidencial solo se deberán de identificar los tipos de datos protegidos, de conformidad con el lineamiento trigésimo octavo.</w:t>
      </w:r>
    </w:p>
    <w:p w14:paraId="655B3C31" w14:textId="77777777" w:rsidR="00B2722B" w:rsidRPr="00E05D09" w:rsidRDefault="004425A1">
      <w:pPr>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Quincuagésimo segundo.</w:t>
      </w:r>
      <w:r w:rsidRPr="00E05D09">
        <w:rPr>
          <w:rFonts w:ascii="Palatino Linotype" w:eastAsia="Palatino Linotype" w:hAnsi="Palatino Linotype" w:cs="Palatino Linotype"/>
          <w:i/>
          <w:iCs/>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82116AA" w14:textId="77777777" w:rsidR="00B2722B" w:rsidRPr="00E05D09" w:rsidRDefault="004425A1">
      <w:pPr>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En el caso específico de la clasificación y elaboración de versiones públicas de documentos que contengan información confidencial, las áreas de los sujetos obligados deberán: </w:t>
      </w:r>
    </w:p>
    <w:p w14:paraId="286F630F" w14:textId="77777777" w:rsidR="00B2722B" w:rsidRPr="00E05D09" w:rsidRDefault="004425A1">
      <w:pPr>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I. Fijar la fecha en que se elaboró la versión pública y la fecha en la cual el Comité de Transparencia confirmó dicha versión;</w:t>
      </w:r>
    </w:p>
    <w:p w14:paraId="5437EE1F" w14:textId="77777777" w:rsidR="00B2722B" w:rsidRPr="00E05D09" w:rsidRDefault="004425A1">
      <w:pPr>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II. Señalar dentro del documento el tipo de información confidencial que fue testada en cada caso específico, de conformidad con el lineamiento trigésimo octavo; y</w:t>
      </w:r>
    </w:p>
    <w:p w14:paraId="00B6F388" w14:textId="77777777" w:rsidR="00B2722B" w:rsidRPr="00E05D09" w:rsidRDefault="004425A1">
      <w:pPr>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III. Señalar las personas o instancias autorizadas a acceder a la información clasificada.</w:t>
      </w:r>
    </w:p>
    <w:p w14:paraId="05A95AD6" w14:textId="77777777" w:rsidR="00B2722B" w:rsidRPr="00E05D09" w:rsidRDefault="004425A1">
      <w:pPr>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lastRenderedPageBreak/>
        <w:t>En los documentos de difusión electrónica, señalar en la primera hoja y en el nombre del archivo, que la versión pública corresponde a un documento que contiene información confidencial.”</w:t>
      </w:r>
    </w:p>
    <w:p w14:paraId="4D0E8096" w14:textId="77777777" w:rsidR="00B2722B" w:rsidRPr="00E05D09" w:rsidRDefault="00B2722B">
      <w:pPr>
        <w:spacing w:line="360" w:lineRule="auto"/>
        <w:jc w:val="both"/>
        <w:rPr>
          <w:rFonts w:ascii="Palatino Linotype" w:eastAsia="Palatino Linotype" w:hAnsi="Palatino Linotype" w:cs="Palatino Linotype"/>
        </w:rPr>
      </w:pPr>
    </w:p>
    <w:p w14:paraId="4067CC59"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De igual forma, deberá observar los Lineamientos Quincuagésimo cuarto, Quincuagésimo quinto, Quincuagésimo séptimo y Quincuagésimo octavo, vigentes a la fecha de la solicitud de información establecen lo siguiente: </w:t>
      </w:r>
    </w:p>
    <w:p w14:paraId="3C597699" w14:textId="77777777" w:rsidR="00B2722B" w:rsidRPr="00E05D09" w:rsidRDefault="004425A1">
      <w:pPr>
        <w:pBdr>
          <w:top w:val="nil"/>
          <w:left w:val="nil"/>
          <w:bottom w:val="nil"/>
          <w:right w:val="nil"/>
          <w:between w:val="nil"/>
        </w:pBdr>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w:t>
      </w:r>
      <w:r w:rsidRPr="00E05D09">
        <w:rPr>
          <w:rFonts w:ascii="Palatino Linotype" w:eastAsia="Palatino Linotype" w:hAnsi="Palatino Linotype" w:cs="Palatino Linotype"/>
          <w:b/>
          <w:bCs/>
          <w:i/>
          <w:iCs/>
        </w:rPr>
        <w:t>Quincuagésimo cuarto.</w:t>
      </w:r>
      <w:r w:rsidRPr="00E05D09">
        <w:rPr>
          <w:rFonts w:ascii="Palatino Linotype" w:eastAsia="Palatino Linotype" w:hAnsi="Palatino Linotype" w:cs="Palatino Linotype"/>
          <w:i/>
          <w:iCs/>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4F27A7BE" w14:textId="77777777" w:rsidR="00B2722B" w:rsidRPr="00E05D09" w:rsidRDefault="004425A1">
      <w:pPr>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Quincuagésimo quinto.</w:t>
      </w:r>
      <w:r w:rsidRPr="00E05D09">
        <w:rPr>
          <w:rFonts w:ascii="Palatino Linotype" w:eastAsia="Palatino Linotype" w:hAnsi="Palatino Linotype" w:cs="Palatino Linotype"/>
          <w:i/>
          <w:iCs/>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3F5B0DE6" w14:textId="77777777" w:rsidR="00B2722B" w:rsidRPr="00E05D09" w:rsidRDefault="004425A1">
      <w:pPr>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w:t>
      </w:r>
    </w:p>
    <w:p w14:paraId="2330FD49" w14:textId="77777777" w:rsidR="00B2722B" w:rsidRPr="00E05D09" w:rsidRDefault="004425A1">
      <w:pPr>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Quincuagésimo séptimo.</w:t>
      </w:r>
      <w:r w:rsidRPr="00E05D09">
        <w:rPr>
          <w:rFonts w:ascii="Palatino Linotype" w:eastAsia="Palatino Linotype" w:hAnsi="Palatino Linotype" w:cs="Palatino Linotype"/>
          <w:i/>
          <w:iCs/>
        </w:rPr>
        <w:t xml:space="preserve"> Se considera, en principio, como información pública y no podrá omitirse de las versiones públicas la siguiente: </w:t>
      </w:r>
    </w:p>
    <w:p w14:paraId="29718CFF" w14:textId="77777777" w:rsidR="00B2722B" w:rsidRPr="00E05D09" w:rsidRDefault="004425A1">
      <w:pPr>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 La relativa a las Obligaciones de Transparencia que contempla el Título V de la Ley General y las demás disposiciones legales aplicables; </w:t>
      </w:r>
    </w:p>
    <w:p w14:paraId="043AE450" w14:textId="77777777" w:rsidR="00B2722B" w:rsidRPr="00E05D09" w:rsidRDefault="004425A1">
      <w:pPr>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II. El nombre de los integrantes de los sujetos obligados en los documentos, y sus firmas autógrafas o digitales, cuando sean utilizados en el ejercicio de las facultades conferidas para el desempeño del servicio público, y</w:t>
      </w:r>
    </w:p>
    <w:p w14:paraId="62558416" w14:textId="77777777" w:rsidR="00B2722B" w:rsidRPr="00E05D09" w:rsidRDefault="004425A1">
      <w:pPr>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5B93496" w14:textId="77777777" w:rsidR="00B2722B" w:rsidRPr="00E05D09" w:rsidRDefault="004425A1">
      <w:pPr>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Lo anterior, siempre y cuando no se acredite alguna causal de clasificación, prevista en las leyes o en los tratados internacionales suscritas por el Estado mexicano.  </w:t>
      </w:r>
    </w:p>
    <w:p w14:paraId="2D2303E2" w14:textId="77777777" w:rsidR="00B2722B" w:rsidRPr="00E05D09" w:rsidRDefault="004425A1">
      <w:pPr>
        <w:ind w:left="567" w:right="616"/>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Quincuagésimo octavo. Los sujetos obligados garantizarán que los sistemas o medios empleados para eliminar la información en las versiones públicas sean irreversibles, de tal forma que no permitan su recuperación o la visualización de la misma.”</w:t>
      </w:r>
    </w:p>
    <w:p w14:paraId="3358C114" w14:textId="77777777" w:rsidR="00B2722B" w:rsidRPr="00E05D09" w:rsidRDefault="00B2722B">
      <w:pPr>
        <w:spacing w:line="360" w:lineRule="auto"/>
        <w:ind w:left="567" w:right="616"/>
        <w:jc w:val="both"/>
        <w:rPr>
          <w:rFonts w:ascii="Palatino Linotype" w:eastAsia="Palatino Linotype" w:hAnsi="Palatino Linotype" w:cs="Palatino Linotype"/>
          <w:i/>
          <w:iCs/>
        </w:rPr>
      </w:pPr>
    </w:p>
    <w:p w14:paraId="6EF3FD25"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lastRenderedPageBreak/>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21436F53" w14:textId="77777777" w:rsidR="00B2722B" w:rsidRPr="00E05D09" w:rsidRDefault="00B2722B">
      <w:pPr>
        <w:spacing w:line="360" w:lineRule="auto"/>
        <w:jc w:val="both"/>
        <w:rPr>
          <w:rFonts w:ascii="Palatino Linotype" w:eastAsia="Palatino Linotype" w:hAnsi="Palatino Linotype" w:cs="Palatino Linotype"/>
        </w:rPr>
      </w:pPr>
    </w:p>
    <w:p w14:paraId="331298CC" w14:textId="77777777" w:rsidR="00B2722B" w:rsidRPr="00E05D09" w:rsidRDefault="004425A1">
      <w:pPr>
        <w:numPr>
          <w:ilvl w:val="0"/>
          <w:numId w:val="16"/>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Punto 42 del cuadro descriptivo </w:t>
      </w:r>
    </w:p>
    <w:p w14:paraId="25742C6E"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Para efectos de estudio es conveniente reiterar que el particular requirió las reglas de operación de los programas alimentarios operados de los ejercicios fiscales 2025 y 2026.</w:t>
      </w:r>
    </w:p>
    <w:p w14:paraId="74D93147"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B446F46"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De lo anterior el </w:t>
      </w:r>
      <w:r w:rsidRPr="00E05D09">
        <w:rPr>
          <w:rFonts w:ascii="Palatino Linotype" w:eastAsia="Palatino Linotype" w:hAnsi="Palatino Linotype" w:cs="Palatino Linotype"/>
          <w:b/>
          <w:bCs/>
          <w:color w:val="000000"/>
        </w:rPr>
        <w:t xml:space="preserve">SUJETO OBLIGADO </w:t>
      </w:r>
      <w:r w:rsidRPr="00E05D09">
        <w:rPr>
          <w:rFonts w:ascii="Palatino Linotype" w:eastAsia="Palatino Linotype" w:hAnsi="Palatino Linotype" w:cs="Palatino Linotype"/>
          <w:color w:val="000000"/>
        </w:rPr>
        <w:t>indicó, que la información solicitada pues ser consultado a través del link de acceso</w:t>
      </w:r>
      <w:r w:rsidRPr="00E05D09">
        <w:rPr>
          <w:rFonts w:ascii="Palatino Linotype" w:eastAsia="Palatino Linotype" w:hAnsi="Palatino Linotype" w:cs="Palatino Linotype"/>
          <w:noProof/>
          <w:color w:val="000000"/>
        </w:rPr>
        <w:drawing>
          <wp:inline distT="0" distB="0" distL="0" distR="0" wp14:anchorId="1A22AFC0" wp14:editId="3FBD172A">
            <wp:extent cx="5742940" cy="214163"/>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5742940" cy="214163"/>
                    </a:xfrm>
                    <a:prstGeom prst="rect">
                      <a:avLst/>
                    </a:prstGeom>
                    <a:ln/>
                  </pic:spPr>
                </pic:pic>
              </a:graphicData>
            </a:graphic>
          </wp:inline>
        </w:drawing>
      </w:r>
      <w:r w:rsidRPr="00E05D09">
        <w:rPr>
          <w:rFonts w:ascii="Palatino Linotype" w:eastAsia="Palatino Linotype" w:hAnsi="Palatino Linotype" w:cs="Palatino Linotype"/>
          <w:color w:val="000000"/>
        </w:rPr>
        <w:t>, el cual fue remitido en datos cerrados.</w:t>
      </w:r>
    </w:p>
    <w:p w14:paraId="1B6D9B49" w14:textId="77777777" w:rsidR="00B2722B" w:rsidRPr="00E05D09" w:rsidRDefault="00B2722B">
      <w:pPr>
        <w:pBdr>
          <w:top w:val="nil"/>
          <w:left w:val="nil"/>
          <w:bottom w:val="nil"/>
          <w:right w:val="nil"/>
          <w:between w:val="nil"/>
        </w:pBdr>
        <w:ind w:left="720"/>
        <w:rPr>
          <w:rFonts w:ascii="Palatino Linotype" w:eastAsia="Palatino Linotype" w:hAnsi="Palatino Linotype" w:cs="Palatino Linotype"/>
          <w:color w:val="000000"/>
        </w:rPr>
      </w:pPr>
    </w:p>
    <w:p w14:paraId="56EB049A" w14:textId="77777777" w:rsidR="00B2722B" w:rsidRPr="00E05D09" w:rsidRDefault="004425A1">
      <w:pPr>
        <w:numPr>
          <w:ilvl w:val="0"/>
          <w:numId w:val="1"/>
        </w:numPr>
        <w:spacing w:line="360" w:lineRule="auto"/>
        <w:ind w:left="0" w:firstLine="0"/>
        <w:jc w:val="both"/>
        <w:rPr>
          <w:rFonts w:ascii="Palatino Linotype" w:eastAsia="Palatino Linotype" w:hAnsi="Palatino Linotype" w:cs="Palatino Linotype"/>
        </w:rPr>
      </w:pPr>
      <w:r w:rsidRPr="00E05D09">
        <w:rPr>
          <w:rFonts w:ascii="Palatino Linotype" w:eastAsia="Palatino Linotype" w:hAnsi="Palatino Linotype" w:cs="Palatino Linotype"/>
          <w:color w:val="000000"/>
        </w:rPr>
        <w:t>Por lo anterior, este Organismo Garante considera que el enlace proporcionado en respuesta no puede tenerse por válido, toda vez que los enlaces electrónicos deben ser precisos y directos, sin embargo, en el caso particular, la información no se encuentra disponible para su consulta.</w:t>
      </w:r>
    </w:p>
    <w:p w14:paraId="111C73EC" w14:textId="77777777" w:rsidR="00B2722B" w:rsidRPr="00E05D09" w:rsidRDefault="00B2722B">
      <w:pPr>
        <w:pBdr>
          <w:top w:val="nil"/>
          <w:left w:val="nil"/>
          <w:bottom w:val="nil"/>
          <w:right w:val="nil"/>
          <w:between w:val="nil"/>
        </w:pBdr>
        <w:ind w:left="720"/>
        <w:rPr>
          <w:rFonts w:ascii="Palatino Linotype" w:eastAsia="Palatino Linotype" w:hAnsi="Palatino Linotype" w:cs="Palatino Linotype"/>
          <w:color w:val="000000"/>
        </w:rPr>
      </w:pPr>
    </w:p>
    <w:p w14:paraId="0B97CE66" w14:textId="77777777" w:rsidR="00B2722B" w:rsidRPr="00E05D09" w:rsidRDefault="004425A1">
      <w:pPr>
        <w:numPr>
          <w:ilvl w:val="0"/>
          <w:numId w:val="1"/>
        </w:numPr>
        <w:spacing w:line="360" w:lineRule="auto"/>
        <w:ind w:left="0" w:firstLine="0"/>
        <w:jc w:val="both"/>
        <w:rPr>
          <w:rFonts w:ascii="Palatino Linotype" w:eastAsia="Palatino Linotype" w:hAnsi="Palatino Linotype" w:cs="Palatino Linotype"/>
        </w:rPr>
      </w:pPr>
      <w:r w:rsidRPr="00E05D09">
        <w:rPr>
          <w:rFonts w:ascii="Palatino Linotype" w:eastAsia="Palatino Linotype" w:hAnsi="Palatino Linotype" w:cs="Palatino Linotype"/>
          <w:color w:val="000000"/>
        </w:rPr>
        <w:lastRenderedPageBreak/>
        <w:t>Al respecto es necesario precisar que la Ley de Transparencia y Acceso a la Información Pública del Estado de México y Municipios establece en su artículo 11 que en </w:t>
      </w:r>
      <w:r w:rsidRPr="00E05D09">
        <w:rPr>
          <w:rFonts w:ascii="Palatino Linotype" w:eastAsia="Palatino Linotype" w:hAnsi="Palatino Linotype" w:cs="Palatino Linotype"/>
          <w:i/>
          <w:iCs/>
          <w:color w:val="000000"/>
        </w:rPr>
        <w:t>la entrega de la información se deberá garantizar que ésta sea </w:t>
      </w:r>
      <w:r w:rsidRPr="00E05D09">
        <w:rPr>
          <w:rFonts w:ascii="Palatino Linotype" w:eastAsia="Palatino Linotype" w:hAnsi="Palatino Linotype" w:cs="Palatino Linotype"/>
          <w:b/>
          <w:bCs/>
          <w:i/>
          <w:iCs/>
          <w:color w:val="000000"/>
        </w:rPr>
        <w:t>accesible</w:t>
      </w:r>
      <w:r w:rsidRPr="00E05D09">
        <w:rPr>
          <w:rFonts w:ascii="Palatino Linotype" w:eastAsia="Palatino Linotype" w:hAnsi="Palatino Linotype" w:cs="Palatino Linotype"/>
          <w:i/>
          <w:iCs/>
          <w:color w:val="000000"/>
        </w:rPr>
        <w:t>, </w:t>
      </w:r>
      <w:r w:rsidRPr="00E05D09">
        <w:rPr>
          <w:rFonts w:ascii="Palatino Linotype" w:eastAsia="Palatino Linotype" w:hAnsi="Palatino Linotype" w:cs="Palatino Linotype"/>
          <w:b/>
          <w:bCs/>
          <w:i/>
          <w:iCs/>
          <w:color w:val="000000"/>
        </w:rPr>
        <w:t>actualizada, completa,</w:t>
      </w:r>
      <w:r w:rsidRPr="00E05D09">
        <w:rPr>
          <w:rFonts w:ascii="Palatino Linotype" w:eastAsia="Palatino Linotype" w:hAnsi="Palatino Linotype" w:cs="Palatino Linotype"/>
          <w:i/>
          <w:iCs/>
          <w:color w:val="000000"/>
        </w:rPr>
        <w:t> congruente, confiable, </w:t>
      </w:r>
      <w:r w:rsidRPr="00E05D09">
        <w:rPr>
          <w:rFonts w:ascii="Palatino Linotype" w:eastAsia="Palatino Linotype" w:hAnsi="Palatino Linotype" w:cs="Palatino Linotype"/>
          <w:b/>
          <w:bCs/>
          <w:i/>
          <w:iCs/>
          <w:color w:val="000000"/>
        </w:rPr>
        <w:t>verificable</w:t>
      </w:r>
      <w:r w:rsidRPr="00E05D09">
        <w:rPr>
          <w:rFonts w:ascii="Palatino Linotype" w:eastAsia="Palatino Linotype" w:hAnsi="Palatino Linotype" w:cs="Palatino Linotype"/>
          <w:i/>
          <w:iCs/>
          <w:color w:val="000000"/>
        </w:rPr>
        <w:t>, veraz, integral, oportuna y expedita. </w:t>
      </w:r>
      <w:r w:rsidRPr="00E05D09">
        <w:rPr>
          <w:rFonts w:ascii="Palatino Linotype" w:eastAsia="Palatino Linotype" w:hAnsi="Palatino Linotype" w:cs="Palatino Linotype"/>
          <w:color w:val="000000"/>
        </w:rPr>
        <w:t>Asimismo, el artículo 161 de la Ley en comento, refiere lo siguiente:</w:t>
      </w:r>
    </w:p>
    <w:p w14:paraId="7AEEFD98" w14:textId="6EDDDF4F" w:rsidR="00B2722B" w:rsidRPr="00E05D09" w:rsidRDefault="004425A1" w:rsidP="00E05D09">
      <w:pPr>
        <w:shd w:val="clear" w:color="auto" w:fill="FFFFFF"/>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w:t>
      </w:r>
      <w:r w:rsidRPr="00E05D09">
        <w:rPr>
          <w:rFonts w:ascii="Palatino Linotype" w:eastAsia="Palatino Linotype" w:hAnsi="Palatino Linotype" w:cs="Palatino Linotype"/>
          <w:b/>
          <w:bCs/>
          <w:i/>
          <w:iCs/>
          <w:color w:val="000000"/>
        </w:rPr>
        <w:t>Artículo 161. Cuando la información requerida por el solicitante ya esté disponible al público </w:t>
      </w:r>
      <w:r w:rsidRPr="00E05D09">
        <w:rPr>
          <w:rFonts w:ascii="Palatino Linotype" w:eastAsia="Palatino Linotype" w:hAnsi="Palatino Linotype" w:cs="Palatino Linotype"/>
          <w:i/>
          <w:iCs/>
          <w:color w:val="000000"/>
        </w:rPr>
        <w:t>en medios impresos, tales como libros, compendios, trípticos, registros públicos, </w:t>
      </w:r>
      <w:r w:rsidRPr="00E05D09">
        <w:rPr>
          <w:rFonts w:ascii="Palatino Linotype" w:eastAsia="Palatino Linotype" w:hAnsi="Palatino Linotype" w:cs="Palatino Linotype"/>
          <w:b/>
          <w:bCs/>
          <w:i/>
          <w:iCs/>
          <w:color w:val="000000"/>
        </w:rPr>
        <w:t>en formatos electrónicos</w:t>
      </w:r>
      <w:r w:rsidRPr="00E05D09">
        <w:rPr>
          <w:rFonts w:ascii="Palatino Linotype" w:eastAsia="Palatino Linotype" w:hAnsi="Palatino Linotype" w:cs="Palatino Linotype"/>
          <w:i/>
          <w:iCs/>
          <w:color w:val="000000"/>
        </w:rPr>
        <w:t> disponibles en Internet o en cualquier otro medio, </w:t>
      </w:r>
      <w:r w:rsidRPr="00E05D09">
        <w:rPr>
          <w:rFonts w:ascii="Palatino Linotype" w:eastAsia="Palatino Linotype" w:hAnsi="Palatino Linotype" w:cs="Palatino Linotype"/>
          <w:b/>
          <w:bCs/>
          <w:i/>
          <w:iCs/>
          <w:color w:val="000000"/>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3D839A18" w14:textId="77777777" w:rsidR="00B2722B" w:rsidRPr="00E05D09" w:rsidRDefault="004425A1">
      <w:pPr>
        <w:shd w:val="clear" w:color="auto" w:fill="FFFFFF"/>
        <w:ind w:left="567"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b/>
          <w:bCs/>
          <w:i/>
          <w:iCs/>
          <w:color w:val="000000"/>
        </w:rPr>
        <w:t>(Énfasis añadido)</w:t>
      </w:r>
    </w:p>
    <w:p w14:paraId="7CBB5784" w14:textId="77777777" w:rsidR="00B2722B" w:rsidRPr="00E05D09" w:rsidRDefault="004425A1">
      <w:pPr>
        <w:shd w:val="clear" w:color="auto" w:fill="FFFFFF"/>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b/>
          <w:bCs/>
          <w:i/>
          <w:iCs/>
          <w:color w:val="000000"/>
        </w:rPr>
        <w:t> </w:t>
      </w:r>
    </w:p>
    <w:p w14:paraId="3A196A20" w14:textId="77777777" w:rsidR="00B2722B" w:rsidRPr="00E05D09" w:rsidRDefault="004425A1">
      <w:pPr>
        <w:numPr>
          <w:ilvl w:val="0"/>
          <w:numId w:val="1"/>
        </w:numPr>
        <w:pBdr>
          <w:top w:val="nil"/>
          <w:left w:val="nil"/>
          <w:bottom w:val="nil"/>
          <w:right w:val="nil"/>
          <w:between w:val="nil"/>
        </w:pBdr>
        <w:shd w:val="clear" w:color="auto" w:fill="FFFFFF"/>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Es así que, toda aquella información que sea requerida por los particulares que, previamente se encuentre disponible en sitios electrónicos, como puede ser de manera enunciativa más no limitativa, el sitio oficial del Sujeto Obligado o el portal IPOMEX o las páginas institucionales. Los Sujetos Obligado deben indicar la dirección electrónica donde obra la información solicitada. </w:t>
      </w:r>
      <w:r w:rsidRPr="00E05D09">
        <w:rPr>
          <w:rFonts w:ascii="Palatino Linotype" w:eastAsia="Palatino Linotype" w:hAnsi="Palatino Linotype" w:cs="Palatino Linotype"/>
          <w:b/>
          <w:bCs/>
          <w:color w:val="000000"/>
        </w:rPr>
        <w:t>Esta dirección electrónica debe ser precisa, de tal modo que no implique realizar una búsqueda en toda la información que ahí se encuentre, debiendo cumplir</w:t>
      </w:r>
      <w:r w:rsidRPr="00E05D09">
        <w:rPr>
          <w:rFonts w:ascii="Palatino Linotype" w:eastAsia="Palatino Linotype" w:hAnsi="Palatino Linotype" w:cs="Palatino Linotype"/>
          <w:color w:val="000000"/>
        </w:rPr>
        <w:t> una serie de requisitos, a saber:</w:t>
      </w:r>
    </w:p>
    <w:p w14:paraId="0464671E" w14:textId="5AAB68E0" w:rsidR="00B2722B" w:rsidRPr="00E05D09" w:rsidRDefault="004425A1" w:rsidP="00E05D09">
      <w:pPr>
        <w:shd w:val="clear" w:color="auto" w:fill="FFFFFF"/>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b/>
          <w:bCs/>
          <w:color w:val="000000"/>
        </w:rPr>
        <w:t> </w:t>
      </w:r>
      <w:r w:rsidR="00E05D09">
        <w:rPr>
          <w:rFonts w:ascii="Palatino Linotype" w:eastAsia="Palatino Linotype" w:hAnsi="Palatino Linotype" w:cs="Palatino Linotype"/>
          <w:b/>
          <w:bCs/>
          <w:color w:val="000000"/>
        </w:rPr>
        <w:tab/>
      </w:r>
      <w:r w:rsidRPr="00E05D09">
        <w:rPr>
          <w:rFonts w:ascii="Palatino Linotype" w:eastAsia="Palatino Linotype" w:hAnsi="Palatino Linotype" w:cs="Palatino Linotype"/>
          <w:color w:val="000000"/>
        </w:rPr>
        <w:t>●       </w:t>
      </w:r>
      <w:r w:rsidRPr="00E05D09">
        <w:rPr>
          <w:rFonts w:ascii="Palatino Linotype" w:eastAsia="Palatino Linotype" w:hAnsi="Palatino Linotype" w:cs="Palatino Linotype"/>
          <w:b/>
          <w:bCs/>
          <w:color w:val="000000"/>
        </w:rPr>
        <w:t>La dirección electrónica debe señalarse en un plazo no mayor a cinco días hábiles;</w:t>
      </w:r>
    </w:p>
    <w:p w14:paraId="1AD48E64" w14:textId="77777777" w:rsidR="00B2722B" w:rsidRPr="00E05D09" w:rsidRDefault="004425A1">
      <w:pPr>
        <w:shd w:val="clear" w:color="auto" w:fill="FFFFFF"/>
        <w:ind w:left="567"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w:t>
      </w:r>
      <w:r w:rsidRPr="00E05D09">
        <w:rPr>
          <w:rFonts w:ascii="Palatino Linotype" w:eastAsia="Palatino Linotype" w:hAnsi="Palatino Linotype" w:cs="Palatino Linotype"/>
          <w:b/>
          <w:bCs/>
          <w:color w:val="000000"/>
        </w:rPr>
        <w:t>La dirección electrónica debe ser precisa, de tal modo que no implique realizar una búsqueda en toda la información que ahí se encuentre; y,</w:t>
      </w:r>
    </w:p>
    <w:p w14:paraId="67675769" w14:textId="77777777" w:rsidR="00B2722B" w:rsidRPr="00E05D09" w:rsidRDefault="004425A1">
      <w:pPr>
        <w:shd w:val="clear" w:color="auto" w:fill="FFFFFF"/>
        <w:ind w:left="567"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w:t>
      </w:r>
      <w:r w:rsidRPr="00E05D09">
        <w:rPr>
          <w:rFonts w:ascii="Palatino Linotype" w:eastAsia="Palatino Linotype" w:hAnsi="Palatino Linotype" w:cs="Palatino Linotype"/>
          <w:b/>
          <w:bCs/>
          <w:color w:val="000000"/>
        </w:rPr>
        <w:t>La dirección electrónica debe ir acompañada del procedimiento a seguir, en caso de que la información se encuentre en distintos puntos del sitio electrónico referido; y,</w:t>
      </w:r>
    </w:p>
    <w:p w14:paraId="0291431F" w14:textId="77777777" w:rsidR="00B2722B" w:rsidRPr="00E05D09" w:rsidRDefault="004425A1">
      <w:pPr>
        <w:shd w:val="clear" w:color="auto" w:fill="FFFFFF"/>
        <w:ind w:left="567"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w:t>
      </w:r>
      <w:r w:rsidRPr="00E05D09">
        <w:rPr>
          <w:rFonts w:ascii="Palatino Linotype" w:eastAsia="Palatino Linotype" w:hAnsi="Palatino Linotype" w:cs="Palatino Linotype"/>
          <w:b/>
          <w:bCs/>
          <w:color w:val="000000"/>
          <w:u w:val="single"/>
        </w:rPr>
        <w:t>La dirección electrónica se debe entregar en formato abierto,</w:t>
      </w:r>
      <w:r w:rsidRPr="00E05D09">
        <w:rPr>
          <w:rFonts w:ascii="Palatino Linotype" w:eastAsia="Palatino Linotype" w:hAnsi="Palatino Linotype" w:cs="Palatino Linotype"/>
          <w:b/>
          <w:bCs/>
          <w:color w:val="000000"/>
        </w:rPr>
        <w:t> para que el Recurrente pueda copiar y pegar sin la necesidad de transcribir la liga electrónica.</w:t>
      </w:r>
    </w:p>
    <w:p w14:paraId="19C8A5ED" w14:textId="77777777" w:rsidR="00B2722B" w:rsidRPr="00E05D09" w:rsidRDefault="00B2722B">
      <w:pPr>
        <w:rPr>
          <w:rFonts w:ascii="Palatino Linotype" w:eastAsia="Palatino Linotype" w:hAnsi="Palatino Linotype" w:cs="Palatino Linotype"/>
        </w:rPr>
      </w:pPr>
    </w:p>
    <w:p w14:paraId="41922847" w14:textId="77777777" w:rsidR="00B2722B" w:rsidRPr="00E05D09" w:rsidRDefault="004425A1">
      <w:pPr>
        <w:numPr>
          <w:ilvl w:val="0"/>
          <w:numId w:val="1"/>
        </w:numPr>
        <w:pBdr>
          <w:top w:val="nil"/>
          <w:left w:val="nil"/>
          <w:bottom w:val="nil"/>
          <w:right w:val="nil"/>
          <w:between w:val="nil"/>
        </w:pBdr>
        <w:shd w:val="clear" w:color="auto" w:fill="FFFFFF"/>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lastRenderedPageBreak/>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1F1FF899" w14:textId="77777777" w:rsidR="00B2722B" w:rsidRPr="00E05D09" w:rsidRDefault="00B2722B">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p>
    <w:p w14:paraId="2890C007" w14:textId="77777777" w:rsidR="00B2722B" w:rsidRPr="00E05D09" w:rsidRDefault="004425A1">
      <w:pPr>
        <w:numPr>
          <w:ilvl w:val="0"/>
          <w:numId w:val="1"/>
        </w:numPr>
        <w:pBdr>
          <w:top w:val="nil"/>
          <w:left w:val="nil"/>
          <w:bottom w:val="nil"/>
          <w:right w:val="nil"/>
          <w:between w:val="nil"/>
        </w:pBdr>
        <w:shd w:val="clear" w:color="auto" w:fill="FFFFFF"/>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En ese contexto, el artículo 3°, fracciones VIII y XVI de la Ley de Transparencia y Acceso a la Información Pública del Estado de México y Municipios, precisan lo siguiente:</w:t>
      </w:r>
    </w:p>
    <w:p w14:paraId="74DB647B" w14:textId="1EFEE640" w:rsidR="00B2722B" w:rsidRPr="00E05D09" w:rsidRDefault="004425A1" w:rsidP="00E05D09">
      <w:pPr>
        <w:shd w:val="clear" w:color="auto" w:fill="FFFFFF"/>
        <w:ind w:left="567" w:firstLine="153"/>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w:t>
      </w:r>
      <w:r w:rsidRPr="00E05D09">
        <w:rPr>
          <w:rFonts w:ascii="Palatino Linotype" w:eastAsia="Palatino Linotype" w:hAnsi="Palatino Linotype" w:cs="Palatino Linotype"/>
          <w:b/>
          <w:bCs/>
          <w:color w:val="000000"/>
        </w:rPr>
        <w:t>Dato abierto: </w:t>
      </w:r>
      <w:r w:rsidRPr="00E05D09">
        <w:rPr>
          <w:rFonts w:ascii="Palatino Linotype" w:eastAsia="Palatino Linotype" w:hAnsi="Palatino Linotype" w:cs="Palatino Linotype"/>
          <w:color w:val="000000"/>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1FAAB3C1" w14:textId="77777777" w:rsidR="00B2722B" w:rsidRPr="00E05D09" w:rsidRDefault="004425A1">
      <w:pPr>
        <w:shd w:val="clear" w:color="auto" w:fill="FFFFFF"/>
        <w:ind w:left="567"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b/>
          <w:bCs/>
          <w:color w:val="000000"/>
        </w:rPr>
        <w:t> </w:t>
      </w:r>
    </w:p>
    <w:p w14:paraId="72BEAA55" w14:textId="77777777" w:rsidR="00B2722B" w:rsidRPr="00E05D09" w:rsidRDefault="004425A1">
      <w:pPr>
        <w:shd w:val="clear" w:color="auto" w:fill="FFFFFF"/>
        <w:ind w:left="567"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w:t>
      </w:r>
      <w:r w:rsidRPr="00E05D09">
        <w:rPr>
          <w:rFonts w:ascii="Palatino Linotype" w:eastAsia="Palatino Linotype" w:hAnsi="Palatino Linotype" w:cs="Palatino Linotype"/>
          <w:b/>
          <w:bCs/>
          <w:color w:val="000000"/>
        </w:rPr>
        <w:t>Formato accesible: </w:t>
      </w:r>
      <w:r w:rsidRPr="00E05D09">
        <w:rPr>
          <w:rFonts w:ascii="Palatino Linotype" w:eastAsia="Palatino Linotype" w:hAnsi="Palatino Linotype" w:cs="Palatino Linotype"/>
          <w:color w:val="000000"/>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17997A10" w14:textId="77777777" w:rsidR="00B2722B" w:rsidRPr="00E05D09" w:rsidRDefault="004425A1">
      <w:pPr>
        <w:shd w:val="clear" w:color="auto" w:fill="FFFFFF"/>
        <w:ind w:left="567"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w:t>
      </w:r>
    </w:p>
    <w:p w14:paraId="75EC82F6" w14:textId="77777777" w:rsidR="00B2722B" w:rsidRPr="00E05D09" w:rsidRDefault="004425A1">
      <w:pPr>
        <w:numPr>
          <w:ilvl w:val="0"/>
          <w:numId w:val="1"/>
        </w:numPr>
        <w:pBdr>
          <w:top w:val="nil"/>
          <w:left w:val="nil"/>
          <w:bottom w:val="nil"/>
          <w:right w:val="nil"/>
          <w:between w:val="nil"/>
        </w:pBdr>
        <w:shd w:val="clear" w:color="auto" w:fill="FFFFFF"/>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14:paraId="0D691EB1" w14:textId="77777777" w:rsidR="00B2722B" w:rsidRPr="00E05D09" w:rsidRDefault="00B2722B">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p>
    <w:p w14:paraId="14CB2194" w14:textId="77777777" w:rsidR="00B2722B" w:rsidRPr="00E05D09" w:rsidRDefault="004425A1">
      <w:pPr>
        <w:numPr>
          <w:ilvl w:val="0"/>
          <w:numId w:val="1"/>
        </w:numPr>
        <w:pBdr>
          <w:top w:val="nil"/>
          <w:left w:val="nil"/>
          <w:bottom w:val="nil"/>
          <w:right w:val="nil"/>
          <w:between w:val="nil"/>
        </w:pBdr>
        <w:shd w:val="clear" w:color="auto" w:fill="FFFFFF"/>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En el presente asunto, El Tesorero Municipal entregó la dirección electrónica en formato cerrado, lo que propicia que el Recurrente deba transcribir cada uno de los caracteres, lo que facilita a errores y con ello la imposibilidad o dificultad para acceder a la información, por tanto no se tienen colmado este punto de la solicitud, dando viabilidad a ordenar las Reglas de Operación de los Programas Alimentarios operados.</w:t>
      </w:r>
    </w:p>
    <w:p w14:paraId="4FD3E3DC" w14:textId="77777777" w:rsidR="00B2722B" w:rsidRPr="00E05D09" w:rsidRDefault="00B2722B">
      <w:pPr>
        <w:pBdr>
          <w:top w:val="nil"/>
          <w:left w:val="nil"/>
          <w:bottom w:val="nil"/>
          <w:right w:val="nil"/>
          <w:between w:val="nil"/>
        </w:pBdr>
        <w:ind w:left="720"/>
        <w:rPr>
          <w:rFonts w:ascii="Palatino Linotype" w:eastAsia="Palatino Linotype" w:hAnsi="Palatino Linotype" w:cs="Palatino Linotype"/>
          <w:color w:val="000000"/>
        </w:rPr>
      </w:pPr>
    </w:p>
    <w:p w14:paraId="0ED95880" w14:textId="77777777" w:rsidR="00B2722B" w:rsidRPr="00E05D09" w:rsidRDefault="004425A1">
      <w:pPr>
        <w:numPr>
          <w:ilvl w:val="0"/>
          <w:numId w:val="16"/>
        </w:numPr>
        <w:pBdr>
          <w:top w:val="nil"/>
          <w:left w:val="nil"/>
          <w:bottom w:val="nil"/>
          <w:right w:val="nil"/>
          <w:between w:val="nil"/>
        </w:pBdr>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lastRenderedPageBreak/>
        <w:t>Punto 19 del Cuadro Comparativo referente a las percepciones brutas y netas</w:t>
      </w:r>
    </w:p>
    <w:p w14:paraId="4324D75A" w14:textId="77777777" w:rsidR="00B2722B" w:rsidRPr="00E05D09" w:rsidRDefault="00B2722B">
      <w:pPr>
        <w:pBdr>
          <w:top w:val="nil"/>
          <w:left w:val="nil"/>
          <w:bottom w:val="nil"/>
          <w:right w:val="nil"/>
          <w:between w:val="nil"/>
        </w:pBdr>
        <w:ind w:left="720"/>
        <w:rPr>
          <w:rFonts w:ascii="Palatino Linotype" w:eastAsia="Palatino Linotype" w:hAnsi="Palatino Linotype" w:cs="Palatino Linotype"/>
          <w:color w:val="000000"/>
        </w:rPr>
      </w:pPr>
    </w:p>
    <w:p w14:paraId="77668204" w14:textId="77777777" w:rsidR="00B2722B" w:rsidRPr="00E05D09" w:rsidRDefault="004425A1">
      <w:pPr>
        <w:numPr>
          <w:ilvl w:val="0"/>
          <w:numId w:val="1"/>
        </w:numPr>
        <w:pBdr>
          <w:top w:val="nil"/>
          <w:left w:val="nil"/>
          <w:bottom w:val="nil"/>
          <w:right w:val="nil"/>
          <w:between w:val="nil"/>
        </w:pBdr>
        <w:shd w:val="clear" w:color="auto" w:fill="FFFFFF"/>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Al respecto, el </w:t>
      </w:r>
      <w:r w:rsidRPr="00E05D09">
        <w:rPr>
          <w:rFonts w:ascii="Palatino Linotype" w:eastAsia="Palatino Linotype" w:hAnsi="Palatino Linotype" w:cs="Palatino Linotype"/>
          <w:b/>
          <w:bCs/>
          <w:color w:val="000000"/>
        </w:rPr>
        <w:t xml:space="preserve">SUJETO OBLIGADO, </w:t>
      </w:r>
      <w:r w:rsidRPr="00E05D09">
        <w:rPr>
          <w:rFonts w:ascii="Palatino Linotype" w:eastAsia="Palatino Linotype" w:hAnsi="Palatino Linotype" w:cs="Palatino Linotype"/>
          <w:color w:val="000000"/>
        </w:rPr>
        <w:t xml:space="preserve">remitió un documento </w:t>
      </w:r>
      <w:r w:rsidRPr="00E05D09">
        <w:rPr>
          <w:rFonts w:ascii="Palatino Linotype" w:eastAsia="Palatino Linotype" w:hAnsi="Palatino Linotype" w:cs="Palatino Linotype"/>
          <w:i/>
          <w:iCs/>
          <w:color w:val="000000"/>
        </w:rPr>
        <w:t xml:space="preserve">ad hoc, </w:t>
      </w:r>
      <w:r w:rsidRPr="00E05D09">
        <w:rPr>
          <w:rFonts w:ascii="Palatino Linotype" w:eastAsia="Palatino Linotype" w:hAnsi="Palatino Linotype" w:cs="Palatino Linotype"/>
          <w:color w:val="000000"/>
        </w:rPr>
        <w:t>del que se advierte el nombre completo del servidor público; así como las percepciones brutas y netas, empero de estas percepciones no se especifica si son percibidas de manera quincenal o mensual, por tanto el documento remitido no colma con lo solicitado por el particular.</w:t>
      </w:r>
    </w:p>
    <w:p w14:paraId="3296C9FE" w14:textId="77777777" w:rsidR="00B2722B" w:rsidRPr="00E05D09" w:rsidRDefault="00B2722B">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p>
    <w:p w14:paraId="5DCFD689"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Es así que en el caso que se resuelve, la respuesta fue emitida por el Titular de Recursos Humanos, que si bien, es la autoridad que posee, genera y administra la información solicitada; no se advierte que haya realizado la búsqueda exhaustiva exigida por la ley de la materia, por lo que a fin de ordenar la información faltante, se procede a realizar el análisis del documento que de manera enunciativa, más no limitativa, podría colmar el requerimiento.</w:t>
      </w:r>
    </w:p>
    <w:p w14:paraId="096627A1" w14:textId="77777777" w:rsidR="00B2722B" w:rsidRPr="00E05D09" w:rsidRDefault="00B2722B">
      <w:pPr>
        <w:pBdr>
          <w:top w:val="nil"/>
          <w:left w:val="nil"/>
          <w:bottom w:val="nil"/>
          <w:right w:val="nil"/>
          <w:between w:val="nil"/>
        </w:pBdr>
        <w:ind w:left="720"/>
        <w:rPr>
          <w:rFonts w:ascii="Palatino Linotype" w:eastAsia="Palatino Linotype" w:hAnsi="Palatino Linotype" w:cs="Palatino Linotype"/>
          <w:color w:val="000000"/>
        </w:rPr>
      </w:pPr>
    </w:p>
    <w:p w14:paraId="2F0B0782" w14:textId="77777777" w:rsidR="00B2722B" w:rsidRPr="00E05D09" w:rsidRDefault="004425A1">
      <w:pPr>
        <w:numPr>
          <w:ilvl w:val="0"/>
          <w:numId w:val="16"/>
        </w:numPr>
        <w:pBdr>
          <w:top w:val="nil"/>
          <w:left w:val="nil"/>
          <w:bottom w:val="nil"/>
          <w:right w:val="nil"/>
          <w:between w:val="nil"/>
        </w:pBdr>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Conciliación de Nómina</w:t>
      </w:r>
    </w:p>
    <w:p w14:paraId="552BCCA8" w14:textId="77777777" w:rsidR="00B2722B" w:rsidRPr="00E05D09" w:rsidRDefault="00B2722B">
      <w:pPr>
        <w:pBdr>
          <w:top w:val="nil"/>
          <w:left w:val="nil"/>
          <w:bottom w:val="nil"/>
          <w:right w:val="nil"/>
          <w:between w:val="nil"/>
        </w:pBdr>
        <w:ind w:left="720"/>
        <w:rPr>
          <w:rFonts w:ascii="Palatino Linotype" w:eastAsia="Palatino Linotype" w:hAnsi="Palatino Linotype" w:cs="Palatino Linotype"/>
          <w:b/>
          <w:bCs/>
          <w:color w:val="000000"/>
        </w:rPr>
      </w:pPr>
    </w:p>
    <w:p w14:paraId="0C573F59" w14:textId="77777777" w:rsidR="00B2722B" w:rsidRPr="00E05D09" w:rsidRDefault="004425A1">
      <w:pPr>
        <w:numPr>
          <w:ilvl w:val="0"/>
          <w:numId w:val="1"/>
        </w:numPr>
        <w:pBdr>
          <w:top w:val="nil"/>
          <w:left w:val="nil"/>
          <w:bottom w:val="nil"/>
          <w:right w:val="nil"/>
          <w:between w:val="nil"/>
        </w:pBdr>
        <w:tabs>
          <w:tab w:val="left" w:pos="426"/>
          <w:tab w:val="left" w:pos="567"/>
        </w:tabs>
        <w:spacing w:line="360" w:lineRule="auto"/>
        <w:ind w:left="0" w:right="-144" w:firstLine="0"/>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color w:val="242424"/>
        </w:rPr>
        <w:t>Ahora bien, relativo al sueldo de los Servidores Públicos, resulta conveniente referir que el artículo 147 de la Constitución Política del Estado Libre y Soberano de México, refiere que los trabajadores al servicio del Estado, como los miembros de los Ayuntamientos, recibirán una remuneración adecuada e irrenunciable por el desempeño de su empleo, cargo o comisión, que será determinada en el presupuesto de egresos que corresponda.</w:t>
      </w:r>
    </w:p>
    <w:p w14:paraId="0A25E58B" w14:textId="77777777" w:rsidR="00B2722B" w:rsidRPr="00E05D09" w:rsidRDefault="00B2722B">
      <w:pPr>
        <w:pBdr>
          <w:top w:val="nil"/>
          <w:left w:val="nil"/>
          <w:bottom w:val="nil"/>
          <w:right w:val="nil"/>
          <w:between w:val="nil"/>
        </w:pBdr>
        <w:tabs>
          <w:tab w:val="left" w:pos="426"/>
          <w:tab w:val="left" w:pos="567"/>
        </w:tabs>
        <w:spacing w:line="360" w:lineRule="auto"/>
        <w:ind w:right="-144"/>
        <w:jc w:val="both"/>
        <w:rPr>
          <w:rFonts w:ascii="Palatino Linotype" w:eastAsia="Palatino Linotype" w:hAnsi="Palatino Linotype" w:cs="Palatino Linotype"/>
          <w:b/>
          <w:bCs/>
          <w:color w:val="000000"/>
        </w:rPr>
      </w:pPr>
    </w:p>
    <w:p w14:paraId="6AE3BF6A" w14:textId="77777777" w:rsidR="00B2722B" w:rsidRPr="00E05D09" w:rsidRDefault="004425A1">
      <w:pPr>
        <w:numPr>
          <w:ilvl w:val="0"/>
          <w:numId w:val="1"/>
        </w:numPr>
        <w:pBdr>
          <w:top w:val="nil"/>
          <w:left w:val="nil"/>
          <w:bottom w:val="nil"/>
          <w:right w:val="nil"/>
          <w:between w:val="nil"/>
        </w:pBdr>
        <w:tabs>
          <w:tab w:val="left" w:pos="426"/>
          <w:tab w:val="left" w:pos="567"/>
        </w:tabs>
        <w:spacing w:line="360" w:lineRule="auto"/>
        <w:ind w:left="0" w:right="-144" w:firstLine="0"/>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color w:val="242424"/>
        </w:rPr>
        <w:t xml:space="preserve">Ahora bien,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w:t>
      </w:r>
    </w:p>
    <w:p w14:paraId="3E332F02" w14:textId="77777777" w:rsidR="00B2722B" w:rsidRPr="00E05D09" w:rsidRDefault="004425A1">
      <w:pPr>
        <w:numPr>
          <w:ilvl w:val="0"/>
          <w:numId w:val="1"/>
        </w:numPr>
        <w:pBdr>
          <w:top w:val="nil"/>
          <w:left w:val="nil"/>
          <w:bottom w:val="nil"/>
          <w:right w:val="nil"/>
          <w:between w:val="nil"/>
        </w:pBdr>
        <w:tabs>
          <w:tab w:val="left" w:pos="426"/>
          <w:tab w:val="left" w:pos="567"/>
        </w:tabs>
        <w:spacing w:line="360" w:lineRule="auto"/>
        <w:ind w:left="0" w:right="-144" w:firstLine="0"/>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color w:val="242424"/>
        </w:rPr>
        <w:lastRenderedPageBreak/>
        <w:t>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120051E8" w14:textId="77777777" w:rsidR="00B2722B" w:rsidRPr="00E05D09" w:rsidRDefault="004425A1">
      <w:pPr>
        <w:pBdr>
          <w:top w:val="nil"/>
          <w:left w:val="nil"/>
          <w:bottom w:val="nil"/>
          <w:right w:val="nil"/>
          <w:between w:val="nil"/>
        </w:pBdr>
        <w:tabs>
          <w:tab w:val="left" w:pos="426"/>
          <w:tab w:val="left" w:pos="567"/>
        </w:tabs>
        <w:ind w:left="567" w:right="423"/>
        <w:jc w:val="both"/>
        <w:rPr>
          <w:rFonts w:ascii="Palatino Linotype" w:eastAsia="Palatino Linotype" w:hAnsi="Palatino Linotype" w:cs="Palatino Linotype"/>
          <w:i/>
          <w:iCs/>
          <w:color w:val="242424"/>
        </w:rPr>
      </w:pPr>
      <w:r w:rsidRPr="00E05D09">
        <w:rPr>
          <w:rFonts w:ascii="Palatino Linotype" w:eastAsia="Palatino Linotype" w:hAnsi="Palatino Linotype" w:cs="Palatino Linotype"/>
          <w:i/>
          <w:iCs/>
          <w:color w:val="242424"/>
        </w:rPr>
        <w:t>“NÓMINA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3152DAB8" w14:textId="77777777" w:rsidR="00B2722B" w:rsidRPr="00E05D09" w:rsidRDefault="00B2722B">
      <w:pPr>
        <w:pBdr>
          <w:top w:val="nil"/>
          <w:left w:val="nil"/>
          <w:bottom w:val="nil"/>
          <w:right w:val="nil"/>
          <w:between w:val="nil"/>
        </w:pBdr>
        <w:tabs>
          <w:tab w:val="left" w:pos="426"/>
          <w:tab w:val="left" w:pos="567"/>
        </w:tabs>
        <w:spacing w:line="360" w:lineRule="auto"/>
        <w:ind w:right="-144"/>
        <w:jc w:val="both"/>
        <w:rPr>
          <w:rFonts w:ascii="Palatino Linotype" w:eastAsia="Palatino Linotype" w:hAnsi="Palatino Linotype" w:cs="Palatino Linotype"/>
          <w:b/>
          <w:bCs/>
          <w:color w:val="000000"/>
        </w:rPr>
      </w:pPr>
    </w:p>
    <w:p w14:paraId="529D897A" w14:textId="77777777" w:rsidR="00B2722B" w:rsidRPr="00E05D09" w:rsidRDefault="004425A1">
      <w:pPr>
        <w:numPr>
          <w:ilvl w:val="0"/>
          <w:numId w:val="1"/>
        </w:numPr>
        <w:pBdr>
          <w:top w:val="nil"/>
          <w:left w:val="nil"/>
          <w:bottom w:val="nil"/>
          <w:right w:val="nil"/>
          <w:between w:val="nil"/>
        </w:pBdr>
        <w:tabs>
          <w:tab w:val="left" w:pos="426"/>
          <w:tab w:val="left" w:pos="567"/>
        </w:tabs>
        <w:spacing w:line="360" w:lineRule="auto"/>
        <w:ind w:left="0" w:right="-144" w:firstLine="0"/>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 </w:t>
      </w:r>
      <w:r w:rsidRPr="00E05D09">
        <w:rPr>
          <w:rFonts w:ascii="Palatino Linotype" w:eastAsia="Palatino Linotype" w:hAnsi="Palatino Linotype" w:cs="Palatino Linotype"/>
          <w:color w:val="242424"/>
        </w:rPr>
        <w:t>Con base a lo anterior, conviene a traer lo establecido por el artículo 804, fracción II, de la Ley Federal de Trabajo, el cual a la letra establece:</w:t>
      </w:r>
    </w:p>
    <w:p w14:paraId="79774837" w14:textId="77777777" w:rsidR="00B2722B" w:rsidRPr="00E05D09" w:rsidRDefault="004425A1">
      <w:pPr>
        <w:pBdr>
          <w:top w:val="nil"/>
          <w:left w:val="nil"/>
          <w:bottom w:val="nil"/>
          <w:right w:val="nil"/>
          <w:between w:val="nil"/>
        </w:pBdr>
        <w:tabs>
          <w:tab w:val="left" w:pos="426"/>
          <w:tab w:val="left" w:pos="567"/>
        </w:tabs>
        <w:ind w:left="567" w:right="423"/>
        <w:jc w:val="both"/>
        <w:rPr>
          <w:rFonts w:ascii="Palatino Linotype" w:eastAsia="Palatino Linotype" w:hAnsi="Palatino Linotype" w:cs="Palatino Linotype"/>
          <w:i/>
          <w:iCs/>
          <w:color w:val="242424"/>
        </w:rPr>
      </w:pPr>
      <w:r w:rsidRPr="00E05D09">
        <w:rPr>
          <w:rFonts w:ascii="Palatino Linotype" w:eastAsia="Palatino Linotype" w:hAnsi="Palatino Linotype" w:cs="Palatino Linotype"/>
          <w:i/>
          <w:iCs/>
          <w:color w:val="242424"/>
        </w:rPr>
        <w:t>“Artículo 804.- El patrón tiene obligación de conservar y exhibir en juicio los documentos que a continuación se precisan:</w:t>
      </w:r>
    </w:p>
    <w:p w14:paraId="701A63A2" w14:textId="77777777" w:rsidR="00B2722B" w:rsidRPr="00E05D09" w:rsidRDefault="00B2722B">
      <w:pPr>
        <w:pBdr>
          <w:top w:val="nil"/>
          <w:left w:val="nil"/>
          <w:bottom w:val="nil"/>
          <w:right w:val="nil"/>
          <w:between w:val="nil"/>
        </w:pBdr>
        <w:tabs>
          <w:tab w:val="left" w:pos="426"/>
          <w:tab w:val="left" w:pos="567"/>
        </w:tabs>
        <w:ind w:left="567" w:right="423"/>
        <w:jc w:val="both"/>
        <w:rPr>
          <w:rFonts w:ascii="Palatino Linotype" w:eastAsia="Palatino Linotype" w:hAnsi="Palatino Linotype" w:cs="Palatino Linotype"/>
          <w:i/>
          <w:iCs/>
          <w:color w:val="242424"/>
        </w:rPr>
      </w:pPr>
    </w:p>
    <w:p w14:paraId="3F6D3AC2" w14:textId="77777777" w:rsidR="00B2722B" w:rsidRPr="00E05D09" w:rsidRDefault="004425A1">
      <w:pPr>
        <w:pBdr>
          <w:top w:val="nil"/>
          <w:left w:val="nil"/>
          <w:bottom w:val="nil"/>
          <w:right w:val="nil"/>
          <w:between w:val="nil"/>
        </w:pBdr>
        <w:tabs>
          <w:tab w:val="left" w:pos="426"/>
          <w:tab w:val="left" w:pos="567"/>
        </w:tabs>
        <w:ind w:left="567" w:right="423"/>
        <w:jc w:val="both"/>
        <w:rPr>
          <w:rFonts w:ascii="Palatino Linotype" w:eastAsia="Palatino Linotype" w:hAnsi="Palatino Linotype" w:cs="Palatino Linotype"/>
          <w:i/>
          <w:iCs/>
          <w:color w:val="242424"/>
        </w:rPr>
      </w:pPr>
      <w:r w:rsidRPr="00E05D09">
        <w:rPr>
          <w:rFonts w:ascii="Palatino Linotype" w:eastAsia="Palatino Linotype" w:hAnsi="Palatino Linotype" w:cs="Palatino Linotype"/>
          <w:i/>
          <w:iCs/>
          <w:color w:val="242424"/>
        </w:rPr>
        <w:t>II. Listas de raya o nómina de personal, cuando se lleven en el centro de trabajo; o recibos de pagos de salarios;(…)</w:t>
      </w:r>
    </w:p>
    <w:p w14:paraId="5C73F686" w14:textId="77777777" w:rsidR="00B2722B" w:rsidRPr="00E05D09" w:rsidRDefault="00B2722B">
      <w:pPr>
        <w:pBdr>
          <w:top w:val="nil"/>
          <w:left w:val="nil"/>
          <w:bottom w:val="nil"/>
          <w:right w:val="nil"/>
          <w:between w:val="nil"/>
        </w:pBdr>
        <w:tabs>
          <w:tab w:val="left" w:pos="426"/>
          <w:tab w:val="left" w:pos="567"/>
        </w:tabs>
        <w:spacing w:line="360" w:lineRule="auto"/>
        <w:ind w:right="-144"/>
        <w:jc w:val="both"/>
        <w:rPr>
          <w:rFonts w:ascii="Palatino Linotype" w:eastAsia="Palatino Linotype" w:hAnsi="Palatino Linotype" w:cs="Palatino Linotype"/>
          <w:color w:val="242424"/>
        </w:rPr>
      </w:pPr>
    </w:p>
    <w:p w14:paraId="67C5488C" w14:textId="77777777" w:rsidR="00B2722B" w:rsidRPr="00E05D09" w:rsidRDefault="004425A1">
      <w:pPr>
        <w:pBdr>
          <w:top w:val="nil"/>
          <w:left w:val="nil"/>
          <w:bottom w:val="nil"/>
          <w:right w:val="nil"/>
          <w:between w:val="nil"/>
        </w:pBdr>
        <w:tabs>
          <w:tab w:val="left" w:pos="426"/>
          <w:tab w:val="left" w:pos="567"/>
          <w:tab w:val="left" w:pos="8222"/>
        </w:tabs>
        <w:ind w:left="567" w:right="423"/>
        <w:jc w:val="both"/>
        <w:rPr>
          <w:rFonts w:ascii="Palatino Linotype" w:eastAsia="Palatino Linotype" w:hAnsi="Palatino Linotype" w:cs="Palatino Linotype"/>
          <w:i/>
          <w:iCs/>
          <w:color w:val="242424"/>
        </w:rPr>
      </w:pPr>
      <w:r w:rsidRPr="00E05D09">
        <w:rPr>
          <w:rFonts w:ascii="Palatino Linotype" w:eastAsia="Palatino Linotype" w:hAnsi="Palatino Linotype" w:cs="Palatino Linotype"/>
          <w:i/>
          <w:iCs/>
          <w:color w:val="242424"/>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167D02D8" w14:textId="77777777" w:rsidR="00B2722B" w:rsidRPr="00E05D09" w:rsidRDefault="00B2722B">
      <w:pPr>
        <w:pBdr>
          <w:top w:val="nil"/>
          <w:left w:val="nil"/>
          <w:bottom w:val="nil"/>
          <w:right w:val="nil"/>
          <w:between w:val="nil"/>
        </w:pBdr>
        <w:tabs>
          <w:tab w:val="left" w:pos="426"/>
          <w:tab w:val="left" w:pos="567"/>
        </w:tabs>
        <w:spacing w:line="360" w:lineRule="auto"/>
        <w:ind w:right="-144"/>
        <w:jc w:val="both"/>
        <w:rPr>
          <w:rFonts w:ascii="Palatino Linotype" w:eastAsia="Palatino Linotype" w:hAnsi="Palatino Linotype" w:cs="Palatino Linotype"/>
          <w:b/>
          <w:bCs/>
          <w:color w:val="000000"/>
        </w:rPr>
      </w:pPr>
    </w:p>
    <w:p w14:paraId="54E2E618" w14:textId="77777777" w:rsidR="00B2722B" w:rsidRPr="00E05D09" w:rsidRDefault="004425A1">
      <w:pPr>
        <w:numPr>
          <w:ilvl w:val="0"/>
          <w:numId w:val="1"/>
        </w:numPr>
        <w:pBdr>
          <w:top w:val="nil"/>
          <w:left w:val="nil"/>
          <w:bottom w:val="nil"/>
          <w:right w:val="nil"/>
          <w:between w:val="nil"/>
        </w:pBdr>
        <w:tabs>
          <w:tab w:val="left" w:pos="426"/>
          <w:tab w:val="left" w:pos="567"/>
        </w:tabs>
        <w:spacing w:line="360" w:lineRule="auto"/>
        <w:ind w:left="0" w:right="-144" w:firstLine="0"/>
        <w:jc w:val="both"/>
        <w:rPr>
          <w:rFonts w:ascii="Palatino Linotype" w:eastAsia="Palatino Linotype" w:hAnsi="Palatino Linotype" w:cs="Palatino Linotype"/>
          <w:color w:val="242424"/>
        </w:rPr>
      </w:pPr>
      <w:r w:rsidRPr="00E05D09">
        <w:rPr>
          <w:rFonts w:ascii="Palatino Linotype" w:eastAsia="Palatino Linotype" w:hAnsi="Palatino Linotype" w:cs="Palatino Linotype"/>
          <w:color w:val="242424"/>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1FA20774" w14:textId="77777777" w:rsidR="00B2722B" w:rsidRPr="00E05D09" w:rsidRDefault="00B2722B">
      <w:pPr>
        <w:pBdr>
          <w:top w:val="nil"/>
          <w:left w:val="nil"/>
          <w:bottom w:val="nil"/>
          <w:right w:val="nil"/>
          <w:between w:val="nil"/>
        </w:pBdr>
        <w:tabs>
          <w:tab w:val="left" w:pos="426"/>
          <w:tab w:val="left" w:pos="567"/>
        </w:tabs>
        <w:spacing w:line="360" w:lineRule="auto"/>
        <w:ind w:right="-144"/>
        <w:jc w:val="both"/>
        <w:rPr>
          <w:rFonts w:ascii="Palatino Linotype" w:eastAsia="Palatino Linotype" w:hAnsi="Palatino Linotype" w:cs="Palatino Linotype"/>
          <w:color w:val="242424"/>
        </w:rPr>
      </w:pPr>
    </w:p>
    <w:p w14:paraId="2604B3BA" w14:textId="77777777" w:rsidR="00B2722B" w:rsidRPr="00E05D09" w:rsidRDefault="004425A1">
      <w:pPr>
        <w:numPr>
          <w:ilvl w:val="0"/>
          <w:numId w:val="1"/>
        </w:numPr>
        <w:spacing w:line="360" w:lineRule="auto"/>
        <w:ind w:left="0"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lastRenderedPageBreak/>
        <w:t xml:space="preserve">Una vez precisado lo que antecede, es necesario analizar la Ley de Fiscalización Superior del Estado de México, toda vez que señala que los municipios que conforman el Estado de México, entre ellos el </w:t>
      </w:r>
      <w:r w:rsidRPr="00E05D09">
        <w:rPr>
          <w:rFonts w:ascii="Palatino Linotype" w:eastAsia="Palatino Linotype" w:hAnsi="Palatino Linotype" w:cs="Palatino Linotype"/>
          <w:b/>
          <w:bCs/>
        </w:rPr>
        <w:t>SUJETO OBLIGADO</w:t>
      </w:r>
      <w:r w:rsidRPr="00E05D09">
        <w:rPr>
          <w:rFonts w:ascii="Palatino Linotype" w:eastAsia="Palatino Linotype" w:hAnsi="Palatino Linotype" w:cs="Palatino Linotype"/>
        </w:rPr>
        <w:t>, es considerado como ente fiscalizable, como así lo señala el artículo 4 fracción II de la Ley de Fiscalización Superior del Estado de México, el cual señala:</w:t>
      </w:r>
    </w:p>
    <w:p w14:paraId="1D6F9E18" w14:textId="77777777" w:rsidR="00B2722B" w:rsidRPr="00E05D09" w:rsidRDefault="004425A1">
      <w:pPr>
        <w:spacing w:before="240"/>
        <w:ind w:left="1134" w:right="851"/>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Artículo 4.- Son sujetos de fiscalización:</w:t>
      </w:r>
    </w:p>
    <w:p w14:paraId="5E10C90C" w14:textId="77777777" w:rsidR="00B2722B" w:rsidRPr="00E05D09" w:rsidRDefault="004425A1">
      <w:pPr>
        <w:numPr>
          <w:ilvl w:val="1"/>
          <w:numId w:val="1"/>
        </w:numPr>
        <w:pBdr>
          <w:top w:val="nil"/>
          <w:left w:val="nil"/>
          <w:bottom w:val="nil"/>
          <w:right w:val="nil"/>
          <w:between w:val="nil"/>
        </w:pBdr>
        <w:spacing w:before="240"/>
        <w:ind w:right="851"/>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color w:val="000000"/>
        </w:rPr>
        <w:t xml:space="preserve">Los Poderes Públicos del Estado; </w:t>
      </w:r>
    </w:p>
    <w:p w14:paraId="44FDB264" w14:textId="77777777" w:rsidR="00B2722B" w:rsidRPr="00E05D09" w:rsidRDefault="004425A1">
      <w:pPr>
        <w:pBdr>
          <w:top w:val="nil"/>
          <w:left w:val="nil"/>
          <w:bottom w:val="nil"/>
          <w:right w:val="nil"/>
          <w:between w:val="nil"/>
        </w:pBdr>
        <w:ind w:left="1134" w:right="851"/>
        <w:jc w:val="both"/>
        <w:rPr>
          <w:rFonts w:ascii="Palatino Linotype" w:eastAsia="Palatino Linotype" w:hAnsi="Palatino Linotype" w:cs="Palatino Linotype"/>
          <w:b/>
          <w:bCs/>
          <w:i/>
          <w:iCs/>
          <w:color w:val="000000"/>
        </w:rPr>
      </w:pPr>
      <w:r w:rsidRPr="00E05D09">
        <w:rPr>
          <w:rFonts w:ascii="Palatino Linotype" w:eastAsia="Palatino Linotype" w:hAnsi="Palatino Linotype" w:cs="Palatino Linotype"/>
          <w:b/>
          <w:bCs/>
          <w:i/>
          <w:iCs/>
          <w:color w:val="000000"/>
        </w:rPr>
        <w:t xml:space="preserve">II. Los municipios del Estado de México; </w:t>
      </w:r>
    </w:p>
    <w:p w14:paraId="53B188C8" w14:textId="77777777" w:rsidR="00B2722B" w:rsidRPr="00E05D09" w:rsidRDefault="004425A1">
      <w:pPr>
        <w:pBdr>
          <w:top w:val="nil"/>
          <w:left w:val="nil"/>
          <w:bottom w:val="nil"/>
          <w:right w:val="nil"/>
          <w:between w:val="nil"/>
        </w:pBdr>
        <w:ind w:left="1134" w:right="851"/>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color w:val="000000"/>
        </w:rPr>
        <w:t xml:space="preserve">III. Los organismos autónomos; </w:t>
      </w:r>
    </w:p>
    <w:p w14:paraId="5CD9546B" w14:textId="77777777" w:rsidR="00B2722B" w:rsidRPr="00E05D09" w:rsidRDefault="004425A1">
      <w:pPr>
        <w:pBdr>
          <w:top w:val="nil"/>
          <w:left w:val="nil"/>
          <w:bottom w:val="nil"/>
          <w:right w:val="nil"/>
          <w:between w:val="nil"/>
        </w:pBdr>
        <w:ind w:left="1134" w:right="851"/>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color w:val="000000"/>
        </w:rPr>
        <w:t xml:space="preserve">IV. Los organismos auxiliares; </w:t>
      </w:r>
    </w:p>
    <w:p w14:paraId="18887F11" w14:textId="77777777" w:rsidR="00B2722B" w:rsidRPr="00E05D09" w:rsidRDefault="004425A1">
      <w:pPr>
        <w:pBdr>
          <w:top w:val="nil"/>
          <w:left w:val="nil"/>
          <w:bottom w:val="nil"/>
          <w:right w:val="nil"/>
          <w:between w:val="nil"/>
        </w:pBdr>
        <w:ind w:left="1134" w:right="851"/>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color w:val="000000"/>
        </w:rPr>
        <w:t>V. Los fideicomisos previstos en el artículo 3 fracción XVII del Código Financiero del Estado de México y Municipios, y aquellos que manejen recursos del Estado, Municipios, o en su caso provenientes de la federación;</w:t>
      </w:r>
      <w:r w:rsidRPr="00E05D09">
        <w:rPr>
          <w:rFonts w:ascii="Palatino Linotype" w:eastAsia="Palatino Linotype" w:hAnsi="Palatino Linotype" w:cs="Palatino Linotype"/>
          <w:color w:val="000000"/>
        </w:rPr>
        <w:t xml:space="preserve"> </w:t>
      </w:r>
    </w:p>
    <w:p w14:paraId="477F5BC2" w14:textId="77777777" w:rsidR="00B2722B" w:rsidRPr="00E05D09" w:rsidRDefault="004425A1">
      <w:pPr>
        <w:pBdr>
          <w:top w:val="nil"/>
          <w:left w:val="nil"/>
          <w:bottom w:val="nil"/>
          <w:right w:val="nil"/>
          <w:between w:val="nil"/>
        </w:pBdr>
        <w:ind w:left="1134" w:right="851"/>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color w:val="000000"/>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14:paraId="7BEFFE3C" w14:textId="77777777" w:rsidR="00B2722B" w:rsidRPr="00E05D09" w:rsidRDefault="00B2722B">
      <w:pPr>
        <w:pBdr>
          <w:top w:val="nil"/>
          <w:left w:val="nil"/>
          <w:bottom w:val="nil"/>
          <w:right w:val="nil"/>
          <w:between w:val="nil"/>
        </w:pBdr>
        <w:ind w:left="720"/>
        <w:rPr>
          <w:rFonts w:ascii="Palatino Linotype" w:eastAsia="Palatino Linotype" w:hAnsi="Palatino Linotype" w:cs="Palatino Linotype"/>
          <w:color w:val="000000"/>
        </w:rPr>
      </w:pPr>
    </w:p>
    <w:p w14:paraId="40F93F0E" w14:textId="77777777" w:rsidR="00B2722B" w:rsidRPr="00E05D09" w:rsidRDefault="004425A1">
      <w:pPr>
        <w:numPr>
          <w:ilvl w:val="0"/>
          <w:numId w:val="1"/>
        </w:numP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Establecido </w:t>
      </w:r>
      <w:r w:rsidRPr="00E05D09">
        <w:rPr>
          <w:rFonts w:ascii="Palatino Linotype" w:eastAsia="Palatino Linotype" w:hAnsi="Palatino Linotype" w:cs="Palatino Linotype"/>
        </w:rPr>
        <w:t>lo anterior, el Órgano Superior de Fiscalización del Estado de México (OSFEM), emite anualmente una herramienta para elaborar y presentar los informes trimestrales, denominado “Políticas para la Integración del Informe Trimestral de los Sujetos de Fiscalización Municipales”, cuyo objetivo es establecer las especificaciones necesarias para que las entidades fiscales elaboren y presentes los referidos informes.</w:t>
      </w:r>
    </w:p>
    <w:p w14:paraId="34F4CE49" w14:textId="77777777" w:rsidR="00B2722B" w:rsidRPr="00E05D09" w:rsidRDefault="00B2722B">
      <w:pPr>
        <w:spacing w:line="360" w:lineRule="auto"/>
        <w:jc w:val="both"/>
        <w:rPr>
          <w:rFonts w:ascii="Palatino Linotype" w:eastAsia="Palatino Linotype" w:hAnsi="Palatino Linotype" w:cs="Palatino Linotype"/>
          <w:color w:val="000000"/>
        </w:rPr>
      </w:pPr>
    </w:p>
    <w:p w14:paraId="2E9A83F6" w14:textId="77777777" w:rsidR="00B2722B" w:rsidRPr="00E05D09" w:rsidRDefault="004425A1">
      <w:pPr>
        <w:numPr>
          <w:ilvl w:val="0"/>
          <w:numId w:val="1"/>
        </w:numP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Estas políticas </w:t>
      </w:r>
      <w:r w:rsidRPr="00E05D09">
        <w:rPr>
          <w:rFonts w:ascii="Palatino Linotype" w:eastAsia="Palatino Linotype" w:hAnsi="Palatino Linotype" w:cs="Palatino Linotype"/>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44059C8C" w14:textId="77777777" w:rsidR="00B2722B" w:rsidRPr="00E05D09" w:rsidRDefault="004425A1">
      <w:pPr>
        <w:numPr>
          <w:ilvl w:val="0"/>
          <w:numId w:val="1"/>
        </w:numP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lastRenderedPageBreak/>
        <w:t xml:space="preserve">La </w:t>
      </w:r>
      <w:r w:rsidRPr="00E05D09">
        <w:rPr>
          <w:rFonts w:ascii="Palatino Linotype" w:eastAsia="Palatino Linotype" w:hAnsi="Palatino Linotype" w:cs="Palatino Linotype"/>
        </w:rPr>
        <w:t>integración del Informe Trimestral se entregará de manera física al Órgano Superior de Fiscalización del Estado de México, y estará compuesto de la siguiente manera:</w:t>
      </w:r>
    </w:p>
    <w:p w14:paraId="265380B3" w14:textId="77777777" w:rsidR="00B2722B" w:rsidRPr="00E05D09" w:rsidRDefault="004425A1">
      <w:pPr>
        <w:numPr>
          <w:ilvl w:val="1"/>
          <w:numId w:val="1"/>
        </w:num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color w:val="000000"/>
        </w:rPr>
        <w:t>Información impresa; e</w:t>
      </w:r>
    </w:p>
    <w:p w14:paraId="6C7D24B2" w14:textId="77777777" w:rsidR="00B2722B" w:rsidRPr="00E05D09" w:rsidRDefault="004425A1">
      <w:pPr>
        <w:numPr>
          <w:ilvl w:val="1"/>
          <w:numId w:val="1"/>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color w:val="000000"/>
        </w:rPr>
        <w:t>Información en medio de almacenamiento electrónico.</w:t>
      </w:r>
    </w:p>
    <w:p w14:paraId="17F5C06B" w14:textId="77777777" w:rsidR="00B2722B" w:rsidRPr="00E05D09" w:rsidRDefault="00B2722B">
      <w:pPr>
        <w:pBdr>
          <w:top w:val="nil"/>
          <w:left w:val="nil"/>
          <w:bottom w:val="nil"/>
          <w:right w:val="nil"/>
          <w:between w:val="nil"/>
        </w:pBdr>
        <w:ind w:left="720"/>
        <w:rPr>
          <w:rFonts w:ascii="Palatino Linotype" w:eastAsia="Palatino Linotype" w:hAnsi="Palatino Linotype" w:cs="Palatino Linotype"/>
          <w:color w:val="000000"/>
        </w:rPr>
      </w:pPr>
    </w:p>
    <w:p w14:paraId="49E3972C" w14:textId="77777777" w:rsidR="00B2722B" w:rsidRPr="00E05D09" w:rsidRDefault="004425A1">
      <w:pPr>
        <w:numPr>
          <w:ilvl w:val="0"/>
          <w:numId w:val="1"/>
        </w:numP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Por cuanto hace a la información entregable en Medios de almacenamiento Electrónico, se compondrá en cuatro módulos que integrarán la siguiente semántica:</w:t>
      </w:r>
    </w:p>
    <w:p w14:paraId="3B2B45B5" w14:textId="77777777" w:rsidR="00B2722B" w:rsidRPr="00E05D09" w:rsidRDefault="004425A1">
      <w:pPr>
        <w:numPr>
          <w:ilvl w:val="1"/>
          <w:numId w:val="1"/>
        </w:num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color w:val="000000"/>
        </w:rPr>
        <w:t>Módulo 1: Información contable y financiera;</w:t>
      </w:r>
    </w:p>
    <w:p w14:paraId="061DF89D" w14:textId="77777777" w:rsidR="00B2722B" w:rsidRPr="00E05D09" w:rsidRDefault="004425A1">
      <w:pPr>
        <w:numPr>
          <w:ilvl w:val="1"/>
          <w:numId w:val="1"/>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color w:val="000000"/>
        </w:rPr>
        <w:t>Módulo 2: Información presupuestaria;</w:t>
      </w:r>
    </w:p>
    <w:p w14:paraId="46D759EE" w14:textId="77777777" w:rsidR="00B2722B" w:rsidRPr="00E05D09" w:rsidRDefault="004425A1">
      <w:pPr>
        <w:numPr>
          <w:ilvl w:val="1"/>
          <w:numId w:val="1"/>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color w:val="000000"/>
        </w:rPr>
        <w:t>Módulo 3: Información programática; y</w:t>
      </w:r>
    </w:p>
    <w:p w14:paraId="4EA1D075" w14:textId="77777777" w:rsidR="00B2722B" w:rsidRPr="00E05D09" w:rsidRDefault="004425A1">
      <w:pPr>
        <w:numPr>
          <w:ilvl w:val="1"/>
          <w:numId w:val="1"/>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bCs/>
          <w:i/>
          <w:iCs/>
          <w:color w:val="000000"/>
        </w:rPr>
      </w:pPr>
      <w:r w:rsidRPr="00E05D09">
        <w:rPr>
          <w:rFonts w:ascii="Palatino Linotype" w:eastAsia="Palatino Linotype" w:hAnsi="Palatino Linotype" w:cs="Palatino Linotype"/>
          <w:b/>
          <w:bCs/>
          <w:i/>
          <w:iCs/>
          <w:color w:val="000000"/>
        </w:rPr>
        <w:t>Módulo 4: Información administrativa.</w:t>
      </w:r>
    </w:p>
    <w:p w14:paraId="30C6FFE8" w14:textId="77777777" w:rsidR="00B2722B" w:rsidRPr="00E05D09" w:rsidRDefault="00B2722B">
      <w:pPr>
        <w:spacing w:line="360" w:lineRule="auto"/>
        <w:jc w:val="both"/>
        <w:rPr>
          <w:rFonts w:ascii="Palatino Linotype" w:eastAsia="Palatino Linotype" w:hAnsi="Palatino Linotype" w:cs="Palatino Linotype"/>
          <w:color w:val="000000"/>
        </w:rPr>
      </w:pPr>
    </w:p>
    <w:p w14:paraId="5D54343B" w14:textId="77777777" w:rsidR="00B2722B" w:rsidRPr="00E05D09" w:rsidRDefault="004425A1">
      <w:pPr>
        <w:numPr>
          <w:ilvl w:val="0"/>
          <w:numId w:val="1"/>
        </w:numP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Siendo de especial interés, para el presente asunto, el contenido del Módulo 4, sobre ‘Información Administrativa’; que de acuerdo con las </w:t>
      </w:r>
      <w:r w:rsidRPr="00E05D09">
        <w:rPr>
          <w:rFonts w:ascii="Palatino Linotype" w:eastAsia="Palatino Linotype" w:hAnsi="Palatino Linotype" w:cs="Palatino Linotype"/>
          <w:b/>
          <w:bCs/>
        </w:rPr>
        <w:t>“Políticas para la Integración del Informe Trimestral de los Sujetos de Fiscalización Municipales”</w:t>
      </w:r>
      <w:r w:rsidRPr="00E05D09">
        <w:rPr>
          <w:rFonts w:ascii="Palatino Linotype" w:eastAsia="Palatino Linotype" w:hAnsi="Palatino Linotype" w:cs="Palatino Linotype"/>
        </w:rPr>
        <w:t>, se compondrá de los siguientes documentos:</w:t>
      </w:r>
    </w:p>
    <w:p w14:paraId="0264AA2F" w14:textId="77777777" w:rsidR="00B2722B" w:rsidRPr="00E05D09" w:rsidRDefault="004425A1">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sidRPr="00E05D09">
        <w:rPr>
          <w:rFonts w:ascii="Palatino Linotype" w:eastAsia="Palatino Linotype" w:hAnsi="Palatino Linotype" w:cs="Palatino Linotype"/>
          <w:noProof/>
          <w:color w:val="000000"/>
        </w:rPr>
        <w:drawing>
          <wp:inline distT="0" distB="0" distL="114300" distR="114300" wp14:anchorId="542E8BDC" wp14:editId="18B85C74">
            <wp:extent cx="2487930" cy="196723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2487930" cy="1967230"/>
                    </a:xfrm>
                    <a:prstGeom prst="rect">
                      <a:avLst/>
                    </a:prstGeom>
                    <a:ln/>
                  </pic:spPr>
                </pic:pic>
              </a:graphicData>
            </a:graphic>
          </wp:inline>
        </w:drawing>
      </w:r>
    </w:p>
    <w:p w14:paraId="6AE16C04" w14:textId="77777777" w:rsidR="00B2722B" w:rsidRPr="00E05D09" w:rsidRDefault="004425A1">
      <w:pPr>
        <w:numPr>
          <w:ilvl w:val="0"/>
          <w:numId w:val="1"/>
        </w:numP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lastRenderedPageBreak/>
        <w:t xml:space="preserve">En lo que corresponde al Submódulo de </w:t>
      </w:r>
      <w:r w:rsidRPr="00E05D09">
        <w:rPr>
          <w:rFonts w:ascii="Palatino Linotype" w:eastAsia="Palatino Linotype" w:hAnsi="Palatino Linotype" w:cs="Palatino Linotype"/>
          <w:b/>
          <w:bCs/>
          <w:color w:val="000000"/>
        </w:rPr>
        <w:t>‘Nómina y Comprobantes Fiscales’,</w:t>
      </w:r>
      <w:r w:rsidRPr="00E05D09">
        <w:rPr>
          <w:rFonts w:ascii="Palatino Linotype" w:eastAsia="Palatino Linotype" w:hAnsi="Palatino Linotype" w:cs="Palatino Linotype"/>
          <w:color w:val="000000"/>
        </w:rPr>
        <w:t xml:space="preserve"> se advierte que el </w:t>
      </w:r>
      <w:r w:rsidRPr="00E05D09">
        <w:rPr>
          <w:rFonts w:ascii="Palatino Linotype" w:eastAsia="Palatino Linotype" w:hAnsi="Palatino Linotype" w:cs="Palatino Linotype"/>
          <w:b/>
          <w:bCs/>
          <w:color w:val="000000"/>
        </w:rPr>
        <w:t>SUJETO OBLIGADO,</w:t>
      </w:r>
      <w:r w:rsidRPr="00E05D09">
        <w:rPr>
          <w:rFonts w:ascii="Palatino Linotype" w:eastAsia="Palatino Linotype" w:hAnsi="Palatino Linotype" w:cs="Palatino Linotype"/>
          <w:color w:val="000000"/>
        </w:rPr>
        <w:t xml:space="preserve"> deberá integrar, en formato </w:t>
      </w:r>
      <w:r w:rsidRPr="00E05D09">
        <w:rPr>
          <w:rFonts w:ascii="Palatino Linotype" w:eastAsia="Palatino Linotype" w:hAnsi="Palatino Linotype" w:cs="Palatino Linotype"/>
          <w:i/>
          <w:iCs/>
          <w:color w:val="000000"/>
        </w:rPr>
        <w:t>.pdf</w:t>
      </w:r>
      <w:r w:rsidRPr="00E05D09">
        <w:rPr>
          <w:rFonts w:ascii="Palatino Linotype" w:eastAsia="Palatino Linotype" w:hAnsi="Palatino Linotype" w:cs="Palatino Linotype"/>
          <w:color w:val="000000"/>
        </w:rPr>
        <w:t xml:space="preserve">, y de forma quincenal, el documento titulado </w:t>
      </w:r>
      <w:r w:rsidRPr="00E05D09">
        <w:rPr>
          <w:rFonts w:ascii="Palatino Linotype" w:eastAsia="Palatino Linotype" w:hAnsi="Palatino Linotype" w:cs="Palatino Linotype"/>
          <w:b/>
          <w:bCs/>
          <w:color w:val="000000"/>
        </w:rPr>
        <w:t>Conciliación de Nómina Mensual</w:t>
      </w:r>
      <w:r w:rsidRPr="00E05D09">
        <w:rPr>
          <w:rFonts w:ascii="Palatino Linotype" w:eastAsia="Palatino Linotype" w:hAnsi="Palatino Linotype" w:cs="Palatino Linotype"/>
          <w:color w:val="000000"/>
        </w:rPr>
        <w:t>; tal como lo establece el mapa de integración del Submódulo en comento:</w:t>
      </w:r>
    </w:p>
    <w:p w14:paraId="64F9D655" w14:textId="77777777" w:rsidR="00B2722B" w:rsidRPr="00E05D09" w:rsidRDefault="00B2722B">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14:paraId="5FA0559E" w14:textId="77777777" w:rsidR="00B2722B" w:rsidRPr="00E05D09" w:rsidRDefault="004425A1">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sidRPr="00E05D09">
        <w:rPr>
          <w:rFonts w:ascii="Palatino Linotype" w:eastAsia="Palatino Linotype" w:hAnsi="Palatino Linotype" w:cs="Palatino Linotype"/>
          <w:noProof/>
          <w:color w:val="000000"/>
        </w:rPr>
        <w:drawing>
          <wp:inline distT="0" distB="0" distL="114300" distR="114300" wp14:anchorId="73BF8656" wp14:editId="159173ED">
            <wp:extent cx="4859020" cy="140335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4859020" cy="1403350"/>
                    </a:xfrm>
                    <a:prstGeom prst="rect">
                      <a:avLst/>
                    </a:prstGeom>
                    <a:ln/>
                  </pic:spPr>
                </pic:pic>
              </a:graphicData>
            </a:graphic>
          </wp:inline>
        </w:drawing>
      </w:r>
      <w:r w:rsidRPr="00E05D09">
        <w:rPr>
          <w:noProof/>
        </w:rPr>
        <mc:AlternateContent>
          <mc:Choice Requires="wps">
            <w:drawing>
              <wp:anchor distT="0" distB="0" distL="114300" distR="114300" simplePos="0" relativeHeight="251659264" behindDoc="0" locked="0" layoutInCell="1" hidden="0" allowOverlap="1" wp14:anchorId="0819071E" wp14:editId="4332D055">
                <wp:simplePos x="0" y="0"/>
                <wp:positionH relativeFrom="column">
                  <wp:posOffset>752475</wp:posOffset>
                </wp:positionH>
                <wp:positionV relativeFrom="paragraph">
                  <wp:posOffset>492125</wp:posOffset>
                </wp:positionV>
                <wp:extent cx="4470400" cy="234950"/>
                <wp:effectExtent l="0" t="0" r="0" b="0"/>
                <wp:wrapNone/>
                <wp:docPr id="4" name="Rectángulo 4"/>
                <wp:cNvGraphicFramePr/>
                <a:graphic xmlns:a="http://schemas.openxmlformats.org/drawingml/2006/main">
                  <a:graphicData uri="http://schemas.microsoft.com/office/word/2010/wordprocessingShape">
                    <wps:wsp>
                      <wps:cNvSpPr/>
                      <wps:spPr>
                        <a:xfrm>
                          <a:off x="3120325" y="3672050"/>
                          <a:ext cx="4451350" cy="215900"/>
                        </a:xfrm>
                        <a:prstGeom prst="rect">
                          <a:avLst/>
                        </a:prstGeom>
                        <a:noFill/>
                        <a:ln w="19050" cap="flat" cmpd="sng">
                          <a:solidFill>
                            <a:srgbClr val="FF0000"/>
                          </a:solidFill>
                          <a:prstDash val="solid"/>
                          <a:miter lim="8000"/>
                          <a:headEnd type="none" w="sm" len="sm"/>
                          <a:tailEnd type="none" w="sm" len="sm"/>
                        </a:ln>
                      </wps:spPr>
                      <wps:txbx>
                        <w:txbxContent>
                          <w:p w14:paraId="79D55A9A" w14:textId="77777777" w:rsidR="00E05D09" w:rsidRDefault="00E05D09">
                            <w:pPr>
                              <w:textDirection w:val="btLr"/>
                            </w:pPr>
                          </w:p>
                        </w:txbxContent>
                      </wps:txbx>
                      <wps:bodyPr spcFirstLastPara="1" wrap="square" lIns="91425" tIns="91425" rIns="91425" bIns="91425" anchor="ctr" anchorCtr="0">
                        <a:noAutofit/>
                      </wps:bodyPr>
                    </wps:wsp>
                  </a:graphicData>
                </a:graphic>
              </wp:anchor>
            </w:drawing>
          </mc:Choice>
          <mc:Fallback>
            <w:pict>
              <v:rect w14:anchorId="0819071E" id="Rectángulo 4" o:spid="_x0000_s1027" style="position:absolute;left:0;text-align:left;margin-left:59.25pt;margin-top:38.75pt;width:352pt;height: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" filled="f" strokecolor="red" strokeweight="1.5pt">
                <v:stroke startarrowwidth="narrow" startarrowlength="short" endarrowwidth="narrow" endarrowlength="short" miterlimit="5243f"/>
                <v:textbox inset="2.53958mm,2.53958mm,2.53958mm,2.53958mm">
                  <w:txbxContent>
                    <w:p w14:paraId="79D55A9A" w14:textId="77777777" w:rsidR="00E05D09" w:rsidRDefault="00E05D09">
                      <w:pPr>
                        <w:textDirection w:val="btLr"/>
                      </w:pPr>
                    </w:p>
                  </w:txbxContent>
                </v:textbox>
              </v:rect>
            </w:pict>
          </mc:Fallback>
        </mc:AlternateContent>
      </w:r>
    </w:p>
    <w:p w14:paraId="250166F7" w14:textId="77777777" w:rsidR="00B2722B" w:rsidRPr="00E05D09" w:rsidRDefault="00B2722B">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p>
    <w:p w14:paraId="41D7E008" w14:textId="77777777" w:rsidR="00B2722B" w:rsidRPr="00E05D09" w:rsidRDefault="004425A1">
      <w:pPr>
        <w:numPr>
          <w:ilvl w:val="0"/>
          <w:numId w:val="1"/>
        </w:numP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Al respecto, conviene referir que la </w:t>
      </w:r>
      <w:r w:rsidRPr="00E05D09">
        <w:rPr>
          <w:rFonts w:ascii="Palatino Linotype" w:eastAsia="Palatino Linotype" w:hAnsi="Palatino Linotype" w:cs="Palatino Linotype"/>
          <w:b/>
          <w:bCs/>
          <w:color w:val="000000"/>
        </w:rPr>
        <w:t>Conciliación de Nómina Mensual</w:t>
      </w:r>
      <w:r w:rsidRPr="00E05D09">
        <w:rPr>
          <w:rFonts w:ascii="Palatino Linotype" w:eastAsia="Palatino Linotype" w:hAnsi="Palatino Linotype" w:cs="Palatino Linotype"/>
          <w:color w:val="000000"/>
        </w:rPr>
        <w:t xml:space="preserve"> es un documento en el que se detalla, entre otros, </w:t>
      </w:r>
      <w:r w:rsidRPr="00E05D09">
        <w:rPr>
          <w:rFonts w:ascii="Palatino Linotype" w:eastAsia="Palatino Linotype" w:hAnsi="Palatino Linotype" w:cs="Palatino Linotype"/>
          <w:b/>
          <w:bCs/>
          <w:color w:val="000000"/>
        </w:rPr>
        <w:t>el nombre, puesto funcional, área de adscripción, categoría, así como todas las percepciones brutas y netas  y deducciones que recibe cada servidor público que labora en la entidad</w:t>
      </w:r>
      <w:r w:rsidRPr="00E05D09">
        <w:rPr>
          <w:rFonts w:ascii="Palatino Linotype" w:eastAsia="Palatino Linotype" w:hAnsi="Palatino Linotype" w:cs="Palatino Linotype"/>
          <w:b/>
          <w:bCs/>
          <w:color w:val="000000"/>
          <w:vertAlign w:val="superscript"/>
        </w:rPr>
        <w:footnoteReference w:id="10"/>
      </w:r>
      <w:r w:rsidRPr="00E05D09">
        <w:rPr>
          <w:rFonts w:ascii="Palatino Linotype" w:eastAsia="Palatino Linotype" w:hAnsi="Palatino Linotype" w:cs="Palatino Linotype"/>
          <w:color w:val="000000"/>
        </w:rPr>
        <w:t xml:space="preserve">. </w:t>
      </w:r>
    </w:p>
    <w:p w14:paraId="11BA65A1"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6D99958" w14:textId="77777777" w:rsidR="00B2722B" w:rsidRPr="00E05D09" w:rsidRDefault="004425A1">
      <w:pPr>
        <w:numPr>
          <w:ilvl w:val="0"/>
          <w:numId w:val="1"/>
        </w:numP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rPr>
        <w:t xml:space="preserve">Aunado a </w:t>
      </w:r>
      <w:r w:rsidRPr="00E05D09">
        <w:rPr>
          <w:rFonts w:ascii="Palatino Linotype" w:eastAsia="Palatino Linotype" w:hAnsi="Palatino Linotype" w:cs="Palatino Linotype"/>
          <w:color w:val="000000"/>
        </w:rPr>
        <w:t>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54DCA63A" w14:textId="77777777" w:rsidR="00B2722B" w:rsidRPr="00E05D09" w:rsidRDefault="00B2722B">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14:paraId="2FE1D012" w14:textId="77777777" w:rsidR="00B2722B" w:rsidRPr="00E05D09" w:rsidRDefault="004425A1">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sidRPr="00E05D09">
        <w:rPr>
          <w:rFonts w:ascii="Palatino Linotype" w:eastAsia="Palatino Linotype" w:hAnsi="Palatino Linotype" w:cs="Palatino Linotype"/>
          <w:noProof/>
          <w:color w:val="000000"/>
        </w:rPr>
        <w:lastRenderedPageBreak/>
        <w:drawing>
          <wp:inline distT="0" distB="0" distL="114300" distR="114300" wp14:anchorId="0F6F1CD5" wp14:editId="34B1C396">
            <wp:extent cx="4848225" cy="274320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4848225" cy="2743200"/>
                    </a:xfrm>
                    <a:prstGeom prst="rect">
                      <a:avLst/>
                    </a:prstGeom>
                    <a:ln/>
                  </pic:spPr>
                </pic:pic>
              </a:graphicData>
            </a:graphic>
          </wp:inline>
        </w:drawing>
      </w:r>
      <w:r w:rsidRPr="00E05D09">
        <w:rPr>
          <w:noProof/>
        </w:rPr>
        <mc:AlternateContent>
          <mc:Choice Requires="wps">
            <w:drawing>
              <wp:anchor distT="0" distB="0" distL="114300" distR="114300" simplePos="0" relativeHeight="251660288" behindDoc="0" locked="0" layoutInCell="1" hidden="0" allowOverlap="1" wp14:anchorId="22A931C7" wp14:editId="4FE7626E">
                <wp:simplePos x="0" y="0"/>
                <wp:positionH relativeFrom="column">
                  <wp:posOffset>3541713</wp:posOffset>
                </wp:positionH>
                <wp:positionV relativeFrom="paragraph">
                  <wp:posOffset>468313</wp:posOffset>
                </wp:positionV>
                <wp:extent cx="528125" cy="1430117"/>
                <wp:effectExtent l="0" t="0" r="0" b="0"/>
                <wp:wrapNone/>
                <wp:docPr id="1" name="Rectángulo 1"/>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
                          <a:headEnd type="none" w="sm" len="sm"/>
                          <a:tailEnd type="none" w="sm" len="sm"/>
                        </a:ln>
                      </wps:spPr>
                      <wps:txbx>
                        <w:txbxContent>
                          <w:p w14:paraId="23BF75B1" w14:textId="77777777" w:rsidR="00E05D09" w:rsidRDefault="00E05D09">
                            <w:pPr>
                              <w:textDirection w:val="btLr"/>
                            </w:pPr>
                          </w:p>
                        </w:txbxContent>
                      </wps:txbx>
                      <wps:bodyPr spcFirstLastPara="1" wrap="square" lIns="91425" tIns="91425" rIns="91425" bIns="91425" anchor="ctr" anchorCtr="0">
                        <a:noAutofit/>
                      </wps:bodyPr>
                    </wps:wsp>
                  </a:graphicData>
                </a:graphic>
              </wp:anchor>
            </w:drawing>
          </mc:Choice>
          <mc:Fallback>
            <w:pict>
              <v:rect w14:anchorId="22A931C7" id="Rectángulo 1" o:spid="_x0000_s1028" style="position:absolute;left:0;text-align:left;margin-left:278.9pt;margin-top:36.9pt;width:41.6pt;height:112.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" filled="f" strokecolor="red" strokeweight="2.25pt">
                <v:stroke startarrowwidth="narrow" startarrowlength="short" endarrowwidth="narrow" endarrowlength="short" miterlimit="5243f"/>
                <v:textbox inset="2.53958mm,2.53958mm,2.53958mm,2.53958mm">
                  <w:txbxContent>
                    <w:p w14:paraId="23BF75B1" w14:textId="77777777" w:rsidR="00E05D09" w:rsidRDefault="00E05D09">
                      <w:pPr>
                        <w:textDirection w:val="btLr"/>
                      </w:pPr>
                    </w:p>
                  </w:txbxContent>
                </v:textbox>
              </v:rect>
            </w:pict>
          </mc:Fallback>
        </mc:AlternateContent>
      </w:r>
      <w:r w:rsidRPr="00E05D09">
        <w:rPr>
          <w:noProof/>
        </w:rPr>
        <mc:AlternateContent>
          <mc:Choice Requires="wps">
            <w:drawing>
              <wp:anchor distT="0" distB="0" distL="114300" distR="114300" simplePos="0" relativeHeight="251661312" behindDoc="0" locked="0" layoutInCell="1" hidden="0" allowOverlap="1" wp14:anchorId="7AB7E635" wp14:editId="7C076DB2">
                <wp:simplePos x="0" y="0"/>
                <wp:positionH relativeFrom="column">
                  <wp:posOffset>2589213</wp:posOffset>
                </wp:positionH>
                <wp:positionV relativeFrom="paragraph">
                  <wp:posOffset>442913</wp:posOffset>
                </wp:positionV>
                <wp:extent cx="408280" cy="1430117"/>
                <wp:effectExtent l="0" t="0" r="0" b="0"/>
                <wp:wrapNone/>
                <wp:docPr id="3" name="Rectángulo 3"/>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
                          <a:headEnd type="none" w="sm" len="sm"/>
                          <a:tailEnd type="none" w="sm" len="sm"/>
                        </a:ln>
                      </wps:spPr>
                      <wps:txbx>
                        <w:txbxContent>
                          <w:p w14:paraId="04122DC0" w14:textId="77777777" w:rsidR="00E05D09" w:rsidRDefault="00E05D09">
                            <w:pPr>
                              <w:textDirection w:val="btLr"/>
                            </w:pPr>
                          </w:p>
                        </w:txbxContent>
                      </wps:txbx>
                      <wps:bodyPr spcFirstLastPara="1" wrap="square" lIns="91425" tIns="91425" rIns="91425" bIns="91425" anchor="ctr" anchorCtr="0">
                        <a:noAutofit/>
                      </wps:bodyPr>
                    </wps:wsp>
                  </a:graphicData>
                </a:graphic>
              </wp:anchor>
            </w:drawing>
          </mc:Choice>
          <mc:Fallback>
            <w:pict>
              <v:rect w14:anchorId="7AB7E635" id="Rectángulo 3" o:spid="_x0000_s1029" style="position:absolute;left:0;text-align:left;margin-left:203.9pt;margin-top:34.9pt;width:32.15pt;height:112.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" filled="f" strokecolor="red" strokeweight="2.25pt">
                <v:stroke startarrowwidth="narrow" startarrowlength="short" endarrowwidth="narrow" endarrowlength="short" miterlimit="5243f"/>
                <v:textbox inset="2.53958mm,2.53958mm,2.53958mm,2.53958mm">
                  <w:txbxContent>
                    <w:p w14:paraId="04122DC0" w14:textId="77777777" w:rsidR="00E05D09" w:rsidRDefault="00E05D09">
                      <w:pPr>
                        <w:textDirection w:val="btLr"/>
                      </w:pPr>
                    </w:p>
                  </w:txbxContent>
                </v:textbox>
              </v:rect>
            </w:pict>
          </mc:Fallback>
        </mc:AlternateContent>
      </w:r>
    </w:p>
    <w:p w14:paraId="04F80395" w14:textId="77777777" w:rsidR="00B2722B" w:rsidRPr="00E05D09" w:rsidRDefault="004425A1">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sidRPr="00E05D09">
        <w:rPr>
          <w:rFonts w:ascii="Palatino Linotype" w:eastAsia="Palatino Linotype" w:hAnsi="Palatino Linotype" w:cs="Palatino Linotype"/>
          <w:noProof/>
          <w:color w:val="000000"/>
        </w:rPr>
        <w:drawing>
          <wp:inline distT="0" distB="0" distL="114300" distR="114300" wp14:anchorId="44083BFA" wp14:editId="0AF1B878">
            <wp:extent cx="4869815" cy="286004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4869815" cy="2860040"/>
                    </a:xfrm>
                    <a:prstGeom prst="rect">
                      <a:avLst/>
                    </a:prstGeom>
                    <a:ln/>
                  </pic:spPr>
                </pic:pic>
              </a:graphicData>
            </a:graphic>
          </wp:inline>
        </w:drawing>
      </w:r>
    </w:p>
    <w:p w14:paraId="39AE11B8" w14:textId="77777777" w:rsidR="00B2722B" w:rsidRPr="00E05D09" w:rsidRDefault="004425A1">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sidRPr="00E05D09">
        <w:rPr>
          <w:rFonts w:ascii="Palatino Linotype" w:eastAsia="Palatino Linotype" w:hAnsi="Palatino Linotype" w:cs="Palatino Linotype"/>
          <w:noProof/>
          <w:color w:val="000000"/>
        </w:rPr>
        <w:drawing>
          <wp:inline distT="0" distB="0" distL="114300" distR="114300" wp14:anchorId="763E947B" wp14:editId="59D3180F">
            <wp:extent cx="4880610" cy="152019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4880610" cy="1520190"/>
                    </a:xfrm>
                    <a:prstGeom prst="rect">
                      <a:avLst/>
                    </a:prstGeom>
                    <a:ln/>
                  </pic:spPr>
                </pic:pic>
              </a:graphicData>
            </a:graphic>
          </wp:inline>
        </w:drawing>
      </w:r>
    </w:p>
    <w:p w14:paraId="7178DE60" w14:textId="77777777" w:rsidR="00B2722B" w:rsidRPr="00E05D09" w:rsidRDefault="004425A1">
      <w:pPr>
        <w:numPr>
          <w:ilvl w:val="0"/>
          <w:numId w:val="1"/>
        </w:numP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lastRenderedPageBreak/>
        <w:t xml:space="preserve">De las imágenes anteriores, podemos identificar a la </w:t>
      </w:r>
      <w:r w:rsidRPr="00E05D09">
        <w:rPr>
          <w:rFonts w:ascii="Palatino Linotype" w:eastAsia="Palatino Linotype" w:hAnsi="Palatino Linotype" w:cs="Palatino Linotype"/>
          <w:b/>
          <w:bCs/>
          <w:color w:val="000000"/>
        </w:rPr>
        <w:t>Conciliación de Nómina Mensual</w:t>
      </w:r>
      <w:r w:rsidRPr="00E05D09">
        <w:rPr>
          <w:rFonts w:ascii="Palatino Linotype" w:eastAsia="Palatino Linotype" w:hAnsi="Palatino Linotype" w:cs="Palatino Linotype"/>
          <w:color w:val="000000"/>
        </w:rPr>
        <w:t xml:space="preserve"> como el documento </w:t>
      </w:r>
      <w:r w:rsidRPr="00E05D09">
        <w:rPr>
          <w:rFonts w:ascii="Palatino Linotype" w:eastAsia="Palatino Linotype" w:hAnsi="Palatino Linotype" w:cs="Palatino Linotype"/>
          <w:b/>
          <w:bCs/>
          <w:color w:val="000000"/>
        </w:rPr>
        <w:t>idóneo</w:t>
      </w:r>
      <w:r w:rsidRPr="00E05D09">
        <w:rPr>
          <w:rFonts w:ascii="Palatino Linotype" w:eastAsia="Palatino Linotype" w:hAnsi="Palatino Linotype" w:cs="Palatino Linotype"/>
          <w:color w:val="000000"/>
        </w:rPr>
        <w:t xml:space="preserve"> que puede satisfacer los requerimientos del particular, pues como se ha analizado en párrafos previos, </w:t>
      </w:r>
      <w:r w:rsidRPr="00E05D09">
        <w:rPr>
          <w:rFonts w:ascii="Palatino Linotype" w:eastAsia="Palatino Linotype" w:hAnsi="Palatino Linotype" w:cs="Palatino Linotype"/>
          <w:b/>
          <w:bCs/>
          <w:color w:val="000000"/>
        </w:rPr>
        <w:t>la Conciliación de Nómina de los servidores públicos consiste en el conjunto de percepciones y deducciones que se generan con motivo de la relación laboral</w:t>
      </w:r>
      <w:r w:rsidRPr="00E05D09">
        <w:rPr>
          <w:rFonts w:ascii="Palatino Linotype" w:eastAsia="Palatino Linotype" w:hAnsi="Palatino Linotype" w:cs="Palatino Linotype"/>
          <w:color w:val="000000"/>
        </w:rPr>
        <w:t xml:space="preserve">, asimismo </w:t>
      </w:r>
      <w:r w:rsidRPr="00E05D09">
        <w:rPr>
          <w:rFonts w:ascii="Palatino Linotype" w:eastAsia="Palatino Linotype" w:hAnsi="Palatino Linotype" w:cs="Palatino Linotype"/>
          <w:b/>
          <w:bCs/>
          <w:color w:val="000000"/>
        </w:rPr>
        <w:t xml:space="preserve">contiene la </w:t>
      </w:r>
      <w:r w:rsidRPr="00E05D09">
        <w:rPr>
          <w:rFonts w:ascii="Palatino Linotype" w:eastAsia="Palatino Linotype" w:hAnsi="Palatino Linotype" w:cs="Palatino Linotype"/>
          <w:color w:val="000000"/>
        </w:rPr>
        <w:t>fecha de alta y fecha de baja de los servidores públicos;</w:t>
      </w:r>
      <w:r w:rsidRPr="00E05D09">
        <w:rPr>
          <w:rFonts w:ascii="Palatino Linotype" w:eastAsia="Palatino Linotype" w:hAnsi="Palatino Linotype" w:cs="Palatino Linotype"/>
          <w:b/>
          <w:bCs/>
          <w:color w:val="000000"/>
        </w:rPr>
        <w:t xml:space="preserve"> su nombre; puesto; área de adscripción </w:t>
      </w:r>
      <w:r w:rsidRPr="00E05D09">
        <w:rPr>
          <w:rFonts w:ascii="Palatino Linotype" w:eastAsia="Palatino Linotype" w:hAnsi="Palatino Linotype" w:cs="Palatino Linotype"/>
          <w:color w:val="000000"/>
        </w:rPr>
        <w:t>y</w:t>
      </w:r>
      <w:r w:rsidRPr="00E05D09">
        <w:rPr>
          <w:rFonts w:ascii="Palatino Linotype" w:eastAsia="Palatino Linotype" w:hAnsi="Palatino Linotype" w:cs="Palatino Linotype"/>
          <w:b/>
          <w:bCs/>
          <w:color w:val="000000"/>
        </w:rPr>
        <w:t xml:space="preserve"> categoría.</w:t>
      </w:r>
    </w:p>
    <w:p w14:paraId="44F809C0" w14:textId="77777777" w:rsidR="00B2722B" w:rsidRPr="00E05D09" w:rsidRDefault="00B2722B">
      <w:pPr>
        <w:spacing w:line="360" w:lineRule="auto"/>
        <w:jc w:val="both"/>
        <w:rPr>
          <w:rFonts w:ascii="Palatino Linotype" w:eastAsia="Palatino Linotype" w:hAnsi="Palatino Linotype" w:cs="Palatino Linotype"/>
          <w:color w:val="000000"/>
        </w:rPr>
      </w:pPr>
    </w:p>
    <w:p w14:paraId="7A9AF4C5" w14:textId="77777777" w:rsidR="00B2722B" w:rsidRPr="00E05D09" w:rsidRDefault="004425A1">
      <w:pPr>
        <w:numPr>
          <w:ilvl w:val="0"/>
          <w:numId w:val="1"/>
        </w:numPr>
        <w:spacing w:line="360" w:lineRule="auto"/>
        <w:ind w:left="0" w:right="1"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25AD2A98" w14:textId="77777777" w:rsidR="00B2722B" w:rsidRPr="00E05D09" w:rsidRDefault="00B2722B">
      <w:pPr>
        <w:pBdr>
          <w:top w:val="nil"/>
          <w:left w:val="nil"/>
          <w:bottom w:val="nil"/>
          <w:right w:val="nil"/>
          <w:between w:val="nil"/>
        </w:pBdr>
        <w:ind w:left="720"/>
        <w:rPr>
          <w:rFonts w:ascii="Palatino Linotype" w:eastAsia="Palatino Linotype" w:hAnsi="Palatino Linotype" w:cs="Palatino Linotype"/>
          <w:color w:val="000000"/>
        </w:rPr>
      </w:pPr>
    </w:p>
    <w:p w14:paraId="7F47DAF6" w14:textId="77777777" w:rsidR="00B2722B" w:rsidRPr="00E05D09" w:rsidRDefault="004425A1">
      <w:pPr>
        <w:ind w:left="567" w:right="565"/>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“Artículo 7. El Estado de México garantizará el efectivo acceso de toda persona a la información en posesión de cualquier entidad,</w:t>
      </w:r>
      <w:r w:rsidRPr="00E05D09">
        <w:rPr>
          <w:rFonts w:ascii="Palatino Linotype" w:eastAsia="Palatino Linotype" w:hAnsi="Palatino Linotype" w:cs="Palatino Linotype"/>
          <w:i/>
          <w:iCs/>
        </w:rPr>
        <w:t xml:space="preserve"> autoridad, órgano y organismo de los poderes Ejecutivo, Legislativo y Judicial, órganos autónomos, partidos políticos, fideicomisos y fondos públicos, así como de cualquier persona física, jurídico colectiva o sindicato </w:t>
      </w:r>
      <w:r w:rsidRPr="00E05D09">
        <w:rPr>
          <w:rFonts w:ascii="Palatino Linotype" w:eastAsia="Palatino Linotype" w:hAnsi="Palatino Linotype" w:cs="Palatino Linotype"/>
          <w:b/>
          <w:bCs/>
          <w:i/>
          <w:iCs/>
        </w:rPr>
        <w:t>que reciba y ejerza recursos públicos</w:t>
      </w:r>
      <w:r w:rsidRPr="00E05D09">
        <w:rPr>
          <w:rFonts w:ascii="Palatino Linotype" w:eastAsia="Palatino Linotype" w:hAnsi="Palatino Linotype" w:cs="Palatino Linotype"/>
          <w:i/>
          <w:iCs/>
        </w:rPr>
        <w:t xml:space="preserve"> o realice actos de autoridad </w:t>
      </w:r>
      <w:r w:rsidRPr="00E05D09">
        <w:rPr>
          <w:rFonts w:ascii="Palatino Linotype" w:eastAsia="Palatino Linotype" w:hAnsi="Palatino Linotype" w:cs="Palatino Linotype"/>
          <w:b/>
          <w:bCs/>
          <w:i/>
          <w:iCs/>
        </w:rPr>
        <w:t>en el ámbito de competencia del Estado de México y sus municipios</w:t>
      </w:r>
      <w:r w:rsidRPr="00E05D09">
        <w:rPr>
          <w:rFonts w:ascii="Palatino Linotype" w:eastAsia="Palatino Linotype" w:hAnsi="Palatino Linotype" w:cs="Palatino Linotype"/>
          <w:i/>
          <w:iCs/>
        </w:rPr>
        <w:t>.</w:t>
      </w:r>
    </w:p>
    <w:p w14:paraId="02A81618" w14:textId="77777777" w:rsidR="00B2722B" w:rsidRPr="00E05D09" w:rsidRDefault="004425A1">
      <w:pPr>
        <w:ind w:left="567" w:right="565"/>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Artículo 23</w:t>
      </w:r>
      <w:r w:rsidRPr="00E05D09">
        <w:rPr>
          <w:rFonts w:ascii="Palatino Linotype" w:eastAsia="Palatino Linotype" w:hAnsi="Palatino Linotype" w:cs="Palatino Linotype"/>
          <w:i/>
          <w:iCs/>
        </w:rPr>
        <w:t>. Son sujetos obligados a transparentar y permitir el acceso a su información y proteger los datos personales que obren en su poder:</w:t>
      </w:r>
    </w:p>
    <w:p w14:paraId="05643A9D" w14:textId="77777777" w:rsidR="00B2722B" w:rsidRPr="00E05D09" w:rsidRDefault="004425A1">
      <w:pPr>
        <w:ind w:left="567" w:right="565"/>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w:t>
      </w:r>
    </w:p>
    <w:p w14:paraId="71294CBC" w14:textId="77777777" w:rsidR="00B2722B" w:rsidRPr="00E05D09" w:rsidRDefault="004425A1">
      <w:pPr>
        <w:ind w:left="567" w:right="565"/>
        <w:jc w:val="both"/>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lastRenderedPageBreak/>
        <w:t>IV. Los ayuntamientos y las dependencias, organismos, órganos y entidades de la administración municipal;</w:t>
      </w:r>
    </w:p>
    <w:p w14:paraId="5871C5DE" w14:textId="77777777" w:rsidR="00B2722B" w:rsidRPr="00E05D09" w:rsidRDefault="004425A1">
      <w:pPr>
        <w:ind w:left="567" w:right="565"/>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w:t>
      </w:r>
    </w:p>
    <w:p w14:paraId="1FC0B0D7" w14:textId="77777777" w:rsidR="00B2722B" w:rsidRPr="00E05D09" w:rsidRDefault="004425A1">
      <w:pPr>
        <w:ind w:left="567" w:right="565"/>
        <w:jc w:val="both"/>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E4CDDC1" w14:textId="77777777" w:rsidR="00B2722B" w:rsidRPr="00E05D09" w:rsidRDefault="004425A1">
      <w:pPr>
        <w:ind w:left="567" w:right="565"/>
        <w:jc w:val="both"/>
        <w:rPr>
          <w:rFonts w:ascii="Palatino Linotype" w:eastAsia="Palatino Linotype" w:hAnsi="Palatino Linotype" w:cs="Palatino Linotype"/>
        </w:rPr>
      </w:pPr>
      <w:r w:rsidRPr="00E05D09">
        <w:rPr>
          <w:rFonts w:ascii="Palatino Linotype" w:eastAsia="Palatino Linotype" w:hAnsi="Palatino Linotype" w:cs="Palatino Linotype"/>
          <w:i/>
          <w:iCs/>
        </w:rPr>
        <w:t>Los servidores públicos deberán transparentar sus acciones así como garantizar y respetar el derecho de acceso a la información pública.”</w:t>
      </w:r>
    </w:p>
    <w:p w14:paraId="25E4110D" w14:textId="77777777" w:rsidR="00B2722B" w:rsidRPr="00E05D09" w:rsidRDefault="00B2722B">
      <w:pPr>
        <w:spacing w:line="360" w:lineRule="auto"/>
        <w:ind w:right="1"/>
        <w:jc w:val="both"/>
        <w:rPr>
          <w:rFonts w:ascii="Palatino Linotype" w:eastAsia="Palatino Linotype" w:hAnsi="Palatino Linotype" w:cs="Palatino Linotype"/>
        </w:rPr>
      </w:pPr>
    </w:p>
    <w:p w14:paraId="396EF4B1" w14:textId="77777777" w:rsidR="00B2722B" w:rsidRPr="00E05D09" w:rsidRDefault="004425A1">
      <w:pPr>
        <w:numPr>
          <w:ilvl w:val="0"/>
          <w:numId w:val="1"/>
        </w:numPr>
        <w:spacing w:line="360" w:lineRule="auto"/>
        <w:ind w:left="0" w:right="1"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E05D09">
        <w:rPr>
          <w:rFonts w:ascii="Palatino Linotype" w:eastAsia="Palatino Linotype" w:hAnsi="Palatino Linotype" w:cs="Palatino Linotype"/>
          <w:b/>
          <w:bCs/>
        </w:rPr>
        <w:t>01/2003</w:t>
      </w:r>
      <w:r w:rsidRPr="00E05D09">
        <w:rPr>
          <w:rFonts w:ascii="Palatino Linotype" w:eastAsia="Palatino Linotype" w:hAnsi="Palatino Linotype" w:cs="Palatino Linotype"/>
        </w:rPr>
        <w:t xml:space="preserve"> y </w:t>
      </w:r>
      <w:r w:rsidRPr="00E05D09">
        <w:rPr>
          <w:rFonts w:ascii="Palatino Linotype" w:eastAsia="Palatino Linotype" w:hAnsi="Palatino Linotype" w:cs="Palatino Linotype"/>
          <w:b/>
          <w:bCs/>
        </w:rPr>
        <w:t>02/2003</w:t>
      </w:r>
      <w:r w:rsidRPr="00E05D09">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5EC4EC0B" w14:textId="77777777" w:rsidR="00B2722B" w:rsidRPr="00E05D09" w:rsidRDefault="004425A1">
      <w:pPr>
        <w:tabs>
          <w:tab w:val="left" w:pos="8505"/>
        </w:tabs>
        <w:spacing w:line="276" w:lineRule="auto"/>
        <w:ind w:left="567" w:right="565"/>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t>“Criterio 01/2003.</w:t>
      </w:r>
    </w:p>
    <w:p w14:paraId="43A03E3C" w14:textId="77777777" w:rsidR="00B2722B" w:rsidRPr="00E05D09" w:rsidRDefault="004425A1">
      <w:pPr>
        <w:tabs>
          <w:tab w:val="left" w:pos="8505"/>
        </w:tabs>
        <w:spacing w:line="276" w:lineRule="auto"/>
        <w:ind w:left="567" w:right="565"/>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INGRESOS DE LOS SERVIDORES PÚBLICOS. CONSTITUYEN INFORMACIÓN PÚBLICA AÚN Y CUANDO SU DIFUSIÓN PUEDE AFECTAR LA VIDA O LA SEGURIDAD DE AQUELLOS.</w:t>
      </w:r>
      <w:r w:rsidRPr="00E05D09">
        <w:rPr>
          <w:rFonts w:ascii="Palatino Linotype" w:eastAsia="Palatino Linotype" w:hAnsi="Palatino Linotype" w:cs="Palatino Linotype"/>
          <w:i/>
          <w:iCs/>
        </w:rPr>
        <w:t xml:space="preserve"> </w:t>
      </w:r>
    </w:p>
    <w:p w14:paraId="75804E46" w14:textId="77777777" w:rsidR="00B2722B" w:rsidRPr="00E05D09" w:rsidRDefault="004425A1">
      <w:pPr>
        <w:tabs>
          <w:tab w:val="left" w:pos="8505"/>
        </w:tabs>
        <w:ind w:left="567" w:right="565"/>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E05D09">
        <w:rPr>
          <w:rFonts w:ascii="Palatino Linotype" w:eastAsia="Palatino Linotype" w:hAnsi="Palatino Linotype" w:cs="Palatino Linotype"/>
          <w:b/>
          <w:bCs/>
          <w:i/>
          <w:iC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E05D09">
        <w:rPr>
          <w:rFonts w:ascii="Palatino Linotype" w:eastAsia="Palatino Linotype" w:hAnsi="Palatino Linotype" w:cs="Palatino Linotype"/>
          <w:i/>
          <w:iCs/>
        </w:rPr>
        <w:t>…”</w:t>
      </w:r>
    </w:p>
    <w:p w14:paraId="5647C266" w14:textId="77777777" w:rsidR="00B2722B" w:rsidRPr="00E05D09" w:rsidRDefault="00B2722B">
      <w:pPr>
        <w:tabs>
          <w:tab w:val="left" w:pos="8505"/>
        </w:tabs>
        <w:ind w:left="567" w:right="565"/>
        <w:jc w:val="both"/>
        <w:rPr>
          <w:rFonts w:ascii="Palatino Linotype" w:eastAsia="Palatino Linotype" w:hAnsi="Palatino Linotype" w:cs="Palatino Linotype"/>
          <w:i/>
          <w:iCs/>
        </w:rPr>
      </w:pPr>
    </w:p>
    <w:p w14:paraId="19F99D59" w14:textId="77777777" w:rsidR="00B2722B" w:rsidRPr="00E05D09" w:rsidRDefault="004425A1">
      <w:pPr>
        <w:tabs>
          <w:tab w:val="left" w:pos="8222"/>
        </w:tabs>
        <w:ind w:left="567" w:right="565"/>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lastRenderedPageBreak/>
        <w:t>“Criterio 02/2003.</w:t>
      </w:r>
    </w:p>
    <w:p w14:paraId="18160E17" w14:textId="77777777" w:rsidR="00B2722B" w:rsidRPr="00E05D09" w:rsidRDefault="004425A1">
      <w:pPr>
        <w:tabs>
          <w:tab w:val="left" w:pos="8222"/>
        </w:tabs>
        <w:ind w:left="567" w:right="565"/>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INGRESOS DE LOS SERVIDORES PÚBLICOS, SON INFORMACIÓN PÚBLICA AÚN Y CUANDO CONSTITUYEN DATOS PERSONALES QUE SE REFIEREN AL PATRIMONIO DE AQUÉLLOS.</w:t>
      </w:r>
      <w:r w:rsidRPr="00E05D09">
        <w:rPr>
          <w:rFonts w:ascii="Palatino Linotype" w:eastAsia="Palatino Linotype" w:hAnsi="Palatino Linotype" w:cs="Palatino Linotype"/>
          <w:i/>
          <w:iCs/>
        </w:rPr>
        <w:t xml:space="preserve"> </w:t>
      </w:r>
    </w:p>
    <w:p w14:paraId="21274905" w14:textId="77777777" w:rsidR="00B2722B" w:rsidRPr="00E05D09" w:rsidRDefault="004425A1">
      <w:pPr>
        <w:tabs>
          <w:tab w:val="left" w:pos="8222"/>
        </w:tabs>
        <w:ind w:left="567" w:right="565"/>
        <w:jc w:val="both"/>
        <w:rPr>
          <w:rFonts w:ascii="Palatino Linotype" w:eastAsia="Palatino Linotype" w:hAnsi="Palatino Linotype" w:cs="Palatino Linotype"/>
        </w:rPr>
      </w:pPr>
      <w:r w:rsidRPr="00E05D09">
        <w:rPr>
          <w:rFonts w:ascii="Palatino Linotype" w:eastAsia="Palatino Linotype" w:hAnsi="Palatino Linotype" w:cs="Palatino Linotype"/>
          <w:i/>
          <w:iCs/>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E05D09">
        <w:rPr>
          <w:rFonts w:ascii="Palatino Linotype" w:eastAsia="Palatino Linotype" w:hAnsi="Palatino Linotype" w:cs="Palatino Linotype"/>
          <w:b/>
          <w:bCs/>
          <w:i/>
          <w:iC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E05D09">
        <w:rPr>
          <w:rFonts w:ascii="Palatino Linotype" w:eastAsia="Palatino Linotype" w:hAnsi="Palatino Linotype" w:cs="Palatino Linotype"/>
          <w:i/>
          <w:iCs/>
        </w:rPr>
        <w:t xml:space="preserve"> el sistema de compensación…”</w:t>
      </w:r>
    </w:p>
    <w:p w14:paraId="7B291549" w14:textId="77777777" w:rsidR="00B2722B" w:rsidRPr="00E05D09" w:rsidRDefault="00B2722B">
      <w:pPr>
        <w:spacing w:line="360" w:lineRule="auto"/>
        <w:ind w:left="567" w:right="539"/>
        <w:jc w:val="both"/>
        <w:rPr>
          <w:rFonts w:ascii="Palatino Linotype" w:eastAsia="Palatino Linotype" w:hAnsi="Palatino Linotype" w:cs="Palatino Linotype"/>
        </w:rPr>
      </w:pPr>
    </w:p>
    <w:p w14:paraId="722294DE" w14:textId="77777777" w:rsidR="00B2722B" w:rsidRPr="00E05D09" w:rsidRDefault="004425A1">
      <w:pPr>
        <w:numPr>
          <w:ilvl w:val="0"/>
          <w:numId w:val="1"/>
        </w:numPr>
        <w:spacing w:line="360" w:lineRule="auto"/>
        <w:ind w:left="0" w:right="1" w:firstLine="0"/>
        <w:jc w:val="both"/>
        <w:rPr>
          <w:rFonts w:ascii="Palatino Linotype" w:eastAsia="Palatino Linotype" w:hAnsi="Palatino Linotype" w:cs="Palatino Linotype"/>
        </w:rPr>
      </w:pPr>
      <w:r w:rsidRPr="00E05D09">
        <w:rPr>
          <w:rFonts w:ascii="Palatino Linotype" w:eastAsia="Palatino Linotype" w:hAnsi="Palatino Linotype" w:cs="Palatino Linotype"/>
        </w:rPr>
        <w:t>En lo que hace a nuestra materia,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w:t>
      </w:r>
      <w:r w:rsidRPr="00E05D09">
        <w:rPr>
          <w:rFonts w:ascii="Palatino Linotype" w:eastAsia="Palatino Linotype" w:hAnsi="Palatino Linotype" w:cs="Palatino Linotype"/>
          <w:b/>
          <w:bCs/>
        </w:rPr>
        <w:t xml:space="preserve"> </w:t>
      </w:r>
      <w:r w:rsidRPr="00E05D09">
        <w:rPr>
          <w:rFonts w:ascii="Palatino Linotype" w:eastAsia="Palatino Linotype" w:hAnsi="Palatino Linotype" w:cs="Palatino Linotype"/>
          <w:b/>
          <w:bCs/>
          <w:u w:val="single"/>
        </w:rPr>
        <w:t>las remuneraciones brutas y netas de todos los servidores públicos,</w:t>
      </w:r>
      <w:r w:rsidRPr="00E05D09">
        <w:rPr>
          <w:rFonts w:ascii="Palatino Linotype" w:eastAsia="Palatino Linotype" w:hAnsi="Palatino Linotype" w:cs="Palatino Linotype"/>
        </w:rPr>
        <w:t xml:space="preserve"> que incluya todas las percepciones, entre las cuales, se encuentran los sueldos, prestaciones, gratificaciones, primas, comisiones, dietas, bonos, estímulos, ingresos, entre otros, tal como se aprecia a continuación:</w:t>
      </w:r>
    </w:p>
    <w:p w14:paraId="33B5F286" w14:textId="77777777" w:rsidR="00B2722B" w:rsidRPr="00E05D09" w:rsidRDefault="004425A1">
      <w:pPr>
        <w:ind w:left="567" w:right="843"/>
        <w:jc w:val="center"/>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t>Ley General de Transparencia y Acceso a la Información Pública</w:t>
      </w:r>
    </w:p>
    <w:p w14:paraId="6625CB7B" w14:textId="77777777" w:rsidR="00B2722B" w:rsidRPr="00E05D09" w:rsidRDefault="00B2722B">
      <w:pPr>
        <w:ind w:left="567" w:right="843"/>
        <w:jc w:val="both"/>
        <w:rPr>
          <w:rFonts w:ascii="Palatino Linotype" w:eastAsia="Palatino Linotype" w:hAnsi="Palatino Linotype" w:cs="Palatino Linotype"/>
          <w:i/>
          <w:iCs/>
        </w:rPr>
      </w:pPr>
    </w:p>
    <w:p w14:paraId="52FC0E7D" w14:textId="77777777" w:rsidR="00B2722B" w:rsidRPr="00E05D09" w:rsidRDefault="004425A1">
      <w:pPr>
        <w:ind w:left="567" w:right="843"/>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Artículo 70.</w:t>
      </w:r>
      <w:r w:rsidRPr="00E05D09">
        <w:rPr>
          <w:rFonts w:ascii="Palatino Linotype" w:eastAsia="Palatino Linotype" w:hAnsi="Palatino Linotype" w:cs="Palatino Linotype"/>
          <w:i/>
          <w:iCs/>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2AC4C553" w14:textId="77777777" w:rsidR="00B2722B" w:rsidRPr="00E05D09" w:rsidRDefault="004425A1">
      <w:pPr>
        <w:ind w:left="567" w:right="843"/>
        <w:jc w:val="both"/>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t>(…)</w:t>
      </w:r>
    </w:p>
    <w:p w14:paraId="59D2DAEA" w14:textId="77777777" w:rsidR="00B2722B" w:rsidRPr="00E05D09" w:rsidRDefault="004425A1">
      <w:pPr>
        <w:ind w:left="567" w:right="843"/>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VIII. La remuneración bruta y neta de todos los Servidores Públicos</w:t>
      </w:r>
      <w:r w:rsidRPr="00E05D09">
        <w:rPr>
          <w:rFonts w:ascii="Palatino Linotype" w:eastAsia="Palatino Linotype" w:hAnsi="Palatino Linotype" w:cs="Palatino Linotype"/>
          <w:i/>
          <w:iCs/>
        </w:rPr>
        <w:t xml:space="preserve"> de base o de confianza, de todas las percepciones, incluyendo sueldos, prestaciones, gratificaciones, </w:t>
      </w:r>
      <w:r w:rsidRPr="00E05D09">
        <w:rPr>
          <w:rFonts w:ascii="Palatino Linotype" w:eastAsia="Palatino Linotype" w:hAnsi="Palatino Linotype" w:cs="Palatino Linotype"/>
          <w:i/>
          <w:iCs/>
        </w:rPr>
        <w:lastRenderedPageBreak/>
        <w:t>primas, comisiones, dietas, bonos, estímulos, ingresos y sistemas de compensación, señalando la periodicidad de dicha remuneración;</w:t>
      </w:r>
    </w:p>
    <w:p w14:paraId="09253414" w14:textId="77777777" w:rsidR="00B2722B" w:rsidRPr="00E05D09" w:rsidRDefault="004425A1">
      <w:pPr>
        <w:ind w:left="567" w:right="843"/>
        <w:jc w:val="both"/>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t>(…)</w:t>
      </w:r>
    </w:p>
    <w:p w14:paraId="734B9A69" w14:textId="77777777" w:rsidR="00B2722B" w:rsidRPr="00E05D09" w:rsidRDefault="00B2722B">
      <w:pPr>
        <w:ind w:left="567" w:right="843"/>
        <w:jc w:val="both"/>
        <w:rPr>
          <w:rFonts w:ascii="Palatino Linotype" w:eastAsia="Palatino Linotype" w:hAnsi="Palatino Linotype" w:cs="Palatino Linotype"/>
          <w:b/>
          <w:bCs/>
          <w:i/>
          <w:iCs/>
        </w:rPr>
      </w:pPr>
    </w:p>
    <w:p w14:paraId="366FA25C" w14:textId="77777777" w:rsidR="00B2722B" w:rsidRPr="00E05D09" w:rsidRDefault="004425A1">
      <w:pPr>
        <w:pBdr>
          <w:top w:val="nil"/>
          <w:left w:val="nil"/>
          <w:bottom w:val="nil"/>
          <w:right w:val="nil"/>
          <w:between w:val="nil"/>
        </w:pBdr>
        <w:tabs>
          <w:tab w:val="left" w:pos="426"/>
          <w:tab w:val="left" w:pos="567"/>
        </w:tabs>
        <w:ind w:left="567" w:right="822"/>
        <w:jc w:val="center"/>
        <w:rPr>
          <w:rFonts w:ascii="Palatino Linotype" w:eastAsia="Palatino Linotype" w:hAnsi="Palatino Linotype" w:cs="Palatino Linotype"/>
          <w:b/>
          <w:bCs/>
          <w:i/>
          <w:iCs/>
          <w:color w:val="000000"/>
        </w:rPr>
      </w:pPr>
      <w:r w:rsidRPr="00E05D09">
        <w:rPr>
          <w:rFonts w:ascii="Palatino Linotype" w:eastAsia="Palatino Linotype" w:hAnsi="Palatino Linotype" w:cs="Palatino Linotype"/>
          <w:b/>
          <w:bCs/>
          <w:i/>
          <w:iCs/>
          <w:color w:val="000000"/>
        </w:rPr>
        <w:t>Ley de Transparencia y Acceso a la Información Pública del Estado de México y Municipios</w:t>
      </w:r>
    </w:p>
    <w:p w14:paraId="73B472C5" w14:textId="77777777" w:rsidR="00B2722B" w:rsidRPr="00E05D09" w:rsidRDefault="00B2722B">
      <w:pPr>
        <w:pBdr>
          <w:top w:val="nil"/>
          <w:left w:val="nil"/>
          <w:bottom w:val="nil"/>
          <w:right w:val="nil"/>
          <w:between w:val="nil"/>
        </w:pBdr>
        <w:tabs>
          <w:tab w:val="left" w:pos="426"/>
          <w:tab w:val="left" w:pos="567"/>
        </w:tabs>
        <w:ind w:left="567"/>
        <w:jc w:val="center"/>
        <w:rPr>
          <w:rFonts w:ascii="Palatino Linotype" w:eastAsia="Palatino Linotype" w:hAnsi="Palatino Linotype" w:cs="Palatino Linotype"/>
          <w:b/>
          <w:bCs/>
          <w:i/>
          <w:iCs/>
          <w:color w:val="000000"/>
        </w:rPr>
      </w:pPr>
    </w:p>
    <w:p w14:paraId="6CA3D71D" w14:textId="77777777" w:rsidR="00B2722B" w:rsidRPr="00E05D09" w:rsidRDefault="004425A1">
      <w:pPr>
        <w:ind w:left="567" w:right="822"/>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“Artículo 92.</w:t>
      </w:r>
      <w:r w:rsidRPr="00E05D09">
        <w:rPr>
          <w:rFonts w:ascii="Palatino Linotype" w:eastAsia="Palatino Linotype" w:hAnsi="Palatino Linotype" w:cs="Palatino Linotype"/>
          <w:i/>
          <w:iC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48074EF" w14:textId="77777777" w:rsidR="00B2722B" w:rsidRPr="00E05D09" w:rsidRDefault="004425A1">
      <w:pPr>
        <w:ind w:left="567" w:right="822"/>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w:t>
      </w:r>
    </w:p>
    <w:p w14:paraId="2F12E957" w14:textId="77777777" w:rsidR="00B2722B" w:rsidRPr="00E05D09" w:rsidRDefault="004425A1">
      <w:pPr>
        <w:ind w:left="567" w:right="822"/>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color w:val="000000"/>
        </w:rPr>
        <w:t xml:space="preserve">VIII. </w:t>
      </w:r>
      <w:r w:rsidRPr="00E05D09">
        <w:rPr>
          <w:rFonts w:ascii="Palatino Linotype" w:eastAsia="Palatino Linotype" w:hAnsi="Palatino Linotype" w:cs="Palatino Linotype"/>
          <w:b/>
          <w:bCs/>
          <w:i/>
          <w:iCs/>
        </w:rPr>
        <w:t>La remuneración bruta y neta de todos los servidores públicos</w:t>
      </w:r>
      <w:r w:rsidRPr="00E05D09">
        <w:rPr>
          <w:rFonts w:ascii="Palatino Linotype" w:eastAsia="Palatino Linotype" w:hAnsi="Palatino Linotype" w:cs="Palatino Linotype"/>
          <w:i/>
          <w:iCs/>
        </w:rPr>
        <w:t xml:space="preserve"> de base o de confianza, de todas las percepciones, incluyendo sueldos, prestaciones, gratificaciones, primas, comisiones, dietas, bonos, estímulos, ingresos y sistemas de compensación, señalando la periodicidad de dicha remuneración; </w:t>
      </w:r>
    </w:p>
    <w:p w14:paraId="038E7365" w14:textId="77777777" w:rsidR="00B2722B" w:rsidRPr="00E05D09" w:rsidRDefault="004425A1">
      <w:pPr>
        <w:ind w:left="567" w:right="822"/>
        <w:jc w:val="both"/>
        <w:rPr>
          <w:rFonts w:ascii="Palatino Linotype" w:eastAsia="Palatino Linotype" w:hAnsi="Palatino Linotype" w:cs="Palatino Linotype"/>
        </w:rPr>
      </w:pPr>
      <w:r w:rsidRPr="00E05D09">
        <w:rPr>
          <w:rFonts w:ascii="Palatino Linotype" w:eastAsia="Palatino Linotype" w:hAnsi="Palatino Linotype" w:cs="Palatino Linotype"/>
          <w:b/>
          <w:bCs/>
          <w:i/>
          <w:iCs/>
          <w:color w:val="000000"/>
        </w:rPr>
        <w:t>(…)</w:t>
      </w:r>
      <w:r w:rsidRPr="00E05D09">
        <w:rPr>
          <w:rFonts w:ascii="Palatino Linotype" w:eastAsia="Palatino Linotype" w:hAnsi="Palatino Linotype" w:cs="Palatino Linotype"/>
          <w:i/>
          <w:iCs/>
        </w:rPr>
        <w:t>”</w:t>
      </w:r>
    </w:p>
    <w:p w14:paraId="0AED936E" w14:textId="77777777" w:rsidR="00B2722B" w:rsidRPr="00E05D09" w:rsidRDefault="00B2722B">
      <w:pPr>
        <w:spacing w:line="360" w:lineRule="auto"/>
        <w:ind w:right="1"/>
        <w:jc w:val="both"/>
        <w:rPr>
          <w:rFonts w:ascii="Palatino Linotype" w:eastAsia="Palatino Linotype" w:hAnsi="Palatino Linotype" w:cs="Palatino Linotype"/>
        </w:rPr>
      </w:pPr>
    </w:p>
    <w:p w14:paraId="573D9D1B" w14:textId="77777777" w:rsidR="00B2722B" w:rsidRPr="00E05D09" w:rsidRDefault="004425A1">
      <w:pPr>
        <w:numPr>
          <w:ilvl w:val="0"/>
          <w:numId w:val="1"/>
        </w:numP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Por lo anterior se reconoce que el </w:t>
      </w:r>
      <w:r w:rsidRPr="00E05D09">
        <w:rPr>
          <w:rFonts w:ascii="Palatino Linotype" w:eastAsia="Palatino Linotype" w:hAnsi="Palatino Linotype" w:cs="Palatino Linotype"/>
          <w:b/>
          <w:bCs/>
          <w:color w:val="000000"/>
        </w:rPr>
        <w:t>SUJETO OBLIGADO,</w:t>
      </w:r>
      <w:r w:rsidRPr="00E05D09">
        <w:rPr>
          <w:rFonts w:ascii="Palatino Linotype" w:eastAsia="Palatino Linotype" w:hAnsi="Palatino Linotype" w:cs="Palatino Linotype"/>
          <w:color w:val="000000"/>
        </w:rPr>
        <w:t xml:space="preserve"> cuenta con la obligación de generar los documentos en donde conste la información requerida por el particular, siendo el documento idóneo, de manera enunciativa más no limitativa, la </w:t>
      </w:r>
      <w:r w:rsidRPr="00E05D09">
        <w:rPr>
          <w:rFonts w:ascii="Palatino Linotype" w:eastAsia="Palatino Linotype" w:hAnsi="Palatino Linotype" w:cs="Palatino Linotype"/>
          <w:b/>
          <w:bCs/>
          <w:color w:val="000000"/>
        </w:rPr>
        <w:t>Conciliación de Nómina</w:t>
      </w:r>
      <w:r w:rsidRPr="00E05D09">
        <w:rPr>
          <w:rFonts w:ascii="Palatino Linotype" w:eastAsia="Palatino Linotype" w:hAnsi="Palatino Linotype" w:cs="Palatino Linotype"/>
          <w:color w:val="000000"/>
        </w:rPr>
        <w:t xml:space="preserve">. </w:t>
      </w:r>
    </w:p>
    <w:p w14:paraId="71C0ECD9" w14:textId="77777777" w:rsidR="00B2722B" w:rsidRPr="00E05D09" w:rsidRDefault="00B2722B">
      <w:pPr>
        <w:spacing w:line="360" w:lineRule="auto"/>
        <w:jc w:val="both"/>
        <w:rPr>
          <w:rFonts w:ascii="Palatino Linotype" w:eastAsia="Palatino Linotype" w:hAnsi="Palatino Linotype" w:cs="Palatino Linotype"/>
          <w:color w:val="000000"/>
        </w:rPr>
      </w:pPr>
    </w:p>
    <w:p w14:paraId="114B2B15" w14:textId="77777777" w:rsidR="00B2722B" w:rsidRPr="00E05D09" w:rsidRDefault="004425A1">
      <w:pPr>
        <w:numPr>
          <w:ilvl w:val="0"/>
          <w:numId w:val="16"/>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 xml:space="preserve">Puntos 3, 4, 6, 29, 38, 55 y 61 del cuadro comparativo </w:t>
      </w:r>
    </w:p>
    <w:p w14:paraId="0BC08DFD"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En relación a la información solicita, el </w:t>
      </w:r>
      <w:r w:rsidRPr="00E05D09">
        <w:rPr>
          <w:rFonts w:ascii="Palatino Linotype" w:eastAsia="Palatino Linotype" w:hAnsi="Palatino Linotype" w:cs="Palatino Linotype"/>
          <w:b/>
          <w:bCs/>
          <w:color w:val="000000"/>
        </w:rPr>
        <w:t xml:space="preserve">SUJETO OBLIGADO, </w:t>
      </w:r>
      <w:r w:rsidRPr="00E05D09">
        <w:rPr>
          <w:rFonts w:ascii="Palatino Linotype" w:eastAsia="Palatino Linotype" w:hAnsi="Palatino Linotype" w:cs="Palatino Linotype"/>
          <w:color w:val="000000"/>
        </w:rPr>
        <w:t xml:space="preserve">omitió pronunciarse, por lo que resulta necesario hacer énfasis a lo establecido en el artículo 178 del Bando Municipal de Tianguistenco, ordenamiento en el que se observa que El Sistema Municipal para el Desarrollo integral de la Familia, es la encarga de realizar acciones tendientes a modificar y mejorar las circunstancias de carácter social que permitan al individuo lograr un desarrollo integral, </w:t>
      </w:r>
      <w:r w:rsidRPr="00E05D09">
        <w:rPr>
          <w:rFonts w:ascii="Palatino Linotype" w:eastAsia="Palatino Linotype" w:hAnsi="Palatino Linotype" w:cs="Palatino Linotype"/>
          <w:color w:val="000000"/>
        </w:rPr>
        <w:lastRenderedPageBreak/>
        <w:t>otorgando protección física, mental y social, a fin de incorporarse a una vida plena y productiva, señalando:</w:t>
      </w:r>
    </w:p>
    <w:p w14:paraId="7513CFB7" w14:textId="77777777" w:rsidR="00B2722B" w:rsidRPr="00E05D09" w:rsidRDefault="00B2722B">
      <w:pPr>
        <w:spacing w:line="360" w:lineRule="auto"/>
        <w:jc w:val="both"/>
        <w:rPr>
          <w:rFonts w:ascii="Palatino Linotype" w:eastAsia="Palatino Linotype" w:hAnsi="Palatino Linotype" w:cs="Palatino Linotype"/>
          <w:color w:val="000000"/>
        </w:rPr>
      </w:pPr>
    </w:p>
    <w:p w14:paraId="14149126"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ARTÍCULO 180. El Sistema Municipal para el Desarrollo Integral de la Familia, para el cumplimiento de los objetivos de asistencia social y beneficio colectivo, tendrá las atribuciones siguientes:</w:t>
      </w:r>
    </w:p>
    <w:p w14:paraId="74112768" w14:textId="77777777" w:rsidR="00B2722B" w:rsidRPr="00E05D09" w:rsidRDefault="00B2722B">
      <w:pPr>
        <w:spacing w:line="360" w:lineRule="auto"/>
        <w:jc w:val="both"/>
        <w:rPr>
          <w:rFonts w:ascii="Palatino Linotype" w:eastAsia="Palatino Linotype" w:hAnsi="Palatino Linotype" w:cs="Palatino Linotype"/>
        </w:rPr>
      </w:pPr>
    </w:p>
    <w:p w14:paraId="5121C15C"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I.</w:t>
      </w:r>
      <w:r w:rsidRPr="00E05D09">
        <w:rPr>
          <w:rFonts w:ascii="Palatino Linotype" w:eastAsia="Palatino Linotype" w:hAnsi="Palatino Linotype" w:cs="Palatino Linotype"/>
          <w:i/>
          <w:iCs/>
        </w:rPr>
        <w:t xml:space="preserve"> Asegurar la atención a las familias y a la población vulnerable, tales como marginados, grupos y minorías étnicas, mujeres, menores de edad, personas adultas mayores, y personas con discapacidad, entre otros; promoviendo programas de bienestar social y brindando servicios integrales de asistencia social, tomando en cuenta el presupuesto, que para tal efecto, tenga asignado así como los donativos y aportaciones que reciba para ayuda y apoyo en el seguimiento de sus programas en beneficio de la población; </w:t>
      </w:r>
    </w:p>
    <w:p w14:paraId="1703B493" w14:textId="77777777" w:rsidR="00B2722B" w:rsidRPr="00E05D09" w:rsidRDefault="004425A1">
      <w:pPr>
        <w:ind w:left="567" w:right="539"/>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b/>
          <w:bCs/>
          <w:i/>
          <w:iCs/>
        </w:rPr>
        <w:t>II.</w:t>
      </w:r>
      <w:r w:rsidRPr="00E05D09">
        <w:rPr>
          <w:rFonts w:ascii="Palatino Linotype" w:eastAsia="Palatino Linotype" w:hAnsi="Palatino Linotype" w:cs="Palatino Linotype"/>
          <w:i/>
          <w:iCs/>
        </w:rPr>
        <w:t xml:space="preserve"> Prestar servicios de asistencia jurídica y de orientación social a las familias carentes de recursos económicos, especialmente a las mujeres, menores, personas adultas mayores y personas con discapacidad, encaminadas a la protección y desarrollo integral de la familia;</w:t>
      </w:r>
    </w:p>
    <w:p w14:paraId="04333031" w14:textId="77777777" w:rsidR="00B2722B" w:rsidRPr="00E05D09" w:rsidRDefault="004425A1">
      <w:pPr>
        <w:ind w:left="567" w:right="539"/>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b/>
          <w:bCs/>
          <w:i/>
          <w:iCs/>
          <w:color w:val="000000"/>
        </w:rPr>
        <w:t>III.</w:t>
      </w:r>
      <w:r w:rsidRPr="00E05D09">
        <w:rPr>
          <w:rFonts w:ascii="Palatino Linotype" w:eastAsia="Palatino Linotype" w:hAnsi="Palatino Linotype" w:cs="Palatino Linotype"/>
          <w:i/>
          <w:iCs/>
          <w:color w:val="000000"/>
        </w:rPr>
        <w:t xml:space="preserve"> </w:t>
      </w:r>
      <w:r w:rsidRPr="00E05D09">
        <w:rPr>
          <w:rFonts w:ascii="Palatino Linotype" w:eastAsia="Palatino Linotype" w:hAnsi="Palatino Linotype" w:cs="Palatino Linotype"/>
          <w:i/>
          <w:iCs/>
        </w:rPr>
        <w:t>Otorgar servicios de rehabilitación integral y capacitación laboral a personas con discapacidad, a fin de que se integren a la vida productiva;</w:t>
      </w:r>
    </w:p>
    <w:p w14:paraId="3ACC7189"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color w:val="000000"/>
        </w:rPr>
        <w:t>IV.</w:t>
      </w:r>
      <w:r w:rsidRPr="00E05D09">
        <w:rPr>
          <w:rFonts w:ascii="Palatino Linotype" w:eastAsia="Palatino Linotype" w:hAnsi="Palatino Linotype" w:cs="Palatino Linotype"/>
          <w:i/>
          <w:iCs/>
          <w:color w:val="000000"/>
        </w:rPr>
        <w:t xml:space="preserve"> </w:t>
      </w:r>
      <w:r w:rsidRPr="00E05D09">
        <w:rPr>
          <w:rFonts w:ascii="Palatino Linotype" w:eastAsia="Palatino Linotype" w:hAnsi="Palatino Linotype" w:cs="Palatino Linotype"/>
          <w:i/>
          <w:iCs/>
        </w:rPr>
        <w:t>Conceder servicios de estancia infantil para el cuidado temporal de niñas y niños, donde se les brinde alimentación y educación, en los casos que sus familiares se encuentren imposibilitados para atenderlos, así como a hijos de padres trabajadores, hijos de madres solteras, en tanto ellos trabajan fuera de casa, dando prioridad a las familias de escasos recursos, previo estudio socioeconómico; y acorde con los lineamientos para la operación de las estancias infantiles de los Sistemas Municipales DIF;</w:t>
      </w:r>
    </w:p>
    <w:p w14:paraId="502C7547" w14:textId="77777777" w:rsidR="00B2722B" w:rsidRPr="00E05D09" w:rsidRDefault="004425A1">
      <w:pPr>
        <w:ind w:left="567" w:right="539"/>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b/>
          <w:bCs/>
          <w:i/>
          <w:iCs/>
        </w:rPr>
        <w:t>V.</w:t>
      </w:r>
      <w:r w:rsidRPr="00E05D09">
        <w:rPr>
          <w:rFonts w:ascii="Palatino Linotype" w:eastAsia="Palatino Linotype" w:hAnsi="Palatino Linotype" w:cs="Palatino Linotype"/>
          <w:i/>
          <w:iCs/>
        </w:rPr>
        <w:t xml:space="preserve"> Establecer convenios con Instituciones Federales, Estatales, Municipales o de asistencia privada, para la canalización de niñas, niños y adolescentes y personas adultas mayores, que el Sistema Municipal para el Desarrollo Integral de la Familia tenga bajo su cuidado, así como de las personas con discapacidad en materia de educación y trabajo, para mejorar sus condiciones de vida;</w:t>
      </w:r>
    </w:p>
    <w:p w14:paraId="549BFCD5"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color w:val="000000"/>
        </w:rPr>
        <w:t>VI.</w:t>
      </w:r>
      <w:r w:rsidRPr="00E05D09">
        <w:rPr>
          <w:rFonts w:ascii="Palatino Linotype" w:eastAsia="Palatino Linotype" w:hAnsi="Palatino Linotype" w:cs="Palatino Linotype"/>
          <w:i/>
          <w:iCs/>
          <w:color w:val="000000"/>
        </w:rPr>
        <w:t xml:space="preserve"> </w:t>
      </w:r>
      <w:r w:rsidRPr="00E05D09">
        <w:rPr>
          <w:rFonts w:ascii="Palatino Linotype" w:eastAsia="Palatino Linotype" w:hAnsi="Palatino Linotype" w:cs="Palatino Linotype"/>
          <w:i/>
          <w:iCs/>
        </w:rPr>
        <w:t>Promover ante las autoridades e instituciones correspondientes, programas encaminados a la construcción y adecuación de espacios físicos que permitan el libre tránsito de las personas con discapacidad, en la vía pública e interiores de los inmuebles, especialmente en las instalaciones sanitarias y en general,</w:t>
      </w:r>
    </w:p>
    <w:p w14:paraId="7F3F61A0"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lastRenderedPageBreak/>
        <w:t>VII.</w:t>
      </w:r>
      <w:r w:rsidRPr="00E05D09">
        <w:rPr>
          <w:rFonts w:ascii="Palatino Linotype" w:eastAsia="Palatino Linotype" w:hAnsi="Palatino Linotype" w:cs="Palatino Linotype"/>
          <w:i/>
          <w:iCs/>
        </w:rPr>
        <w:t xml:space="preserve"> Dar servicios para la integración, bienestar familiar y asistencia psicológica, de trabajo social, jurídica y médica para las víctimas de maltrato familiar en cualquiera de sus modalidades; </w:t>
      </w:r>
    </w:p>
    <w:p w14:paraId="3D9126B2" w14:textId="77777777" w:rsidR="00B2722B" w:rsidRPr="00E05D09" w:rsidRDefault="004425A1">
      <w:pPr>
        <w:ind w:left="567" w:right="539"/>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b/>
          <w:bCs/>
          <w:i/>
          <w:iCs/>
        </w:rPr>
        <w:t xml:space="preserve">VIII. </w:t>
      </w:r>
      <w:r w:rsidRPr="00E05D09">
        <w:rPr>
          <w:rFonts w:ascii="Palatino Linotype" w:eastAsia="Palatino Linotype" w:hAnsi="Palatino Linotype" w:cs="Palatino Linotype"/>
          <w:i/>
          <w:iCs/>
        </w:rPr>
        <w:t>En asistencia y orientación social, se prestará orientación nutricional y de salud, consulta psicológica y servicios funerarios a familias de escasos recursos;</w:t>
      </w:r>
    </w:p>
    <w:p w14:paraId="04863FFA" w14:textId="77777777" w:rsidR="00B2722B" w:rsidRPr="00E05D09" w:rsidRDefault="004425A1">
      <w:pPr>
        <w:ind w:left="567" w:right="539"/>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b/>
          <w:bCs/>
          <w:i/>
          <w:iCs/>
          <w:color w:val="000000"/>
        </w:rPr>
        <w:t>IX.</w:t>
      </w:r>
      <w:r w:rsidRPr="00E05D09">
        <w:rPr>
          <w:rFonts w:ascii="Palatino Linotype" w:eastAsia="Palatino Linotype" w:hAnsi="Palatino Linotype" w:cs="Palatino Linotype"/>
          <w:i/>
          <w:iCs/>
          <w:color w:val="000000"/>
        </w:rPr>
        <w:t xml:space="preserve"> </w:t>
      </w:r>
      <w:r w:rsidRPr="00E05D09">
        <w:rPr>
          <w:rFonts w:ascii="Palatino Linotype" w:eastAsia="Palatino Linotype" w:hAnsi="Palatino Linotype" w:cs="Palatino Linotype"/>
          <w:i/>
          <w:iCs/>
        </w:rPr>
        <w:t>En el caso de niñas, niños en estado de abandono y desamparo, el Sistema Municipal para el DIF llevará a cabo el procedimiento para la canalización a la estancia correspondiente;</w:t>
      </w:r>
    </w:p>
    <w:p w14:paraId="2D510DF9"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color w:val="000000"/>
        </w:rPr>
        <w:t>X.</w:t>
      </w:r>
      <w:r w:rsidRPr="00E05D09">
        <w:rPr>
          <w:rFonts w:ascii="Palatino Linotype" w:eastAsia="Palatino Linotype" w:hAnsi="Palatino Linotype" w:cs="Palatino Linotype"/>
          <w:i/>
          <w:iCs/>
          <w:color w:val="000000"/>
        </w:rPr>
        <w:t xml:space="preserve"> </w:t>
      </w:r>
      <w:r w:rsidRPr="00E05D09">
        <w:rPr>
          <w:rFonts w:ascii="Palatino Linotype" w:eastAsia="Palatino Linotype" w:hAnsi="Palatino Linotype" w:cs="Palatino Linotype"/>
          <w:i/>
          <w:iCs/>
        </w:rPr>
        <w:t>Participar en auxilio de los damnificados en caso de desastre, coadyuvando con las instancias correspondientes;</w:t>
      </w:r>
    </w:p>
    <w:p w14:paraId="1991CD1F"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XI.</w:t>
      </w:r>
      <w:r w:rsidRPr="00E05D09">
        <w:rPr>
          <w:rFonts w:ascii="Palatino Linotype" w:eastAsia="Palatino Linotype" w:hAnsi="Palatino Linotype" w:cs="Palatino Linotype"/>
          <w:i/>
          <w:iCs/>
        </w:rPr>
        <w:t xml:space="preserve"> Fomentar en la niñez los sentimientos de amor y apego a la familia, de respeto a la sociedad y de interés por nuestra herencia histórica;</w:t>
      </w:r>
    </w:p>
    <w:p w14:paraId="0976D291"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XII.</w:t>
      </w:r>
      <w:r w:rsidRPr="00E05D09">
        <w:rPr>
          <w:rFonts w:ascii="Palatino Linotype" w:eastAsia="Palatino Linotype" w:hAnsi="Palatino Linotype" w:cs="Palatino Linotype"/>
          <w:i/>
          <w:iCs/>
        </w:rPr>
        <w:t xml:space="preserve"> Auxiliar al Ministerio Público en la protección de las personas, en los procedimientos civiles y familiares que les afecten de acuerdo con la Ley;</w:t>
      </w:r>
    </w:p>
    <w:p w14:paraId="2E78AFE9"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XIII.</w:t>
      </w:r>
      <w:r w:rsidRPr="00E05D09">
        <w:rPr>
          <w:rFonts w:ascii="Palatino Linotype" w:eastAsia="Palatino Linotype" w:hAnsi="Palatino Linotype" w:cs="Palatino Linotype"/>
          <w:i/>
          <w:iCs/>
        </w:rPr>
        <w:t xml:space="preserve"> Capacitación de la mujer en materia de nutrición, higiene, manualidades remunerativas, educación extraescolar y actividades que beneficien la economía en el hogar;</w:t>
      </w:r>
    </w:p>
    <w:p w14:paraId="67015010"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XIV.</w:t>
      </w:r>
      <w:r w:rsidRPr="00E05D09">
        <w:rPr>
          <w:rFonts w:ascii="Palatino Linotype" w:eastAsia="Palatino Linotype" w:hAnsi="Palatino Linotype" w:cs="Palatino Linotype"/>
          <w:i/>
          <w:iCs/>
        </w:rPr>
        <w:t xml:space="preserve"> Promover la difusión de los programas del DIFEM a cargo del Sistema Municipal, efectuando trabajos de campo con grupos vulnerables del municipio; </w:t>
      </w:r>
    </w:p>
    <w:p w14:paraId="38696E86"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XV.</w:t>
      </w:r>
      <w:r w:rsidRPr="00E05D09">
        <w:rPr>
          <w:rFonts w:ascii="Palatino Linotype" w:eastAsia="Palatino Linotype" w:hAnsi="Palatino Linotype" w:cs="Palatino Linotype"/>
          <w:i/>
          <w:iCs/>
        </w:rPr>
        <w:t xml:space="preserve"> Realizar estudios, así como formular estadísticas sobre los problemas de la familia, de las niñas, niños y adolescentes, personas adultas mayores y de las personas con discapacidad, promoviendo su rehabilitación;</w:t>
      </w:r>
    </w:p>
    <w:p w14:paraId="3FC1D60F"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XVI.</w:t>
      </w:r>
      <w:r w:rsidRPr="00E05D09">
        <w:rPr>
          <w:rFonts w:ascii="Palatino Linotype" w:eastAsia="Palatino Linotype" w:hAnsi="Palatino Linotype" w:cs="Palatino Linotype"/>
          <w:i/>
          <w:iCs/>
        </w:rPr>
        <w:t xml:space="preserve"> Programar actividades permanentes de prevención de accidentes en el hogar, en la escuela y en la vía pública;</w:t>
      </w:r>
    </w:p>
    <w:p w14:paraId="0A3DCCF4"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XVII.</w:t>
      </w:r>
      <w:r w:rsidRPr="00E05D09">
        <w:rPr>
          <w:rFonts w:ascii="Palatino Linotype" w:eastAsia="Palatino Linotype" w:hAnsi="Palatino Linotype" w:cs="Palatino Linotype"/>
          <w:i/>
          <w:iCs/>
        </w:rPr>
        <w:t xml:space="preserve"> Hacer llegar a las familias de escasos recursos, productos alimentarios básicos y artículos necesarios provenientes de programas Federales, Estatales, Municipales;</w:t>
      </w:r>
    </w:p>
    <w:p w14:paraId="7FEC5566"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XVIII.</w:t>
      </w:r>
      <w:r w:rsidRPr="00E05D09">
        <w:rPr>
          <w:rFonts w:ascii="Palatino Linotype" w:eastAsia="Palatino Linotype" w:hAnsi="Palatino Linotype" w:cs="Palatino Linotype"/>
          <w:i/>
          <w:iCs/>
        </w:rPr>
        <w:t xml:space="preserve"> Aplicar programas para la integración social y prevención del alcoholismo y drogadicción; y</w:t>
      </w:r>
    </w:p>
    <w:p w14:paraId="28952311" w14:textId="77777777" w:rsidR="00B2722B" w:rsidRPr="00E05D09" w:rsidRDefault="004425A1">
      <w:pPr>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XIX.</w:t>
      </w:r>
      <w:r w:rsidRPr="00E05D09">
        <w:rPr>
          <w:rFonts w:ascii="Palatino Linotype" w:eastAsia="Palatino Linotype" w:hAnsi="Palatino Linotype" w:cs="Palatino Linotype"/>
          <w:i/>
          <w:iCs/>
        </w:rPr>
        <w:t xml:space="preserve"> Las demás que le encomienden las disposiciones jurídicas aplicables.</w:t>
      </w:r>
    </w:p>
    <w:p w14:paraId="7C6F0423" w14:textId="77777777" w:rsidR="00B2722B" w:rsidRPr="00E05D09" w:rsidRDefault="00B2722B">
      <w:pPr>
        <w:spacing w:line="360" w:lineRule="auto"/>
        <w:jc w:val="both"/>
        <w:rPr>
          <w:rFonts w:ascii="Palatino Linotype" w:eastAsia="Palatino Linotype" w:hAnsi="Palatino Linotype" w:cs="Palatino Linotype"/>
        </w:rPr>
      </w:pPr>
    </w:p>
    <w:p w14:paraId="49FE9F10"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color w:val="000000"/>
        </w:rPr>
        <w:t>Con lo anterior, se vislumbran las múltiples actividades que realiza el Sistema Municipal para el Desarrollo Integral de la Familia de Tianguistenco, a través de las distintas Unidades Administrativas que fueron enunciada en líneas anteriores, lo que advierte que genera diversa documentación respecto a las actividades realizadas, por las Unidades Administrativas de las que se requiere la información; sin embargo omitió pronunciarse al respecto.</w:t>
      </w:r>
    </w:p>
    <w:p w14:paraId="665DA919"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color w:val="000000"/>
        </w:rPr>
        <w:lastRenderedPageBreak/>
        <w:t>Así mismo, el artículo 13 Bis-E.- de la ley que crea los Organismos Públicos Descentralizados de Asistencia Social, de carácter municipal, denominados "Sistemas Municipales para el Desarrollo Integral de la Familia", nos establece como atribuciones de la Presidencia las siguientes:</w:t>
      </w:r>
    </w:p>
    <w:p w14:paraId="322D203D" w14:textId="77777777" w:rsidR="00B2722B" w:rsidRPr="00E05D09" w:rsidRDefault="004425A1">
      <w:pPr>
        <w:pBdr>
          <w:top w:val="nil"/>
          <w:left w:val="nil"/>
          <w:bottom w:val="nil"/>
          <w:right w:val="nil"/>
          <w:between w:val="nil"/>
        </w:pBdr>
        <w:ind w:left="567"/>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color w:val="000000"/>
        </w:rPr>
        <w:t>(…)</w:t>
      </w:r>
    </w:p>
    <w:p w14:paraId="083A9D2E" w14:textId="77777777" w:rsidR="00B2722B" w:rsidRPr="00E05D09" w:rsidRDefault="004425A1">
      <w:pPr>
        <w:pBdr>
          <w:top w:val="nil"/>
          <w:left w:val="nil"/>
          <w:bottom w:val="nil"/>
          <w:right w:val="nil"/>
          <w:between w:val="nil"/>
        </w:pBdr>
        <w:ind w:left="567"/>
        <w:jc w:val="both"/>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t xml:space="preserve">IV. Proponer a la Junta de Gobierno el Reglamento Interno del Organismo y sus modificaciones; así como los </w:t>
      </w:r>
      <w:r w:rsidRPr="00E05D09">
        <w:rPr>
          <w:rFonts w:ascii="Palatino Linotype" w:eastAsia="Palatino Linotype" w:hAnsi="Palatino Linotype" w:cs="Palatino Linotype"/>
          <w:b/>
          <w:bCs/>
          <w:i/>
          <w:iCs/>
          <w:u w:val="single"/>
        </w:rPr>
        <w:t>manuales de organización, de procedimientos y de servicios</w:t>
      </w:r>
      <w:r w:rsidRPr="00E05D09">
        <w:rPr>
          <w:rFonts w:ascii="Palatino Linotype" w:eastAsia="Palatino Linotype" w:hAnsi="Palatino Linotype" w:cs="Palatino Linotype"/>
          <w:b/>
          <w:bCs/>
          <w:i/>
          <w:iCs/>
        </w:rPr>
        <w:t xml:space="preserve"> al público;</w:t>
      </w:r>
    </w:p>
    <w:p w14:paraId="4BAC9918" w14:textId="77777777" w:rsidR="00B2722B" w:rsidRPr="00E05D09" w:rsidRDefault="00B2722B">
      <w:pPr>
        <w:pBdr>
          <w:top w:val="nil"/>
          <w:left w:val="nil"/>
          <w:bottom w:val="nil"/>
          <w:right w:val="nil"/>
          <w:between w:val="nil"/>
        </w:pBdr>
        <w:ind w:left="567"/>
        <w:jc w:val="both"/>
        <w:rPr>
          <w:rFonts w:ascii="Palatino Linotype" w:eastAsia="Palatino Linotype" w:hAnsi="Palatino Linotype" w:cs="Palatino Linotype"/>
          <w:i/>
          <w:iCs/>
        </w:rPr>
      </w:pPr>
    </w:p>
    <w:p w14:paraId="377A0E14" w14:textId="77777777" w:rsidR="00B2722B" w:rsidRPr="00E05D09" w:rsidRDefault="004425A1">
      <w:pPr>
        <w:pBdr>
          <w:top w:val="nil"/>
          <w:left w:val="nil"/>
          <w:bottom w:val="nil"/>
          <w:right w:val="nil"/>
          <w:between w:val="nil"/>
        </w:pBdr>
        <w:ind w:left="567"/>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rPr>
        <w:t>X. Presentar a la Junta de Gobierno los proyectos de presupuestos, informes de actividades y de estados financieros anuales para su aprobación;</w:t>
      </w:r>
    </w:p>
    <w:p w14:paraId="607ADF5E" w14:textId="77777777" w:rsidR="00B2722B" w:rsidRPr="00E05D09" w:rsidRDefault="004425A1">
      <w:pPr>
        <w:pBdr>
          <w:top w:val="nil"/>
          <w:left w:val="nil"/>
          <w:bottom w:val="nil"/>
          <w:right w:val="nil"/>
          <w:between w:val="nil"/>
        </w:pBdr>
        <w:ind w:left="567"/>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color w:val="000000"/>
        </w:rPr>
        <w:t>(…)</w:t>
      </w:r>
    </w:p>
    <w:p w14:paraId="64D80BA3" w14:textId="77777777" w:rsidR="00B2722B" w:rsidRPr="00E05D09" w:rsidRDefault="004425A1">
      <w:pPr>
        <w:pBdr>
          <w:top w:val="nil"/>
          <w:left w:val="nil"/>
          <w:bottom w:val="nil"/>
          <w:right w:val="nil"/>
          <w:between w:val="nil"/>
        </w:pBdr>
        <w:ind w:left="567"/>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rPr>
        <w:t>XIII. Rendir los informes que la Junta de Gobierno le solicite;</w:t>
      </w:r>
    </w:p>
    <w:p w14:paraId="4F435B08" w14:textId="77777777" w:rsidR="00B2722B" w:rsidRPr="00E05D09" w:rsidRDefault="004425A1">
      <w:pPr>
        <w:pBdr>
          <w:top w:val="nil"/>
          <w:left w:val="nil"/>
          <w:bottom w:val="nil"/>
          <w:right w:val="nil"/>
          <w:between w:val="nil"/>
        </w:pBdr>
        <w:ind w:left="567"/>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color w:val="000000"/>
        </w:rPr>
        <w:t>(…)</w:t>
      </w:r>
    </w:p>
    <w:p w14:paraId="6608348B" w14:textId="77777777" w:rsidR="00B2722B" w:rsidRPr="00E05D09" w:rsidRDefault="004425A1">
      <w:pPr>
        <w:pBdr>
          <w:top w:val="nil"/>
          <w:left w:val="nil"/>
          <w:bottom w:val="nil"/>
          <w:right w:val="nil"/>
          <w:between w:val="nil"/>
        </w:pBdr>
        <w:ind w:left="567"/>
        <w:jc w:val="both"/>
        <w:rPr>
          <w:rFonts w:ascii="Palatino Linotype" w:eastAsia="Palatino Linotype" w:hAnsi="Palatino Linotype" w:cs="Palatino Linotype"/>
          <w:b/>
          <w:bCs/>
          <w:i/>
          <w:iCs/>
          <w:u w:val="single"/>
        </w:rPr>
      </w:pPr>
      <w:r w:rsidRPr="00E05D09">
        <w:rPr>
          <w:rFonts w:ascii="Palatino Linotype" w:eastAsia="Palatino Linotype" w:hAnsi="Palatino Linotype" w:cs="Palatino Linotype"/>
          <w:b/>
          <w:bCs/>
          <w:i/>
          <w:iCs/>
          <w:u w:val="single"/>
        </w:rPr>
        <w:t>XV. Pedir y recibir los informes que requiera del personal del Organismo;</w:t>
      </w:r>
    </w:p>
    <w:p w14:paraId="63D4B540" w14:textId="77777777" w:rsidR="00B2722B" w:rsidRPr="00E05D09" w:rsidRDefault="004425A1">
      <w:pPr>
        <w:pBdr>
          <w:top w:val="nil"/>
          <w:left w:val="nil"/>
          <w:bottom w:val="nil"/>
          <w:right w:val="nil"/>
          <w:between w:val="nil"/>
        </w:pBdr>
        <w:ind w:left="567"/>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i/>
          <w:iCs/>
        </w:rPr>
        <w:t>(…)</w:t>
      </w:r>
    </w:p>
    <w:p w14:paraId="723A42A5"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p>
    <w:p w14:paraId="401BB172"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De lo antes descrito se vislumbra que Presidencia, presenta informe de actividades a la Junta de Gobierno para su aprobación, por tanto solicita y recibe informes de las diversas Unidades Administrativas; lo que advierte que cuenta con la información requerida por el particular; ello aunado a que propone a la misma Junta los manuales de organización, de procedimientos y de servicios al público; así como los protocolos de actuación, por lo que resulta dable ordenar la entrega de la información.</w:t>
      </w:r>
    </w:p>
    <w:p w14:paraId="017345D9"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p>
    <w:p w14:paraId="3E4B4ABB" w14:textId="77777777" w:rsidR="00B2722B" w:rsidRPr="00E05D09" w:rsidRDefault="004425A1">
      <w:pPr>
        <w:numPr>
          <w:ilvl w:val="0"/>
          <w:numId w:val="16"/>
        </w:numPr>
        <w:pBdr>
          <w:top w:val="nil"/>
          <w:left w:val="nil"/>
          <w:bottom w:val="nil"/>
          <w:right w:val="nil"/>
          <w:between w:val="nil"/>
        </w:pBdr>
        <w:spacing w:line="360" w:lineRule="auto"/>
        <w:jc w:val="both"/>
        <w:rPr>
          <w:rFonts w:ascii="Palatino Linotype" w:eastAsia="Palatino Linotype" w:hAnsi="Palatino Linotype" w:cs="Palatino Linotype"/>
          <w:b/>
          <w:bCs/>
          <w:i/>
          <w:iCs/>
          <w:color w:val="000000"/>
        </w:rPr>
      </w:pPr>
      <w:r w:rsidRPr="00E05D09">
        <w:rPr>
          <w:rFonts w:ascii="Palatino Linotype" w:eastAsia="Palatino Linotype" w:hAnsi="Palatino Linotype" w:cs="Palatino Linotype"/>
          <w:b/>
          <w:bCs/>
          <w:color w:val="000000"/>
        </w:rPr>
        <w:t xml:space="preserve">Punto 62 del Cuadro Comparativo </w:t>
      </w:r>
    </w:p>
    <w:p w14:paraId="403B564A"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Al respecto es de suma importancia precisar que cualquier persona tiene el derecho al acceso de la información pública, información que consiste en aquella que sea generada, obtenida, adquirida, transformada, administrada o en posesión de los Sujetos Obligados, como </w:t>
      </w:r>
      <w:r w:rsidRPr="00E05D09">
        <w:rPr>
          <w:rFonts w:ascii="Palatino Linotype" w:eastAsia="Palatino Linotype" w:hAnsi="Palatino Linotype" w:cs="Palatino Linotype"/>
          <w:color w:val="000000"/>
        </w:rPr>
        <w:lastRenderedPageBreak/>
        <w:t>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F6A2236" w14:textId="77777777" w:rsidR="00B2722B" w:rsidRPr="00E05D09" w:rsidRDefault="004425A1">
      <w:pPr>
        <w:spacing w:before="240" w:after="240"/>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w:t>
      </w:r>
      <w:r w:rsidRPr="00E05D09">
        <w:rPr>
          <w:rFonts w:ascii="Palatino Linotype" w:eastAsia="Palatino Linotype" w:hAnsi="Palatino Linotype" w:cs="Palatino Linotype"/>
          <w:b/>
          <w:bCs/>
          <w:i/>
          <w:iCs/>
        </w:rPr>
        <w:t>Artículo 4</w:t>
      </w:r>
      <w:r w:rsidRPr="00E05D09">
        <w:rPr>
          <w:rFonts w:ascii="Palatino Linotype" w:eastAsia="Palatino Linotype" w:hAnsi="Palatino Linotype" w:cs="Palatino Linotype"/>
          <w:i/>
          <w:iCs/>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5AF3679" w14:textId="77777777" w:rsidR="00B2722B" w:rsidRPr="00E05D09" w:rsidRDefault="004425A1">
      <w:pPr>
        <w:spacing w:before="240" w:after="240"/>
        <w:ind w:left="708" w:right="539" w:hanging="141"/>
        <w:jc w:val="both"/>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vigente a la fecha de la solicitud,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DC9BD64" w14:textId="77777777" w:rsidR="00B2722B" w:rsidRPr="00E05D09" w:rsidRDefault="004425A1">
      <w:pPr>
        <w:spacing w:before="240" w:after="240"/>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Los sujetos obligados deben poner en práctica, políticas y programas de acceso a la información que se apeguen a criterios de publicidad, veracidad, oportunidad, precisión y suficiencia en beneficio de los solicitantes.”(Sic)</w:t>
      </w:r>
    </w:p>
    <w:p w14:paraId="0F735B5B" w14:textId="77777777" w:rsidR="00B2722B" w:rsidRPr="00E05D09" w:rsidRDefault="004425A1">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784641C" w14:textId="77777777" w:rsidR="00B2722B" w:rsidRPr="00E05D09" w:rsidRDefault="004425A1">
      <w:pPr>
        <w:spacing w:before="240" w:after="240"/>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lastRenderedPageBreak/>
        <w:t>“</w:t>
      </w:r>
      <w:r w:rsidRPr="00E05D09">
        <w:rPr>
          <w:rFonts w:ascii="Palatino Linotype" w:eastAsia="Palatino Linotype" w:hAnsi="Palatino Linotype" w:cs="Palatino Linotype"/>
          <w:b/>
          <w:bCs/>
          <w:i/>
          <w:iCs/>
        </w:rPr>
        <w:t>Artículo 12</w:t>
      </w:r>
      <w:r w:rsidRPr="00E05D09">
        <w:rPr>
          <w:rFonts w:ascii="Palatino Linotype" w:eastAsia="Palatino Linotype" w:hAnsi="Palatino Linotype" w:cs="Palatino Linotype"/>
          <w:i/>
          <w:iCs/>
        </w:rPr>
        <w:t xml:space="preserve">. Quienes generen, recopilen, administren, manejen, procesen, archiven o conserven información pública serán responsables de la misma en los términos de las disposiciones jurídicas aplicables. </w:t>
      </w:r>
    </w:p>
    <w:p w14:paraId="0D016CE7" w14:textId="77777777" w:rsidR="00B2722B" w:rsidRPr="00E05D09" w:rsidRDefault="004425A1">
      <w:pPr>
        <w:spacing w:before="240" w:after="240"/>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0ABB8E85" w14:textId="77777777" w:rsidR="00B2722B" w:rsidRPr="00E05D09" w:rsidRDefault="004425A1">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E05D09">
        <w:rPr>
          <w:rFonts w:ascii="Palatino Linotype" w:eastAsia="Palatino Linotype" w:hAnsi="Palatino Linotype" w:cs="Palatino Linotype"/>
          <w:b/>
          <w:bCs/>
          <w:color w:val="000000"/>
        </w:rPr>
        <w:t xml:space="preserve"> </w:t>
      </w:r>
      <w:r w:rsidRPr="00E05D09">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E05D09">
        <w:rPr>
          <w:rFonts w:ascii="Palatino Linotype" w:eastAsia="Palatino Linotype" w:hAnsi="Palatino Linotype" w:cs="Palatino Linotype"/>
          <w:i/>
          <w:iCs/>
          <w:color w:val="000000"/>
        </w:rPr>
        <w:t>ad hoc</w:t>
      </w:r>
      <w:r w:rsidRPr="00E05D09">
        <w:rPr>
          <w:rFonts w:ascii="Palatino Linotype" w:eastAsia="Palatino Linotype" w:hAnsi="Palatino Linotype" w:cs="Palatino Linotype"/>
          <w:color w:val="000000"/>
        </w:rPr>
        <w:t>, para satisfacer el derecho de acceso a la información pública, como así lo establece</w:t>
      </w:r>
      <w:r w:rsidRPr="00E05D09">
        <w:rPr>
          <w:rFonts w:ascii="Palatino Linotype" w:eastAsia="Palatino Linotype" w:hAnsi="Palatino Linotype" w:cs="Palatino Linotype"/>
          <w:strike/>
          <w:color w:val="FF0000"/>
        </w:rPr>
        <w:t xml:space="preserve"> </w:t>
      </w:r>
      <w:r w:rsidRPr="00E05D09">
        <w:rPr>
          <w:rFonts w:ascii="Palatino Linotype" w:eastAsia="Palatino Linotype" w:hAnsi="Palatino Linotype" w:cs="Palatino Linotype"/>
          <w:color w:val="000000"/>
        </w:rPr>
        <w:t>el criterio 03/17 emitido por el Instituto Nacional de Transparencia, Acceso a la Información Pública y Protección de Datos Personales, los cuales señalan lo siguiente:</w:t>
      </w:r>
    </w:p>
    <w:p w14:paraId="58574B6C" w14:textId="77777777" w:rsidR="00B2722B" w:rsidRPr="00E05D09" w:rsidRDefault="004425A1">
      <w:pPr>
        <w:spacing w:before="240" w:after="240"/>
        <w:ind w:left="567" w:right="539"/>
        <w:jc w:val="both"/>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t>03/17</w:t>
      </w:r>
    </w:p>
    <w:p w14:paraId="27F55689" w14:textId="77777777" w:rsidR="00B2722B" w:rsidRPr="00E05D09" w:rsidRDefault="004425A1">
      <w:pPr>
        <w:spacing w:before="240" w:after="240"/>
        <w:ind w:left="567" w:right="539"/>
        <w:jc w:val="both"/>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t>“NO EXISTE OBLIGACIÓN DE ELABORAR DOCUMENTOS AD HOC PARA ATENDER LAS SOLICITUDES DE ACCESO A LA INFORMACIÓN.</w:t>
      </w:r>
    </w:p>
    <w:p w14:paraId="0A05999E" w14:textId="77777777" w:rsidR="00B2722B" w:rsidRPr="00E05D09" w:rsidRDefault="004425A1">
      <w:pPr>
        <w:spacing w:before="240" w:after="240"/>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Los artículos 129 de la Ley General de Transparencia y Acceso a la Información Pública y 130, párrafo cuarto, vigente a la fecha de la solicitud,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13E2FFB1" w14:textId="77777777" w:rsidR="00B2722B" w:rsidRPr="00E05D09" w:rsidRDefault="004425A1">
      <w:pPr>
        <w:numPr>
          <w:ilvl w:val="0"/>
          <w:numId w:val="1"/>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lastRenderedPageBreak/>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677F31C"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2B6296D"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1601389" w14:textId="77777777" w:rsidR="00B2722B" w:rsidRPr="00E05D09" w:rsidRDefault="00B2722B">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3DDA5FE9" w14:textId="77777777" w:rsidR="00B2722B" w:rsidRPr="00E05D09" w:rsidRDefault="004425A1">
      <w:pPr>
        <w:numPr>
          <w:ilvl w:val="0"/>
          <w:numId w:val="1"/>
        </w:numPr>
        <w:pBdr>
          <w:top w:val="nil"/>
          <w:left w:val="nil"/>
          <w:bottom w:val="nil"/>
          <w:right w:val="nil"/>
          <w:between w:val="nil"/>
        </w:pBdr>
        <w:spacing w:after="240"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En conclusión, el derecho de acceso a la información pública, consiste en que la información solicitada conste en un documento en cualquiera de sus formas, a saber: expedientes, reportes, estudios, actas, resoluciones, </w:t>
      </w:r>
      <w:r w:rsidRPr="00E05D09">
        <w:rPr>
          <w:rFonts w:ascii="Palatino Linotype" w:eastAsia="Palatino Linotype" w:hAnsi="Palatino Linotype" w:cs="Palatino Linotype"/>
          <w:b/>
          <w:bCs/>
          <w:color w:val="000000"/>
          <w:u w:val="single"/>
        </w:rPr>
        <w:t>oficios</w:t>
      </w:r>
      <w:r w:rsidRPr="00E05D09">
        <w:rPr>
          <w:rFonts w:ascii="Palatino Linotype" w:eastAsia="Palatino Linotype" w:hAnsi="Palatino Linotype" w:cs="Palatino Linotype"/>
          <w:color w:val="000000"/>
        </w:rPr>
        <w:t xml:space="preserve">,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D9E521F" w14:textId="77777777" w:rsidR="00B2722B" w:rsidRPr="00E05D09" w:rsidRDefault="004425A1">
      <w:pPr>
        <w:spacing w:before="240" w:after="240"/>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w:t>
      </w:r>
      <w:r w:rsidRPr="00E05D09">
        <w:rPr>
          <w:rFonts w:ascii="Palatino Linotype" w:eastAsia="Palatino Linotype" w:hAnsi="Palatino Linotype" w:cs="Palatino Linotype"/>
          <w:b/>
          <w:bCs/>
          <w:i/>
          <w:iCs/>
        </w:rPr>
        <w:t xml:space="preserve">Artículo 3. </w:t>
      </w:r>
      <w:r w:rsidRPr="00E05D09">
        <w:rPr>
          <w:rFonts w:ascii="Palatino Linotype" w:eastAsia="Palatino Linotype" w:hAnsi="Palatino Linotype" w:cs="Palatino Linotype"/>
          <w:i/>
          <w:iCs/>
        </w:rPr>
        <w:t>Para los efectos de la presente Ley se entenderá por:</w:t>
      </w:r>
    </w:p>
    <w:p w14:paraId="3DC15F5B" w14:textId="77777777" w:rsidR="00B2722B" w:rsidRPr="00E05D09" w:rsidRDefault="004425A1">
      <w:pPr>
        <w:spacing w:before="240" w:after="240"/>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w:t>
      </w:r>
    </w:p>
    <w:p w14:paraId="3E73F5B5" w14:textId="77777777" w:rsidR="00B2722B" w:rsidRPr="00E05D09" w:rsidRDefault="004425A1">
      <w:pPr>
        <w:spacing w:before="240" w:after="240"/>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lastRenderedPageBreak/>
        <w:t>XI. Documento:</w:t>
      </w:r>
      <w:r w:rsidRPr="00E05D09">
        <w:rPr>
          <w:rFonts w:ascii="Palatino Linotype" w:eastAsia="Palatino Linotype" w:hAnsi="Palatino Linotype" w:cs="Palatino Linotype"/>
          <w:i/>
          <w:iCs/>
        </w:rPr>
        <w:t xml:space="preserve"> Los expedientes, reportes, estudios, </w:t>
      </w:r>
      <w:r w:rsidRPr="00E05D09">
        <w:rPr>
          <w:rFonts w:ascii="Palatino Linotype" w:eastAsia="Palatino Linotype" w:hAnsi="Palatino Linotype" w:cs="Palatino Linotype"/>
          <w:b/>
          <w:bCs/>
          <w:i/>
          <w:iCs/>
        </w:rPr>
        <w:t>actas,</w:t>
      </w:r>
      <w:r w:rsidRPr="00E05D09">
        <w:rPr>
          <w:rFonts w:ascii="Palatino Linotype" w:eastAsia="Palatino Linotype" w:hAnsi="Palatino Linotype" w:cs="Palatino Linotype"/>
          <w:i/>
          <w:iCs/>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E05D09">
        <w:rPr>
          <w:rFonts w:ascii="Palatino Linotype" w:eastAsia="Palatino Linotype" w:hAnsi="Palatino Linotype" w:cs="Palatino Linotype"/>
          <w:b/>
          <w:bCs/>
          <w:i/>
          <w:iCs/>
        </w:rPr>
        <w:t>…</w:t>
      </w:r>
      <w:r w:rsidRPr="00E05D09">
        <w:rPr>
          <w:rFonts w:ascii="Palatino Linotype" w:eastAsia="Palatino Linotype" w:hAnsi="Palatino Linotype" w:cs="Palatino Linotype"/>
          <w:i/>
          <w:iCs/>
        </w:rPr>
        <w:t>” (Sic)</w:t>
      </w:r>
    </w:p>
    <w:p w14:paraId="01A5FDD2" w14:textId="77777777" w:rsidR="00B2722B" w:rsidRPr="00E05D09" w:rsidRDefault="004425A1">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8070554" w14:textId="77777777" w:rsidR="00B2722B" w:rsidRPr="00E05D09" w:rsidRDefault="004425A1">
      <w:pPr>
        <w:spacing w:before="240" w:after="240"/>
        <w:ind w:left="567" w:right="539"/>
        <w:jc w:val="both"/>
        <w:rPr>
          <w:rFonts w:ascii="Palatino Linotype" w:eastAsia="Palatino Linotype" w:hAnsi="Palatino Linotype" w:cs="Palatino Linotype"/>
          <w:b/>
          <w:bCs/>
          <w:i/>
          <w:iCs/>
        </w:rPr>
      </w:pPr>
      <w:r w:rsidRPr="00E05D09">
        <w:rPr>
          <w:rFonts w:ascii="Palatino Linotype" w:eastAsia="Palatino Linotype" w:hAnsi="Palatino Linotype" w:cs="Palatino Linotype"/>
          <w:b/>
          <w:bCs/>
        </w:rPr>
        <w:t>“</w:t>
      </w:r>
      <w:r w:rsidRPr="00E05D09">
        <w:rPr>
          <w:rFonts w:ascii="Palatino Linotype" w:eastAsia="Palatino Linotype" w:hAnsi="Palatino Linotype" w:cs="Palatino Linotype"/>
          <w:b/>
          <w:bCs/>
          <w:i/>
          <w:iCs/>
        </w:rPr>
        <w:t>CRITERIO 0002-11</w:t>
      </w:r>
    </w:p>
    <w:p w14:paraId="20644F85" w14:textId="77777777" w:rsidR="00B2722B" w:rsidRPr="00E05D09" w:rsidRDefault="004425A1">
      <w:pPr>
        <w:spacing w:before="240" w:after="240"/>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b/>
          <w:bCs/>
          <w:i/>
          <w:iCs/>
        </w:rPr>
        <w:t>INFORMACIÓN PÚBLICA, CONCEPTO DE, EN MATERIA DE TRANSPARENCIA. INTERPRETACIÓN SISTEMÁTICA DE LOS ARTÍCULOS 2°, FRACCIÓN V, XV, Y XVI, 3°, 4°, 11 Y 41.</w:t>
      </w:r>
      <w:r w:rsidRPr="00E05D09">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34B64C1" w14:textId="77777777" w:rsidR="00B2722B" w:rsidRPr="00E05D09" w:rsidRDefault="004425A1">
      <w:pPr>
        <w:spacing w:before="240" w:after="240"/>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En consecuencia el acceso a la información se refiere a que se cumplan cualquiera de los siguientes tres supuestos:</w:t>
      </w:r>
    </w:p>
    <w:p w14:paraId="3E6505DF" w14:textId="77777777" w:rsidR="00B2722B" w:rsidRPr="00E05D09" w:rsidRDefault="004425A1">
      <w:pPr>
        <w:numPr>
          <w:ilvl w:val="0"/>
          <w:numId w:val="25"/>
        </w:numPr>
        <w:spacing w:before="240" w:after="240"/>
        <w:ind w:left="567" w:right="539"/>
        <w:jc w:val="both"/>
        <w:rPr>
          <w:rFonts w:ascii="Palatino Linotype" w:eastAsia="Palatino Linotype" w:hAnsi="Palatino Linotype" w:cs="Palatino Linotype"/>
          <w:b/>
          <w:bCs/>
          <w:i/>
          <w:iCs/>
        </w:rPr>
      </w:pPr>
      <w:r w:rsidRPr="00E05D09">
        <w:rPr>
          <w:rFonts w:ascii="Palatino Linotype" w:eastAsia="Palatino Linotype" w:hAnsi="Palatino Linotype" w:cs="Palatino Linotype"/>
          <w:b/>
          <w:bCs/>
          <w:i/>
          <w:iCs/>
        </w:rPr>
        <w:t>Que se trate de información registrada en cualquier soporte documental, que en ejercicio de las atribuciones conferidas, sea generada por los Sujetos Obligados;</w:t>
      </w:r>
    </w:p>
    <w:p w14:paraId="449F19F9" w14:textId="77777777" w:rsidR="00B2722B" w:rsidRPr="00E05D09" w:rsidRDefault="004425A1">
      <w:pPr>
        <w:numPr>
          <w:ilvl w:val="0"/>
          <w:numId w:val="25"/>
        </w:numPr>
        <w:spacing w:before="240" w:after="240"/>
        <w:ind w:left="567" w:right="539"/>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Que se trate de información registrada en cualquier soporte documental, que en ejercicio de las atribuciones conferidas, sea administrada por los Sujetos Obligados, y</w:t>
      </w:r>
    </w:p>
    <w:p w14:paraId="26B436C2" w14:textId="77777777" w:rsidR="00B2722B" w:rsidRPr="00E05D09" w:rsidRDefault="004425A1">
      <w:pPr>
        <w:spacing w:before="240" w:after="240"/>
        <w:ind w:left="567" w:right="539" w:hanging="284"/>
        <w:jc w:val="both"/>
        <w:rPr>
          <w:rFonts w:ascii="Palatino Linotype" w:eastAsia="Palatino Linotype" w:hAnsi="Palatino Linotype" w:cs="Palatino Linotype"/>
          <w:i/>
          <w:iCs/>
        </w:rPr>
      </w:pPr>
      <w:r w:rsidRPr="00E05D09">
        <w:rPr>
          <w:rFonts w:ascii="Palatino Linotype" w:eastAsia="Palatino Linotype" w:hAnsi="Palatino Linotype" w:cs="Palatino Linotype"/>
          <w:i/>
          <w:iCs/>
        </w:rPr>
        <w:t>3) Que se trate de información registrada en cualquier soporte documental, que en ejercicio de las atribuciones conferidas, se encuentre en posesión de los Sujetos Obligados.” (Sic)</w:t>
      </w:r>
    </w:p>
    <w:p w14:paraId="6AA56706" w14:textId="77777777" w:rsidR="00B2722B"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lastRenderedPageBreak/>
        <w:t xml:space="preserve">De ahí que </w:t>
      </w:r>
      <w:r w:rsidRPr="00E05D09">
        <w:rPr>
          <w:rFonts w:ascii="Palatino Linotype" w:eastAsia="Palatino Linotype" w:hAnsi="Palatino Linotype" w:cs="Palatino Linotype"/>
          <w:b/>
          <w:bCs/>
          <w:color w:val="000000"/>
        </w:rPr>
        <w:t>EL</w:t>
      </w:r>
      <w:r w:rsidRPr="00E05D09">
        <w:rPr>
          <w:rFonts w:ascii="Palatino Linotype" w:eastAsia="Palatino Linotype" w:hAnsi="Palatino Linotype" w:cs="Palatino Linotype"/>
          <w:color w:val="000000"/>
        </w:rPr>
        <w:t xml:space="preserve"> </w:t>
      </w:r>
      <w:r w:rsidRPr="00E05D09">
        <w:rPr>
          <w:rFonts w:ascii="Palatino Linotype" w:eastAsia="Palatino Linotype" w:hAnsi="Palatino Linotype" w:cs="Palatino Linotype"/>
          <w:b/>
          <w:bCs/>
          <w:color w:val="000000"/>
        </w:rPr>
        <w:t>SUJETO OBLIGADO</w:t>
      </w:r>
      <w:r w:rsidRPr="00E05D09">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E05D09">
        <w:rPr>
          <w:rFonts w:ascii="Palatino Linotype" w:eastAsia="Palatino Linotype" w:hAnsi="Palatino Linotype" w:cs="Palatino Linotype"/>
          <w:color w:val="000000"/>
          <w:vertAlign w:val="superscript"/>
        </w:rPr>
        <w:footnoteReference w:id="11"/>
      </w:r>
      <w:r w:rsidRPr="00E05D09">
        <w:rPr>
          <w:rFonts w:ascii="Palatino Linotype" w:eastAsia="Palatino Linotype" w:hAnsi="Palatino Linotype" w:cs="Palatino Linotype"/>
          <w:color w:val="000000"/>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E05D09">
        <w:rPr>
          <w:rFonts w:ascii="Palatino Linotype" w:eastAsia="Palatino Linotype" w:hAnsi="Palatino Linotype" w:cs="Palatino Linotype"/>
          <w:color w:val="000000"/>
          <w:vertAlign w:val="superscript"/>
        </w:rPr>
        <w:footnoteReference w:id="12"/>
      </w:r>
      <w:r w:rsidRPr="00E05D09">
        <w:rPr>
          <w:rFonts w:ascii="Palatino Linotype" w:eastAsia="Palatino Linotype" w:hAnsi="Palatino Linotype" w:cs="Palatino Linotype"/>
          <w:color w:val="000000"/>
        </w:rPr>
        <w:t>.</w:t>
      </w:r>
    </w:p>
    <w:p w14:paraId="33D3DD4C" w14:textId="77777777" w:rsidR="00E05D09" w:rsidRPr="00E05D09" w:rsidRDefault="00E05D09" w:rsidP="00E05D0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66E3402"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sidRPr="00E05D09">
        <w:rPr>
          <w:rFonts w:ascii="Palatino Linotype" w:eastAsia="Palatino Linotype" w:hAnsi="Palatino Linotype" w:cs="Palatino Linotype"/>
          <w:color w:val="000000"/>
        </w:rPr>
        <w:t xml:space="preserve">Es así que, el particular con su requerimiento, pretende que el </w:t>
      </w:r>
      <w:r w:rsidRPr="00E05D09">
        <w:rPr>
          <w:rFonts w:ascii="Palatino Linotype" w:eastAsia="Palatino Linotype" w:hAnsi="Palatino Linotype" w:cs="Palatino Linotype"/>
          <w:b/>
          <w:bCs/>
          <w:color w:val="000000"/>
        </w:rPr>
        <w:t xml:space="preserve">SUJETO OBLIGADO </w:t>
      </w:r>
      <w:r w:rsidRPr="00E05D09">
        <w:rPr>
          <w:rFonts w:ascii="Palatino Linotype" w:eastAsia="Palatino Linotype" w:hAnsi="Palatino Linotype" w:cs="Palatino Linotype"/>
          <w:color w:val="000000"/>
        </w:rPr>
        <w:t>procese la información a fin realizar el comparativo de la plantilla de personal del ejercicio fiscal 2025 con la del 01 de enero al 19 de febrero de 2026, no obstante resulta necesario referir que como ya se estableció en líneas anteriores, dentro de la información requerida también fue solicitado la plantilla de personal de la temporalidad señalada, por tanto el particular tendría a la vista la información a fin de realizar el comparativo que requiere, con lo que se tendría por colmado este punto.</w:t>
      </w:r>
    </w:p>
    <w:p w14:paraId="2CCE20F8"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AD3A7AD" w14:textId="77777777" w:rsidR="00B2722B" w:rsidRPr="00E05D09" w:rsidRDefault="004425A1">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Por lo anteriormente señalado, se advierte que el </w:t>
      </w:r>
      <w:r w:rsidRPr="00E05D09">
        <w:rPr>
          <w:rFonts w:ascii="Palatino Linotype" w:eastAsia="Palatino Linotype" w:hAnsi="Palatino Linotype" w:cs="Palatino Linotype"/>
          <w:b/>
          <w:bCs/>
          <w:color w:val="000000"/>
        </w:rPr>
        <w:t>SUJETO OBLIGADO</w:t>
      </w:r>
      <w:r w:rsidRPr="00E05D09">
        <w:rPr>
          <w:rFonts w:ascii="Palatino Linotype" w:eastAsia="Palatino Linotype" w:hAnsi="Palatino Linotype" w:cs="Palatino Linotype"/>
          <w:color w:val="000000"/>
        </w:rPr>
        <w:t xml:space="preserve">, tiene competencia para conocer de lo solicitado por el particular, en consecuencia, una vez analizadas las constancias que integran el expediente electrónico, y en mérito de lo expuesto en líneas anteriores, resultan parcialmente fundadas las razones o motivos de inconformidad hechos </w:t>
      </w:r>
      <w:r w:rsidRPr="00E05D09">
        <w:rPr>
          <w:rFonts w:ascii="Palatino Linotype" w:eastAsia="Palatino Linotype" w:hAnsi="Palatino Linotype" w:cs="Palatino Linotype"/>
          <w:color w:val="000000"/>
        </w:rPr>
        <w:lastRenderedPageBreak/>
        <w:t xml:space="preserve">valer por el </w:t>
      </w:r>
      <w:r w:rsidRPr="00E05D09">
        <w:rPr>
          <w:rFonts w:ascii="Palatino Linotype" w:eastAsia="Palatino Linotype" w:hAnsi="Palatino Linotype" w:cs="Palatino Linotype"/>
          <w:b/>
          <w:bCs/>
          <w:color w:val="000000"/>
        </w:rPr>
        <w:t>RECURRENTE</w:t>
      </w:r>
      <w:r w:rsidRPr="00E05D09">
        <w:rPr>
          <w:rFonts w:ascii="Palatino Linotype" w:eastAsia="Palatino Linotype" w:hAnsi="Palatino Linotype" w:cs="Palatino Linotype"/>
          <w:color w:val="000000"/>
        </w:rPr>
        <w:t xml:space="preserve"> dentro del recurso de revisión </w:t>
      </w:r>
      <w:r w:rsidRPr="00E05D09">
        <w:rPr>
          <w:rFonts w:ascii="Palatino Linotype" w:eastAsia="Palatino Linotype" w:hAnsi="Palatino Linotype" w:cs="Palatino Linotype"/>
          <w:b/>
          <w:bCs/>
          <w:color w:val="000000"/>
        </w:rPr>
        <w:t>3588/INFOEM/IP/RR/2026</w:t>
      </w:r>
      <w:r w:rsidRPr="00E05D09">
        <w:rPr>
          <w:rFonts w:ascii="Palatino Linotype" w:eastAsia="Palatino Linotype" w:hAnsi="Palatino Linotype" w:cs="Palatino Linotype"/>
          <w:color w:val="000000"/>
        </w:rPr>
        <w:t xml:space="preserve">; por ello, y con fundamento en la fracción III del numeral 186 de la Ley de Transparencia y Acceso a la Información Pública del Estado de México y Municipios, se </w:t>
      </w:r>
      <w:r w:rsidRPr="00E05D09">
        <w:rPr>
          <w:rFonts w:ascii="Palatino Linotype" w:eastAsia="Palatino Linotype" w:hAnsi="Palatino Linotype" w:cs="Palatino Linotype"/>
          <w:b/>
          <w:bCs/>
          <w:color w:val="000000"/>
        </w:rPr>
        <w:t>MODIFICA</w:t>
      </w:r>
      <w:r w:rsidRPr="00E05D09">
        <w:rPr>
          <w:rFonts w:ascii="Palatino Linotype" w:eastAsia="Palatino Linotype" w:hAnsi="Palatino Linotype" w:cs="Palatino Linotype"/>
          <w:color w:val="000000"/>
        </w:rPr>
        <w:t xml:space="preserve"> la respuesta del Sujeto Obligado. </w:t>
      </w:r>
    </w:p>
    <w:p w14:paraId="24D49308" w14:textId="77777777" w:rsidR="00B2722B" w:rsidRPr="00E05D09" w:rsidRDefault="00B2722B">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0A196510" w14:textId="77777777" w:rsidR="00B2722B" w:rsidRPr="00E05D09" w:rsidRDefault="004425A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rPr>
      </w:pPr>
      <w:r w:rsidRPr="00E05D09">
        <w:rPr>
          <w:rFonts w:ascii="Palatino Linotype" w:eastAsia="Palatino Linotype" w:hAnsi="Palatino Linotype" w:cs="Palatino Linotype"/>
          <w:b/>
          <w:bCs/>
          <w:color w:val="000000"/>
        </w:rPr>
        <w:t>QUINTO. De la versión pública.</w:t>
      </w:r>
    </w:p>
    <w:p w14:paraId="36DC5E45" w14:textId="77777777" w:rsidR="00B2722B" w:rsidRPr="00E05D09" w:rsidRDefault="004425A1">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Debe destacarse que, debido a la naturaleza de la información solicitada</w:t>
      </w:r>
      <w:r w:rsidRPr="00E05D09">
        <w:rPr>
          <w:rFonts w:ascii="Palatino Linotype" w:eastAsia="Palatino Linotype" w:hAnsi="Palatino Linotype" w:cs="Palatino Linotype"/>
          <w:b/>
          <w:bCs/>
          <w:color w:val="000000"/>
        </w:rPr>
        <w:t xml:space="preserve"> </w:t>
      </w:r>
      <w:r w:rsidRPr="00E05D09">
        <w:rPr>
          <w:rFonts w:ascii="Palatino Linotype" w:eastAsia="Palatino Linotype" w:hAnsi="Palatino Linotype" w:cs="Palatino Linotype"/>
          <w:color w:val="000000"/>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3F194E97" w14:textId="77777777" w:rsidR="00B2722B" w:rsidRPr="00E05D09" w:rsidRDefault="00B2722B">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48E8C24F" w14:textId="77777777" w:rsidR="00B2722B" w:rsidRPr="00E05D09" w:rsidRDefault="004425A1">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La clasificación total o parcial de la información requerida, mediante solicitud de acceso a la información pública, constituye una restricción al derecho humano de acceso a la información, por lo que es menester reiterar los mismos:</w:t>
      </w:r>
    </w:p>
    <w:p w14:paraId="2473272B" w14:textId="77777777" w:rsidR="00B2722B" w:rsidRPr="00E05D09" w:rsidRDefault="00B2722B">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tbl>
      <w:tblPr>
        <w:tblStyle w:val="a0"/>
        <w:tblW w:w="10060"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72"/>
        <w:gridCol w:w="7088"/>
      </w:tblGrid>
      <w:tr w:rsidR="00B2722B" w:rsidRPr="00E05D09" w14:paraId="3CB44883" w14:textId="77777777" w:rsidTr="00DC09B8">
        <w:tc>
          <w:tcPr>
            <w:tcW w:w="2972" w:type="dxa"/>
          </w:tcPr>
          <w:p w14:paraId="70B2679F" w14:textId="77777777" w:rsidR="00B2722B" w:rsidRPr="00E05D09" w:rsidRDefault="004425A1">
            <w:pPr>
              <w:spacing w:line="360" w:lineRule="auto"/>
              <w:rPr>
                <w:rFonts w:ascii="Palatino Linotype" w:eastAsia="Palatino Linotype" w:hAnsi="Palatino Linotype" w:cs="Palatino Linotype"/>
              </w:rPr>
            </w:pPr>
            <w:r w:rsidRPr="00E05D09">
              <w:rPr>
                <w:rFonts w:ascii="Palatino Linotype" w:eastAsia="Palatino Linotype" w:hAnsi="Palatino Linotype" w:cs="Palatino Linotype"/>
              </w:rPr>
              <w:t>a) Requisitos previos.</w:t>
            </w:r>
          </w:p>
        </w:tc>
        <w:tc>
          <w:tcPr>
            <w:tcW w:w="7088" w:type="dxa"/>
          </w:tcPr>
          <w:p w14:paraId="073E3826" w14:textId="77777777" w:rsidR="00B2722B" w:rsidRPr="00E05D09" w:rsidRDefault="004425A1">
            <w:pP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8FCC72B" w14:textId="77777777" w:rsidR="00B2722B" w:rsidRPr="00E05D09" w:rsidRDefault="004425A1">
            <w:pP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lastRenderedPageBreak/>
              <w:t>Al hacerlo tienen que precisar de qué información se trata, señalando el supuesto de clasificación (confidencialidad o reserva).</w:t>
            </w:r>
          </w:p>
          <w:p w14:paraId="1471B3C3" w14:textId="77777777" w:rsidR="00B2722B" w:rsidRPr="00E05D09" w:rsidRDefault="004425A1">
            <w:pP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Además, se debe señalar el procedimiento, de los tres que establecen los artículos 132 y 106 de la Ley Estatal y General, respectivamente.</w:t>
            </w:r>
          </w:p>
          <w:p w14:paraId="6909EC1F" w14:textId="77777777" w:rsidR="00B2722B" w:rsidRPr="00E05D09" w:rsidRDefault="004425A1">
            <w:pP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El último de estos requisitos previos consiste en que no se pueden emitir acuerdos de carácter general ni particular, esto es, </w:t>
            </w:r>
            <w:r w:rsidRPr="00E05D09">
              <w:rPr>
                <w:rFonts w:ascii="Palatino Linotype" w:eastAsia="Palatino Linotype" w:hAnsi="Palatino Linotype" w:cs="Palatino Linotype"/>
                <w:u w:val="single"/>
              </w:rPr>
              <w:t xml:space="preserve">no se puede hacer un acuerdo para clasificar de manera general todos los documentos de un expediente o área,  </w:t>
            </w:r>
            <w:r w:rsidRPr="00E05D09">
              <w:rPr>
                <w:rFonts w:ascii="Palatino Linotype" w:eastAsia="Palatino Linotype" w:hAnsi="Palatino Linotype" w:cs="Palatino Linotype"/>
              </w:rPr>
              <w:t>sin individualizar su análisis y tampoco se puede hacer un acuerdo por cada dato que se vaya a clasificar dentro de un documento con diez datos, por ejemplo, susceptibles de ser clasificados.</w:t>
            </w:r>
          </w:p>
        </w:tc>
      </w:tr>
      <w:tr w:rsidR="00B2722B" w:rsidRPr="00E05D09" w14:paraId="50CA8C54" w14:textId="77777777" w:rsidTr="00DC09B8">
        <w:tc>
          <w:tcPr>
            <w:tcW w:w="2972" w:type="dxa"/>
          </w:tcPr>
          <w:p w14:paraId="6B4EAEF7" w14:textId="77777777" w:rsidR="00B2722B" w:rsidRPr="00E05D09" w:rsidRDefault="004425A1">
            <w:pPr>
              <w:spacing w:line="360" w:lineRule="auto"/>
              <w:rPr>
                <w:rFonts w:ascii="Palatino Linotype" w:eastAsia="Palatino Linotype" w:hAnsi="Palatino Linotype" w:cs="Palatino Linotype"/>
              </w:rPr>
            </w:pPr>
            <w:r w:rsidRPr="00E05D09">
              <w:rPr>
                <w:rFonts w:ascii="Palatino Linotype" w:eastAsia="Palatino Linotype" w:hAnsi="Palatino Linotype" w:cs="Palatino Linotype"/>
              </w:rPr>
              <w:lastRenderedPageBreak/>
              <w:t>b) Supuestos de clasificación.</w:t>
            </w:r>
          </w:p>
        </w:tc>
        <w:tc>
          <w:tcPr>
            <w:tcW w:w="7088" w:type="dxa"/>
          </w:tcPr>
          <w:p w14:paraId="449B30B7" w14:textId="77777777" w:rsidR="00B2722B" w:rsidRPr="00E05D09" w:rsidRDefault="004425A1">
            <w:pP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Las disposiciones constitucionales y legales en la materia establecen los dos supuestos generales para clasificar la información: por reserva y por confidencialidad.</w:t>
            </w:r>
          </w:p>
          <w:p w14:paraId="10A8C768" w14:textId="77777777" w:rsidR="00B2722B" w:rsidRPr="00E05D09" w:rsidRDefault="004425A1">
            <w:pP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w:t>
            </w:r>
            <w:r w:rsidRPr="00E05D09">
              <w:rPr>
                <w:rFonts w:ascii="Palatino Linotype" w:eastAsia="Palatino Linotype" w:hAnsi="Palatino Linotype" w:cs="Palatino Linotype"/>
              </w:rPr>
              <w:lastRenderedPageBreak/>
              <w:t>ampliar las excepciones o supuestos de clasificación aduciendo analogía o mayoría de razón.</w:t>
            </w:r>
          </w:p>
          <w:p w14:paraId="35F69BFA" w14:textId="77777777" w:rsidR="00B2722B" w:rsidRPr="00E05D09" w:rsidRDefault="004425A1">
            <w:pP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El </w:t>
            </w:r>
            <w:r w:rsidRPr="00E05D09">
              <w:rPr>
                <w:rFonts w:ascii="Palatino Linotype" w:eastAsia="Palatino Linotype" w:hAnsi="Palatino Linotype" w:cs="Palatino Linotype"/>
                <w:b/>
                <w:bCs/>
              </w:rPr>
              <w:t>SUJETO OBLIGADO</w:t>
            </w:r>
            <w:r w:rsidRPr="00E05D09">
              <w:rPr>
                <w:rFonts w:ascii="Palatino Linotype" w:eastAsia="Palatino Linotype" w:hAnsi="Palatino Linotype" w:cs="Palatino Linotype"/>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B2722B" w:rsidRPr="00E05D09" w14:paraId="6D007299" w14:textId="77777777" w:rsidTr="00DC09B8">
        <w:tc>
          <w:tcPr>
            <w:tcW w:w="2972" w:type="dxa"/>
          </w:tcPr>
          <w:p w14:paraId="05764970" w14:textId="77777777" w:rsidR="00B2722B" w:rsidRPr="00E05D09" w:rsidRDefault="004425A1">
            <w:pPr>
              <w:spacing w:line="360" w:lineRule="auto"/>
              <w:rPr>
                <w:rFonts w:ascii="Palatino Linotype" w:eastAsia="Palatino Linotype" w:hAnsi="Palatino Linotype" w:cs="Palatino Linotype"/>
              </w:rPr>
            </w:pPr>
            <w:r w:rsidRPr="00E05D09">
              <w:rPr>
                <w:rFonts w:ascii="Palatino Linotype" w:eastAsia="Palatino Linotype" w:hAnsi="Palatino Linotype" w:cs="Palatino Linotype"/>
              </w:rPr>
              <w:lastRenderedPageBreak/>
              <w:t>c) Formalidades para emitir el acuerdo de clasificación.</w:t>
            </w:r>
          </w:p>
        </w:tc>
        <w:tc>
          <w:tcPr>
            <w:tcW w:w="7088" w:type="dxa"/>
          </w:tcPr>
          <w:p w14:paraId="25EBF5C7" w14:textId="77777777" w:rsidR="00B2722B" w:rsidRPr="00E05D09" w:rsidRDefault="004425A1">
            <w:pP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El Comité de Transparencia, según lo dispuesto en los artículos cuenta con las facultades para aprobar, modificar o revocar la clasificación de la información que haya propuesto. </w:t>
            </w:r>
          </w:p>
          <w:p w14:paraId="68408D96" w14:textId="77777777" w:rsidR="00B2722B" w:rsidRPr="00E05D09" w:rsidRDefault="004425A1">
            <w:pP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Es necesario que </w:t>
            </w:r>
            <w:r w:rsidRPr="00E05D09">
              <w:rPr>
                <w:rFonts w:ascii="Palatino Linotype" w:eastAsia="Palatino Linotype" w:hAnsi="Palatino Linotype" w:cs="Palatino Linotype"/>
                <w:b/>
                <w:bCs/>
                <w:u w:val="single"/>
              </w:rPr>
              <w:t>el acto reúna con los requisitos elementales</w:t>
            </w:r>
            <w:r w:rsidRPr="00E05D09">
              <w:rPr>
                <w:rFonts w:ascii="Palatino Linotype" w:eastAsia="Palatino Linotype" w:hAnsi="Palatino Linotype" w:cs="Palatino Linotype"/>
              </w:rPr>
              <w:t>, entre ellos, que la autoridad que va a emitir el acto de autoridad sea la legalmente facultada para ello.</w:t>
            </w:r>
          </w:p>
          <w:p w14:paraId="0F849979" w14:textId="77777777" w:rsidR="00B2722B" w:rsidRPr="00E05D09" w:rsidRDefault="004425A1">
            <w:pP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B2722B" w:rsidRPr="00E05D09" w14:paraId="2157D439" w14:textId="77777777" w:rsidTr="00DC09B8">
        <w:tc>
          <w:tcPr>
            <w:tcW w:w="2972" w:type="dxa"/>
          </w:tcPr>
          <w:p w14:paraId="453947E6" w14:textId="77777777" w:rsidR="00B2722B" w:rsidRPr="00E05D09" w:rsidRDefault="00B2722B">
            <w:pPr>
              <w:spacing w:line="360" w:lineRule="auto"/>
              <w:rPr>
                <w:rFonts w:ascii="Palatino Linotype" w:eastAsia="Palatino Linotype" w:hAnsi="Palatino Linotype" w:cs="Palatino Linotype"/>
              </w:rPr>
            </w:pPr>
          </w:p>
          <w:p w14:paraId="4188272F" w14:textId="77777777" w:rsidR="00B2722B" w:rsidRPr="00E05D09" w:rsidRDefault="004425A1">
            <w:pP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d) Requisitos de fondo del acuerdo de clasificación. </w:t>
            </w:r>
          </w:p>
        </w:tc>
        <w:tc>
          <w:tcPr>
            <w:tcW w:w="7088" w:type="dxa"/>
          </w:tcPr>
          <w:p w14:paraId="1F540DBE" w14:textId="77777777" w:rsidR="00B2722B" w:rsidRPr="00E05D09" w:rsidRDefault="004425A1">
            <w:pP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E05D09">
              <w:rPr>
                <w:rFonts w:ascii="Palatino Linotype" w:eastAsia="Palatino Linotype" w:hAnsi="Palatino Linotype" w:cs="Palatino Linotype"/>
                <w:b/>
                <w:bCs/>
              </w:rPr>
              <w:t>Sujetos Obligados</w:t>
            </w:r>
            <w:r w:rsidRPr="00E05D09">
              <w:rPr>
                <w:rFonts w:ascii="Palatino Linotype" w:eastAsia="Palatino Linotype" w:hAnsi="Palatino Linotype" w:cs="Palatino Linotype"/>
              </w:rPr>
              <w:t xml:space="preserve">, por lo que deberán fundar y motivar debidamente la clasificación. </w:t>
            </w:r>
          </w:p>
          <w:p w14:paraId="769FF96D" w14:textId="77777777" w:rsidR="00B2722B" w:rsidRPr="00E05D09" w:rsidRDefault="004425A1">
            <w:pP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De lo anterior, se desprende que para una correcta </w:t>
            </w:r>
            <w:r w:rsidRPr="00E05D09">
              <w:rPr>
                <w:rFonts w:ascii="Palatino Linotype" w:eastAsia="Palatino Linotype" w:hAnsi="Palatino Linotype" w:cs="Palatino Linotype"/>
                <w:b/>
                <w:bCs/>
              </w:rPr>
              <w:t>clasificación total o parcial</w:t>
            </w:r>
            <w:r w:rsidRPr="00E05D09">
              <w:rPr>
                <w:rFonts w:ascii="Palatino Linotype" w:eastAsia="Palatino Linotype" w:hAnsi="Palatino Linotype" w:cs="Palatino Linotype"/>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230CEC5" w14:textId="77777777" w:rsidR="00B2722B" w:rsidRPr="00E05D09" w:rsidRDefault="004425A1">
            <w:pP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579454A" w14:textId="77777777" w:rsidR="00B2722B" w:rsidRPr="00E05D09" w:rsidRDefault="004425A1">
            <w:pP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En ese mismo sentido, el numeral trigésimo tercero fracción V de los Lineamientos Generales, precisa que para motivar la </w:t>
            </w:r>
            <w:r w:rsidRPr="00E05D09">
              <w:rPr>
                <w:rFonts w:ascii="Palatino Linotype" w:eastAsia="Palatino Linotype" w:hAnsi="Palatino Linotype" w:cs="Palatino Linotype"/>
              </w:rPr>
              <w:lastRenderedPageBreak/>
              <w:t>clasificación se deben acreditar las circunstancias de tiempo, modo y lugar.</w:t>
            </w:r>
          </w:p>
          <w:p w14:paraId="28640D1D" w14:textId="77777777" w:rsidR="00B2722B" w:rsidRPr="00E05D09" w:rsidRDefault="004425A1">
            <w:pP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Ahora bien, </w:t>
            </w:r>
            <w:r w:rsidRPr="00E05D09">
              <w:rPr>
                <w:rFonts w:ascii="Palatino Linotype" w:eastAsia="Palatino Linotype" w:hAnsi="Palatino Linotype" w:cs="Palatino Linotype"/>
                <w:b/>
                <w:bCs/>
                <w:u w:val="single"/>
              </w:rPr>
              <w:t>para cada caso además de fundar y motivar</w:t>
            </w:r>
            <w:r w:rsidRPr="00E05D09">
              <w:rPr>
                <w:rFonts w:ascii="Palatino Linotype" w:eastAsia="Palatino Linotype" w:hAnsi="Palatino Linotype" w:cs="Palatino Linotype"/>
              </w:rPr>
              <w:t>, se debe identificar con claridad qué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B2722B" w:rsidRPr="00E05D09" w14:paraId="157B14E5" w14:textId="77777777" w:rsidTr="00DC09B8">
        <w:tc>
          <w:tcPr>
            <w:tcW w:w="2972" w:type="dxa"/>
          </w:tcPr>
          <w:p w14:paraId="41755B82" w14:textId="77777777" w:rsidR="00B2722B" w:rsidRPr="00E05D09" w:rsidRDefault="004425A1">
            <w:pP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lastRenderedPageBreak/>
              <w:t xml:space="preserve">e) Condiciones especiales de la clasificación de la información como confidencial. </w:t>
            </w:r>
          </w:p>
          <w:p w14:paraId="4E446B09" w14:textId="77777777" w:rsidR="00B2722B" w:rsidRPr="00E05D09" w:rsidRDefault="00B2722B">
            <w:pPr>
              <w:spacing w:line="360" w:lineRule="auto"/>
              <w:rPr>
                <w:rFonts w:ascii="Palatino Linotype" w:eastAsia="Palatino Linotype" w:hAnsi="Palatino Linotype" w:cs="Palatino Linotype"/>
              </w:rPr>
            </w:pPr>
          </w:p>
        </w:tc>
        <w:tc>
          <w:tcPr>
            <w:tcW w:w="7088" w:type="dxa"/>
          </w:tcPr>
          <w:p w14:paraId="31CB05D2" w14:textId="77777777" w:rsidR="00B2722B" w:rsidRPr="00E05D09" w:rsidRDefault="004425A1">
            <w:pP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Los artículos 148 y 120 de la Ley Estatal y de la Ley General, respectivamente, establecen que aun tratándose de datos personales, se podrán proporcionar, incluso sin solicitar el consentimiento de su titular. </w:t>
            </w:r>
          </w:p>
          <w:p w14:paraId="54AB230D" w14:textId="77777777" w:rsidR="00B2722B" w:rsidRPr="00E05D09" w:rsidRDefault="004425A1">
            <w:pP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46C9ACA" w14:textId="77777777" w:rsidR="00B2722B" w:rsidRPr="00E05D09" w:rsidRDefault="004425A1">
            <w:pPr>
              <w:spacing w:line="360" w:lineRule="auto"/>
              <w:rPr>
                <w:rFonts w:ascii="Palatino Linotype" w:eastAsia="Palatino Linotype" w:hAnsi="Palatino Linotype" w:cs="Palatino Linotype"/>
              </w:rPr>
            </w:pPr>
            <w:r w:rsidRPr="00E05D09">
              <w:rPr>
                <w:rFonts w:ascii="Palatino Linotype" w:eastAsia="Palatino Linotype" w:hAnsi="Palatino Linotype" w:cs="Palatino Linotype"/>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212D6C46" w14:textId="77777777" w:rsidR="00B2722B" w:rsidRPr="00E05D09" w:rsidRDefault="004425A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lastRenderedPageBreak/>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669F73A6" w14:textId="77777777" w:rsidR="00B2722B" w:rsidRPr="00E05D09" w:rsidRDefault="00B2722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E248651" w14:textId="77777777" w:rsidR="00B2722B" w:rsidRPr="00E05D09" w:rsidRDefault="004425A1">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Por lo anteriormente expuesto y fundado, este </w:t>
      </w:r>
      <w:r w:rsidRPr="00E05D09">
        <w:rPr>
          <w:rFonts w:ascii="Palatino Linotype" w:eastAsia="Palatino Linotype" w:hAnsi="Palatino Linotype" w:cs="Palatino Linotype"/>
          <w:b/>
          <w:bCs/>
          <w:color w:val="000000"/>
        </w:rPr>
        <w:t>ÓRGANO GARANTE</w:t>
      </w:r>
      <w:r w:rsidRPr="00E05D09">
        <w:rPr>
          <w:rFonts w:ascii="Palatino Linotype" w:eastAsia="Palatino Linotype" w:hAnsi="Palatino Linotype" w:cs="Palatino Linotype"/>
          <w:color w:val="000000"/>
        </w:rPr>
        <w:t xml:space="preserve"> emite los siguientes:</w:t>
      </w:r>
    </w:p>
    <w:p w14:paraId="2A419131" w14:textId="77777777" w:rsidR="00B2722B" w:rsidRPr="00E05D09" w:rsidRDefault="004425A1">
      <w:pPr>
        <w:keepNext/>
        <w:keepLines/>
        <w:spacing w:line="360" w:lineRule="auto"/>
        <w:jc w:val="center"/>
        <w:rPr>
          <w:rFonts w:ascii="Palatino Linotype" w:eastAsia="Palatino Linotype" w:hAnsi="Palatino Linotype" w:cs="Palatino Linotype"/>
          <w:b/>
          <w:bCs/>
          <w:color w:val="000000"/>
        </w:rPr>
      </w:pPr>
      <w:bookmarkStart w:id="10" w:name="_heading=h.y1g0okmsy2gq" w:colFirst="0" w:colLast="0"/>
      <w:bookmarkEnd w:id="10"/>
      <w:r w:rsidRPr="00E05D09">
        <w:rPr>
          <w:rFonts w:ascii="Palatino Linotype" w:eastAsia="Palatino Linotype" w:hAnsi="Palatino Linotype" w:cs="Palatino Linotype"/>
          <w:b/>
          <w:bCs/>
          <w:color w:val="000000"/>
        </w:rPr>
        <w:t>R E S O L U T I V O S</w:t>
      </w:r>
    </w:p>
    <w:p w14:paraId="306BCE62" w14:textId="77777777" w:rsidR="00B2722B" w:rsidRPr="00E05D09" w:rsidRDefault="00B2722B">
      <w:pPr>
        <w:keepNext/>
        <w:keepLines/>
        <w:spacing w:line="360" w:lineRule="auto"/>
        <w:jc w:val="center"/>
        <w:rPr>
          <w:rFonts w:ascii="Palatino Linotype" w:eastAsia="Palatino Linotype" w:hAnsi="Palatino Linotype" w:cs="Palatino Linotype"/>
          <w:b/>
          <w:bCs/>
          <w:color w:val="000000"/>
        </w:rPr>
      </w:pPr>
    </w:p>
    <w:p w14:paraId="32D94751" w14:textId="05802C6F" w:rsidR="00B2722B" w:rsidRPr="00E05D09" w:rsidRDefault="004425A1">
      <w:pPr>
        <w:spacing w:line="360" w:lineRule="auto"/>
        <w:ind w:right="48"/>
        <w:jc w:val="both"/>
        <w:rPr>
          <w:rFonts w:ascii="Palatino Linotype" w:eastAsia="Palatino Linotype" w:hAnsi="Palatino Linotype" w:cs="Palatino Linotype"/>
        </w:rPr>
      </w:pPr>
      <w:r w:rsidRPr="00E05D09">
        <w:rPr>
          <w:rFonts w:ascii="Palatino Linotype" w:eastAsia="Palatino Linotype" w:hAnsi="Palatino Linotype" w:cs="Palatino Linotype"/>
          <w:b/>
          <w:bCs/>
        </w:rPr>
        <w:t xml:space="preserve">PRIMERO. </w:t>
      </w:r>
      <w:r w:rsidRPr="00E05D09">
        <w:rPr>
          <w:rFonts w:ascii="Palatino Linotype" w:eastAsia="Palatino Linotype" w:hAnsi="Palatino Linotype" w:cs="Palatino Linotype"/>
        </w:rPr>
        <w:t>Resultan fundadas las</w:t>
      </w:r>
      <w:r w:rsidRPr="00E05D09">
        <w:rPr>
          <w:rFonts w:ascii="Palatino Linotype" w:eastAsia="Palatino Linotype" w:hAnsi="Palatino Linotype" w:cs="Palatino Linotype"/>
          <w:b/>
          <w:bCs/>
        </w:rPr>
        <w:t xml:space="preserve"> </w:t>
      </w:r>
      <w:r w:rsidRPr="00E05D09">
        <w:rPr>
          <w:rFonts w:ascii="Palatino Linotype" w:eastAsia="Palatino Linotype" w:hAnsi="Palatino Linotype" w:cs="Palatino Linotype"/>
        </w:rPr>
        <w:t xml:space="preserve">razones o motivos de inconformidad hechos valer en el recurso de revisión </w:t>
      </w:r>
      <w:r w:rsidR="00736339" w:rsidRPr="00E05D09">
        <w:rPr>
          <w:rFonts w:ascii="Palatino Linotype" w:eastAsia="Palatino Linotype" w:hAnsi="Palatino Linotype" w:cs="Palatino Linotype"/>
          <w:b/>
          <w:bCs/>
        </w:rPr>
        <w:t>03588/INFOEM/IP/RR/2026</w:t>
      </w:r>
      <w:r w:rsidRPr="00E05D09">
        <w:rPr>
          <w:rFonts w:ascii="Palatino Linotype" w:eastAsia="Palatino Linotype" w:hAnsi="Palatino Linotype" w:cs="Palatino Linotype"/>
          <w:b/>
          <w:bCs/>
        </w:rPr>
        <w:t xml:space="preserve">, </w:t>
      </w:r>
      <w:r w:rsidRPr="00E05D09">
        <w:rPr>
          <w:rFonts w:ascii="Palatino Linotype" w:eastAsia="Palatino Linotype" w:hAnsi="Palatino Linotype" w:cs="Palatino Linotype"/>
        </w:rPr>
        <w:t xml:space="preserve">en términos del </w:t>
      </w:r>
      <w:r w:rsidRPr="00E05D09">
        <w:rPr>
          <w:rFonts w:ascii="Palatino Linotype" w:eastAsia="Palatino Linotype" w:hAnsi="Palatino Linotype" w:cs="Palatino Linotype"/>
          <w:b/>
          <w:bCs/>
        </w:rPr>
        <w:t>Considerando</w:t>
      </w:r>
      <w:r w:rsidRPr="00E05D09">
        <w:rPr>
          <w:rFonts w:ascii="Palatino Linotype" w:eastAsia="Palatino Linotype" w:hAnsi="Palatino Linotype" w:cs="Palatino Linotype"/>
        </w:rPr>
        <w:t xml:space="preserve"> </w:t>
      </w:r>
      <w:r w:rsidRPr="00E05D09">
        <w:rPr>
          <w:rFonts w:ascii="Palatino Linotype" w:eastAsia="Palatino Linotype" w:hAnsi="Palatino Linotype" w:cs="Palatino Linotype"/>
          <w:b/>
          <w:bCs/>
        </w:rPr>
        <w:t xml:space="preserve">CUARTO y QUINTO </w:t>
      </w:r>
      <w:r w:rsidRPr="00E05D09">
        <w:rPr>
          <w:rFonts w:ascii="Palatino Linotype" w:eastAsia="Palatino Linotype" w:hAnsi="Palatino Linotype" w:cs="Palatino Linotype"/>
        </w:rPr>
        <w:t>de la presente resolución.</w:t>
      </w:r>
    </w:p>
    <w:p w14:paraId="5491AD5D" w14:textId="77777777" w:rsidR="00B2722B" w:rsidRPr="00E05D09" w:rsidRDefault="00B2722B">
      <w:pPr>
        <w:spacing w:line="360" w:lineRule="auto"/>
        <w:ind w:right="48"/>
        <w:jc w:val="both"/>
        <w:rPr>
          <w:rFonts w:ascii="Palatino Linotype" w:eastAsia="Palatino Linotype" w:hAnsi="Palatino Linotype" w:cs="Palatino Linotype"/>
        </w:rPr>
      </w:pPr>
    </w:p>
    <w:p w14:paraId="73B4B8CD" w14:textId="77777777" w:rsidR="00B2722B" w:rsidRPr="00E05D09" w:rsidRDefault="004425A1">
      <w:pPr>
        <w:spacing w:line="360" w:lineRule="auto"/>
        <w:ind w:right="48"/>
        <w:jc w:val="both"/>
        <w:rPr>
          <w:rFonts w:ascii="Palatino Linotype" w:eastAsia="Palatino Linotype" w:hAnsi="Palatino Linotype" w:cs="Palatino Linotype"/>
        </w:rPr>
      </w:pPr>
      <w:bookmarkStart w:id="11" w:name="_heading=h.sm6u9kisc3dd" w:colFirst="0" w:colLast="0"/>
      <w:bookmarkEnd w:id="11"/>
      <w:r w:rsidRPr="00E05D09">
        <w:rPr>
          <w:rFonts w:ascii="Palatino Linotype" w:eastAsia="Palatino Linotype" w:hAnsi="Palatino Linotype" w:cs="Palatino Linotype"/>
          <w:b/>
          <w:bCs/>
        </w:rPr>
        <w:t>SEGUNDO.</w:t>
      </w:r>
      <w:r w:rsidRPr="00E05D09">
        <w:rPr>
          <w:rFonts w:ascii="Palatino Linotype" w:eastAsia="Palatino Linotype" w:hAnsi="Palatino Linotype" w:cs="Palatino Linotype"/>
          <w:color w:val="2F5496"/>
        </w:rPr>
        <w:t xml:space="preserve"> </w:t>
      </w:r>
      <w:r w:rsidRPr="00E05D09">
        <w:rPr>
          <w:rFonts w:ascii="Palatino Linotype" w:eastAsia="Palatino Linotype" w:hAnsi="Palatino Linotype" w:cs="Palatino Linotype"/>
        </w:rPr>
        <w:t>Se</w:t>
      </w:r>
      <w:r w:rsidRPr="00E05D09">
        <w:rPr>
          <w:rFonts w:ascii="Palatino Linotype" w:eastAsia="Palatino Linotype" w:hAnsi="Palatino Linotype" w:cs="Palatino Linotype"/>
          <w:b/>
          <w:bCs/>
        </w:rPr>
        <w:t xml:space="preserve"> MODIFICA </w:t>
      </w:r>
      <w:r w:rsidRPr="00E05D09">
        <w:rPr>
          <w:rFonts w:ascii="Palatino Linotype" w:eastAsia="Palatino Linotype" w:hAnsi="Palatino Linotype" w:cs="Palatino Linotype"/>
        </w:rPr>
        <w:t xml:space="preserve">la respuesta emitida por el </w:t>
      </w:r>
      <w:r w:rsidRPr="00E05D09">
        <w:rPr>
          <w:rFonts w:ascii="Palatino Linotype" w:eastAsia="Palatino Linotype" w:hAnsi="Palatino Linotype" w:cs="Palatino Linotype"/>
          <w:b/>
          <w:bCs/>
        </w:rPr>
        <w:t xml:space="preserve">Sistema Municipal para el Desarrollo Integral de la Familia de Tianguistenco </w:t>
      </w:r>
      <w:r w:rsidRPr="00E05D09">
        <w:rPr>
          <w:rFonts w:ascii="Palatino Linotype" w:eastAsia="Palatino Linotype" w:hAnsi="Palatino Linotype" w:cs="Palatino Linotype"/>
        </w:rPr>
        <w:t>y se</w:t>
      </w:r>
      <w:r w:rsidRPr="00E05D09">
        <w:rPr>
          <w:rFonts w:ascii="Palatino Linotype" w:eastAsia="Palatino Linotype" w:hAnsi="Palatino Linotype" w:cs="Palatino Linotype"/>
          <w:b/>
          <w:bCs/>
        </w:rPr>
        <w:t xml:space="preserve"> ORDENA </w:t>
      </w:r>
      <w:r w:rsidRPr="00E05D09">
        <w:rPr>
          <w:rFonts w:ascii="Palatino Linotype" w:eastAsia="Palatino Linotype" w:hAnsi="Palatino Linotype" w:cs="Palatino Linotype"/>
        </w:rPr>
        <w:t xml:space="preserve">entregar vía Sistema de Accesos a la Información Mexiquense (SAIMEX), previa búsqueda exhaustiva y de ser procedente en versión pública, </w:t>
      </w:r>
      <w:r w:rsidRPr="00E05D09">
        <w:rPr>
          <w:rFonts w:ascii="Palatino Linotype" w:eastAsia="Palatino Linotype" w:hAnsi="Palatino Linotype" w:cs="Palatino Linotype"/>
          <w:b/>
          <w:bCs/>
        </w:rPr>
        <w:t>el o los documentos</w:t>
      </w:r>
      <w:r w:rsidRPr="00E05D09">
        <w:rPr>
          <w:rFonts w:ascii="Palatino Linotype" w:eastAsia="Palatino Linotype" w:hAnsi="Palatino Linotype" w:cs="Palatino Linotype"/>
        </w:rPr>
        <w:t xml:space="preserve"> donde conste lo siguiente:</w:t>
      </w:r>
    </w:p>
    <w:p w14:paraId="77227F83" w14:textId="77777777" w:rsidR="00B2722B" w:rsidRPr="00E05D09" w:rsidRDefault="00B2722B">
      <w:pPr>
        <w:spacing w:line="360" w:lineRule="auto"/>
        <w:ind w:right="48"/>
        <w:jc w:val="both"/>
        <w:rPr>
          <w:rFonts w:ascii="Palatino Linotype" w:eastAsia="Palatino Linotype" w:hAnsi="Palatino Linotype" w:cs="Palatino Linotype"/>
        </w:rPr>
      </w:pPr>
    </w:p>
    <w:p w14:paraId="0182CC4A" w14:textId="77777777" w:rsidR="00B2722B" w:rsidRPr="00E05D09" w:rsidRDefault="004425A1">
      <w:pPr>
        <w:ind w:right="48"/>
        <w:jc w:val="both"/>
        <w:rPr>
          <w:rFonts w:ascii="Palatino Linotype" w:eastAsia="Palatino Linotype" w:hAnsi="Palatino Linotype" w:cs="Palatino Linotype"/>
        </w:rPr>
      </w:pPr>
      <w:r w:rsidRPr="00E05D09">
        <w:rPr>
          <w:rFonts w:ascii="Palatino Linotype" w:eastAsia="Palatino Linotype" w:hAnsi="Palatino Linotype" w:cs="Palatino Linotype"/>
          <w:b/>
          <w:bCs/>
        </w:rPr>
        <w:t>I. Del ejercicio fiscal 2025 y del 01 de enero al 19 de febrero de 2026</w:t>
      </w:r>
    </w:p>
    <w:p w14:paraId="11E3E490" w14:textId="77777777" w:rsidR="00B2722B" w:rsidRPr="00E05D09" w:rsidRDefault="004425A1">
      <w:pPr>
        <w:numPr>
          <w:ilvl w:val="0"/>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De Presidencia y Dirección General </w:t>
      </w:r>
    </w:p>
    <w:p w14:paraId="6EC42C32"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Estructura Orgánica Vigente </w:t>
      </w:r>
    </w:p>
    <w:p w14:paraId="76E0753B"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Organigrama</w:t>
      </w:r>
    </w:p>
    <w:p w14:paraId="1BFE52CB"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Manual de Organización</w:t>
      </w:r>
    </w:p>
    <w:p w14:paraId="06BB010E"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Manuales de Procedimientos</w:t>
      </w:r>
    </w:p>
    <w:p w14:paraId="4F241841"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Planes, programas y proyectos institucionales autorizados. </w:t>
      </w:r>
    </w:p>
    <w:p w14:paraId="36C348DC"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Informes de actividades anuales o trimestrales.</w:t>
      </w:r>
    </w:p>
    <w:p w14:paraId="7CCEF231"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Metas, indicadores y resultados de gestión institucional.</w:t>
      </w:r>
    </w:p>
    <w:p w14:paraId="2A2E2C93" w14:textId="77777777" w:rsidR="00B2722B" w:rsidRPr="00E05D09" w:rsidRDefault="004425A1">
      <w:pPr>
        <w:numPr>
          <w:ilvl w:val="0"/>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lastRenderedPageBreak/>
        <w:t xml:space="preserve">De Tesorería </w:t>
      </w:r>
    </w:p>
    <w:p w14:paraId="4870D719"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Presupuesto autorizado y ejercido por capítulo, concepto y partida del gasto. </w:t>
      </w:r>
    </w:p>
    <w:p w14:paraId="2BF8AFCD"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Estado analítico de ingresos y egresos. </w:t>
      </w:r>
    </w:p>
    <w:p w14:paraId="7E7D1D84"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Estados financieros (balance general, estado de actividades, flujo de efectivo). </w:t>
      </w:r>
    </w:p>
    <w:p w14:paraId="20E24D30"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Relación de cuentas bancarias activas. </w:t>
      </w:r>
    </w:p>
    <w:p w14:paraId="24B7E436"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Contratos, convenios o instrumentos financieros celebrados. </w:t>
      </w:r>
    </w:p>
    <w:p w14:paraId="3DBAA0D1"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Informes de auditorías internas o externas, así como observaciones y solventaciones. </w:t>
      </w:r>
    </w:p>
    <w:p w14:paraId="3BB84A6B"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Relación de proveedores y prestadores de servicios. </w:t>
      </w:r>
    </w:p>
    <w:p w14:paraId="280BB234"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Comprobación de gasto correspondiente a programas sociales. </w:t>
      </w:r>
    </w:p>
    <w:p w14:paraId="63C04BBB" w14:textId="77777777" w:rsidR="00B2722B" w:rsidRPr="00E05D09" w:rsidRDefault="004425A1">
      <w:pPr>
        <w:numPr>
          <w:ilvl w:val="0"/>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De Recursos Humanos </w:t>
      </w:r>
    </w:p>
    <w:p w14:paraId="632632C7"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Estructura de Personal autorizada y ejercida</w:t>
      </w:r>
    </w:p>
    <w:p w14:paraId="4B76E112"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Remuneración bruta y neta mensual de todo el personal que integra la administración</w:t>
      </w:r>
    </w:p>
    <w:p w14:paraId="2AA55525"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Perfil de cada puesto</w:t>
      </w:r>
    </w:p>
    <w:p w14:paraId="23C02B9C"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Contratos por honorarios vigentes</w:t>
      </w:r>
    </w:p>
    <w:p w14:paraId="1E55B7DF" w14:textId="77777777" w:rsidR="00B2722B" w:rsidRPr="00E05D09" w:rsidRDefault="004425A1">
      <w:pPr>
        <w:numPr>
          <w:ilvl w:val="0"/>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De la Procuraduría de Protección de Niñas, Niños y Adolescentes </w:t>
      </w:r>
    </w:p>
    <w:p w14:paraId="597BA254"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Medidas de Protección Dictadas</w:t>
      </w:r>
    </w:p>
    <w:p w14:paraId="770F52D2"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Informes estadísticos de atención a menores</w:t>
      </w:r>
    </w:p>
    <w:p w14:paraId="21E9281E"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Protocolos y lineamientos de actuación vigentes.</w:t>
      </w:r>
    </w:p>
    <w:p w14:paraId="08B4DB0C" w14:textId="77777777" w:rsidR="00B2722B" w:rsidRPr="00E05D09" w:rsidRDefault="004425A1">
      <w:pPr>
        <w:numPr>
          <w:ilvl w:val="0"/>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Del área de Salud</w:t>
      </w:r>
    </w:p>
    <w:p w14:paraId="1D440E2A"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Número de consultas de rehabilitación otorgadas</w:t>
      </w:r>
    </w:p>
    <w:p w14:paraId="56E01A94"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Relación de medicamentos, insumos y material médico adquirido.</w:t>
      </w:r>
    </w:p>
    <w:p w14:paraId="6E6877E1" w14:textId="77777777" w:rsidR="00B2722B" w:rsidRPr="00E05D09" w:rsidRDefault="004425A1">
      <w:pPr>
        <w:numPr>
          <w:ilvl w:val="0"/>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Atención a Adultos Mayores</w:t>
      </w:r>
    </w:p>
    <w:p w14:paraId="38CBE3F5"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Programas </w:t>
      </w:r>
    </w:p>
    <w:p w14:paraId="00F4F32B"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Padrón de beneficiarios (versión pública). </w:t>
      </w:r>
    </w:p>
    <w:p w14:paraId="50215ED5"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Tipo de apoyos otorgados. </w:t>
      </w:r>
    </w:p>
    <w:p w14:paraId="2B4003A6"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Actividades recreativas, culturales o asistenciales realizadas. </w:t>
      </w:r>
    </w:p>
    <w:p w14:paraId="51D8B652"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Presupuesto asignado y ejercido. </w:t>
      </w:r>
    </w:p>
    <w:p w14:paraId="01D7386B" w14:textId="77777777" w:rsidR="00B2722B" w:rsidRPr="00E05D09" w:rsidRDefault="004425A1">
      <w:pPr>
        <w:numPr>
          <w:ilvl w:val="0"/>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Área de Alimentación y Asistencia Social </w:t>
      </w:r>
    </w:p>
    <w:p w14:paraId="389BFF11"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Acuerdo emitido por el Comité de Transparencia a </w:t>
      </w:r>
      <w:r w:rsidRPr="00E05D09">
        <w:rPr>
          <w:rFonts w:ascii="Palatino Linotype" w:eastAsia="Palatino Linotype" w:hAnsi="Palatino Linotype" w:cs="Palatino Linotype"/>
        </w:rPr>
        <w:t>través del</w:t>
      </w:r>
      <w:r w:rsidRPr="00E05D09">
        <w:rPr>
          <w:rFonts w:ascii="Palatino Linotype" w:eastAsia="Palatino Linotype" w:hAnsi="Palatino Linotype" w:cs="Palatino Linotype"/>
          <w:color w:val="000000"/>
        </w:rPr>
        <w:t xml:space="preserve"> cual se haya aprobado la clasificación de la información relativa al padrón de beneficiarios de los Programas por tratarse de menores de edad.</w:t>
      </w:r>
    </w:p>
    <w:p w14:paraId="539510BC"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Reglas de operación de los programas. </w:t>
      </w:r>
    </w:p>
    <w:p w14:paraId="18AFD9CF"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lastRenderedPageBreak/>
        <w:t xml:space="preserve">Relación de proveedores de insumos alimentarios. </w:t>
      </w:r>
    </w:p>
    <w:p w14:paraId="2D43A80D"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Presupuesto asignado y ejercido por programa.</w:t>
      </w:r>
    </w:p>
    <w:p w14:paraId="1792CA00" w14:textId="77777777" w:rsidR="00B2722B" w:rsidRPr="00E05D09" w:rsidRDefault="004425A1">
      <w:pPr>
        <w:numPr>
          <w:ilvl w:val="0"/>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Área de Atención a Personas con Discapacidad</w:t>
      </w:r>
    </w:p>
    <w:p w14:paraId="755C1C37"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Número de Beneficiarios atendidos</w:t>
      </w:r>
    </w:p>
    <w:p w14:paraId="69B36F5A"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Tipo de Apoyos otorgado</w:t>
      </w:r>
    </w:p>
    <w:p w14:paraId="23C3B5D3"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Servicios de rehabilitación brindados</w:t>
      </w:r>
    </w:p>
    <w:p w14:paraId="2623293C"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Presupuesto asignado y ejercido.</w:t>
      </w:r>
    </w:p>
    <w:p w14:paraId="2DF1A483" w14:textId="77777777" w:rsidR="00B2722B" w:rsidRPr="00E05D09" w:rsidRDefault="004425A1">
      <w:pPr>
        <w:numPr>
          <w:ilvl w:val="0"/>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Comunicación Social</w:t>
      </w:r>
    </w:p>
    <w:p w14:paraId="2A40F488"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Presupuesto autorizado y ejercido</w:t>
      </w:r>
    </w:p>
    <w:p w14:paraId="18F1CF10"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Relación de contratos de publicidad, difusión o servicios de comunicación. </w:t>
      </w:r>
    </w:p>
    <w:p w14:paraId="0FA1617F"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Medios de comunicación contratados. </w:t>
      </w:r>
    </w:p>
    <w:p w14:paraId="3D25FFF5" w14:textId="77777777" w:rsidR="00B2722B" w:rsidRPr="00E05D09" w:rsidRDefault="004425A1">
      <w:pPr>
        <w:numPr>
          <w:ilvl w:val="1"/>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Informes de actividades del área. </w:t>
      </w:r>
    </w:p>
    <w:p w14:paraId="75D92408" w14:textId="77777777" w:rsidR="00B2722B" w:rsidRPr="00E05D09" w:rsidRDefault="004425A1">
      <w:pPr>
        <w:numPr>
          <w:ilvl w:val="0"/>
          <w:numId w:val="17"/>
        </w:numPr>
        <w:pBdr>
          <w:top w:val="nil"/>
          <w:left w:val="nil"/>
          <w:bottom w:val="nil"/>
          <w:right w:val="nil"/>
          <w:between w:val="nil"/>
        </w:pBdr>
        <w:ind w:right="539"/>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Actividades o funciones asignadas a cada área </w:t>
      </w:r>
    </w:p>
    <w:p w14:paraId="2648326E" w14:textId="77777777" w:rsidR="00B2722B" w:rsidRPr="00E05D09" w:rsidRDefault="004425A1">
      <w:pPr>
        <w:numPr>
          <w:ilvl w:val="1"/>
          <w:numId w:val="11"/>
        </w:numPr>
        <w:pBdr>
          <w:top w:val="nil"/>
          <w:left w:val="nil"/>
          <w:bottom w:val="nil"/>
          <w:right w:val="nil"/>
          <w:between w:val="nil"/>
        </w:pBdr>
        <w:ind w:left="142"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b/>
          <w:bCs/>
          <w:color w:val="000000"/>
        </w:rPr>
        <w:t>Del 01 de enero al 19 de febrero de 2026</w:t>
      </w:r>
    </w:p>
    <w:p w14:paraId="3AC3729D" w14:textId="77777777" w:rsidR="00B2722B" w:rsidRPr="00E05D09" w:rsidRDefault="004425A1">
      <w:pPr>
        <w:numPr>
          <w:ilvl w:val="3"/>
          <w:numId w:val="25"/>
        </w:numPr>
        <w:pBdr>
          <w:top w:val="nil"/>
          <w:left w:val="nil"/>
          <w:bottom w:val="nil"/>
          <w:right w:val="nil"/>
          <w:between w:val="nil"/>
        </w:pBdr>
        <w:ind w:left="709"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Recursos Humanos</w:t>
      </w:r>
    </w:p>
    <w:p w14:paraId="7710C3E7" w14:textId="77777777" w:rsidR="00B2722B" w:rsidRPr="00E05D09" w:rsidRDefault="004425A1">
      <w:pPr>
        <w:ind w:left="1418"/>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 xml:space="preserve">a. Plantilla de personal desglosada por área, puesto y tipo de contratación. </w:t>
      </w:r>
    </w:p>
    <w:p w14:paraId="59387113" w14:textId="77777777" w:rsidR="00B2722B" w:rsidRPr="00E05D09" w:rsidRDefault="004425A1">
      <w:pPr>
        <w:numPr>
          <w:ilvl w:val="1"/>
          <w:numId w:val="25"/>
        </w:numPr>
        <w:pBdr>
          <w:top w:val="nil"/>
          <w:left w:val="nil"/>
          <w:bottom w:val="nil"/>
          <w:right w:val="nil"/>
          <w:between w:val="nil"/>
        </w:pBdr>
        <w:ind w:left="1418"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Perfil de puestos vigente.</w:t>
      </w:r>
    </w:p>
    <w:p w14:paraId="6556BEFD" w14:textId="77777777" w:rsidR="00B2722B" w:rsidRPr="00E05D09" w:rsidRDefault="004425A1">
      <w:pPr>
        <w:numPr>
          <w:ilvl w:val="1"/>
          <w:numId w:val="25"/>
        </w:numPr>
        <w:pBdr>
          <w:top w:val="nil"/>
          <w:left w:val="nil"/>
          <w:bottom w:val="nil"/>
          <w:right w:val="nil"/>
          <w:between w:val="nil"/>
        </w:pBdr>
        <w:ind w:left="1418"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Tabulador de sueldos y salarios</w:t>
      </w:r>
    </w:p>
    <w:p w14:paraId="4BE9EEFD" w14:textId="77777777" w:rsidR="00B2722B" w:rsidRPr="00E05D09" w:rsidRDefault="004425A1">
      <w:pPr>
        <w:numPr>
          <w:ilvl w:val="1"/>
          <w:numId w:val="25"/>
        </w:numPr>
        <w:pBdr>
          <w:top w:val="nil"/>
          <w:left w:val="nil"/>
          <w:bottom w:val="nil"/>
          <w:right w:val="nil"/>
          <w:between w:val="nil"/>
        </w:pBdr>
        <w:ind w:left="1418"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Altas, bajas y movimiento de personal</w:t>
      </w:r>
    </w:p>
    <w:p w14:paraId="68823C25" w14:textId="77777777" w:rsidR="00B2722B" w:rsidRPr="00E05D09" w:rsidRDefault="004425A1">
      <w:pPr>
        <w:numPr>
          <w:ilvl w:val="1"/>
          <w:numId w:val="25"/>
        </w:numPr>
        <w:pBdr>
          <w:top w:val="nil"/>
          <w:left w:val="nil"/>
          <w:bottom w:val="nil"/>
          <w:right w:val="nil"/>
          <w:between w:val="nil"/>
        </w:pBdr>
        <w:ind w:left="1418"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Relación de puestos, cargos y funciones</w:t>
      </w:r>
    </w:p>
    <w:p w14:paraId="674A4848" w14:textId="77777777" w:rsidR="00B2722B" w:rsidRPr="00E05D09" w:rsidRDefault="004425A1">
      <w:pPr>
        <w:numPr>
          <w:ilvl w:val="0"/>
          <w:numId w:val="11"/>
        </w:numPr>
        <w:pBdr>
          <w:top w:val="nil"/>
          <w:left w:val="nil"/>
          <w:bottom w:val="nil"/>
          <w:right w:val="nil"/>
          <w:between w:val="nil"/>
        </w:pBdr>
        <w:ind w:left="709"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Procuraduría de Protección de Niñas, Niños y Adolescentes</w:t>
      </w:r>
    </w:p>
    <w:p w14:paraId="27C3E120" w14:textId="77777777" w:rsidR="00B2722B" w:rsidRPr="00E05D09" w:rsidRDefault="004425A1">
      <w:pPr>
        <w:numPr>
          <w:ilvl w:val="7"/>
          <w:numId w:val="11"/>
        </w:numPr>
        <w:pBdr>
          <w:top w:val="nil"/>
          <w:left w:val="nil"/>
          <w:bottom w:val="nil"/>
          <w:right w:val="nil"/>
          <w:between w:val="nil"/>
        </w:pBdr>
        <w:ind w:left="1418" w:firstLine="0"/>
        <w:jc w:val="both"/>
        <w:rPr>
          <w:rFonts w:ascii="Palatino Linotype" w:eastAsia="Palatino Linotype" w:hAnsi="Palatino Linotype" w:cs="Palatino Linotype"/>
          <w:color w:val="000000"/>
        </w:rPr>
      </w:pPr>
      <w:r w:rsidRPr="00E05D09">
        <w:rPr>
          <w:rFonts w:ascii="Palatino Linotype" w:eastAsia="Palatino Linotype" w:hAnsi="Palatino Linotype" w:cs="Palatino Linotype"/>
          <w:color w:val="000000"/>
        </w:rPr>
        <w:t>Número de asesorías jurídicas y psicológicas brindadas</w:t>
      </w:r>
    </w:p>
    <w:p w14:paraId="20A062D7" w14:textId="77777777" w:rsidR="00B2722B" w:rsidRPr="00E05D09" w:rsidRDefault="00B2722B">
      <w:pPr>
        <w:pBdr>
          <w:top w:val="nil"/>
          <w:left w:val="nil"/>
          <w:bottom w:val="nil"/>
          <w:right w:val="nil"/>
          <w:between w:val="nil"/>
        </w:pBdr>
        <w:spacing w:line="360" w:lineRule="auto"/>
        <w:ind w:left="142"/>
        <w:jc w:val="both"/>
        <w:rPr>
          <w:rFonts w:ascii="Palatino Linotype" w:eastAsia="Palatino Linotype" w:hAnsi="Palatino Linotype" w:cs="Palatino Linotype"/>
          <w:b/>
          <w:bCs/>
          <w:color w:val="000000"/>
        </w:rPr>
      </w:pPr>
    </w:p>
    <w:p w14:paraId="43FCA041" w14:textId="77777777" w:rsidR="00B2722B" w:rsidRPr="00E05D09" w:rsidRDefault="004425A1">
      <w:pP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4D9CC8C3" w14:textId="77777777" w:rsidR="00B2722B" w:rsidRPr="00E05D09" w:rsidRDefault="00B2722B">
      <w:pPr>
        <w:spacing w:line="360" w:lineRule="auto"/>
        <w:jc w:val="both"/>
        <w:rPr>
          <w:rFonts w:ascii="Palatino Linotype" w:eastAsia="Palatino Linotype" w:hAnsi="Palatino Linotype" w:cs="Palatino Linotype"/>
        </w:rPr>
      </w:pPr>
    </w:p>
    <w:p w14:paraId="12CEB0F1" w14:textId="77777777" w:rsidR="00B2722B" w:rsidRPr="00E05D09" w:rsidRDefault="004425A1">
      <w:pPr>
        <w:spacing w:line="360" w:lineRule="auto"/>
        <w:jc w:val="both"/>
        <w:rPr>
          <w:rFonts w:ascii="Palatino Linotype" w:eastAsia="Palatino Linotype" w:hAnsi="Palatino Linotype" w:cs="Palatino Linotype"/>
        </w:rPr>
      </w:pPr>
      <w:r w:rsidRPr="00E05D09">
        <w:rPr>
          <w:rFonts w:ascii="Palatino Linotype" w:eastAsia="Palatino Linotype" w:hAnsi="Palatino Linotype" w:cs="Palatino Linotype"/>
        </w:rPr>
        <w:t>Para el caso de que la información que se ordena entregar en el</w:t>
      </w:r>
      <w:r w:rsidR="00A418B1" w:rsidRPr="00E05D09">
        <w:rPr>
          <w:rFonts w:ascii="Palatino Linotype" w:eastAsia="Palatino Linotype" w:hAnsi="Palatino Linotype" w:cs="Palatino Linotype"/>
        </w:rPr>
        <w:t xml:space="preserve"> requerimiento I, del numeral 9</w:t>
      </w:r>
      <w:r w:rsidRPr="00E05D09">
        <w:rPr>
          <w:rFonts w:ascii="Palatino Linotype" w:eastAsia="Palatino Linotype" w:hAnsi="Palatino Linotype" w:cs="Palatino Linotype"/>
        </w:rPr>
        <w:t xml:space="preserve">, incisos b) y c); no obre en los archivos del Sujeto Obligado, bastará con que así se haga del </w:t>
      </w:r>
      <w:r w:rsidRPr="00E05D09">
        <w:rPr>
          <w:rFonts w:ascii="Palatino Linotype" w:eastAsia="Palatino Linotype" w:hAnsi="Palatino Linotype" w:cs="Palatino Linotype"/>
        </w:rPr>
        <w:lastRenderedPageBreak/>
        <w:t>conocimiento del Particular en términos del artículo 19, párrafo segundo, de la Ley de Transparencia y Acceso a la Información Pública del Estado de México y Municipios, para tenerse por colmado dicho requerimiento.</w:t>
      </w:r>
    </w:p>
    <w:p w14:paraId="1E66C7B3" w14:textId="77777777" w:rsidR="00B2722B" w:rsidRPr="00E05D09" w:rsidRDefault="00B2722B">
      <w:pPr>
        <w:spacing w:line="360" w:lineRule="auto"/>
        <w:jc w:val="both"/>
        <w:rPr>
          <w:rFonts w:ascii="Palatino Linotype" w:eastAsia="Palatino Linotype" w:hAnsi="Palatino Linotype" w:cs="Palatino Linotype"/>
        </w:rPr>
      </w:pPr>
    </w:p>
    <w:p w14:paraId="6807CFB4" w14:textId="77777777" w:rsidR="00B2722B" w:rsidRPr="00E05D09" w:rsidRDefault="004425A1">
      <w:pPr>
        <w:tabs>
          <w:tab w:val="left" w:pos="8080"/>
        </w:tabs>
        <w:spacing w:line="360" w:lineRule="auto"/>
        <w:ind w:right="48"/>
        <w:jc w:val="both"/>
        <w:rPr>
          <w:rFonts w:ascii="Palatino Linotype" w:eastAsia="Palatino Linotype" w:hAnsi="Palatino Linotype" w:cs="Palatino Linotype"/>
          <w:color w:val="222222"/>
          <w:highlight w:val="white"/>
        </w:rPr>
      </w:pPr>
      <w:r w:rsidRPr="00E05D09">
        <w:rPr>
          <w:rFonts w:ascii="Palatino Linotype" w:eastAsia="Palatino Linotype" w:hAnsi="Palatino Linotype" w:cs="Palatino Linotype"/>
          <w:b/>
          <w:bCs/>
        </w:rPr>
        <w:t xml:space="preserve">TERCERO. Notifíquese </w:t>
      </w:r>
      <w:r w:rsidRPr="00E05D09">
        <w:rPr>
          <w:rFonts w:ascii="Palatino Linotype" w:eastAsia="Palatino Linotype" w:hAnsi="Palatino Linotype" w:cs="Palatino Linotype"/>
        </w:rPr>
        <w:t xml:space="preserve">vía SAIMEX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E05D09">
        <w:rPr>
          <w:rFonts w:ascii="Palatino Linotype" w:eastAsia="Palatino Linotype" w:hAnsi="Palatino Linotype" w:cs="Palatino Linotype"/>
          <w:b/>
        </w:rPr>
        <w:t>dé cumplimiento a lo ordenado dentro del plazo de diez días hábiles</w:t>
      </w:r>
      <w:r w:rsidRPr="00E05D09">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EB816A4" w14:textId="77777777" w:rsidR="00B2722B" w:rsidRPr="00E05D09" w:rsidRDefault="00B2722B">
      <w:pPr>
        <w:tabs>
          <w:tab w:val="left" w:pos="8080"/>
        </w:tabs>
        <w:spacing w:line="360" w:lineRule="auto"/>
        <w:ind w:right="48"/>
        <w:jc w:val="both"/>
        <w:rPr>
          <w:rFonts w:ascii="Palatino Linotype" w:eastAsia="Palatino Linotype" w:hAnsi="Palatino Linotype" w:cs="Palatino Linotype"/>
          <w:color w:val="222222"/>
          <w:highlight w:val="white"/>
        </w:rPr>
      </w:pPr>
    </w:p>
    <w:p w14:paraId="47495AC8" w14:textId="77777777" w:rsidR="00B2722B" w:rsidRPr="00E05D09" w:rsidRDefault="004425A1">
      <w:pPr>
        <w:shd w:val="clear" w:color="auto" w:fill="FFFFFF"/>
        <w:spacing w:line="360" w:lineRule="auto"/>
        <w:ind w:right="48"/>
        <w:jc w:val="both"/>
        <w:rPr>
          <w:rFonts w:ascii="Palatino Linotype" w:eastAsia="Palatino Linotype" w:hAnsi="Palatino Linotype" w:cs="Palatino Linotype"/>
        </w:rPr>
      </w:pPr>
      <w:r w:rsidRPr="00E05D09">
        <w:rPr>
          <w:rFonts w:ascii="Palatino Linotype" w:eastAsia="Palatino Linotype" w:hAnsi="Palatino Linotype" w:cs="Palatino Linotype"/>
          <w:b/>
          <w:bCs/>
        </w:rPr>
        <w:t>CUARTO. Notifíquese al RECURRENTE</w:t>
      </w:r>
      <w:r w:rsidRPr="00E05D09">
        <w:rPr>
          <w:rFonts w:ascii="Palatino Linotype" w:eastAsia="Palatino Linotype" w:hAnsi="Palatino Linotype" w:cs="Palatino Linotype"/>
        </w:rPr>
        <w:t xml:space="preserve"> la presente resolución vía SAIMEX.</w:t>
      </w:r>
    </w:p>
    <w:p w14:paraId="642C9640" w14:textId="77777777" w:rsidR="00B2722B" w:rsidRPr="00E05D09" w:rsidRDefault="00B2722B">
      <w:pPr>
        <w:shd w:val="clear" w:color="auto" w:fill="FFFFFF"/>
        <w:spacing w:line="360" w:lineRule="auto"/>
        <w:ind w:right="48"/>
        <w:jc w:val="both"/>
        <w:rPr>
          <w:rFonts w:ascii="Palatino Linotype" w:eastAsia="Palatino Linotype" w:hAnsi="Palatino Linotype" w:cs="Palatino Linotype"/>
          <w:b/>
          <w:bCs/>
          <w:color w:val="FF0000"/>
        </w:rPr>
      </w:pPr>
    </w:p>
    <w:p w14:paraId="1D8D0F29" w14:textId="77777777" w:rsidR="00B2722B" w:rsidRPr="00E05D09" w:rsidRDefault="004425A1">
      <w:pPr>
        <w:spacing w:line="360" w:lineRule="auto"/>
        <w:ind w:right="48"/>
        <w:jc w:val="both"/>
        <w:rPr>
          <w:rFonts w:ascii="Palatino Linotype" w:eastAsia="Palatino Linotype" w:hAnsi="Palatino Linotype" w:cs="Palatino Linotype"/>
        </w:rPr>
      </w:pPr>
      <w:r w:rsidRPr="00E05D09">
        <w:rPr>
          <w:rFonts w:ascii="Palatino Linotype" w:eastAsia="Palatino Linotype" w:hAnsi="Palatino Linotype" w:cs="Palatino Linotype"/>
          <w:b/>
          <w:bCs/>
        </w:rPr>
        <w:t>QUINTO.</w:t>
      </w:r>
      <w:r w:rsidRPr="00E05D09">
        <w:rPr>
          <w:rFonts w:ascii="Palatino Linotype" w:eastAsia="Palatino Linotype" w:hAnsi="Palatino Linotype" w:cs="Palatino Linotype"/>
        </w:rPr>
        <w:t xml:space="preserve"> Se hace del conocimiento del </w:t>
      </w:r>
      <w:r w:rsidRPr="00E05D09">
        <w:rPr>
          <w:rFonts w:ascii="Palatino Linotype" w:eastAsia="Palatino Linotype" w:hAnsi="Palatino Linotype" w:cs="Palatino Linotype"/>
          <w:b/>
          <w:bCs/>
        </w:rPr>
        <w:t>RECURRENTE</w:t>
      </w:r>
      <w:r w:rsidRPr="00E05D09">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478B5FAD" w14:textId="77777777" w:rsidR="00B2722B" w:rsidRPr="00E05D09" w:rsidRDefault="00B2722B">
      <w:pPr>
        <w:spacing w:line="360" w:lineRule="auto"/>
        <w:ind w:right="48"/>
        <w:jc w:val="both"/>
        <w:rPr>
          <w:rFonts w:ascii="Palatino Linotype" w:eastAsia="Palatino Linotype" w:hAnsi="Palatino Linotype" w:cs="Palatino Linotype"/>
          <w:color w:val="000000"/>
          <w:highlight w:val="white"/>
        </w:rPr>
      </w:pPr>
    </w:p>
    <w:p w14:paraId="48E24A23" w14:textId="77777777" w:rsidR="00B2722B" w:rsidRPr="00E05D09" w:rsidRDefault="004425A1">
      <w:pPr>
        <w:spacing w:line="360" w:lineRule="auto"/>
        <w:ind w:right="48"/>
        <w:jc w:val="both"/>
        <w:rPr>
          <w:rFonts w:ascii="Palatino Linotype" w:eastAsia="Palatino Linotype" w:hAnsi="Palatino Linotype" w:cs="Palatino Linotype"/>
        </w:rPr>
      </w:pPr>
      <w:r w:rsidRPr="00E05D09">
        <w:rPr>
          <w:rFonts w:ascii="Palatino Linotype" w:eastAsia="Palatino Linotype" w:hAnsi="Palatino Linotype" w:cs="Palatino Linotype"/>
          <w:b/>
          <w:bCs/>
          <w:color w:val="000000"/>
          <w:highlight w:val="white"/>
        </w:rPr>
        <w:t xml:space="preserve">SEXTO. </w:t>
      </w:r>
      <w:r w:rsidRPr="00E05D09">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Sujeto </w:t>
      </w:r>
      <w:r w:rsidRPr="00E05D09">
        <w:rPr>
          <w:rFonts w:ascii="Palatino Linotype" w:eastAsia="Palatino Linotype" w:hAnsi="Palatino Linotype" w:cs="Palatino Linotype"/>
        </w:rPr>
        <w:lastRenderedPageBreak/>
        <w:t>Obligado de manera fundada y motivada, podrá solicitar una ampliación de plazo para el cumplimiento de la presente resolución.</w:t>
      </w:r>
    </w:p>
    <w:p w14:paraId="2C42F5D6" w14:textId="77777777" w:rsidR="00B2722B" w:rsidRPr="00E05D09" w:rsidRDefault="00B2722B">
      <w:pPr>
        <w:shd w:val="clear" w:color="auto" w:fill="FFFFFF"/>
        <w:spacing w:line="360" w:lineRule="auto"/>
        <w:jc w:val="both"/>
        <w:rPr>
          <w:rFonts w:ascii="Palatino Linotype" w:eastAsia="Palatino Linotype" w:hAnsi="Palatino Linotype" w:cs="Palatino Linotype"/>
        </w:rPr>
      </w:pPr>
    </w:p>
    <w:p w14:paraId="6000A6CD" w14:textId="77777777" w:rsidR="00736339" w:rsidRPr="00E05D09" w:rsidRDefault="00736339" w:rsidP="00736339">
      <w:pPr>
        <w:spacing w:before="240" w:after="240" w:line="360" w:lineRule="auto"/>
        <w:ind w:firstLine="1"/>
        <w:jc w:val="both"/>
        <w:rPr>
          <w:rFonts w:ascii="Palatino Linotype" w:hAnsi="Palatino Linotype"/>
        </w:rPr>
      </w:pPr>
      <w:bookmarkStart w:id="12" w:name="_Hlk99014733"/>
      <w:r w:rsidRPr="00E05D09">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TERCERA SESIÓN ORDINARIA, CELEBRADA EL VEINTICINCO (25) DE JUNIO DE DOS MIL VEINTISÉIS, ANTE EL SECRETARIO TÉCNICO DEL PLENO </w:t>
      </w:r>
      <w:r w:rsidRPr="00E05D09">
        <w:rPr>
          <w:rFonts w:ascii="Palatino Linotype" w:hAnsi="Palatino Linotype" w:cs="Palatino Linotype"/>
          <w:color w:val="000000" w:themeColor="text1"/>
        </w:rPr>
        <w:t>ALEXIS TAPIA RAMÍREZ.</w:t>
      </w:r>
    </w:p>
    <w:bookmarkEnd w:id="12"/>
    <w:p w14:paraId="10B7BB5D" w14:textId="77777777" w:rsidR="00B2722B" w:rsidRPr="00E05D09" w:rsidRDefault="00B2722B">
      <w:pPr>
        <w:spacing w:line="360" w:lineRule="auto"/>
        <w:rPr>
          <w:rFonts w:ascii="Palatino Linotype" w:eastAsia="Palatino Linotype" w:hAnsi="Palatino Linotype" w:cs="Palatino Linotype"/>
        </w:rPr>
      </w:pPr>
    </w:p>
    <w:p w14:paraId="739B9674" w14:textId="77777777" w:rsidR="00B2722B" w:rsidRPr="00E05D09" w:rsidRDefault="00B2722B">
      <w:pPr>
        <w:spacing w:line="360" w:lineRule="auto"/>
        <w:rPr>
          <w:rFonts w:ascii="Palatino Linotype" w:eastAsia="Palatino Linotype" w:hAnsi="Palatino Linotype" w:cs="Palatino Linotype"/>
        </w:rPr>
      </w:pPr>
    </w:p>
    <w:p w14:paraId="32E7DEC5" w14:textId="77777777" w:rsidR="00B2722B" w:rsidRPr="00E05D09" w:rsidRDefault="00B2722B">
      <w:pPr>
        <w:spacing w:line="360" w:lineRule="auto"/>
        <w:rPr>
          <w:rFonts w:ascii="Palatino Linotype" w:eastAsia="Palatino Linotype" w:hAnsi="Palatino Linotype" w:cs="Palatino Linotype"/>
        </w:rPr>
      </w:pPr>
    </w:p>
    <w:p w14:paraId="045A0483" w14:textId="77777777" w:rsidR="00B2722B" w:rsidRPr="00E05D09" w:rsidRDefault="00B2722B">
      <w:pPr>
        <w:spacing w:line="360" w:lineRule="auto"/>
        <w:rPr>
          <w:rFonts w:ascii="Palatino Linotype" w:eastAsia="Palatino Linotype" w:hAnsi="Palatino Linotype" w:cs="Palatino Linotype"/>
        </w:rPr>
      </w:pPr>
    </w:p>
    <w:p w14:paraId="0C6BBA02" w14:textId="77777777" w:rsidR="00B2722B" w:rsidRPr="00E05D09" w:rsidRDefault="00B2722B">
      <w:pPr>
        <w:spacing w:line="360" w:lineRule="auto"/>
        <w:rPr>
          <w:rFonts w:ascii="Palatino Linotype" w:eastAsia="Palatino Linotype" w:hAnsi="Palatino Linotype" w:cs="Palatino Linotype"/>
        </w:rPr>
      </w:pPr>
    </w:p>
    <w:p w14:paraId="1BCB9CD8" w14:textId="77777777" w:rsidR="00B2722B" w:rsidRPr="00E05D09" w:rsidRDefault="00B2722B">
      <w:pPr>
        <w:spacing w:line="360" w:lineRule="auto"/>
        <w:rPr>
          <w:rFonts w:ascii="Palatino Linotype" w:eastAsia="Palatino Linotype" w:hAnsi="Palatino Linotype" w:cs="Palatino Linotype"/>
        </w:rPr>
      </w:pPr>
    </w:p>
    <w:p w14:paraId="6D4CD432" w14:textId="77777777" w:rsidR="00B2722B" w:rsidRPr="00E05D09" w:rsidRDefault="00B2722B">
      <w:pPr>
        <w:spacing w:line="360" w:lineRule="auto"/>
        <w:rPr>
          <w:rFonts w:ascii="Palatino Linotype" w:eastAsia="Palatino Linotype" w:hAnsi="Palatino Linotype" w:cs="Palatino Linotype"/>
        </w:rPr>
      </w:pPr>
    </w:p>
    <w:p w14:paraId="3775782D" w14:textId="77777777" w:rsidR="00B2722B" w:rsidRPr="00E05D09" w:rsidRDefault="00B2722B">
      <w:pPr>
        <w:spacing w:line="360" w:lineRule="auto"/>
        <w:rPr>
          <w:rFonts w:ascii="Palatino Linotype" w:eastAsia="Palatino Linotype" w:hAnsi="Palatino Linotype" w:cs="Palatino Linotype"/>
        </w:rPr>
      </w:pPr>
    </w:p>
    <w:p w14:paraId="3090337C" w14:textId="77777777" w:rsidR="00B2722B" w:rsidRPr="00E05D09" w:rsidRDefault="00B2722B">
      <w:pPr>
        <w:spacing w:line="360" w:lineRule="auto"/>
        <w:rPr>
          <w:rFonts w:ascii="Palatino Linotype" w:eastAsia="Palatino Linotype" w:hAnsi="Palatino Linotype" w:cs="Palatino Linotype"/>
        </w:rPr>
      </w:pPr>
    </w:p>
    <w:p w14:paraId="2713ED6C" w14:textId="77777777" w:rsidR="00B2722B" w:rsidRPr="00E05D09" w:rsidRDefault="00B2722B">
      <w:pPr>
        <w:rPr>
          <w:rFonts w:ascii="Palatino Linotype" w:eastAsia="Palatino Linotype" w:hAnsi="Palatino Linotype" w:cs="Palatino Linotype"/>
        </w:rPr>
      </w:pPr>
    </w:p>
    <w:p w14:paraId="428805C0" w14:textId="77777777" w:rsidR="00B2722B" w:rsidRPr="00E05D09" w:rsidRDefault="00B2722B">
      <w:pPr>
        <w:rPr>
          <w:rFonts w:ascii="Palatino Linotype" w:eastAsia="Palatino Linotype" w:hAnsi="Palatino Linotype" w:cs="Palatino Linotype"/>
        </w:rPr>
      </w:pPr>
    </w:p>
    <w:p w14:paraId="77517575" w14:textId="77777777" w:rsidR="00B2722B" w:rsidRPr="00E05D09" w:rsidRDefault="00B2722B">
      <w:pPr>
        <w:rPr>
          <w:rFonts w:ascii="Palatino Linotype" w:eastAsia="Palatino Linotype" w:hAnsi="Palatino Linotype" w:cs="Palatino Linotype"/>
        </w:rPr>
      </w:pPr>
    </w:p>
    <w:p w14:paraId="0B13FA20" w14:textId="77777777" w:rsidR="00B2722B" w:rsidRPr="00E05D09" w:rsidRDefault="00B2722B">
      <w:pPr>
        <w:rPr>
          <w:rFonts w:ascii="Palatino Linotype" w:eastAsia="Palatino Linotype" w:hAnsi="Palatino Linotype" w:cs="Palatino Linotype"/>
        </w:rPr>
      </w:pPr>
    </w:p>
    <w:p w14:paraId="186F5167" w14:textId="77777777" w:rsidR="00B2722B" w:rsidRPr="00E05D09" w:rsidRDefault="00B2722B">
      <w:pPr>
        <w:rPr>
          <w:rFonts w:ascii="Palatino Linotype" w:eastAsia="Palatino Linotype" w:hAnsi="Palatino Linotype" w:cs="Palatino Linotype"/>
        </w:rPr>
      </w:pPr>
    </w:p>
    <w:p w14:paraId="0192A39B" w14:textId="77777777" w:rsidR="00B2722B" w:rsidRPr="00E05D09" w:rsidRDefault="00B2722B">
      <w:pPr>
        <w:rPr>
          <w:rFonts w:ascii="Palatino Linotype" w:eastAsia="Palatino Linotype" w:hAnsi="Palatino Linotype" w:cs="Palatino Linotype"/>
        </w:rPr>
      </w:pPr>
    </w:p>
    <w:p w14:paraId="719B13D9" w14:textId="77777777" w:rsidR="00B2722B" w:rsidRPr="00E05D09" w:rsidRDefault="00B2722B">
      <w:pPr>
        <w:rPr>
          <w:rFonts w:ascii="Palatino Linotype" w:eastAsia="Palatino Linotype" w:hAnsi="Palatino Linotype" w:cs="Palatino Linotype"/>
        </w:rPr>
      </w:pPr>
    </w:p>
    <w:p w14:paraId="534409DF" w14:textId="77777777" w:rsidR="00E05D09" w:rsidRPr="00E05D09" w:rsidRDefault="00E05D09">
      <w:pPr>
        <w:rPr>
          <w:rFonts w:ascii="Palatino Linotype" w:eastAsia="Palatino Linotype" w:hAnsi="Palatino Linotype" w:cs="Palatino Linotype"/>
        </w:rPr>
      </w:pPr>
    </w:p>
    <w:sectPr w:rsidR="00E05D09" w:rsidRPr="00E05D09" w:rsidSect="00E05D09">
      <w:headerReference w:type="even" r:id="rId27"/>
      <w:headerReference w:type="default" r:id="rId28"/>
      <w:footerReference w:type="default" r:id="rId29"/>
      <w:headerReference w:type="first" r:id="rId30"/>
      <w:footerReference w:type="first" r:id="rId31"/>
      <w:pgSz w:w="12240" w:h="15840"/>
      <w:pgMar w:top="80" w:right="616"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C1BA77" w14:textId="77777777" w:rsidR="006C360A" w:rsidRDefault="006C360A">
      <w:r>
        <w:separator/>
      </w:r>
    </w:p>
  </w:endnote>
  <w:endnote w:type="continuationSeparator" w:id="0">
    <w:p w14:paraId="6240FEE6" w14:textId="77777777" w:rsidR="006C360A" w:rsidRDefault="006C3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DD66E0C5-F088-47B3-9A90-CA6D0D568C4A}"/>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4A02F437-D8E8-4F00-A305-FB61EEBA057B}"/>
    <w:embedBold r:id="rId3" w:fontKey="{59A99787-4F04-43A3-A58F-1D7EB47D24F5}"/>
    <w:embedItalic r:id="rId4" w:fontKey="{1BD960CC-374A-47A3-BC34-3CD41550ABAC}"/>
    <w:embedBoldItalic r:id="rId5" w:fontKey="{E3FC290F-9479-4380-A96D-20ACC8838619}"/>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4B030438-4D95-4F43-B735-08BD4581FF2A}"/>
  </w:font>
  <w:font w:name="Georgia">
    <w:panose1 w:val="02040502050405020303"/>
    <w:charset w:val="00"/>
    <w:family w:val="roman"/>
    <w:pitch w:val="variable"/>
    <w:sig w:usb0="00000287" w:usb1="00000000" w:usb2="00000000" w:usb3="00000000" w:csb0="0000009F" w:csb1="00000000"/>
    <w:embedItalic r:id="rId7" w:fontKey="{58709648-5237-4B5E-B735-5956608B79AA}"/>
  </w:font>
  <w:font w:name="Cambria">
    <w:panose1 w:val="02040503050406030204"/>
    <w:charset w:val="00"/>
    <w:family w:val="roman"/>
    <w:pitch w:val="variable"/>
    <w:sig w:usb0="E00006FF" w:usb1="420024FF" w:usb2="02000000" w:usb3="00000000" w:csb0="0000019F" w:csb1="00000000"/>
    <w:embedRegular r:id="rId8" w:fontKey="{88BE3B63-8DDE-4735-A405-16C604830526}"/>
  </w:font>
  <w:font w:name="Garamond">
    <w:panose1 w:val="02020404030301010803"/>
    <w:charset w:val="00"/>
    <w:family w:val="roman"/>
    <w:pitch w:val="variable"/>
    <w:sig w:usb0="00000287" w:usb1="00000000" w:usb2="00000000" w:usb3="00000000" w:csb0="0000009F" w:csb1="00000000"/>
    <w:embedRegular r:id="rId9" w:fontKey="{A8AC6160-FC87-40F3-8AAC-55C8024BF4D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0F903" w14:textId="77777777" w:rsidR="00E05D09" w:rsidRPr="00E05D09" w:rsidRDefault="00E05D09">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E05D09">
      <w:rPr>
        <w:rFonts w:ascii="Palatino Linotype" w:hAnsi="Palatino Linotype"/>
        <w:color w:val="000000"/>
        <w:sz w:val="22"/>
      </w:rPr>
      <w:t xml:space="preserve">Página </w:t>
    </w:r>
    <w:r w:rsidRPr="00E05D09">
      <w:rPr>
        <w:rFonts w:ascii="Palatino Linotype" w:hAnsi="Palatino Linotype"/>
        <w:b/>
        <w:bCs/>
        <w:color w:val="000000"/>
        <w:sz w:val="22"/>
      </w:rPr>
      <w:fldChar w:fldCharType="begin"/>
    </w:r>
    <w:r w:rsidRPr="00E05D09">
      <w:rPr>
        <w:rFonts w:ascii="Palatino Linotype" w:hAnsi="Palatino Linotype"/>
        <w:b/>
        <w:bCs/>
        <w:color w:val="000000"/>
        <w:sz w:val="22"/>
      </w:rPr>
      <w:instrText>PAGE</w:instrText>
    </w:r>
    <w:r w:rsidRPr="00E05D09">
      <w:rPr>
        <w:rFonts w:ascii="Palatino Linotype" w:hAnsi="Palatino Linotype"/>
        <w:b/>
        <w:bCs/>
        <w:color w:val="000000"/>
        <w:sz w:val="22"/>
      </w:rPr>
      <w:fldChar w:fldCharType="separate"/>
    </w:r>
    <w:r w:rsidR="00A075B7">
      <w:rPr>
        <w:rFonts w:ascii="Palatino Linotype" w:hAnsi="Palatino Linotype"/>
        <w:b/>
        <w:bCs/>
        <w:noProof/>
        <w:color w:val="000000"/>
        <w:sz w:val="22"/>
      </w:rPr>
      <w:t>14</w:t>
    </w:r>
    <w:r w:rsidRPr="00E05D09">
      <w:rPr>
        <w:rFonts w:ascii="Palatino Linotype" w:hAnsi="Palatino Linotype"/>
        <w:b/>
        <w:bCs/>
        <w:color w:val="000000"/>
        <w:sz w:val="22"/>
      </w:rPr>
      <w:fldChar w:fldCharType="end"/>
    </w:r>
    <w:r w:rsidRPr="00E05D09">
      <w:rPr>
        <w:rFonts w:ascii="Palatino Linotype" w:hAnsi="Palatino Linotype"/>
        <w:color w:val="000000"/>
        <w:sz w:val="22"/>
      </w:rPr>
      <w:t xml:space="preserve"> de </w:t>
    </w:r>
    <w:r w:rsidRPr="00E05D09">
      <w:rPr>
        <w:rFonts w:ascii="Palatino Linotype" w:hAnsi="Palatino Linotype"/>
        <w:b/>
        <w:bCs/>
        <w:color w:val="000000"/>
        <w:sz w:val="22"/>
      </w:rPr>
      <w:fldChar w:fldCharType="begin"/>
    </w:r>
    <w:r w:rsidRPr="00E05D09">
      <w:rPr>
        <w:rFonts w:ascii="Palatino Linotype" w:hAnsi="Palatino Linotype"/>
        <w:b/>
        <w:bCs/>
        <w:color w:val="000000"/>
        <w:sz w:val="22"/>
      </w:rPr>
      <w:instrText>NUMPAGES</w:instrText>
    </w:r>
    <w:r w:rsidRPr="00E05D09">
      <w:rPr>
        <w:rFonts w:ascii="Palatino Linotype" w:hAnsi="Palatino Linotype"/>
        <w:b/>
        <w:bCs/>
        <w:color w:val="000000"/>
        <w:sz w:val="22"/>
      </w:rPr>
      <w:fldChar w:fldCharType="separate"/>
    </w:r>
    <w:r w:rsidR="00A075B7">
      <w:rPr>
        <w:rFonts w:ascii="Palatino Linotype" w:hAnsi="Palatino Linotype"/>
        <w:b/>
        <w:bCs/>
        <w:noProof/>
        <w:color w:val="000000"/>
        <w:sz w:val="22"/>
      </w:rPr>
      <w:t>129</w:t>
    </w:r>
    <w:r w:rsidRPr="00E05D09">
      <w:rPr>
        <w:rFonts w:ascii="Palatino Linotype" w:hAnsi="Palatino Linotype"/>
        <w:b/>
        <w:bCs/>
        <w:color w:val="000000"/>
        <w:sz w:val="22"/>
      </w:rPr>
      <w:fldChar w:fldCharType="end"/>
    </w:r>
  </w:p>
  <w:p w14:paraId="692DB437" w14:textId="77777777" w:rsidR="00E05D09" w:rsidRDefault="00E05D09">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D33E2" w14:textId="77777777" w:rsidR="00E05D09" w:rsidRPr="00E05D09" w:rsidRDefault="00E05D09">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E05D09">
      <w:rPr>
        <w:rFonts w:ascii="Palatino Linotype" w:hAnsi="Palatino Linotype"/>
        <w:color w:val="000000"/>
        <w:sz w:val="22"/>
      </w:rPr>
      <w:t xml:space="preserve">Página </w:t>
    </w:r>
    <w:r w:rsidRPr="00E05D09">
      <w:rPr>
        <w:rFonts w:ascii="Palatino Linotype" w:hAnsi="Palatino Linotype"/>
        <w:b/>
        <w:bCs/>
        <w:color w:val="000000"/>
        <w:sz w:val="22"/>
      </w:rPr>
      <w:fldChar w:fldCharType="begin"/>
    </w:r>
    <w:r w:rsidRPr="00E05D09">
      <w:rPr>
        <w:rFonts w:ascii="Palatino Linotype" w:hAnsi="Palatino Linotype"/>
        <w:b/>
        <w:bCs/>
        <w:color w:val="000000"/>
        <w:sz w:val="22"/>
      </w:rPr>
      <w:instrText>PAGE</w:instrText>
    </w:r>
    <w:r w:rsidRPr="00E05D09">
      <w:rPr>
        <w:rFonts w:ascii="Palatino Linotype" w:hAnsi="Palatino Linotype"/>
        <w:b/>
        <w:bCs/>
        <w:color w:val="000000"/>
        <w:sz w:val="22"/>
      </w:rPr>
      <w:fldChar w:fldCharType="separate"/>
    </w:r>
    <w:r w:rsidR="00A075B7">
      <w:rPr>
        <w:rFonts w:ascii="Palatino Linotype" w:hAnsi="Palatino Linotype"/>
        <w:b/>
        <w:bCs/>
        <w:noProof/>
        <w:color w:val="000000"/>
        <w:sz w:val="22"/>
      </w:rPr>
      <w:t>1</w:t>
    </w:r>
    <w:r w:rsidRPr="00E05D09">
      <w:rPr>
        <w:rFonts w:ascii="Palatino Linotype" w:hAnsi="Palatino Linotype"/>
        <w:b/>
        <w:bCs/>
        <w:color w:val="000000"/>
        <w:sz w:val="22"/>
      </w:rPr>
      <w:fldChar w:fldCharType="end"/>
    </w:r>
    <w:r w:rsidRPr="00E05D09">
      <w:rPr>
        <w:rFonts w:ascii="Palatino Linotype" w:hAnsi="Palatino Linotype"/>
        <w:color w:val="000000"/>
        <w:sz w:val="22"/>
      </w:rPr>
      <w:t xml:space="preserve"> de </w:t>
    </w:r>
    <w:r w:rsidRPr="00E05D09">
      <w:rPr>
        <w:rFonts w:ascii="Palatino Linotype" w:hAnsi="Palatino Linotype"/>
        <w:b/>
        <w:bCs/>
        <w:color w:val="000000"/>
        <w:sz w:val="22"/>
      </w:rPr>
      <w:fldChar w:fldCharType="begin"/>
    </w:r>
    <w:r w:rsidRPr="00E05D09">
      <w:rPr>
        <w:rFonts w:ascii="Palatino Linotype" w:hAnsi="Palatino Linotype"/>
        <w:b/>
        <w:bCs/>
        <w:color w:val="000000"/>
        <w:sz w:val="22"/>
      </w:rPr>
      <w:instrText>NUMPAGES</w:instrText>
    </w:r>
    <w:r w:rsidRPr="00E05D09">
      <w:rPr>
        <w:rFonts w:ascii="Palatino Linotype" w:hAnsi="Palatino Linotype"/>
        <w:b/>
        <w:bCs/>
        <w:color w:val="000000"/>
        <w:sz w:val="22"/>
      </w:rPr>
      <w:fldChar w:fldCharType="separate"/>
    </w:r>
    <w:r w:rsidR="00A075B7">
      <w:rPr>
        <w:rFonts w:ascii="Palatino Linotype" w:hAnsi="Palatino Linotype"/>
        <w:b/>
        <w:bCs/>
        <w:noProof/>
        <w:color w:val="000000"/>
        <w:sz w:val="22"/>
      </w:rPr>
      <w:t>129</w:t>
    </w:r>
    <w:r w:rsidRPr="00E05D09">
      <w:rPr>
        <w:rFonts w:ascii="Palatino Linotype" w:hAnsi="Palatino Linotype"/>
        <w:b/>
        <w:bCs/>
        <w:color w:val="000000"/>
        <w:sz w:val="22"/>
      </w:rPr>
      <w:fldChar w:fldCharType="end"/>
    </w:r>
  </w:p>
  <w:p w14:paraId="7DBC1E0B" w14:textId="77777777" w:rsidR="00E05D09" w:rsidRDefault="00E05D0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C2C036" w14:textId="77777777" w:rsidR="006C360A" w:rsidRDefault="006C360A">
      <w:r>
        <w:separator/>
      </w:r>
    </w:p>
  </w:footnote>
  <w:footnote w:type="continuationSeparator" w:id="0">
    <w:p w14:paraId="453FD1A7" w14:textId="77777777" w:rsidR="006C360A" w:rsidRDefault="006C360A">
      <w:r>
        <w:continuationSeparator/>
      </w:r>
    </w:p>
  </w:footnote>
  <w:footnote w:id="1">
    <w:p w14:paraId="1B995158" w14:textId="77777777" w:rsidR="00E05D09" w:rsidRDefault="00E05D09">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63D26FD6" w14:textId="77777777" w:rsidR="00E05D09" w:rsidRDefault="00E05D09">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1B1960E7" w14:textId="77777777" w:rsidR="00E05D09" w:rsidRDefault="00E05D09">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37A73092" w14:textId="77777777" w:rsidR="00E05D09" w:rsidRDefault="00E05D09">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14:paraId="23FF22CA" w14:textId="77777777" w:rsidR="00E05D09" w:rsidRDefault="00E05D09">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50, Ley de Transparencia y Acceso a la Información Pública del Estado de México y Municipios.</w:t>
      </w:r>
    </w:p>
  </w:footnote>
  <w:footnote w:id="6">
    <w:p w14:paraId="0DE65961" w14:textId="77777777" w:rsidR="00E05D09" w:rsidRDefault="00E05D09">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51, Ídem.</w:t>
      </w:r>
    </w:p>
  </w:footnote>
  <w:footnote w:id="7">
    <w:p w14:paraId="58FFA857" w14:textId="77777777" w:rsidR="00E05D09" w:rsidRDefault="00E05D09">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58, Ley de Transparencia y Acceso a la Información Pública del Estado de México y Municipios.</w:t>
      </w:r>
    </w:p>
  </w:footnote>
  <w:footnote w:id="8">
    <w:p w14:paraId="62EA0418" w14:textId="77777777" w:rsidR="00E05D09" w:rsidRDefault="00E05D09">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59, Ídem.</w:t>
      </w:r>
    </w:p>
  </w:footnote>
  <w:footnote w:id="9">
    <w:p w14:paraId="46ABFB8A" w14:textId="77777777" w:rsidR="00E05D09" w:rsidRDefault="00E05D0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Artículo 342 del Código Financiero del Estado de México.</w:t>
      </w:r>
    </w:p>
  </w:footnote>
  <w:footnote w:id="10">
    <w:p w14:paraId="4EDDA969" w14:textId="77777777" w:rsidR="00E05D09" w:rsidRDefault="00E05D0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Políticas para la Integración del Informe Trimestral de los Sujetos de Fiscalización Municipales, OSFEM.</w:t>
      </w:r>
    </w:p>
  </w:footnote>
  <w:footnote w:id="11">
    <w:p w14:paraId="28B8F78A" w14:textId="77777777" w:rsidR="00E05D09" w:rsidRDefault="00E05D09">
      <w:pPr>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sz w:val="20"/>
          <w:szCs w:val="20"/>
        </w:rPr>
        <w:t xml:space="preserve"> (…)</w:t>
      </w:r>
    </w:p>
  </w:footnote>
  <w:footnote w:id="12">
    <w:p w14:paraId="5AFD2D2B" w14:textId="77777777" w:rsidR="00E05D09" w:rsidRDefault="00E05D09">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9"/>
          <w:szCs w:val="19"/>
        </w:rPr>
        <w:t xml:space="preserve"> </w:t>
      </w:r>
      <w:r>
        <w:rPr>
          <w:rFonts w:ascii="Palatino Linotype" w:eastAsia="Palatino Linotype" w:hAnsi="Palatino Linotype" w:cs="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7642C" w14:textId="77777777" w:rsidR="00E05D09" w:rsidRDefault="006C360A">
    <w:pPr>
      <w:pBdr>
        <w:top w:val="nil"/>
        <w:left w:val="nil"/>
        <w:bottom w:val="nil"/>
        <w:right w:val="nil"/>
        <w:between w:val="nil"/>
      </w:pBdr>
      <w:tabs>
        <w:tab w:val="center" w:pos="4419"/>
        <w:tab w:val="right" w:pos="8838"/>
      </w:tabs>
      <w:rPr>
        <w:color w:val="000000"/>
      </w:rPr>
    </w:pPr>
    <w:r>
      <w:rPr>
        <w:color w:val="000000"/>
      </w:rPr>
      <w:pict w14:anchorId="60CF1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2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10348" w:type="dxa"/>
      <w:tblInd w:w="0" w:type="dxa"/>
      <w:tblLayout w:type="fixed"/>
      <w:tblLook w:val="0400" w:firstRow="0" w:lastRow="0" w:firstColumn="0" w:lastColumn="0" w:noHBand="0" w:noVBand="1"/>
    </w:tblPr>
    <w:tblGrid>
      <w:gridCol w:w="2268"/>
      <w:gridCol w:w="8080"/>
    </w:tblGrid>
    <w:tr w:rsidR="00E05D09" w14:paraId="04B2B582" w14:textId="77777777" w:rsidTr="00E05D09">
      <w:trPr>
        <w:trHeight w:val="1435"/>
      </w:trPr>
      <w:tc>
        <w:tcPr>
          <w:tcW w:w="2268" w:type="dxa"/>
        </w:tcPr>
        <w:p w14:paraId="51DD8BD4" w14:textId="77777777" w:rsidR="00E05D09" w:rsidRDefault="00E05D09">
          <w:pPr>
            <w:tabs>
              <w:tab w:val="right" w:pos="4273"/>
            </w:tabs>
            <w:rPr>
              <w:rFonts w:ascii="Garamond" w:eastAsia="Garamond" w:hAnsi="Garamond" w:cs="Garamond"/>
              <w:sz w:val="16"/>
              <w:szCs w:val="16"/>
            </w:rPr>
          </w:pPr>
        </w:p>
      </w:tc>
      <w:tc>
        <w:tcPr>
          <w:tcW w:w="8080" w:type="dxa"/>
        </w:tcPr>
        <w:tbl>
          <w:tblPr>
            <w:tblStyle w:val="a2"/>
            <w:tblW w:w="6933" w:type="dxa"/>
            <w:tblInd w:w="594" w:type="dxa"/>
            <w:tblLayout w:type="fixed"/>
            <w:tblLook w:val="0400" w:firstRow="0" w:lastRow="0" w:firstColumn="0" w:lastColumn="0" w:noHBand="0" w:noVBand="1"/>
          </w:tblPr>
          <w:tblGrid>
            <w:gridCol w:w="2822"/>
            <w:gridCol w:w="4111"/>
          </w:tblGrid>
          <w:tr w:rsidR="00E05D09" w14:paraId="57A6E8F3" w14:textId="77777777" w:rsidTr="00E05D09">
            <w:trPr>
              <w:trHeight w:val="150"/>
            </w:trPr>
            <w:tc>
              <w:tcPr>
                <w:tcW w:w="2822" w:type="dxa"/>
              </w:tcPr>
              <w:p w14:paraId="28F4835D" w14:textId="77777777" w:rsidR="00E05D09" w:rsidRPr="00E05D09" w:rsidRDefault="00E05D09">
                <w:pPr>
                  <w:tabs>
                    <w:tab w:val="right" w:pos="8838"/>
                  </w:tabs>
                  <w:ind w:right="-105"/>
                  <w:rPr>
                    <w:rFonts w:ascii="Palatino Linotype" w:eastAsia="Palatino Linotype" w:hAnsi="Palatino Linotype" w:cs="Palatino Linotype"/>
                    <w:b/>
                    <w:bCs/>
                    <w:szCs w:val="22"/>
                  </w:rPr>
                </w:pPr>
                <w:r w:rsidRPr="00E05D09">
                  <w:rPr>
                    <w:rFonts w:ascii="Palatino Linotype" w:eastAsia="Palatino Linotype" w:hAnsi="Palatino Linotype" w:cs="Palatino Linotype"/>
                    <w:b/>
                    <w:bCs/>
                    <w:szCs w:val="22"/>
                  </w:rPr>
                  <w:t>Recurso de Revisión:</w:t>
                </w:r>
              </w:p>
            </w:tc>
            <w:tc>
              <w:tcPr>
                <w:tcW w:w="4111" w:type="dxa"/>
              </w:tcPr>
              <w:p w14:paraId="47606246" w14:textId="77777777" w:rsidR="00E05D09" w:rsidRPr="00E05D09" w:rsidRDefault="00E05D09">
                <w:pPr>
                  <w:tabs>
                    <w:tab w:val="right" w:pos="8838"/>
                  </w:tabs>
                  <w:ind w:left="-108" w:right="-102"/>
                  <w:jc w:val="both"/>
                  <w:rPr>
                    <w:rFonts w:ascii="Palatino Linotype" w:eastAsia="Palatino Linotype" w:hAnsi="Palatino Linotype" w:cs="Palatino Linotype"/>
                    <w:szCs w:val="22"/>
                  </w:rPr>
                </w:pPr>
                <w:r w:rsidRPr="00E05D09">
                  <w:rPr>
                    <w:rFonts w:ascii="Palatino Linotype" w:eastAsia="Palatino Linotype" w:hAnsi="Palatino Linotype" w:cs="Palatino Linotype"/>
                    <w:szCs w:val="22"/>
                  </w:rPr>
                  <w:t>03588/INFOEM/IP/RR/2026</w:t>
                </w:r>
              </w:p>
            </w:tc>
          </w:tr>
          <w:tr w:rsidR="00E05D09" w14:paraId="22B61371" w14:textId="77777777" w:rsidTr="00E05D09">
            <w:trPr>
              <w:trHeight w:val="295"/>
            </w:trPr>
            <w:tc>
              <w:tcPr>
                <w:tcW w:w="2822" w:type="dxa"/>
              </w:tcPr>
              <w:p w14:paraId="3943A418" w14:textId="77777777" w:rsidR="00E05D09" w:rsidRPr="00E05D09" w:rsidRDefault="00E05D09">
                <w:pPr>
                  <w:tabs>
                    <w:tab w:val="right" w:pos="8838"/>
                  </w:tabs>
                  <w:ind w:right="-105"/>
                  <w:rPr>
                    <w:rFonts w:ascii="Palatino Linotype" w:eastAsia="Palatino Linotype" w:hAnsi="Palatino Linotype" w:cs="Palatino Linotype"/>
                    <w:b/>
                    <w:bCs/>
                    <w:szCs w:val="22"/>
                  </w:rPr>
                </w:pPr>
                <w:r w:rsidRPr="00E05D09">
                  <w:rPr>
                    <w:rFonts w:ascii="Palatino Linotype" w:eastAsia="Palatino Linotype" w:hAnsi="Palatino Linotype" w:cs="Palatino Linotype"/>
                    <w:b/>
                    <w:bCs/>
                    <w:szCs w:val="22"/>
                  </w:rPr>
                  <w:t>Sujeto Obligado:</w:t>
                </w:r>
              </w:p>
            </w:tc>
            <w:tc>
              <w:tcPr>
                <w:tcW w:w="4111" w:type="dxa"/>
              </w:tcPr>
              <w:p w14:paraId="72FB032F" w14:textId="77777777" w:rsidR="00E05D09" w:rsidRPr="00E05D09" w:rsidRDefault="00E05D09">
                <w:pPr>
                  <w:tabs>
                    <w:tab w:val="left" w:pos="2834"/>
                    <w:tab w:val="right" w:pos="8838"/>
                  </w:tabs>
                  <w:ind w:left="-108" w:right="-102"/>
                  <w:jc w:val="both"/>
                  <w:rPr>
                    <w:rFonts w:ascii="Palatino Linotype" w:eastAsia="Palatino Linotype" w:hAnsi="Palatino Linotype" w:cs="Palatino Linotype"/>
                    <w:szCs w:val="22"/>
                  </w:rPr>
                </w:pPr>
                <w:r w:rsidRPr="00E05D09">
                  <w:rPr>
                    <w:rFonts w:ascii="Palatino Linotype" w:eastAsia="Palatino Linotype" w:hAnsi="Palatino Linotype" w:cs="Palatino Linotype"/>
                    <w:szCs w:val="22"/>
                  </w:rPr>
                  <w:t>Sistema Municipal para el Desarrollo integral de la Familia de Tianguistenco</w:t>
                </w:r>
              </w:p>
            </w:tc>
          </w:tr>
          <w:tr w:rsidR="00E05D09" w14:paraId="361698CE" w14:textId="77777777" w:rsidTr="00E05D09">
            <w:trPr>
              <w:trHeight w:val="295"/>
            </w:trPr>
            <w:tc>
              <w:tcPr>
                <w:tcW w:w="2822" w:type="dxa"/>
              </w:tcPr>
              <w:p w14:paraId="3E14A926" w14:textId="77777777" w:rsidR="00E05D09" w:rsidRPr="00E05D09" w:rsidRDefault="00E05D09">
                <w:pPr>
                  <w:tabs>
                    <w:tab w:val="right" w:pos="8838"/>
                  </w:tabs>
                  <w:ind w:right="-105"/>
                  <w:rPr>
                    <w:rFonts w:ascii="Palatino Linotype" w:eastAsia="Palatino Linotype" w:hAnsi="Palatino Linotype" w:cs="Palatino Linotype"/>
                    <w:b/>
                    <w:bCs/>
                    <w:szCs w:val="22"/>
                  </w:rPr>
                </w:pPr>
                <w:r w:rsidRPr="00E05D09">
                  <w:rPr>
                    <w:rFonts w:ascii="Palatino Linotype" w:eastAsia="Palatino Linotype" w:hAnsi="Palatino Linotype" w:cs="Palatino Linotype"/>
                    <w:b/>
                    <w:bCs/>
                    <w:szCs w:val="22"/>
                  </w:rPr>
                  <w:t>Comisionada ponente:</w:t>
                </w:r>
              </w:p>
            </w:tc>
            <w:tc>
              <w:tcPr>
                <w:tcW w:w="4111" w:type="dxa"/>
              </w:tcPr>
              <w:p w14:paraId="39A9DB24" w14:textId="77777777" w:rsidR="00E05D09" w:rsidRPr="00E05D09" w:rsidRDefault="00E05D09">
                <w:pPr>
                  <w:tabs>
                    <w:tab w:val="right" w:pos="8838"/>
                  </w:tabs>
                  <w:ind w:left="-108" w:right="171"/>
                  <w:jc w:val="both"/>
                  <w:rPr>
                    <w:rFonts w:ascii="Palatino Linotype" w:eastAsia="Palatino Linotype" w:hAnsi="Palatino Linotype" w:cs="Palatino Linotype"/>
                    <w:szCs w:val="22"/>
                  </w:rPr>
                </w:pPr>
                <w:r w:rsidRPr="00E05D09">
                  <w:rPr>
                    <w:rFonts w:ascii="Palatino Linotype" w:eastAsia="Palatino Linotype" w:hAnsi="Palatino Linotype" w:cs="Palatino Linotype"/>
                    <w:szCs w:val="22"/>
                  </w:rPr>
                  <w:t>María del Rosario Mejía Ayala</w:t>
                </w:r>
              </w:p>
              <w:p w14:paraId="4448C0BB" w14:textId="77777777" w:rsidR="00E05D09" w:rsidRPr="00E05D09" w:rsidRDefault="00E05D09">
                <w:pPr>
                  <w:tabs>
                    <w:tab w:val="right" w:pos="8838"/>
                  </w:tabs>
                  <w:ind w:left="-108" w:right="171"/>
                  <w:jc w:val="both"/>
                  <w:rPr>
                    <w:rFonts w:ascii="Palatino Linotype" w:eastAsia="Palatino Linotype" w:hAnsi="Palatino Linotype" w:cs="Palatino Linotype"/>
                    <w:b/>
                    <w:bCs/>
                    <w:szCs w:val="22"/>
                  </w:rPr>
                </w:pPr>
              </w:p>
            </w:tc>
          </w:tr>
        </w:tbl>
        <w:p w14:paraId="1BF0ECA2" w14:textId="77777777" w:rsidR="00E05D09" w:rsidRDefault="00E05D09">
          <w:pPr>
            <w:tabs>
              <w:tab w:val="right" w:pos="8838"/>
            </w:tabs>
            <w:ind w:left="-28"/>
            <w:jc w:val="both"/>
            <w:rPr>
              <w:rFonts w:ascii="Arial" w:eastAsia="Arial" w:hAnsi="Arial" w:cs="Arial"/>
              <w:b/>
              <w:bCs/>
              <w:sz w:val="22"/>
              <w:szCs w:val="22"/>
            </w:rPr>
          </w:pPr>
        </w:p>
      </w:tc>
    </w:tr>
  </w:tbl>
  <w:p w14:paraId="56E9E79C" w14:textId="77777777" w:rsidR="00E05D09" w:rsidRDefault="006C360A">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036BBF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2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10206" w:type="dxa"/>
      <w:tblInd w:w="0" w:type="dxa"/>
      <w:tblLayout w:type="fixed"/>
      <w:tblLook w:val="0400" w:firstRow="0" w:lastRow="0" w:firstColumn="0" w:lastColumn="0" w:noHBand="0" w:noVBand="1"/>
    </w:tblPr>
    <w:tblGrid>
      <w:gridCol w:w="2268"/>
      <w:gridCol w:w="7938"/>
    </w:tblGrid>
    <w:tr w:rsidR="00E05D09" w14:paraId="156EB3AE" w14:textId="77777777" w:rsidTr="00E05D09">
      <w:trPr>
        <w:trHeight w:val="1435"/>
      </w:trPr>
      <w:tc>
        <w:tcPr>
          <w:tcW w:w="2268" w:type="dxa"/>
        </w:tcPr>
        <w:p w14:paraId="4730A024" w14:textId="77777777" w:rsidR="00E05D09" w:rsidRDefault="00E05D09">
          <w:pPr>
            <w:tabs>
              <w:tab w:val="right" w:pos="4273"/>
            </w:tabs>
            <w:rPr>
              <w:rFonts w:ascii="Garamond" w:eastAsia="Garamond" w:hAnsi="Garamond" w:cs="Garamond"/>
              <w:sz w:val="22"/>
              <w:szCs w:val="22"/>
            </w:rPr>
          </w:pPr>
        </w:p>
      </w:tc>
      <w:tc>
        <w:tcPr>
          <w:tcW w:w="7938" w:type="dxa"/>
        </w:tcPr>
        <w:tbl>
          <w:tblPr>
            <w:tblStyle w:val="a4"/>
            <w:tblW w:w="8209" w:type="dxa"/>
            <w:tblInd w:w="40" w:type="dxa"/>
            <w:tblLayout w:type="fixed"/>
            <w:tblLook w:val="0400" w:firstRow="0" w:lastRow="0" w:firstColumn="0" w:lastColumn="0" w:noHBand="0" w:noVBand="1"/>
          </w:tblPr>
          <w:tblGrid>
            <w:gridCol w:w="2822"/>
            <w:gridCol w:w="5387"/>
          </w:tblGrid>
          <w:tr w:rsidR="00E05D09" w14:paraId="0654EB01" w14:textId="77777777" w:rsidTr="00E05D09">
            <w:trPr>
              <w:trHeight w:val="144"/>
            </w:trPr>
            <w:tc>
              <w:tcPr>
                <w:tcW w:w="2822" w:type="dxa"/>
              </w:tcPr>
              <w:p w14:paraId="53CD7276" w14:textId="77777777" w:rsidR="00E05D09" w:rsidRPr="00E05D09" w:rsidRDefault="00E05D09">
                <w:pPr>
                  <w:tabs>
                    <w:tab w:val="right" w:pos="8838"/>
                  </w:tabs>
                  <w:ind w:left="-264" w:right="-105" w:firstLine="195"/>
                  <w:rPr>
                    <w:rFonts w:ascii="Palatino Linotype" w:eastAsia="Palatino Linotype" w:hAnsi="Palatino Linotype" w:cs="Palatino Linotype"/>
                    <w:b/>
                    <w:bCs/>
                    <w:szCs w:val="22"/>
                  </w:rPr>
                </w:pPr>
                <w:r w:rsidRPr="00E05D09">
                  <w:rPr>
                    <w:rFonts w:ascii="Palatino Linotype" w:eastAsia="Palatino Linotype" w:hAnsi="Palatino Linotype" w:cs="Palatino Linotype"/>
                    <w:b/>
                    <w:bCs/>
                    <w:szCs w:val="22"/>
                  </w:rPr>
                  <w:t>Recurso de Revisión:</w:t>
                </w:r>
              </w:p>
            </w:tc>
            <w:tc>
              <w:tcPr>
                <w:tcW w:w="5387" w:type="dxa"/>
              </w:tcPr>
              <w:p w14:paraId="0BACFC3A" w14:textId="77777777" w:rsidR="00E05D09" w:rsidRPr="00E05D09" w:rsidRDefault="00E05D09" w:rsidP="00E05D09">
                <w:pPr>
                  <w:tabs>
                    <w:tab w:val="right" w:pos="8838"/>
                  </w:tabs>
                  <w:ind w:left="-74" w:right="169"/>
                  <w:rPr>
                    <w:rFonts w:ascii="Palatino Linotype" w:eastAsia="Palatino Linotype" w:hAnsi="Palatino Linotype" w:cs="Palatino Linotype"/>
                    <w:bCs/>
                    <w:szCs w:val="22"/>
                  </w:rPr>
                </w:pPr>
                <w:r w:rsidRPr="00E05D09">
                  <w:rPr>
                    <w:rFonts w:ascii="Palatino Linotype" w:eastAsia="Palatino Linotype" w:hAnsi="Palatino Linotype" w:cs="Palatino Linotype"/>
                    <w:bCs/>
                    <w:szCs w:val="22"/>
                  </w:rPr>
                  <w:t>03588/INFOEM/IP/RR/2026</w:t>
                </w:r>
              </w:p>
            </w:tc>
          </w:tr>
          <w:tr w:rsidR="00E05D09" w14:paraId="31181F55" w14:textId="77777777" w:rsidTr="00E05D09">
            <w:trPr>
              <w:trHeight w:val="144"/>
            </w:trPr>
            <w:tc>
              <w:tcPr>
                <w:tcW w:w="2822" w:type="dxa"/>
              </w:tcPr>
              <w:p w14:paraId="02C8461B" w14:textId="77777777" w:rsidR="00E05D09" w:rsidRPr="00E05D09" w:rsidRDefault="00E05D09">
                <w:pPr>
                  <w:tabs>
                    <w:tab w:val="right" w:pos="8838"/>
                  </w:tabs>
                  <w:ind w:left="-74" w:right="-105"/>
                  <w:rPr>
                    <w:rFonts w:ascii="Palatino Linotype" w:eastAsia="Palatino Linotype" w:hAnsi="Palatino Linotype" w:cs="Palatino Linotype"/>
                    <w:b/>
                    <w:bCs/>
                    <w:szCs w:val="22"/>
                  </w:rPr>
                </w:pPr>
                <w:r w:rsidRPr="00E05D09">
                  <w:rPr>
                    <w:rFonts w:ascii="Palatino Linotype" w:eastAsia="Palatino Linotype" w:hAnsi="Palatino Linotype" w:cs="Palatino Linotype"/>
                    <w:b/>
                    <w:bCs/>
                    <w:szCs w:val="22"/>
                  </w:rPr>
                  <w:t>Recurrente:</w:t>
                </w:r>
              </w:p>
            </w:tc>
            <w:tc>
              <w:tcPr>
                <w:tcW w:w="5387" w:type="dxa"/>
              </w:tcPr>
              <w:p w14:paraId="58362AE3" w14:textId="07EA0E4C" w:rsidR="00E05D09" w:rsidRPr="00E05D09" w:rsidRDefault="00A075B7" w:rsidP="00E05D09">
                <w:pPr>
                  <w:tabs>
                    <w:tab w:val="left" w:pos="3122"/>
                    <w:tab w:val="right" w:pos="8838"/>
                  </w:tabs>
                  <w:ind w:left="-74" w:right="169"/>
                  <w:rPr>
                    <w:rFonts w:ascii="Palatino Linotype" w:eastAsia="Palatino Linotype" w:hAnsi="Palatino Linotype" w:cs="Palatino Linotype"/>
                    <w:bCs/>
                    <w:szCs w:val="22"/>
                  </w:rPr>
                </w:pPr>
                <w:r>
                  <w:rPr>
                    <w:rFonts w:ascii="Palatino Linotype" w:eastAsia="Palatino Linotype" w:hAnsi="Palatino Linotype" w:cs="Palatino Linotype"/>
                    <w:bCs/>
                    <w:szCs w:val="22"/>
                  </w:rPr>
                  <w:t>XXXX</w:t>
                </w:r>
              </w:p>
            </w:tc>
          </w:tr>
          <w:tr w:rsidR="00E05D09" w14:paraId="00BDB6ED" w14:textId="77777777" w:rsidTr="00E05D09">
            <w:trPr>
              <w:trHeight w:val="283"/>
            </w:trPr>
            <w:tc>
              <w:tcPr>
                <w:tcW w:w="2822" w:type="dxa"/>
              </w:tcPr>
              <w:p w14:paraId="0576DAB2" w14:textId="77777777" w:rsidR="00E05D09" w:rsidRPr="00E05D09" w:rsidRDefault="00E05D09">
                <w:pPr>
                  <w:tabs>
                    <w:tab w:val="right" w:pos="8838"/>
                  </w:tabs>
                  <w:ind w:left="-74" w:right="-105"/>
                  <w:rPr>
                    <w:rFonts w:ascii="Palatino Linotype" w:eastAsia="Palatino Linotype" w:hAnsi="Palatino Linotype" w:cs="Palatino Linotype"/>
                    <w:b/>
                    <w:bCs/>
                    <w:szCs w:val="22"/>
                  </w:rPr>
                </w:pPr>
                <w:r w:rsidRPr="00E05D09">
                  <w:rPr>
                    <w:rFonts w:ascii="Palatino Linotype" w:eastAsia="Palatino Linotype" w:hAnsi="Palatino Linotype" w:cs="Palatino Linotype"/>
                    <w:b/>
                    <w:bCs/>
                    <w:szCs w:val="22"/>
                  </w:rPr>
                  <w:t>Sujeto Obligado:</w:t>
                </w:r>
              </w:p>
            </w:tc>
            <w:tc>
              <w:tcPr>
                <w:tcW w:w="5387" w:type="dxa"/>
              </w:tcPr>
              <w:p w14:paraId="3BB097D6" w14:textId="77777777" w:rsidR="00E05D09" w:rsidRPr="00E05D09" w:rsidRDefault="00E05D09" w:rsidP="00E05D09">
                <w:pPr>
                  <w:tabs>
                    <w:tab w:val="left" w:pos="2834"/>
                    <w:tab w:val="right" w:pos="8838"/>
                  </w:tabs>
                  <w:ind w:right="169"/>
                  <w:rPr>
                    <w:rFonts w:ascii="Palatino Linotype" w:eastAsia="Palatino Linotype" w:hAnsi="Palatino Linotype" w:cs="Palatino Linotype"/>
                    <w:bCs/>
                    <w:szCs w:val="22"/>
                  </w:rPr>
                </w:pPr>
                <w:r w:rsidRPr="00E05D09">
                  <w:rPr>
                    <w:rFonts w:ascii="Palatino Linotype" w:eastAsia="Palatino Linotype" w:hAnsi="Palatino Linotype" w:cs="Palatino Linotype"/>
                    <w:bCs/>
                    <w:szCs w:val="22"/>
                  </w:rPr>
                  <w:t>Sistema Municipal para el Desarrollo Integral de la Familia de Tianguistenco</w:t>
                </w:r>
              </w:p>
            </w:tc>
          </w:tr>
          <w:tr w:rsidR="00E05D09" w14:paraId="43B2C95F" w14:textId="77777777" w:rsidTr="00E05D09">
            <w:trPr>
              <w:trHeight w:val="283"/>
            </w:trPr>
            <w:tc>
              <w:tcPr>
                <w:tcW w:w="2822" w:type="dxa"/>
              </w:tcPr>
              <w:p w14:paraId="091F4ED5" w14:textId="77777777" w:rsidR="00E05D09" w:rsidRPr="00E05D09" w:rsidRDefault="00E05D09">
                <w:pPr>
                  <w:tabs>
                    <w:tab w:val="right" w:pos="8838"/>
                  </w:tabs>
                  <w:ind w:left="-74" w:right="-105"/>
                  <w:rPr>
                    <w:rFonts w:ascii="Palatino Linotype" w:eastAsia="Palatino Linotype" w:hAnsi="Palatino Linotype" w:cs="Palatino Linotype"/>
                    <w:b/>
                    <w:bCs/>
                    <w:szCs w:val="22"/>
                  </w:rPr>
                </w:pPr>
                <w:r w:rsidRPr="00E05D09">
                  <w:rPr>
                    <w:rFonts w:ascii="Palatino Linotype" w:eastAsia="Palatino Linotype" w:hAnsi="Palatino Linotype" w:cs="Palatino Linotype"/>
                    <w:b/>
                    <w:bCs/>
                    <w:szCs w:val="22"/>
                  </w:rPr>
                  <w:t>Comisionada ponente:</w:t>
                </w:r>
              </w:p>
            </w:tc>
            <w:tc>
              <w:tcPr>
                <w:tcW w:w="5387" w:type="dxa"/>
              </w:tcPr>
              <w:p w14:paraId="112005B8" w14:textId="77777777" w:rsidR="00E05D09" w:rsidRPr="00E05D09" w:rsidRDefault="00E05D09" w:rsidP="00E05D09">
                <w:pPr>
                  <w:tabs>
                    <w:tab w:val="right" w:pos="8838"/>
                  </w:tabs>
                  <w:ind w:left="-74" w:right="169"/>
                  <w:rPr>
                    <w:rFonts w:ascii="Palatino Linotype" w:eastAsia="Palatino Linotype" w:hAnsi="Palatino Linotype" w:cs="Palatino Linotype"/>
                    <w:bCs/>
                    <w:szCs w:val="22"/>
                  </w:rPr>
                </w:pPr>
                <w:r w:rsidRPr="00E05D09">
                  <w:rPr>
                    <w:rFonts w:ascii="Palatino Linotype" w:eastAsia="Palatino Linotype" w:hAnsi="Palatino Linotype" w:cs="Palatino Linotype"/>
                    <w:bCs/>
                    <w:szCs w:val="22"/>
                  </w:rPr>
                  <w:t>María del Rosario Mejía Ayala</w:t>
                </w:r>
              </w:p>
              <w:p w14:paraId="148815A3" w14:textId="77777777" w:rsidR="00E05D09" w:rsidRPr="00E05D09" w:rsidRDefault="00E05D09" w:rsidP="00E05D09">
                <w:pPr>
                  <w:tabs>
                    <w:tab w:val="right" w:pos="8838"/>
                  </w:tabs>
                  <w:ind w:left="-74" w:right="169"/>
                  <w:rPr>
                    <w:rFonts w:ascii="Palatino Linotype" w:eastAsia="Palatino Linotype" w:hAnsi="Palatino Linotype" w:cs="Palatino Linotype"/>
                    <w:bCs/>
                    <w:szCs w:val="22"/>
                  </w:rPr>
                </w:pPr>
              </w:p>
            </w:tc>
          </w:tr>
        </w:tbl>
        <w:p w14:paraId="3CE417B8" w14:textId="77777777" w:rsidR="00E05D09" w:rsidRDefault="00E05D09">
          <w:pPr>
            <w:tabs>
              <w:tab w:val="right" w:pos="8838"/>
            </w:tabs>
            <w:ind w:left="-28"/>
            <w:jc w:val="both"/>
            <w:rPr>
              <w:rFonts w:ascii="Arial" w:eastAsia="Arial" w:hAnsi="Arial" w:cs="Arial"/>
              <w:b/>
              <w:bCs/>
              <w:sz w:val="22"/>
              <w:szCs w:val="22"/>
            </w:rPr>
          </w:pPr>
        </w:p>
      </w:tc>
    </w:tr>
  </w:tbl>
  <w:p w14:paraId="52EFD8C6" w14:textId="77777777" w:rsidR="00E05D09" w:rsidRDefault="006C360A">
    <w:pPr>
      <w:pBdr>
        <w:top w:val="nil"/>
        <w:left w:val="nil"/>
        <w:bottom w:val="nil"/>
        <w:right w:val="nil"/>
        <w:between w:val="nil"/>
      </w:pBdr>
      <w:tabs>
        <w:tab w:val="center" w:pos="4419"/>
        <w:tab w:val="right" w:pos="8838"/>
      </w:tabs>
      <w:rPr>
        <w:color w:val="000000"/>
        <w:sz w:val="2"/>
        <w:szCs w:val="2"/>
      </w:rPr>
    </w:pPr>
    <w:r>
      <w:rPr>
        <w:color w:val="000000"/>
        <w:sz w:val="2"/>
        <w:szCs w:val="2"/>
      </w:rPr>
      <w:pict w14:anchorId="5798CA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2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C6B8C"/>
    <w:multiLevelType w:val="multilevel"/>
    <w:tmpl w:val="396C53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0C53B82"/>
    <w:multiLevelType w:val="multilevel"/>
    <w:tmpl w:val="626649DE"/>
    <w:lvl w:ilvl="0">
      <w:start w:val="1"/>
      <w:numFmt w:val="lowerLetter"/>
      <w:lvlText w:val="%1)"/>
      <w:lvlJc w:val="left"/>
      <w:pPr>
        <w:ind w:left="1440" w:hanging="360"/>
      </w:pPr>
      <w:rPr>
        <w:b/>
        <w:bC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26D471A"/>
    <w:multiLevelType w:val="multilevel"/>
    <w:tmpl w:val="D168376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 w15:restartNumberingAfterBreak="0">
    <w:nsid w:val="075D33D5"/>
    <w:multiLevelType w:val="multilevel"/>
    <w:tmpl w:val="6A7A3C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456D0E"/>
    <w:multiLevelType w:val="multilevel"/>
    <w:tmpl w:val="0BE0E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65175B"/>
    <w:multiLevelType w:val="multilevel"/>
    <w:tmpl w:val="812254BC"/>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 w15:restartNumberingAfterBreak="0">
    <w:nsid w:val="15EE0D7C"/>
    <w:multiLevelType w:val="multilevel"/>
    <w:tmpl w:val="E80E1CBC"/>
    <w:lvl w:ilvl="0">
      <w:start w:val="1"/>
      <w:numFmt w:val="bullet"/>
      <w:lvlText w:val="●"/>
      <w:lvlJc w:val="left"/>
      <w:pPr>
        <w:ind w:left="1774" w:hanging="360"/>
      </w:pPr>
      <w:rPr>
        <w:rFonts w:ascii="Noto Sans Symbols" w:eastAsia="Noto Sans Symbols" w:hAnsi="Noto Sans Symbols" w:cs="Noto Sans Symbols"/>
      </w:rPr>
    </w:lvl>
    <w:lvl w:ilvl="1">
      <w:start w:val="1"/>
      <w:numFmt w:val="bullet"/>
      <w:lvlText w:val="o"/>
      <w:lvlJc w:val="left"/>
      <w:pPr>
        <w:ind w:left="2494" w:hanging="360"/>
      </w:pPr>
      <w:rPr>
        <w:rFonts w:ascii="Courier New" w:eastAsia="Courier New" w:hAnsi="Courier New" w:cs="Courier New"/>
      </w:rPr>
    </w:lvl>
    <w:lvl w:ilvl="2">
      <w:start w:val="1"/>
      <w:numFmt w:val="bullet"/>
      <w:lvlText w:val="▪"/>
      <w:lvlJc w:val="left"/>
      <w:pPr>
        <w:ind w:left="3214" w:hanging="360"/>
      </w:pPr>
      <w:rPr>
        <w:rFonts w:ascii="Noto Sans Symbols" w:eastAsia="Noto Sans Symbols" w:hAnsi="Noto Sans Symbols" w:cs="Noto Sans Symbols"/>
      </w:rPr>
    </w:lvl>
    <w:lvl w:ilvl="3">
      <w:start w:val="1"/>
      <w:numFmt w:val="bullet"/>
      <w:lvlText w:val="●"/>
      <w:lvlJc w:val="left"/>
      <w:pPr>
        <w:ind w:left="3934" w:hanging="360"/>
      </w:pPr>
      <w:rPr>
        <w:rFonts w:ascii="Noto Sans Symbols" w:eastAsia="Noto Sans Symbols" w:hAnsi="Noto Sans Symbols" w:cs="Noto Sans Symbols"/>
      </w:rPr>
    </w:lvl>
    <w:lvl w:ilvl="4">
      <w:start w:val="1"/>
      <w:numFmt w:val="bullet"/>
      <w:lvlText w:val="o"/>
      <w:lvlJc w:val="left"/>
      <w:pPr>
        <w:ind w:left="4654" w:hanging="360"/>
      </w:pPr>
      <w:rPr>
        <w:rFonts w:ascii="Courier New" w:eastAsia="Courier New" w:hAnsi="Courier New" w:cs="Courier New"/>
      </w:rPr>
    </w:lvl>
    <w:lvl w:ilvl="5">
      <w:start w:val="1"/>
      <w:numFmt w:val="bullet"/>
      <w:lvlText w:val="▪"/>
      <w:lvlJc w:val="left"/>
      <w:pPr>
        <w:ind w:left="5374" w:hanging="360"/>
      </w:pPr>
      <w:rPr>
        <w:rFonts w:ascii="Noto Sans Symbols" w:eastAsia="Noto Sans Symbols" w:hAnsi="Noto Sans Symbols" w:cs="Noto Sans Symbols"/>
      </w:rPr>
    </w:lvl>
    <w:lvl w:ilvl="6">
      <w:start w:val="1"/>
      <w:numFmt w:val="bullet"/>
      <w:lvlText w:val="●"/>
      <w:lvlJc w:val="left"/>
      <w:pPr>
        <w:ind w:left="6094" w:hanging="360"/>
      </w:pPr>
      <w:rPr>
        <w:rFonts w:ascii="Noto Sans Symbols" w:eastAsia="Noto Sans Symbols" w:hAnsi="Noto Sans Symbols" w:cs="Noto Sans Symbols"/>
      </w:rPr>
    </w:lvl>
    <w:lvl w:ilvl="7">
      <w:start w:val="1"/>
      <w:numFmt w:val="bullet"/>
      <w:lvlText w:val="o"/>
      <w:lvlJc w:val="left"/>
      <w:pPr>
        <w:ind w:left="6814" w:hanging="360"/>
      </w:pPr>
      <w:rPr>
        <w:rFonts w:ascii="Courier New" w:eastAsia="Courier New" w:hAnsi="Courier New" w:cs="Courier New"/>
      </w:rPr>
    </w:lvl>
    <w:lvl w:ilvl="8">
      <w:start w:val="1"/>
      <w:numFmt w:val="bullet"/>
      <w:lvlText w:val="▪"/>
      <w:lvlJc w:val="left"/>
      <w:pPr>
        <w:ind w:left="7534" w:hanging="360"/>
      </w:pPr>
      <w:rPr>
        <w:rFonts w:ascii="Noto Sans Symbols" w:eastAsia="Noto Sans Symbols" w:hAnsi="Noto Sans Symbols" w:cs="Noto Sans Symbols"/>
      </w:rPr>
    </w:lvl>
  </w:abstractNum>
  <w:abstractNum w:abstractNumId="7" w15:restartNumberingAfterBreak="0">
    <w:nsid w:val="1EAF64A5"/>
    <w:multiLevelType w:val="multilevel"/>
    <w:tmpl w:val="AAC4A0E0"/>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4E0FC0"/>
    <w:multiLevelType w:val="multilevel"/>
    <w:tmpl w:val="BBD43640"/>
    <w:lvl w:ilvl="0">
      <w:start w:val="1"/>
      <w:numFmt w:val="decimal"/>
      <w:lvlText w:val="%1."/>
      <w:lvlJc w:val="left"/>
      <w:pPr>
        <w:ind w:left="4330" w:hanging="360"/>
      </w:pPr>
      <w:rPr>
        <w:rFonts w:ascii="Palatino Linotype" w:eastAsia="Palatino Linotype" w:hAnsi="Palatino Linotype" w:cs="Palatino Linotype"/>
        <w:b/>
        <w:bCs/>
        <w:i w:val="0"/>
        <w:iCs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bCs/>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E76C0F"/>
    <w:multiLevelType w:val="multilevel"/>
    <w:tmpl w:val="B8F63A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0ED6B93"/>
    <w:multiLevelType w:val="multilevel"/>
    <w:tmpl w:val="6262D3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6F82D4D"/>
    <w:multiLevelType w:val="multilevel"/>
    <w:tmpl w:val="39A858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D531347"/>
    <w:multiLevelType w:val="hybridMultilevel"/>
    <w:tmpl w:val="84DA137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3B3D5EBD"/>
    <w:multiLevelType w:val="multilevel"/>
    <w:tmpl w:val="A4FCD0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FA27BB6"/>
    <w:multiLevelType w:val="multilevel"/>
    <w:tmpl w:val="7F5EDB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532959"/>
    <w:multiLevelType w:val="multilevel"/>
    <w:tmpl w:val="E760FD6E"/>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6" w15:restartNumberingAfterBreak="0">
    <w:nsid w:val="4AB53851"/>
    <w:multiLevelType w:val="multilevel"/>
    <w:tmpl w:val="5C3A9F12"/>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7" w15:restartNumberingAfterBreak="0">
    <w:nsid w:val="4DFB58DB"/>
    <w:multiLevelType w:val="multilevel"/>
    <w:tmpl w:val="21E81206"/>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64D0BF8"/>
    <w:multiLevelType w:val="multilevel"/>
    <w:tmpl w:val="C6A40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8A623EC"/>
    <w:multiLevelType w:val="multilevel"/>
    <w:tmpl w:val="90C8AB54"/>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D474172"/>
    <w:multiLevelType w:val="multilevel"/>
    <w:tmpl w:val="0672B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56B14BB"/>
    <w:multiLevelType w:val="multilevel"/>
    <w:tmpl w:val="07908C8C"/>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BAD11AA"/>
    <w:multiLevelType w:val="multilevel"/>
    <w:tmpl w:val="B0A8BE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F0C7FC5"/>
    <w:multiLevelType w:val="multilevel"/>
    <w:tmpl w:val="FB6AAF5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4" w15:restartNumberingAfterBreak="0">
    <w:nsid w:val="730851FB"/>
    <w:multiLevelType w:val="multilevel"/>
    <w:tmpl w:val="7EA26E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E5547E1"/>
    <w:multiLevelType w:val="multilevel"/>
    <w:tmpl w:val="730862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FA77895"/>
    <w:multiLevelType w:val="multilevel"/>
    <w:tmpl w:val="68C850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7"/>
  </w:num>
  <w:num w:numId="2">
    <w:abstractNumId w:val="22"/>
  </w:num>
  <w:num w:numId="3">
    <w:abstractNumId w:val="11"/>
  </w:num>
  <w:num w:numId="4">
    <w:abstractNumId w:val="10"/>
  </w:num>
  <w:num w:numId="5">
    <w:abstractNumId w:val="25"/>
  </w:num>
  <w:num w:numId="6">
    <w:abstractNumId w:val="24"/>
  </w:num>
  <w:num w:numId="7">
    <w:abstractNumId w:val="3"/>
  </w:num>
  <w:num w:numId="8">
    <w:abstractNumId w:val="14"/>
  </w:num>
  <w:num w:numId="9">
    <w:abstractNumId w:val="9"/>
  </w:num>
  <w:num w:numId="10">
    <w:abstractNumId w:val="1"/>
  </w:num>
  <w:num w:numId="11">
    <w:abstractNumId w:val="8"/>
  </w:num>
  <w:num w:numId="12">
    <w:abstractNumId w:val="16"/>
  </w:num>
  <w:num w:numId="13">
    <w:abstractNumId w:val="23"/>
  </w:num>
  <w:num w:numId="14">
    <w:abstractNumId w:val="18"/>
  </w:num>
  <w:num w:numId="15">
    <w:abstractNumId w:val="15"/>
  </w:num>
  <w:num w:numId="16">
    <w:abstractNumId w:val="4"/>
  </w:num>
  <w:num w:numId="17">
    <w:abstractNumId w:val="2"/>
  </w:num>
  <w:num w:numId="18">
    <w:abstractNumId w:val="21"/>
  </w:num>
  <w:num w:numId="19">
    <w:abstractNumId w:val="13"/>
  </w:num>
  <w:num w:numId="20">
    <w:abstractNumId w:val="26"/>
  </w:num>
  <w:num w:numId="21">
    <w:abstractNumId w:val="0"/>
  </w:num>
  <w:num w:numId="22">
    <w:abstractNumId w:val="20"/>
  </w:num>
  <w:num w:numId="23">
    <w:abstractNumId w:val="19"/>
  </w:num>
  <w:num w:numId="24">
    <w:abstractNumId w:val="7"/>
  </w:num>
  <w:num w:numId="25">
    <w:abstractNumId w:val="5"/>
  </w:num>
  <w:num w:numId="26">
    <w:abstractNumId w:val="6"/>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22B"/>
    <w:rsid w:val="00013A15"/>
    <w:rsid w:val="00395EA7"/>
    <w:rsid w:val="004425A1"/>
    <w:rsid w:val="005D4402"/>
    <w:rsid w:val="00631460"/>
    <w:rsid w:val="006C360A"/>
    <w:rsid w:val="00703ACC"/>
    <w:rsid w:val="00736339"/>
    <w:rsid w:val="00855480"/>
    <w:rsid w:val="00915586"/>
    <w:rsid w:val="009F1071"/>
    <w:rsid w:val="00A075B7"/>
    <w:rsid w:val="00A418B1"/>
    <w:rsid w:val="00A75494"/>
    <w:rsid w:val="00B2722B"/>
    <w:rsid w:val="00DC09B8"/>
    <w:rsid w:val="00E05D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016663"/>
  <w15:docId w15:val="{8B68E6BF-4D38-4E5C-A473-61234AB44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40"/>
      <w:outlineLvl w:val="2"/>
    </w:pPr>
    <w:rPr>
      <w:rFonts w:ascii="Calibri" w:eastAsia="Calibri" w:hAnsi="Calibri" w:cs="Calibri"/>
      <w:color w:val="1E4D7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pBdr>
        <w:top w:val="nil"/>
        <w:left w:val="nil"/>
        <w:bottom w:val="nil"/>
        <w:right w:val="nil"/>
        <w:between w:val="nil"/>
      </w:pBdr>
      <w:ind w:left="567" w:right="567" w:hanging="567"/>
      <w:jc w:val="both"/>
    </w:pPr>
    <w:rPr>
      <w:rFonts w:ascii="Palatino Linotype" w:eastAsia="Palatino Linotype" w:hAnsi="Palatino Linotype" w:cs="Palatino Linotype"/>
      <w:i/>
      <w:iCs/>
      <w:color w:val="000000"/>
      <w:sz w:val="22"/>
      <w:szCs w:val="2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paragraph" w:styleId="Piedepgina">
    <w:name w:val="footer"/>
    <w:basedOn w:val="Normal"/>
    <w:link w:val="PiedepginaCar"/>
    <w:uiPriority w:val="99"/>
    <w:unhideWhenUsed/>
    <w:rsid w:val="00736339"/>
    <w:pPr>
      <w:tabs>
        <w:tab w:val="center" w:pos="4419"/>
        <w:tab w:val="right" w:pos="8838"/>
      </w:tabs>
    </w:pPr>
  </w:style>
  <w:style w:type="character" w:customStyle="1" w:styleId="PiedepginaCar">
    <w:name w:val="Pie de página Car"/>
    <w:basedOn w:val="Fuentedeprrafopredeter"/>
    <w:link w:val="Piedepgina"/>
    <w:uiPriority w:val="99"/>
    <w:rsid w:val="00736339"/>
  </w:style>
  <w:style w:type="paragraph" w:styleId="Prrafodelista">
    <w:name w:val="List Paragraph"/>
    <w:basedOn w:val="Normal"/>
    <w:uiPriority w:val="34"/>
    <w:qFormat/>
    <w:rsid w:val="00E05D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1D0HXIDdCbiEriDJXxsOlhoBdQ==">CgMxLjAyDmguZGprMTVid2Zzb3FmMg5oLnA3bmU5anN4dmIxZTIOaC40OW1peXloaXFsbG8yDmguZnc2ZXl0MmFhYmV6Mg5oLjdzNDJkMzMyMmV6MTIOaC5lb250bWtoODN3cXIyDmgubTFmcnI4cG8xNDExMg5oLmwxZm8waHg2NG5lNDIJaC4xZm9iOXRlMg5oLnkxZzBva21zeTJncTIOaC5zbTZ1OWtpc2MzZGQ4AHIhMWlRb3RhaW03MWQyX3NmWGpQc1J1c1B3Q1lOdXRvV3V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129</Pages>
  <Words>30365</Words>
  <Characters>167009</Characters>
  <Application>Microsoft Office Word</Application>
  <DocSecurity>0</DocSecurity>
  <Lines>1391</Lines>
  <Paragraphs>393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196981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INFOEM574</dc:creator>
  <cp:lastModifiedBy>Cuenta Microsoft</cp:lastModifiedBy>
  <cp:revision>9</cp:revision>
  <cp:lastPrinted>2026-06-29T15:59:00Z</cp:lastPrinted>
  <dcterms:created xsi:type="dcterms:W3CDTF">2026-06-22T20:06:00Z</dcterms:created>
  <dcterms:modified xsi:type="dcterms:W3CDTF">2026-07-03T16:57:00Z</dcterms:modified>
</cp:coreProperties>
</file>