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7453" w14:textId="77777777" w:rsidR="00C417AF" w:rsidRDefault="00C417AF" w:rsidP="00C64DEA">
      <w:pPr>
        <w:tabs>
          <w:tab w:val="left" w:pos="8931"/>
        </w:tabs>
        <w:spacing w:after="0" w:line="360" w:lineRule="auto"/>
        <w:contextualSpacing/>
        <w:rPr>
          <w:rFonts w:cs="Tahoma"/>
          <w:bCs/>
        </w:rPr>
      </w:pPr>
    </w:p>
    <w:sdt>
      <w:sdtPr>
        <w:rPr>
          <w:lang w:val="es-ES"/>
        </w:rPr>
        <w:id w:val="1831946835"/>
        <w:docPartObj>
          <w:docPartGallery w:val="Table of Contents"/>
          <w:docPartUnique/>
        </w:docPartObj>
      </w:sdtPr>
      <w:sdtEndPr>
        <w:rPr>
          <w:b/>
          <w:bCs/>
        </w:rPr>
      </w:sdtEndPr>
      <w:sdtContent>
        <w:p w14:paraId="05E5590B" w14:textId="76A7A1E1" w:rsidR="00E51DF5" w:rsidRPr="00E51DF5" w:rsidRDefault="00E51DF5" w:rsidP="00E51DF5">
          <w:pPr>
            <w:keepNext/>
            <w:keepLines/>
            <w:spacing w:after="0" w:line="360" w:lineRule="auto"/>
            <w:jc w:val="center"/>
            <w:rPr>
              <w:rFonts w:asciiTheme="majorHAnsi" w:eastAsiaTheme="majorEastAsia" w:hAnsiTheme="majorHAnsi" w:cstheme="majorBidi"/>
              <w:color w:val="2F5496" w:themeColor="accent1" w:themeShade="BF"/>
              <w:sz w:val="32"/>
              <w:szCs w:val="32"/>
            </w:rPr>
          </w:pPr>
          <w:r w:rsidRPr="00E51DF5">
            <w:rPr>
              <w:lang w:val="es-ES"/>
            </w:rPr>
            <w:t xml:space="preserve">RESOLUCIÓN DEL RECURSO DE REVISIÓN </w:t>
          </w:r>
          <w:r w:rsidR="00F01520" w:rsidRPr="00F01520">
            <w:rPr>
              <w:lang w:val="es-ES"/>
            </w:rPr>
            <w:t>09646/INFOEM/IP/RR/2025</w:t>
          </w:r>
        </w:p>
        <w:p w14:paraId="26EC33EF" w14:textId="3051D457" w:rsidR="00E1109D" w:rsidRPr="00E1109D" w:rsidRDefault="00E51DF5">
          <w:pPr>
            <w:pStyle w:val="TDC2"/>
            <w:tabs>
              <w:tab w:val="right" w:leader="dot" w:pos="8921"/>
            </w:tabs>
            <w:rPr>
              <w:noProof/>
            </w:rPr>
          </w:pPr>
          <w:r w:rsidRPr="00E51DF5">
            <w:fldChar w:fldCharType="begin"/>
          </w:r>
          <w:r w:rsidRPr="00E51DF5">
            <w:instrText xml:space="preserve"> TOC \o "1-3" \h \z \u </w:instrText>
          </w:r>
          <w:r w:rsidRPr="00E51DF5">
            <w:fldChar w:fldCharType="separate"/>
          </w:r>
          <w:hyperlink w:anchor="_Toc221812505" w:history="1">
            <w:r w:rsidR="00E1109D" w:rsidRPr="00E1109D">
              <w:rPr>
                <w:rStyle w:val="Hipervnculo"/>
                <w:noProof/>
              </w:rPr>
              <w:t>PRIMERO. Competencia</w:t>
            </w:r>
            <w:r w:rsidR="00E1109D" w:rsidRPr="00E1109D">
              <w:rPr>
                <w:noProof/>
                <w:webHidden/>
              </w:rPr>
              <w:tab/>
            </w:r>
            <w:r w:rsidR="00E1109D" w:rsidRPr="00E1109D">
              <w:rPr>
                <w:noProof/>
                <w:webHidden/>
              </w:rPr>
              <w:fldChar w:fldCharType="begin"/>
            </w:r>
            <w:r w:rsidR="00E1109D" w:rsidRPr="00E1109D">
              <w:rPr>
                <w:noProof/>
                <w:webHidden/>
              </w:rPr>
              <w:instrText xml:space="preserve"> PAGEREF _Toc221812505 \h </w:instrText>
            </w:r>
            <w:r w:rsidR="00E1109D" w:rsidRPr="00E1109D">
              <w:rPr>
                <w:noProof/>
                <w:webHidden/>
              </w:rPr>
            </w:r>
            <w:r w:rsidR="00E1109D" w:rsidRPr="00E1109D">
              <w:rPr>
                <w:noProof/>
                <w:webHidden/>
              </w:rPr>
              <w:fldChar w:fldCharType="separate"/>
            </w:r>
            <w:r w:rsidR="00E761B8">
              <w:rPr>
                <w:noProof/>
                <w:webHidden/>
              </w:rPr>
              <w:t>7</w:t>
            </w:r>
            <w:r w:rsidR="00E1109D" w:rsidRPr="00E1109D">
              <w:rPr>
                <w:noProof/>
                <w:webHidden/>
              </w:rPr>
              <w:fldChar w:fldCharType="end"/>
            </w:r>
          </w:hyperlink>
        </w:p>
        <w:p w14:paraId="4E9124B3" w14:textId="200C6171" w:rsidR="00E1109D" w:rsidRPr="00E1109D" w:rsidRDefault="00E1109D">
          <w:pPr>
            <w:pStyle w:val="TDC2"/>
            <w:tabs>
              <w:tab w:val="right" w:leader="dot" w:pos="8921"/>
            </w:tabs>
            <w:rPr>
              <w:noProof/>
            </w:rPr>
          </w:pPr>
          <w:hyperlink w:anchor="_Toc221812506" w:history="1">
            <w:r w:rsidRPr="00E1109D">
              <w:rPr>
                <w:rStyle w:val="Hipervnculo"/>
                <w:noProof/>
              </w:rPr>
              <w:t>SEGUNDO. Causales de improcedencia y sobreseimiento</w:t>
            </w:r>
            <w:r w:rsidRPr="00E1109D">
              <w:rPr>
                <w:noProof/>
                <w:webHidden/>
              </w:rPr>
              <w:tab/>
            </w:r>
            <w:r w:rsidRPr="00E1109D">
              <w:rPr>
                <w:noProof/>
                <w:webHidden/>
              </w:rPr>
              <w:fldChar w:fldCharType="begin"/>
            </w:r>
            <w:r w:rsidRPr="00E1109D">
              <w:rPr>
                <w:noProof/>
                <w:webHidden/>
              </w:rPr>
              <w:instrText xml:space="preserve"> PAGEREF _Toc221812506 \h </w:instrText>
            </w:r>
            <w:r w:rsidRPr="00E1109D">
              <w:rPr>
                <w:noProof/>
                <w:webHidden/>
              </w:rPr>
            </w:r>
            <w:r w:rsidRPr="00E1109D">
              <w:rPr>
                <w:noProof/>
                <w:webHidden/>
              </w:rPr>
              <w:fldChar w:fldCharType="separate"/>
            </w:r>
            <w:r w:rsidR="00E761B8">
              <w:rPr>
                <w:noProof/>
                <w:webHidden/>
              </w:rPr>
              <w:t>7</w:t>
            </w:r>
            <w:r w:rsidRPr="00E1109D">
              <w:rPr>
                <w:noProof/>
                <w:webHidden/>
              </w:rPr>
              <w:fldChar w:fldCharType="end"/>
            </w:r>
          </w:hyperlink>
        </w:p>
        <w:p w14:paraId="3139CECE" w14:textId="5454E626" w:rsidR="00E1109D" w:rsidRPr="00E1109D" w:rsidRDefault="00E1109D">
          <w:pPr>
            <w:pStyle w:val="TDC2"/>
            <w:tabs>
              <w:tab w:val="right" w:leader="dot" w:pos="8921"/>
            </w:tabs>
            <w:rPr>
              <w:noProof/>
            </w:rPr>
          </w:pPr>
          <w:hyperlink w:anchor="_Toc221812507" w:history="1">
            <w:r w:rsidRPr="00E1109D">
              <w:rPr>
                <w:rStyle w:val="Hipervnculo"/>
                <w:noProof/>
              </w:rPr>
              <w:t>TERCERO. Determinación de la Controversia.</w:t>
            </w:r>
            <w:r w:rsidRPr="00E1109D">
              <w:rPr>
                <w:noProof/>
                <w:webHidden/>
              </w:rPr>
              <w:tab/>
            </w:r>
            <w:r w:rsidRPr="00E1109D">
              <w:rPr>
                <w:noProof/>
                <w:webHidden/>
              </w:rPr>
              <w:fldChar w:fldCharType="begin"/>
            </w:r>
            <w:r w:rsidRPr="00E1109D">
              <w:rPr>
                <w:noProof/>
                <w:webHidden/>
              </w:rPr>
              <w:instrText xml:space="preserve"> PAGEREF _Toc221812507 \h </w:instrText>
            </w:r>
            <w:r w:rsidRPr="00E1109D">
              <w:rPr>
                <w:noProof/>
                <w:webHidden/>
              </w:rPr>
            </w:r>
            <w:r w:rsidRPr="00E1109D">
              <w:rPr>
                <w:noProof/>
                <w:webHidden/>
              </w:rPr>
              <w:fldChar w:fldCharType="separate"/>
            </w:r>
            <w:r w:rsidR="00E761B8">
              <w:rPr>
                <w:noProof/>
                <w:webHidden/>
              </w:rPr>
              <w:t>9</w:t>
            </w:r>
            <w:r w:rsidRPr="00E1109D">
              <w:rPr>
                <w:noProof/>
                <w:webHidden/>
              </w:rPr>
              <w:fldChar w:fldCharType="end"/>
            </w:r>
          </w:hyperlink>
        </w:p>
        <w:p w14:paraId="11BF7E45" w14:textId="3A4EEDB8" w:rsidR="00E1109D" w:rsidRPr="00E1109D" w:rsidRDefault="00E1109D">
          <w:pPr>
            <w:pStyle w:val="TDC2"/>
            <w:tabs>
              <w:tab w:val="right" w:leader="dot" w:pos="8921"/>
            </w:tabs>
            <w:rPr>
              <w:noProof/>
            </w:rPr>
          </w:pPr>
          <w:hyperlink w:anchor="_Toc221812508" w:history="1">
            <w:r w:rsidRPr="00E1109D">
              <w:rPr>
                <w:rStyle w:val="Hipervnculo"/>
                <w:noProof/>
              </w:rPr>
              <w:t>CUARTO. Marco normativo aplicable en materia de transparencia y acceso a la información pública</w:t>
            </w:r>
            <w:r w:rsidRPr="00E1109D">
              <w:rPr>
                <w:noProof/>
                <w:webHidden/>
              </w:rPr>
              <w:tab/>
            </w:r>
            <w:r w:rsidRPr="00E1109D">
              <w:rPr>
                <w:noProof/>
                <w:webHidden/>
              </w:rPr>
              <w:fldChar w:fldCharType="begin"/>
            </w:r>
            <w:r w:rsidRPr="00E1109D">
              <w:rPr>
                <w:noProof/>
                <w:webHidden/>
              </w:rPr>
              <w:instrText xml:space="preserve"> PAGEREF _Toc221812508 \h </w:instrText>
            </w:r>
            <w:r w:rsidRPr="00E1109D">
              <w:rPr>
                <w:noProof/>
                <w:webHidden/>
              </w:rPr>
            </w:r>
            <w:r w:rsidRPr="00E1109D">
              <w:rPr>
                <w:noProof/>
                <w:webHidden/>
              </w:rPr>
              <w:fldChar w:fldCharType="separate"/>
            </w:r>
            <w:r w:rsidR="00E761B8">
              <w:rPr>
                <w:noProof/>
                <w:webHidden/>
              </w:rPr>
              <w:t>12</w:t>
            </w:r>
            <w:r w:rsidRPr="00E1109D">
              <w:rPr>
                <w:noProof/>
                <w:webHidden/>
              </w:rPr>
              <w:fldChar w:fldCharType="end"/>
            </w:r>
          </w:hyperlink>
        </w:p>
        <w:p w14:paraId="7A5BD0D7" w14:textId="2DCD63A4" w:rsidR="00E1109D" w:rsidRPr="00E1109D" w:rsidRDefault="00E1109D">
          <w:pPr>
            <w:pStyle w:val="TDC2"/>
            <w:tabs>
              <w:tab w:val="right" w:leader="dot" w:pos="8921"/>
            </w:tabs>
            <w:rPr>
              <w:noProof/>
            </w:rPr>
          </w:pPr>
          <w:hyperlink w:anchor="_Toc221812509" w:history="1">
            <w:r w:rsidRPr="00E1109D">
              <w:rPr>
                <w:rStyle w:val="Hipervnculo"/>
                <w:caps/>
                <w:noProof/>
              </w:rPr>
              <w:t>Quinto.</w:t>
            </w:r>
            <w:r w:rsidRPr="00E1109D">
              <w:rPr>
                <w:rStyle w:val="Hipervnculo"/>
                <w:noProof/>
              </w:rPr>
              <w:t xml:space="preserve"> Estudio de Fondo</w:t>
            </w:r>
            <w:r w:rsidRPr="00E1109D">
              <w:rPr>
                <w:noProof/>
                <w:webHidden/>
              </w:rPr>
              <w:tab/>
            </w:r>
            <w:r w:rsidRPr="00E1109D">
              <w:rPr>
                <w:noProof/>
                <w:webHidden/>
              </w:rPr>
              <w:fldChar w:fldCharType="begin"/>
            </w:r>
            <w:r w:rsidRPr="00E1109D">
              <w:rPr>
                <w:noProof/>
                <w:webHidden/>
              </w:rPr>
              <w:instrText xml:space="preserve"> PAGEREF _Toc221812509 \h </w:instrText>
            </w:r>
            <w:r w:rsidRPr="00E1109D">
              <w:rPr>
                <w:noProof/>
                <w:webHidden/>
              </w:rPr>
            </w:r>
            <w:r w:rsidRPr="00E1109D">
              <w:rPr>
                <w:noProof/>
                <w:webHidden/>
              </w:rPr>
              <w:fldChar w:fldCharType="separate"/>
            </w:r>
            <w:r w:rsidR="00E761B8">
              <w:rPr>
                <w:noProof/>
                <w:webHidden/>
              </w:rPr>
              <w:t>13</w:t>
            </w:r>
            <w:r w:rsidRPr="00E1109D">
              <w:rPr>
                <w:noProof/>
                <w:webHidden/>
              </w:rPr>
              <w:fldChar w:fldCharType="end"/>
            </w:r>
          </w:hyperlink>
        </w:p>
        <w:p w14:paraId="2F67B5A7" w14:textId="32742AE6" w:rsidR="00E1109D" w:rsidRPr="00E1109D" w:rsidRDefault="00E1109D">
          <w:pPr>
            <w:pStyle w:val="TDC2"/>
            <w:tabs>
              <w:tab w:val="right" w:leader="dot" w:pos="8921"/>
            </w:tabs>
            <w:rPr>
              <w:noProof/>
            </w:rPr>
          </w:pPr>
          <w:hyperlink w:anchor="_Toc221812510" w:history="1">
            <w:r w:rsidRPr="00E1109D">
              <w:rPr>
                <w:rStyle w:val="Hipervnculo"/>
                <w:noProof/>
              </w:rPr>
              <w:t>SEXTO. Decisión.</w:t>
            </w:r>
            <w:r w:rsidRPr="00E1109D">
              <w:rPr>
                <w:noProof/>
                <w:webHidden/>
              </w:rPr>
              <w:tab/>
            </w:r>
            <w:r w:rsidRPr="00E1109D">
              <w:rPr>
                <w:noProof/>
                <w:webHidden/>
              </w:rPr>
              <w:fldChar w:fldCharType="begin"/>
            </w:r>
            <w:r w:rsidRPr="00E1109D">
              <w:rPr>
                <w:noProof/>
                <w:webHidden/>
              </w:rPr>
              <w:instrText xml:space="preserve"> PAGEREF _Toc221812510 \h </w:instrText>
            </w:r>
            <w:r w:rsidRPr="00E1109D">
              <w:rPr>
                <w:noProof/>
                <w:webHidden/>
              </w:rPr>
            </w:r>
            <w:r w:rsidRPr="00E1109D">
              <w:rPr>
                <w:noProof/>
                <w:webHidden/>
              </w:rPr>
              <w:fldChar w:fldCharType="separate"/>
            </w:r>
            <w:r w:rsidR="00E761B8">
              <w:rPr>
                <w:noProof/>
                <w:webHidden/>
              </w:rPr>
              <w:t>15</w:t>
            </w:r>
            <w:r w:rsidRPr="00E1109D">
              <w:rPr>
                <w:noProof/>
                <w:webHidden/>
              </w:rPr>
              <w:fldChar w:fldCharType="end"/>
            </w:r>
          </w:hyperlink>
        </w:p>
        <w:p w14:paraId="38B090B9" w14:textId="029939FB" w:rsidR="00E1109D" w:rsidRPr="00E1109D" w:rsidRDefault="00E1109D">
          <w:pPr>
            <w:pStyle w:val="TDC1"/>
            <w:tabs>
              <w:tab w:val="right" w:leader="dot" w:pos="8921"/>
            </w:tabs>
            <w:rPr>
              <w:noProof/>
            </w:rPr>
          </w:pPr>
          <w:hyperlink w:anchor="_Toc221812511" w:history="1">
            <w:r w:rsidRPr="00E1109D">
              <w:rPr>
                <w:rStyle w:val="Hipervnculo"/>
                <w:noProof/>
              </w:rPr>
              <w:t>R E S U E L V E</w:t>
            </w:r>
            <w:r w:rsidRPr="00E1109D">
              <w:rPr>
                <w:noProof/>
                <w:webHidden/>
              </w:rPr>
              <w:tab/>
            </w:r>
            <w:r w:rsidRPr="00E1109D">
              <w:rPr>
                <w:noProof/>
                <w:webHidden/>
              </w:rPr>
              <w:fldChar w:fldCharType="begin"/>
            </w:r>
            <w:r w:rsidRPr="00E1109D">
              <w:rPr>
                <w:noProof/>
                <w:webHidden/>
              </w:rPr>
              <w:instrText xml:space="preserve"> PAGEREF _Toc221812511 \h </w:instrText>
            </w:r>
            <w:r w:rsidRPr="00E1109D">
              <w:rPr>
                <w:noProof/>
                <w:webHidden/>
              </w:rPr>
            </w:r>
            <w:r w:rsidRPr="00E1109D">
              <w:rPr>
                <w:noProof/>
                <w:webHidden/>
              </w:rPr>
              <w:fldChar w:fldCharType="separate"/>
            </w:r>
            <w:r w:rsidR="00E761B8">
              <w:rPr>
                <w:noProof/>
                <w:webHidden/>
              </w:rPr>
              <w:t>16</w:t>
            </w:r>
            <w:r w:rsidRPr="00E1109D">
              <w:rPr>
                <w:noProof/>
                <w:webHidden/>
              </w:rPr>
              <w:fldChar w:fldCharType="end"/>
            </w:r>
          </w:hyperlink>
        </w:p>
        <w:p w14:paraId="12622556" w14:textId="68ACE6DE" w:rsidR="00E51DF5" w:rsidRPr="00E51DF5" w:rsidRDefault="00E51DF5" w:rsidP="00E51DF5">
          <w:pPr>
            <w:spacing w:after="0" w:line="360" w:lineRule="auto"/>
          </w:pPr>
          <w:r w:rsidRPr="00E51DF5">
            <w:rPr>
              <w:b/>
              <w:bCs/>
              <w:lang w:val="es-ES"/>
            </w:rPr>
            <w:fldChar w:fldCharType="end"/>
          </w:r>
        </w:p>
      </w:sdtContent>
    </w:sdt>
    <w:p w14:paraId="05CB0E2A" w14:textId="5A3F1774" w:rsidR="00E51DF5" w:rsidRDefault="00E51DF5" w:rsidP="00E51DF5">
      <w:pPr>
        <w:tabs>
          <w:tab w:val="left" w:pos="8931"/>
        </w:tabs>
        <w:spacing w:after="0" w:line="360" w:lineRule="auto"/>
        <w:contextualSpacing/>
        <w:rPr>
          <w:rFonts w:cs="Tahoma"/>
          <w:bCs/>
        </w:rPr>
      </w:pPr>
      <w:r w:rsidRPr="00E51DF5">
        <w:br w:type="column"/>
      </w:r>
    </w:p>
    <w:p w14:paraId="3530C0FA" w14:textId="4E3E3C81" w:rsidR="00DB3DC5" w:rsidRPr="00E44661" w:rsidRDefault="00DB3DC5" w:rsidP="00C64DEA">
      <w:pPr>
        <w:tabs>
          <w:tab w:val="left" w:pos="8931"/>
        </w:tabs>
        <w:spacing w:after="0" w:line="360" w:lineRule="auto"/>
        <w:contextualSpacing/>
        <w:rPr>
          <w:rFonts w:eastAsia="Calibri" w:cs="Tahoma"/>
          <w:lang w:val="es-ES"/>
        </w:rPr>
      </w:pPr>
      <w:r w:rsidRPr="00E44661">
        <w:rPr>
          <w:rFonts w:cs="Tahoma"/>
          <w:bCs/>
        </w:rPr>
        <w:t xml:space="preserve">Resolución del Pleno del Instituto de Transparencia, Acceso a la Información Pública y Protección de Datos Personales del Estado de México y Municipios, con domicilio en Metepec, </w:t>
      </w:r>
      <w:r w:rsidRPr="00E44661">
        <w:rPr>
          <w:rFonts w:eastAsia="Calibri" w:cs="Tahoma"/>
          <w:lang w:val="es-ES"/>
        </w:rPr>
        <w:t xml:space="preserve">Estado de México, de fecha </w:t>
      </w:r>
      <w:r w:rsidR="00F01520">
        <w:rPr>
          <w:rFonts w:eastAsia="Calibri" w:cs="Tahoma"/>
          <w:lang w:val="es-ES"/>
        </w:rPr>
        <w:t>once de febrero de dos mil veintiséis</w:t>
      </w:r>
      <w:r w:rsidRPr="00E44661">
        <w:rPr>
          <w:rFonts w:eastAsia="Calibri" w:cs="Tahoma"/>
          <w:lang w:val="es-ES"/>
        </w:rPr>
        <w:t xml:space="preserve">. </w:t>
      </w:r>
    </w:p>
    <w:p w14:paraId="2A681408" w14:textId="77777777" w:rsidR="00DB3DC5" w:rsidRPr="00E44661" w:rsidRDefault="00DB3DC5" w:rsidP="00C64DEA">
      <w:pPr>
        <w:spacing w:after="0" w:line="360" w:lineRule="auto"/>
        <w:contextualSpacing/>
        <w:rPr>
          <w:rFonts w:eastAsia="Calibri" w:cs="Tahoma"/>
          <w:b/>
          <w:bCs/>
          <w:lang w:val="es-ES"/>
        </w:rPr>
      </w:pPr>
    </w:p>
    <w:p w14:paraId="75D54F3E" w14:textId="4E159763" w:rsidR="00DB3DC5" w:rsidRPr="00E44661" w:rsidRDefault="00DB3DC5" w:rsidP="00C64DEA">
      <w:pPr>
        <w:spacing w:after="0" w:line="360" w:lineRule="auto"/>
        <w:contextualSpacing/>
        <w:rPr>
          <w:rFonts w:cs="Tahoma"/>
          <w:color w:val="0D0D0D" w:themeColor="text1" w:themeTint="F2"/>
        </w:rPr>
      </w:pPr>
      <w:r w:rsidRPr="00E44661">
        <w:rPr>
          <w:rFonts w:eastAsia="Calibri" w:cs="Tahoma"/>
          <w:b/>
          <w:bCs/>
          <w:lang w:val="es-ES"/>
        </w:rPr>
        <w:t xml:space="preserve">VISTO </w:t>
      </w:r>
      <w:r w:rsidRPr="00E44661">
        <w:rPr>
          <w:rFonts w:eastAsia="Calibri" w:cs="Tahoma"/>
          <w:lang w:val="es-ES"/>
        </w:rPr>
        <w:t>el expediente elec</w:t>
      </w:r>
      <w:r w:rsidR="004424A5">
        <w:rPr>
          <w:rFonts w:eastAsia="Calibri" w:cs="Tahoma"/>
          <w:lang w:val="es-ES"/>
        </w:rPr>
        <w:t>trónico conformado con motivo del</w:t>
      </w:r>
      <w:r w:rsidRPr="00E44661">
        <w:rPr>
          <w:rFonts w:eastAsia="Calibri" w:cs="Tahoma"/>
          <w:lang w:val="es-ES"/>
        </w:rPr>
        <w:t xml:space="preserve"> Recurso de Revisión </w:t>
      </w:r>
      <w:r w:rsidR="00F01520" w:rsidRPr="00F01520">
        <w:rPr>
          <w:rFonts w:eastAsia="Calibri" w:cs="Tahoma"/>
          <w:b/>
        </w:rPr>
        <w:t>09646/INFOEM/IP/RR/2025</w:t>
      </w:r>
      <w:r w:rsidRPr="00362CF5">
        <w:rPr>
          <w:rFonts w:eastAsia="Calibri" w:cs="Tahoma"/>
        </w:rPr>
        <w:t>,</w:t>
      </w:r>
      <w:r w:rsidRPr="00C64DEA">
        <w:rPr>
          <w:rFonts w:eastAsia="Calibri" w:cs="Tahoma"/>
          <w:bCs/>
        </w:rPr>
        <w:t xml:space="preserve"> interpuesto por</w:t>
      </w:r>
      <w:r w:rsidR="007D7E05" w:rsidRPr="00C64DEA">
        <w:rPr>
          <w:rFonts w:eastAsia="Calibri" w:cs="Tahoma"/>
          <w:bCs/>
        </w:rPr>
        <w:t xml:space="preserve"> </w:t>
      </w:r>
      <w:r w:rsidR="00AE77B1">
        <w:rPr>
          <w:rFonts w:eastAsia="Calibri" w:cs="Tahoma"/>
          <w:bCs/>
        </w:rPr>
        <w:t>el</w:t>
      </w:r>
      <w:r w:rsidRPr="00C64DEA">
        <w:rPr>
          <w:rFonts w:eastAsia="Calibri" w:cs="Tahoma"/>
          <w:bCs/>
        </w:rPr>
        <w:t xml:space="preserve"> </w:t>
      </w:r>
      <w:r w:rsidRPr="00C64DEA">
        <w:rPr>
          <w:rFonts w:cs="Tahoma"/>
          <w:bCs/>
          <w:color w:val="0D0D0D" w:themeColor="text1" w:themeTint="F2"/>
        </w:rPr>
        <w:t>Recurrente o Particular, en contra de la respuesta del Sujeto Obligado</w:t>
      </w:r>
      <w:r w:rsidR="007D7E05" w:rsidRPr="00C64DEA">
        <w:rPr>
          <w:rFonts w:cs="Tahoma"/>
          <w:bCs/>
          <w:color w:val="0D0D0D" w:themeColor="text1" w:themeTint="F2"/>
        </w:rPr>
        <w:t xml:space="preserve">, </w:t>
      </w:r>
      <w:r w:rsidR="00F01520" w:rsidRPr="00A304C3">
        <w:rPr>
          <w:b/>
          <w:bCs/>
          <w:color w:val="000000"/>
        </w:rPr>
        <w:t>Ayuntamiento de Toluca</w:t>
      </w:r>
      <w:r w:rsidRPr="00C64DEA">
        <w:rPr>
          <w:rFonts w:cs="Tahoma"/>
          <w:bCs/>
          <w:color w:val="0D0D0D" w:themeColor="text1" w:themeTint="F2"/>
        </w:rPr>
        <w:t>, a la solicitud de acceso a la información pública</w:t>
      </w:r>
      <w:r w:rsidR="004424A5" w:rsidRPr="00C64DEA">
        <w:rPr>
          <w:bCs/>
          <w:color w:val="auto"/>
        </w:rPr>
        <w:t xml:space="preserve"> </w:t>
      </w:r>
      <w:r w:rsidR="00F01520" w:rsidRPr="00F01520">
        <w:rPr>
          <w:b/>
          <w:color w:val="auto"/>
        </w:rPr>
        <w:t>03639/TOLUCA/IP/2025</w:t>
      </w:r>
      <w:r w:rsidRPr="00C64DEA">
        <w:rPr>
          <w:rFonts w:cs="Arial"/>
          <w:bCs/>
          <w:color w:val="333333"/>
        </w:rPr>
        <w:t xml:space="preserve">, </w:t>
      </w:r>
      <w:r w:rsidRPr="00C64DEA">
        <w:rPr>
          <w:rFonts w:cs="Tahoma"/>
          <w:bCs/>
          <w:color w:val="0D0D0D" w:themeColor="text1" w:themeTint="F2"/>
        </w:rPr>
        <w:t>se emite la</w:t>
      </w:r>
      <w:r w:rsidRPr="00E44661">
        <w:rPr>
          <w:rFonts w:cs="Tahoma"/>
          <w:bCs/>
          <w:color w:val="0D0D0D" w:themeColor="text1" w:themeTint="F2"/>
        </w:rPr>
        <w:t xml:space="preserve"> presente Resolución, con base en los Antecedentes y Considerandos que se exponen a continuación:</w:t>
      </w:r>
    </w:p>
    <w:p w14:paraId="134E03A6" w14:textId="77777777" w:rsidR="00DB3DC5" w:rsidRPr="00E44661" w:rsidRDefault="00DB3DC5" w:rsidP="00C64DEA">
      <w:pPr>
        <w:spacing w:after="0" w:line="360" w:lineRule="auto"/>
        <w:contextualSpacing/>
        <w:rPr>
          <w:rFonts w:eastAsia="Calibri" w:cs="Tahoma"/>
          <w:b/>
          <w:bCs/>
          <w:lang w:val="es-ES"/>
        </w:rPr>
      </w:pPr>
    </w:p>
    <w:p w14:paraId="32EEB02D" w14:textId="77777777" w:rsidR="00DB3DC5" w:rsidRPr="00E44661" w:rsidRDefault="00DB3DC5" w:rsidP="00C64DEA">
      <w:pPr>
        <w:spacing w:after="0" w:line="360" w:lineRule="auto"/>
        <w:contextualSpacing/>
        <w:jc w:val="center"/>
        <w:rPr>
          <w:rFonts w:eastAsia="Calibri" w:cs="Tahoma"/>
          <w:b/>
          <w:bCs/>
          <w:lang w:val="es-ES"/>
        </w:rPr>
      </w:pPr>
      <w:r w:rsidRPr="00E44661">
        <w:rPr>
          <w:rFonts w:eastAsia="Calibri" w:cs="Tahoma"/>
          <w:b/>
          <w:bCs/>
          <w:lang w:val="es-ES"/>
        </w:rPr>
        <w:t>A N T E C E D E N T E S:</w:t>
      </w:r>
    </w:p>
    <w:p w14:paraId="09E98305" w14:textId="77777777" w:rsidR="00DB3DC5" w:rsidRPr="00E44661" w:rsidRDefault="00DB3DC5" w:rsidP="00C64DEA">
      <w:pPr>
        <w:spacing w:after="0" w:line="360" w:lineRule="auto"/>
        <w:contextualSpacing/>
        <w:jc w:val="center"/>
        <w:rPr>
          <w:rFonts w:eastAsia="Calibri" w:cs="Tahoma"/>
          <w:b/>
          <w:bCs/>
          <w:lang w:val="es-ES"/>
        </w:rPr>
      </w:pPr>
    </w:p>
    <w:p w14:paraId="5E541408" w14:textId="6009AFBF" w:rsidR="00DB3DC5" w:rsidRPr="00E44661" w:rsidRDefault="00DB3DC5" w:rsidP="00C64DEA">
      <w:pPr>
        <w:spacing w:after="0" w:line="360" w:lineRule="auto"/>
        <w:contextualSpacing/>
        <w:rPr>
          <w:rFonts w:eastAsia="Calibri" w:cs="Tahoma"/>
          <w:b/>
          <w:bCs/>
          <w:lang w:val="es-ES"/>
        </w:rPr>
      </w:pPr>
      <w:r w:rsidRPr="00E44661">
        <w:rPr>
          <w:rFonts w:eastAsia="Calibri" w:cs="Tahoma"/>
          <w:b/>
          <w:bCs/>
          <w:lang w:val="es-ES"/>
        </w:rPr>
        <w:t>I. Presentación de la solicitud de información.</w:t>
      </w:r>
    </w:p>
    <w:p w14:paraId="5A91601B" w14:textId="77777777" w:rsidR="00DB3DC5" w:rsidRPr="00E44661" w:rsidRDefault="00DB3DC5" w:rsidP="00C64DEA">
      <w:pPr>
        <w:spacing w:after="0" w:line="360" w:lineRule="auto"/>
        <w:contextualSpacing/>
        <w:rPr>
          <w:rFonts w:eastAsia="Calibri" w:cs="Tahoma"/>
          <w:b/>
          <w:bCs/>
          <w:lang w:val="es-ES"/>
        </w:rPr>
      </w:pPr>
    </w:p>
    <w:p w14:paraId="1620C68D" w14:textId="67503F67" w:rsidR="00DB3DC5" w:rsidRPr="00E44661" w:rsidRDefault="004822CF" w:rsidP="00C64DEA">
      <w:pPr>
        <w:spacing w:after="0" w:line="360" w:lineRule="auto"/>
        <w:contextualSpacing/>
        <w:rPr>
          <w:rFonts w:eastAsia="Calibri" w:cs="Tahoma"/>
        </w:rPr>
      </w:pPr>
      <w:r w:rsidRPr="00E44661">
        <w:rPr>
          <w:rFonts w:eastAsia="Calibri" w:cs="Tahoma"/>
          <w:lang w:val="es-ES"/>
        </w:rPr>
        <w:t xml:space="preserve">El </w:t>
      </w:r>
      <w:r w:rsidR="00F01520">
        <w:rPr>
          <w:rFonts w:eastAsia="Calibri" w:cs="Tahoma"/>
          <w:lang w:val="es-ES"/>
        </w:rPr>
        <w:t>veinticinco de junio</w:t>
      </w:r>
      <w:r w:rsidR="00AE77B1">
        <w:rPr>
          <w:rFonts w:eastAsia="Calibri" w:cs="Tahoma"/>
          <w:lang w:val="es-ES"/>
        </w:rPr>
        <w:t xml:space="preserve"> de dos mil veinticinco</w:t>
      </w:r>
      <w:r w:rsidR="00DB3DC5" w:rsidRPr="00E44661">
        <w:rPr>
          <w:rFonts w:eastAsia="Calibri" w:cs="Tahoma"/>
          <w:lang w:val="es-ES"/>
        </w:rPr>
        <w:t xml:space="preserve">, el Particular presentó </w:t>
      </w:r>
      <w:r w:rsidR="00A1647B">
        <w:rPr>
          <w:rFonts w:eastAsia="Calibri" w:cs="Tahoma"/>
          <w:lang w:val="es-ES"/>
        </w:rPr>
        <w:t>una</w:t>
      </w:r>
      <w:r w:rsidR="00DB3DC5" w:rsidRPr="00E44661">
        <w:rPr>
          <w:rFonts w:eastAsia="Calibri" w:cs="Tahoma"/>
          <w:lang w:val="es-ES"/>
        </w:rPr>
        <w:t xml:space="preserve"> solicitud de acceso a la información, a través del Sistema de Acceso a la Información Mexiquense (SAIMEX), ante </w:t>
      </w:r>
      <w:r w:rsidRPr="00E44661">
        <w:rPr>
          <w:rFonts w:eastAsia="Calibri" w:cs="Tahoma"/>
          <w:lang w:val="es-ES"/>
        </w:rPr>
        <w:t>el</w:t>
      </w:r>
      <w:r w:rsidR="007D7E05" w:rsidRPr="00E44661">
        <w:rPr>
          <w:rFonts w:eastAsia="Calibri" w:cs="Tahoma"/>
        </w:rPr>
        <w:t xml:space="preserve"> </w:t>
      </w:r>
      <w:r w:rsidR="00AE77B1">
        <w:rPr>
          <w:color w:val="000000"/>
        </w:rPr>
        <w:t>Sujeto Obligado</w:t>
      </w:r>
      <w:r w:rsidR="00DB3DC5" w:rsidRPr="00E44661">
        <w:rPr>
          <w:rFonts w:eastAsia="Calibri" w:cs="Times New Roman"/>
        </w:rPr>
        <w:t>,</w:t>
      </w:r>
      <w:r w:rsidR="007D7E05" w:rsidRPr="00E44661">
        <w:rPr>
          <w:rFonts w:eastAsia="Calibri" w:cs="Times New Roman"/>
        </w:rPr>
        <w:t xml:space="preserve"> </w:t>
      </w:r>
      <w:r w:rsidR="00DB3DC5" w:rsidRPr="00E44661">
        <w:rPr>
          <w:rFonts w:cs="Tahoma"/>
        </w:rPr>
        <w:t>en los siguientes términos:</w:t>
      </w:r>
    </w:p>
    <w:p w14:paraId="24B2B1D0" w14:textId="77777777" w:rsidR="00C417AF" w:rsidRPr="00E44661" w:rsidRDefault="00C417AF" w:rsidP="00C64DEA">
      <w:pPr>
        <w:pStyle w:val="Prrafodelista"/>
        <w:tabs>
          <w:tab w:val="left" w:pos="567"/>
        </w:tabs>
        <w:spacing w:after="0" w:line="360" w:lineRule="auto"/>
        <w:ind w:left="0"/>
        <w:rPr>
          <w:rFonts w:cs="Tahoma"/>
          <w:lang w:val="es-ES"/>
        </w:rPr>
      </w:pPr>
    </w:p>
    <w:p w14:paraId="59BFDE9E" w14:textId="26D9281B" w:rsidR="00C417AF" w:rsidRPr="003F22FD" w:rsidRDefault="00A1647B" w:rsidP="00C64DEA">
      <w:pPr>
        <w:tabs>
          <w:tab w:val="left" w:pos="4667"/>
        </w:tabs>
        <w:spacing w:after="0" w:line="360" w:lineRule="auto"/>
        <w:ind w:left="567" w:right="567"/>
        <w:contextualSpacing/>
        <w:rPr>
          <w:rFonts w:cs="Tahoma"/>
          <w:b/>
          <w:bCs/>
          <w:i/>
          <w:sz w:val="20"/>
          <w:szCs w:val="20"/>
        </w:rPr>
      </w:pPr>
      <w:r w:rsidRPr="00E44661">
        <w:rPr>
          <w:rFonts w:cs="Tahoma"/>
          <w:b/>
          <w:bCs/>
          <w:i/>
          <w:sz w:val="20"/>
          <w:szCs w:val="20"/>
        </w:rPr>
        <w:t xml:space="preserve"> </w:t>
      </w:r>
      <w:r w:rsidR="00C417AF" w:rsidRPr="00E44661">
        <w:rPr>
          <w:rFonts w:cs="Tahoma"/>
          <w:b/>
          <w:bCs/>
          <w:i/>
          <w:sz w:val="20"/>
          <w:szCs w:val="20"/>
        </w:rPr>
        <w:t>“</w:t>
      </w:r>
      <w:r w:rsidR="00C417AF" w:rsidRPr="003F22FD">
        <w:rPr>
          <w:rFonts w:cs="Tahoma"/>
          <w:b/>
          <w:bCs/>
          <w:i/>
          <w:sz w:val="20"/>
          <w:szCs w:val="20"/>
        </w:rPr>
        <w:t>DESCRIPCIÓN CLARA Y PRECISA DE LA INFORMACIÓN SOLICITADA</w:t>
      </w:r>
    </w:p>
    <w:p w14:paraId="0E4B2779" w14:textId="5BA50BF3" w:rsidR="00264CD0" w:rsidRDefault="00C75056" w:rsidP="00C64DEA">
      <w:pPr>
        <w:spacing w:after="0" w:line="360" w:lineRule="auto"/>
        <w:ind w:left="567" w:right="567"/>
        <w:contextualSpacing/>
        <w:rPr>
          <w:rFonts w:eastAsia="Times New Roman" w:cs="Arial"/>
          <w:bCs/>
          <w:i/>
          <w:sz w:val="20"/>
          <w:szCs w:val="20"/>
          <w:lang w:eastAsia="es-ES"/>
        </w:rPr>
      </w:pPr>
      <w:r w:rsidRPr="00C75056">
        <w:rPr>
          <w:rFonts w:eastAsia="Times New Roman" w:cs="Arial"/>
          <w:bCs/>
          <w:i/>
          <w:sz w:val="20"/>
          <w:szCs w:val="20"/>
          <w:lang w:eastAsia="es-ES"/>
        </w:rPr>
        <w:t>Se solicita el expediente completo desde el primer oficio el correo de notificacióm hasta su conclusión todo lo que se intergo para atender la verificación INFOEM/DGPDP/IP/109/2025</w:t>
      </w:r>
      <w:r w:rsidR="00264CD0" w:rsidRPr="003F22FD">
        <w:rPr>
          <w:rFonts w:eastAsia="Times New Roman" w:cs="Arial"/>
          <w:bCs/>
          <w:i/>
          <w:sz w:val="20"/>
          <w:szCs w:val="20"/>
          <w:lang w:eastAsia="es-ES"/>
        </w:rPr>
        <w:t>.</w:t>
      </w:r>
      <w:r w:rsidR="00EE30C6" w:rsidRPr="003F22FD">
        <w:rPr>
          <w:rFonts w:eastAsia="Times New Roman" w:cs="Arial"/>
          <w:bCs/>
          <w:i/>
          <w:sz w:val="20"/>
          <w:szCs w:val="20"/>
          <w:lang w:eastAsia="es-ES"/>
        </w:rPr>
        <w:t xml:space="preserve"> </w:t>
      </w:r>
      <w:r w:rsidR="00264CD0" w:rsidRPr="003F22FD">
        <w:rPr>
          <w:rFonts w:eastAsia="Times New Roman" w:cs="Arial"/>
          <w:bCs/>
          <w:i/>
          <w:sz w:val="20"/>
          <w:szCs w:val="20"/>
          <w:lang w:eastAsia="es-ES"/>
        </w:rPr>
        <w:t>(Sic)</w:t>
      </w:r>
    </w:p>
    <w:p w14:paraId="0B4E9993" w14:textId="77777777" w:rsidR="00AE77B1" w:rsidRDefault="00AE77B1" w:rsidP="00C64DEA">
      <w:pPr>
        <w:spacing w:after="0" w:line="360" w:lineRule="auto"/>
        <w:ind w:left="567" w:right="567"/>
        <w:contextualSpacing/>
        <w:rPr>
          <w:rFonts w:eastAsia="Times New Roman" w:cs="Arial"/>
          <w:bCs/>
          <w:i/>
          <w:sz w:val="20"/>
          <w:szCs w:val="20"/>
          <w:lang w:eastAsia="es-ES"/>
        </w:rPr>
      </w:pPr>
    </w:p>
    <w:p w14:paraId="13DBAEB0" w14:textId="296FF523" w:rsidR="00C64DEA" w:rsidRDefault="00C64DEA" w:rsidP="00C64DEA">
      <w:pPr>
        <w:tabs>
          <w:tab w:val="left" w:pos="4667"/>
        </w:tabs>
        <w:spacing w:after="0" w:line="360" w:lineRule="auto"/>
        <w:ind w:left="567" w:right="567"/>
        <w:contextualSpacing/>
        <w:rPr>
          <w:rFonts w:cs="Tahoma"/>
          <w:b/>
          <w:bCs/>
          <w:i/>
          <w:sz w:val="20"/>
          <w:szCs w:val="20"/>
        </w:rPr>
      </w:pPr>
      <w:r>
        <w:rPr>
          <w:rFonts w:cs="Tahoma"/>
          <w:b/>
          <w:bCs/>
          <w:i/>
          <w:sz w:val="20"/>
          <w:szCs w:val="20"/>
        </w:rPr>
        <w:t>“</w:t>
      </w:r>
      <w:r w:rsidR="00A1647B" w:rsidRPr="00C64DEA">
        <w:rPr>
          <w:rFonts w:cs="Tahoma"/>
          <w:b/>
          <w:bCs/>
          <w:i/>
          <w:sz w:val="20"/>
          <w:szCs w:val="20"/>
        </w:rPr>
        <w:t>M</w:t>
      </w:r>
      <w:r w:rsidR="00345BB5" w:rsidRPr="00C64DEA">
        <w:rPr>
          <w:rFonts w:cs="Tahoma"/>
          <w:b/>
          <w:bCs/>
          <w:i/>
          <w:sz w:val="20"/>
          <w:szCs w:val="20"/>
        </w:rPr>
        <w:t xml:space="preserve">odalidad de entrega </w:t>
      </w:r>
    </w:p>
    <w:p w14:paraId="143ECF6C" w14:textId="0A8B9F6E" w:rsidR="00345BB5" w:rsidRPr="00C64DEA" w:rsidRDefault="00345BB5" w:rsidP="00C64DEA">
      <w:pPr>
        <w:tabs>
          <w:tab w:val="left" w:pos="4667"/>
        </w:tabs>
        <w:spacing w:after="0" w:line="360" w:lineRule="auto"/>
        <w:ind w:left="567" w:right="567"/>
        <w:contextualSpacing/>
        <w:rPr>
          <w:rFonts w:cs="Tahoma"/>
          <w:i/>
          <w:sz w:val="20"/>
          <w:szCs w:val="20"/>
        </w:rPr>
      </w:pPr>
      <w:r w:rsidRPr="00C64DEA">
        <w:rPr>
          <w:rFonts w:cs="Tahoma"/>
          <w:i/>
          <w:sz w:val="20"/>
          <w:szCs w:val="20"/>
        </w:rPr>
        <w:t>A través del SAIMEX”</w:t>
      </w:r>
    </w:p>
    <w:p w14:paraId="05C0E60D" w14:textId="77777777" w:rsidR="00345BB5" w:rsidRDefault="00345BB5" w:rsidP="00C64DEA">
      <w:pPr>
        <w:tabs>
          <w:tab w:val="left" w:pos="4667"/>
        </w:tabs>
        <w:spacing w:after="0" w:line="360" w:lineRule="auto"/>
        <w:rPr>
          <w:rFonts w:cs="Tahoma"/>
          <w:bCs/>
          <w:iCs/>
          <w:color w:val="auto"/>
        </w:rPr>
      </w:pPr>
    </w:p>
    <w:p w14:paraId="4DBA1D4A" w14:textId="16B352BB" w:rsidR="00F32EF6" w:rsidRDefault="00DB3DC5" w:rsidP="00AE77B1">
      <w:pPr>
        <w:spacing w:after="0" w:line="360" w:lineRule="auto"/>
        <w:contextualSpacing/>
        <w:rPr>
          <w:rFonts w:eastAsia="Calibri" w:cs="Tahoma"/>
          <w:b/>
          <w:bCs/>
        </w:rPr>
      </w:pPr>
      <w:r w:rsidRPr="00E44661">
        <w:rPr>
          <w:rFonts w:eastAsia="Calibri" w:cs="Tahoma"/>
          <w:b/>
          <w:bCs/>
        </w:rPr>
        <w:lastRenderedPageBreak/>
        <w:t xml:space="preserve">II. </w:t>
      </w:r>
      <w:r w:rsidRPr="00E44661">
        <w:rPr>
          <w:rFonts w:eastAsia="Calibri" w:cs="Tahoma"/>
          <w:b/>
        </w:rPr>
        <w:t>Respuesta</w:t>
      </w:r>
      <w:r w:rsidRPr="00E44661">
        <w:rPr>
          <w:rFonts w:eastAsia="Calibri" w:cs="Tahoma"/>
          <w:b/>
          <w:bCs/>
        </w:rPr>
        <w:t xml:space="preserve"> del Sujeto Obligado.</w:t>
      </w:r>
    </w:p>
    <w:p w14:paraId="311512F4" w14:textId="77777777" w:rsidR="00F32EF6" w:rsidRDefault="00F32EF6" w:rsidP="00AE77B1">
      <w:pPr>
        <w:spacing w:after="0" w:line="360" w:lineRule="auto"/>
        <w:contextualSpacing/>
        <w:rPr>
          <w:rFonts w:eastAsia="Calibri" w:cs="Tahoma"/>
          <w:b/>
          <w:bCs/>
        </w:rPr>
      </w:pPr>
    </w:p>
    <w:p w14:paraId="3208BCE6" w14:textId="63F7ED82" w:rsidR="00A60B50" w:rsidRDefault="00230F5E" w:rsidP="00F32EF6">
      <w:pPr>
        <w:spacing w:after="0" w:line="360" w:lineRule="auto"/>
        <w:contextualSpacing/>
        <w:rPr>
          <w:rFonts w:cs="Tahoma"/>
          <w:bCs/>
          <w:lang w:val="es-ES_tradnl"/>
        </w:rPr>
      </w:pPr>
      <w:r w:rsidRPr="004C1079">
        <w:rPr>
          <w:rFonts w:cs="Tahoma"/>
          <w:bCs/>
          <w:lang w:val="es-ES_tradnl"/>
        </w:rPr>
        <w:t xml:space="preserve">El </w:t>
      </w:r>
      <w:r w:rsidR="00C75056" w:rsidRPr="004C1079">
        <w:rPr>
          <w:rFonts w:cs="Tahoma"/>
          <w:bCs/>
          <w:lang w:val="es-ES_tradnl"/>
        </w:rPr>
        <w:t>catorce de julio</w:t>
      </w:r>
      <w:r w:rsidR="00F32EF6" w:rsidRPr="004C1079">
        <w:rPr>
          <w:rFonts w:cs="Tahoma"/>
          <w:bCs/>
          <w:lang w:val="es-ES_tradnl"/>
        </w:rPr>
        <w:t xml:space="preserve"> de dos mil veinticinco</w:t>
      </w:r>
      <w:r w:rsidR="00345BB5" w:rsidRPr="004C1079">
        <w:rPr>
          <w:rFonts w:cs="Tahoma"/>
          <w:bCs/>
          <w:lang w:val="es-ES_tradnl"/>
        </w:rPr>
        <w:t xml:space="preserve">, </w:t>
      </w:r>
      <w:r w:rsidRPr="004C1079">
        <w:rPr>
          <w:rFonts w:cs="Tahoma"/>
          <w:bCs/>
          <w:lang w:val="es-ES_tradnl"/>
        </w:rPr>
        <w:t>el</w:t>
      </w:r>
      <w:r w:rsidR="00A60B50" w:rsidRPr="004C1079">
        <w:rPr>
          <w:rFonts w:eastAsia="Calibri" w:cs="Tahoma"/>
        </w:rPr>
        <w:t xml:space="preserve"> Sujeto Obligado</w:t>
      </w:r>
      <w:r w:rsidR="00EA7BA7" w:rsidRPr="004C1079">
        <w:rPr>
          <w:rFonts w:cs="Tahoma"/>
          <w:bCs/>
          <w:lang w:val="es-ES_tradnl"/>
        </w:rPr>
        <w:t>, notificó la respuesta a la solicitud</w:t>
      </w:r>
      <w:r w:rsidR="00345BB5" w:rsidRPr="004C1079">
        <w:rPr>
          <w:rFonts w:cs="Tahoma"/>
          <w:bCs/>
          <w:lang w:val="es-ES_tradnl"/>
        </w:rPr>
        <w:t xml:space="preserve">, a través del Sistema de Acceso a la Información Mexiquense (SAIMEX), </w:t>
      </w:r>
      <w:bookmarkStart w:id="0" w:name="_Hlk118190244"/>
      <w:r w:rsidR="00C75056" w:rsidRPr="004C1079">
        <w:rPr>
          <w:rFonts w:cs="Tahoma"/>
          <w:bCs/>
          <w:lang w:val="es-ES_tradnl"/>
        </w:rPr>
        <w:t>donde remitió lo siguiente:</w:t>
      </w:r>
      <w:r w:rsidR="00C75056">
        <w:rPr>
          <w:rFonts w:cs="Tahoma"/>
          <w:bCs/>
          <w:lang w:val="es-ES_tradnl"/>
        </w:rPr>
        <w:t xml:space="preserve"> </w:t>
      </w:r>
    </w:p>
    <w:p w14:paraId="5C19BD0D" w14:textId="77777777" w:rsidR="004C1079" w:rsidRDefault="004C1079" w:rsidP="004C1079">
      <w:pPr>
        <w:widowControl w:val="0"/>
        <w:spacing w:after="0" w:line="360" w:lineRule="auto"/>
        <w:rPr>
          <w:color w:val="000000"/>
        </w:rPr>
      </w:pPr>
    </w:p>
    <w:p w14:paraId="627671F7" w14:textId="77777777" w:rsidR="004C1079" w:rsidRPr="002F1C87" w:rsidRDefault="004C1079" w:rsidP="007D59C1">
      <w:pPr>
        <w:pStyle w:val="Prrafodelista"/>
        <w:widowControl w:val="0"/>
        <w:numPr>
          <w:ilvl w:val="0"/>
          <w:numId w:val="1"/>
        </w:numPr>
        <w:spacing w:after="0" w:line="360" w:lineRule="auto"/>
        <w:rPr>
          <w:color w:val="000000"/>
        </w:rPr>
      </w:pPr>
      <w:r w:rsidRPr="002F1C87">
        <w:rPr>
          <w:color w:val="000000"/>
        </w:rPr>
        <w:t xml:space="preserve">Oficio de dieciocho de junio de dos mil veinticinco signado por el Director General de Protección de Datos personales del INFOEM, donde refiere que no existen elementos suficientes que permitan acreditar de forma fundada y motivada la existencia de actos u omisiones que constituyan un incumplimiento a lo establecido en la ley de la materia. </w:t>
      </w:r>
    </w:p>
    <w:p w14:paraId="74FEED30" w14:textId="77777777" w:rsidR="004C1079" w:rsidRDefault="004C1079" w:rsidP="007D59C1">
      <w:pPr>
        <w:pStyle w:val="Prrafodelista"/>
        <w:widowControl w:val="0"/>
        <w:numPr>
          <w:ilvl w:val="0"/>
          <w:numId w:val="1"/>
        </w:numPr>
        <w:spacing w:after="0" w:line="360" w:lineRule="auto"/>
        <w:rPr>
          <w:color w:val="000000"/>
        </w:rPr>
      </w:pPr>
      <w:r>
        <w:rPr>
          <w:color w:val="000000"/>
        </w:rPr>
        <w:t>Oficio de dos de junio de dos mil veinticinco del Titular de la Unidad de Transparencia dirigido a la Directora General de Administración y Administradora de Cédulas de Bases de Datos Personales, solicitando se proporcione información relacionada con el expediente  INFOEM/DGPDP/PI/109/2025.</w:t>
      </w:r>
    </w:p>
    <w:p w14:paraId="72DE502F" w14:textId="74345B72" w:rsidR="004C1079" w:rsidRDefault="004C1079" w:rsidP="007D59C1">
      <w:pPr>
        <w:pStyle w:val="Prrafodelista"/>
        <w:widowControl w:val="0"/>
        <w:numPr>
          <w:ilvl w:val="0"/>
          <w:numId w:val="1"/>
        </w:numPr>
        <w:spacing w:after="0" w:line="360" w:lineRule="auto"/>
        <w:rPr>
          <w:color w:val="000000"/>
        </w:rPr>
      </w:pPr>
      <w:r w:rsidRPr="00536E69">
        <w:rPr>
          <w:color w:val="000000"/>
        </w:rPr>
        <w:t xml:space="preserve">Oficio de dos de junio de dos mil veinticinco del Titular de la Unidad de Transparencia dirigido a la Directora General de Administración y Administradora de Cédulas de Bases </w:t>
      </w:r>
      <w:r>
        <w:rPr>
          <w:color w:val="000000"/>
        </w:rPr>
        <w:t>de Datos Personales, haciendo del conocimiento que la Dirección General de Protección de Datos Personales del INFOEM ordenó a la Unidad de Transparencia mediante el punto SEXTO del acuerdo de radicación de treinta de mayo de dos mil veinticinco para que en un plazo no mayor de veinticuatro horas dicte las medida necesarias de protección de la identidad de las personas involucradas.</w:t>
      </w:r>
    </w:p>
    <w:p w14:paraId="55B6FDC1" w14:textId="77777777" w:rsidR="004C1079" w:rsidRDefault="004C1079" w:rsidP="007D59C1">
      <w:pPr>
        <w:pStyle w:val="Prrafodelista"/>
        <w:widowControl w:val="0"/>
        <w:numPr>
          <w:ilvl w:val="0"/>
          <w:numId w:val="1"/>
        </w:numPr>
        <w:spacing w:after="0" w:line="360" w:lineRule="auto"/>
        <w:rPr>
          <w:color w:val="000000"/>
        </w:rPr>
      </w:pPr>
      <w:r>
        <w:rPr>
          <w:color w:val="000000"/>
        </w:rPr>
        <w:t>Oficio de treinta de mayo de dos mil veinticinco, de la Directora General de Administración dirigido al Titular de la Unidad de Transparencia, donde informa cual fue el incidente que ocurrió.</w:t>
      </w:r>
    </w:p>
    <w:p w14:paraId="6831B77E" w14:textId="77777777" w:rsidR="004C1079" w:rsidRDefault="004C1079" w:rsidP="007D59C1">
      <w:pPr>
        <w:pStyle w:val="Prrafodelista"/>
        <w:widowControl w:val="0"/>
        <w:numPr>
          <w:ilvl w:val="0"/>
          <w:numId w:val="1"/>
        </w:numPr>
        <w:spacing w:after="0" w:line="360" w:lineRule="auto"/>
        <w:rPr>
          <w:color w:val="000000"/>
        </w:rPr>
      </w:pPr>
      <w:r>
        <w:rPr>
          <w:color w:val="000000"/>
        </w:rPr>
        <w:lastRenderedPageBreak/>
        <w:t xml:space="preserve">Oficio del diecinueve de junio de dos mil veinticinco Director General de Protección de Datos Personales del INFOEM, donde comunica al Titular de la Unidad de Transparencia la DETERMINACIÓN  en el sentido de que no se advierte la existencia de violaciones a la Ley d Protección de Datos Personales en Posesión de Sujetos Obligados del Estado de México y Municipios. </w:t>
      </w:r>
    </w:p>
    <w:p w14:paraId="56594991" w14:textId="77777777" w:rsidR="004C1079" w:rsidRDefault="004C1079" w:rsidP="007D59C1">
      <w:pPr>
        <w:pStyle w:val="Prrafodelista"/>
        <w:widowControl w:val="0"/>
        <w:numPr>
          <w:ilvl w:val="0"/>
          <w:numId w:val="1"/>
        </w:numPr>
        <w:spacing w:after="0" w:line="360" w:lineRule="auto"/>
        <w:rPr>
          <w:color w:val="000000"/>
        </w:rPr>
      </w:pPr>
      <w:r>
        <w:rPr>
          <w:color w:val="000000"/>
        </w:rPr>
        <w:t xml:space="preserve">Oficio de veintinueve de mayo de dos mil veinticinco, por medio del cual el </w:t>
      </w:r>
      <w:r w:rsidRPr="00A31B49">
        <w:rPr>
          <w:color w:val="000000"/>
        </w:rPr>
        <w:t>Director General de Protección de Da</w:t>
      </w:r>
      <w:r>
        <w:rPr>
          <w:color w:val="000000"/>
        </w:rPr>
        <w:t xml:space="preserve">tos Personales del INFOEM, </w:t>
      </w:r>
      <w:r w:rsidRPr="00A31B49">
        <w:rPr>
          <w:color w:val="000000"/>
        </w:rPr>
        <w:t xml:space="preserve"> comunica al Titular de la Unidad de Transparencia</w:t>
      </w:r>
      <w:r>
        <w:rPr>
          <w:color w:val="000000"/>
        </w:rPr>
        <w:t xml:space="preserve"> que derivado del procedimiento de investigación se emitió el acuerdo de radicación, donde se requiere se remita el informe correspondiente.</w:t>
      </w:r>
    </w:p>
    <w:p w14:paraId="3A6835FD" w14:textId="77777777" w:rsidR="004C1079" w:rsidRDefault="004C1079" w:rsidP="007D59C1">
      <w:pPr>
        <w:pStyle w:val="Prrafodelista"/>
        <w:widowControl w:val="0"/>
        <w:numPr>
          <w:ilvl w:val="0"/>
          <w:numId w:val="1"/>
        </w:numPr>
        <w:spacing w:after="0" w:line="360" w:lineRule="auto"/>
        <w:rPr>
          <w:color w:val="000000"/>
        </w:rPr>
      </w:pPr>
      <w:r>
        <w:rPr>
          <w:color w:val="000000"/>
        </w:rPr>
        <w:t xml:space="preserve">Oficio del veintinueve de mayo de dos mil veinticinco, donde el </w:t>
      </w:r>
      <w:r w:rsidRPr="004E23C2">
        <w:rPr>
          <w:color w:val="000000"/>
        </w:rPr>
        <w:t xml:space="preserve">Titular de la </w:t>
      </w:r>
      <w:r>
        <w:rPr>
          <w:color w:val="000000"/>
        </w:rPr>
        <w:t>Unidad de Transparencia solicita</w:t>
      </w:r>
      <w:r w:rsidRPr="004E23C2">
        <w:rPr>
          <w:color w:val="000000"/>
        </w:rPr>
        <w:t xml:space="preserve"> a la Directora General de Administración y Administradora de Cédulas de Bases de Datos Personales</w:t>
      </w:r>
      <w:r>
        <w:rPr>
          <w:color w:val="000000"/>
        </w:rPr>
        <w:t xml:space="preserve"> se remita informe.</w:t>
      </w:r>
    </w:p>
    <w:p w14:paraId="4AEBFD7B" w14:textId="77777777" w:rsidR="004C1079" w:rsidRDefault="004C1079" w:rsidP="007D59C1">
      <w:pPr>
        <w:pStyle w:val="Prrafodelista"/>
        <w:widowControl w:val="0"/>
        <w:numPr>
          <w:ilvl w:val="0"/>
          <w:numId w:val="1"/>
        </w:numPr>
        <w:spacing w:after="0" w:line="360" w:lineRule="auto"/>
        <w:rPr>
          <w:color w:val="000000"/>
        </w:rPr>
      </w:pPr>
      <w:r>
        <w:rPr>
          <w:color w:val="000000"/>
        </w:rPr>
        <w:t xml:space="preserve">Oficio de tres de junio de dos mil veinticinco, donde el </w:t>
      </w:r>
      <w:r w:rsidRPr="00320FCC">
        <w:t xml:space="preserve"> </w:t>
      </w:r>
      <w:r w:rsidRPr="00320FCC">
        <w:rPr>
          <w:color w:val="000000"/>
        </w:rPr>
        <w:t>Titular de la Unidad de Transparencia</w:t>
      </w:r>
      <w:r w:rsidRPr="00320FCC">
        <w:t xml:space="preserve"> </w:t>
      </w:r>
      <w:r>
        <w:t xml:space="preserve">comunica al </w:t>
      </w:r>
      <w:r w:rsidRPr="00320FCC">
        <w:rPr>
          <w:color w:val="000000"/>
        </w:rPr>
        <w:t>Director General de Protección de Datos Personales del INFOEM</w:t>
      </w:r>
      <w:r>
        <w:rPr>
          <w:color w:val="000000"/>
        </w:rPr>
        <w:t xml:space="preserve"> el cumplimiento a los requerimientos del Acuerdo de radicación . </w:t>
      </w:r>
    </w:p>
    <w:p w14:paraId="5A6837F7" w14:textId="77777777" w:rsidR="004C1079" w:rsidRDefault="004C1079" w:rsidP="007D59C1">
      <w:pPr>
        <w:pStyle w:val="Prrafodelista"/>
        <w:widowControl w:val="0"/>
        <w:numPr>
          <w:ilvl w:val="0"/>
          <w:numId w:val="1"/>
        </w:numPr>
        <w:spacing w:after="0" w:line="360" w:lineRule="auto"/>
        <w:rPr>
          <w:color w:val="000000"/>
        </w:rPr>
      </w:pPr>
      <w:r>
        <w:rPr>
          <w:color w:val="000000"/>
        </w:rPr>
        <w:t xml:space="preserve">Oficios de tres de junio de dos mil veinticinco, donde la Directora General de Administración comunica al Titular de la Unidad de Transparencia, el cumplimiento a los requerimientos del acuerdo de radicación. </w:t>
      </w:r>
    </w:p>
    <w:p w14:paraId="6B37E83A" w14:textId="77777777" w:rsidR="004C1079" w:rsidRDefault="004C1079" w:rsidP="007D59C1">
      <w:pPr>
        <w:pStyle w:val="Prrafodelista"/>
        <w:widowControl w:val="0"/>
        <w:numPr>
          <w:ilvl w:val="0"/>
          <w:numId w:val="1"/>
        </w:numPr>
        <w:spacing w:after="0" w:line="360" w:lineRule="auto"/>
        <w:rPr>
          <w:color w:val="000000"/>
        </w:rPr>
      </w:pPr>
      <w:r>
        <w:rPr>
          <w:color w:val="000000"/>
        </w:rPr>
        <w:t>Acuerdo de Radicación en relación con el expediente INFOEM/DGPDP/PI/109/2025, de fecha veintinueve de mayo de dos mil veinticinco.</w:t>
      </w:r>
    </w:p>
    <w:p w14:paraId="5AD4EFAE" w14:textId="77777777" w:rsidR="004C1079" w:rsidRPr="00F75261" w:rsidRDefault="004C1079" w:rsidP="007D59C1">
      <w:pPr>
        <w:pStyle w:val="Prrafodelista"/>
        <w:widowControl w:val="0"/>
        <w:numPr>
          <w:ilvl w:val="0"/>
          <w:numId w:val="1"/>
        </w:numPr>
        <w:spacing w:after="0" w:line="360" w:lineRule="auto"/>
        <w:rPr>
          <w:color w:val="000000"/>
        </w:rPr>
      </w:pPr>
      <w:r>
        <w:rPr>
          <w:color w:val="000000"/>
        </w:rPr>
        <w:t xml:space="preserve">Oficio de once de julio de dos mil veinticinco, por medio del cual el Titular de la Unidad de Transparencia remite la respuesta al Solicitante. </w:t>
      </w:r>
    </w:p>
    <w:p w14:paraId="7CD113D3" w14:textId="77777777" w:rsidR="004C1079" w:rsidRDefault="004C1079" w:rsidP="00F32EF6">
      <w:pPr>
        <w:spacing w:after="0" w:line="360" w:lineRule="auto"/>
        <w:contextualSpacing/>
        <w:rPr>
          <w:rFonts w:cs="Tahoma"/>
          <w:bCs/>
          <w:lang w:val="es-ES_tradnl"/>
        </w:rPr>
      </w:pPr>
    </w:p>
    <w:bookmarkEnd w:id="0"/>
    <w:p w14:paraId="6867D521" w14:textId="22666847" w:rsidR="00DB3DC5" w:rsidRPr="00E44661" w:rsidRDefault="00F32EF6" w:rsidP="00C64DEA">
      <w:pPr>
        <w:autoSpaceDE w:val="0"/>
        <w:autoSpaceDN w:val="0"/>
        <w:adjustRightInd w:val="0"/>
        <w:spacing w:after="0" w:line="360" w:lineRule="auto"/>
        <w:contextualSpacing/>
        <w:rPr>
          <w:rFonts w:eastAsia="Calibri" w:cs="Tahoma"/>
          <w:b/>
          <w:color w:val="000000"/>
        </w:rPr>
      </w:pPr>
      <w:r w:rsidRPr="00EC732C">
        <w:rPr>
          <w:rFonts w:eastAsia="Calibri" w:cs="Tahoma"/>
          <w:b/>
          <w:color w:val="000000"/>
        </w:rPr>
        <w:t>III</w:t>
      </w:r>
      <w:r w:rsidR="00DB3DC5" w:rsidRPr="00EC732C">
        <w:rPr>
          <w:rFonts w:eastAsia="Calibri" w:cs="Tahoma"/>
          <w:b/>
          <w:color w:val="000000"/>
        </w:rPr>
        <w:t>. Interposición del Recurso de Revisión.</w:t>
      </w:r>
      <w:r w:rsidR="00DB3DC5" w:rsidRPr="00E44661">
        <w:rPr>
          <w:rFonts w:eastAsia="Calibri" w:cs="Tahoma"/>
          <w:b/>
          <w:color w:val="000000"/>
        </w:rPr>
        <w:t xml:space="preserve"> </w:t>
      </w:r>
    </w:p>
    <w:p w14:paraId="72683D89" w14:textId="77777777" w:rsidR="00DB3DC5" w:rsidRDefault="00DB3DC5" w:rsidP="00C64DEA">
      <w:pPr>
        <w:spacing w:after="0" w:line="360" w:lineRule="auto"/>
        <w:contextualSpacing/>
        <w:rPr>
          <w:rFonts w:eastAsia="Times New Roman" w:cs="Tahoma"/>
          <w:bCs/>
          <w:color w:val="auto"/>
          <w:lang w:eastAsia="es-ES"/>
        </w:rPr>
      </w:pPr>
    </w:p>
    <w:p w14:paraId="351E9749" w14:textId="77777777" w:rsidR="00AC1650" w:rsidRPr="00E44661" w:rsidRDefault="00AC1650" w:rsidP="00C64DEA">
      <w:pPr>
        <w:spacing w:after="0" w:line="360" w:lineRule="auto"/>
        <w:contextualSpacing/>
        <w:rPr>
          <w:rFonts w:eastAsia="Times New Roman" w:cs="Tahoma"/>
          <w:bCs/>
          <w:color w:val="auto"/>
          <w:lang w:eastAsia="es-ES"/>
        </w:rPr>
      </w:pPr>
    </w:p>
    <w:p w14:paraId="240D95DA" w14:textId="7BFBA85B" w:rsidR="00DB3DC5" w:rsidRPr="00E44661" w:rsidRDefault="0098062F" w:rsidP="00C64DEA">
      <w:pPr>
        <w:widowControl w:val="0"/>
        <w:spacing w:after="0" w:line="360" w:lineRule="auto"/>
        <w:contextualSpacing/>
        <w:rPr>
          <w:rFonts w:eastAsia="Calibri" w:cs="Times New Roman"/>
          <w:bCs/>
        </w:rPr>
      </w:pPr>
      <w:r w:rsidRPr="00E44661">
        <w:rPr>
          <w:rFonts w:eastAsia="Calibri" w:cs="Times New Roman"/>
          <w:bCs/>
        </w:rPr>
        <w:lastRenderedPageBreak/>
        <w:t xml:space="preserve">El </w:t>
      </w:r>
      <w:r w:rsidR="00C75056">
        <w:rPr>
          <w:rFonts w:eastAsia="Calibri" w:cs="Times New Roman"/>
          <w:bCs/>
        </w:rPr>
        <w:t>dieciocho de agosto</w:t>
      </w:r>
      <w:r w:rsidR="004829F6">
        <w:rPr>
          <w:rFonts w:eastAsia="Calibri" w:cs="Times New Roman"/>
          <w:bCs/>
        </w:rPr>
        <w:t xml:space="preserve"> de dos mil veinticinco</w:t>
      </w:r>
      <w:r w:rsidR="00DB3DC5" w:rsidRPr="00E44661">
        <w:rPr>
          <w:rFonts w:eastAsia="Calibri" w:cs="Times New Roman"/>
          <w:bCs/>
        </w:rPr>
        <w:t xml:space="preserve">, </w:t>
      </w:r>
      <w:r w:rsidR="00DB3DC5" w:rsidRPr="00E44661">
        <w:rPr>
          <w:rFonts w:eastAsia="Calibri" w:cs="Times New Roman"/>
          <w:bCs/>
          <w:lang w:val="es-ES"/>
        </w:rPr>
        <w:t xml:space="preserve">se recibió en este Instituto, a través del Sistema de Acceso a la Información Mexiquense (SAIMEX), </w:t>
      </w:r>
      <w:r w:rsidR="00CF65EB">
        <w:rPr>
          <w:rFonts w:eastAsia="Calibri" w:cs="Times New Roman"/>
          <w:bCs/>
          <w:lang w:val="es-ES"/>
        </w:rPr>
        <w:t>el</w:t>
      </w:r>
      <w:r w:rsidR="006A0867" w:rsidRPr="00E44661">
        <w:rPr>
          <w:rFonts w:eastAsia="Calibri" w:cs="Times New Roman"/>
          <w:bCs/>
          <w:lang w:val="es-ES"/>
        </w:rPr>
        <w:t xml:space="preserve"> </w:t>
      </w:r>
      <w:r w:rsidR="00DB3DC5" w:rsidRPr="00E44661">
        <w:rPr>
          <w:rFonts w:eastAsia="Calibri" w:cs="Times New Roman"/>
          <w:bCs/>
          <w:lang w:val="es-ES"/>
        </w:rPr>
        <w:t>Recurso de Revisión interpuesto por la Recurrente, en contra de la respuesta del Sujeto Obligado</w:t>
      </w:r>
      <w:r w:rsidR="00DB3DC5" w:rsidRPr="00E44661">
        <w:rPr>
          <w:rFonts w:eastAsia="Calibri" w:cs="Times New Roman"/>
        </w:rPr>
        <w:t>,</w:t>
      </w:r>
      <w:r w:rsidRPr="00E44661">
        <w:rPr>
          <w:rFonts w:eastAsia="Calibri" w:cs="Times New Roman"/>
        </w:rPr>
        <w:t xml:space="preserve"> </w:t>
      </w:r>
      <w:r w:rsidR="00DB3DC5" w:rsidRPr="00E44661">
        <w:rPr>
          <w:rFonts w:eastAsia="Times New Roman" w:cs="Tahoma"/>
          <w:bCs/>
          <w:color w:val="auto"/>
          <w:lang w:val="es-ES" w:eastAsia="es-ES"/>
        </w:rPr>
        <w:t>en los términos</w:t>
      </w:r>
      <w:r w:rsidR="000D1C9F" w:rsidRPr="00E44661">
        <w:rPr>
          <w:rFonts w:eastAsia="Times New Roman" w:cs="Tahoma"/>
          <w:bCs/>
          <w:color w:val="auto"/>
          <w:lang w:val="es-ES" w:eastAsia="es-ES"/>
        </w:rPr>
        <w:t xml:space="preserve"> siguientes</w:t>
      </w:r>
      <w:r w:rsidR="00DB3DC5" w:rsidRPr="00E44661">
        <w:rPr>
          <w:rFonts w:eastAsia="Times New Roman" w:cs="Tahoma"/>
          <w:bCs/>
          <w:color w:val="auto"/>
          <w:lang w:val="es-ES" w:eastAsia="es-ES"/>
        </w:rPr>
        <w:t>:</w:t>
      </w:r>
    </w:p>
    <w:p w14:paraId="383A8105" w14:textId="77777777" w:rsidR="00DB3DC5" w:rsidRPr="00E44661" w:rsidRDefault="00DB3DC5" w:rsidP="00C64DEA">
      <w:pPr>
        <w:tabs>
          <w:tab w:val="left" w:pos="4667"/>
        </w:tabs>
        <w:spacing w:after="0" w:line="360" w:lineRule="auto"/>
        <w:ind w:left="567" w:right="567"/>
        <w:contextualSpacing/>
        <w:rPr>
          <w:rFonts w:cs="Tahoma"/>
          <w:b/>
          <w:bCs/>
          <w:i/>
          <w:sz w:val="20"/>
          <w:szCs w:val="20"/>
        </w:rPr>
      </w:pPr>
    </w:p>
    <w:p w14:paraId="0E422949" w14:textId="77777777" w:rsidR="006A0867" w:rsidRPr="00E44661" w:rsidRDefault="006A0867" w:rsidP="00C64DEA">
      <w:pPr>
        <w:spacing w:after="0" w:line="360" w:lineRule="auto"/>
        <w:ind w:left="567" w:right="567"/>
        <w:contextualSpacing/>
        <w:rPr>
          <w:rFonts w:cs="Tahoma"/>
          <w:b/>
          <w:bCs/>
          <w:i/>
          <w:sz w:val="20"/>
          <w:szCs w:val="20"/>
        </w:rPr>
      </w:pPr>
      <w:r w:rsidRPr="00E44661">
        <w:rPr>
          <w:rFonts w:cs="Tahoma"/>
          <w:b/>
          <w:bCs/>
          <w:i/>
          <w:sz w:val="20"/>
          <w:szCs w:val="20"/>
        </w:rPr>
        <w:t>“ACTO IMPUGNADO</w:t>
      </w:r>
    </w:p>
    <w:p w14:paraId="199F28DE" w14:textId="01817A5A" w:rsidR="006A0867" w:rsidRPr="00E44661" w:rsidRDefault="00C75056" w:rsidP="00C64DEA">
      <w:pPr>
        <w:tabs>
          <w:tab w:val="left" w:pos="4667"/>
        </w:tabs>
        <w:spacing w:after="0" w:line="360" w:lineRule="auto"/>
        <w:ind w:left="567" w:right="567"/>
        <w:rPr>
          <w:rFonts w:cs="Tahoma"/>
          <w:bCs/>
          <w:i/>
          <w:sz w:val="20"/>
          <w:szCs w:val="20"/>
        </w:rPr>
      </w:pPr>
      <w:r w:rsidRPr="00C75056">
        <w:rPr>
          <w:i/>
          <w:iCs/>
          <w:color w:val="000000"/>
          <w:sz w:val="20"/>
          <w:szCs w:val="20"/>
        </w:rPr>
        <w:t>La unidad de opacidad no entrega la información completa dice que para que si ya se va el informe que Cielito es la que dice que no pasa nada pues ojal el infoem garantice mi derecho.</w:t>
      </w:r>
      <w:r w:rsidR="006A0867" w:rsidRPr="00E44661">
        <w:rPr>
          <w:rFonts w:cs="Tahoma"/>
          <w:bCs/>
          <w:i/>
          <w:sz w:val="20"/>
          <w:szCs w:val="20"/>
        </w:rPr>
        <w:t>” (Sic.)</w:t>
      </w:r>
    </w:p>
    <w:p w14:paraId="349885DE" w14:textId="77777777" w:rsidR="006A0867" w:rsidRPr="00E44661" w:rsidRDefault="006A0867" w:rsidP="00C64DEA">
      <w:pPr>
        <w:tabs>
          <w:tab w:val="left" w:pos="4667"/>
        </w:tabs>
        <w:spacing w:after="0" w:line="360" w:lineRule="auto"/>
        <w:ind w:left="567" w:right="567"/>
        <w:rPr>
          <w:rFonts w:cs="Tahoma"/>
          <w:bCs/>
          <w:i/>
          <w:sz w:val="20"/>
          <w:szCs w:val="20"/>
        </w:rPr>
      </w:pPr>
    </w:p>
    <w:p w14:paraId="09EF88BF" w14:textId="77777777" w:rsidR="006A0867" w:rsidRPr="00E44661" w:rsidRDefault="006A0867" w:rsidP="00C64DEA">
      <w:pPr>
        <w:tabs>
          <w:tab w:val="left" w:pos="4667"/>
        </w:tabs>
        <w:spacing w:after="0" w:line="360" w:lineRule="auto"/>
        <w:ind w:left="567" w:right="567"/>
        <w:rPr>
          <w:rFonts w:cs="Tahoma"/>
          <w:b/>
          <w:bCs/>
          <w:i/>
          <w:sz w:val="20"/>
          <w:szCs w:val="20"/>
        </w:rPr>
      </w:pPr>
      <w:r w:rsidRPr="00E44661">
        <w:rPr>
          <w:rFonts w:cs="Tahoma"/>
          <w:b/>
          <w:bCs/>
          <w:i/>
          <w:sz w:val="20"/>
          <w:szCs w:val="20"/>
        </w:rPr>
        <w:t>“RAZONES O MOTIVOS DE LA INCONFORMIDAD</w:t>
      </w:r>
    </w:p>
    <w:p w14:paraId="35F9576D" w14:textId="49397195" w:rsidR="006A0867" w:rsidRPr="00E44661" w:rsidRDefault="009D10FF" w:rsidP="00C64DEA">
      <w:pPr>
        <w:tabs>
          <w:tab w:val="left" w:pos="4667"/>
        </w:tabs>
        <w:spacing w:after="0" w:line="360" w:lineRule="auto"/>
        <w:ind w:left="567" w:right="567"/>
        <w:rPr>
          <w:rFonts w:cs="Tahoma"/>
          <w:i/>
          <w:sz w:val="20"/>
          <w:szCs w:val="20"/>
        </w:rPr>
      </w:pPr>
      <w:r w:rsidRPr="009D10FF">
        <w:rPr>
          <w:i/>
          <w:iCs/>
          <w:color w:val="000000"/>
          <w:sz w:val="20"/>
          <w:szCs w:val="20"/>
        </w:rPr>
        <w:t>La unidad de opacidad no entrega la información completa dice que para que si ya se va el informe que Cielito es la que dice que no pasa nada pues ojal el infoem garantice mi derecho.</w:t>
      </w:r>
      <w:r w:rsidR="006A0867" w:rsidRPr="00E44661">
        <w:rPr>
          <w:rFonts w:cs="Tahoma"/>
          <w:i/>
          <w:sz w:val="20"/>
          <w:szCs w:val="20"/>
        </w:rPr>
        <w:t>” (Sic.)</w:t>
      </w:r>
    </w:p>
    <w:p w14:paraId="3D16C2D3" w14:textId="77777777" w:rsidR="00DB3DC5" w:rsidRPr="00E44661" w:rsidRDefault="00DB3DC5" w:rsidP="00C64DEA">
      <w:pPr>
        <w:spacing w:after="0" w:line="360" w:lineRule="auto"/>
        <w:contextualSpacing/>
        <w:rPr>
          <w:rFonts w:eastAsia="Times New Roman" w:cs="Tahoma"/>
          <w:bCs/>
          <w:color w:val="auto"/>
          <w:sz w:val="20"/>
          <w:szCs w:val="20"/>
          <w:lang w:eastAsia="es-ES"/>
        </w:rPr>
      </w:pPr>
    </w:p>
    <w:p w14:paraId="2D3CE335" w14:textId="60F164AF" w:rsidR="00DB3DC5" w:rsidRPr="00E44661" w:rsidRDefault="004829F6" w:rsidP="00C64DEA">
      <w:pPr>
        <w:spacing w:after="0" w:line="360" w:lineRule="auto"/>
        <w:contextualSpacing/>
        <w:rPr>
          <w:rFonts w:eastAsia="Batang" w:cs="Tahoma"/>
          <w:b/>
          <w:bCs/>
          <w:color w:val="000000"/>
        </w:rPr>
      </w:pPr>
      <w:r>
        <w:rPr>
          <w:rFonts w:eastAsia="Calibri" w:cs="Tahoma"/>
          <w:b/>
          <w:color w:val="000000"/>
        </w:rPr>
        <w:t>I</w:t>
      </w:r>
      <w:r w:rsidR="00DB3DC5" w:rsidRPr="00E44661">
        <w:rPr>
          <w:rFonts w:eastAsia="Calibri" w:cs="Tahoma"/>
          <w:b/>
          <w:color w:val="000000"/>
        </w:rPr>
        <w:t xml:space="preserve">V. </w:t>
      </w:r>
      <w:r w:rsidR="00DB3DC5" w:rsidRPr="00E44661">
        <w:rPr>
          <w:rFonts w:eastAsia="Batang" w:cs="Tahoma"/>
          <w:b/>
          <w:bCs/>
          <w:color w:val="000000"/>
        </w:rPr>
        <w:t>Trámite del Recurso de Revisión</w:t>
      </w:r>
      <w:r w:rsidR="00DB3DC5" w:rsidRPr="00E44661">
        <w:rPr>
          <w:rFonts w:eastAsia="Calibri" w:cs="Tahoma"/>
          <w:b/>
          <w:color w:val="000000"/>
        </w:rPr>
        <w:t xml:space="preserve"> </w:t>
      </w:r>
      <w:r w:rsidR="00DB3DC5" w:rsidRPr="00E44661">
        <w:rPr>
          <w:rFonts w:eastAsia="Batang" w:cs="Tahoma"/>
          <w:b/>
          <w:bCs/>
          <w:color w:val="000000"/>
        </w:rPr>
        <w:t>ante este Instituto.</w:t>
      </w:r>
    </w:p>
    <w:p w14:paraId="13E537D5" w14:textId="77777777" w:rsidR="00DB3DC5" w:rsidRPr="00E44661" w:rsidRDefault="00DB3DC5" w:rsidP="00C64DEA">
      <w:pPr>
        <w:spacing w:after="0" w:line="360" w:lineRule="auto"/>
        <w:contextualSpacing/>
        <w:rPr>
          <w:rFonts w:eastAsia="Batang" w:cs="Tahoma"/>
          <w:b/>
          <w:bCs/>
          <w:color w:val="000000"/>
        </w:rPr>
      </w:pPr>
    </w:p>
    <w:p w14:paraId="5B9B961B" w14:textId="366890D1" w:rsidR="00DB3DC5" w:rsidRPr="00E44661" w:rsidRDefault="00DB3DC5" w:rsidP="00C64DEA">
      <w:pPr>
        <w:spacing w:after="0" w:line="360" w:lineRule="auto"/>
        <w:contextualSpacing/>
        <w:rPr>
          <w:rFonts w:eastAsia="Batang" w:cs="Tahoma"/>
          <w:b/>
          <w:bCs/>
          <w:color w:val="000000"/>
        </w:rPr>
      </w:pPr>
      <w:r w:rsidRPr="00E44661">
        <w:rPr>
          <w:rFonts w:eastAsia="Batang" w:cs="Tahoma"/>
          <w:b/>
          <w:bCs/>
          <w:color w:val="000000"/>
        </w:rPr>
        <w:t>a) Turno del Medio de Impugnación.</w:t>
      </w:r>
      <w:r w:rsidR="00245BC3" w:rsidRPr="00E44661">
        <w:rPr>
          <w:rFonts w:eastAsia="Batang" w:cs="Tahoma"/>
          <w:bCs/>
          <w:color w:val="000000"/>
        </w:rPr>
        <w:t xml:space="preserve"> </w:t>
      </w:r>
      <w:r w:rsidR="00245BC3" w:rsidRPr="00E44661">
        <w:rPr>
          <w:rFonts w:eastAsia="Calibri" w:cs="Times New Roman"/>
          <w:bCs/>
        </w:rPr>
        <w:t xml:space="preserve">El </w:t>
      </w:r>
      <w:r w:rsidR="009D10FF" w:rsidRPr="009D10FF">
        <w:rPr>
          <w:rFonts w:eastAsia="Calibri" w:cs="Times New Roman"/>
          <w:bCs/>
        </w:rPr>
        <w:t>dieciocho de agosto de dos mil veinticinco</w:t>
      </w:r>
      <w:r w:rsidRPr="00E44661">
        <w:rPr>
          <w:rFonts w:eastAsia="Batang" w:cs="Tahoma"/>
          <w:bCs/>
          <w:color w:val="000000"/>
        </w:rPr>
        <w:t xml:space="preserve">, el </w:t>
      </w:r>
      <w:r w:rsidRPr="00E44661">
        <w:rPr>
          <w:rFonts w:eastAsia="Calibri" w:cs="Tahoma"/>
          <w:color w:val="000000"/>
          <w:lang w:val="es-ES"/>
        </w:rPr>
        <w:t>Sistema de Acceso a la Información Mexiquense (SAIMEX),</w:t>
      </w:r>
      <w:r w:rsidRPr="00E44661">
        <w:rPr>
          <w:rFonts w:eastAsia="Batang" w:cs="Tahoma"/>
          <w:bCs/>
          <w:color w:val="000000"/>
        </w:rPr>
        <w:t xml:space="preserve"> </w:t>
      </w:r>
      <w:r w:rsidR="00A6124E">
        <w:rPr>
          <w:rFonts w:eastAsia="Batang" w:cs="Tahoma"/>
          <w:bCs/>
          <w:lang w:val="es-ES_tradnl"/>
        </w:rPr>
        <w:t>asignó el</w:t>
      </w:r>
      <w:r w:rsidR="0089704B" w:rsidRPr="00E44661">
        <w:rPr>
          <w:rFonts w:eastAsia="Batang" w:cs="Tahoma"/>
          <w:bCs/>
          <w:lang w:val="es-ES_tradnl"/>
        </w:rPr>
        <w:t xml:space="preserve"> número de expediente</w:t>
      </w:r>
      <w:r w:rsidR="00245BC3" w:rsidRPr="00E44661">
        <w:rPr>
          <w:rFonts w:eastAsia="Calibri" w:cs="Tahoma"/>
          <w:b/>
          <w:bCs/>
        </w:rPr>
        <w:t xml:space="preserve"> </w:t>
      </w:r>
      <w:r w:rsidR="009D10FF">
        <w:rPr>
          <w:rFonts w:eastAsia="Calibri" w:cs="Tahoma"/>
          <w:b/>
          <w:bCs/>
        </w:rPr>
        <w:t>09646</w:t>
      </w:r>
      <w:r w:rsidR="00275628" w:rsidRPr="00275628">
        <w:rPr>
          <w:rFonts w:eastAsia="Calibri" w:cs="Tahoma"/>
          <w:b/>
          <w:bCs/>
        </w:rPr>
        <w:t>/INFOEM/IP/RR/2025</w:t>
      </w:r>
      <w:r w:rsidRPr="00E44661">
        <w:rPr>
          <w:rFonts w:eastAsia="Batang" w:cs="Tahoma"/>
          <w:bCs/>
          <w:color w:val="000000"/>
        </w:rPr>
        <w:t>, al Medio de Impugnación que nos ocupa, con base en el sistema aprobado por el Pleno de este Órgano Garante y lo turnó</w:t>
      </w:r>
      <w:r w:rsidR="0072075E" w:rsidRPr="00E44661">
        <w:rPr>
          <w:rFonts w:eastAsia="Batang" w:cs="Tahoma"/>
          <w:bCs/>
          <w:color w:val="000000"/>
        </w:rPr>
        <w:t xml:space="preserve"> </w:t>
      </w:r>
      <w:r w:rsidR="00A6124E">
        <w:rPr>
          <w:rFonts w:eastAsia="Batang" w:cs="Tahoma"/>
          <w:bCs/>
          <w:color w:val="000000"/>
        </w:rPr>
        <w:t xml:space="preserve">al </w:t>
      </w:r>
      <w:r w:rsidR="00A6124E">
        <w:rPr>
          <w:rFonts w:eastAsia="Batang" w:cs="Tahoma"/>
          <w:b/>
          <w:color w:val="000000"/>
        </w:rPr>
        <w:t>Comisionado</w:t>
      </w:r>
      <w:r w:rsidR="0072075E" w:rsidRPr="00E44661">
        <w:rPr>
          <w:rFonts w:eastAsia="Batang" w:cs="Tahoma"/>
          <w:b/>
          <w:color w:val="000000"/>
        </w:rPr>
        <w:t xml:space="preserve"> Ponentes Luis Gustavo Parra Noriega</w:t>
      </w:r>
      <w:r w:rsidR="0072075E" w:rsidRPr="00E44661">
        <w:rPr>
          <w:rFonts w:eastAsia="Batang" w:cs="Tahoma"/>
          <w:bCs/>
          <w:color w:val="000000"/>
        </w:rPr>
        <w:t>,</w:t>
      </w:r>
      <w:r w:rsidRPr="00E44661">
        <w:rPr>
          <w:rFonts w:eastAsia="Batang" w:cs="Tahoma"/>
          <w:bCs/>
          <w:color w:val="000000"/>
        </w:rPr>
        <w:t xml:space="preserve"> para los efectos del artículo 185, fracción I de la Ley de Transparencia y Acceso a la Información Pública del Estado de México y Municipios.</w:t>
      </w:r>
    </w:p>
    <w:p w14:paraId="7ADA7EB2" w14:textId="77777777" w:rsidR="00DB3DC5" w:rsidRPr="00E44661" w:rsidRDefault="00DB3DC5" w:rsidP="00C64DEA">
      <w:pPr>
        <w:spacing w:after="0" w:line="360" w:lineRule="auto"/>
        <w:contextualSpacing/>
        <w:rPr>
          <w:rFonts w:eastAsia="Batang" w:cs="Tahoma"/>
          <w:bCs/>
          <w:color w:val="000000"/>
        </w:rPr>
      </w:pPr>
    </w:p>
    <w:p w14:paraId="2B3B5A4B" w14:textId="47B4D38A" w:rsidR="00DB3DC5" w:rsidRPr="00E44661" w:rsidRDefault="00DB3DC5" w:rsidP="00C64DEA">
      <w:pPr>
        <w:spacing w:after="0" w:line="360" w:lineRule="auto"/>
        <w:contextualSpacing/>
        <w:rPr>
          <w:rFonts w:eastAsia="Times New Roman" w:cs="Tahoma"/>
          <w:b/>
          <w:bCs/>
          <w:color w:val="auto"/>
          <w:lang w:eastAsia="es-ES"/>
        </w:rPr>
      </w:pPr>
      <w:r w:rsidRPr="00E44661">
        <w:rPr>
          <w:rFonts w:eastAsia="Times New Roman" w:cs="Tahoma"/>
          <w:b/>
          <w:bCs/>
          <w:color w:val="auto"/>
          <w:lang w:eastAsia="es-ES"/>
        </w:rPr>
        <w:t>b) Admisión de</w:t>
      </w:r>
      <w:r w:rsidR="0076342E">
        <w:rPr>
          <w:rFonts w:eastAsia="Times New Roman" w:cs="Tahoma"/>
          <w:b/>
          <w:bCs/>
          <w:color w:val="auto"/>
          <w:lang w:eastAsia="es-ES"/>
        </w:rPr>
        <w:t>l</w:t>
      </w:r>
      <w:r w:rsidRPr="00E44661">
        <w:rPr>
          <w:rFonts w:eastAsia="Times New Roman" w:cs="Tahoma"/>
          <w:b/>
          <w:bCs/>
          <w:color w:val="auto"/>
          <w:lang w:eastAsia="es-ES"/>
        </w:rPr>
        <w:t xml:space="preserve"> Recurso de Revisión</w:t>
      </w:r>
      <w:r w:rsidRPr="00E44661">
        <w:rPr>
          <w:rFonts w:eastAsia="Times New Roman" w:cs="Tahoma"/>
          <w:b/>
          <w:bCs/>
          <w:color w:val="auto"/>
          <w:lang w:val="es-ES_tradnl" w:eastAsia="es-ES"/>
        </w:rPr>
        <w:t>.</w:t>
      </w:r>
      <w:r w:rsidR="00245BC3" w:rsidRPr="00E44661">
        <w:rPr>
          <w:rFonts w:eastAsia="Times New Roman" w:cs="Tahoma"/>
          <w:bCs/>
          <w:color w:val="auto"/>
          <w:lang w:val="es-ES_tradnl" w:eastAsia="es-ES"/>
        </w:rPr>
        <w:t xml:space="preserve"> El </w:t>
      </w:r>
      <w:r w:rsidR="005B6B85">
        <w:rPr>
          <w:rFonts w:eastAsia="Times New Roman" w:cs="Tahoma"/>
          <w:bCs/>
          <w:color w:val="auto"/>
          <w:lang w:val="es-ES_tradnl" w:eastAsia="es-ES"/>
        </w:rPr>
        <w:t>veintiuno de agosto</w:t>
      </w:r>
      <w:r w:rsidR="004829F6" w:rsidRPr="004829F6">
        <w:rPr>
          <w:rFonts w:eastAsia="Times New Roman" w:cs="Tahoma"/>
          <w:bCs/>
          <w:color w:val="auto"/>
          <w:lang w:val="es-ES_tradnl" w:eastAsia="es-ES"/>
        </w:rPr>
        <w:t xml:space="preserve"> de dos mil veinticinco</w:t>
      </w:r>
      <w:r w:rsidRPr="00E44661">
        <w:rPr>
          <w:rFonts w:eastAsia="Times New Roman" w:cs="Tahoma"/>
          <w:bCs/>
          <w:color w:val="auto"/>
          <w:lang w:val="es-ES_tradnl" w:eastAsia="es-ES"/>
        </w:rPr>
        <w:t>, se acordó la admisión de</w:t>
      </w:r>
      <w:r w:rsidR="002C0A03">
        <w:rPr>
          <w:rFonts w:eastAsia="Times New Roman" w:cs="Tahoma"/>
          <w:bCs/>
          <w:color w:val="auto"/>
          <w:lang w:val="es-ES_tradnl" w:eastAsia="es-ES"/>
        </w:rPr>
        <w:t xml:space="preserve">l </w:t>
      </w:r>
      <w:r w:rsidRPr="00E44661">
        <w:rPr>
          <w:rFonts w:eastAsia="Times New Roman" w:cs="Tahoma"/>
          <w:bCs/>
          <w:color w:val="auto"/>
          <w:lang w:val="es-ES_tradnl" w:eastAsia="es-ES"/>
        </w:rPr>
        <w:t xml:space="preserve">Recurso de Revisión interpuesto por la Recurrente en contra del Sujeto Obligado, en términos del artículo 185, fracciones I y II de la Ley de Transparencia y Acceso a la Información Pública del Estado de México y Municipios, </w:t>
      </w:r>
      <w:r w:rsidR="0076342E">
        <w:rPr>
          <w:rFonts w:eastAsia="Times New Roman" w:cs="Tahoma"/>
          <w:bCs/>
          <w:color w:val="auto"/>
          <w:lang w:val="es-ES_tradnl" w:eastAsia="es-ES"/>
        </w:rPr>
        <w:t>lo</w:t>
      </w:r>
      <w:r w:rsidRPr="00E44661">
        <w:rPr>
          <w:rFonts w:eastAsia="Times New Roman" w:cs="Tahoma"/>
          <w:bCs/>
          <w:color w:val="auto"/>
          <w:lang w:val="es-ES_tradnl" w:eastAsia="es-ES"/>
        </w:rPr>
        <w:t xml:space="preserve"> cual fue debidamente notificado a las partes, a través del Sistema de Acceso a la Información Mexiq</w:t>
      </w:r>
      <w:r w:rsidR="002C0A03">
        <w:rPr>
          <w:rFonts w:eastAsia="Times New Roman" w:cs="Tahoma"/>
          <w:bCs/>
          <w:color w:val="auto"/>
          <w:lang w:val="es-ES_tradnl" w:eastAsia="es-ES"/>
        </w:rPr>
        <w:t xml:space="preserve">uense </w:t>
      </w:r>
      <w:r w:rsidR="002C0A03">
        <w:rPr>
          <w:rFonts w:eastAsia="Times New Roman" w:cs="Tahoma"/>
          <w:bCs/>
          <w:color w:val="auto"/>
          <w:lang w:val="es-ES_tradnl" w:eastAsia="es-ES"/>
        </w:rPr>
        <w:lastRenderedPageBreak/>
        <w:t>(SAIMEX), en el que se les</w:t>
      </w:r>
      <w:r w:rsidRPr="00E44661">
        <w:rPr>
          <w:rFonts w:eastAsia="Times New Roman" w:cs="Tahoma"/>
          <w:bCs/>
          <w:color w:val="auto"/>
          <w:lang w:val="es-ES_tradnl" w:eastAsia="es-ES"/>
        </w:rPr>
        <w:t xml:space="preserve"> otorgó un plazo de siete días hábiles posteriores a la misma, para que manifestaran lo que a su derecho conviniera y formularan alegatos. </w:t>
      </w:r>
    </w:p>
    <w:p w14:paraId="1F03AAD1" w14:textId="77777777" w:rsidR="00DB3DC5" w:rsidRPr="00E44661" w:rsidRDefault="00DB3DC5" w:rsidP="00C64DEA">
      <w:pPr>
        <w:spacing w:after="0" w:line="360" w:lineRule="auto"/>
        <w:contextualSpacing/>
        <w:rPr>
          <w:rFonts w:cs="Tahoma"/>
        </w:rPr>
      </w:pPr>
    </w:p>
    <w:p w14:paraId="1784F7DA" w14:textId="21B6A18A" w:rsidR="008539FC" w:rsidRDefault="006778B9" w:rsidP="00C64DEA">
      <w:pPr>
        <w:spacing w:after="0" w:line="360" w:lineRule="auto"/>
        <w:rPr>
          <w:rFonts w:cs="Tahoma"/>
          <w:bCs/>
          <w:iCs/>
          <w:lang w:val="es-ES"/>
        </w:rPr>
      </w:pPr>
      <w:r w:rsidRPr="00E44661">
        <w:rPr>
          <w:rFonts w:cs="Tahoma"/>
          <w:b/>
        </w:rPr>
        <w:t xml:space="preserve">c) </w:t>
      </w:r>
      <w:r w:rsidRPr="00E44661">
        <w:rPr>
          <w:rFonts w:cs="Tahoma"/>
          <w:b/>
          <w:bCs/>
          <w:iCs/>
          <w:lang w:val="es-ES"/>
        </w:rPr>
        <w:t>Informe Justificado o manifestaciones.</w:t>
      </w:r>
      <w:r w:rsidRPr="00E44661">
        <w:rPr>
          <w:rFonts w:cs="Tahoma"/>
          <w:bCs/>
          <w:iCs/>
          <w:lang w:val="es-ES"/>
        </w:rPr>
        <w:t xml:space="preserve"> </w:t>
      </w:r>
      <w:r w:rsidR="008539FC">
        <w:rPr>
          <w:rFonts w:cs="Tahoma"/>
          <w:bCs/>
          <w:iCs/>
          <w:lang w:val="es-ES"/>
        </w:rPr>
        <w:t xml:space="preserve">El primero de septiembre de dos mil veinticinco, el Sujeto Obligado rindió su informe justificado, mediante el cual ratificó su respuesta. La Particular fue omisa en realizar manifestación alguna vía alegatos. </w:t>
      </w:r>
    </w:p>
    <w:p w14:paraId="2B45D542" w14:textId="77777777" w:rsidR="00DF1F2F" w:rsidRDefault="00DF1F2F" w:rsidP="00C64DEA">
      <w:pPr>
        <w:spacing w:after="0" w:line="360" w:lineRule="auto"/>
        <w:rPr>
          <w:rFonts w:cs="Tahoma"/>
          <w:bCs/>
          <w:iCs/>
          <w:lang w:val="es-ES"/>
        </w:rPr>
      </w:pPr>
    </w:p>
    <w:p w14:paraId="035BEDCE" w14:textId="77777777" w:rsidR="00DF1F2F" w:rsidRPr="00DF1F2F" w:rsidRDefault="00DF1F2F" w:rsidP="00DF1F2F">
      <w:pPr>
        <w:spacing w:after="0" w:line="360" w:lineRule="auto"/>
        <w:rPr>
          <w:color w:val="auto"/>
        </w:rPr>
      </w:pPr>
    </w:p>
    <w:p w14:paraId="78BEB786" w14:textId="3886BB6A" w:rsidR="00DF1F2F" w:rsidRPr="00DF1F2F" w:rsidRDefault="00DF1F2F" w:rsidP="00DF1F2F">
      <w:pPr>
        <w:spacing w:after="0" w:line="360" w:lineRule="auto"/>
        <w:rPr>
          <w:color w:val="FF0000"/>
        </w:rPr>
      </w:pPr>
      <w:r>
        <w:rPr>
          <w:b/>
          <w:color w:val="auto"/>
        </w:rPr>
        <w:t>d</w:t>
      </w:r>
      <w:r w:rsidRPr="00DF1F2F">
        <w:rPr>
          <w:b/>
          <w:color w:val="auto"/>
        </w:rPr>
        <w:t>) Vista del Informe Justificado.</w:t>
      </w:r>
      <w:r w:rsidRPr="00DF1F2F">
        <w:rPr>
          <w:color w:val="auto"/>
        </w:rPr>
        <w:t xml:space="preserve"> El cuatro de febrero de dos mil veintiséis,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DF1F2F">
        <w:rPr>
          <w:b/>
          <w:color w:val="auto"/>
        </w:rPr>
        <w:t>Cabe señalar que el Particular fue omiso en realizar manifestación alguna.</w:t>
      </w:r>
    </w:p>
    <w:p w14:paraId="41AF7658" w14:textId="77777777" w:rsidR="00DF1F2F" w:rsidRDefault="00DF1F2F" w:rsidP="00C64DEA">
      <w:pPr>
        <w:spacing w:after="0" w:line="360" w:lineRule="auto"/>
        <w:rPr>
          <w:rFonts w:cs="Tahoma"/>
          <w:bCs/>
          <w:iCs/>
          <w:lang w:val="es-ES"/>
        </w:rPr>
      </w:pPr>
    </w:p>
    <w:p w14:paraId="07F19B86" w14:textId="77777777" w:rsidR="008539FC" w:rsidRDefault="008539FC" w:rsidP="00C64DEA">
      <w:pPr>
        <w:spacing w:after="0" w:line="360" w:lineRule="auto"/>
        <w:rPr>
          <w:rFonts w:cs="Tahoma"/>
          <w:bCs/>
          <w:iCs/>
          <w:lang w:val="es-ES"/>
        </w:rPr>
      </w:pPr>
    </w:p>
    <w:p w14:paraId="392775B8" w14:textId="60455B2E" w:rsidR="00CA1DE7" w:rsidRPr="0019462A" w:rsidRDefault="008539FC" w:rsidP="008539FC">
      <w:pPr>
        <w:spacing w:after="0" w:line="360" w:lineRule="auto"/>
        <w:rPr>
          <w:lang w:val="es-ES"/>
        </w:rPr>
      </w:pPr>
      <w:r>
        <w:rPr>
          <w:rFonts w:cs="Tahoma"/>
          <w:bCs/>
          <w:iCs/>
          <w:lang w:val="es-ES"/>
        </w:rPr>
        <w:t xml:space="preserve"> </w:t>
      </w:r>
      <w:r w:rsidR="00DF1F2F">
        <w:rPr>
          <w:b/>
          <w:bCs/>
          <w:lang w:val="es-ES"/>
        </w:rPr>
        <w:t>f</w:t>
      </w:r>
      <w:r w:rsidR="00CA1DE7" w:rsidRPr="0019462A">
        <w:rPr>
          <w:b/>
          <w:bCs/>
          <w:lang w:val="es-ES"/>
        </w:rPr>
        <w:t xml:space="preserve">) Ampliación de plazo para resolver. </w:t>
      </w:r>
      <w:r w:rsidR="00CA1DE7" w:rsidRPr="0019462A">
        <w:rPr>
          <w:lang w:val="es-ES"/>
        </w:rPr>
        <w:t xml:space="preserve">El </w:t>
      </w:r>
      <w:r w:rsidR="00DF1F2F">
        <w:t>diez</w:t>
      </w:r>
      <w:r>
        <w:t xml:space="preserve"> de febrero de dos mil veinticinco</w:t>
      </w:r>
      <w:r w:rsidR="00CA1DE7" w:rsidRPr="0019462A">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39DBE5BE" w14:textId="77777777" w:rsidR="00CA1DE7" w:rsidRPr="0019462A" w:rsidRDefault="00CA1DE7" w:rsidP="00CA1DE7">
      <w:pPr>
        <w:spacing w:line="360" w:lineRule="auto"/>
        <w:rPr>
          <w:lang w:val="es-ES"/>
        </w:rPr>
      </w:pPr>
    </w:p>
    <w:p w14:paraId="403F7296" w14:textId="055C119E" w:rsidR="00DB3DC5" w:rsidRPr="00E44661" w:rsidRDefault="00DF1F2F" w:rsidP="00C64DEA">
      <w:pPr>
        <w:autoSpaceDE w:val="0"/>
        <w:autoSpaceDN w:val="0"/>
        <w:adjustRightInd w:val="0"/>
        <w:spacing w:after="0" w:line="360" w:lineRule="auto"/>
        <w:ind w:right="-28"/>
        <w:contextualSpacing/>
        <w:rPr>
          <w:rFonts w:eastAsia="Calibri" w:cs="Tahoma"/>
          <w:bCs/>
        </w:rPr>
      </w:pPr>
      <w:r>
        <w:rPr>
          <w:rFonts w:eastAsia="Times New Roman" w:cs="Tahoma"/>
          <w:b/>
          <w:color w:val="auto"/>
          <w:szCs w:val="24"/>
          <w:lang w:eastAsia="es-ES"/>
        </w:rPr>
        <w:t>g</w:t>
      </w:r>
      <w:r w:rsidR="0014339D" w:rsidRPr="00E44661">
        <w:rPr>
          <w:rFonts w:eastAsia="Times New Roman" w:cs="Tahoma"/>
          <w:b/>
          <w:color w:val="auto"/>
          <w:szCs w:val="24"/>
          <w:lang w:eastAsia="es-ES"/>
        </w:rPr>
        <w:t xml:space="preserve">) </w:t>
      </w:r>
      <w:r w:rsidR="00DB3DC5" w:rsidRPr="00E44661">
        <w:rPr>
          <w:rFonts w:eastAsia="Times New Roman" w:cs="Tahoma"/>
          <w:b/>
          <w:color w:val="auto"/>
          <w:szCs w:val="24"/>
          <w:lang w:eastAsia="es-ES"/>
        </w:rPr>
        <w:t>Cierre de instrucción.</w:t>
      </w:r>
      <w:r w:rsidR="00DB3DC5" w:rsidRPr="00E44661">
        <w:rPr>
          <w:rFonts w:eastAsia="Times New Roman" w:cs="Tahoma"/>
          <w:color w:val="auto"/>
          <w:szCs w:val="24"/>
          <w:lang w:eastAsia="es-ES"/>
        </w:rPr>
        <w:t xml:space="preserve"> El</w:t>
      </w:r>
      <w:r w:rsidR="0006704F" w:rsidRPr="00E44661">
        <w:rPr>
          <w:rFonts w:eastAsia="Times New Roman" w:cs="Tahoma"/>
          <w:color w:val="auto"/>
          <w:szCs w:val="24"/>
          <w:lang w:eastAsia="es-ES"/>
        </w:rPr>
        <w:t xml:space="preserve"> </w:t>
      </w:r>
      <w:r w:rsidR="008539FC">
        <w:rPr>
          <w:rFonts w:eastAsia="Times New Roman" w:cs="Tahoma"/>
          <w:color w:val="auto"/>
          <w:szCs w:val="24"/>
          <w:lang w:eastAsia="es-ES"/>
        </w:rPr>
        <w:t>diez de febrero de dos mil veintiséis</w:t>
      </w:r>
      <w:r w:rsidR="00DB3DC5" w:rsidRPr="00E44661">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DB3DC5" w:rsidRPr="00E44661">
        <w:rPr>
          <w:rFonts w:eastAsia="Times New Roman" w:cs="Tahoma"/>
          <w:color w:val="auto"/>
          <w:szCs w:val="24"/>
          <w:lang w:eastAsia="es-ES"/>
        </w:rPr>
        <w:lastRenderedPageBreak/>
        <w:t xml:space="preserve">Pública del Estado de México y Municipios, mismo que fue notificado a las partes, a través del </w:t>
      </w:r>
      <w:r w:rsidR="00DB3DC5" w:rsidRPr="00E44661">
        <w:rPr>
          <w:rFonts w:eastAsia="Times New Roman" w:cs="Tahoma"/>
          <w:color w:val="auto"/>
          <w:szCs w:val="20"/>
          <w:lang w:val="es-ES" w:eastAsia="es-ES"/>
        </w:rPr>
        <w:t>Sistema de Acceso a la Información Mexiquense (SAIMEX)</w:t>
      </w:r>
      <w:r w:rsidR="00DB3DC5" w:rsidRPr="00E44661">
        <w:rPr>
          <w:rFonts w:eastAsia="Times New Roman" w:cs="Tahoma"/>
          <w:color w:val="auto"/>
          <w:szCs w:val="24"/>
          <w:lang w:eastAsia="es-ES"/>
        </w:rPr>
        <w:t xml:space="preserve">. </w:t>
      </w:r>
    </w:p>
    <w:p w14:paraId="44D053F7" w14:textId="77777777" w:rsidR="0014339D" w:rsidRPr="00E44661" w:rsidRDefault="0014339D" w:rsidP="00C64DEA">
      <w:pPr>
        <w:autoSpaceDE w:val="0"/>
        <w:autoSpaceDN w:val="0"/>
        <w:adjustRightInd w:val="0"/>
        <w:spacing w:after="0" w:line="360" w:lineRule="auto"/>
        <w:ind w:right="-28"/>
        <w:contextualSpacing/>
        <w:rPr>
          <w:rFonts w:eastAsia="Calibri" w:cs="Tahoma"/>
          <w:bCs/>
        </w:rPr>
      </w:pPr>
    </w:p>
    <w:p w14:paraId="5D1BB03E" w14:textId="77777777" w:rsidR="00DB3DC5" w:rsidRPr="00E44661" w:rsidRDefault="00DB3DC5" w:rsidP="00C64DEA">
      <w:pPr>
        <w:spacing w:after="0" w:line="360" w:lineRule="auto"/>
        <w:contextualSpacing/>
        <w:rPr>
          <w:rFonts w:eastAsia="Times New Roman" w:cs="Tahoma"/>
          <w:color w:val="000000"/>
          <w:szCs w:val="24"/>
          <w:lang w:eastAsia="es-ES"/>
        </w:rPr>
      </w:pPr>
      <w:r w:rsidRPr="00E44661">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0A452CDE" w14:textId="77777777" w:rsidR="00DB3DC5" w:rsidRPr="00E44661" w:rsidRDefault="00DB3DC5" w:rsidP="00C64DEA">
      <w:pPr>
        <w:spacing w:after="0" w:line="360" w:lineRule="auto"/>
        <w:contextualSpacing/>
        <w:rPr>
          <w:rFonts w:eastAsia="Times New Roman" w:cs="Tahoma"/>
          <w:b/>
          <w:color w:val="auto"/>
          <w:lang w:val="es-ES" w:eastAsia="es-ES"/>
        </w:rPr>
      </w:pPr>
    </w:p>
    <w:p w14:paraId="1AD6FB2C" w14:textId="77777777" w:rsidR="00DB3DC5" w:rsidRPr="00E44661" w:rsidRDefault="00DB3DC5" w:rsidP="00C64DEA">
      <w:pPr>
        <w:spacing w:after="0" w:line="360" w:lineRule="auto"/>
        <w:contextualSpacing/>
        <w:jc w:val="center"/>
        <w:rPr>
          <w:rFonts w:eastAsia="Times New Roman" w:cs="Tahoma"/>
          <w:b/>
          <w:color w:val="auto"/>
          <w:lang w:val="es-ES" w:eastAsia="es-ES"/>
        </w:rPr>
      </w:pPr>
      <w:r w:rsidRPr="00E44661">
        <w:rPr>
          <w:rFonts w:eastAsia="Times New Roman" w:cs="Tahoma"/>
          <w:b/>
          <w:color w:val="auto"/>
          <w:lang w:val="es-ES" w:eastAsia="es-ES"/>
        </w:rPr>
        <w:t>C O N S I D E R A N D O S:</w:t>
      </w:r>
    </w:p>
    <w:p w14:paraId="7B094ECC" w14:textId="77777777" w:rsidR="00CA1BA6" w:rsidRPr="00CA1BA6" w:rsidRDefault="00CA1BA6" w:rsidP="00CA1BA6">
      <w:pPr>
        <w:spacing w:after="0" w:line="360" w:lineRule="auto"/>
        <w:rPr>
          <w:b/>
        </w:rPr>
      </w:pPr>
    </w:p>
    <w:p w14:paraId="2F20E252" w14:textId="77777777" w:rsidR="00CA1BA6" w:rsidRPr="00CA1BA6" w:rsidRDefault="00CA1BA6" w:rsidP="00CA1BA6">
      <w:pPr>
        <w:keepNext/>
        <w:keepLines/>
        <w:spacing w:after="0" w:line="360" w:lineRule="auto"/>
        <w:jc w:val="left"/>
        <w:outlineLvl w:val="1"/>
        <w:rPr>
          <w:b/>
          <w:szCs w:val="36"/>
        </w:rPr>
      </w:pPr>
      <w:bookmarkStart w:id="1" w:name="_Toc179975601"/>
      <w:bookmarkStart w:id="2" w:name="_Toc221812505"/>
      <w:r w:rsidRPr="00CA1BA6">
        <w:rPr>
          <w:b/>
          <w:szCs w:val="36"/>
        </w:rPr>
        <w:t>PRIMERO. Competencia</w:t>
      </w:r>
      <w:bookmarkEnd w:id="1"/>
      <w:bookmarkEnd w:id="2"/>
    </w:p>
    <w:p w14:paraId="1B972128" w14:textId="77777777" w:rsidR="00CA1BA6" w:rsidRPr="00CA1BA6" w:rsidRDefault="00CA1BA6" w:rsidP="00CA1BA6">
      <w:pPr>
        <w:spacing w:after="0" w:line="360" w:lineRule="auto"/>
        <w:rPr>
          <w:b/>
        </w:rPr>
      </w:pPr>
    </w:p>
    <w:p w14:paraId="17AD9ED6" w14:textId="1C962126" w:rsidR="00CA1BA6" w:rsidRDefault="00DF1F2F" w:rsidP="00CA1BA6">
      <w:pPr>
        <w:spacing w:after="0" w:line="360" w:lineRule="auto"/>
      </w:pPr>
      <w:r w:rsidRPr="00DF1F2F">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6F5084F" w14:textId="77777777" w:rsidR="00DF1F2F" w:rsidRPr="00CA1BA6" w:rsidRDefault="00DF1F2F" w:rsidP="00CA1BA6">
      <w:pPr>
        <w:spacing w:after="0" w:line="360" w:lineRule="auto"/>
      </w:pPr>
    </w:p>
    <w:p w14:paraId="7AB32AB1" w14:textId="77777777" w:rsidR="00CA1BA6" w:rsidRPr="00CA1BA6" w:rsidRDefault="00CA1BA6" w:rsidP="00CA1BA6">
      <w:pPr>
        <w:keepNext/>
        <w:keepLines/>
        <w:spacing w:after="0" w:line="360" w:lineRule="auto"/>
        <w:jc w:val="left"/>
        <w:outlineLvl w:val="1"/>
        <w:rPr>
          <w:b/>
          <w:szCs w:val="36"/>
        </w:rPr>
      </w:pPr>
      <w:bookmarkStart w:id="3" w:name="_Toc179975602"/>
      <w:bookmarkStart w:id="4" w:name="_Toc221812506"/>
      <w:r w:rsidRPr="00CA1BA6">
        <w:rPr>
          <w:b/>
          <w:szCs w:val="36"/>
        </w:rPr>
        <w:t>SEGUNDO. Causales de improcedencia y sobreseimiento</w:t>
      </w:r>
      <w:bookmarkEnd w:id="3"/>
      <w:bookmarkEnd w:id="4"/>
    </w:p>
    <w:p w14:paraId="4679B5EC" w14:textId="77777777" w:rsidR="00CA1BA6" w:rsidRPr="00CA1BA6" w:rsidRDefault="00CA1BA6" w:rsidP="00CA1BA6">
      <w:pPr>
        <w:spacing w:after="0" w:line="360" w:lineRule="auto"/>
      </w:pPr>
    </w:p>
    <w:p w14:paraId="4644EEAF" w14:textId="77777777" w:rsidR="00CA1BA6" w:rsidRPr="00CA1BA6" w:rsidRDefault="00CA1BA6" w:rsidP="00CA1BA6">
      <w:pPr>
        <w:spacing w:after="0" w:line="360" w:lineRule="auto"/>
      </w:pPr>
      <w:r w:rsidRPr="00CA1BA6">
        <w:lastRenderedPageBreak/>
        <w:t xml:space="preserve">De las constancias que forma parte del Recurso de Revisión que se analiza, se advierte que previo al estudio del fondo de la </w:t>
      </w:r>
      <w:r w:rsidRPr="00CA1BA6">
        <w:rPr>
          <w:i/>
        </w:rPr>
        <w:t>litis</w:t>
      </w:r>
      <w:r w:rsidRPr="00CA1BA6">
        <w:t>, es necesario estudiar las causales de improcedencia y sobreseimiento que se adviertan, para determinar lo que en Derecho proceda.</w:t>
      </w:r>
    </w:p>
    <w:p w14:paraId="5B264F9F" w14:textId="77777777" w:rsidR="00A06F01" w:rsidRDefault="00A06F01" w:rsidP="00CA1BA6">
      <w:pPr>
        <w:spacing w:after="0" w:line="360" w:lineRule="auto"/>
        <w:rPr>
          <w:b/>
        </w:rPr>
      </w:pPr>
    </w:p>
    <w:p w14:paraId="5D858225" w14:textId="77777777" w:rsidR="00CA1BA6" w:rsidRPr="00CA1BA6" w:rsidRDefault="00CA1BA6" w:rsidP="00CA1BA6">
      <w:pPr>
        <w:spacing w:after="0" w:line="360" w:lineRule="auto"/>
        <w:rPr>
          <w:b/>
        </w:rPr>
      </w:pPr>
      <w:r w:rsidRPr="00CA1BA6">
        <w:rPr>
          <w:b/>
        </w:rPr>
        <w:t>Causales de improcedencia</w:t>
      </w:r>
    </w:p>
    <w:p w14:paraId="65DEA5B9" w14:textId="77777777" w:rsidR="00CA1BA6" w:rsidRPr="00CA1BA6" w:rsidRDefault="00CA1BA6" w:rsidP="00CA1BA6">
      <w:pPr>
        <w:spacing w:after="0" w:line="360" w:lineRule="auto"/>
      </w:pPr>
    </w:p>
    <w:p w14:paraId="298893B5" w14:textId="77777777" w:rsidR="00CA1BA6" w:rsidRPr="00CA1BA6" w:rsidRDefault="00CA1BA6" w:rsidP="00CA1BA6">
      <w:pPr>
        <w:spacing w:after="0" w:line="360" w:lineRule="auto"/>
      </w:pPr>
      <w:r w:rsidRPr="00CA1BA6">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CA1BA6">
        <w:rPr>
          <w:b/>
        </w:rPr>
        <w:t xml:space="preserve"> </w:t>
      </w:r>
      <w:r w:rsidRPr="00CA1BA6">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77975700" w14:textId="77777777" w:rsidR="00CA1BA6" w:rsidRPr="00CA1BA6" w:rsidRDefault="00CA1BA6" w:rsidP="00CA1BA6">
      <w:pPr>
        <w:spacing w:after="0" w:line="360" w:lineRule="auto"/>
      </w:pPr>
    </w:p>
    <w:p w14:paraId="03F18973" w14:textId="77777777" w:rsidR="00CA1BA6" w:rsidRPr="00CA1BA6" w:rsidRDefault="00CA1BA6" w:rsidP="00CA1BA6">
      <w:pPr>
        <w:spacing w:after="0" w:line="360" w:lineRule="auto"/>
      </w:pPr>
      <w:r w:rsidRPr="00CA1BA6">
        <w:t xml:space="preserve">En el presente caso, </w:t>
      </w:r>
      <w:r w:rsidRPr="00CA1BA6">
        <w:rPr>
          <w:b/>
        </w:rPr>
        <w:t>no se actualiza ninguna de las causales de improcedencia</w:t>
      </w:r>
      <w:r w:rsidRPr="00CA1BA6">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432AA5C" w14:textId="77777777" w:rsidR="00CA1BA6" w:rsidRPr="00CA1BA6" w:rsidRDefault="00CA1BA6" w:rsidP="00CA1BA6">
      <w:pPr>
        <w:spacing w:after="0" w:line="360" w:lineRule="auto"/>
        <w:rPr>
          <w:b/>
        </w:rPr>
      </w:pPr>
    </w:p>
    <w:p w14:paraId="45DCF244" w14:textId="6F34B891" w:rsidR="00175783" w:rsidRDefault="00175783" w:rsidP="00175783">
      <w:pPr>
        <w:spacing w:after="0" w:line="360" w:lineRule="auto"/>
        <w:contextualSpacing/>
        <w:rPr>
          <w:rFonts w:eastAsia="Times New Roman" w:cs="Tahoma"/>
          <w:bCs/>
          <w:color w:val="auto"/>
          <w:lang w:val="es-ES" w:eastAsia="es-ES"/>
        </w:rPr>
      </w:pPr>
      <w:r w:rsidRPr="00E44661">
        <w:rPr>
          <w:rFonts w:eastAsia="Times New Roman" w:cs="Tahoma"/>
          <w:color w:val="auto"/>
          <w:lang w:val="es-ES" w:eastAsia="es-ES"/>
        </w:rPr>
        <w:t>Conforme a lo anterior, se actualiza la causal de procedencia señalad</w:t>
      </w:r>
      <w:r w:rsidR="0090288A">
        <w:rPr>
          <w:rFonts w:eastAsia="Times New Roman" w:cs="Tahoma"/>
          <w:color w:val="auto"/>
          <w:lang w:val="es-ES" w:eastAsia="es-ES"/>
        </w:rPr>
        <w:t xml:space="preserve">a en el artículo 179, fracción </w:t>
      </w:r>
      <w:r w:rsidR="00EF0DFF">
        <w:rPr>
          <w:rFonts w:eastAsia="Times New Roman" w:cs="Tahoma"/>
          <w:color w:val="auto"/>
          <w:lang w:val="es-ES" w:eastAsia="es-ES"/>
        </w:rPr>
        <w:t>I</w:t>
      </w:r>
      <w:r w:rsidRPr="00E44661">
        <w:rPr>
          <w:rFonts w:eastAsia="Times New Roman" w:cs="Tahoma"/>
          <w:color w:val="auto"/>
          <w:lang w:val="es-ES" w:eastAsia="es-ES"/>
        </w:rPr>
        <w:t>, de la Ley de la materia</w:t>
      </w:r>
      <w:r w:rsidRPr="00E44661">
        <w:rPr>
          <w:rFonts w:eastAsia="Times New Roman" w:cs="Tahoma"/>
          <w:bCs/>
          <w:color w:val="auto"/>
          <w:lang w:val="es-ES" w:eastAsia="es-ES"/>
        </w:rPr>
        <w:t xml:space="preserve">, toda vez que el Solicitante se inconformó con la </w:t>
      </w:r>
      <w:r w:rsidR="0090288A">
        <w:rPr>
          <w:rFonts w:eastAsia="Times New Roman" w:cs="Tahoma"/>
          <w:bCs/>
          <w:color w:val="auto"/>
          <w:lang w:val="es-ES" w:eastAsia="es-ES"/>
        </w:rPr>
        <w:t>negativa de la información.</w:t>
      </w:r>
    </w:p>
    <w:p w14:paraId="38FE95EF" w14:textId="77777777" w:rsidR="00EF0DFF" w:rsidRDefault="00EF0DFF" w:rsidP="00CA1BA6">
      <w:pPr>
        <w:spacing w:after="0" w:line="360" w:lineRule="auto"/>
        <w:ind w:right="-28"/>
        <w:contextualSpacing/>
        <w:rPr>
          <w:rFonts w:eastAsia="Calibri" w:cs="Tahoma"/>
          <w:b/>
          <w:color w:val="auto"/>
          <w:lang w:val="es-ES" w:eastAsia="es-ES_tradnl"/>
        </w:rPr>
      </w:pPr>
    </w:p>
    <w:p w14:paraId="52372E1B" w14:textId="04407CC0" w:rsidR="00CA1BA6" w:rsidRPr="00CA1BA6" w:rsidRDefault="00CA1BA6" w:rsidP="00CA1BA6">
      <w:pPr>
        <w:spacing w:after="0" w:line="360" w:lineRule="auto"/>
        <w:ind w:right="-28"/>
        <w:contextualSpacing/>
        <w:rPr>
          <w:rFonts w:eastAsia="Calibri" w:cs="Tahoma"/>
          <w:b/>
          <w:color w:val="auto"/>
          <w:lang w:val="es-ES" w:eastAsia="es-ES_tradnl"/>
        </w:rPr>
      </w:pPr>
      <w:r w:rsidRPr="00CA1BA6">
        <w:rPr>
          <w:rFonts w:eastAsia="Calibri" w:cs="Tahoma"/>
          <w:b/>
          <w:color w:val="auto"/>
          <w:lang w:val="es-ES" w:eastAsia="es-ES_tradnl"/>
        </w:rPr>
        <w:t>Causales de sobreseimiento.</w:t>
      </w:r>
    </w:p>
    <w:p w14:paraId="29F0920F" w14:textId="77777777" w:rsidR="00CA1BA6" w:rsidRPr="00CA1BA6" w:rsidRDefault="00CA1BA6" w:rsidP="00CA1BA6">
      <w:pPr>
        <w:spacing w:after="0" w:line="360" w:lineRule="auto"/>
        <w:ind w:right="-28"/>
        <w:contextualSpacing/>
        <w:rPr>
          <w:rFonts w:eastAsia="Calibri" w:cs="Tahoma"/>
          <w:b/>
          <w:color w:val="auto"/>
          <w:lang w:val="es-ES" w:eastAsia="es-ES_tradnl"/>
        </w:rPr>
      </w:pPr>
    </w:p>
    <w:p w14:paraId="0D201189" w14:textId="77777777" w:rsidR="00CA1BA6" w:rsidRPr="00CA1BA6" w:rsidRDefault="00CA1BA6" w:rsidP="00CA1BA6">
      <w:pPr>
        <w:spacing w:after="0" w:line="360" w:lineRule="auto"/>
        <w:contextualSpacing/>
        <w:rPr>
          <w:rFonts w:eastAsia="Times New Roman" w:cs="Tahoma"/>
          <w:color w:val="auto"/>
          <w:szCs w:val="24"/>
          <w:lang w:eastAsia="es-ES"/>
        </w:rPr>
      </w:pPr>
      <w:r w:rsidRPr="00CA1BA6">
        <w:rPr>
          <w:rFonts w:eastAsia="Times New Roman" w:cs="Tahoma"/>
          <w:color w:val="auto"/>
          <w:szCs w:val="24"/>
          <w:lang w:eastAsia="es-ES"/>
        </w:rPr>
        <w:t>Por ser de previo y especial pronunciamiento, este Instituto analiza si se actualiza alguna causal de sobreseimiento.</w:t>
      </w:r>
    </w:p>
    <w:p w14:paraId="224D5E35" w14:textId="77777777" w:rsidR="00CA1BA6" w:rsidRPr="00CA1BA6" w:rsidRDefault="00CA1BA6" w:rsidP="00CA1BA6">
      <w:pPr>
        <w:spacing w:after="0" w:line="360" w:lineRule="auto"/>
        <w:contextualSpacing/>
        <w:rPr>
          <w:rFonts w:eastAsia="Times New Roman" w:cs="Tahoma"/>
          <w:color w:val="auto"/>
          <w:szCs w:val="24"/>
          <w:lang w:eastAsia="es-ES"/>
        </w:rPr>
      </w:pPr>
    </w:p>
    <w:p w14:paraId="0D23DBE4" w14:textId="77777777" w:rsidR="00CA1BA6" w:rsidRPr="00CA1BA6" w:rsidRDefault="00CA1BA6" w:rsidP="00CA1BA6">
      <w:pPr>
        <w:spacing w:after="0" w:line="360" w:lineRule="auto"/>
        <w:rPr>
          <w:color w:val="000000"/>
        </w:rPr>
      </w:pPr>
      <w:r w:rsidRPr="00CA1BA6">
        <w:rPr>
          <w:color w:val="0D0D0D"/>
        </w:rPr>
        <w:t>Sobre el tema, e</w:t>
      </w:r>
      <w:r w:rsidRPr="00CA1BA6">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33B77BFE" w14:textId="77777777" w:rsidR="00CA1BA6" w:rsidRPr="00CA1BA6" w:rsidRDefault="00CA1BA6" w:rsidP="00CA1BA6">
      <w:pPr>
        <w:spacing w:after="0" w:line="360" w:lineRule="auto"/>
        <w:rPr>
          <w:rFonts w:eastAsia="Calibri" w:cs="Tahoma"/>
          <w:color w:val="0D0D0D" w:themeColor="text1" w:themeTint="F2"/>
          <w:lang w:eastAsia="es-ES_tradnl"/>
        </w:rPr>
      </w:pPr>
    </w:p>
    <w:p w14:paraId="211C81AA" w14:textId="77777777" w:rsidR="00CA1BA6" w:rsidRPr="00CA1BA6" w:rsidRDefault="00CA1BA6" w:rsidP="00CA1BA6">
      <w:pPr>
        <w:spacing w:after="0" w:line="360" w:lineRule="auto"/>
        <w:rPr>
          <w:rFonts w:eastAsia="Calibri" w:cs="Tahoma"/>
          <w:color w:val="0D0D0D" w:themeColor="text1" w:themeTint="F2"/>
          <w:lang w:eastAsia="es-ES_tradnl"/>
        </w:rPr>
      </w:pPr>
      <w:r w:rsidRPr="00CA1BA6">
        <w:rPr>
          <w:rFonts w:eastAsia="Calibri" w:cs="Tahoma"/>
          <w:color w:val="0D0D0D" w:themeColor="text1" w:themeTint="F2"/>
          <w:lang w:eastAsia="es-ES_tradnl"/>
        </w:rPr>
        <w:t>Por tales motivos, se considera procedente entrar al fondo del presente asunto.</w:t>
      </w:r>
    </w:p>
    <w:p w14:paraId="5DA707AF" w14:textId="77777777" w:rsidR="00CA1BA6" w:rsidRPr="00CA1BA6" w:rsidRDefault="00CA1BA6" w:rsidP="00CA1BA6">
      <w:pPr>
        <w:spacing w:after="0" w:line="360" w:lineRule="auto"/>
        <w:contextualSpacing/>
        <w:rPr>
          <w:rFonts w:eastAsia="Times New Roman" w:cs="Tahoma"/>
          <w:color w:val="auto"/>
          <w:szCs w:val="24"/>
          <w:lang w:eastAsia="es-ES"/>
        </w:rPr>
      </w:pPr>
    </w:p>
    <w:p w14:paraId="6BDEB5DD" w14:textId="77777777" w:rsidR="00CA1BA6" w:rsidRPr="00CA1BA6" w:rsidRDefault="00CA1BA6" w:rsidP="00CA1BA6">
      <w:pPr>
        <w:keepNext/>
        <w:keepLines/>
        <w:spacing w:after="0" w:line="360" w:lineRule="auto"/>
        <w:jc w:val="left"/>
        <w:outlineLvl w:val="1"/>
        <w:rPr>
          <w:b/>
          <w:szCs w:val="36"/>
        </w:rPr>
      </w:pPr>
      <w:bookmarkStart w:id="5" w:name="_Toc179975603"/>
      <w:bookmarkStart w:id="6" w:name="_Toc221812507"/>
      <w:r w:rsidRPr="00CA1BA6">
        <w:rPr>
          <w:b/>
          <w:szCs w:val="36"/>
        </w:rPr>
        <w:t>TERCERO. Determinación de la Controversia.</w:t>
      </w:r>
      <w:bookmarkEnd w:id="5"/>
      <w:bookmarkEnd w:id="6"/>
      <w:r w:rsidRPr="00CA1BA6">
        <w:rPr>
          <w:b/>
          <w:szCs w:val="36"/>
        </w:rPr>
        <w:t xml:space="preserve"> </w:t>
      </w:r>
    </w:p>
    <w:p w14:paraId="59F3D1B3" w14:textId="77777777" w:rsidR="00CA1BA6" w:rsidRPr="00CA1BA6" w:rsidRDefault="00CA1BA6" w:rsidP="00CA1BA6">
      <w:pPr>
        <w:spacing w:after="0" w:line="360" w:lineRule="auto"/>
        <w:rPr>
          <w:b/>
        </w:rPr>
      </w:pPr>
    </w:p>
    <w:p w14:paraId="7062341B" w14:textId="4B638A81" w:rsidR="0090288A" w:rsidRPr="00976851" w:rsidRDefault="00CA1BA6" w:rsidP="00976851">
      <w:pPr>
        <w:widowControl w:val="0"/>
        <w:spacing w:after="0" w:line="360" w:lineRule="auto"/>
        <w:rPr>
          <w:color w:val="000000"/>
        </w:rPr>
      </w:pPr>
      <w:r w:rsidRPr="00CA1BA6">
        <w:t>Una vez realizado el estudio de las constancias que integran el expediente en que se actúa, se desprende que el Recurrente requirió</w:t>
      </w:r>
      <w:r w:rsidRPr="00CA1BA6">
        <w:rPr>
          <w:color w:val="000000"/>
        </w:rPr>
        <w:t xml:space="preserve"> </w:t>
      </w:r>
      <w:r w:rsidR="00976851">
        <w:rPr>
          <w:color w:val="000000"/>
        </w:rPr>
        <w:t xml:space="preserve"> </w:t>
      </w:r>
      <w:r w:rsidR="0090288A">
        <w:rPr>
          <w:color w:val="000000"/>
        </w:rPr>
        <w:t xml:space="preserve">el expediente de la verificación </w:t>
      </w:r>
      <w:r w:rsidR="0090288A" w:rsidRPr="0090288A">
        <w:rPr>
          <w:color w:val="000000"/>
        </w:rPr>
        <w:t>INFOEM/DGPDP/IP/109/2025</w:t>
      </w:r>
      <w:r w:rsidR="0090288A">
        <w:rPr>
          <w:color w:val="000000"/>
        </w:rPr>
        <w:t xml:space="preserve">. </w:t>
      </w:r>
    </w:p>
    <w:p w14:paraId="623429DC" w14:textId="7E66F033" w:rsidR="0090288A" w:rsidRDefault="00CA1BA6" w:rsidP="003E26B0">
      <w:pPr>
        <w:widowControl w:val="0"/>
        <w:spacing w:after="0" w:line="360" w:lineRule="auto"/>
        <w:rPr>
          <w:color w:val="000000"/>
        </w:rPr>
      </w:pPr>
      <w:r w:rsidRPr="00CA1BA6">
        <w:rPr>
          <w:color w:val="000000"/>
        </w:rPr>
        <w:t xml:space="preserve">En respuesta, el Sujeto Obligado, </w:t>
      </w:r>
      <w:r w:rsidR="003E26B0" w:rsidRPr="003E26B0">
        <w:rPr>
          <w:color w:val="000000"/>
        </w:rPr>
        <w:t>por medio del</w:t>
      </w:r>
      <w:r w:rsidR="00997D8D">
        <w:rPr>
          <w:color w:val="000000"/>
        </w:rPr>
        <w:t xml:space="preserve"> Titular de la Unidad de Transparencia remitió la siguiente información: </w:t>
      </w:r>
    </w:p>
    <w:p w14:paraId="00161A17" w14:textId="77777777" w:rsidR="0090288A" w:rsidRDefault="0090288A" w:rsidP="003E26B0">
      <w:pPr>
        <w:widowControl w:val="0"/>
        <w:spacing w:after="0" w:line="360" w:lineRule="auto"/>
        <w:rPr>
          <w:color w:val="000000"/>
        </w:rPr>
      </w:pPr>
    </w:p>
    <w:p w14:paraId="6AF381BA" w14:textId="6E994C68" w:rsidR="0090288A" w:rsidRPr="002F1C87" w:rsidRDefault="002F1C87" w:rsidP="007D59C1">
      <w:pPr>
        <w:pStyle w:val="Prrafodelista"/>
        <w:widowControl w:val="0"/>
        <w:numPr>
          <w:ilvl w:val="0"/>
          <w:numId w:val="2"/>
        </w:numPr>
        <w:spacing w:after="0" w:line="360" w:lineRule="auto"/>
        <w:rPr>
          <w:color w:val="000000"/>
        </w:rPr>
      </w:pPr>
      <w:r w:rsidRPr="002F1C87">
        <w:rPr>
          <w:color w:val="000000"/>
        </w:rPr>
        <w:t xml:space="preserve">Oficio de dieciocho de junio de dos mil veinticinco signado por el Director General </w:t>
      </w:r>
      <w:r w:rsidRPr="002F1C87">
        <w:rPr>
          <w:color w:val="000000"/>
        </w:rPr>
        <w:lastRenderedPageBreak/>
        <w:t xml:space="preserve">de Protección de Datos personales del INFOEM, donde refiere que no existen elementos suficientes que permitan acreditar de forma fundada y motivada la existencia de actos u omisiones que </w:t>
      </w:r>
      <w:r w:rsidR="00AB1131" w:rsidRPr="002F1C87">
        <w:rPr>
          <w:color w:val="000000"/>
        </w:rPr>
        <w:t>constituyan</w:t>
      </w:r>
      <w:r w:rsidRPr="002F1C87">
        <w:rPr>
          <w:color w:val="000000"/>
        </w:rPr>
        <w:t xml:space="preserve"> un incumplimiento a lo </w:t>
      </w:r>
      <w:r w:rsidR="00AB1131" w:rsidRPr="002F1C87">
        <w:rPr>
          <w:color w:val="000000"/>
        </w:rPr>
        <w:t>establecido</w:t>
      </w:r>
      <w:r w:rsidRPr="002F1C87">
        <w:rPr>
          <w:color w:val="000000"/>
        </w:rPr>
        <w:t xml:space="preserve"> en la ley de la </w:t>
      </w:r>
      <w:r w:rsidR="00AB1131" w:rsidRPr="002F1C87">
        <w:rPr>
          <w:color w:val="000000"/>
        </w:rPr>
        <w:t>materia</w:t>
      </w:r>
      <w:r w:rsidRPr="002F1C87">
        <w:rPr>
          <w:color w:val="000000"/>
        </w:rPr>
        <w:t xml:space="preserve">. </w:t>
      </w:r>
    </w:p>
    <w:p w14:paraId="3FEC8229" w14:textId="3B2C8100" w:rsidR="002F1C87" w:rsidRDefault="00AB1131" w:rsidP="007D59C1">
      <w:pPr>
        <w:pStyle w:val="Prrafodelista"/>
        <w:widowControl w:val="0"/>
        <w:numPr>
          <w:ilvl w:val="0"/>
          <w:numId w:val="2"/>
        </w:numPr>
        <w:spacing w:after="0" w:line="360" w:lineRule="auto"/>
        <w:rPr>
          <w:color w:val="000000"/>
        </w:rPr>
      </w:pPr>
      <w:r>
        <w:rPr>
          <w:color w:val="000000"/>
        </w:rPr>
        <w:t xml:space="preserve">Oficio </w:t>
      </w:r>
      <w:r w:rsidR="006C7F45">
        <w:rPr>
          <w:color w:val="000000"/>
        </w:rPr>
        <w:t xml:space="preserve">de dos de junio de dos mil veinticinco </w:t>
      </w:r>
      <w:r>
        <w:rPr>
          <w:color w:val="000000"/>
        </w:rPr>
        <w:t xml:space="preserve">del Titular de la Unidad de Transparencia dirigido a </w:t>
      </w:r>
      <w:r w:rsidR="006C7F45">
        <w:rPr>
          <w:color w:val="000000"/>
        </w:rPr>
        <w:t>la Directora General de Administración y Administradora de Cédulas de Bases de Datos Personales, solicitando se proporcione información relacionada con el expediente  INFOEM/DGPDP/PI/109/2025</w:t>
      </w:r>
      <w:r w:rsidR="00DF6F0B">
        <w:rPr>
          <w:color w:val="000000"/>
        </w:rPr>
        <w:t>.</w:t>
      </w:r>
    </w:p>
    <w:p w14:paraId="355DACA6" w14:textId="799AD977" w:rsidR="00DF6F0B" w:rsidRDefault="00536E69" w:rsidP="007D59C1">
      <w:pPr>
        <w:pStyle w:val="Prrafodelista"/>
        <w:widowControl w:val="0"/>
        <w:numPr>
          <w:ilvl w:val="0"/>
          <w:numId w:val="2"/>
        </w:numPr>
        <w:spacing w:after="0" w:line="360" w:lineRule="auto"/>
        <w:rPr>
          <w:color w:val="000000"/>
        </w:rPr>
      </w:pPr>
      <w:r w:rsidRPr="00536E69">
        <w:rPr>
          <w:color w:val="000000"/>
        </w:rPr>
        <w:t xml:space="preserve">Oficio de dos de junio de dos mil veinticinco del Titular de la Unidad de Transparencia dirigido a la Directora General de Administración y Administradora de Cédulas de Bases </w:t>
      </w:r>
      <w:r>
        <w:rPr>
          <w:color w:val="000000"/>
        </w:rPr>
        <w:t xml:space="preserve">de Datos Personales, </w:t>
      </w:r>
      <w:r w:rsidR="00DA2367">
        <w:rPr>
          <w:color w:val="000000"/>
        </w:rPr>
        <w:t>haciendo</w:t>
      </w:r>
      <w:r>
        <w:rPr>
          <w:color w:val="000000"/>
        </w:rPr>
        <w:t xml:space="preserve"> del conocimiento que la Dirección </w:t>
      </w:r>
      <w:r w:rsidR="00DA2367">
        <w:rPr>
          <w:color w:val="000000"/>
        </w:rPr>
        <w:t>General</w:t>
      </w:r>
      <w:r>
        <w:rPr>
          <w:color w:val="000000"/>
        </w:rPr>
        <w:t xml:space="preserve"> de Protección de Datos Personales del INFOEM ordenó a la Unidad de Transparencia </w:t>
      </w:r>
      <w:r w:rsidR="00DA2367">
        <w:rPr>
          <w:color w:val="000000"/>
        </w:rPr>
        <w:t>mediante</w:t>
      </w:r>
      <w:r>
        <w:rPr>
          <w:color w:val="000000"/>
        </w:rPr>
        <w:t xml:space="preserve"> el punto  SEXTO del acuerdo de </w:t>
      </w:r>
      <w:r w:rsidR="00DA2367">
        <w:rPr>
          <w:color w:val="000000"/>
        </w:rPr>
        <w:t>radicación</w:t>
      </w:r>
      <w:r>
        <w:rPr>
          <w:color w:val="000000"/>
        </w:rPr>
        <w:t xml:space="preserve"> de treinta de mayo de dos mil </w:t>
      </w:r>
      <w:r w:rsidR="00DA2367">
        <w:rPr>
          <w:color w:val="000000"/>
        </w:rPr>
        <w:t xml:space="preserve">veinticinco para que en un plazo no </w:t>
      </w:r>
      <w:r w:rsidR="00AC0E43">
        <w:rPr>
          <w:color w:val="000000"/>
        </w:rPr>
        <w:t>mayor</w:t>
      </w:r>
      <w:r w:rsidR="00DA2367">
        <w:rPr>
          <w:color w:val="000000"/>
        </w:rPr>
        <w:t xml:space="preserve"> de veinticuatro horas dicte las medida necesarias de protección de la identidad de las personas involucradas.</w:t>
      </w:r>
    </w:p>
    <w:p w14:paraId="268A861A" w14:textId="674F3EFD" w:rsidR="00DA2367" w:rsidRDefault="00DA2367" w:rsidP="007D59C1">
      <w:pPr>
        <w:pStyle w:val="Prrafodelista"/>
        <w:widowControl w:val="0"/>
        <w:numPr>
          <w:ilvl w:val="0"/>
          <w:numId w:val="2"/>
        </w:numPr>
        <w:spacing w:after="0" w:line="360" w:lineRule="auto"/>
        <w:rPr>
          <w:color w:val="000000"/>
        </w:rPr>
      </w:pPr>
      <w:r>
        <w:rPr>
          <w:color w:val="000000"/>
        </w:rPr>
        <w:t xml:space="preserve">Oficio de treinta de mayo de dos mil veinticinco, </w:t>
      </w:r>
      <w:r w:rsidR="00C347AA">
        <w:rPr>
          <w:color w:val="000000"/>
        </w:rPr>
        <w:t>de la Directora General de Administración dirigido al Titular de la Unidad de Transparencia, donde informa cual fue el incidente que ocurrió.</w:t>
      </w:r>
    </w:p>
    <w:p w14:paraId="66306612" w14:textId="4B95206C" w:rsidR="00C347AA" w:rsidRDefault="00C347AA" w:rsidP="007D59C1">
      <w:pPr>
        <w:pStyle w:val="Prrafodelista"/>
        <w:widowControl w:val="0"/>
        <w:numPr>
          <w:ilvl w:val="0"/>
          <w:numId w:val="2"/>
        </w:numPr>
        <w:spacing w:after="0" w:line="360" w:lineRule="auto"/>
        <w:rPr>
          <w:color w:val="000000"/>
        </w:rPr>
      </w:pPr>
      <w:r>
        <w:rPr>
          <w:color w:val="000000"/>
        </w:rPr>
        <w:t xml:space="preserve">Oficio del </w:t>
      </w:r>
      <w:r w:rsidR="002D723C">
        <w:rPr>
          <w:color w:val="000000"/>
        </w:rPr>
        <w:t xml:space="preserve">diecinueve de junio de dos mil veinticinco </w:t>
      </w:r>
      <w:r>
        <w:rPr>
          <w:color w:val="000000"/>
        </w:rPr>
        <w:t>Director General de Protección de Datos Personales del INFOEM, donde comunica al Titular de la Unidad de Transparencia la DETERMINACIÓN</w:t>
      </w:r>
      <w:r w:rsidR="002D723C">
        <w:rPr>
          <w:color w:val="000000"/>
        </w:rPr>
        <w:t xml:space="preserve">  en el sentido de que no se advierte la existencia de violaciones a la Ley d Protección de Datos Personales en Posesión de Sujetos Obligados del Estado de México y Municipios. </w:t>
      </w:r>
    </w:p>
    <w:p w14:paraId="3309A268" w14:textId="21573265" w:rsidR="002D723C" w:rsidRDefault="002D723C" w:rsidP="007D59C1">
      <w:pPr>
        <w:pStyle w:val="Prrafodelista"/>
        <w:widowControl w:val="0"/>
        <w:numPr>
          <w:ilvl w:val="0"/>
          <w:numId w:val="2"/>
        </w:numPr>
        <w:spacing w:after="0" w:line="360" w:lineRule="auto"/>
        <w:rPr>
          <w:color w:val="000000"/>
        </w:rPr>
      </w:pPr>
      <w:r>
        <w:rPr>
          <w:color w:val="000000"/>
        </w:rPr>
        <w:t xml:space="preserve">Oficio de veintinueve de mayo de dos mil </w:t>
      </w:r>
      <w:r w:rsidR="00A31B49">
        <w:rPr>
          <w:color w:val="000000"/>
        </w:rPr>
        <w:t>veinticinco</w:t>
      </w:r>
      <w:r>
        <w:rPr>
          <w:color w:val="000000"/>
        </w:rPr>
        <w:t xml:space="preserve">, </w:t>
      </w:r>
      <w:r w:rsidR="00A31B49">
        <w:rPr>
          <w:color w:val="000000"/>
        </w:rPr>
        <w:t>por</w:t>
      </w:r>
      <w:r>
        <w:rPr>
          <w:color w:val="000000"/>
        </w:rPr>
        <w:t xml:space="preserve"> medio del cual el </w:t>
      </w:r>
      <w:r w:rsidR="00A31B49" w:rsidRPr="00A31B49">
        <w:rPr>
          <w:color w:val="000000"/>
        </w:rPr>
        <w:t>Director General de Protección de Da</w:t>
      </w:r>
      <w:r w:rsidR="00A31B49">
        <w:rPr>
          <w:color w:val="000000"/>
        </w:rPr>
        <w:t xml:space="preserve">tos Personales del INFOEM, </w:t>
      </w:r>
      <w:r w:rsidR="00A31B49" w:rsidRPr="00A31B49">
        <w:rPr>
          <w:color w:val="000000"/>
        </w:rPr>
        <w:t xml:space="preserve"> comunica al Titular de la </w:t>
      </w:r>
      <w:r w:rsidR="00A31B49" w:rsidRPr="00A31B49">
        <w:rPr>
          <w:color w:val="000000"/>
        </w:rPr>
        <w:lastRenderedPageBreak/>
        <w:t>Unidad de Transparencia</w:t>
      </w:r>
      <w:r w:rsidR="00A31B49">
        <w:rPr>
          <w:color w:val="000000"/>
        </w:rPr>
        <w:t xml:space="preserve"> que derivado del procedimiento de investigación se emitió el acuerdo de radicación, donde se requiere se remita el informe correspondiente.</w:t>
      </w:r>
    </w:p>
    <w:p w14:paraId="2935202A" w14:textId="2107C95A" w:rsidR="00A31B49" w:rsidRDefault="00A31B49" w:rsidP="007D59C1">
      <w:pPr>
        <w:pStyle w:val="Prrafodelista"/>
        <w:widowControl w:val="0"/>
        <w:numPr>
          <w:ilvl w:val="0"/>
          <w:numId w:val="2"/>
        </w:numPr>
        <w:spacing w:after="0" w:line="360" w:lineRule="auto"/>
        <w:rPr>
          <w:color w:val="000000"/>
        </w:rPr>
      </w:pPr>
      <w:r>
        <w:rPr>
          <w:color w:val="000000"/>
        </w:rPr>
        <w:t xml:space="preserve">Oficio del veintinueve de mayo de dos mil veinticinco, donde </w:t>
      </w:r>
      <w:r w:rsidR="004E23C2">
        <w:rPr>
          <w:color w:val="000000"/>
        </w:rPr>
        <w:t xml:space="preserve">el </w:t>
      </w:r>
      <w:r w:rsidR="004E23C2" w:rsidRPr="004E23C2">
        <w:rPr>
          <w:color w:val="000000"/>
        </w:rPr>
        <w:t xml:space="preserve">Titular de la </w:t>
      </w:r>
      <w:r w:rsidR="004E23C2">
        <w:rPr>
          <w:color w:val="000000"/>
        </w:rPr>
        <w:t>Unidad de Transparencia solicita</w:t>
      </w:r>
      <w:r w:rsidR="004E23C2" w:rsidRPr="004E23C2">
        <w:rPr>
          <w:color w:val="000000"/>
        </w:rPr>
        <w:t xml:space="preserve"> a la Directora General de Administración y Administradora de Cédulas de Bases de Datos Personales</w:t>
      </w:r>
      <w:r w:rsidR="004E23C2">
        <w:rPr>
          <w:color w:val="000000"/>
        </w:rPr>
        <w:t xml:space="preserve"> se remita informe.</w:t>
      </w:r>
    </w:p>
    <w:p w14:paraId="7E665190" w14:textId="4CD69B9F" w:rsidR="004E23C2" w:rsidRDefault="004E23C2" w:rsidP="007D59C1">
      <w:pPr>
        <w:pStyle w:val="Prrafodelista"/>
        <w:widowControl w:val="0"/>
        <w:numPr>
          <w:ilvl w:val="0"/>
          <w:numId w:val="2"/>
        </w:numPr>
        <w:spacing w:after="0" w:line="360" w:lineRule="auto"/>
        <w:rPr>
          <w:color w:val="000000"/>
        </w:rPr>
      </w:pPr>
      <w:r>
        <w:rPr>
          <w:color w:val="000000"/>
        </w:rPr>
        <w:t xml:space="preserve">Oficio de tres de junio de dos mil veinticinco, donde el </w:t>
      </w:r>
      <w:r w:rsidR="00320FCC" w:rsidRPr="00320FCC">
        <w:t xml:space="preserve"> </w:t>
      </w:r>
      <w:r w:rsidR="00320FCC" w:rsidRPr="00320FCC">
        <w:rPr>
          <w:color w:val="000000"/>
        </w:rPr>
        <w:t>Titular de la Unidad de Transparencia</w:t>
      </w:r>
      <w:r w:rsidR="00320FCC" w:rsidRPr="00320FCC">
        <w:t xml:space="preserve"> </w:t>
      </w:r>
      <w:r w:rsidR="00320FCC">
        <w:t xml:space="preserve">comunica al </w:t>
      </w:r>
      <w:r w:rsidR="00320FCC" w:rsidRPr="00320FCC">
        <w:rPr>
          <w:color w:val="000000"/>
        </w:rPr>
        <w:t>Director General de Protección de Datos Personales del INFOEM</w:t>
      </w:r>
      <w:r w:rsidR="00320FCC">
        <w:rPr>
          <w:color w:val="000000"/>
        </w:rPr>
        <w:t xml:space="preserve"> el cumplimiento a los requerimientos del Acuerdo de radicación . </w:t>
      </w:r>
    </w:p>
    <w:p w14:paraId="0F5ABFAE" w14:textId="01F9B008" w:rsidR="00CC2BE4" w:rsidRDefault="00CC2BE4" w:rsidP="007D59C1">
      <w:pPr>
        <w:pStyle w:val="Prrafodelista"/>
        <w:widowControl w:val="0"/>
        <w:numPr>
          <w:ilvl w:val="0"/>
          <w:numId w:val="2"/>
        </w:numPr>
        <w:spacing w:after="0" w:line="360" w:lineRule="auto"/>
        <w:rPr>
          <w:color w:val="000000"/>
        </w:rPr>
      </w:pPr>
      <w:r>
        <w:rPr>
          <w:color w:val="000000"/>
        </w:rPr>
        <w:t xml:space="preserve">Oficios de tres de junio de dos mil veinticinco, donde la Directora General de Administración comunica al Titular de la Unidad de Transparencia, el cumplimiento a los requerimientos del acuerdo de radicación. </w:t>
      </w:r>
    </w:p>
    <w:p w14:paraId="79D1D588" w14:textId="19B82388" w:rsidR="00CC2BE4" w:rsidRDefault="007377F9" w:rsidP="007D59C1">
      <w:pPr>
        <w:pStyle w:val="Prrafodelista"/>
        <w:widowControl w:val="0"/>
        <w:numPr>
          <w:ilvl w:val="0"/>
          <w:numId w:val="2"/>
        </w:numPr>
        <w:spacing w:after="0" w:line="360" w:lineRule="auto"/>
        <w:rPr>
          <w:color w:val="000000"/>
        </w:rPr>
      </w:pPr>
      <w:r>
        <w:rPr>
          <w:color w:val="000000"/>
        </w:rPr>
        <w:t>Acuerdo de Radicación en relación con el expediente INFOEM/DGPDP/PI/109/2025, de fecha veintinueve de mayo de dos mil veinticinco.</w:t>
      </w:r>
    </w:p>
    <w:p w14:paraId="4837C909" w14:textId="57557230" w:rsidR="007377F9" w:rsidRPr="00F75261" w:rsidRDefault="007377F9" w:rsidP="007D59C1">
      <w:pPr>
        <w:pStyle w:val="Prrafodelista"/>
        <w:widowControl w:val="0"/>
        <w:numPr>
          <w:ilvl w:val="0"/>
          <w:numId w:val="2"/>
        </w:numPr>
        <w:spacing w:after="0" w:line="360" w:lineRule="auto"/>
        <w:rPr>
          <w:color w:val="000000"/>
        </w:rPr>
      </w:pPr>
      <w:r>
        <w:rPr>
          <w:color w:val="000000"/>
        </w:rPr>
        <w:t xml:space="preserve">Oficio de once de julio de dos mil veinticinco, por medio del cual el Titular de la Unidad de Transparencia remite la respuesta al Solicitante. </w:t>
      </w:r>
    </w:p>
    <w:p w14:paraId="1AC49E35" w14:textId="31E5ACC4" w:rsidR="0090288A" w:rsidRDefault="0090288A" w:rsidP="003E26B0">
      <w:pPr>
        <w:widowControl w:val="0"/>
        <w:spacing w:after="0" w:line="360" w:lineRule="auto"/>
        <w:rPr>
          <w:color w:val="000000"/>
        </w:rPr>
      </w:pPr>
    </w:p>
    <w:p w14:paraId="58C78AE7" w14:textId="28F1413C" w:rsidR="00CA1BA6" w:rsidRPr="00CA1BA6" w:rsidRDefault="007377F9" w:rsidP="003E26B0">
      <w:pPr>
        <w:widowControl w:val="0"/>
        <w:spacing w:after="0" w:line="360" w:lineRule="auto"/>
        <w:rPr>
          <w:color w:val="000000"/>
        </w:rPr>
      </w:pPr>
      <w:r>
        <w:rPr>
          <w:color w:val="000000"/>
        </w:rPr>
        <w:t>A</w:t>
      </w:r>
      <w:r w:rsidR="00CA1BA6" w:rsidRPr="00CA1BA6">
        <w:rPr>
          <w:color w:val="000000"/>
        </w:rPr>
        <w:t xml:space="preserve">nte dicha respuesta, el Particular se inconformó de </w:t>
      </w:r>
      <w:r w:rsidR="003E26B0" w:rsidRPr="00CA1BA6">
        <w:rPr>
          <w:color w:val="000000"/>
        </w:rPr>
        <w:t>la</w:t>
      </w:r>
      <w:r w:rsidR="005D4785">
        <w:rPr>
          <w:color w:val="000000"/>
        </w:rPr>
        <w:t xml:space="preserve"> entrega incompleta </w:t>
      </w:r>
      <w:r w:rsidR="00EF0DFF">
        <w:rPr>
          <w:color w:val="000000"/>
        </w:rPr>
        <w:t xml:space="preserve"> de la información</w:t>
      </w:r>
      <w:r w:rsidR="003E26B0">
        <w:rPr>
          <w:color w:val="000000"/>
        </w:rPr>
        <w:t xml:space="preserve">, </w:t>
      </w:r>
      <w:r w:rsidR="003E26B0" w:rsidRPr="00CA1BA6">
        <w:rPr>
          <w:color w:val="000000"/>
        </w:rPr>
        <w:t xml:space="preserve">lo cual </w:t>
      </w:r>
      <w:r w:rsidR="00CA1BA6" w:rsidRPr="00CA1BA6">
        <w:rPr>
          <w:color w:val="000000"/>
        </w:rPr>
        <w:t xml:space="preserve">actualiza el supuesto de procedencia establecido en el artículo 179, fracción </w:t>
      </w:r>
      <w:r w:rsidR="005D4785">
        <w:rPr>
          <w:color w:val="000000"/>
        </w:rPr>
        <w:t>V</w:t>
      </w:r>
      <w:r w:rsidR="00CA1BA6" w:rsidRPr="00CA1BA6">
        <w:rPr>
          <w:color w:val="000000"/>
        </w:rPr>
        <w:t xml:space="preserve">, de la Ley de trasparencia local. </w:t>
      </w:r>
    </w:p>
    <w:p w14:paraId="7A28A957" w14:textId="77777777" w:rsidR="00CA1BA6" w:rsidRPr="00CA1BA6" w:rsidRDefault="00CA1BA6" w:rsidP="00CA1BA6">
      <w:pPr>
        <w:widowControl w:val="0"/>
        <w:spacing w:after="0" w:line="360" w:lineRule="auto"/>
        <w:rPr>
          <w:color w:val="000000"/>
        </w:rPr>
      </w:pPr>
    </w:p>
    <w:p w14:paraId="0CDCBD7E" w14:textId="77777777" w:rsidR="00CA1BA6" w:rsidRDefault="00CA1BA6" w:rsidP="00CA1BA6">
      <w:pPr>
        <w:spacing w:after="0" w:line="360" w:lineRule="auto"/>
      </w:pPr>
      <w:r w:rsidRPr="00CA1BA6">
        <w:t>Lo anterior, se desprende de las documentales que obran en los expedientes de referencia, materia de la presente resolución, consistente en: la solicitud de acceso a la información; la respuesta del Sujeto Obligado;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E618938" w14:textId="77777777" w:rsidR="0025691D" w:rsidRPr="00CA1BA6" w:rsidRDefault="0025691D" w:rsidP="00CA1BA6">
      <w:pPr>
        <w:spacing w:after="0" w:line="360" w:lineRule="auto"/>
      </w:pPr>
    </w:p>
    <w:p w14:paraId="008042E4" w14:textId="77777777" w:rsidR="00CA1BA6" w:rsidRPr="00CA1BA6" w:rsidRDefault="00CA1BA6" w:rsidP="005D4785">
      <w:pPr>
        <w:keepNext/>
        <w:keepLines/>
        <w:spacing w:after="0" w:line="360" w:lineRule="auto"/>
        <w:outlineLvl w:val="1"/>
        <w:rPr>
          <w:b/>
          <w:szCs w:val="36"/>
        </w:rPr>
      </w:pPr>
      <w:bookmarkStart w:id="7" w:name="_Toc179975604"/>
      <w:bookmarkStart w:id="8" w:name="_Toc221812508"/>
      <w:r w:rsidRPr="00CA1BA6">
        <w:rPr>
          <w:b/>
          <w:szCs w:val="36"/>
        </w:rPr>
        <w:t>CUARTO. Marco normativo aplicable en materia de transparencia y acceso a la información pública</w:t>
      </w:r>
      <w:bookmarkEnd w:id="7"/>
      <w:bookmarkEnd w:id="8"/>
    </w:p>
    <w:p w14:paraId="5392C413" w14:textId="77777777" w:rsidR="00CA1BA6" w:rsidRPr="00CA1BA6" w:rsidRDefault="00CA1BA6" w:rsidP="00CA1BA6">
      <w:pPr>
        <w:spacing w:after="0" w:line="360" w:lineRule="auto"/>
        <w:rPr>
          <w:color w:val="000000"/>
        </w:rPr>
      </w:pPr>
    </w:p>
    <w:p w14:paraId="4078DCED" w14:textId="77777777" w:rsidR="00CA1BA6" w:rsidRPr="00CA1BA6" w:rsidRDefault="00CA1BA6" w:rsidP="00CA1BA6">
      <w:pPr>
        <w:spacing w:after="0" w:line="360" w:lineRule="auto"/>
        <w:rPr>
          <w:color w:val="000000"/>
        </w:rPr>
      </w:pPr>
      <w:r w:rsidRPr="00CA1BA6">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7C05519" w14:textId="77777777" w:rsidR="00CA1BA6" w:rsidRPr="00CA1BA6" w:rsidRDefault="00CA1BA6" w:rsidP="00CA1BA6">
      <w:pPr>
        <w:spacing w:after="0" w:line="360" w:lineRule="auto"/>
        <w:rPr>
          <w:color w:val="000000"/>
        </w:rPr>
      </w:pPr>
    </w:p>
    <w:p w14:paraId="288D9A97" w14:textId="77777777" w:rsidR="00CA1BA6" w:rsidRPr="00CA1BA6" w:rsidRDefault="00CA1BA6" w:rsidP="00CA1BA6">
      <w:pPr>
        <w:spacing w:after="0" w:line="360" w:lineRule="auto"/>
        <w:rPr>
          <w:color w:val="000000"/>
        </w:rPr>
      </w:pPr>
      <w:r w:rsidRPr="00CA1BA6">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706C18" w14:textId="77777777" w:rsidR="00CA1BA6" w:rsidRPr="00CA1BA6" w:rsidRDefault="00CA1BA6" w:rsidP="00CA1BA6">
      <w:pPr>
        <w:spacing w:after="0" w:line="360" w:lineRule="auto"/>
        <w:rPr>
          <w:color w:val="000000"/>
        </w:rPr>
      </w:pPr>
    </w:p>
    <w:p w14:paraId="02EFBB60" w14:textId="77777777" w:rsidR="00CA1BA6" w:rsidRPr="00CA1BA6" w:rsidRDefault="00CA1BA6" w:rsidP="00CA1BA6">
      <w:pPr>
        <w:spacing w:after="0" w:line="360" w:lineRule="auto"/>
        <w:rPr>
          <w:color w:val="000000"/>
        </w:rPr>
      </w:pPr>
      <w:r w:rsidRPr="00CA1BA6">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1F3FF82" w14:textId="77777777" w:rsidR="00CA1BA6" w:rsidRPr="00CA1BA6" w:rsidRDefault="00CA1BA6" w:rsidP="00CA1BA6">
      <w:pPr>
        <w:spacing w:after="0" w:line="360" w:lineRule="auto"/>
        <w:rPr>
          <w:color w:val="000000"/>
        </w:rPr>
      </w:pPr>
    </w:p>
    <w:p w14:paraId="489DE975" w14:textId="77777777" w:rsidR="00CA1BA6" w:rsidRPr="00CA1BA6" w:rsidRDefault="00CA1BA6" w:rsidP="00CA1BA6">
      <w:pPr>
        <w:spacing w:after="0" w:line="360" w:lineRule="auto"/>
        <w:rPr>
          <w:color w:val="000000"/>
        </w:rPr>
      </w:pPr>
      <w:r w:rsidRPr="00CA1BA6">
        <w:rPr>
          <w:color w:val="000000"/>
        </w:rPr>
        <w:t>Por su parte, la Ley de Transparencia y Acceso a la Información Pública del Estado de México y Municipios (Reglamentaria del artículo 5° de la Constitución Local), establece lo siguiente:</w:t>
      </w:r>
    </w:p>
    <w:p w14:paraId="6D120611" w14:textId="77777777" w:rsidR="00CA1BA6" w:rsidRPr="00CA1BA6" w:rsidRDefault="00CA1BA6" w:rsidP="00CA1BA6">
      <w:pPr>
        <w:spacing w:after="0" w:line="360" w:lineRule="auto"/>
        <w:rPr>
          <w:color w:val="000000"/>
        </w:rPr>
      </w:pPr>
    </w:p>
    <w:p w14:paraId="677FAED6" w14:textId="77777777" w:rsidR="00CA1BA6" w:rsidRPr="00CA1BA6" w:rsidRDefault="00CA1BA6" w:rsidP="00CA1BA6">
      <w:pPr>
        <w:spacing w:after="0" w:line="360" w:lineRule="auto"/>
        <w:rPr>
          <w:color w:val="000000"/>
        </w:rPr>
      </w:pPr>
      <w:r w:rsidRPr="00CA1BA6">
        <w:rPr>
          <w:color w:val="000000"/>
        </w:rPr>
        <w:t>El artículo 12, que, quienes generen, recopilen, administren, manejen, procesen, archiven o conserven información pública serán responsables de la misma.</w:t>
      </w:r>
    </w:p>
    <w:p w14:paraId="286340E7" w14:textId="77777777" w:rsidR="00CA1BA6" w:rsidRPr="00CA1BA6" w:rsidRDefault="00CA1BA6" w:rsidP="00CA1BA6">
      <w:pPr>
        <w:spacing w:after="0" w:line="360" w:lineRule="auto"/>
        <w:rPr>
          <w:color w:val="000000"/>
        </w:rPr>
      </w:pPr>
    </w:p>
    <w:p w14:paraId="02BDACBF" w14:textId="77777777" w:rsidR="00CA1BA6" w:rsidRPr="00CA1BA6" w:rsidRDefault="00CA1BA6" w:rsidP="00CA1BA6">
      <w:pPr>
        <w:widowControl w:val="0"/>
        <w:spacing w:after="0" w:line="360" w:lineRule="auto"/>
        <w:rPr>
          <w:color w:val="000000"/>
        </w:rPr>
      </w:pPr>
      <w:r w:rsidRPr="00CA1BA6">
        <w:rPr>
          <w:color w:val="000000"/>
        </w:rPr>
        <w:t xml:space="preserve">El artículo 18, que, los Sujetos Obligados deberán documentar todo acto que derive del ejercicio de sus facultades, competencias o funciones, considerando desde su origen la </w:t>
      </w:r>
      <w:r w:rsidRPr="00CA1BA6">
        <w:rPr>
          <w:color w:val="000000"/>
        </w:rPr>
        <w:lastRenderedPageBreak/>
        <w:t>eventual publicidad y reutilización de la información que generen.</w:t>
      </w:r>
    </w:p>
    <w:p w14:paraId="4198D229" w14:textId="77777777" w:rsidR="00CA1BA6" w:rsidRPr="00CA1BA6" w:rsidRDefault="00CA1BA6" w:rsidP="00CA1BA6">
      <w:pPr>
        <w:spacing w:after="0" w:line="360" w:lineRule="auto"/>
        <w:rPr>
          <w:color w:val="000000"/>
        </w:rPr>
      </w:pPr>
    </w:p>
    <w:p w14:paraId="1EC34045" w14:textId="77777777" w:rsidR="00CA1BA6" w:rsidRPr="00CA1BA6" w:rsidRDefault="00CA1BA6" w:rsidP="00CA1BA6">
      <w:pPr>
        <w:spacing w:after="0" w:line="360" w:lineRule="auto"/>
        <w:rPr>
          <w:color w:val="000000"/>
        </w:rPr>
      </w:pPr>
      <w:r w:rsidRPr="00CA1BA6">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3856B96" w14:textId="77777777" w:rsidR="00CA1BA6" w:rsidRPr="00CA1BA6" w:rsidRDefault="00CA1BA6" w:rsidP="00CA1BA6">
      <w:pPr>
        <w:spacing w:after="0" w:line="360" w:lineRule="auto"/>
      </w:pPr>
    </w:p>
    <w:p w14:paraId="707D2F22" w14:textId="77777777" w:rsidR="00CA1BA6" w:rsidRDefault="00CA1BA6" w:rsidP="00CA1BA6">
      <w:pPr>
        <w:keepNext/>
        <w:keepLines/>
        <w:spacing w:after="0" w:line="360" w:lineRule="auto"/>
        <w:jc w:val="left"/>
        <w:outlineLvl w:val="1"/>
        <w:rPr>
          <w:b/>
          <w:szCs w:val="36"/>
        </w:rPr>
      </w:pPr>
      <w:bookmarkStart w:id="9" w:name="_Toc179975605"/>
      <w:bookmarkStart w:id="10" w:name="_Toc221812509"/>
      <w:r w:rsidRPr="00CA1BA6">
        <w:rPr>
          <w:b/>
          <w:caps/>
          <w:szCs w:val="36"/>
        </w:rPr>
        <w:t>Quinto.</w:t>
      </w:r>
      <w:r w:rsidRPr="00CA1BA6">
        <w:rPr>
          <w:b/>
          <w:szCs w:val="36"/>
        </w:rPr>
        <w:t xml:space="preserve"> Estudio de Fondo</w:t>
      </w:r>
      <w:bookmarkEnd w:id="9"/>
      <w:bookmarkEnd w:id="10"/>
    </w:p>
    <w:p w14:paraId="36D76F5B" w14:textId="77777777" w:rsidR="00BF2B2E" w:rsidRDefault="00BF2B2E" w:rsidP="00CA1BA6">
      <w:pPr>
        <w:keepNext/>
        <w:keepLines/>
        <w:spacing w:after="0" w:line="360" w:lineRule="auto"/>
        <w:jc w:val="left"/>
        <w:outlineLvl w:val="1"/>
        <w:rPr>
          <w:b/>
          <w:szCs w:val="36"/>
        </w:rPr>
      </w:pPr>
    </w:p>
    <w:p w14:paraId="61795C64" w14:textId="77777777" w:rsidR="005D4785" w:rsidRDefault="00BF2B2E" w:rsidP="00106781">
      <w:pPr>
        <w:spacing w:after="0" w:line="360" w:lineRule="auto"/>
        <w:rPr>
          <w:rFonts w:eastAsia="Times New Roman" w:cs="Tahoma"/>
          <w:bCs/>
          <w:iCs/>
          <w:color w:val="auto"/>
          <w:lang w:eastAsia="es-ES"/>
        </w:rPr>
      </w:pPr>
      <w:r w:rsidRPr="00DC1C3E">
        <w:rPr>
          <w:rFonts w:eastAsia="Times New Roman" w:cs="Tahoma"/>
          <w:bCs/>
          <w:iCs/>
          <w:color w:val="auto"/>
          <w:lang w:eastAsia="es-ES"/>
        </w:rPr>
        <w:t xml:space="preserve">Expuesto lo anterior, se procede al análisis del agravio hecho valer por el ahora Recurrente, concerniente a la </w:t>
      </w:r>
      <w:r w:rsidR="005D4785">
        <w:rPr>
          <w:rFonts w:eastAsia="Times New Roman" w:cs="Tahoma"/>
          <w:bCs/>
          <w:iCs/>
          <w:color w:val="auto"/>
          <w:lang w:eastAsia="es-ES"/>
        </w:rPr>
        <w:t xml:space="preserve">entrega incompleta de la información. </w:t>
      </w:r>
    </w:p>
    <w:p w14:paraId="7CC11E33" w14:textId="07DA42C5" w:rsidR="00106781" w:rsidRPr="00DC1C3E" w:rsidRDefault="00BF2B2E" w:rsidP="00106781">
      <w:pPr>
        <w:spacing w:after="0" w:line="360" w:lineRule="auto"/>
        <w:rPr>
          <w:rFonts w:eastAsia="Times New Roman" w:cs="Tahoma"/>
          <w:bCs/>
          <w:iCs/>
          <w:color w:val="auto"/>
          <w:lang w:eastAsia="es-ES"/>
        </w:rPr>
      </w:pPr>
      <w:r w:rsidRPr="00DC1C3E">
        <w:rPr>
          <w:rFonts w:eastAsia="Times New Roman" w:cs="Tahoma"/>
          <w:bCs/>
          <w:iCs/>
          <w:color w:val="auto"/>
          <w:lang w:eastAsia="es-ES"/>
        </w:rPr>
        <w:t xml:space="preserve"> </w:t>
      </w:r>
    </w:p>
    <w:p w14:paraId="3C4B9016" w14:textId="21740A77" w:rsidR="00BF2B2E" w:rsidRPr="00A11B91" w:rsidRDefault="00BF2B2E" w:rsidP="00EF0DFF">
      <w:pPr>
        <w:spacing w:after="0" w:line="360" w:lineRule="auto"/>
        <w:contextualSpacing/>
        <w:rPr>
          <w:rFonts w:eastAsiaTheme="minorHAnsi" w:cstheme="minorBidi"/>
          <w:lang w:eastAsia="en-US"/>
        </w:rPr>
      </w:pPr>
      <w:r w:rsidRPr="00DC1C3E">
        <w:rPr>
          <w:rFonts w:eastAsiaTheme="minorHAnsi" w:cstheme="minorBidi"/>
          <w:lang w:eastAsia="en-US"/>
        </w:rPr>
        <w:t xml:space="preserve">Así, se procede analizar la respuesta entregada, para lo cual, es necesario precisar que de las constancias que obran en el expediente,  se advierte que </w:t>
      </w:r>
      <w:r w:rsidR="00A11B91">
        <w:rPr>
          <w:rFonts w:eastAsiaTheme="minorHAnsi" w:cstheme="minorBidi"/>
          <w:lang w:eastAsia="en-US"/>
        </w:rPr>
        <w:t xml:space="preserve">la respuesta fue emitida por la Unidad de Transparencia, </w:t>
      </w:r>
      <w:r w:rsidRPr="00DC1C3E">
        <w:rPr>
          <w:rFonts w:eastAsiaTheme="minorHAnsi" w:cstheme="minorBidi"/>
          <w:lang w:eastAsia="en-US"/>
        </w:rPr>
        <w:t xml:space="preserve">por lo que resulta necesario hacer referencia al procedimiento de búsqueda que deben de seguir los Sujetos Obligados para localizar la información, el cual se encuentra previsto </w:t>
      </w:r>
      <w:r w:rsidR="00EF0DFF">
        <w:rPr>
          <w:rFonts w:eastAsiaTheme="minorHAnsi" w:cstheme="minorBidi"/>
          <w:lang w:eastAsia="en-US"/>
        </w:rPr>
        <w:t>en el artículo</w:t>
      </w:r>
      <w:r w:rsidRPr="00DC1C3E">
        <w:rPr>
          <w:rFonts w:eastAsiaTheme="minorHAnsi" w:cstheme="minorBidi"/>
          <w:lang w:eastAsia="en-US"/>
        </w:rPr>
        <w:t xml:space="preserve"> 162 de la Ley de Transparencia y Acceso a la Información Pública del Estado de México y Municipios, </w:t>
      </w:r>
      <w:r w:rsidR="00EF0DFF">
        <w:rPr>
          <w:rFonts w:eastAsiaTheme="minorHAnsi" w:cstheme="minorBidi"/>
          <w:lang w:eastAsia="en-US"/>
        </w:rPr>
        <w:t>el cual establece que las</w:t>
      </w:r>
      <w:r w:rsidRPr="00DC1C3E">
        <w:rPr>
          <w:rFonts w:eastAsiaTheme="minorHAnsi" w:cstheme="minorBidi"/>
          <w:lang w:eastAsia="en-US"/>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w:t>
      </w:r>
      <w:r w:rsidR="00056D58">
        <w:rPr>
          <w:rFonts w:eastAsiaTheme="minorHAnsi" w:cstheme="minorBidi"/>
          <w:lang w:eastAsia="en-US"/>
        </w:rPr>
        <w:t>e de la información requerida.</w:t>
      </w:r>
    </w:p>
    <w:p w14:paraId="39E3827F" w14:textId="77777777" w:rsidR="00BF2B2E" w:rsidRPr="00DC1C3E" w:rsidRDefault="00BF2B2E" w:rsidP="00BF2B2E">
      <w:pPr>
        <w:spacing w:after="0" w:line="360" w:lineRule="auto"/>
        <w:ind w:left="709"/>
        <w:contextualSpacing/>
        <w:rPr>
          <w:rFonts w:eastAsiaTheme="minorHAnsi" w:cs="Tahoma"/>
          <w:color w:val="0D0D0D" w:themeColor="text1" w:themeTint="F2"/>
          <w:sz w:val="24"/>
          <w:szCs w:val="24"/>
          <w:lang w:val="es-ES" w:eastAsia="en-US"/>
        </w:rPr>
      </w:pPr>
    </w:p>
    <w:p w14:paraId="6E5D7F92" w14:textId="5A470D1C" w:rsidR="00A11B91" w:rsidRDefault="00BF2B2E" w:rsidP="00D80E18">
      <w:pPr>
        <w:spacing w:after="0" w:line="360" w:lineRule="auto"/>
        <w:contextualSpacing/>
        <w:rPr>
          <w:rFonts w:eastAsiaTheme="minorHAnsi" w:cstheme="minorBidi"/>
          <w:lang w:eastAsia="en-US"/>
        </w:rPr>
      </w:pPr>
      <w:r w:rsidRPr="00BA370B">
        <w:rPr>
          <w:rFonts w:eastAsiaTheme="minorHAnsi" w:cstheme="minorBidi"/>
          <w:lang w:eastAsia="en-US"/>
        </w:rPr>
        <w:t xml:space="preserve">Así, a efecto de determinar si el Sujeto Obligado cumplió con el procedimiento de búsqueda, resulta necesario traer a colación </w:t>
      </w:r>
      <w:r w:rsidR="00A11B91">
        <w:rPr>
          <w:rFonts w:eastAsiaTheme="minorHAnsi" w:cstheme="minorBidi"/>
          <w:lang w:eastAsia="en-US"/>
        </w:rPr>
        <w:t xml:space="preserve">el </w:t>
      </w:r>
      <w:r w:rsidR="00152B29">
        <w:rPr>
          <w:rFonts w:eastAsiaTheme="minorHAnsi" w:cstheme="minorBidi"/>
          <w:lang w:eastAsia="en-US"/>
        </w:rPr>
        <w:t>artículo 54 de la Ley de Protección de Datos Personales en Posesión de Sujeto Obligados del estado de</w:t>
      </w:r>
      <w:r w:rsidR="00056D58">
        <w:rPr>
          <w:rFonts w:eastAsiaTheme="minorHAnsi" w:cstheme="minorBidi"/>
          <w:lang w:eastAsia="en-US"/>
        </w:rPr>
        <w:t xml:space="preserve"> </w:t>
      </w:r>
      <w:r w:rsidR="00152B29">
        <w:rPr>
          <w:rFonts w:eastAsiaTheme="minorHAnsi" w:cstheme="minorBidi"/>
          <w:lang w:eastAsia="en-US"/>
        </w:rPr>
        <w:t>México y Municipios</w:t>
      </w:r>
      <w:r w:rsidR="00056D58">
        <w:rPr>
          <w:rFonts w:eastAsiaTheme="minorHAnsi" w:cstheme="minorBidi"/>
          <w:lang w:eastAsia="en-US"/>
        </w:rPr>
        <w:t xml:space="preserve">, mismo que contempla </w:t>
      </w:r>
      <w:r w:rsidR="00056D58">
        <w:rPr>
          <w:rFonts w:eastAsiaTheme="minorHAnsi" w:cstheme="minorBidi"/>
          <w:lang w:eastAsia="en-US"/>
        </w:rPr>
        <w:lastRenderedPageBreak/>
        <w:t>que e</w:t>
      </w:r>
      <w:r w:rsidR="00D80E18" w:rsidRPr="00D80E18">
        <w:rPr>
          <w:rFonts w:eastAsiaTheme="minorHAnsi" w:cstheme="minorBidi"/>
          <w:lang w:eastAsia="en-US"/>
        </w:rPr>
        <w:t>n caso de violación a la seguridad de los datos personales</w:t>
      </w:r>
      <w:r w:rsidR="00056D58">
        <w:rPr>
          <w:rFonts w:eastAsiaTheme="minorHAnsi" w:cstheme="minorBidi"/>
          <w:lang w:eastAsia="en-US"/>
        </w:rPr>
        <w:t xml:space="preserve"> </w:t>
      </w:r>
      <w:r w:rsidR="00D80E18" w:rsidRPr="00D80E18">
        <w:rPr>
          <w:rFonts w:eastAsiaTheme="minorHAnsi" w:cstheme="minorBidi"/>
          <w:lang w:eastAsia="en-US"/>
        </w:rPr>
        <w:t>que afecten de forma significativa los derechos patrimoniales o morales,</w:t>
      </w:r>
      <w:r w:rsidR="00056D58">
        <w:rPr>
          <w:rFonts w:eastAsiaTheme="minorHAnsi" w:cstheme="minorBidi"/>
          <w:lang w:eastAsia="en-US"/>
        </w:rPr>
        <w:t xml:space="preserve"> </w:t>
      </w:r>
      <w:r w:rsidR="00D80E18" w:rsidRPr="00D80E18">
        <w:rPr>
          <w:rFonts w:eastAsiaTheme="minorHAnsi" w:cstheme="minorBidi"/>
          <w:lang w:eastAsia="en-US"/>
        </w:rPr>
        <w:t>el responsable deberá notificarlo al titular y al Instituto sin dilación alguna</w:t>
      </w:r>
      <w:r w:rsidR="00056D58">
        <w:rPr>
          <w:rFonts w:eastAsiaTheme="minorHAnsi" w:cstheme="minorBidi"/>
          <w:lang w:eastAsia="en-US"/>
        </w:rPr>
        <w:t xml:space="preserve"> </w:t>
      </w:r>
      <w:r w:rsidR="00D80E18" w:rsidRPr="00D80E18">
        <w:rPr>
          <w:rFonts w:eastAsiaTheme="minorHAnsi" w:cstheme="minorBidi"/>
          <w:lang w:eastAsia="en-US"/>
        </w:rPr>
        <w:t>y de ser posible, a más tardar setenta y dos horas después de que se</w:t>
      </w:r>
      <w:r w:rsidR="00056D58">
        <w:rPr>
          <w:rFonts w:eastAsiaTheme="minorHAnsi" w:cstheme="minorBidi"/>
          <w:lang w:eastAsia="en-US"/>
        </w:rPr>
        <w:t xml:space="preserve"> </w:t>
      </w:r>
      <w:r w:rsidR="00D80E18" w:rsidRPr="00D80E18">
        <w:rPr>
          <w:rFonts w:eastAsiaTheme="minorHAnsi" w:cstheme="minorBidi"/>
          <w:lang w:eastAsia="en-US"/>
        </w:rPr>
        <w:t>confirme que ocurrió la violación.</w:t>
      </w:r>
    </w:p>
    <w:p w14:paraId="13F3F602" w14:textId="77777777" w:rsidR="00A11B91" w:rsidRDefault="00A11B91" w:rsidP="00D74B28">
      <w:pPr>
        <w:spacing w:after="0" w:line="360" w:lineRule="auto"/>
        <w:contextualSpacing/>
        <w:rPr>
          <w:rFonts w:eastAsiaTheme="minorHAnsi" w:cstheme="minorBidi"/>
          <w:lang w:eastAsia="en-US"/>
        </w:rPr>
      </w:pPr>
    </w:p>
    <w:p w14:paraId="343A3A89" w14:textId="2294BBC8" w:rsidR="00056D58" w:rsidRDefault="00BF2B2E" w:rsidP="00BF2B2E">
      <w:pPr>
        <w:spacing w:after="0" w:line="360" w:lineRule="auto"/>
        <w:contextualSpacing/>
        <w:rPr>
          <w:rFonts w:eastAsiaTheme="minorHAnsi" w:cstheme="minorBidi"/>
          <w:lang w:eastAsia="en-US"/>
        </w:rPr>
      </w:pPr>
      <w:r w:rsidRPr="00DC1C3E">
        <w:rPr>
          <w:rFonts w:eastAsiaTheme="minorHAnsi" w:cstheme="minorBidi"/>
          <w:lang w:eastAsia="en-US"/>
        </w:rPr>
        <w:t xml:space="preserve">De tales circunstancias, se logra vislumbrar que el Ayuntamiento de </w:t>
      </w:r>
      <w:r w:rsidR="0052035E">
        <w:rPr>
          <w:rFonts w:eastAsiaTheme="minorHAnsi" w:cstheme="minorBidi"/>
          <w:lang w:eastAsia="en-US"/>
        </w:rPr>
        <w:t>Toluca</w:t>
      </w:r>
      <w:r w:rsidRPr="00DC1C3E">
        <w:rPr>
          <w:rFonts w:eastAsiaTheme="minorHAnsi" w:cstheme="minorBidi"/>
          <w:lang w:eastAsia="en-US"/>
        </w:rPr>
        <w:t xml:space="preserve"> cumplió con el procedimiento de búsqueda establecido en el artículo 162 de la Ley de Transparencia y Acceso a la Información Pública del Estado de México y Municipios, toda vez que  turn</w:t>
      </w:r>
      <w:r w:rsidR="007C0F32">
        <w:rPr>
          <w:rFonts w:eastAsiaTheme="minorHAnsi" w:cstheme="minorBidi"/>
          <w:lang w:eastAsia="en-US"/>
        </w:rPr>
        <w:t xml:space="preserve">ó la solicitud de información a </w:t>
      </w:r>
      <w:r w:rsidR="0052035E" w:rsidRPr="0052035E">
        <w:rPr>
          <w:rFonts w:eastAsiaTheme="minorHAnsi" w:cstheme="minorBidi"/>
          <w:lang w:eastAsia="en-US"/>
        </w:rPr>
        <w:t>la Directora General de Administración y Administradora de Cédulas de Bases de Datos Personales</w:t>
      </w:r>
      <w:r w:rsidR="0052035E">
        <w:rPr>
          <w:rFonts w:eastAsiaTheme="minorHAnsi" w:cstheme="minorBidi"/>
          <w:lang w:eastAsia="en-US"/>
        </w:rPr>
        <w:t>.</w:t>
      </w:r>
    </w:p>
    <w:p w14:paraId="5C95C58F" w14:textId="62647331" w:rsidR="00610AE5" w:rsidRDefault="00AB7D24" w:rsidP="00BF2B2E">
      <w:pPr>
        <w:spacing w:after="0" w:line="360" w:lineRule="auto"/>
        <w:contextualSpacing/>
        <w:rPr>
          <w:rFonts w:eastAsiaTheme="minorHAnsi" w:cstheme="minorBidi"/>
          <w:lang w:eastAsia="en-US"/>
        </w:rPr>
      </w:pPr>
      <w:r>
        <w:rPr>
          <w:rFonts w:eastAsiaTheme="minorHAnsi" w:cstheme="minorBidi"/>
          <w:lang w:eastAsia="en-US"/>
        </w:rPr>
        <w:t xml:space="preserve"> </w:t>
      </w:r>
    </w:p>
    <w:p w14:paraId="4B4C9FC2" w14:textId="4A6DCB0F" w:rsidR="00610AE5" w:rsidRDefault="00610AE5" w:rsidP="00BF2B2E">
      <w:pPr>
        <w:spacing w:after="0" w:line="360" w:lineRule="auto"/>
        <w:contextualSpacing/>
        <w:rPr>
          <w:rFonts w:eastAsiaTheme="minorHAnsi" w:cstheme="minorBidi"/>
          <w:lang w:eastAsia="en-US"/>
        </w:rPr>
      </w:pPr>
      <w:r>
        <w:rPr>
          <w:rFonts w:eastAsiaTheme="minorHAnsi" w:cstheme="minorBidi"/>
          <w:lang w:eastAsia="en-US"/>
        </w:rPr>
        <w:t xml:space="preserve">Así mismo </w:t>
      </w:r>
      <w:r w:rsidR="00AB7D24">
        <w:rPr>
          <w:rFonts w:eastAsiaTheme="minorHAnsi" w:cstheme="minorBidi"/>
          <w:lang w:eastAsia="en-US"/>
        </w:rPr>
        <w:t>el a</w:t>
      </w:r>
      <w:r w:rsidR="00AB7D24" w:rsidRPr="00AB7D24">
        <w:rPr>
          <w:rFonts w:eastAsiaTheme="minorHAnsi" w:cstheme="minorBidi"/>
          <w:lang w:eastAsia="en-US"/>
        </w:rPr>
        <w:t>rtículo 24</w:t>
      </w:r>
      <w:r w:rsidR="00AB7D24">
        <w:rPr>
          <w:rFonts w:eastAsiaTheme="minorHAnsi" w:cstheme="minorBidi"/>
          <w:lang w:eastAsia="en-US"/>
        </w:rPr>
        <w:t xml:space="preserve"> del  </w:t>
      </w:r>
      <w:r w:rsidR="00447A3B">
        <w:rPr>
          <w:rFonts w:eastAsiaTheme="minorHAnsi" w:cstheme="minorBidi"/>
          <w:lang w:eastAsia="en-US"/>
        </w:rPr>
        <w:t>Reglamento Interior del Instituto de Transparencia, Acceso A la Información Pública y</w:t>
      </w:r>
      <w:r w:rsidR="00AB7D24">
        <w:rPr>
          <w:rFonts w:eastAsiaTheme="minorHAnsi" w:cstheme="minorBidi"/>
          <w:lang w:eastAsia="en-US"/>
        </w:rPr>
        <w:t xml:space="preserve"> </w:t>
      </w:r>
      <w:r w:rsidR="00447A3B">
        <w:rPr>
          <w:rFonts w:eastAsiaTheme="minorHAnsi" w:cstheme="minorBidi"/>
          <w:lang w:eastAsia="en-US"/>
        </w:rPr>
        <w:t>Protección de Datos Personales d</w:t>
      </w:r>
      <w:r w:rsidR="00AB7D24" w:rsidRPr="00AB7D24">
        <w:rPr>
          <w:rFonts w:eastAsiaTheme="minorHAnsi" w:cstheme="minorBidi"/>
          <w:lang w:eastAsia="en-US"/>
        </w:rPr>
        <w:t xml:space="preserve">el Estado </w:t>
      </w:r>
      <w:r w:rsidR="00447A3B">
        <w:rPr>
          <w:rFonts w:eastAsiaTheme="minorHAnsi" w:cstheme="minorBidi"/>
          <w:lang w:eastAsia="en-US"/>
        </w:rPr>
        <w:t>de México y</w:t>
      </w:r>
      <w:r w:rsidR="00AB7D24" w:rsidRPr="00AB7D24">
        <w:rPr>
          <w:rFonts w:eastAsiaTheme="minorHAnsi" w:cstheme="minorBidi"/>
          <w:lang w:eastAsia="en-US"/>
        </w:rPr>
        <w:t xml:space="preserve"> Municipios</w:t>
      </w:r>
      <w:r w:rsidR="00AB7D24">
        <w:rPr>
          <w:rFonts w:eastAsiaTheme="minorHAnsi" w:cstheme="minorBidi"/>
          <w:lang w:eastAsia="en-US"/>
        </w:rPr>
        <w:t>, contempla en su</w:t>
      </w:r>
      <w:r w:rsidR="00447A3B">
        <w:rPr>
          <w:rFonts w:eastAsiaTheme="minorHAnsi" w:cstheme="minorBidi"/>
          <w:lang w:eastAsia="en-US"/>
        </w:rPr>
        <w:t>s</w:t>
      </w:r>
      <w:r w:rsidR="00AB7D24">
        <w:rPr>
          <w:rFonts w:eastAsiaTheme="minorHAnsi" w:cstheme="minorBidi"/>
          <w:lang w:eastAsia="en-US"/>
        </w:rPr>
        <w:t xml:space="preserve"> fracci</w:t>
      </w:r>
      <w:r w:rsidR="00447A3B">
        <w:rPr>
          <w:rFonts w:eastAsiaTheme="minorHAnsi" w:cstheme="minorBidi"/>
          <w:lang w:eastAsia="en-US"/>
        </w:rPr>
        <w:t xml:space="preserve">ones </w:t>
      </w:r>
      <w:r w:rsidR="00AB7D24">
        <w:rPr>
          <w:rFonts w:eastAsiaTheme="minorHAnsi" w:cstheme="minorBidi"/>
          <w:lang w:eastAsia="en-US"/>
        </w:rPr>
        <w:t xml:space="preserve"> XI</w:t>
      </w:r>
      <w:r w:rsidR="00447A3B">
        <w:rPr>
          <w:rFonts w:eastAsiaTheme="minorHAnsi" w:cstheme="minorBidi"/>
          <w:lang w:eastAsia="en-US"/>
        </w:rPr>
        <w:t xml:space="preserve"> y XIX,</w:t>
      </w:r>
      <w:r w:rsidR="00AB7D24">
        <w:rPr>
          <w:rFonts w:eastAsiaTheme="minorHAnsi" w:cstheme="minorBidi"/>
          <w:lang w:eastAsia="en-US"/>
        </w:rPr>
        <w:t xml:space="preserve"> que c</w:t>
      </w:r>
      <w:r w:rsidR="00AB7D24" w:rsidRPr="00AB7D24">
        <w:rPr>
          <w:rFonts w:eastAsiaTheme="minorHAnsi" w:cstheme="minorBidi"/>
          <w:lang w:eastAsia="en-US"/>
        </w:rPr>
        <w:t xml:space="preserve">orresponde a la Dirección General de Protección de Datos Personales </w:t>
      </w:r>
      <w:r w:rsidR="00AB7D24">
        <w:rPr>
          <w:rFonts w:eastAsiaTheme="minorHAnsi" w:cstheme="minorBidi"/>
          <w:lang w:eastAsia="en-US"/>
        </w:rPr>
        <w:t>e</w:t>
      </w:r>
      <w:r w:rsidR="00AB7D24" w:rsidRPr="00AB7D24">
        <w:rPr>
          <w:rFonts w:eastAsiaTheme="minorHAnsi" w:cstheme="minorBidi"/>
          <w:lang w:eastAsia="en-US"/>
        </w:rPr>
        <w:t>jecutar los procedimientos de investigación derivados de posibles violaciones a la seguridad de los datos personales, y en su caso, determinar la práctica de ver</w:t>
      </w:r>
      <w:r w:rsidR="00447A3B">
        <w:rPr>
          <w:rFonts w:eastAsiaTheme="minorHAnsi" w:cstheme="minorBidi"/>
          <w:lang w:eastAsia="en-US"/>
        </w:rPr>
        <w:t>ificaciones e informar al Pleno, así como d</w:t>
      </w:r>
      <w:r w:rsidR="00447A3B" w:rsidRPr="00447A3B">
        <w:rPr>
          <w:rFonts w:eastAsiaTheme="minorHAnsi" w:cstheme="minorBidi"/>
          <w:lang w:eastAsia="en-US"/>
        </w:rPr>
        <w:t>eterminar y ejecutar las medidas precautorias no invasivas para la operación del área o unidad administrativa del responsable cuando se presuma la existencia de violaciones a la seguridad de los datos</w:t>
      </w:r>
      <w:r w:rsidR="00447A3B">
        <w:rPr>
          <w:rFonts w:eastAsiaTheme="minorHAnsi" w:cstheme="minorBidi"/>
          <w:lang w:eastAsia="en-US"/>
        </w:rPr>
        <w:t xml:space="preserve"> personales e informar al Pleno.</w:t>
      </w:r>
    </w:p>
    <w:p w14:paraId="64BE61F3" w14:textId="52480FB9" w:rsidR="00BF2B2E" w:rsidRPr="00DC1C3E" w:rsidRDefault="00BF2B2E" w:rsidP="00BF2B2E">
      <w:pPr>
        <w:spacing w:after="0" w:line="360" w:lineRule="auto"/>
        <w:contextualSpacing/>
        <w:rPr>
          <w:rFonts w:eastAsiaTheme="minorHAnsi" w:cstheme="minorBidi"/>
          <w:lang w:eastAsia="en-US"/>
        </w:rPr>
      </w:pPr>
      <w:r w:rsidRPr="00DC1C3E">
        <w:rPr>
          <w:rFonts w:eastAsiaTheme="minorHAnsi" w:cstheme="minorBidi"/>
          <w:lang w:eastAsia="en-US"/>
        </w:rPr>
        <w:t xml:space="preserve"> </w:t>
      </w:r>
      <w:r w:rsidR="0069627A">
        <w:rPr>
          <w:rFonts w:eastAsiaTheme="minorHAnsi" w:cstheme="minorBidi"/>
          <w:lang w:eastAsia="en-US"/>
        </w:rPr>
        <w:t xml:space="preserve"> </w:t>
      </w:r>
    </w:p>
    <w:p w14:paraId="24FD1CD4" w14:textId="6B4200CF" w:rsidR="008E1F3C" w:rsidRPr="000D74C3" w:rsidRDefault="00BF2B2E" w:rsidP="00BF2B2E">
      <w:pPr>
        <w:spacing w:after="0" w:line="360" w:lineRule="auto"/>
        <w:contextualSpacing/>
        <w:rPr>
          <w:rFonts w:eastAsiaTheme="minorHAnsi" w:cstheme="minorBidi"/>
          <w:noProof/>
          <w:lang w:eastAsia="en-US"/>
        </w:rPr>
      </w:pPr>
      <w:r w:rsidRPr="000D74C3">
        <w:rPr>
          <w:rFonts w:eastAsia="Calibri" w:cs="Times New Roman"/>
          <w:lang w:eastAsia="en-US"/>
        </w:rPr>
        <w:t xml:space="preserve">Sentado lo anterior, es de hacerse referencia que en respuesta, el Sujeto Obligado </w:t>
      </w:r>
      <w:r w:rsidR="0052035E">
        <w:rPr>
          <w:rFonts w:eastAsia="Calibri" w:cs="Times New Roman"/>
          <w:lang w:eastAsia="en-US"/>
        </w:rPr>
        <w:t xml:space="preserve">por medio del Titular de la Unidad de Transparencia, remitió una serie de </w:t>
      </w:r>
      <w:r w:rsidR="00254E5F">
        <w:rPr>
          <w:rFonts w:eastAsia="Calibri" w:cs="Times New Roman"/>
          <w:lang w:eastAsia="en-US"/>
        </w:rPr>
        <w:t xml:space="preserve">oficios relacionados con el procedimiento requerido. </w:t>
      </w:r>
    </w:p>
    <w:p w14:paraId="3008F49B" w14:textId="77777777" w:rsidR="000D74C3" w:rsidRPr="000D74C3" w:rsidRDefault="000D74C3" w:rsidP="00BF2B2E">
      <w:pPr>
        <w:spacing w:after="0" w:line="360" w:lineRule="auto"/>
        <w:contextualSpacing/>
        <w:rPr>
          <w:rFonts w:eastAsiaTheme="minorHAnsi" w:cstheme="minorBidi"/>
          <w:noProof/>
          <w:lang w:eastAsia="en-US"/>
        </w:rPr>
      </w:pPr>
    </w:p>
    <w:p w14:paraId="72055FE4" w14:textId="1A664CB5" w:rsidR="00254E5F" w:rsidRDefault="00254E5F" w:rsidP="00F557B8">
      <w:pPr>
        <w:spacing w:after="0" w:line="360" w:lineRule="auto"/>
        <w:contextualSpacing/>
        <w:rPr>
          <w:rFonts w:eastAsiaTheme="minorHAnsi" w:cstheme="minorBidi"/>
          <w:noProof/>
          <w:lang w:eastAsia="en-US"/>
        </w:rPr>
      </w:pPr>
      <w:r>
        <w:rPr>
          <w:rFonts w:eastAsiaTheme="minorHAnsi" w:cstheme="minorBidi"/>
          <w:noProof/>
          <w:lang w:eastAsia="en-US"/>
        </w:rPr>
        <w:lastRenderedPageBreak/>
        <w:t xml:space="preserve">En tal sentido, </w:t>
      </w:r>
      <w:r w:rsidR="00AC0E43">
        <w:rPr>
          <w:rFonts w:eastAsiaTheme="minorHAnsi" w:cstheme="minorBidi"/>
          <w:noProof/>
          <w:lang w:eastAsia="en-US"/>
        </w:rPr>
        <w:t xml:space="preserve">de la respuesta proporcionada por el Sujeto Obligado, puede apreciarse que se integra con </w:t>
      </w:r>
      <w:r w:rsidR="00852B9D">
        <w:rPr>
          <w:rFonts w:eastAsiaTheme="minorHAnsi" w:cstheme="minorBidi"/>
          <w:noProof/>
          <w:lang w:eastAsia="en-US"/>
        </w:rPr>
        <w:t xml:space="preserve">los </w:t>
      </w:r>
      <w:r w:rsidR="00AC0E43">
        <w:rPr>
          <w:rFonts w:eastAsiaTheme="minorHAnsi" w:cstheme="minorBidi"/>
          <w:noProof/>
          <w:lang w:eastAsia="en-US"/>
        </w:rPr>
        <w:t xml:space="preserve">documentos </w:t>
      </w:r>
      <w:r w:rsidR="00095D0F">
        <w:rPr>
          <w:rFonts w:eastAsiaTheme="minorHAnsi" w:cstheme="minorBidi"/>
          <w:noProof/>
          <w:lang w:eastAsia="en-US"/>
        </w:rPr>
        <w:t xml:space="preserve">en los cuales, </w:t>
      </w:r>
      <w:r w:rsidR="00095D0F" w:rsidRPr="00095D0F">
        <w:rPr>
          <w:rFonts w:eastAsiaTheme="minorHAnsi" w:cstheme="minorBidi"/>
          <w:noProof/>
          <w:lang w:eastAsia="en-US"/>
        </w:rPr>
        <w:t>el Director General de Protección de Datos Personales del INFOEM,  comunica al Titular de la Unidad de Transparencia que derivado del procedimiento de investigación se emitió el acuerdo de radicación, donde se requiere se re</w:t>
      </w:r>
      <w:r w:rsidR="00095D0F">
        <w:rPr>
          <w:rFonts w:eastAsiaTheme="minorHAnsi" w:cstheme="minorBidi"/>
          <w:noProof/>
          <w:lang w:eastAsia="en-US"/>
        </w:rPr>
        <w:t>mita el informe correspondiente, la solicitud a las ar</w:t>
      </w:r>
      <w:r w:rsidR="00852B9D">
        <w:rPr>
          <w:rFonts w:eastAsiaTheme="minorHAnsi" w:cstheme="minorBidi"/>
          <w:noProof/>
          <w:lang w:eastAsia="en-US"/>
        </w:rPr>
        <w:t xml:space="preserve">eas internas del Sujeto Obligado para la emisión de </w:t>
      </w:r>
      <w:r w:rsidR="00095D0F">
        <w:rPr>
          <w:rFonts w:eastAsiaTheme="minorHAnsi" w:cstheme="minorBidi"/>
          <w:noProof/>
          <w:lang w:eastAsia="en-US"/>
        </w:rPr>
        <w:t xml:space="preserve">dicho informe así como la remisión de la información al Órgano Garante. Finalmente, </w:t>
      </w:r>
      <w:r w:rsidR="00095D0F" w:rsidRPr="00095D0F">
        <w:rPr>
          <w:rFonts w:eastAsiaTheme="minorHAnsi" w:cstheme="minorBidi"/>
          <w:noProof/>
          <w:lang w:eastAsia="en-US"/>
        </w:rPr>
        <w:t xml:space="preserve"> la </w:t>
      </w:r>
      <w:r w:rsidR="00C50BD9" w:rsidRPr="00095D0F">
        <w:rPr>
          <w:rFonts w:eastAsiaTheme="minorHAnsi" w:cstheme="minorBidi"/>
          <w:noProof/>
          <w:lang w:eastAsia="en-US"/>
        </w:rPr>
        <w:t xml:space="preserve">determinación </w:t>
      </w:r>
      <w:r w:rsidR="00852B9D">
        <w:rPr>
          <w:rFonts w:eastAsiaTheme="minorHAnsi" w:cstheme="minorBidi"/>
          <w:noProof/>
          <w:lang w:eastAsia="en-US"/>
        </w:rPr>
        <w:t>por parte de este Instituto</w:t>
      </w:r>
      <w:r w:rsidR="00095D0F" w:rsidRPr="00095D0F">
        <w:rPr>
          <w:rFonts w:eastAsiaTheme="minorHAnsi" w:cstheme="minorBidi"/>
          <w:noProof/>
          <w:lang w:eastAsia="en-US"/>
        </w:rPr>
        <w:t xml:space="preserve"> en el sentido de que no se advierte la existencia de violaciones a la Ley d</w:t>
      </w:r>
      <w:r w:rsidR="00C50BD9">
        <w:rPr>
          <w:rFonts w:eastAsiaTheme="minorHAnsi" w:cstheme="minorBidi"/>
          <w:noProof/>
          <w:lang w:eastAsia="en-US"/>
        </w:rPr>
        <w:t>e</w:t>
      </w:r>
      <w:r w:rsidR="00095D0F" w:rsidRPr="00095D0F">
        <w:rPr>
          <w:rFonts w:eastAsiaTheme="minorHAnsi" w:cstheme="minorBidi"/>
          <w:noProof/>
          <w:lang w:eastAsia="en-US"/>
        </w:rPr>
        <w:t xml:space="preserve"> Protección de Datos Personales en Posesión de Sujetos Obligados del Estado de México y Municipios</w:t>
      </w:r>
      <w:r w:rsidR="00C50BD9">
        <w:rPr>
          <w:rFonts w:eastAsiaTheme="minorHAnsi" w:cstheme="minorBidi"/>
          <w:noProof/>
          <w:lang w:eastAsia="en-US"/>
        </w:rPr>
        <w:t>.</w:t>
      </w:r>
    </w:p>
    <w:p w14:paraId="332FA94C" w14:textId="77777777" w:rsidR="00C50BD9" w:rsidRDefault="00C50BD9" w:rsidP="00F557B8">
      <w:pPr>
        <w:spacing w:after="0" w:line="360" w:lineRule="auto"/>
        <w:contextualSpacing/>
        <w:rPr>
          <w:rFonts w:eastAsiaTheme="minorHAnsi" w:cstheme="minorBidi"/>
          <w:noProof/>
          <w:lang w:eastAsia="en-US"/>
        </w:rPr>
      </w:pPr>
    </w:p>
    <w:p w14:paraId="315C43BD" w14:textId="77777777" w:rsidR="00852B9D" w:rsidRDefault="00C50BD9" w:rsidP="00F557B8">
      <w:pPr>
        <w:spacing w:after="0" w:line="360" w:lineRule="auto"/>
        <w:contextualSpacing/>
        <w:rPr>
          <w:rFonts w:eastAsiaTheme="minorHAnsi" w:cstheme="minorBidi"/>
          <w:noProof/>
          <w:lang w:eastAsia="en-US"/>
        </w:rPr>
      </w:pPr>
      <w:r>
        <w:rPr>
          <w:rFonts w:eastAsiaTheme="minorHAnsi" w:cstheme="minorBidi"/>
          <w:noProof/>
          <w:lang w:eastAsia="en-US"/>
        </w:rPr>
        <w:t xml:space="preserve">En tal sentido, de acuerdo al análisis de los documentos remitidos, este Instituto aprecia que se remitieron las documentales del procedimiento requerido, desde el inicio hasta la determinación </w:t>
      </w:r>
      <w:r w:rsidR="00852B9D">
        <w:rPr>
          <w:rFonts w:eastAsiaTheme="minorHAnsi" w:cstheme="minorBidi"/>
          <w:noProof/>
          <w:lang w:eastAsia="en-US"/>
        </w:rPr>
        <w:t>final</w:t>
      </w:r>
      <w:r w:rsidR="00947E44">
        <w:rPr>
          <w:rFonts w:eastAsiaTheme="minorHAnsi" w:cstheme="minorBidi"/>
          <w:noProof/>
          <w:lang w:eastAsia="en-US"/>
        </w:rPr>
        <w:t xml:space="preserve">, sin que se aprecie la ausencia de documental de acuerdo a la secuencia lógica y en atención a los propios requerimientos que se desprenden de las comunicaciones. </w:t>
      </w:r>
    </w:p>
    <w:p w14:paraId="6F59D021" w14:textId="77777777" w:rsidR="00852B9D" w:rsidRDefault="00852B9D" w:rsidP="00F557B8">
      <w:pPr>
        <w:spacing w:after="0" w:line="360" w:lineRule="auto"/>
        <w:contextualSpacing/>
        <w:rPr>
          <w:rFonts w:eastAsiaTheme="minorHAnsi" w:cstheme="minorBidi"/>
          <w:noProof/>
          <w:lang w:eastAsia="en-US"/>
        </w:rPr>
      </w:pPr>
    </w:p>
    <w:p w14:paraId="467EA6CB" w14:textId="60A78813" w:rsidR="00C50BD9" w:rsidRDefault="00947E44" w:rsidP="00F557B8">
      <w:pPr>
        <w:spacing w:after="0" w:line="360" w:lineRule="auto"/>
        <w:contextualSpacing/>
        <w:rPr>
          <w:rFonts w:eastAsiaTheme="minorHAnsi" w:cstheme="minorBidi"/>
          <w:noProof/>
          <w:lang w:eastAsia="en-US"/>
        </w:rPr>
      </w:pPr>
      <w:r>
        <w:rPr>
          <w:rFonts w:eastAsiaTheme="minorHAnsi" w:cstheme="minorBidi"/>
          <w:noProof/>
          <w:lang w:eastAsia="en-US"/>
        </w:rPr>
        <w:t>En adición el Particular no fue explícito sobre que documentos consideraba que no se habian proporcionado en la respuesta, por lo que se considera que las documentales remitidas en respuesta y posterior ratificación</w:t>
      </w:r>
      <w:r w:rsidR="00852B9D">
        <w:rPr>
          <w:rFonts w:eastAsiaTheme="minorHAnsi" w:cstheme="minorBidi"/>
          <w:noProof/>
          <w:lang w:eastAsia="en-US"/>
        </w:rPr>
        <w:t xml:space="preserve"> vía informe justificado</w:t>
      </w:r>
      <w:r>
        <w:rPr>
          <w:rFonts w:eastAsiaTheme="minorHAnsi" w:cstheme="minorBidi"/>
          <w:noProof/>
          <w:lang w:eastAsia="en-US"/>
        </w:rPr>
        <w:t xml:space="preserve">, satisfacen el requerimiento informativo </w:t>
      </w:r>
      <w:r w:rsidR="00AA3DE2" w:rsidRPr="00AA3DE2">
        <w:rPr>
          <w:rFonts w:eastAsiaTheme="minorHAnsi" w:cstheme="minorBidi"/>
          <w:noProof/>
          <w:lang w:eastAsia="en-US"/>
        </w:rPr>
        <w:t>lo cual da como resulta</w:t>
      </w:r>
      <w:r w:rsidR="00AA3DE2">
        <w:rPr>
          <w:rFonts w:eastAsiaTheme="minorHAnsi" w:cstheme="minorBidi"/>
          <w:noProof/>
          <w:lang w:eastAsia="en-US"/>
        </w:rPr>
        <w:t xml:space="preserve">do que el agravio sea </w:t>
      </w:r>
      <w:r w:rsidR="00AA3DE2" w:rsidRPr="004C1079">
        <w:rPr>
          <w:rFonts w:eastAsiaTheme="minorHAnsi" w:cstheme="minorBidi"/>
          <w:b/>
          <w:noProof/>
          <w:lang w:eastAsia="en-US"/>
        </w:rPr>
        <w:t>INFUNDADO</w:t>
      </w:r>
      <w:r w:rsidR="00AA3DE2">
        <w:rPr>
          <w:rFonts w:eastAsiaTheme="minorHAnsi" w:cstheme="minorBidi"/>
          <w:noProof/>
          <w:lang w:eastAsia="en-US"/>
        </w:rPr>
        <w:t xml:space="preserve"> </w:t>
      </w:r>
      <w:r>
        <w:rPr>
          <w:rFonts w:eastAsiaTheme="minorHAnsi" w:cstheme="minorBidi"/>
          <w:noProof/>
          <w:lang w:eastAsia="en-US"/>
        </w:rPr>
        <w:t>y lo conducente e</w:t>
      </w:r>
      <w:r w:rsidR="00852B9D">
        <w:rPr>
          <w:rFonts w:eastAsiaTheme="minorHAnsi" w:cstheme="minorBidi"/>
          <w:noProof/>
          <w:lang w:eastAsia="en-US"/>
        </w:rPr>
        <w:t>s</w:t>
      </w:r>
      <w:r>
        <w:rPr>
          <w:rFonts w:eastAsiaTheme="minorHAnsi" w:cstheme="minorBidi"/>
          <w:noProof/>
          <w:lang w:eastAsia="en-US"/>
        </w:rPr>
        <w:t xml:space="preserve"> </w:t>
      </w:r>
      <w:r w:rsidRPr="004C1079">
        <w:rPr>
          <w:rFonts w:eastAsiaTheme="minorHAnsi" w:cstheme="minorBidi"/>
          <w:b/>
          <w:noProof/>
          <w:lang w:eastAsia="en-US"/>
        </w:rPr>
        <w:t>CONFIRMAR</w:t>
      </w:r>
      <w:r>
        <w:rPr>
          <w:rFonts w:eastAsiaTheme="minorHAnsi" w:cstheme="minorBidi"/>
          <w:noProof/>
          <w:lang w:eastAsia="en-US"/>
        </w:rPr>
        <w:t xml:space="preserve"> la respuesta proporcionada por el Ayuntamiento de Toluca. </w:t>
      </w:r>
    </w:p>
    <w:p w14:paraId="533CB1A0" w14:textId="77777777" w:rsidR="00254E5F" w:rsidRDefault="00254E5F" w:rsidP="00F557B8">
      <w:pPr>
        <w:spacing w:after="0" w:line="360" w:lineRule="auto"/>
        <w:contextualSpacing/>
        <w:rPr>
          <w:rFonts w:eastAsiaTheme="minorHAnsi" w:cstheme="minorBidi"/>
          <w:noProof/>
          <w:lang w:eastAsia="en-US"/>
        </w:rPr>
      </w:pPr>
    </w:p>
    <w:p w14:paraId="52D5B3C7" w14:textId="77777777" w:rsidR="00CA1BA6" w:rsidRPr="00CA1BA6" w:rsidRDefault="00CA1BA6" w:rsidP="00CA1BA6">
      <w:pPr>
        <w:keepNext/>
        <w:keepLines/>
        <w:spacing w:after="0" w:line="360" w:lineRule="auto"/>
        <w:jc w:val="left"/>
        <w:outlineLvl w:val="1"/>
        <w:rPr>
          <w:b/>
          <w:szCs w:val="36"/>
        </w:rPr>
      </w:pPr>
      <w:bookmarkStart w:id="11" w:name="_Toc221812510"/>
      <w:r w:rsidRPr="00CA1BA6">
        <w:rPr>
          <w:b/>
          <w:szCs w:val="36"/>
        </w:rPr>
        <w:t>SEXTO. Decisión.</w:t>
      </w:r>
      <w:bookmarkEnd w:id="11"/>
    </w:p>
    <w:p w14:paraId="6B5EBB12" w14:textId="77777777" w:rsidR="00CA1BA6" w:rsidRPr="00CA1BA6" w:rsidRDefault="00CA1BA6" w:rsidP="00CA1BA6">
      <w:pPr>
        <w:spacing w:after="0" w:line="360" w:lineRule="auto"/>
        <w:rPr>
          <w:rFonts w:cs="Tahoma"/>
          <w:b/>
        </w:rPr>
      </w:pPr>
    </w:p>
    <w:p w14:paraId="2C3BA351" w14:textId="77777777" w:rsidR="00CA1BA6" w:rsidRPr="00CA1BA6" w:rsidRDefault="00CA1BA6" w:rsidP="00CA1BA6">
      <w:pPr>
        <w:spacing w:after="0" w:line="360" w:lineRule="auto"/>
        <w:rPr>
          <w:color w:val="000000"/>
          <w:lang w:eastAsia="es-ES"/>
        </w:rPr>
      </w:pPr>
      <w:r w:rsidRPr="00CA1BA6">
        <w:rPr>
          <w:color w:val="000000"/>
          <w:lang w:eastAsia="es-ES"/>
        </w:rPr>
        <w:t xml:space="preserve">Con fundamento en el artículo 186, fracción II, de la Ley de Transparencia y Acceso a la Información Pública del Estado de México y Municipios, este Instituto considera procedente </w:t>
      </w:r>
      <w:r w:rsidRPr="00CA1BA6">
        <w:rPr>
          <w:b/>
          <w:color w:val="000000"/>
          <w:lang w:eastAsia="es-ES"/>
        </w:rPr>
        <w:t xml:space="preserve">CONFIRMAR </w:t>
      </w:r>
      <w:r w:rsidRPr="00CA1BA6">
        <w:rPr>
          <w:color w:val="000000"/>
          <w:lang w:eastAsia="es-ES"/>
        </w:rPr>
        <w:t xml:space="preserve">la respuesta otorgada por el Sujeto Obligado. </w:t>
      </w:r>
    </w:p>
    <w:p w14:paraId="06F524FC" w14:textId="77777777" w:rsidR="00CA1BA6" w:rsidRPr="00CA1BA6" w:rsidRDefault="00CA1BA6" w:rsidP="00CA1BA6">
      <w:pPr>
        <w:spacing w:after="0" w:line="360" w:lineRule="auto"/>
        <w:ind w:right="-28"/>
        <w:rPr>
          <w:color w:val="000000"/>
        </w:rPr>
      </w:pPr>
    </w:p>
    <w:p w14:paraId="059880C3" w14:textId="77777777" w:rsidR="00CA1BA6" w:rsidRPr="00CA1BA6" w:rsidRDefault="00CA1BA6" w:rsidP="00CA1BA6">
      <w:pPr>
        <w:spacing w:after="0" w:line="360" w:lineRule="auto"/>
        <w:ind w:right="-28"/>
        <w:rPr>
          <w:b/>
          <w:color w:val="000000"/>
        </w:rPr>
      </w:pPr>
      <w:r w:rsidRPr="00CA1BA6">
        <w:rPr>
          <w:b/>
          <w:color w:val="000000"/>
        </w:rPr>
        <w:t>Términos de la Resolución para conocimiento del Particular</w:t>
      </w:r>
    </w:p>
    <w:p w14:paraId="46906892" w14:textId="77777777" w:rsidR="00CA1BA6" w:rsidRPr="00CA1BA6" w:rsidRDefault="00CA1BA6" w:rsidP="00CA1BA6">
      <w:pPr>
        <w:spacing w:after="0" w:line="360" w:lineRule="auto"/>
        <w:ind w:right="-28"/>
        <w:rPr>
          <w:b/>
          <w:color w:val="000000"/>
        </w:rPr>
      </w:pPr>
    </w:p>
    <w:p w14:paraId="18262304" w14:textId="610EE519" w:rsidR="00C22D68" w:rsidRDefault="00CA1BA6" w:rsidP="00CA1BA6">
      <w:pPr>
        <w:widowControl w:val="0"/>
        <w:spacing w:after="0" w:line="360" w:lineRule="auto"/>
        <w:rPr>
          <w:color w:val="auto"/>
          <w:lang w:eastAsia="es-ES"/>
        </w:rPr>
      </w:pPr>
      <w:r w:rsidRPr="00CA1BA6">
        <w:rPr>
          <w:color w:val="000000"/>
          <w:lang w:eastAsia="es-ES"/>
        </w:rPr>
        <w:t xml:space="preserve">Se le hace del conocimiento al Particular, que, en el presente caso, no se le da la razón, pues el Sujeto Obligado, en respuesta, </w:t>
      </w:r>
      <w:r w:rsidR="00EE10D3">
        <w:rPr>
          <w:color w:val="000000"/>
          <w:lang w:eastAsia="es-ES"/>
        </w:rPr>
        <w:t xml:space="preserve">por medio del área competente, </w:t>
      </w:r>
      <w:r w:rsidR="00AA3DE2">
        <w:rPr>
          <w:color w:val="auto"/>
          <w:lang w:eastAsia="es-ES"/>
        </w:rPr>
        <w:t>remitió la información solicitada.</w:t>
      </w:r>
    </w:p>
    <w:p w14:paraId="25547945" w14:textId="77777777" w:rsidR="00C22D68" w:rsidRDefault="00C22D68" w:rsidP="00CA1BA6">
      <w:pPr>
        <w:widowControl w:val="0"/>
        <w:spacing w:after="0" w:line="360" w:lineRule="auto"/>
        <w:rPr>
          <w:color w:val="auto"/>
          <w:lang w:eastAsia="es-ES"/>
        </w:rPr>
      </w:pPr>
    </w:p>
    <w:p w14:paraId="2D087791" w14:textId="0A1A12EB" w:rsidR="00CA1BA6" w:rsidRPr="00CA1BA6" w:rsidRDefault="00CA1BA6" w:rsidP="00CA1BA6">
      <w:pPr>
        <w:widowControl w:val="0"/>
        <w:spacing w:after="0" w:line="360" w:lineRule="auto"/>
        <w:rPr>
          <w:rFonts w:eastAsia="Calibri" w:cs="Tahoma"/>
          <w:bCs/>
          <w:iCs/>
          <w:color w:val="auto"/>
          <w:lang w:val="es-ES_tradnl"/>
        </w:rPr>
      </w:pPr>
      <w:r w:rsidRPr="00CA1BA6">
        <w:rPr>
          <w:rFonts w:eastAsia="Calibri" w:cs="Tahoma"/>
          <w:bCs/>
          <w:iCs/>
          <w:color w:val="auto"/>
          <w:lang w:val="es-ES_tradnl"/>
        </w:rPr>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38DFB6F0" w14:textId="77777777" w:rsidR="00CA1BA6" w:rsidRPr="00CA1BA6" w:rsidRDefault="00CA1BA6" w:rsidP="00CA1BA6">
      <w:pPr>
        <w:spacing w:after="0" w:line="360" w:lineRule="auto"/>
        <w:ind w:right="-28"/>
        <w:rPr>
          <w:rFonts w:eastAsia="Calibri" w:cs="Tahoma"/>
        </w:rPr>
      </w:pPr>
    </w:p>
    <w:p w14:paraId="7979F70A" w14:textId="77777777" w:rsidR="00CA1BA6" w:rsidRPr="00CA1BA6" w:rsidRDefault="00CA1BA6" w:rsidP="00CA1BA6">
      <w:pPr>
        <w:spacing w:after="0" w:line="360" w:lineRule="auto"/>
        <w:rPr>
          <w:color w:val="000000"/>
        </w:rPr>
      </w:pPr>
      <w:r w:rsidRPr="00CA1BA6">
        <w:t>Por</w:t>
      </w:r>
      <w:r w:rsidRPr="00CA1BA6">
        <w:rPr>
          <w:color w:val="000000"/>
        </w:rPr>
        <w:t xml:space="preserve"> lo expuesto y fundado, este Pleno:</w:t>
      </w:r>
    </w:p>
    <w:p w14:paraId="57074360" w14:textId="77777777" w:rsidR="00CA1BA6" w:rsidRPr="00CA1BA6" w:rsidRDefault="00CA1BA6" w:rsidP="00CA1BA6">
      <w:pPr>
        <w:spacing w:after="0" w:line="360" w:lineRule="auto"/>
        <w:rPr>
          <w:color w:val="000000"/>
        </w:rPr>
      </w:pPr>
    </w:p>
    <w:p w14:paraId="4CB0A6BF" w14:textId="77777777" w:rsidR="00CA1BA6" w:rsidRPr="00CA1BA6" w:rsidRDefault="00CA1BA6" w:rsidP="00CA1BA6">
      <w:pPr>
        <w:keepNext/>
        <w:keepLines/>
        <w:spacing w:after="0" w:line="360" w:lineRule="auto"/>
        <w:jc w:val="center"/>
        <w:outlineLvl w:val="0"/>
        <w:rPr>
          <w:b/>
          <w:sz w:val="24"/>
          <w:szCs w:val="48"/>
        </w:rPr>
      </w:pPr>
      <w:bookmarkStart w:id="12" w:name="_Toc179975608"/>
      <w:bookmarkStart w:id="13" w:name="_Toc221812511"/>
      <w:r w:rsidRPr="00CA1BA6">
        <w:rPr>
          <w:b/>
          <w:sz w:val="24"/>
          <w:szCs w:val="48"/>
        </w:rPr>
        <w:t>R E S U E L V E</w:t>
      </w:r>
      <w:bookmarkEnd w:id="12"/>
      <w:bookmarkEnd w:id="13"/>
    </w:p>
    <w:p w14:paraId="2FF9C44E" w14:textId="77777777" w:rsidR="00CA1BA6" w:rsidRPr="00CA1BA6" w:rsidRDefault="00CA1BA6" w:rsidP="00CA1BA6">
      <w:pPr>
        <w:spacing w:after="0" w:line="360" w:lineRule="auto"/>
        <w:rPr>
          <w:b/>
          <w:color w:val="000000"/>
        </w:rPr>
      </w:pPr>
    </w:p>
    <w:p w14:paraId="1BECB2CA" w14:textId="570EBDCE" w:rsidR="00CA1BA6" w:rsidRPr="00CA1BA6" w:rsidRDefault="00CA1BA6" w:rsidP="00CA1BA6">
      <w:pPr>
        <w:spacing w:after="0" w:line="360" w:lineRule="auto"/>
        <w:rPr>
          <w:color w:val="000000"/>
          <w:lang w:eastAsia="es-ES"/>
        </w:rPr>
      </w:pPr>
      <w:r w:rsidRPr="00CA1BA6">
        <w:rPr>
          <w:b/>
          <w:color w:val="000000"/>
          <w:lang w:eastAsia="es-ES"/>
        </w:rPr>
        <w:t>PRIMERO.</w:t>
      </w:r>
      <w:r w:rsidRPr="00CA1BA6">
        <w:rPr>
          <w:color w:val="000000"/>
          <w:lang w:eastAsia="es-ES"/>
        </w:rPr>
        <w:t xml:space="preserve"> Se </w:t>
      </w:r>
      <w:r w:rsidRPr="00CA1BA6">
        <w:rPr>
          <w:b/>
          <w:color w:val="000000"/>
          <w:lang w:eastAsia="es-ES"/>
        </w:rPr>
        <w:t xml:space="preserve">CONFIRMA </w:t>
      </w:r>
      <w:r w:rsidR="00C22D68">
        <w:rPr>
          <w:color w:val="000000"/>
          <w:lang w:eastAsia="es-ES"/>
        </w:rPr>
        <w:t xml:space="preserve">la respuesta entregada por el Ayuntamiento de </w:t>
      </w:r>
      <w:r w:rsidR="00AA3DE2">
        <w:rPr>
          <w:color w:val="000000"/>
          <w:lang w:eastAsia="es-ES"/>
        </w:rPr>
        <w:t>Toluca</w:t>
      </w:r>
      <w:r w:rsidR="00C22D68">
        <w:rPr>
          <w:color w:val="000000"/>
          <w:lang w:eastAsia="es-ES"/>
        </w:rPr>
        <w:t xml:space="preserve"> </w:t>
      </w:r>
      <w:r w:rsidRPr="00CA1BA6">
        <w:rPr>
          <w:color w:val="000000"/>
          <w:lang w:eastAsia="es-ES"/>
        </w:rPr>
        <w:t>a la solicitud de acceso a la información</w:t>
      </w:r>
      <w:r w:rsidR="00AA3DE2">
        <w:rPr>
          <w:color w:val="000000"/>
          <w:lang w:eastAsia="es-ES"/>
        </w:rPr>
        <w:t xml:space="preserve"> </w:t>
      </w:r>
      <w:r w:rsidR="00AA3DE2" w:rsidRPr="00AA3DE2">
        <w:rPr>
          <w:b/>
          <w:color w:val="000000"/>
          <w:lang w:eastAsia="es-ES"/>
        </w:rPr>
        <w:t>03639/TOLUCA/IP/2025</w:t>
      </w:r>
      <w:r w:rsidR="00AA3DE2">
        <w:rPr>
          <w:b/>
          <w:color w:val="000000"/>
          <w:lang w:eastAsia="es-ES"/>
        </w:rPr>
        <w:t xml:space="preserve">, </w:t>
      </w:r>
      <w:r w:rsidRPr="00CA1BA6">
        <w:rPr>
          <w:color w:val="000000"/>
          <w:lang w:eastAsia="es-ES"/>
        </w:rPr>
        <w:t xml:space="preserve">por resultar </w:t>
      </w:r>
      <w:r w:rsidRPr="00CA1BA6">
        <w:rPr>
          <w:b/>
          <w:color w:val="000000"/>
          <w:lang w:eastAsia="es-ES"/>
        </w:rPr>
        <w:t>INFUNDADAS</w:t>
      </w:r>
      <w:r w:rsidRPr="00CA1BA6">
        <w:rPr>
          <w:color w:val="000000"/>
          <w:lang w:eastAsia="es-ES"/>
        </w:rPr>
        <w:t xml:space="preserve"> las razones o motivos de inconformidad hechas valer por el Recurrente, en términos de los Considerandos QUINTO y SEXTO de esta Resolución.</w:t>
      </w:r>
    </w:p>
    <w:p w14:paraId="6293A9AD" w14:textId="77777777" w:rsidR="00CA1BA6" w:rsidRPr="00CA1BA6" w:rsidRDefault="00CA1BA6" w:rsidP="00CA1BA6">
      <w:pPr>
        <w:spacing w:line="360" w:lineRule="auto"/>
        <w:contextualSpacing/>
        <w:rPr>
          <w:rFonts w:eastAsia="Times New Roman" w:cs="Tahoma"/>
          <w:bCs/>
          <w:color w:val="auto"/>
          <w:lang w:eastAsia="es-ES"/>
        </w:rPr>
      </w:pPr>
    </w:p>
    <w:p w14:paraId="55E137D3" w14:textId="7051BE50" w:rsidR="00CA1BA6" w:rsidRPr="00CA1BA6" w:rsidRDefault="00610AE5" w:rsidP="00CA1BA6">
      <w:pPr>
        <w:spacing w:line="360" w:lineRule="auto"/>
        <w:contextualSpacing/>
        <w:rPr>
          <w:rFonts w:eastAsia="Calibri" w:cs="Tahoma"/>
          <w:bCs/>
          <w:i/>
          <w:iCs/>
          <w:color w:val="auto"/>
          <w:lang w:eastAsia="en-US"/>
        </w:rPr>
      </w:pPr>
      <w:r>
        <w:rPr>
          <w:rFonts w:eastAsia="Calibri" w:cs="Tahoma"/>
          <w:b/>
          <w:bCs/>
          <w:iCs/>
          <w:color w:val="auto"/>
        </w:rPr>
        <w:t>SEGUNDO. NOTIFÍQUESE VÍA</w:t>
      </w:r>
      <w:r w:rsidR="00CA1BA6" w:rsidRPr="00CA1BA6">
        <w:rPr>
          <w:rFonts w:eastAsia="Calibri" w:cs="Tahoma"/>
          <w:b/>
          <w:bCs/>
          <w:iCs/>
          <w:color w:val="auto"/>
        </w:rPr>
        <w:t xml:space="preserve"> SAIMEX </w:t>
      </w:r>
      <w:r w:rsidR="00CA1BA6" w:rsidRPr="00CA1BA6">
        <w:rPr>
          <w:rFonts w:eastAsia="Calibri" w:cs="Tahoma"/>
          <w:bCs/>
          <w:iCs/>
          <w:color w:val="auto"/>
        </w:rPr>
        <w:t>la presente resolución al Titular de la Unidad de Transparencia del Sujeto Obligado.</w:t>
      </w:r>
    </w:p>
    <w:p w14:paraId="3C277BA9" w14:textId="77777777" w:rsidR="00CA1BA6" w:rsidRPr="00CA1BA6" w:rsidRDefault="00CA1BA6" w:rsidP="00CA1BA6">
      <w:pPr>
        <w:spacing w:line="360" w:lineRule="auto"/>
        <w:contextualSpacing/>
        <w:rPr>
          <w:rFonts w:eastAsia="Times New Roman" w:cs="Tahoma"/>
          <w:bCs/>
          <w:color w:val="auto"/>
          <w:lang w:eastAsia="es-ES"/>
        </w:rPr>
      </w:pPr>
    </w:p>
    <w:p w14:paraId="51BFCC59" w14:textId="77777777" w:rsidR="00CA1BA6" w:rsidRPr="00CA1BA6" w:rsidRDefault="00CA1BA6" w:rsidP="00CA1BA6">
      <w:pPr>
        <w:spacing w:line="360" w:lineRule="auto"/>
        <w:contextualSpacing/>
        <w:rPr>
          <w:rFonts w:eastAsia="Times New Roman" w:cs="Tahoma"/>
          <w:b/>
          <w:color w:val="auto"/>
          <w:lang w:eastAsia="es-ES"/>
        </w:rPr>
      </w:pPr>
      <w:r w:rsidRPr="00CA1BA6">
        <w:rPr>
          <w:rFonts w:eastAsia="Times New Roman" w:cs="Tahoma"/>
          <w:b/>
          <w:color w:val="auto"/>
          <w:lang w:eastAsia="es-ES"/>
        </w:rPr>
        <w:t>TERCERO. NOTIFÍQUESE</w:t>
      </w:r>
      <w:r w:rsidRPr="00CA1BA6">
        <w:rPr>
          <w:rFonts w:eastAsia="Times New Roman" w:cs="Tahoma"/>
          <w:bCs/>
          <w:color w:val="auto"/>
          <w:lang w:eastAsia="es-ES"/>
        </w:rPr>
        <w:t xml:space="preserve"> </w:t>
      </w:r>
      <w:r w:rsidRPr="00CA1BA6">
        <w:rPr>
          <w:rFonts w:eastAsia="Times New Roman" w:cs="Tahoma"/>
          <w:b/>
          <w:color w:val="auto"/>
          <w:lang w:eastAsia="es-ES"/>
        </w:rPr>
        <w:t>VÍA SAIMEX</w:t>
      </w:r>
      <w:r w:rsidRPr="00CA1BA6">
        <w:rPr>
          <w:rFonts w:eastAsia="Times New Roman" w:cs="Tahoma"/>
          <w:bCs/>
          <w:color w:val="auto"/>
          <w:lang w:eastAsia="es-ES"/>
        </w:rPr>
        <w:t xml:space="preserve"> al Recurrente la presente Resolución, asimismo, se hace de su conocimiento que de conformidad con lo establecido en el artículo 196 de la </w:t>
      </w:r>
      <w:r w:rsidRPr="00CA1BA6">
        <w:rPr>
          <w:rFonts w:eastAsia="Times New Roman" w:cs="Tahoma"/>
          <w:bCs/>
          <w:color w:val="auto"/>
          <w:lang w:eastAsia="es-ES"/>
        </w:rPr>
        <w:lastRenderedPageBreak/>
        <w:t>Ley de Transparencia y Acceso a la Información Pública del Estado de México y Municipios podrá promover el Juicio de Amparo en los términos de las leyes aplicables.</w:t>
      </w:r>
    </w:p>
    <w:p w14:paraId="460F56E3" w14:textId="77777777" w:rsidR="00CA1BA6" w:rsidRPr="00CA1BA6" w:rsidRDefault="00CA1BA6" w:rsidP="00CA1BA6">
      <w:pPr>
        <w:spacing w:after="0" w:line="360" w:lineRule="auto"/>
        <w:rPr>
          <w:color w:val="000000"/>
        </w:rPr>
      </w:pPr>
    </w:p>
    <w:p w14:paraId="6D3CFDC8" w14:textId="3BCC2557" w:rsidR="00CA1BA6" w:rsidRPr="00CA1BA6" w:rsidRDefault="00EE10D3" w:rsidP="00EE10D3">
      <w:pPr>
        <w:spacing w:after="0" w:line="360" w:lineRule="auto"/>
      </w:pPr>
      <w:r w:rsidRPr="00EE10D3">
        <w:t xml:space="preserve">ASÍ LO RESUELVE, POR </w:t>
      </w:r>
      <w:r w:rsidRPr="00A304C3">
        <w:rPr>
          <w:b/>
        </w:rPr>
        <w:t>UNANIMIDAD</w:t>
      </w:r>
      <w:r w:rsidRPr="00EE10D3">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1109D">
        <w:t>QUINTA</w:t>
      </w:r>
      <w:r w:rsidRPr="00EE10D3">
        <w:t xml:space="preserve"> SESIÓN ORDINARIA, CELEBRADA EL </w:t>
      </w:r>
      <w:r w:rsidR="00610AE5">
        <w:t>ONCE DE FEBRERO DE DOS MIL VEI</w:t>
      </w:r>
      <w:r w:rsidR="00A304C3">
        <w:t>N</w:t>
      </w:r>
      <w:r w:rsidR="00610AE5">
        <w:t>TISÉIS</w:t>
      </w:r>
      <w:r w:rsidRPr="00EE10D3">
        <w:t>, ANTE EL SECRETARIO TÉCNICO DEL PLENO, ALEXIS TAPIA RAMÍREZ.</w:t>
      </w:r>
      <w:r w:rsidR="00CA1BA6" w:rsidRPr="00CA1BA6">
        <w:br w:type="page"/>
      </w:r>
    </w:p>
    <w:p w14:paraId="446E7524" w14:textId="77777777" w:rsidR="00DB3DC5" w:rsidRPr="00E44661" w:rsidRDefault="00DB3DC5" w:rsidP="00C64DEA">
      <w:pPr>
        <w:spacing w:after="0" w:line="360" w:lineRule="auto"/>
        <w:contextualSpacing/>
        <w:jc w:val="center"/>
        <w:rPr>
          <w:rFonts w:eastAsia="Times New Roman" w:cs="Tahoma"/>
          <w:b/>
          <w:color w:val="auto"/>
          <w:lang w:val="es-ES" w:eastAsia="es-ES"/>
        </w:rPr>
      </w:pPr>
    </w:p>
    <w:p w14:paraId="5C4F2EAE" w14:textId="77777777" w:rsidR="00CA1BA6" w:rsidRDefault="00CA1BA6" w:rsidP="00C64DEA">
      <w:pPr>
        <w:autoSpaceDE w:val="0"/>
        <w:autoSpaceDN w:val="0"/>
        <w:adjustRightInd w:val="0"/>
        <w:spacing w:after="0" w:line="360" w:lineRule="auto"/>
        <w:contextualSpacing/>
        <w:rPr>
          <w:rFonts w:eastAsia="Calibri" w:cs="Tahoma"/>
          <w:b/>
          <w:color w:val="000000"/>
          <w:szCs w:val="24"/>
          <w:highlight w:val="yellow"/>
          <w:lang w:val="es-ES"/>
        </w:rPr>
      </w:pPr>
    </w:p>
    <w:p w14:paraId="64BEA18D" w14:textId="77777777" w:rsidR="00CA1BA6" w:rsidRDefault="00CA1BA6" w:rsidP="00C64DEA">
      <w:pPr>
        <w:autoSpaceDE w:val="0"/>
        <w:autoSpaceDN w:val="0"/>
        <w:adjustRightInd w:val="0"/>
        <w:spacing w:after="0" w:line="360" w:lineRule="auto"/>
        <w:contextualSpacing/>
        <w:rPr>
          <w:rFonts w:eastAsia="Calibri" w:cs="Tahoma"/>
          <w:b/>
          <w:color w:val="000000"/>
          <w:szCs w:val="24"/>
          <w:highlight w:val="yellow"/>
          <w:lang w:val="es-ES"/>
        </w:rPr>
      </w:pPr>
    </w:p>
    <w:sectPr w:rsidR="00CA1BA6" w:rsidSect="00C417AF">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D183" w14:textId="77777777" w:rsidR="00171CFE" w:rsidRDefault="00171CFE" w:rsidP="00DB3DC5">
      <w:pPr>
        <w:spacing w:after="0" w:line="240" w:lineRule="auto"/>
      </w:pPr>
      <w:r>
        <w:separator/>
      </w:r>
    </w:p>
  </w:endnote>
  <w:endnote w:type="continuationSeparator" w:id="0">
    <w:p w14:paraId="37016875" w14:textId="77777777" w:rsidR="00171CFE" w:rsidRDefault="00171CFE"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271EF021" w14:textId="77777777" w:rsidR="00C50BD9" w:rsidRDefault="00C50B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61B8">
              <w:rPr>
                <w:b/>
                <w:bCs/>
                <w:noProof/>
              </w:rPr>
              <w:t>18</w:t>
            </w:r>
            <w:r>
              <w:rPr>
                <w:b/>
                <w:bCs/>
                <w:sz w:val="24"/>
                <w:szCs w:val="24"/>
              </w:rPr>
              <w:fldChar w:fldCharType="end"/>
            </w:r>
          </w:p>
        </w:sdtContent>
      </w:sdt>
    </w:sdtContent>
  </w:sdt>
  <w:p w14:paraId="68EED6E3" w14:textId="77777777" w:rsidR="00C50BD9" w:rsidRDefault="00C50B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54AF1A6A" w14:textId="77777777" w:rsidR="00C50BD9" w:rsidRDefault="00C50B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61B8">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61B8">
              <w:rPr>
                <w:b/>
                <w:bCs/>
                <w:noProof/>
              </w:rPr>
              <w:t>18</w:t>
            </w:r>
            <w:r>
              <w:rPr>
                <w:b/>
                <w:bCs/>
                <w:sz w:val="24"/>
                <w:szCs w:val="24"/>
              </w:rPr>
              <w:fldChar w:fldCharType="end"/>
            </w:r>
          </w:p>
        </w:sdtContent>
      </w:sdt>
    </w:sdtContent>
  </w:sdt>
  <w:p w14:paraId="5C9540ED" w14:textId="77777777" w:rsidR="00C50BD9" w:rsidRDefault="00C50BD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4208A12E" w14:textId="77777777" w:rsidR="00C50BD9" w:rsidRDefault="00C50BD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61B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61B8">
              <w:rPr>
                <w:b/>
                <w:bCs/>
                <w:noProof/>
              </w:rPr>
              <w:t>18</w:t>
            </w:r>
            <w:r>
              <w:rPr>
                <w:b/>
                <w:bCs/>
                <w:sz w:val="24"/>
                <w:szCs w:val="24"/>
              </w:rPr>
              <w:fldChar w:fldCharType="end"/>
            </w:r>
          </w:p>
        </w:sdtContent>
      </w:sdt>
    </w:sdtContent>
  </w:sdt>
  <w:p w14:paraId="601C40B8" w14:textId="77777777" w:rsidR="00C50BD9" w:rsidRDefault="00C50B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8FE4" w14:textId="77777777" w:rsidR="00171CFE" w:rsidRDefault="00171CFE" w:rsidP="00DB3DC5">
      <w:pPr>
        <w:spacing w:after="0" w:line="240" w:lineRule="auto"/>
      </w:pPr>
      <w:r>
        <w:separator/>
      </w:r>
    </w:p>
  </w:footnote>
  <w:footnote w:type="continuationSeparator" w:id="0">
    <w:p w14:paraId="1521311F" w14:textId="77777777" w:rsidR="00171CFE" w:rsidRDefault="00171CFE" w:rsidP="00DB3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C50BD9" w:rsidRPr="00E152D8" w14:paraId="04B090CA" w14:textId="77777777" w:rsidTr="00347876">
      <w:trPr>
        <w:trHeight w:val="132"/>
      </w:trPr>
      <w:tc>
        <w:tcPr>
          <w:tcW w:w="2691" w:type="dxa"/>
        </w:tcPr>
        <w:p w14:paraId="476D4D83" w14:textId="77777777" w:rsidR="00C50BD9" w:rsidRPr="00E152D8" w:rsidRDefault="00C50BD9"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C50BD9" w:rsidRPr="00EE1572" w:rsidRDefault="00C50BD9" w:rsidP="00347876">
          <w:pPr>
            <w:tabs>
              <w:tab w:val="right" w:pos="8838"/>
            </w:tabs>
            <w:ind w:left="-28" w:right="-32"/>
            <w:rPr>
              <w:rFonts w:eastAsia="Calibri" w:cs="Tahoma"/>
            </w:rPr>
          </w:pPr>
          <w:r w:rsidRPr="00EE1572">
            <w:rPr>
              <w:rFonts w:eastAsia="Calibri" w:cs="Tahoma"/>
            </w:rPr>
            <w:t>03846/INFOEM/IP/RR/2020</w:t>
          </w:r>
        </w:p>
      </w:tc>
    </w:tr>
    <w:tr w:rsidR="00C50BD9" w:rsidRPr="00E152D8" w14:paraId="1A944E3B" w14:textId="77777777" w:rsidTr="00347876">
      <w:trPr>
        <w:trHeight w:val="261"/>
      </w:trPr>
      <w:tc>
        <w:tcPr>
          <w:tcW w:w="2691" w:type="dxa"/>
        </w:tcPr>
        <w:p w14:paraId="04AF3D79" w14:textId="77777777" w:rsidR="00C50BD9" w:rsidRPr="00E152D8" w:rsidRDefault="00C50BD9"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C50BD9" w:rsidRPr="00EE1572" w:rsidRDefault="00C50BD9" w:rsidP="00347876">
          <w:pPr>
            <w:tabs>
              <w:tab w:val="right" w:pos="8838"/>
            </w:tabs>
            <w:ind w:right="-32"/>
            <w:rPr>
              <w:rFonts w:eastAsia="Calibri" w:cs="Tahoma"/>
              <w:lang w:val="es-MX"/>
            </w:rPr>
          </w:pPr>
          <w:r w:rsidRPr="00EE1572">
            <w:rPr>
              <w:rFonts w:eastAsia="Calibri" w:cs="Tahoma"/>
              <w:lang w:val="es-MX"/>
            </w:rPr>
            <w:t>Ayuntamiento de Temascalcingo</w:t>
          </w:r>
        </w:p>
      </w:tc>
    </w:tr>
    <w:tr w:rsidR="00C50BD9" w:rsidRPr="00E152D8" w14:paraId="51F43EE6" w14:textId="77777777" w:rsidTr="00347876">
      <w:trPr>
        <w:trHeight w:val="261"/>
      </w:trPr>
      <w:tc>
        <w:tcPr>
          <w:tcW w:w="2691" w:type="dxa"/>
        </w:tcPr>
        <w:p w14:paraId="4689E914" w14:textId="77777777" w:rsidR="00C50BD9" w:rsidRPr="00E152D8" w:rsidRDefault="00C50BD9"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C50BD9" w:rsidRPr="00E152D8" w:rsidRDefault="00C50BD9"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C50BD9" w:rsidRDefault="00000000">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BDF3" w14:textId="77777777" w:rsidR="00C50BD9" w:rsidRDefault="00C50BD9"/>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1"/>
    </w:tblGrid>
    <w:tr w:rsidR="00C50BD9" w:rsidRPr="00E152D8" w14:paraId="6AD70801" w14:textId="77777777" w:rsidTr="00EF0DFF">
      <w:trPr>
        <w:trHeight w:val="138"/>
      </w:trPr>
      <w:tc>
        <w:tcPr>
          <w:tcW w:w="2551" w:type="dxa"/>
          <w:vAlign w:val="center"/>
        </w:tcPr>
        <w:p w14:paraId="4714C583" w14:textId="77777777" w:rsidR="00C50BD9" w:rsidRPr="00E152D8" w:rsidRDefault="00C50BD9"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3261" w:type="dxa"/>
        </w:tcPr>
        <w:p w14:paraId="02EA1FEA" w14:textId="33501D91" w:rsidR="00C50BD9" w:rsidRPr="00051642" w:rsidRDefault="00C50BD9" w:rsidP="00347876">
          <w:pPr>
            <w:tabs>
              <w:tab w:val="right" w:pos="8838"/>
            </w:tabs>
            <w:ind w:left="-113" w:right="57"/>
            <w:rPr>
              <w:rFonts w:eastAsia="Calibri" w:cs="Tahoma"/>
            </w:rPr>
          </w:pPr>
          <w:r>
            <w:rPr>
              <w:rFonts w:eastAsia="Calibri" w:cs="Tahoma"/>
              <w:lang w:val="es-MX"/>
            </w:rPr>
            <w:t>09646</w:t>
          </w:r>
          <w:r w:rsidRPr="00275628">
            <w:rPr>
              <w:rFonts w:eastAsia="Calibri" w:cs="Tahoma"/>
              <w:lang w:val="es-MX"/>
            </w:rPr>
            <w:t>/INFOEM/IP/RR/2025</w:t>
          </w:r>
        </w:p>
      </w:tc>
    </w:tr>
    <w:tr w:rsidR="00C50BD9" w:rsidRPr="00E152D8" w14:paraId="7FF5EABC" w14:textId="77777777" w:rsidTr="00EF0DFF">
      <w:trPr>
        <w:trHeight w:val="273"/>
      </w:trPr>
      <w:tc>
        <w:tcPr>
          <w:tcW w:w="2551" w:type="dxa"/>
        </w:tcPr>
        <w:p w14:paraId="565B10D1" w14:textId="77777777" w:rsidR="00C50BD9" w:rsidRPr="00E152D8" w:rsidRDefault="00C50BD9"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1" w:type="dxa"/>
        </w:tcPr>
        <w:p w14:paraId="7EA0F578" w14:textId="10AC3469" w:rsidR="00C50BD9" w:rsidRPr="00051642" w:rsidRDefault="00C50BD9" w:rsidP="00230F5E">
          <w:pPr>
            <w:tabs>
              <w:tab w:val="right" w:pos="8838"/>
            </w:tabs>
            <w:ind w:left="-113" w:right="-102"/>
            <w:rPr>
              <w:rFonts w:eastAsia="Calibri" w:cs="Tahoma"/>
              <w:lang w:val="es-MX"/>
            </w:rPr>
          </w:pPr>
          <w:r>
            <w:rPr>
              <w:color w:val="000000"/>
            </w:rPr>
            <w:t>Ayuntamiento de Toluca</w:t>
          </w:r>
        </w:p>
      </w:tc>
    </w:tr>
    <w:tr w:rsidR="00C50BD9" w:rsidRPr="00E152D8" w14:paraId="3156BE5F" w14:textId="77777777" w:rsidTr="00EF0DFF">
      <w:trPr>
        <w:trHeight w:val="273"/>
      </w:trPr>
      <w:tc>
        <w:tcPr>
          <w:tcW w:w="2551" w:type="dxa"/>
        </w:tcPr>
        <w:p w14:paraId="183B2F1A" w14:textId="77777777" w:rsidR="00C50BD9" w:rsidRPr="00E152D8" w:rsidRDefault="00C50BD9" w:rsidP="00347876">
          <w:pPr>
            <w:tabs>
              <w:tab w:val="right" w:pos="8838"/>
            </w:tabs>
            <w:ind w:right="-105"/>
            <w:rPr>
              <w:rFonts w:eastAsia="Calibri" w:cs="Tahoma"/>
              <w:b/>
              <w:lang w:val="es-MX"/>
            </w:rPr>
          </w:pPr>
          <w:r w:rsidRPr="00E152D8">
            <w:rPr>
              <w:rFonts w:eastAsia="Calibri" w:cs="Tahoma"/>
              <w:b/>
              <w:lang w:val="es-MX"/>
            </w:rPr>
            <w:t>Comisionado Ponente:</w:t>
          </w:r>
        </w:p>
      </w:tc>
      <w:tc>
        <w:tcPr>
          <w:tcW w:w="3261" w:type="dxa"/>
        </w:tcPr>
        <w:p w14:paraId="318AB537" w14:textId="77777777" w:rsidR="00C50BD9" w:rsidRPr="00E152D8" w:rsidRDefault="00C50BD9" w:rsidP="00347876">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C50BD9" w:rsidRDefault="00000000"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C50BD9" w:rsidRPr="00E152D8" w14:paraId="773597DE" w14:textId="77777777" w:rsidTr="00A863A4">
      <w:trPr>
        <w:trHeight w:val="132"/>
      </w:trPr>
      <w:tc>
        <w:tcPr>
          <w:tcW w:w="2551" w:type="dxa"/>
        </w:tcPr>
        <w:p w14:paraId="4FCB3AA3" w14:textId="77777777" w:rsidR="00C50BD9" w:rsidRPr="00E152D8" w:rsidRDefault="00C50BD9" w:rsidP="00347876">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2955DA0" w14:textId="1DB935AB" w:rsidR="00C50BD9" w:rsidRPr="00051642" w:rsidRDefault="00C50BD9" w:rsidP="00364F36">
          <w:pPr>
            <w:tabs>
              <w:tab w:val="right" w:pos="8838"/>
            </w:tabs>
            <w:ind w:left="-111" w:right="-32"/>
            <w:rPr>
              <w:rFonts w:eastAsia="Calibri" w:cs="Tahoma"/>
            </w:rPr>
          </w:pPr>
          <w:r>
            <w:rPr>
              <w:rFonts w:eastAsia="Calibri" w:cs="Tahoma"/>
              <w:lang w:val="es-MX"/>
            </w:rPr>
            <w:t xml:space="preserve">09646/INFOEM/IP/RR/2025 </w:t>
          </w:r>
        </w:p>
      </w:tc>
    </w:tr>
    <w:tr w:rsidR="00C50BD9" w:rsidRPr="00E152D8" w14:paraId="202FB661" w14:textId="77777777" w:rsidTr="00A863A4">
      <w:trPr>
        <w:trHeight w:val="132"/>
      </w:trPr>
      <w:tc>
        <w:tcPr>
          <w:tcW w:w="2551" w:type="dxa"/>
        </w:tcPr>
        <w:p w14:paraId="5E100A32" w14:textId="77777777" w:rsidR="00C50BD9" w:rsidRPr="00E152D8" w:rsidRDefault="00C50BD9"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28640565" w14:textId="687D7E3C" w:rsidR="00C50BD9" w:rsidRPr="00E21446" w:rsidRDefault="00C50BD9" w:rsidP="00DB3DC5">
          <w:pPr>
            <w:tabs>
              <w:tab w:val="right" w:pos="8838"/>
            </w:tabs>
            <w:ind w:left="-113"/>
            <w:rPr>
              <w:rFonts w:eastAsia="Calibri" w:cs="Tahoma"/>
              <w:lang w:val="es-MX"/>
            </w:rPr>
          </w:pPr>
        </w:p>
      </w:tc>
    </w:tr>
    <w:tr w:rsidR="00C50BD9" w:rsidRPr="00E152D8" w14:paraId="1BA9B09B" w14:textId="77777777" w:rsidTr="00A863A4">
      <w:trPr>
        <w:trHeight w:val="261"/>
      </w:trPr>
      <w:tc>
        <w:tcPr>
          <w:tcW w:w="2551" w:type="dxa"/>
        </w:tcPr>
        <w:p w14:paraId="6174740A" w14:textId="77777777" w:rsidR="00C50BD9" w:rsidRPr="00E152D8" w:rsidRDefault="00C50BD9"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4B948471" w14:textId="28C97812" w:rsidR="00C50BD9" w:rsidRPr="007D7E05" w:rsidRDefault="00C50BD9" w:rsidP="00347876">
          <w:pPr>
            <w:tabs>
              <w:tab w:val="right" w:pos="8838"/>
            </w:tabs>
            <w:ind w:left="-111" w:right="-32"/>
            <w:rPr>
              <w:rFonts w:eastAsia="Calibri" w:cs="Tahoma"/>
              <w:lang w:val="es-MX"/>
            </w:rPr>
          </w:pPr>
          <w:r>
            <w:rPr>
              <w:color w:val="000000"/>
            </w:rPr>
            <w:t>Ayuntamiento de Toluca</w:t>
          </w:r>
        </w:p>
      </w:tc>
    </w:tr>
    <w:tr w:rsidR="00C50BD9" w:rsidRPr="00E152D8" w14:paraId="3F18AACD" w14:textId="77777777" w:rsidTr="00A863A4">
      <w:trPr>
        <w:trHeight w:val="261"/>
      </w:trPr>
      <w:tc>
        <w:tcPr>
          <w:tcW w:w="2551" w:type="dxa"/>
        </w:tcPr>
        <w:p w14:paraId="57E8DDB5" w14:textId="77777777" w:rsidR="00C50BD9" w:rsidRPr="00E152D8" w:rsidRDefault="00C50BD9" w:rsidP="00347876">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1B8E59D3" w14:textId="77777777" w:rsidR="00C50BD9" w:rsidRPr="00E152D8" w:rsidRDefault="00C50BD9" w:rsidP="00347876">
          <w:pPr>
            <w:tabs>
              <w:tab w:val="right" w:pos="8838"/>
            </w:tabs>
            <w:ind w:left="-111" w:right="-32"/>
            <w:rPr>
              <w:rFonts w:eastAsia="Calibri" w:cs="Tahoma"/>
              <w:b/>
              <w:lang w:val="es-MX"/>
            </w:rPr>
          </w:pPr>
          <w:r w:rsidRPr="00E152D8">
            <w:rPr>
              <w:rFonts w:eastAsia="Calibri" w:cs="Tahoma"/>
              <w:lang w:val="es-MX"/>
            </w:rPr>
            <w:t>Luis Gustavo Parra Noriega</w:t>
          </w:r>
        </w:p>
      </w:tc>
    </w:tr>
  </w:tbl>
  <w:p w14:paraId="305D4853" w14:textId="77777777" w:rsidR="00C50BD9" w:rsidRDefault="00000000"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MARCA DE AGUA - HOJA RESOLUCIÓN" style="position:absolute;left:0;text-align:left;margin-left:-89.1pt;margin-top:-1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94DE2"/>
    <w:multiLevelType w:val="hybridMultilevel"/>
    <w:tmpl w:val="A9CEBD9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6736762"/>
    <w:multiLevelType w:val="hybridMultilevel"/>
    <w:tmpl w:val="A9CEBD9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0778608">
    <w:abstractNumId w:val="1"/>
  </w:num>
  <w:num w:numId="2" w16cid:durableId="1321875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C5"/>
    <w:rsid w:val="000045A6"/>
    <w:rsid w:val="00017E26"/>
    <w:rsid w:val="000375E0"/>
    <w:rsid w:val="00040E69"/>
    <w:rsid w:val="00045728"/>
    <w:rsid w:val="00046A54"/>
    <w:rsid w:val="00046FBE"/>
    <w:rsid w:val="00047F07"/>
    <w:rsid w:val="000507BA"/>
    <w:rsid w:val="0005685A"/>
    <w:rsid w:val="00056D58"/>
    <w:rsid w:val="00064E91"/>
    <w:rsid w:val="0006704F"/>
    <w:rsid w:val="00070115"/>
    <w:rsid w:val="000729D1"/>
    <w:rsid w:val="000744F2"/>
    <w:rsid w:val="0008576C"/>
    <w:rsid w:val="0009441D"/>
    <w:rsid w:val="00094584"/>
    <w:rsid w:val="00095D0F"/>
    <w:rsid w:val="000A0A70"/>
    <w:rsid w:val="000A2D13"/>
    <w:rsid w:val="000A65CD"/>
    <w:rsid w:val="000A7999"/>
    <w:rsid w:val="000B1EA7"/>
    <w:rsid w:val="000B2239"/>
    <w:rsid w:val="000C141F"/>
    <w:rsid w:val="000C5F81"/>
    <w:rsid w:val="000D1C9F"/>
    <w:rsid w:val="000D634B"/>
    <w:rsid w:val="000D74C3"/>
    <w:rsid w:val="000F5268"/>
    <w:rsid w:val="000F5556"/>
    <w:rsid w:val="000F6C4A"/>
    <w:rsid w:val="001023EA"/>
    <w:rsid w:val="00105130"/>
    <w:rsid w:val="00106781"/>
    <w:rsid w:val="00110D4D"/>
    <w:rsid w:val="001334D1"/>
    <w:rsid w:val="0013678F"/>
    <w:rsid w:val="00137F3B"/>
    <w:rsid w:val="0014339D"/>
    <w:rsid w:val="00144157"/>
    <w:rsid w:val="00152B29"/>
    <w:rsid w:val="00155A01"/>
    <w:rsid w:val="00157BEA"/>
    <w:rsid w:val="00171CFE"/>
    <w:rsid w:val="001747F3"/>
    <w:rsid w:val="00175783"/>
    <w:rsid w:val="00181833"/>
    <w:rsid w:val="00182212"/>
    <w:rsid w:val="001B17EC"/>
    <w:rsid w:val="001B2ED1"/>
    <w:rsid w:val="001B6B60"/>
    <w:rsid w:val="001C7AC2"/>
    <w:rsid w:val="001E3450"/>
    <w:rsid w:val="001F3934"/>
    <w:rsid w:val="00202C9E"/>
    <w:rsid w:val="00203FED"/>
    <w:rsid w:val="00221894"/>
    <w:rsid w:val="00230BC7"/>
    <w:rsid w:val="00230F5E"/>
    <w:rsid w:val="00245BC3"/>
    <w:rsid w:val="00246E45"/>
    <w:rsid w:val="00250655"/>
    <w:rsid w:val="00251AB2"/>
    <w:rsid w:val="00254457"/>
    <w:rsid w:val="00254E5F"/>
    <w:rsid w:val="00254ECB"/>
    <w:rsid w:val="0025691D"/>
    <w:rsid w:val="002631C3"/>
    <w:rsid w:val="00263D2F"/>
    <w:rsid w:val="00264675"/>
    <w:rsid w:val="00264CD0"/>
    <w:rsid w:val="00265CFE"/>
    <w:rsid w:val="00266BF1"/>
    <w:rsid w:val="0026769C"/>
    <w:rsid w:val="002705C2"/>
    <w:rsid w:val="00275628"/>
    <w:rsid w:val="00275938"/>
    <w:rsid w:val="00275E0B"/>
    <w:rsid w:val="00285CE3"/>
    <w:rsid w:val="002977E5"/>
    <w:rsid w:val="00297E98"/>
    <w:rsid w:val="002A05AF"/>
    <w:rsid w:val="002A0BE5"/>
    <w:rsid w:val="002A2BB0"/>
    <w:rsid w:val="002B4923"/>
    <w:rsid w:val="002C0400"/>
    <w:rsid w:val="002C0A03"/>
    <w:rsid w:val="002C19D9"/>
    <w:rsid w:val="002C3C08"/>
    <w:rsid w:val="002D723C"/>
    <w:rsid w:val="002E526D"/>
    <w:rsid w:val="002F1C87"/>
    <w:rsid w:val="002F235F"/>
    <w:rsid w:val="002F551A"/>
    <w:rsid w:val="00302946"/>
    <w:rsid w:val="00304431"/>
    <w:rsid w:val="00304985"/>
    <w:rsid w:val="00305A6A"/>
    <w:rsid w:val="00306FB6"/>
    <w:rsid w:val="00320FCC"/>
    <w:rsid w:val="00333C69"/>
    <w:rsid w:val="0033782D"/>
    <w:rsid w:val="00345BB5"/>
    <w:rsid w:val="00347876"/>
    <w:rsid w:val="00353A2E"/>
    <w:rsid w:val="00356863"/>
    <w:rsid w:val="00362523"/>
    <w:rsid w:val="00362CF5"/>
    <w:rsid w:val="00363DED"/>
    <w:rsid w:val="00364F36"/>
    <w:rsid w:val="00364FAB"/>
    <w:rsid w:val="00365137"/>
    <w:rsid w:val="00370F45"/>
    <w:rsid w:val="003723ED"/>
    <w:rsid w:val="0037659E"/>
    <w:rsid w:val="00380F96"/>
    <w:rsid w:val="00387C64"/>
    <w:rsid w:val="00387E7C"/>
    <w:rsid w:val="003905B1"/>
    <w:rsid w:val="00390BA0"/>
    <w:rsid w:val="00391CB5"/>
    <w:rsid w:val="003A123A"/>
    <w:rsid w:val="003A6719"/>
    <w:rsid w:val="003B04E1"/>
    <w:rsid w:val="003B4CA1"/>
    <w:rsid w:val="003C0A9F"/>
    <w:rsid w:val="003C3691"/>
    <w:rsid w:val="003D35D9"/>
    <w:rsid w:val="003E26B0"/>
    <w:rsid w:val="003F22FD"/>
    <w:rsid w:val="003F3586"/>
    <w:rsid w:val="003F595B"/>
    <w:rsid w:val="003F5EB5"/>
    <w:rsid w:val="003F63DA"/>
    <w:rsid w:val="00407FB2"/>
    <w:rsid w:val="004159A5"/>
    <w:rsid w:val="00416797"/>
    <w:rsid w:val="00422AEC"/>
    <w:rsid w:val="0043168D"/>
    <w:rsid w:val="0043525E"/>
    <w:rsid w:val="004424A5"/>
    <w:rsid w:val="00444157"/>
    <w:rsid w:val="00447A3B"/>
    <w:rsid w:val="004500E2"/>
    <w:rsid w:val="004527A4"/>
    <w:rsid w:val="00453E83"/>
    <w:rsid w:val="00456B51"/>
    <w:rsid w:val="004577F9"/>
    <w:rsid w:val="004610AE"/>
    <w:rsid w:val="00461467"/>
    <w:rsid w:val="004673BD"/>
    <w:rsid w:val="004749CF"/>
    <w:rsid w:val="00476226"/>
    <w:rsid w:val="00481BA6"/>
    <w:rsid w:val="004822CF"/>
    <w:rsid w:val="004829F6"/>
    <w:rsid w:val="004908D0"/>
    <w:rsid w:val="0049159D"/>
    <w:rsid w:val="00492AF8"/>
    <w:rsid w:val="0049737D"/>
    <w:rsid w:val="004A0432"/>
    <w:rsid w:val="004A27E9"/>
    <w:rsid w:val="004A5AD5"/>
    <w:rsid w:val="004B2145"/>
    <w:rsid w:val="004B34AB"/>
    <w:rsid w:val="004B4B36"/>
    <w:rsid w:val="004B6AAC"/>
    <w:rsid w:val="004C1079"/>
    <w:rsid w:val="004D435D"/>
    <w:rsid w:val="004E23C2"/>
    <w:rsid w:val="004E5AB1"/>
    <w:rsid w:val="00505C4B"/>
    <w:rsid w:val="00513B8D"/>
    <w:rsid w:val="005166C8"/>
    <w:rsid w:val="0052035E"/>
    <w:rsid w:val="00523B64"/>
    <w:rsid w:val="00536E69"/>
    <w:rsid w:val="00546231"/>
    <w:rsid w:val="00546DA9"/>
    <w:rsid w:val="005536CF"/>
    <w:rsid w:val="00572301"/>
    <w:rsid w:val="00587227"/>
    <w:rsid w:val="00587799"/>
    <w:rsid w:val="00595D62"/>
    <w:rsid w:val="005A64FF"/>
    <w:rsid w:val="005A6BEC"/>
    <w:rsid w:val="005A7DC1"/>
    <w:rsid w:val="005B6B85"/>
    <w:rsid w:val="005B6D7A"/>
    <w:rsid w:val="005B7FED"/>
    <w:rsid w:val="005C2558"/>
    <w:rsid w:val="005C6124"/>
    <w:rsid w:val="005D04FC"/>
    <w:rsid w:val="005D4785"/>
    <w:rsid w:val="005D69E6"/>
    <w:rsid w:val="005F59BC"/>
    <w:rsid w:val="00600A07"/>
    <w:rsid w:val="00602337"/>
    <w:rsid w:val="00606D94"/>
    <w:rsid w:val="006070EA"/>
    <w:rsid w:val="0061014C"/>
    <w:rsid w:val="00610AE5"/>
    <w:rsid w:val="006367B9"/>
    <w:rsid w:val="00637109"/>
    <w:rsid w:val="00637659"/>
    <w:rsid w:val="006437A8"/>
    <w:rsid w:val="00644C6D"/>
    <w:rsid w:val="006457A7"/>
    <w:rsid w:val="006633B9"/>
    <w:rsid w:val="0066499B"/>
    <w:rsid w:val="006651F1"/>
    <w:rsid w:val="00673579"/>
    <w:rsid w:val="006760A0"/>
    <w:rsid w:val="006778B9"/>
    <w:rsid w:val="006814BC"/>
    <w:rsid w:val="00685958"/>
    <w:rsid w:val="00691625"/>
    <w:rsid w:val="0069627A"/>
    <w:rsid w:val="006A0867"/>
    <w:rsid w:val="006A0E06"/>
    <w:rsid w:val="006A2F36"/>
    <w:rsid w:val="006B1B7E"/>
    <w:rsid w:val="006B7E2D"/>
    <w:rsid w:val="006C26E0"/>
    <w:rsid w:val="006C52A6"/>
    <w:rsid w:val="006C7EE1"/>
    <w:rsid w:val="006C7F45"/>
    <w:rsid w:val="006D1800"/>
    <w:rsid w:val="006D31E5"/>
    <w:rsid w:val="00702B99"/>
    <w:rsid w:val="0070457C"/>
    <w:rsid w:val="007146FE"/>
    <w:rsid w:val="0072075E"/>
    <w:rsid w:val="007218B8"/>
    <w:rsid w:val="00721B01"/>
    <w:rsid w:val="00725C4E"/>
    <w:rsid w:val="007309C0"/>
    <w:rsid w:val="007341D9"/>
    <w:rsid w:val="007377F9"/>
    <w:rsid w:val="00743E65"/>
    <w:rsid w:val="007609C8"/>
    <w:rsid w:val="0076342E"/>
    <w:rsid w:val="00763706"/>
    <w:rsid w:val="007806F5"/>
    <w:rsid w:val="007849C0"/>
    <w:rsid w:val="00784C5C"/>
    <w:rsid w:val="007928C5"/>
    <w:rsid w:val="007956A2"/>
    <w:rsid w:val="007A5048"/>
    <w:rsid w:val="007A5117"/>
    <w:rsid w:val="007B0396"/>
    <w:rsid w:val="007B0BBD"/>
    <w:rsid w:val="007B7DF0"/>
    <w:rsid w:val="007C0F32"/>
    <w:rsid w:val="007C403E"/>
    <w:rsid w:val="007D1412"/>
    <w:rsid w:val="007D1FAA"/>
    <w:rsid w:val="007D4921"/>
    <w:rsid w:val="007D49C6"/>
    <w:rsid w:val="007D59C1"/>
    <w:rsid w:val="007D7E05"/>
    <w:rsid w:val="007E7D2D"/>
    <w:rsid w:val="007F08B3"/>
    <w:rsid w:val="007F271C"/>
    <w:rsid w:val="007F466A"/>
    <w:rsid w:val="007F7A31"/>
    <w:rsid w:val="00801015"/>
    <w:rsid w:val="00804A4C"/>
    <w:rsid w:val="0080693B"/>
    <w:rsid w:val="00814335"/>
    <w:rsid w:val="00816E16"/>
    <w:rsid w:val="00820107"/>
    <w:rsid w:val="0082097F"/>
    <w:rsid w:val="0082667E"/>
    <w:rsid w:val="00826E2F"/>
    <w:rsid w:val="00843000"/>
    <w:rsid w:val="00843F6F"/>
    <w:rsid w:val="008451B5"/>
    <w:rsid w:val="00852B9D"/>
    <w:rsid w:val="008539FC"/>
    <w:rsid w:val="00862900"/>
    <w:rsid w:val="00870CA5"/>
    <w:rsid w:val="00871A36"/>
    <w:rsid w:val="00876A9F"/>
    <w:rsid w:val="00876B0D"/>
    <w:rsid w:val="008851BD"/>
    <w:rsid w:val="008920FE"/>
    <w:rsid w:val="00892867"/>
    <w:rsid w:val="0089704B"/>
    <w:rsid w:val="008A6ABF"/>
    <w:rsid w:val="008B2B0B"/>
    <w:rsid w:val="008E1F3C"/>
    <w:rsid w:val="008F42E3"/>
    <w:rsid w:val="00900640"/>
    <w:rsid w:val="0090288A"/>
    <w:rsid w:val="009161B5"/>
    <w:rsid w:val="00917151"/>
    <w:rsid w:val="00920C0F"/>
    <w:rsid w:val="009243D6"/>
    <w:rsid w:val="00927392"/>
    <w:rsid w:val="00937303"/>
    <w:rsid w:val="00937760"/>
    <w:rsid w:val="0094025E"/>
    <w:rsid w:val="00940FB5"/>
    <w:rsid w:val="00941212"/>
    <w:rsid w:val="009445B3"/>
    <w:rsid w:val="009458FD"/>
    <w:rsid w:val="00945E11"/>
    <w:rsid w:val="00947E44"/>
    <w:rsid w:val="00950678"/>
    <w:rsid w:val="00953052"/>
    <w:rsid w:val="00954FEB"/>
    <w:rsid w:val="009633F7"/>
    <w:rsid w:val="00963FF5"/>
    <w:rsid w:val="0096426C"/>
    <w:rsid w:val="00976851"/>
    <w:rsid w:val="0098062F"/>
    <w:rsid w:val="00982333"/>
    <w:rsid w:val="00993137"/>
    <w:rsid w:val="00997D8D"/>
    <w:rsid w:val="009B1DFD"/>
    <w:rsid w:val="009B365B"/>
    <w:rsid w:val="009C00BA"/>
    <w:rsid w:val="009C23D0"/>
    <w:rsid w:val="009C3C2B"/>
    <w:rsid w:val="009C4688"/>
    <w:rsid w:val="009D10FF"/>
    <w:rsid w:val="009D5045"/>
    <w:rsid w:val="009E1D6F"/>
    <w:rsid w:val="009E2B17"/>
    <w:rsid w:val="009F13CF"/>
    <w:rsid w:val="009F42FA"/>
    <w:rsid w:val="009F4AD4"/>
    <w:rsid w:val="009F66C7"/>
    <w:rsid w:val="00A04966"/>
    <w:rsid w:val="00A06F01"/>
    <w:rsid w:val="00A070EC"/>
    <w:rsid w:val="00A112CB"/>
    <w:rsid w:val="00A119A8"/>
    <w:rsid w:val="00A11B91"/>
    <w:rsid w:val="00A11EAF"/>
    <w:rsid w:val="00A1601B"/>
    <w:rsid w:val="00A1647B"/>
    <w:rsid w:val="00A21361"/>
    <w:rsid w:val="00A234A1"/>
    <w:rsid w:val="00A27E34"/>
    <w:rsid w:val="00A304C3"/>
    <w:rsid w:val="00A31B49"/>
    <w:rsid w:val="00A33E13"/>
    <w:rsid w:val="00A44EB5"/>
    <w:rsid w:val="00A53051"/>
    <w:rsid w:val="00A555FF"/>
    <w:rsid w:val="00A60B50"/>
    <w:rsid w:val="00A6124E"/>
    <w:rsid w:val="00A6183C"/>
    <w:rsid w:val="00A70740"/>
    <w:rsid w:val="00A863A4"/>
    <w:rsid w:val="00A87871"/>
    <w:rsid w:val="00A87DB7"/>
    <w:rsid w:val="00A935BF"/>
    <w:rsid w:val="00A946C6"/>
    <w:rsid w:val="00A95E8A"/>
    <w:rsid w:val="00A966E3"/>
    <w:rsid w:val="00AA3DE2"/>
    <w:rsid w:val="00AB1131"/>
    <w:rsid w:val="00AB7A4D"/>
    <w:rsid w:val="00AB7D24"/>
    <w:rsid w:val="00AC0E43"/>
    <w:rsid w:val="00AC1650"/>
    <w:rsid w:val="00AC3BFC"/>
    <w:rsid w:val="00AC4F58"/>
    <w:rsid w:val="00AD3BE9"/>
    <w:rsid w:val="00AE199A"/>
    <w:rsid w:val="00AE1F48"/>
    <w:rsid w:val="00AE77B1"/>
    <w:rsid w:val="00AF19B3"/>
    <w:rsid w:val="00B000C5"/>
    <w:rsid w:val="00B01771"/>
    <w:rsid w:val="00B05FF4"/>
    <w:rsid w:val="00B12570"/>
    <w:rsid w:val="00B203FD"/>
    <w:rsid w:val="00B255F6"/>
    <w:rsid w:val="00B34D94"/>
    <w:rsid w:val="00B350DF"/>
    <w:rsid w:val="00B35F59"/>
    <w:rsid w:val="00B3703E"/>
    <w:rsid w:val="00B401E5"/>
    <w:rsid w:val="00B42796"/>
    <w:rsid w:val="00B4772A"/>
    <w:rsid w:val="00B557DF"/>
    <w:rsid w:val="00B5644D"/>
    <w:rsid w:val="00B5725C"/>
    <w:rsid w:val="00B60D25"/>
    <w:rsid w:val="00B624A0"/>
    <w:rsid w:val="00B62B1B"/>
    <w:rsid w:val="00B63E93"/>
    <w:rsid w:val="00B65586"/>
    <w:rsid w:val="00B70E2C"/>
    <w:rsid w:val="00B83462"/>
    <w:rsid w:val="00B83C4B"/>
    <w:rsid w:val="00B841F8"/>
    <w:rsid w:val="00B907ED"/>
    <w:rsid w:val="00B93087"/>
    <w:rsid w:val="00BA3041"/>
    <w:rsid w:val="00BA370B"/>
    <w:rsid w:val="00BA56CE"/>
    <w:rsid w:val="00BB36D2"/>
    <w:rsid w:val="00BB5A62"/>
    <w:rsid w:val="00BC22F3"/>
    <w:rsid w:val="00BC4ACC"/>
    <w:rsid w:val="00BC7F13"/>
    <w:rsid w:val="00BD06B4"/>
    <w:rsid w:val="00BD0CD2"/>
    <w:rsid w:val="00BD1C07"/>
    <w:rsid w:val="00BD67B2"/>
    <w:rsid w:val="00BD6A96"/>
    <w:rsid w:val="00BE3C4E"/>
    <w:rsid w:val="00BF2B2E"/>
    <w:rsid w:val="00C032EC"/>
    <w:rsid w:val="00C063EB"/>
    <w:rsid w:val="00C070D8"/>
    <w:rsid w:val="00C13E16"/>
    <w:rsid w:val="00C16099"/>
    <w:rsid w:val="00C16E0D"/>
    <w:rsid w:val="00C17EBF"/>
    <w:rsid w:val="00C22D68"/>
    <w:rsid w:val="00C318B6"/>
    <w:rsid w:val="00C31AD4"/>
    <w:rsid w:val="00C337E5"/>
    <w:rsid w:val="00C347AA"/>
    <w:rsid w:val="00C417AF"/>
    <w:rsid w:val="00C42A98"/>
    <w:rsid w:val="00C44726"/>
    <w:rsid w:val="00C50BD9"/>
    <w:rsid w:val="00C518D7"/>
    <w:rsid w:val="00C54015"/>
    <w:rsid w:val="00C563D3"/>
    <w:rsid w:val="00C605C9"/>
    <w:rsid w:val="00C642F5"/>
    <w:rsid w:val="00C64DEA"/>
    <w:rsid w:val="00C66273"/>
    <w:rsid w:val="00C75056"/>
    <w:rsid w:val="00C750F8"/>
    <w:rsid w:val="00C8608C"/>
    <w:rsid w:val="00C871AC"/>
    <w:rsid w:val="00C933B6"/>
    <w:rsid w:val="00C97719"/>
    <w:rsid w:val="00CA1BA6"/>
    <w:rsid w:val="00CA1DE7"/>
    <w:rsid w:val="00CA1F62"/>
    <w:rsid w:val="00CB09E0"/>
    <w:rsid w:val="00CB1CF0"/>
    <w:rsid w:val="00CB2FA4"/>
    <w:rsid w:val="00CB67F4"/>
    <w:rsid w:val="00CC2BE4"/>
    <w:rsid w:val="00CD1BA8"/>
    <w:rsid w:val="00CD20AC"/>
    <w:rsid w:val="00CE4C8B"/>
    <w:rsid w:val="00CE7148"/>
    <w:rsid w:val="00CF43E6"/>
    <w:rsid w:val="00CF65EB"/>
    <w:rsid w:val="00D07290"/>
    <w:rsid w:val="00D1336A"/>
    <w:rsid w:val="00D26152"/>
    <w:rsid w:val="00D3424A"/>
    <w:rsid w:val="00D46EE8"/>
    <w:rsid w:val="00D627CD"/>
    <w:rsid w:val="00D74B28"/>
    <w:rsid w:val="00D74C1C"/>
    <w:rsid w:val="00D750E7"/>
    <w:rsid w:val="00D77576"/>
    <w:rsid w:val="00D80E18"/>
    <w:rsid w:val="00D856A5"/>
    <w:rsid w:val="00D912A8"/>
    <w:rsid w:val="00D95C1D"/>
    <w:rsid w:val="00DA1A7D"/>
    <w:rsid w:val="00DA2367"/>
    <w:rsid w:val="00DA542A"/>
    <w:rsid w:val="00DA798A"/>
    <w:rsid w:val="00DB0DB0"/>
    <w:rsid w:val="00DB20A5"/>
    <w:rsid w:val="00DB3DC5"/>
    <w:rsid w:val="00DC1C3E"/>
    <w:rsid w:val="00DC1F24"/>
    <w:rsid w:val="00DC3EDC"/>
    <w:rsid w:val="00DC42DF"/>
    <w:rsid w:val="00DC57F0"/>
    <w:rsid w:val="00DD3A8B"/>
    <w:rsid w:val="00DD5D4A"/>
    <w:rsid w:val="00DD61E6"/>
    <w:rsid w:val="00DD6EB5"/>
    <w:rsid w:val="00DE133F"/>
    <w:rsid w:val="00DE3357"/>
    <w:rsid w:val="00DF1B85"/>
    <w:rsid w:val="00DF1ECE"/>
    <w:rsid w:val="00DF1F2F"/>
    <w:rsid w:val="00DF2F11"/>
    <w:rsid w:val="00DF6F0B"/>
    <w:rsid w:val="00E0132B"/>
    <w:rsid w:val="00E045BD"/>
    <w:rsid w:val="00E063FC"/>
    <w:rsid w:val="00E07591"/>
    <w:rsid w:val="00E1109D"/>
    <w:rsid w:val="00E11469"/>
    <w:rsid w:val="00E16F58"/>
    <w:rsid w:val="00E27BCC"/>
    <w:rsid w:val="00E3620C"/>
    <w:rsid w:val="00E4251A"/>
    <w:rsid w:val="00E43B2E"/>
    <w:rsid w:val="00E44661"/>
    <w:rsid w:val="00E468BC"/>
    <w:rsid w:val="00E4792C"/>
    <w:rsid w:val="00E50086"/>
    <w:rsid w:val="00E51DF5"/>
    <w:rsid w:val="00E52811"/>
    <w:rsid w:val="00E54314"/>
    <w:rsid w:val="00E57413"/>
    <w:rsid w:val="00E71154"/>
    <w:rsid w:val="00E75043"/>
    <w:rsid w:val="00E761B8"/>
    <w:rsid w:val="00E80890"/>
    <w:rsid w:val="00E85819"/>
    <w:rsid w:val="00E86E5D"/>
    <w:rsid w:val="00E91037"/>
    <w:rsid w:val="00E93746"/>
    <w:rsid w:val="00EA0C4B"/>
    <w:rsid w:val="00EA7BA7"/>
    <w:rsid w:val="00EB0A6C"/>
    <w:rsid w:val="00EB5363"/>
    <w:rsid w:val="00EC4F30"/>
    <w:rsid w:val="00EC5AA8"/>
    <w:rsid w:val="00EC65B8"/>
    <w:rsid w:val="00EC732C"/>
    <w:rsid w:val="00ED0B26"/>
    <w:rsid w:val="00ED3FD8"/>
    <w:rsid w:val="00ED7BF3"/>
    <w:rsid w:val="00EE10D3"/>
    <w:rsid w:val="00EE30C6"/>
    <w:rsid w:val="00EF0DFF"/>
    <w:rsid w:val="00F01520"/>
    <w:rsid w:val="00F063F0"/>
    <w:rsid w:val="00F11FC0"/>
    <w:rsid w:val="00F12D8F"/>
    <w:rsid w:val="00F1557B"/>
    <w:rsid w:val="00F165B9"/>
    <w:rsid w:val="00F16792"/>
    <w:rsid w:val="00F26F2D"/>
    <w:rsid w:val="00F3234B"/>
    <w:rsid w:val="00F32EF6"/>
    <w:rsid w:val="00F45AA7"/>
    <w:rsid w:val="00F50CAC"/>
    <w:rsid w:val="00F50DAF"/>
    <w:rsid w:val="00F557B8"/>
    <w:rsid w:val="00F56DD2"/>
    <w:rsid w:val="00F611AF"/>
    <w:rsid w:val="00F643F5"/>
    <w:rsid w:val="00F65218"/>
    <w:rsid w:val="00F704C4"/>
    <w:rsid w:val="00F75261"/>
    <w:rsid w:val="00F75544"/>
    <w:rsid w:val="00F7760C"/>
    <w:rsid w:val="00F84354"/>
    <w:rsid w:val="00F85423"/>
    <w:rsid w:val="00F92554"/>
    <w:rsid w:val="00F938F7"/>
    <w:rsid w:val="00FB1B3A"/>
    <w:rsid w:val="00FC1F9E"/>
    <w:rsid w:val="00FC398D"/>
    <w:rsid w:val="00FE2A49"/>
    <w:rsid w:val="00FE6C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98"/>
    <w:pPr>
      <w:spacing w:line="256" w:lineRule="auto"/>
      <w:jc w:val="both"/>
    </w:pPr>
    <w:rPr>
      <w:rFonts w:ascii="Palatino Linotype" w:eastAsia="Palatino Linotype" w:hAnsi="Palatino Linotype" w:cs="Palatino Linotype"/>
      <w:color w:val="000000" w:themeColor="text1"/>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rPr>
      <w:rFonts w:eastAsiaTheme="minorHAnsi" w:cstheme="minorBidi"/>
      <w:lang w:eastAsia="en-US"/>
    </w:r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rPr>
      <w:rFonts w:eastAsiaTheme="minorHAnsi" w:cstheme="minorBidi"/>
      <w:lang w:eastAsia="en-US"/>
    </w:r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3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pPr>
      <w:spacing w:line="259" w:lineRule="auto"/>
    </w:pPr>
    <w:rPr>
      <w:rFonts w:ascii="Times New Roman" w:eastAsiaTheme="minorHAnsi" w:hAnsi="Times New Roman" w:cs="Times New Roman"/>
      <w:sz w:val="24"/>
      <w:szCs w:val="2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spacing w:line="259" w:lineRule="auto"/>
      <w:ind w:left="720"/>
      <w:contextualSpacing/>
    </w:pPr>
    <w:rPr>
      <w:rFonts w:eastAsiaTheme="minorHAnsi" w:cstheme="minorBidi"/>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basedOn w:val="Fuentedeprrafopredeter"/>
    <w:uiPriority w:val="99"/>
    <w:unhideWhenUsed/>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customStyle="1" w:styleId="Mencinsinresolver2">
    <w:name w:val="Mención sin resolver2"/>
    <w:basedOn w:val="Fuentedeprrafopredeter"/>
    <w:uiPriority w:val="99"/>
    <w:semiHidden/>
    <w:unhideWhenUsed/>
    <w:rsid w:val="00A27E34"/>
    <w:rPr>
      <w:color w:val="605E5C"/>
      <w:shd w:val="clear" w:color="auto" w:fill="E1DFDD"/>
    </w:rPr>
  </w:style>
  <w:style w:type="character" w:styleId="Hipervnculovisitado">
    <w:name w:val="FollowedHyperlink"/>
    <w:basedOn w:val="Fuentedeprrafopredeter"/>
    <w:uiPriority w:val="99"/>
    <w:semiHidden/>
    <w:unhideWhenUsed/>
    <w:rsid w:val="00A863A4"/>
    <w:rPr>
      <w:color w:val="954F72" w:themeColor="followedHyperlink"/>
      <w:u w:val="single"/>
    </w:rPr>
  </w:style>
  <w:style w:type="paragraph" w:styleId="TDC2">
    <w:name w:val="toc 2"/>
    <w:basedOn w:val="Normal"/>
    <w:next w:val="Normal"/>
    <w:autoRedefine/>
    <w:uiPriority w:val="39"/>
    <w:unhideWhenUsed/>
    <w:rsid w:val="00E1109D"/>
    <w:pPr>
      <w:spacing w:after="100"/>
      <w:ind w:left="220"/>
    </w:pPr>
  </w:style>
  <w:style w:type="paragraph" w:styleId="TDC1">
    <w:name w:val="toc 1"/>
    <w:basedOn w:val="Normal"/>
    <w:next w:val="Normal"/>
    <w:autoRedefine/>
    <w:uiPriority w:val="39"/>
    <w:unhideWhenUsed/>
    <w:rsid w:val="00E1109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0691">
      <w:bodyDiv w:val="1"/>
      <w:marLeft w:val="0"/>
      <w:marRight w:val="0"/>
      <w:marTop w:val="0"/>
      <w:marBottom w:val="0"/>
      <w:divBdr>
        <w:top w:val="none" w:sz="0" w:space="0" w:color="auto"/>
        <w:left w:val="none" w:sz="0" w:space="0" w:color="auto"/>
        <w:bottom w:val="none" w:sz="0" w:space="0" w:color="auto"/>
        <w:right w:val="none" w:sz="0" w:space="0" w:color="auto"/>
      </w:divBdr>
    </w:div>
    <w:div w:id="129441435">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143007307">
      <w:bodyDiv w:val="1"/>
      <w:marLeft w:val="0"/>
      <w:marRight w:val="0"/>
      <w:marTop w:val="0"/>
      <w:marBottom w:val="0"/>
      <w:divBdr>
        <w:top w:val="none" w:sz="0" w:space="0" w:color="auto"/>
        <w:left w:val="none" w:sz="0" w:space="0" w:color="auto"/>
        <w:bottom w:val="none" w:sz="0" w:space="0" w:color="auto"/>
        <w:right w:val="none" w:sz="0" w:space="0" w:color="auto"/>
      </w:divBdr>
    </w:div>
    <w:div w:id="154342482">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47817494">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497379981">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569774390">
      <w:bodyDiv w:val="1"/>
      <w:marLeft w:val="0"/>
      <w:marRight w:val="0"/>
      <w:marTop w:val="0"/>
      <w:marBottom w:val="0"/>
      <w:divBdr>
        <w:top w:val="none" w:sz="0" w:space="0" w:color="auto"/>
        <w:left w:val="none" w:sz="0" w:space="0" w:color="auto"/>
        <w:bottom w:val="none" w:sz="0" w:space="0" w:color="auto"/>
        <w:right w:val="none" w:sz="0" w:space="0" w:color="auto"/>
      </w:divBdr>
    </w:div>
    <w:div w:id="740443315">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830486360">
      <w:bodyDiv w:val="1"/>
      <w:marLeft w:val="0"/>
      <w:marRight w:val="0"/>
      <w:marTop w:val="0"/>
      <w:marBottom w:val="0"/>
      <w:divBdr>
        <w:top w:val="none" w:sz="0" w:space="0" w:color="auto"/>
        <w:left w:val="none" w:sz="0" w:space="0" w:color="auto"/>
        <w:bottom w:val="none" w:sz="0" w:space="0" w:color="auto"/>
        <w:right w:val="none" w:sz="0" w:space="0" w:color="auto"/>
      </w:divBdr>
    </w:div>
    <w:div w:id="940457104">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69070021">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459375584">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743985139">
      <w:bodyDiv w:val="1"/>
      <w:marLeft w:val="0"/>
      <w:marRight w:val="0"/>
      <w:marTop w:val="0"/>
      <w:marBottom w:val="0"/>
      <w:divBdr>
        <w:top w:val="none" w:sz="0" w:space="0" w:color="auto"/>
        <w:left w:val="none" w:sz="0" w:space="0" w:color="auto"/>
        <w:bottom w:val="none" w:sz="0" w:space="0" w:color="auto"/>
        <w:right w:val="none" w:sz="0" w:space="0" w:color="auto"/>
      </w:divBdr>
    </w:div>
    <w:div w:id="1848520809">
      <w:bodyDiv w:val="1"/>
      <w:marLeft w:val="0"/>
      <w:marRight w:val="0"/>
      <w:marTop w:val="0"/>
      <w:marBottom w:val="0"/>
      <w:divBdr>
        <w:top w:val="none" w:sz="0" w:space="0" w:color="auto"/>
        <w:left w:val="none" w:sz="0" w:space="0" w:color="auto"/>
        <w:bottom w:val="none" w:sz="0" w:space="0" w:color="auto"/>
        <w:right w:val="none" w:sz="0" w:space="0" w:color="auto"/>
      </w:divBdr>
    </w:div>
    <w:div w:id="1872644550">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2093113222">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102AF-A9DF-4B55-AC31-E99F9C2D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3933</Words>
  <Characters>21636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4</cp:revision>
  <cp:lastPrinted>2026-02-13T16:52:00Z</cp:lastPrinted>
  <dcterms:created xsi:type="dcterms:W3CDTF">2026-02-13T16:52:00Z</dcterms:created>
  <dcterms:modified xsi:type="dcterms:W3CDTF">2026-04-10T01:19:00Z</dcterms:modified>
</cp:coreProperties>
</file>